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48668">
      <w:pPr>
        <w:bidi w:val="0"/>
        <w:rPr>
          <w:rFonts w:hint="eastAsia" w:eastAsia="宋体"/>
          <w:highlight w:val="none"/>
          <w:lang w:eastAsia="zh-CN"/>
        </w:rPr>
        <w:sectPr>
          <w:footerReference r:id="rId4" w:type="first"/>
          <w:footerReference r:id="rId3" w:type="even"/>
          <w:pgSz w:w="11906" w:h="16838"/>
          <w:pgMar w:top="170" w:right="283" w:bottom="170" w:left="283" w:header="680" w:footer="680" w:gutter="0"/>
          <w:cols w:space="720" w:num="1"/>
          <w:docGrid w:linePitch="312" w:charSpace="0"/>
        </w:sectPr>
      </w:pPr>
      <w:r>
        <w:rPr>
          <w:rFonts w:hint="eastAsia" w:eastAsia="宋体"/>
          <w:highlight w:val="none"/>
          <w:lang w:eastAsia="zh-CN"/>
        </w:rPr>
        <w:drawing>
          <wp:inline distT="0" distB="0" distL="114300" distR="114300">
            <wp:extent cx="7239000" cy="10243820"/>
            <wp:effectExtent l="0" t="0" r="0" b="5080"/>
            <wp:docPr id="5" name="图片 5" descr="d5104f1b24506eb353cf5c0dea1c009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5104f1b24506eb353cf5c0dea1c0096_00"/>
                    <pic:cNvPicPr>
                      <a:picLocks noChangeAspect="1"/>
                    </pic:cNvPicPr>
                  </pic:nvPicPr>
                  <pic:blipFill>
                    <a:blip r:embed="rId11"/>
                    <a:stretch>
                      <a:fillRect/>
                    </a:stretch>
                  </pic:blipFill>
                  <pic:spPr>
                    <a:xfrm>
                      <a:off x="0" y="0"/>
                      <a:ext cx="7239000" cy="10243820"/>
                    </a:xfrm>
                    <a:prstGeom prst="rect">
                      <a:avLst/>
                    </a:prstGeom>
                  </pic:spPr>
                </pic:pic>
              </a:graphicData>
            </a:graphic>
          </wp:inline>
        </w:drawing>
      </w:r>
    </w:p>
    <w:p w14:paraId="75FF62B6">
      <w:pPr>
        <w:pStyle w:val="20"/>
        <w:tabs>
          <w:tab w:val="right" w:leader="dot" w:pos="9528"/>
        </w:tabs>
        <w:spacing w:line="480" w:lineRule="auto"/>
        <w:jc w:val="center"/>
        <w:rPr>
          <w:rFonts w:hint="eastAsia" w:ascii="宋体" w:hAnsi="宋体" w:eastAsia="宋体" w:cs="宋体"/>
          <w:sz w:val="28"/>
          <w:szCs w:val="28"/>
          <w:highlight w:val="none"/>
          <w:lang w:val="en-US" w:eastAsia="zh-CN"/>
        </w:rPr>
      </w:pPr>
      <w:r>
        <w:rPr>
          <w:rFonts w:hint="eastAsia" w:ascii="宋体" w:hAnsi="宋体" w:eastAsia="宋体" w:cs="宋体"/>
          <w:b/>
          <w:kern w:val="0"/>
          <w:sz w:val="44"/>
          <w:szCs w:val="44"/>
          <w:highlight w:val="none"/>
        </w:rPr>
        <w:t>目录</w:t>
      </w:r>
    </w:p>
    <w:sdt>
      <w:sdtPr>
        <w:rPr>
          <w:rFonts w:ascii="宋体" w:hAnsi="宋体" w:eastAsia="宋体" w:cs="Times New Roman"/>
          <w:kern w:val="2"/>
          <w:sz w:val="21"/>
          <w:szCs w:val="24"/>
          <w:highlight w:val="none"/>
          <w:lang w:val="en-US" w:eastAsia="zh-CN" w:bidi="ar-SA"/>
        </w:rPr>
        <w:id w:val="147473039"/>
        <w15:color w:val="DBDBDB"/>
        <w:docPartObj>
          <w:docPartGallery w:val="Table of Contents"/>
          <w:docPartUnique/>
        </w:docPartObj>
      </w:sdtPr>
      <w:sdtEndPr>
        <w:rPr>
          <w:rFonts w:hint="eastAsia" w:ascii="宋体" w:hAnsi="宋体" w:eastAsia="宋体" w:cs="宋体"/>
          <w:kern w:val="2"/>
          <w:sz w:val="30"/>
          <w:szCs w:val="20"/>
          <w:highlight w:val="none"/>
          <w:lang w:val="en-US" w:eastAsia="zh-CN" w:bidi="ar-SA"/>
        </w:rPr>
      </w:sdtEndPr>
      <w:sdtContent>
        <w:p w14:paraId="301EAA1C">
          <w:pPr>
            <w:spacing w:before="0" w:beforeLines="0" w:after="0" w:afterLines="0" w:line="240" w:lineRule="auto"/>
            <w:ind w:left="0" w:leftChars="0" w:right="0" w:rightChars="0" w:firstLine="0" w:firstLineChars="0"/>
            <w:jc w:val="center"/>
            <w:rPr>
              <w:highlight w:val="none"/>
            </w:rPr>
          </w:pPr>
        </w:p>
        <w:p w14:paraId="33ABFB59">
          <w:pPr>
            <w:pStyle w:val="71"/>
            <w:tabs>
              <w:tab w:val="right" w:leader="dot" w:pos="9528"/>
            </w:tabs>
            <w:spacing w:line="360" w:lineRule="auto"/>
            <w:rPr>
              <w:b/>
              <w:bCs/>
              <w:sz w:val="30"/>
              <w:szCs w:val="3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_Toc19747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第一章 竞争性磋商公告</w:t>
          </w:r>
          <w:r>
            <w:rPr>
              <w:b/>
              <w:bCs/>
              <w:sz w:val="30"/>
              <w:szCs w:val="30"/>
              <w:highlight w:val="none"/>
            </w:rPr>
            <w:tab/>
          </w:r>
          <w:r>
            <w:rPr>
              <w:b/>
              <w:bCs/>
              <w:sz w:val="30"/>
              <w:szCs w:val="30"/>
              <w:highlight w:val="none"/>
            </w:rPr>
            <w:fldChar w:fldCharType="begin"/>
          </w:r>
          <w:r>
            <w:rPr>
              <w:b/>
              <w:bCs/>
              <w:sz w:val="30"/>
              <w:szCs w:val="30"/>
              <w:highlight w:val="none"/>
            </w:rPr>
            <w:instrText xml:space="preserve"> PAGEREF _Toc19747 \h </w:instrText>
          </w:r>
          <w:r>
            <w:rPr>
              <w:b/>
              <w:bCs/>
              <w:sz w:val="30"/>
              <w:szCs w:val="30"/>
              <w:highlight w:val="none"/>
            </w:rPr>
            <w:fldChar w:fldCharType="separate"/>
          </w:r>
          <w:r>
            <w:rPr>
              <w:b/>
              <w:bCs/>
              <w:sz w:val="30"/>
              <w:szCs w:val="30"/>
              <w:highlight w:val="none"/>
            </w:rPr>
            <w:t>1</w:t>
          </w:r>
          <w:r>
            <w:rPr>
              <w:b/>
              <w:bCs/>
              <w:sz w:val="30"/>
              <w:szCs w:val="30"/>
              <w:highlight w:val="none"/>
            </w:rPr>
            <w:fldChar w:fldCharType="end"/>
          </w:r>
          <w:r>
            <w:rPr>
              <w:rFonts w:hint="eastAsia" w:ascii="宋体" w:hAnsi="宋体" w:eastAsia="宋体" w:cs="宋体"/>
              <w:b/>
              <w:bCs/>
              <w:sz w:val="30"/>
              <w:szCs w:val="30"/>
              <w:highlight w:val="none"/>
            </w:rPr>
            <w:fldChar w:fldCharType="end"/>
          </w:r>
        </w:p>
        <w:p w14:paraId="3835EB85">
          <w:pPr>
            <w:pStyle w:val="71"/>
            <w:tabs>
              <w:tab w:val="right" w:leader="dot" w:pos="9528"/>
            </w:tabs>
            <w:spacing w:line="360" w:lineRule="auto"/>
            <w:rPr>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_Toc22678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第二章 供应商须知</w:t>
          </w:r>
          <w:r>
            <w:rPr>
              <w:b/>
              <w:bCs/>
              <w:sz w:val="30"/>
              <w:szCs w:val="30"/>
              <w:highlight w:val="none"/>
            </w:rPr>
            <w:tab/>
          </w:r>
          <w:r>
            <w:rPr>
              <w:rFonts w:hint="eastAsia"/>
              <w:b/>
              <w:bCs/>
              <w:sz w:val="30"/>
              <w:szCs w:val="30"/>
              <w:highlight w:val="none"/>
              <w:lang w:val="en-US" w:eastAsia="zh-CN"/>
            </w:rPr>
            <w:t>3</w:t>
          </w:r>
          <w:r>
            <w:rPr>
              <w:rFonts w:hint="eastAsia" w:ascii="宋体" w:hAnsi="宋体" w:eastAsia="宋体" w:cs="宋体"/>
              <w:b/>
              <w:bCs/>
              <w:sz w:val="30"/>
              <w:szCs w:val="30"/>
              <w:highlight w:val="none"/>
            </w:rPr>
            <w:fldChar w:fldCharType="end"/>
          </w:r>
        </w:p>
        <w:p w14:paraId="1FB29D13">
          <w:pPr>
            <w:pStyle w:val="71"/>
            <w:tabs>
              <w:tab w:val="right" w:leader="dot" w:pos="9528"/>
            </w:tabs>
            <w:spacing w:line="360" w:lineRule="auto"/>
            <w:rPr>
              <w:rFonts w:hint="eastAsia" w:eastAsia="宋体"/>
              <w:b/>
              <w:bCs/>
              <w:sz w:val="30"/>
              <w:szCs w:val="30"/>
              <w:highlight w:val="none"/>
              <w:lang w:val="en-US" w:eastAsia="zh-CN"/>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_Toc22392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第三章 评标办法</w:t>
          </w:r>
          <w:r>
            <w:rPr>
              <w:b/>
              <w:bCs/>
              <w:sz w:val="30"/>
              <w:szCs w:val="30"/>
              <w:highlight w:val="none"/>
            </w:rPr>
            <w:tab/>
          </w:r>
          <w:r>
            <w:rPr>
              <w:rFonts w:hint="eastAsia"/>
              <w:b/>
              <w:bCs/>
              <w:sz w:val="30"/>
              <w:szCs w:val="30"/>
              <w:highlight w:val="none"/>
              <w:lang w:val="en-US" w:eastAsia="zh-CN"/>
            </w:rPr>
            <w:t>2</w:t>
          </w:r>
          <w:r>
            <w:rPr>
              <w:rFonts w:hint="eastAsia" w:ascii="宋体" w:hAnsi="宋体" w:eastAsia="宋体" w:cs="宋体"/>
              <w:b/>
              <w:bCs/>
              <w:sz w:val="30"/>
              <w:szCs w:val="30"/>
              <w:highlight w:val="none"/>
            </w:rPr>
            <w:fldChar w:fldCharType="end"/>
          </w:r>
          <w:r>
            <w:rPr>
              <w:rFonts w:hint="eastAsia" w:ascii="宋体" w:hAnsi="宋体" w:cs="宋体"/>
              <w:b/>
              <w:bCs/>
              <w:sz w:val="30"/>
              <w:szCs w:val="30"/>
              <w:highlight w:val="none"/>
              <w:lang w:val="en-US" w:eastAsia="zh-CN"/>
            </w:rPr>
            <w:t>2</w:t>
          </w:r>
        </w:p>
        <w:p w14:paraId="59DB1AC7">
          <w:pPr>
            <w:pStyle w:val="71"/>
            <w:tabs>
              <w:tab w:val="right" w:leader="dot" w:pos="9528"/>
            </w:tabs>
            <w:spacing w:line="360" w:lineRule="auto"/>
            <w:rPr>
              <w:rFonts w:hint="eastAsia" w:eastAsia="宋体"/>
              <w:b/>
              <w:bCs/>
              <w:sz w:val="30"/>
              <w:szCs w:val="30"/>
              <w:highlight w:val="none"/>
              <w:lang w:val="en-US" w:eastAsia="zh-CN"/>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_Toc6292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第四章 合同条款</w:t>
          </w:r>
          <w:r>
            <w:rPr>
              <w:b/>
              <w:bCs/>
              <w:sz w:val="30"/>
              <w:szCs w:val="30"/>
              <w:highlight w:val="none"/>
            </w:rPr>
            <w:tab/>
          </w:r>
          <w:r>
            <w:rPr>
              <w:rFonts w:hint="eastAsia"/>
              <w:b/>
              <w:bCs/>
              <w:sz w:val="30"/>
              <w:szCs w:val="30"/>
              <w:highlight w:val="none"/>
              <w:lang w:val="en-US" w:eastAsia="zh-CN"/>
            </w:rPr>
            <w:t>2</w:t>
          </w:r>
          <w:r>
            <w:rPr>
              <w:rFonts w:hint="eastAsia" w:ascii="宋体" w:hAnsi="宋体" w:eastAsia="宋体" w:cs="宋体"/>
              <w:b/>
              <w:bCs/>
              <w:sz w:val="30"/>
              <w:szCs w:val="30"/>
              <w:highlight w:val="none"/>
            </w:rPr>
            <w:fldChar w:fldCharType="end"/>
          </w:r>
          <w:r>
            <w:rPr>
              <w:rFonts w:hint="eastAsia" w:ascii="宋体" w:hAnsi="宋体" w:cs="宋体"/>
              <w:b/>
              <w:bCs/>
              <w:sz w:val="30"/>
              <w:szCs w:val="30"/>
              <w:highlight w:val="none"/>
              <w:lang w:val="en-US" w:eastAsia="zh-CN"/>
            </w:rPr>
            <w:t>9</w:t>
          </w:r>
        </w:p>
        <w:p w14:paraId="60F79015">
          <w:pPr>
            <w:pStyle w:val="71"/>
            <w:tabs>
              <w:tab w:val="right" w:leader="dot" w:pos="9528"/>
            </w:tabs>
            <w:spacing w:line="360" w:lineRule="auto"/>
            <w:rPr>
              <w:rFonts w:hint="eastAsia" w:eastAsia="宋体"/>
              <w:b/>
              <w:bCs/>
              <w:sz w:val="30"/>
              <w:szCs w:val="30"/>
              <w:highlight w:val="none"/>
              <w:lang w:val="en-US" w:eastAsia="zh-CN"/>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_Toc8236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lang w:val="en-US" w:eastAsia="zh-CN"/>
            </w:rPr>
            <w:t xml:space="preserve">第五章 </w:t>
          </w:r>
          <w:r>
            <w:rPr>
              <w:rFonts w:hint="eastAsia" w:ascii="宋体" w:hAnsi="宋体" w:cs="宋体"/>
              <w:b/>
              <w:bCs/>
              <w:sz w:val="30"/>
              <w:szCs w:val="30"/>
              <w:highlight w:val="none"/>
              <w:lang w:val="en-US" w:eastAsia="zh-CN"/>
            </w:rPr>
            <w:t>采购需求及技术规格要求</w:t>
          </w:r>
          <w:r>
            <w:rPr>
              <w:b/>
              <w:bCs/>
              <w:sz w:val="30"/>
              <w:szCs w:val="30"/>
              <w:highlight w:val="none"/>
            </w:rPr>
            <w:tab/>
          </w:r>
          <w:r>
            <w:rPr>
              <w:rFonts w:hint="eastAsia"/>
              <w:b/>
              <w:bCs/>
              <w:sz w:val="30"/>
              <w:szCs w:val="30"/>
              <w:highlight w:val="none"/>
              <w:lang w:val="en-US" w:eastAsia="zh-CN"/>
            </w:rPr>
            <w:t>3</w:t>
          </w:r>
          <w:r>
            <w:rPr>
              <w:rFonts w:hint="eastAsia" w:ascii="宋体" w:hAnsi="宋体" w:eastAsia="宋体" w:cs="宋体"/>
              <w:b/>
              <w:bCs/>
              <w:sz w:val="30"/>
              <w:szCs w:val="30"/>
              <w:highlight w:val="none"/>
            </w:rPr>
            <w:fldChar w:fldCharType="end"/>
          </w:r>
          <w:r>
            <w:rPr>
              <w:rFonts w:hint="eastAsia" w:ascii="宋体" w:hAnsi="宋体" w:cs="宋体"/>
              <w:b/>
              <w:bCs/>
              <w:sz w:val="30"/>
              <w:szCs w:val="30"/>
              <w:highlight w:val="none"/>
              <w:lang w:val="en-US" w:eastAsia="zh-CN"/>
            </w:rPr>
            <w:t>2</w:t>
          </w:r>
        </w:p>
        <w:p w14:paraId="6854E248">
          <w:pPr>
            <w:pStyle w:val="71"/>
            <w:tabs>
              <w:tab w:val="right" w:leader="dot" w:pos="9528"/>
            </w:tabs>
            <w:spacing w:line="360" w:lineRule="auto"/>
            <w:rPr>
              <w:rFonts w:hint="eastAsia" w:eastAsia="宋体"/>
              <w:b/>
              <w:bCs/>
              <w:sz w:val="30"/>
              <w:szCs w:val="30"/>
              <w:highlight w:val="none"/>
              <w:lang w:val="en-US" w:eastAsia="zh-CN"/>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_Toc3733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 xml:space="preserve">第六章 </w:t>
          </w:r>
          <w:r>
            <w:rPr>
              <w:rFonts w:hint="eastAsia" w:ascii="宋体" w:hAnsi="宋体" w:cs="宋体"/>
              <w:b/>
              <w:bCs/>
              <w:sz w:val="30"/>
              <w:szCs w:val="30"/>
              <w:highlight w:val="none"/>
              <w:lang w:eastAsia="zh-CN"/>
            </w:rPr>
            <w:t>响应文件</w:t>
          </w:r>
          <w:r>
            <w:rPr>
              <w:rFonts w:hint="eastAsia" w:ascii="宋体" w:hAnsi="宋体" w:eastAsia="宋体" w:cs="宋体"/>
              <w:b/>
              <w:bCs/>
              <w:sz w:val="30"/>
              <w:szCs w:val="30"/>
              <w:highlight w:val="none"/>
            </w:rPr>
            <w:t>构成及格式</w:t>
          </w:r>
          <w:r>
            <w:rPr>
              <w:b/>
              <w:bCs/>
              <w:sz w:val="30"/>
              <w:szCs w:val="30"/>
              <w:highlight w:val="none"/>
            </w:rPr>
            <w:tab/>
          </w:r>
          <w:r>
            <w:rPr>
              <w:rFonts w:hint="eastAsia"/>
              <w:b/>
              <w:bCs/>
              <w:sz w:val="30"/>
              <w:szCs w:val="30"/>
              <w:highlight w:val="none"/>
              <w:lang w:val="en-US" w:eastAsia="zh-CN"/>
            </w:rPr>
            <w:t>3</w:t>
          </w:r>
          <w:r>
            <w:rPr>
              <w:rFonts w:hint="eastAsia" w:ascii="宋体" w:hAnsi="宋体" w:eastAsia="宋体" w:cs="宋体"/>
              <w:b/>
              <w:bCs/>
              <w:sz w:val="30"/>
              <w:szCs w:val="30"/>
              <w:highlight w:val="none"/>
            </w:rPr>
            <w:fldChar w:fldCharType="end"/>
          </w:r>
          <w:r>
            <w:rPr>
              <w:rFonts w:hint="eastAsia" w:ascii="宋体" w:hAnsi="宋体" w:cs="宋体"/>
              <w:b/>
              <w:bCs/>
              <w:sz w:val="30"/>
              <w:szCs w:val="30"/>
              <w:highlight w:val="none"/>
              <w:lang w:val="en-US" w:eastAsia="zh-CN"/>
            </w:rPr>
            <w:t>7</w:t>
          </w:r>
        </w:p>
        <w:p w14:paraId="61D8F993">
          <w:pPr>
            <w:pStyle w:val="71"/>
            <w:tabs>
              <w:tab w:val="right" w:leader="dot" w:pos="9528"/>
            </w:tabs>
            <w:spacing w:line="360" w:lineRule="auto"/>
            <w:rPr>
              <w:rFonts w:hint="eastAsia" w:eastAsia="宋体"/>
              <w:highlight w:val="none"/>
              <w:lang w:val="en-US" w:eastAsia="zh-CN"/>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_Toc11264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lang w:val="zh-CN"/>
            </w:rPr>
            <w:t>附件</w:t>
          </w:r>
          <w:r>
            <w:rPr>
              <w:rFonts w:hint="eastAsia" w:ascii="宋体" w:hAnsi="宋体" w:cs="宋体"/>
              <w:b/>
              <w:bCs/>
              <w:sz w:val="30"/>
              <w:szCs w:val="30"/>
              <w:highlight w:val="none"/>
              <w:lang w:val="zh-CN"/>
            </w:rPr>
            <w:t>：</w:t>
          </w:r>
          <w:r>
            <w:rPr>
              <w:b/>
              <w:bCs/>
              <w:sz w:val="30"/>
              <w:szCs w:val="30"/>
              <w:highlight w:val="none"/>
            </w:rPr>
            <w:tab/>
          </w:r>
          <w:r>
            <w:rPr>
              <w:rFonts w:hint="eastAsia"/>
              <w:b/>
              <w:bCs/>
              <w:sz w:val="30"/>
              <w:szCs w:val="30"/>
              <w:highlight w:val="none"/>
              <w:lang w:val="en-US" w:eastAsia="zh-CN"/>
            </w:rPr>
            <w:t>5</w:t>
          </w:r>
          <w:r>
            <w:rPr>
              <w:rFonts w:hint="eastAsia" w:ascii="宋体" w:hAnsi="宋体" w:eastAsia="宋体" w:cs="宋体"/>
              <w:b/>
              <w:bCs/>
              <w:sz w:val="30"/>
              <w:szCs w:val="30"/>
              <w:highlight w:val="none"/>
            </w:rPr>
            <w:fldChar w:fldCharType="end"/>
          </w:r>
          <w:r>
            <w:rPr>
              <w:rFonts w:hint="eastAsia" w:cs="Times New Roman"/>
              <w:b/>
              <w:bCs/>
              <w:sz w:val="30"/>
              <w:szCs w:val="30"/>
              <w:highlight w:val="none"/>
              <w:lang w:val="en-US" w:eastAsia="zh-CN"/>
            </w:rPr>
            <w:t>1</w:t>
          </w:r>
        </w:p>
        <w:p w14:paraId="3B029A51">
          <w:pPr>
            <w:pStyle w:val="71"/>
            <w:tabs>
              <w:tab w:val="right" w:leader="dot" w:pos="9528"/>
            </w:tabs>
            <w:rPr>
              <w:highlight w:val="none"/>
            </w:rPr>
          </w:pPr>
        </w:p>
        <w:p w14:paraId="00AB0AB0">
          <w:pPr>
            <w:pStyle w:val="11"/>
            <w:rPr>
              <w:rFonts w:hint="eastAsia" w:ascii="宋体" w:hAnsi="宋体" w:eastAsia="宋体" w:cs="宋体"/>
              <w:highlight w:val="none"/>
            </w:rPr>
          </w:pPr>
          <w:r>
            <w:rPr>
              <w:rFonts w:hint="eastAsia" w:ascii="宋体" w:hAnsi="宋体" w:eastAsia="宋体" w:cs="宋体"/>
              <w:highlight w:val="none"/>
            </w:rPr>
            <w:fldChar w:fldCharType="end"/>
          </w:r>
        </w:p>
      </w:sdtContent>
    </w:sdt>
    <w:p w14:paraId="416197F4">
      <w:pPr>
        <w:pStyle w:val="11"/>
        <w:rPr>
          <w:rFonts w:hint="eastAsia" w:ascii="宋体" w:hAnsi="宋体" w:eastAsia="宋体" w:cs="宋体"/>
          <w:highlight w:val="none"/>
        </w:rPr>
      </w:pPr>
    </w:p>
    <w:p w14:paraId="708E0BEF">
      <w:pPr>
        <w:pStyle w:val="3"/>
        <w:rPr>
          <w:rFonts w:hint="eastAsia" w:ascii="宋体" w:hAnsi="宋体" w:eastAsia="宋体" w:cs="宋体"/>
          <w:highlight w:val="none"/>
        </w:rPr>
      </w:pPr>
      <w:bookmarkStart w:id="0" w:name="_Toc19747"/>
    </w:p>
    <w:p w14:paraId="5B0F4CC7">
      <w:pPr>
        <w:rPr>
          <w:rFonts w:hint="eastAsia" w:ascii="宋体" w:hAnsi="宋体" w:eastAsia="宋体" w:cs="宋体"/>
          <w:highlight w:val="none"/>
        </w:rPr>
      </w:pPr>
    </w:p>
    <w:p w14:paraId="6E8A8AFF">
      <w:pPr>
        <w:pStyle w:val="11"/>
        <w:rPr>
          <w:rFonts w:hint="eastAsia" w:ascii="宋体" w:hAnsi="宋体" w:eastAsia="宋体" w:cs="宋体"/>
          <w:highlight w:val="none"/>
        </w:rPr>
      </w:pPr>
    </w:p>
    <w:p w14:paraId="5355A910">
      <w:pPr>
        <w:rPr>
          <w:rFonts w:hint="eastAsia" w:ascii="宋体" w:hAnsi="宋体" w:eastAsia="宋体" w:cs="宋体"/>
          <w:highlight w:val="none"/>
        </w:rPr>
      </w:pPr>
    </w:p>
    <w:p w14:paraId="318CBC6F">
      <w:pPr>
        <w:pStyle w:val="11"/>
        <w:rPr>
          <w:rFonts w:hint="eastAsia" w:ascii="宋体" w:hAnsi="宋体" w:eastAsia="宋体" w:cs="宋体"/>
          <w:highlight w:val="none"/>
        </w:rPr>
      </w:pPr>
    </w:p>
    <w:p w14:paraId="146436C8">
      <w:pPr>
        <w:rPr>
          <w:rFonts w:hint="eastAsia" w:ascii="宋体" w:hAnsi="宋体" w:eastAsia="宋体" w:cs="宋体"/>
          <w:highlight w:val="none"/>
        </w:rPr>
      </w:pPr>
    </w:p>
    <w:p w14:paraId="340EBCD5">
      <w:pPr>
        <w:pStyle w:val="11"/>
        <w:rPr>
          <w:rFonts w:hint="eastAsia" w:ascii="宋体" w:hAnsi="宋体" w:eastAsia="宋体" w:cs="宋体"/>
          <w:highlight w:val="none"/>
        </w:rPr>
      </w:pPr>
    </w:p>
    <w:p w14:paraId="7CBACD96">
      <w:pPr>
        <w:rPr>
          <w:rFonts w:hint="eastAsia" w:ascii="宋体" w:hAnsi="宋体" w:eastAsia="宋体" w:cs="宋体"/>
          <w:highlight w:val="none"/>
        </w:rPr>
      </w:pPr>
    </w:p>
    <w:p w14:paraId="77F467FC">
      <w:pPr>
        <w:pStyle w:val="11"/>
        <w:rPr>
          <w:rFonts w:hint="eastAsia" w:ascii="宋体" w:hAnsi="宋体" w:eastAsia="宋体" w:cs="宋体"/>
          <w:highlight w:val="none"/>
        </w:rPr>
      </w:pPr>
    </w:p>
    <w:p w14:paraId="1E80FDE4">
      <w:pPr>
        <w:rPr>
          <w:rFonts w:hint="eastAsia" w:ascii="宋体" w:hAnsi="宋体" w:eastAsia="宋体" w:cs="宋体"/>
          <w:highlight w:val="none"/>
        </w:rPr>
      </w:pPr>
    </w:p>
    <w:p w14:paraId="60A60F96">
      <w:pPr>
        <w:pStyle w:val="11"/>
        <w:rPr>
          <w:rFonts w:hint="eastAsia" w:ascii="宋体" w:hAnsi="宋体" w:eastAsia="宋体" w:cs="宋体"/>
          <w:highlight w:val="none"/>
        </w:rPr>
      </w:pPr>
    </w:p>
    <w:p w14:paraId="4D8C9F34">
      <w:pPr>
        <w:rPr>
          <w:rFonts w:hint="eastAsia" w:ascii="宋体" w:hAnsi="宋体" w:eastAsia="宋体" w:cs="宋体"/>
          <w:highlight w:val="none"/>
        </w:rPr>
      </w:pPr>
    </w:p>
    <w:p w14:paraId="587CA37A">
      <w:pPr>
        <w:pStyle w:val="11"/>
        <w:rPr>
          <w:rFonts w:hint="eastAsia"/>
          <w:highlight w:val="none"/>
        </w:rPr>
      </w:pPr>
    </w:p>
    <w:p w14:paraId="006BD5CD">
      <w:pPr>
        <w:pStyle w:val="3"/>
        <w:jc w:val="both"/>
        <w:rPr>
          <w:rFonts w:hint="eastAsia" w:ascii="宋体" w:hAnsi="宋体" w:eastAsia="宋体" w:cs="宋体"/>
          <w:highlight w:val="none"/>
        </w:rPr>
      </w:pPr>
    </w:p>
    <w:p w14:paraId="742465DE">
      <w:pPr>
        <w:rPr>
          <w:rFonts w:hint="eastAsia" w:ascii="宋体" w:hAnsi="宋体" w:eastAsia="宋体" w:cs="宋体"/>
          <w:highlight w:val="none"/>
        </w:rPr>
      </w:pPr>
    </w:p>
    <w:p w14:paraId="69B6889B">
      <w:pPr>
        <w:pStyle w:val="11"/>
        <w:rPr>
          <w:rFonts w:hint="eastAsia" w:ascii="宋体" w:hAnsi="宋体" w:eastAsia="宋体" w:cs="宋体"/>
          <w:highlight w:val="none"/>
        </w:rPr>
      </w:pPr>
    </w:p>
    <w:p w14:paraId="7F398958">
      <w:pPr>
        <w:rPr>
          <w:rFonts w:hint="eastAsia" w:ascii="宋体" w:hAnsi="宋体" w:eastAsia="宋体" w:cs="宋体"/>
          <w:highlight w:val="none"/>
        </w:rPr>
      </w:pPr>
    </w:p>
    <w:p w14:paraId="273C74C8">
      <w:pPr>
        <w:pStyle w:val="11"/>
        <w:rPr>
          <w:rFonts w:hint="eastAsia"/>
          <w:highlight w:val="none"/>
        </w:rPr>
      </w:pPr>
    </w:p>
    <w:p w14:paraId="2B8B2C56">
      <w:pPr>
        <w:pStyle w:val="3"/>
        <w:jc w:val="center"/>
        <w:rPr>
          <w:rFonts w:hint="eastAsia" w:ascii="宋体" w:hAnsi="宋体" w:eastAsia="宋体" w:cs="宋体"/>
          <w:highlight w:val="none"/>
        </w:rPr>
        <w:sectPr>
          <w:footerReference r:id="rId5" w:type="default"/>
          <w:pgSz w:w="11910" w:h="16840"/>
          <w:pgMar w:top="1134" w:right="1191" w:bottom="1134" w:left="1191" w:header="0" w:footer="663" w:gutter="0"/>
          <w:pgNumType w:fmt="decimal" w:start="1"/>
          <w:cols w:space="720" w:num="1"/>
        </w:sectPr>
      </w:pPr>
    </w:p>
    <w:p w14:paraId="2C90D227">
      <w:pPr>
        <w:pStyle w:val="3"/>
        <w:numPr>
          <w:ilvl w:val="0"/>
          <w:numId w:val="2"/>
        </w:numPr>
        <w:jc w:val="center"/>
        <w:rPr>
          <w:rFonts w:hint="eastAsia" w:ascii="宋体" w:hAnsi="宋体" w:eastAsia="宋体" w:cs="宋体"/>
          <w:highlight w:val="none"/>
        </w:rPr>
      </w:pPr>
      <w:r>
        <w:rPr>
          <w:rFonts w:hint="eastAsia" w:ascii="宋体" w:hAnsi="宋体" w:eastAsia="宋体" w:cs="宋体"/>
          <w:highlight w:val="none"/>
        </w:rPr>
        <w:t>竞争性磋商公告</w:t>
      </w:r>
      <w:bookmarkEnd w:id="0"/>
    </w:p>
    <w:p w14:paraId="3F81454F">
      <w:pPr>
        <w:keepNext/>
        <w:keepLines/>
        <w:shd w:val="clear"/>
        <w:tabs>
          <w:tab w:val="left" w:pos="0"/>
        </w:tabs>
        <w:autoSpaceDE w:val="0"/>
        <w:autoSpaceDN w:val="0"/>
        <w:adjustRightInd w:val="0"/>
        <w:spacing w:line="240" w:lineRule="auto"/>
        <w:jc w:val="center"/>
        <w:outlineLvl w:val="1"/>
        <w:rPr>
          <w:rFonts w:hint="eastAsia"/>
          <w:sz w:val="24"/>
          <w:szCs w:val="24"/>
          <w:highlight w:val="none"/>
        </w:rPr>
      </w:pPr>
      <w:bookmarkStart w:id="86" w:name="_GoBack"/>
      <w:r>
        <w:rPr>
          <w:rFonts w:hint="eastAsia" w:ascii="宋体" w:hAnsi="宋体" w:cs="宋体"/>
          <w:b/>
          <w:bCs/>
          <w:kern w:val="44"/>
          <w:sz w:val="24"/>
          <w:szCs w:val="24"/>
          <w:highlight w:val="none"/>
          <w:lang w:eastAsia="zh-CN"/>
        </w:rPr>
        <w:t>长春市市场监督管理局机关办公楼食堂管理外包服务项目</w:t>
      </w:r>
      <w:r>
        <w:rPr>
          <w:rFonts w:hint="eastAsia" w:ascii="宋体" w:hAnsi="宋体" w:cs="宋体"/>
          <w:b/>
          <w:bCs/>
          <w:kern w:val="44"/>
          <w:sz w:val="24"/>
          <w:szCs w:val="24"/>
          <w:highlight w:val="none"/>
        </w:rPr>
        <w:t>竞争性磋商公告</w:t>
      </w:r>
    </w:p>
    <w:p w14:paraId="4B90B02E">
      <w:pPr>
        <w:spacing w:line="240" w:lineRule="auto"/>
        <w:rPr>
          <w:rFonts w:hint="eastAsia" w:ascii="宋体" w:hAnsi="宋体" w:eastAsia="宋体" w:cs="宋体"/>
          <w:sz w:val="24"/>
          <w:szCs w:val="24"/>
          <w:highlight w:val="none"/>
        </w:rPr>
      </w:pPr>
    </w:p>
    <w:p w14:paraId="7E8CBEA5">
      <w:pPr>
        <w:pBdr>
          <w:top w:val="single" w:color="auto" w:sz="4" w:space="1"/>
          <w:left w:val="single" w:color="auto" w:sz="4" w:space="4"/>
          <w:bottom w:val="single" w:color="auto" w:sz="4" w:space="1"/>
          <w:right w:val="single" w:color="auto" w:sz="4" w:space="4"/>
        </w:pBdr>
        <w:shd w:val="clear"/>
        <w:spacing w:line="24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14:paraId="266A991B">
      <w:pPr>
        <w:pBdr>
          <w:top w:val="single" w:color="auto" w:sz="4" w:space="1"/>
          <w:left w:val="single" w:color="auto" w:sz="4" w:space="4"/>
          <w:bottom w:val="single" w:color="auto" w:sz="4" w:space="1"/>
          <w:right w:val="single" w:color="auto" w:sz="4" w:space="4"/>
        </w:pBdr>
        <w:shd w:val="clear"/>
        <w:spacing w:line="24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lang w:eastAsia="zh-CN"/>
        </w:rPr>
        <w:t>长春市市场监督管理局机关办公楼食堂管理外包服务项目</w:t>
      </w:r>
      <w:r>
        <w:rPr>
          <w:rFonts w:hint="eastAsia" w:ascii="宋体" w:hAnsi="宋体" w:cs="宋体"/>
          <w:sz w:val="24"/>
          <w:szCs w:val="24"/>
          <w:highlight w:val="none"/>
        </w:rPr>
        <w:t>的潜在供应商</w:t>
      </w:r>
      <w:r>
        <w:rPr>
          <w:rFonts w:hint="eastAsia" w:ascii="宋体" w:hAnsi="宋体" w:eastAsia="宋体" w:cs="宋体"/>
          <w:sz w:val="24"/>
          <w:szCs w:val="24"/>
          <w:highlight w:val="none"/>
        </w:rPr>
        <w:t>应</w:t>
      </w:r>
      <w:r>
        <w:rPr>
          <w:rFonts w:hint="eastAsia" w:ascii="宋体" w:hAnsi="宋体" w:cs="宋体"/>
          <w:sz w:val="24"/>
          <w:szCs w:val="24"/>
          <w:highlight w:val="none"/>
          <w:lang w:val="en-US" w:eastAsia="zh-CN"/>
        </w:rPr>
        <w:t>在</w:t>
      </w:r>
      <w:r>
        <w:rPr>
          <w:rFonts w:hint="eastAsia" w:ascii="宋体" w:hAnsi="宋体" w:eastAsia="宋体" w:cs="宋体"/>
          <w:sz w:val="24"/>
          <w:szCs w:val="24"/>
          <w:highlight w:val="none"/>
          <w:lang w:val="zh-CN"/>
        </w:rPr>
        <w:t>“政采云”平台（https://www.zcygov.cn/）获取（下载）</w:t>
      </w:r>
      <w:r>
        <w:rPr>
          <w:rFonts w:hint="eastAsia" w:ascii="宋体" w:hAnsi="宋体" w:eastAsia="宋体" w:cs="宋体"/>
          <w:sz w:val="24"/>
          <w:szCs w:val="24"/>
          <w:highlight w:val="none"/>
          <w:lang w:val="en-US" w:eastAsia="zh-CN"/>
        </w:rPr>
        <w:t>竞争性磋商文件</w:t>
      </w:r>
      <w:r>
        <w:rPr>
          <w:rFonts w:hint="eastAsia" w:ascii="宋体" w:hAnsi="宋体" w:eastAsia="宋体" w:cs="宋体"/>
          <w:sz w:val="24"/>
          <w:szCs w:val="24"/>
          <w:highlight w:val="none"/>
          <w:lang w:val="zh-CN"/>
        </w:rPr>
        <w:t>，并于</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20日13</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sz w:val="24"/>
          <w:szCs w:val="24"/>
          <w:highlight w:val="none"/>
          <w:lang w:val="zh-CN"/>
        </w:rPr>
        <w:t>（北京时间）前提交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zh-CN"/>
        </w:rPr>
        <w:t>文件。</w:t>
      </w:r>
    </w:p>
    <w:p w14:paraId="6A8EAB24">
      <w:pPr>
        <w:shd w:val="clear"/>
        <w:spacing w:line="240" w:lineRule="auto"/>
        <w:rPr>
          <w:rFonts w:ascii="宋体" w:hAnsi="宋体" w:cs="宋体"/>
          <w:b/>
          <w:bCs/>
          <w:sz w:val="24"/>
          <w:szCs w:val="24"/>
          <w:highlight w:val="none"/>
        </w:rPr>
      </w:pPr>
      <w:r>
        <w:rPr>
          <w:rFonts w:hint="eastAsia" w:ascii="宋体" w:hAnsi="宋体" w:cs="宋体"/>
          <w:b/>
          <w:bCs/>
          <w:sz w:val="24"/>
          <w:szCs w:val="24"/>
          <w:highlight w:val="none"/>
        </w:rPr>
        <w:t>一、项目基本情况</w:t>
      </w:r>
    </w:p>
    <w:p w14:paraId="7F96255D">
      <w:pPr>
        <w:shd w:val="clear"/>
        <w:spacing w:line="24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lang w:val="en-US" w:eastAsia="zh-CN"/>
        </w:rPr>
        <w:t>采购</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JM-2025-01-00086</w:t>
      </w:r>
    </w:p>
    <w:p w14:paraId="0CDD7387">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长春市市场监督管理局机关办公楼食堂管理外包服务项目；</w:t>
      </w:r>
    </w:p>
    <w:p w14:paraId="078F9BD2">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预算金额（最高限价）：</w:t>
      </w:r>
      <w:r>
        <w:rPr>
          <w:rFonts w:hint="eastAsia" w:ascii="宋体" w:hAnsi="宋体" w:cs="宋体"/>
          <w:sz w:val="24"/>
          <w:szCs w:val="24"/>
          <w:highlight w:val="none"/>
          <w:lang w:val="en-US" w:eastAsia="zh-CN"/>
        </w:rPr>
        <w:t>1271400</w:t>
      </w:r>
      <w:r>
        <w:rPr>
          <w:rFonts w:hint="eastAsia" w:ascii="宋体" w:hAnsi="宋体" w:cs="宋体"/>
          <w:sz w:val="24"/>
          <w:szCs w:val="24"/>
          <w:highlight w:val="none"/>
        </w:rPr>
        <w:t>元</w:t>
      </w:r>
      <w:r>
        <w:rPr>
          <w:rFonts w:hint="eastAsia" w:ascii="宋体" w:hAnsi="宋体" w:cs="宋体"/>
          <w:sz w:val="24"/>
          <w:szCs w:val="24"/>
          <w:highlight w:val="none"/>
          <w:lang w:eastAsia="zh-CN"/>
        </w:rPr>
        <w:t>；</w:t>
      </w:r>
    </w:p>
    <w:p w14:paraId="4D50B610">
      <w:pPr>
        <w:shd w:val="clear"/>
        <w:spacing w:line="24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采购需求</w:t>
      </w:r>
      <w:r>
        <w:rPr>
          <w:rFonts w:hint="eastAsia" w:ascii="宋体" w:hAnsi="宋体" w:cs="宋体"/>
          <w:sz w:val="24"/>
          <w:szCs w:val="24"/>
          <w:highlight w:val="none"/>
          <w:lang w:eastAsia="zh-CN"/>
        </w:rPr>
        <w:t>：为办公区工作人员提供早餐、午餐以及因工作需要的工作餐、特殊情况下的节假日加班餐；</w:t>
      </w:r>
    </w:p>
    <w:p w14:paraId="5A61E822">
      <w:pPr>
        <w:shd w:val="clear"/>
        <w:spacing w:line="24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合同履行期限：合同签订之日起</w:t>
      </w:r>
      <w:r>
        <w:rPr>
          <w:rFonts w:hint="eastAsia" w:ascii="宋体" w:hAnsi="宋体" w:cs="宋体"/>
          <w:sz w:val="24"/>
          <w:szCs w:val="24"/>
          <w:highlight w:val="none"/>
          <w:lang w:val="en-US" w:eastAsia="zh-CN"/>
        </w:rPr>
        <w:t>1年；</w:t>
      </w:r>
    </w:p>
    <w:p w14:paraId="586285B6">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本项目不接受联合体投标</w:t>
      </w:r>
      <w:r>
        <w:rPr>
          <w:rFonts w:hint="eastAsia" w:ascii="宋体" w:hAnsi="宋体" w:cs="宋体"/>
          <w:sz w:val="24"/>
          <w:szCs w:val="24"/>
          <w:highlight w:val="none"/>
          <w:lang w:eastAsia="zh-CN"/>
        </w:rPr>
        <w:t>；</w:t>
      </w:r>
    </w:p>
    <w:p w14:paraId="45528FC6">
      <w:pPr>
        <w:shd w:val="clear"/>
        <w:spacing w:line="240" w:lineRule="auto"/>
        <w:rPr>
          <w:rFonts w:ascii="宋体" w:hAnsi="宋体" w:cs="宋体"/>
          <w:b/>
          <w:bCs/>
          <w:sz w:val="24"/>
          <w:szCs w:val="24"/>
          <w:highlight w:val="none"/>
        </w:rPr>
      </w:pPr>
      <w:r>
        <w:rPr>
          <w:rFonts w:hint="eastAsia" w:ascii="宋体" w:hAnsi="宋体" w:cs="宋体"/>
          <w:b/>
          <w:bCs/>
          <w:sz w:val="24"/>
          <w:szCs w:val="24"/>
          <w:highlight w:val="none"/>
        </w:rPr>
        <w:t>二、申请人的资格要求：</w:t>
      </w:r>
    </w:p>
    <w:p w14:paraId="247B5A2D">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1、满足《中华人民共和国政府采购法》第二十二条规定</w:t>
      </w:r>
      <w:r>
        <w:rPr>
          <w:rFonts w:hint="eastAsia" w:ascii="宋体" w:hAnsi="宋体" w:cs="宋体"/>
          <w:sz w:val="24"/>
          <w:szCs w:val="24"/>
          <w:highlight w:val="none"/>
          <w:lang w:eastAsia="zh-CN"/>
        </w:rPr>
        <w:t>；</w:t>
      </w:r>
    </w:p>
    <w:p w14:paraId="4BC0E154">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2、落实政府采购政策需满足的资格要求：</w:t>
      </w:r>
    </w:p>
    <w:p w14:paraId="2C93D3B9">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本项目为专门面向中小企业采购项目,供应商应为中小微企业或监狱企业或残疾人福利性单位。</w:t>
      </w:r>
    </w:p>
    <w:p w14:paraId="6302B4D6">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00EA08CF">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（2）供应商为监狱企业的视同小型和微型企业，可不提供上述（1）材料，但应当提供由省级以上监狱管理局、戒毒管理局(含新疆生产建设兵团)出具的属于监狱企业的证明文件。</w:t>
      </w:r>
    </w:p>
    <w:p w14:paraId="4E10EC5C">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（3）供应商为残疾人福利性单位的视同小型和微型企业，可不提供上述（1）材料，但应当提供《残疾人福利性单位声明函》，格式见竞争性磋商文件相关附件。</w:t>
      </w:r>
    </w:p>
    <w:p w14:paraId="73D471F4">
      <w:pPr>
        <w:shd w:val="clear"/>
        <w:spacing w:line="24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（4）本项目采购标的对应的中小企业划分标准所属行业为</w:t>
      </w:r>
      <w:r>
        <w:rPr>
          <w:rFonts w:hint="eastAsia" w:ascii="宋体" w:hAnsi="宋体" w:cs="宋体"/>
          <w:sz w:val="24"/>
          <w:szCs w:val="24"/>
          <w:highlight w:val="none"/>
          <w:lang w:val="en-US" w:eastAsia="zh-CN"/>
        </w:rPr>
        <w:t>餐饮</w:t>
      </w:r>
      <w:r>
        <w:rPr>
          <w:rFonts w:hint="eastAsia" w:ascii="宋体" w:hAnsi="宋体" w:eastAsia="宋体" w:cs="宋体"/>
          <w:sz w:val="24"/>
          <w:szCs w:val="24"/>
          <w:highlight w:val="none"/>
          <w:lang w:val="en-US" w:eastAsia="zh-CN"/>
        </w:rPr>
        <w:t>业</w:t>
      </w:r>
      <w:r>
        <w:rPr>
          <w:rFonts w:hint="eastAsia" w:ascii="宋体" w:hAnsi="宋体" w:cs="宋体"/>
          <w:sz w:val="24"/>
          <w:szCs w:val="24"/>
          <w:highlight w:val="none"/>
          <w:lang w:eastAsia="zh-CN"/>
        </w:rPr>
        <w:t>。</w:t>
      </w:r>
    </w:p>
    <w:p w14:paraId="4418D11E">
      <w:pPr>
        <w:shd w:val="clear"/>
        <w:spacing w:line="24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3、本项目的特定资格要求：</w:t>
      </w:r>
    </w:p>
    <w:p w14:paraId="34D08E56">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（1）在中华人民共和国境内注册，能够独立承担民事责任的法人或其他组织形式，具备有效的营业执照，并在人员、设备、资金等方面具有相应的能力</w:t>
      </w:r>
      <w:r>
        <w:rPr>
          <w:rFonts w:hint="eastAsia" w:ascii="宋体" w:hAnsi="宋体" w:eastAsia="宋体" w:cs="宋体"/>
          <w:sz w:val="24"/>
          <w:szCs w:val="24"/>
          <w:highlight w:val="none"/>
          <w:lang w:eastAsia="zh-CN"/>
        </w:rPr>
        <w:t>；</w:t>
      </w:r>
    </w:p>
    <w:p w14:paraId="074B8D51">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具备食品药品行政监督部门核发的《食品经营许可证》；</w:t>
      </w:r>
    </w:p>
    <w:p w14:paraId="3A3BC2F2">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）具有良好的商业信誉和健全的财务会计制度，提供财务状况良好资格条件承诺函；</w:t>
      </w:r>
    </w:p>
    <w:p w14:paraId="38063184">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）具有</w:t>
      </w:r>
      <w:r>
        <w:rPr>
          <w:rFonts w:hint="eastAsia" w:ascii="宋体" w:hAnsi="宋体" w:cs="宋体"/>
          <w:color w:val="auto"/>
          <w:sz w:val="24"/>
          <w:szCs w:val="24"/>
          <w:highlight w:val="none"/>
        </w:rPr>
        <w:t>依法缴纳税收</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社会保障资金</w:t>
      </w:r>
      <w:r>
        <w:rPr>
          <w:rFonts w:hint="eastAsia" w:ascii="宋体" w:hAnsi="宋体" w:eastAsia="宋体" w:cs="宋体"/>
          <w:kern w:val="2"/>
          <w:sz w:val="24"/>
          <w:szCs w:val="24"/>
          <w:highlight w:val="none"/>
          <w:lang w:val="en-US" w:eastAsia="zh-CN" w:bidi="ar-SA"/>
        </w:rPr>
        <w:t>的良好记录，提供依法缴纳税收和依法缴纳社会保障资金资格条件承诺函；</w:t>
      </w:r>
    </w:p>
    <w:p w14:paraId="4999C8C7">
      <w:pPr>
        <w:shd w:val="clea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）不接受被政府列入取消投标资格期限内的企业或个人参加投标。参加政府采购活动前3年内在经营活动中没有重大违法记录。</w:t>
      </w:r>
      <w:r>
        <w:rPr>
          <w:rFonts w:hint="eastAsia" w:ascii="宋体" w:hAnsi="宋体" w:eastAsia="宋体" w:cs="宋体"/>
          <w:sz w:val="24"/>
          <w:szCs w:val="24"/>
          <w:highlight w:val="none"/>
          <w:lang w:val="en-US" w:eastAsia="zh-CN"/>
        </w:rPr>
        <w:t>未被</w:t>
      </w:r>
      <w:r>
        <w:rPr>
          <w:rFonts w:hint="eastAsia" w:ascii="宋体" w:hAnsi="宋体" w:cs="宋体"/>
          <w:sz w:val="24"/>
          <w:szCs w:val="24"/>
          <w:highlight w:val="none"/>
        </w:rPr>
        <w:t>“信用中国”网站（www.creditchina.gov.cn）列入重大税收违法失信主体、政府采购严重违法失信行为记录名单；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r>
        <w:rPr>
          <w:rFonts w:hint="eastAsia" w:ascii="宋体" w:hAnsi="宋体" w:cs="宋体"/>
          <w:sz w:val="24"/>
          <w:szCs w:val="24"/>
          <w:highlight w:val="none"/>
          <w:lang w:eastAsia="zh-CN"/>
        </w:rPr>
        <w:t>；</w:t>
      </w:r>
    </w:p>
    <w:p w14:paraId="157615B7">
      <w:pPr>
        <w:pStyle w:val="43"/>
        <w:shd w:val="clear"/>
        <w:spacing w:line="24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7ACC125">
      <w:pPr>
        <w:shd w:val="clear"/>
        <w:spacing w:line="24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w:t>
      </w:r>
      <w:r>
        <w:rPr>
          <w:rFonts w:hint="eastAsia" w:ascii="宋体" w:hAnsi="宋体" w:cs="宋体"/>
          <w:b/>
          <w:bCs/>
          <w:sz w:val="24"/>
          <w:szCs w:val="24"/>
          <w:highlight w:val="none"/>
          <w:lang w:eastAsia="zh-CN"/>
        </w:rPr>
        <w:t>竞争性磋商文件</w:t>
      </w:r>
    </w:p>
    <w:p w14:paraId="3104D2FC">
      <w:pPr>
        <w:keepNext w:val="0"/>
        <w:keepLines w:val="0"/>
        <w:pageBreakBefore w:val="0"/>
        <w:tabs>
          <w:tab w:val="left" w:pos="4200"/>
        </w:tabs>
        <w:kinsoku/>
        <w:wordWrap/>
        <w:overflowPunct/>
        <w:topLinePunct w:val="0"/>
        <w:bidi w:val="0"/>
        <w:spacing w:line="240" w:lineRule="auto"/>
        <w:ind w:firstLine="480" w:firstLineChars="200"/>
        <w:textAlignment w:val="auto"/>
        <w:rPr>
          <w:rFonts w:hint="eastAsia" w:ascii="宋体" w:hAnsi="宋体" w:eastAsia="宋体" w:cs="宋体"/>
          <w:color w:val="auto"/>
          <w:kern w:val="2"/>
          <w:sz w:val="24"/>
          <w:szCs w:val="24"/>
          <w:highlight w:val="none"/>
          <w:lang w:val="zh-CN" w:eastAsia="zh-CN" w:bidi="ar-SA"/>
        </w:rPr>
      </w:pPr>
      <w:bookmarkStart w:id="1" w:name="_Toc28359082"/>
      <w:bookmarkStart w:id="2" w:name="_Toc28359005"/>
      <w:r>
        <w:rPr>
          <w:rFonts w:hint="eastAsia" w:ascii="宋体" w:hAnsi="宋体" w:eastAsia="宋体" w:cs="宋体"/>
          <w:color w:val="auto"/>
          <w:kern w:val="2"/>
          <w:sz w:val="24"/>
          <w:szCs w:val="24"/>
          <w:highlight w:val="none"/>
          <w:lang w:val="en-US" w:eastAsia="zh-CN" w:bidi="ar-SA"/>
        </w:rPr>
        <w:t>时间：202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日，每天上午9:00至1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0至16:00。（北京时间，法定节假日除外）</w:t>
      </w:r>
    </w:p>
    <w:p w14:paraId="11AC5953">
      <w:pPr>
        <w:shd w:val="clea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地点：“政采云”平台（https://www.zcygov.cn/）</w:t>
      </w:r>
    </w:p>
    <w:p w14:paraId="43E936A7">
      <w:pPr>
        <w:shd w:val="clear"/>
        <w:spacing w:line="240" w:lineRule="auto"/>
        <w:ind w:firstLine="480" w:firstLineChars="200"/>
        <w:rPr>
          <w:rFonts w:hint="eastAsia" w:ascii="宋体" w:hAnsi="宋体" w:cs="宋体"/>
          <w:b/>
          <w:bCs/>
          <w:sz w:val="24"/>
          <w:szCs w:val="24"/>
          <w:highlight w:val="none"/>
        </w:rPr>
      </w:pPr>
      <w:r>
        <w:rPr>
          <w:rFonts w:hint="eastAsia" w:ascii="宋体" w:hAnsi="宋体" w:eastAsia="宋体" w:cs="宋体"/>
          <w:color w:val="auto"/>
          <w:kern w:val="2"/>
          <w:sz w:val="24"/>
          <w:szCs w:val="24"/>
          <w:highlight w:val="none"/>
          <w:lang w:val="en-US" w:eastAsia="zh-CN" w:bidi="ar-SA"/>
        </w:rPr>
        <w:t xml:space="preserve">方式：网上免费获取（潜在供应商自行登录政府采购云平台（网址：http://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www.zcygov.cn）注册（https://middle.zcygov.cn/v-settle-front/registry）并下载竞争性磋商文件，其他途径获取的竞争性磋商文件开标时一律按无效投标处理）。</w:t>
      </w:r>
      <w:r>
        <w:rPr>
          <w:rFonts w:hint="eastAsia" w:ascii="宋体" w:hAnsi="宋体" w:eastAsia="宋体" w:cs="宋体"/>
          <w:color w:val="auto"/>
          <w:kern w:val="2"/>
          <w:sz w:val="24"/>
          <w:szCs w:val="24"/>
          <w:highlight w:val="none"/>
          <w:lang w:val="en-US" w:eastAsia="zh-CN" w:bidi="ar-SA"/>
        </w:rPr>
        <w:fldChar w:fldCharType="end"/>
      </w:r>
    </w:p>
    <w:p w14:paraId="0C293AA2">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四、响应文件提交</w:t>
      </w:r>
    </w:p>
    <w:p w14:paraId="3C66A151">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20日13</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sz w:val="24"/>
          <w:szCs w:val="24"/>
          <w:highlight w:val="none"/>
        </w:rPr>
        <w:t>（北京时间）</w:t>
      </w:r>
    </w:p>
    <w:p w14:paraId="42923963">
      <w:pPr>
        <w:shd w:val="clear"/>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地点：</w:t>
      </w:r>
      <w:r>
        <w:rPr>
          <w:rFonts w:hint="eastAsia" w:ascii="宋体" w:hAnsi="宋体" w:cs="宋体"/>
          <w:color w:val="auto"/>
          <w:sz w:val="24"/>
          <w:szCs w:val="24"/>
          <w:highlight w:val="none"/>
        </w:rPr>
        <w:t>长春市二道区</w:t>
      </w:r>
      <w:r>
        <w:rPr>
          <w:rFonts w:hint="eastAsia" w:ascii="宋体" w:hAnsi="宋体" w:cs="宋体"/>
          <w:color w:val="auto"/>
          <w:sz w:val="24"/>
          <w:szCs w:val="24"/>
          <w:highlight w:val="none"/>
          <w:lang w:val="en-US" w:eastAsia="zh-CN"/>
        </w:rPr>
        <w:t>洋浦大街6999号</w:t>
      </w:r>
      <w:r>
        <w:rPr>
          <w:rFonts w:hint="eastAsia" w:ascii="宋体" w:hAnsi="宋体" w:cs="宋体"/>
          <w:color w:val="auto"/>
          <w:sz w:val="24"/>
          <w:szCs w:val="24"/>
          <w:highlight w:val="none"/>
        </w:rPr>
        <w:t>凯利中心</w:t>
      </w:r>
      <w:r>
        <w:rPr>
          <w:rFonts w:hint="eastAsia" w:ascii="宋体" w:hAnsi="宋体" w:cs="宋体"/>
          <w:color w:val="auto"/>
          <w:sz w:val="24"/>
          <w:szCs w:val="24"/>
          <w:highlight w:val="none"/>
          <w:lang w:val="en-US" w:eastAsia="zh-CN"/>
        </w:rPr>
        <w:t>AB栋101</w:t>
      </w:r>
      <w:r>
        <w:rPr>
          <w:rFonts w:hint="eastAsia" w:ascii="宋体" w:hAnsi="宋体" w:cs="宋体"/>
          <w:sz w:val="24"/>
          <w:szCs w:val="24"/>
          <w:highlight w:val="none"/>
          <w:lang w:eastAsia="zh-CN"/>
        </w:rPr>
        <w:t>开标四室</w:t>
      </w:r>
    </w:p>
    <w:p w14:paraId="2C41C183">
      <w:pPr>
        <w:pStyle w:val="11"/>
        <w:shd w:val="clear"/>
        <w:spacing w:line="24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本项目执行电子化招投标，供应商须通过政府采购云平台，（网址：http://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nstrText xml:space="preserve"> HYPERLINK "http://www.zcygov.cn）递交电子版响应文件。" </w:instrTex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separate"/>
      </w:r>
      <w:r>
        <w:rPr>
          <w:rStyle w:val="37"/>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www.zcygov.cn）提交电子响应文件。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供应商在政府采购云平台注册入库成为正式供应商后，供应商须在“政采云投标客户端”按照本项目竞争性磋商文件和</w:t>
      </w:r>
      <w:r>
        <w:rPr>
          <w:rFonts w:hint="eastAsia" w:ascii="宋体" w:hAnsi="宋体" w:eastAsia="宋体" w:cs="宋体"/>
          <w:color w:val="auto"/>
          <w:kern w:val="2"/>
          <w:sz w:val="24"/>
          <w:szCs w:val="24"/>
          <w:highlight w:val="none"/>
          <w:lang w:val="en-US" w:eastAsia="zh-CN" w:bidi="ar-SA"/>
        </w:rPr>
        <w:t>政府采购云</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平台要求编制、加密电子响应文件，并在提交响应文件截止时间前上传响应文件，填写供应商代表联系方式。政采云投标客户端及CA驱动下载地址：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nstrText xml:space="preserve"> HYPERLINK "https://customer.zcygov.cn/CA-driver-download?utm" </w:instrTex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separate"/>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https://customer.zcygov.cn/CA-driver-download?utm</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=Web-login-front.52cebfa2.0.0.04df404003451ledaac705fda12edb43。</w:t>
      </w:r>
    </w:p>
    <w:p w14:paraId="5B9B5B72">
      <w:pPr>
        <w:pStyle w:val="65"/>
        <w:numPr>
          <w:ilvl w:val="0"/>
          <w:numId w:val="0"/>
        </w:numPr>
        <w:shd w:val="clear"/>
        <w:spacing w:line="24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若对项目采购电子交易系统操作有疑问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拨打电子化平台客服热线：95763。</w:t>
      </w:r>
    </w:p>
    <w:p w14:paraId="730447B5">
      <w:pPr>
        <w:pStyle w:val="65"/>
        <w:numPr>
          <w:ilvl w:val="0"/>
          <w:numId w:val="0"/>
        </w:numPr>
        <w:shd w:val="clear"/>
        <w:spacing w:line="24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五、开启</w:t>
      </w:r>
    </w:p>
    <w:bookmarkEnd w:id="1"/>
    <w:bookmarkEnd w:id="2"/>
    <w:p w14:paraId="59413274">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20日13</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sz w:val="24"/>
          <w:szCs w:val="24"/>
          <w:highlight w:val="none"/>
        </w:rPr>
        <w:t>（北京时间）</w:t>
      </w:r>
    </w:p>
    <w:p w14:paraId="7F539969">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2.地点：长春市二道区洋浦大街6999号凯利中心AB栋101</w:t>
      </w:r>
      <w:r>
        <w:rPr>
          <w:rFonts w:hint="eastAsia" w:ascii="宋体" w:hAnsi="宋体" w:cs="宋体"/>
          <w:color w:val="auto"/>
          <w:sz w:val="24"/>
          <w:szCs w:val="24"/>
          <w:highlight w:val="none"/>
          <w:lang w:val="en-US" w:eastAsia="zh-CN"/>
        </w:rPr>
        <w:t>评标七室</w:t>
      </w:r>
    </w:p>
    <w:p w14:paraId="46F08DE9">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六、公告期限</w:t>
      </w:r>
    </w:p>
    <w:p w14:paraId="012DF7A2">
      <w:pPr>
        <w:shd w:val="clear"/>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自本公告发布之日起</w:t>
      </w:r>
      <w:r>
        <w:rPr>
          <w:rFonts w:hint="eastAsia" w:ascii="宋体" w:hAnsi="宋体" w:cs="宋体"/>
          <w:sz w:val="24"/>
          <w:szCs w:val="24"/>
          <w:highlight w:val="none"/>
          <w:lang w:val="en-US" w:eastAsia="zh-CN"/>
        </w:rPr>
        <w:t>3</w:t>
      </w:r>
      <w:r>
        <w:rPr>
          <w:rFonts w:hint="eastAsia" w:ascii="宋体" w:hAnsi="宋体" w:cs="宋体"/>
          <w:sz w:val="24"/>
          <w:szCs w:val="24"/>
          <w:highlight w:val="none"/>
        </w:rPr>
        <w:t>个工作日。</w:t>
      </w:r>
    </w:p>
    <w:p w14:paraId="03C9D401">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七、其他补充事宜</w:t>
      </w:r>
    </w:p>
    <w:p w14:paraId="7E0B542B">
      <w:pPr>
        <w:shd w:val="clea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本次公告同时在</w:t>
      </w:r>
      <w:r>
        <w:rPr>
          <w:rFonts w:hint="eastAsia" w:ascii="宋体" w:hAnsi="宋体" w:eastAsia="宋体" w:cs="宋体"/>
          <w:sz w:val="24"/>
          <w:szCs w:val="24"/>
          <w:highlight w:val="none"/>
          <w:lang w:eastAsia="zh-CN"/>
        </w:rPr>
        <w:t>“政采云”平台（http://www.zcygov.cn），同步推送到吉林省政府采购网（http://www.ccgp-jilin.gov.cn/）和长春市公共资源交易网，并同时在中国政府采购网、</w:t>
      </w:r>
      <w:r>
        <w:rPr>
          <w:rFonts w:hint="eastAsia" w:ascii="宋体" w:hAnsi="宋体" w:eastAsia="宋体" w:cs="宋体"/>
          <w:sz w:val="24"/>
          <w:szCs w:val="24"/>
          <w:highlight w:val="none"/>
          <w:lang w:val="en-US" w:eastAsia="zh-CN"/>
        </w:rPr>
        <w:t>长春市市场监督管理局官网</w:t>
      </w:r>
      <w:r>
        <w:rPr>
          <w:rFonts w:hint="eastAsia" w:ascii="宋体" w:hAnsi="宋体" w:eastAsia="宋体" w:cs="宋体"/>
          <w:sz w:val="24"/>
          <w:szCs w:val="24"/>
          <w:highlight w:val="none"/>
          <w:lang w:eastAsia="zh-CN"/>
        </w:rPr>
        <w:t>上发布。</w:t>
      </w:r>
    </w:p>
    <w:p w14:paraId="7619E7F9">
      <w:pPr>
        <w:shd w:val="clear"/>
        <w:spacing w:line="240" w:lineRule="auto"/>
        <w:rPr>
          <w:rFonts w:hint="eastAsia" w:ascii="宋体" w:hAnsi="宋体" w:cs="宋体"/>
          <w:b/>
          <w:bCs/>
          <w:sz w:val="24"/>
          <w:szCs w:val="24"/>
          <w:highlight w:val="none"/>
        </w:rPr>
      </w:pPr>
      <w:r>
        <w:rPr>
          <w:rFonts w:hint="eastAsia" w:ascii="宋体" w:hAnsi="宋体" w:cs="宋体"/>
          <w:b/>
          <w:bCs/>
          <w:sz w:val="24"/>
          <w:szCs w:val="24"/>
          <w:highlight w:val="none"/>
        </w:rPr>
        <w:t>八、对本次采购提出询问，请按以下方式联系</w:t>
      </w:r>
    </w:p>
    <w:p w14:paraId="4D77DE68">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1.采购人信息</w:t>
      </w:r>
    </w:p>
    <w:p w14:paraId="0F2E1598">
      <w:pPr>
        <w:pStyle w:val="25"/>
        <w:shd w:val="clear"/>
        <w:spacing w:line="240" w:lineRule="auto"/>
        <w:rPr>
          <w:rStyle w:val="67"/>
          <w:rFonts w:hint="default" w:ascii="宋体" w:hAnsi="宋体" w:eastAsia="宋体" w:cs="宋体"/>
          <w:b w:val="0"/>
          <w:bCs w:val="0"/>
          <w:sz w:val="24"/>
          <w:szCs w:val="24"/>
          <w:highlight w:val="none"/>
          <w:lang w:val="en-US" w:eastAsia="zh-CN"/>
        </w:rPr>
      </w:pPr>
      <w:r>
        <w:rPr>
          <w:rFonts w:hint="eastAsia" w:eastAsia="宋体"/>
          <w:sz w:val="24"/>
          <w:szCs w:val="24"/>
          <w:highlight w:val="none"/>
          <w:lang w:eastAsia="zh-CN"/>
        </w:rPr>
        <w:t>名</w:t>
      </w:r>
      <w:r>
        <w:rPr>
          <w:rFonts w:hint="eastAsia" w:eastAsia="宋体"/>
          <w:sz w:val="24"/>
          <w:szCs w:val="24"/>
          <w:highlight w:val="none"/>
          <w:lang w:val="en-US" w:eastAsia="zh-CN"/>
        </w:rPr>
        <w:t xml:space="preserve">    </w:t>
      </w:r>
      <w:r>
        <w:rPr>
          <w:rFonts w:hint="eastAsia" w:eastAsia="宋体"/>
          <w:sz w:val="24"/>
          <w:szCs w:val="24"/>
          <w:highlight w:val="none"/>
          <w:lang w:eastAsia="zh-CN"/>
        </w:rPr>
        <w:t>称：</w:t>
      </w:r>
      <w:r>
        <w:rPr>
          <w:rStyle w:val="67"/>
          <w:rFonts w:hint="default" w:ascii="宋体" w:hAnsi="宋体" w:eastAsia="宋体" w:cs="宋体"/>
          <w:b w:val="0"/>
          <w:bCs w:val="0"/>
          <w:sz w:val="24"/>
          <w:szCs w:val="24"/>
          <w:highlight w:val="none"/>
          <w:lang w:val="en-US" w:eastAsia="zh-CN"/>
        </w:rPr>
        <w:t>长春市市场监督管理局</w:t>
      </w:r>
    </w:p>
    <w:p w14:paraId="0566B38E">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地    址：</w:t>
      </w:r>
      <w:r>
        <w:rPr>
          <w:rFonts w:hint="eastAsia" w:ascii="宋体" w:hAnsi="宋体" w:cs="宋体"/>
          <w:bCs/>
          <w:color w:val="auto"/>
          <w:sz w:val="24"/>
          <w:szCs w:val="24"/>
          <w:highlight w:val="none"/>
        </w:rPr>
        <w:t>长春市景阳大路1199号</w:t>
      </w:r>
    </w:p>
    <w:p w14:paraId="73FE8334">
      <w:pPr>
        <w:pStyle w:val="25"/>
        <w:shd w:val="clear"/>
        <w:spacing w:line="240" w:lineRule="auto"/>
        <w:rPr>
          <w:rFonts w:hint="default" w:eastAsia="宋体"/>
          <w:sz w:val="24"/>
          <w:szCs w:val="24"/>
          <w:highlight w:val="none"/>
          <w:lang w:val="en-US" w:eastAsia="zh-CN"/>
        </w:rPr>
      </w:pPr>
      <w:r>
        <w:rPr>
          <w:rFonts w:hint="eastAsia" w:eastAsia="宋体"/>
          <w:sz w:val="24"/>
          <w:szCs w:val="24"/>
          <w:highlight w:val="none"/>
          <w:lang w:eastAsia="zh-CN"/>
        </w:rPr>
        <w:t>联系方式：</w:t>
      </w:r>
      <w:r>
        <w:rPr>
          <w:rFonts w:hint="eastAsia" w:eastAsia="宋体"/>
          <w:sz w:val="24"/>
          <w:szCs w:val="24"/>
          <w:highlight w:val="none"/>
          <w:lang w:val="en-US" w:eastAsia="zh-CN"/>
        </w:rPr>
        <w:t>0431-89807418</w:t>
      </w:r>
    </w:p>
    <w:p w14:paraId="5B29E30B">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2.采购代理机构信息</w:t>
      </w:r>
    </w:p>
    <w:p w14:paraId="6494F363">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名    称：</w:t>
      </w:r>
      <w:r>
        <w:rPr>
          <w:rFonts w:hint="eastAsia" w:ascii="宋体" w:hAnsi="宋体" w:cs="宋体"/>
          <w:sz w:val="24"/>
          <w:szCs w:val="24"/>
          <w:highlight w:val="none"/>
        </w:rPr>
        <w:t>吉林省顺宏项目管理咨询有限公司</w:t>
      </w:r>
    </w:p>
    <w:p w14:paraId="02F897DB">
      <w:pPr>
        <w:pStyle w:val="25"/>
        <w:shd w:val="clear"/>
        <w:spacing w:line="240" w:lineRule="auto"/>
        <w:rPr>
          <w:rFonts w:hint="default" w:eastAsia="长城楷体"/>
          <w:sz w:val="24"/>
          <w:szCs w:val="24"/>
          <w:highlight w:val="none"/>
          <w:lang w:val="en-US" w:eastAsia="zh-CN"/>
        </w:rPr>
      </w:pPr>
      <w:r>
        <w:rPr>
          <w:rFonts w:hint="eastAsia" w:eastAsia="宋体"/>
          <w:sz w:val="24"/>
          <w:szCs w:val="24"/>
          <w:highlight w:val="none"/>
          <w:lang w:eastAsia="zh-CN"/>
        </w:rPr>
        <w:t>地　　址：</w:t>
      </w:r>
      <w:r>
        <w:rPr>
          <w:rFonts w:hint="eastAsia" w:ascii="宋体" w:hAnsi="宋体" w:cs="宋体"/>
          <w:sz w:val="24"/>
          <w:szCs w:val="24"/>
          <w:highlight w:val="none"/>
        </w:rPr>
        <w:t>长春市</w:t>
      </w:r>
      <w:r>
        <w:rPr>
          <w:rFonts w:hint="eastAsia" w:ascii="宋体" w:hAnsi="宋体" w:cs="宋体"/>
          <w:sz w:val="24"/>
          <w:szCs w:val="24"/>
          <w:highlight w:val="none"/>
          <w:lang w:val="en-US" w:eastAsia="zh-CN"/>
        </w:rPr>
        <w:t>南关区前进雅苑10栋103室</w:t>
      </w:r>
    </w:p>
    <w:p w14:paraId="76045CAC">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联系方式：</w:t>
      </w:r>
      <w:r>
        <w:rPr>
          <w:rFonts w:hint="eastAsia" w:ascii="宋体" w:hAnsi="宋体" w:cs="宋体"/>
          <w:sz w:val="24"/>
          <w:szCs w:val="24"/>
          <w:highlight w:val="none"/>
        </w:rPr>
        <w:t>0431-82276521</w:t>
      </w:r>
    </w:p>
    <w:p w14:paraId="4A6970D2">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3.项目联系方式</w:t>
      </w:r>
    </w:p>
    <w:p w14:paraId="035206CE">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项目联系人：刘宇</w:t>
      </w:r>
    </w:p>
    <w:p w14:paraId="6A4CC1AE">
      <w:pPr>
        <w:pStyle w:val="25"/>
        <w:shd w:val="clear"/>
        <w:spacing w:line="240" w:lineRule="auto"/>
        <w:rPr>
          <w:rFonts w:hint="eastAsia" w:eastAsia="宋体"/>
          <w:sz w:val="24"/>
          <w:szCs w:val="24"/>
          <w:highlight w:val="none"/>
          <w:lang w:eastAsia="zh-CN"/>
        </w:rPr>
      </w:pPr>
      <w:r>
        <w:rPr>
          <w:rFonts w:hint="eastAsia" w:eastAsia="宋体"/>
          <w:sz w:val="24"/>
          <w:szCs w:val="24"/>
          <w:highlight w:val="none"/>
          <w:lang w:eastAsia="zh-CN"/>
        </w:rPr>
        <w:t>电话：</w:t>
      </w:r>
      <w:r>
        <w:rPr>
          <w:rFonts w:hint="eastAsia" w:ascii="宋体" w:hAnsi="宋体" w:cs="宋体"/>
          <w:sz w:val="24"/>
          <w:szCs w:val="24"/>
          <w:highlight w:val="none"/>
        </w:rPr>
        <w:t>0431-82276521</w:t>
      </w:r>
    </w:p>
    <w:p w14:paraId="10F62180">
      <w:pPr>
        <w:spacing w:line="240" w:lineRule="auto"/>
        <w:rPr>
          <w:rStyle w:val="67"/>
          <w:rFonts w:hint="eastAsia" w:ascii="宋体" w:hAnsi="宋体" w:eastAsia="宋体" w:cs="宋体"/>
          <w:b w:val="0"/>
          <w:bCs w:val="0"/>
          <w:kern w:val="0"/>
          <w:sz w:val="24"/>
          <w:szCs w:val="24"/>
          <w:highlight w:val="none"/>
          <w:lang w:val="en-US" w:eastAsia="zh-CN" w:bidi="ar-SA"/>
        </w:rPr>
      </w:pPr>
    </w:p>
    <w:p w14:paraId="04C3C513">
      <w:pPr>
        <w:spacing w:line="240" w:lineRule="auto"/>
        <w:rPr>
          <w:rStyle w:val="67"/>
          <w:rFonts w:hint="eastAsia" w:ascii="宋体" w:hAnsi="宋体" w:eastAsia="宋体" w:cs="宋体"/>
          <w:b w:val="0"/>
          <w:bCs w:val="0"/>
          <w:kern w:val="0"/>
          <w:sz w:val="24"/>
          <w:szCs w:val="24"/>
          <w:highlight w:val="none"/>
          <w:lang w:val="en-US" w:eastAsia="zh-CN" w:bidi="ar-SA"/>
        </w:rPr>
      </w:pPr>
      <w:r>
        <w:rPr>
          <w:rStyle w:val="67"/>
          <w:rFonts w:hint="eastAsia" w:ascii="宋体" w:hAnsi="宋体" w:eastAsia="宋体" w:cs="宋体"/>
          <w:b w:val="0"/>
          <w:bCs w:val="0"/>
          <w:kern w:val="0"/>
          <w:sz w:val="24"/>
          <w:szCs w:val="24"/>
          <w:highlight w:val="none"/>
          <w:lang w:val="en-US" w:eastAsia="zh-CN" w:bidi="ar-SA"/>
        </w:rPr>
        <w:t>来源：吉林省顺宏项目管理咨询有限公司</w:t>
      </w:r>
    </w:p>
    <w:p w14:paraId="56ECA4D4">
      <w:pPr>
        <w:spacing w:line="240" w:lineRule="auto"/>
        <w:rPr>
          <w:rStyle w:val="67"/>
          <w:rFonts w:hint="eastAsia" w:ascii="宋体" w:hAnsi="宋体" w:eastAsia="宋体" w:cs="宋体"/>
          <w:b w:val="0"/>
          <w:bCs w:val="0"/>
          <w:kern w:val="0"/>
          <w:sz w:val="24"/>
          <w:szCs w:val="24"/>
          <w:highlight w:val="none"/>
          <w:lang w:val="en-US" w:eastAsia="zh-CN" w:bidi="ar-SA"/>
        </w:rPr>
      </w:pPr>
      <w:r>
        <w:rPr>
          <w:rStyle w:val="67"/>
          <w:rFonts w:hint="eastAsia" w:ascii="宋体" w:hAnsi="宋体" w:eastAsia="宋体" w:cs="宋体"/>
          <w:b w:val="0"/>
          <w:bCs w:val="0"/>
          <w:kern w:val="0"/>
          <w:sz w:val="24"/>
          <w:szCs w:val="24"/>
          <w:highlight w:val="none"/>
          <w:lang w:val="en-US" w:eastAsia="zh-CN" w:bidi="ar-SA"/>
        </w:rPr>
        <w:t>初审：</w:t>
      </w:r>
      <w:r>
        <w:rPr>
          <w:rStyle w:val="67"/>
          <w:rFonts w:hint="eastAsia" w:ascii="宋体" w:hAnsi="宋体" w:cs="宋体"/>
          <w:b w:val="0"/>
          <w:bCs w:val="0"/>
          <w:kern w:val="0"/>
          <w:sz w:val="24"/>
          <w:szCs w:val="24"/>
          <w:highlight w:val="none"/>
          <w:lang w:val="en-US" w:eastAsia="zh-CN" w:bidi="ar-SA"/>
        </w:rPr>
        <w:t>刘宇</w:t>
      </w:r>
    </w:p>
    <w:p w14:paraId="3CA7DDC8">
      <w:pPr>
        <w:spacing w:line="240" w:lineRule="auto"/>
        <w:rPr>
          <w:rStyle w:val="67"/>
          <w:rFonts w:hint="eastAsia" w:ascii="宋体" w:hAnsi="宋体" w:eastAsia="宋体" w:cs="宋体"/>
          <w:b w:val="0"/>
          <w:bCs w:val="0"/>
          <w:kern w:val="0"/>
          <w:sz w:val="24"/>
          <w:szCs w:val="24"/>
          <w:highlight w:val="none"/>
          <w:lang w:val="en-US" w:eastAsia="zh-CN" w:bidi="ar-SA"/>
        </w:rPr>
      </w:pPr>
      <w:r>
        <w:rPr>
          <w:rStyle w:val="67"/>
          <w:rFonts w:hint="eastAsia" w:ascii="宋体" w:hAnsi="宋体" w:eastAsia="宋体" w:cs="宋体"/>
          <w:b w:val="0"/>
          <w:bCs w:val="0"/>
          <w:kern w:val="0"/>
          <w:sz w:val="24"/>
          <w:szCs w:val="24"/>
          <w:highlight w:val="none"/>
          <w:lang w:val="en-US" w:eastAsia="zh-CN" w:bidi="ar-SA"/>
        </w:rPr>
        <w:t>复审：</w:t>
      </w:r>
      <w:r>
        <w:rPr>
          <w:rStyle w:val="67"/>
          <w:rFonts w:hint="eastAsia" w:ascii="宋体" w:hAnsi="宋体" w:cs="宋体"/>
          <w:b w:val="0"/>
          <w:bCs w:val="0"/>
          <w:kern w:val="0"/>
          <w:sz w:val="24"/>
          <w:szCs w:val="24"/>
          <w:highlight w:val="none"/>
          <w:lang w:val="en-US" w:eastAsia="zh-CN" w:bidi="ar-SA"/>
        </w:rPr>
        <w:t>刘占江</w:t>
      </w:r>
    </w:p>
    <w:p w14:paraId="784921EC">
      <w:pPr>
        <w:spacing w:line="240" w:lineRule="auto"/>
        <w:rPr>
          <w:rStyle w:val="67"/>
          <w:rFonts w:hint="eastAsia" w:ascii="宋体" w:hAnsi="宋体" w:eastAsia="宋体" w:cs="宋体"/>
          <w:b w:val="0"/>
          <w:bCs w:val="0"/>
          <w:kern w:val="0"/>
          <w:sz w:val="24"/>
          <w:szCs w:val="24"/>
          <w:highlight w:val="none"/>
          <w:lang w:val="en-US" w:eastAsia="zh-CN" w:bidi="ar-SA"/>
        </w:rPr>
      </w:pPr>
      <w:r>
        <w:rPr>
          <w:rStyle w:val="67"/>
          <w:rFonts w:hint="eastAsia" w:ascii="宋体" w:hAnsi="宋体" w:eastAsia="宋体" w:cs="宋体"/>
          <w:b w:val="0"/>
          <w:bCs w:val="0"/>
          <w:kern w:val="0"/>
          <w:sz w:val="24"/>
          <w:szCs w:val="24"/>
          <w:highlight w:val="none"/>
          <w:lang w:val="en-US" w:eastAsia="zh-CN" w:bidi="ar-SA"/>
        </w:rPr>
        <w:t>终审：姚添译</w:t>
      </w:r>
    </w:p>
    <w:bookmarkEnd w:id="86"/>
    <w:p w14:paraId="1808F6D8">
      <w:pPr>
        <w:rPr>
          <w:rFonts w:hint="eastAsia" w:ascii="宋体" w:hAnsi="宋体" w:eastAsia="宋体" w:cs="宋体"/>
          <w:highlight w:val="none"/>
        </w:rPr>
      </w:pPr>
    </w:p>
    <w:p w14:paraId="3F8DD141">
      <w:pPr>
        <w:rPr>
          <w:rFonts w:hint="eastAsia" w:ascii="宋体" w:hAnsi="宋体" w:eastAsia="宋体" w:cs="宋体"/>
          <w:highlight w:val="none"/>
        </w:rPr>
        <w:sectPr>
          <w:footerReference r:id="rId6" w:type="default"/>
          <w:pgSz w:w="11910" w:h="16840"/>
          <w:pgMar w:top="1134" w:right="1191" w:bottom="1134" w:left="1191" w:header="0" w:footer="663" w:gutter="0"/>
          <w:pgNumType w:fmt="decimal" w:start="1"/>
          <w:cols w:space="720" w:num="1"/>
        </w:sectPr>
      </w:pPr>
      <w:bookmarkStart w:id="3" w:name="_Toc394054341"/>
      <w:bookmarkStart w:id="4" w:name="_Toc333483359"/>
    </w:p>
    <w:bookmarkEnd w:id="3"/>
    <w:bookmarkEnd w:id="4"/>
    <w:p w14:paraId="5F6639D1">
      <w:pPr>
        <w:pStyle w:val="3"/>
        <w:jc w:val="center"/>
        <w:rPr>
          <w:rFonts w:hint="eastAsia" w:ascii="宋体" w:hAnsi="宋体" w:eastAsia="宋体" w:cs="宋体"/>
          <w:highlight w:val="none"/>
        </w:rPr>
      </w:pPr>
      <w:bookmarkStart w:id="5" w:name="_Toc31883"/>
      <w:bookmarkStart w:id="6" w:name="_Toc10559"/>
      <w:bookmarkStart w:id="7" w:name="_Toc24347"/>
      <w:bookmarkStart w:id="8" w:name="_Toc11749"/>
      <w:bookmarkStart w:id="9" w:name="_Toc2247"/>
      <w:bookmarkStart w:id="10" w:name="_Toc11998"/>
      <w:bookmarkStart w:id="11" w:name="_Toc8005"/>
      <w:r>
        <w:rPr>
          <w:rFonts w:hint="eastAsia" w:ascii="宋体" w:hAnsi="宋体" w:eastAsia="宋体" w:cs="宋体"/>
          <w:highlight w:val="none"/>
        </w:rPr>
        <w:t>第二章 供应商须知</w:t>
      </w:r>
      <w:bookmarkEnd w:id="5"/>
      <w:bookmarkEnd w:id="6"/>
      <w:bookmarkEnd w:id="7"/>
      <w:bookmarkEnd w:id="8"/>
      <w:bookmarkEnd w:id="9"/>
      <w:bookmarkEnd w:id="10"/>
      <w:bookmarkEnd w:id="11"/>
    </w:p>
    <w:p w14:paraId="037C3D80">
      <w:pPr>
        <w:bidi w:val="0"/>
        <w:jc w:val="center"/>
        <w:rPr>
          <w:rFonts w:hint="eastAsia"/>
          <w:b/>
          <w:bCs/>
          <w:sz w:val="24"/>
          <w:szCs w:val="24"/>
          <w:highlight w:val="none"/>
        </w:rPr>
      </w:pPr>
      <w:bookmarkStart w:id="12" w:name="_Toc25757"/>
      <w:r>
        <w:rPr>
          <w:rFonts w:hint="eastAsia"/>
          <w:b/>
          <w:bCs/>
          <w:sz w:val="24"/>
          <w:szCs w:val="24"/>
          <w:highlight w:val="none"/>
          <w:lang w:eastAsia="zh-CN"/>
        </w:rPr>
        <w:t>（一）</w:t>
      </w:r>
      <w:r>
        <w:rPr>
          <w:rFonts w:hint="eastAsia"/>
          <w:b/>
          <w:bCs/>
          <w:sz w:val="24"/>
          <w:szCs w:val="24"/>
          <w:highlight w:val="none"/>
        </w:rPr>
        <w:t>供应商须知前附表</w:t>
      </w:r>
      <w:bookmarkEnd w:id="12"/>
    </w:p>
    <w:tbl>
      <w:tblPr>
        <w:tblStyle w:val="26"/>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6"/>
        <w:gridCol w:w="2085"/>
        <w:gridCol w:w="6687"/>
      </w:tblGrid>
      <w:tr w14:paraId="26E6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1306" w:type="dxa"/>
            <w:shd w:val="clear" w:color="auto" w:fill="auto"/>
            <w:noWrap w:val="0"/>
            <w:vAlign w:val="center"/>
          </w:tcPr>
          <w:p w14:paraId="2E8392B5">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序号</w:t>
            </w:r>
          </w:p>
        </w:tc>
        <w:tc>
          <w:tcPr>
            <w:tcW w:w="2085" w:type="dxa"/>
            <w:shd w:val="clear" w:color="auto" w:fill="auto"/>
            <w:noWrap w:val="0"/>
            <w:vAlign w:val="center"/>
          </w:tcPr>
          <w:p w14:paraId="74B44FB1">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条 款 名 称</w:t>
            </w:r>
          </w:p>
        </w:tc>
        <w:tc>
          <w:tcPr>
            <w:tcW w:w="6687" w:type="dxa"/>
            <w:shd w:val="clear" w:color="auto" w:fill="auto"/>
            <w:noWrap w:val="0"/>
            <w:vAlign w:val="center"/>
          </w:tcPr>
          <w:p w14:paraId="1118DA60">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编  列  内  容</w:t>
            </w:r>
          </w:p>
        </w:tc>
      </w:tr>
      <w:tr w14:paraId="5B4D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306" w:type="dxa"/>
            <w:shd w:val="clear" w:color="auto" w:fill="auto"/>
            <w:noWrap w:val="0"/>
            <w:vAlign w:val="center"/>
          </w:tcPr>
          <w:p w14:paraId="59DCAB1B">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p>
        </w:tc>
        <w:tc>
          <w:tcPr>
            <w:tcW w:w="2085" w:type="dxa"/>
            <w:shd w:val="clear" w:color="auto" w:fill="auto"/>
            <w:noWrap w:val="0"/>
            <w:vAlign w:val="center"/>
          </w:tcPr>
          <w:p w14:paraId="09248AF7">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p>
        </w:tc>
        <w:tc>
          <w:tcPr>
            <w:tcW w:w="6687" w:type="dxa"/>
            <w:shd w:val="clear" w:color="auto" w:fill="auto"/>
            <w:noWrap w:val="0"/>
            <w:vAlign w:val="center"/>
          </w:tcPr>
          <w:p w14:paraId="04266E20">
            <w:pPr>
              <w:spacing w:line="240" w:lineRule="auto"/>
              <w:rPr>
                <w:rFonts w:hint="eastAsia" w:ascii="宋体" w:hAnsi="宋体" w:eastAsia="宋体" w:cs="宋体"/>
                <w:sz w:val="24"/>
                <w:highlight w:val="none"/>
              </w:rPr>
            </w:pPr>
            <w:r>
              <w:rPr>
                <w:rFonts w:hint="eastAsia" w:ascii="宋体" w:hAnsi="宋体" w:eastAsia="宋体" w:cs="宋体"/>
                <w:sz w:val="24"/>
                <w:highlight w:val="none"/>
              </w:rPr>
              <w:t>名称：长春市市场监督管理局</w:t>
            </w:r>
          </w:p>
          <w:p w14:paraId="49810EC7">
            <w:pPr>
              <w:spacing w:line="240" w:lineRule="auto"/>
              <w:rPr>
                <w:rFonts w:hint="eastAsia" w:ascii="宋体" w:hAnsi="宋体" w:eastAsia="宋体" w:cs="宋体"/>
                <w:sz w:val="24"/>
                <w:highlight w:val="none"/>
              </w:rPr>
            </w:pPr>
            <w:r>
              <w:rPr>
                <w:rFonts w:hint="eastAsia" w:ascii="宋体" w:hAnsi="宋体" w:eastAsia="宋体" w:cs="宋体"/>
                <w:sz w:val="24"/>
                <w:highlight w:val="none"/>
              </w:rPr>
              <w:t>地址：长春市景阳大路1199号</w:t>
            </w:r>
          </w:p>
          <w:p w14:paraId="12727FEC">
            <w:pPr>
              <w:spacing w:line="240" w:lineRule="auto"/>
              <w:rPr>
                <w:rFonts w:hint="eastAsia" w:ascii="宋体" w:hAnsi="宋体" w:eastAsia="宋体" w:cs="宋体"/>
                <w:bCs/>
                <w:color w:val="000000"/>
                <w:sz w:val="24"/>
                <w:szCs w:val="24"/>
                <w:highlight w:val="none"/>
              </w:rPr>
            </w:pPr>
            <w:r>
              <w:rPr>
                <w:rFonts w:hint="eastAsia" w:ascii="宋体" w:hAnsi="宋体" w:eastAsia="宋体" w:cs="宋体"/>
                <w:sz w:val="24"/>
                <w:highlight w:val="none"/>
              </w:rPr>
              <w:t>联系方式：</w:t>
            </w:r>
            <w:r>
              <w:rPr>
                <w:rFonts w:hint="eastAsia" w:ascii="宋体" w:hAnsi="宋体" w:eastAsia="宋体" w:cs="宋体"/>
                <w:sz w:val="24"/>
                <w:highlight w:val="none"/>
                <w:lang w:val="en-US" w:eastAsia="zh-CN"/>
              </w:rPr>
              <w:t>0431-89807418</w:t>
            </w:r>
          </w:p>
        </w:tc>
      </w:tr>
      <w:tr w14:paraId="1919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306" w:type="dxa"/>
            <w:shd w:val="clear" w:color="auto" w:fill="auto"/>
            <w:noWrap w:val="0"/>
            <w:vAlign w:val="center"/>
          </w:tcPr>
          <w:p w14:paraId="00308657">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w:t>
            </w:r>
          </w:p>
        </w:tc>
        <w:tc>
          <w:tcPr>
            <w:tcW w:w="2085" w:type="dxa"/>
            <w:shd w:val="clear" w:color="auto" w:fill="auto"/>
            <w:noWrap w:val="0"/>
            <w:vAlign w:val="center"/>
          </w:tcPr>
          <w:p w14:paraId="491E11E4">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p>
        </w:tc>
        <w:tc>
          <w:tcPr>
            <w:tcW w:w="6687" w:type="dxa"/>
            <w:shd w:val="clear" w:color="auto" w:fill="auto"/>
            <w:noWrap w:val="0"/>
            <w:vAlign w:val="center"/>
          </w:tcPr>
          <w:p w14:paraId="4C8D02A4">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名称：吉林省顺宏项目管理咨询有限公司</w:t>
            </w:r>
          </w:p>
          <w:p w14:paraId="6028699E">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cs="宋体"/>
                <w:sz w:val="24"/>
                <w:highlight w:val="none"/>
              </w:rPr>
              <w:t>长春市</w:t>
            </w:r>
            <w:r>
              <w:rPr>
                <w:rFonts w:hint="eastAsia" w:ascii="宋体" w:hAnsi="宋体" w:cs="宋体"/>
                <w:sz w:val="24"/>
                <w:highlight w:val="none"/>
                <w:lang w:val="en-US" w:eastAsia="zh-CN"/>
              </w:rPr>
              <w:t>南关区前进雅苑10栋103室</w:t>
            </w:r>
          </w:p>
          <w:p w14:paraId="77725B4D">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联系方式：0431-82276521</w:t>
            </w:r>
          </w:p>
        </w:tc>
      </w:tr>
      <w:tr w14:paraId="5C69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306" w:type="dxa"/>
            <w:shd w:val="clear" w:color="auto" w:fill="auto"/>
            <w:noWrap w:val="0"/>
            <w:vAlign w:val="center"/>
          </w:tcPr>
          <w:p w14:paraId="15966731">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p>
        </w:tc>
        <w:tc>
          <w:tcPr>
            <w:tcW w:w="2085" w:type="dxa"/>
            <w:shd w:val="clear" w:color="auto" w:fill="auto"/>
            <w:noWrap w:val="0"/>
            <w:vAlign w:val="center"/>
          </w:tcPr>
          <w:p w14:paraId="0ECE6DB7">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项目名称、编号</w:t>
            </w:r>
          </w:p>
        </w:tc>
        <w:tc>
          <w:tcPr>
            <w:tcW w:w="6687" w:type="dxa"/>
            <w:shd w:val="clear" w:color="auto" w:fill="auto"/>
            <w:noWrap w:val="0"/>
            <w:vAlign w:val="center"/>
          </w:tcPr>
          <w:p w14:paraId="7102ED3B">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cs="宋体"/>
                <w:color w:val="000000"/>
                <w:sz w:val="24"/>
                <w:szCs w:val="24"/>
                <w:highlight w:val="none"/>
                <w:lang w:eastAsia="zh-CN"/>
              </w:rPr>
              <w:t>长春市市场监督管理局机关办公楼食堂管理外包服务项目</w:t>
            </w:r>
          </w:p>
          <w:p w14:paraId="507EEA42">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项目编号：</w:t>
            </w:r>
            <w:r>
              <w:rPr>
                <w:rFonts w:hint="eastAsia" w:ascii="宋体" w:hAnsi="宋体" w:cs="宋体"/>
                <w:color w:val="000000"/>
                <w:sz w:val="24"/>
                <w:szCs w:val="24"/>
                <w:highlight w:val="none"/>
                <w:lang w:val="zh-CN" w:eastAsia="zh-CN"/>
              </w:rPr>
              <w:t>JM-2025-01-00086</w:t>
            </w:r>
          </w:p>
          <w:p w14:paraId="421A7B42">
            <w:pPr>
              <w:pStyle w:val="7"/>
              <w:rPr>
                <w:rFonts w:hint="eastAsia"/>
                <w:highlight w:val="none"/>
                <w:lang w:val="en-US" w:eastAsia="zh-CN"/>
              </w:rPr>
            </w:pPr>
          </w:p>
        </w:tc>
      </w:tr>
      <w:tr w14:paraId="3B83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306" w:type="dxa"/>
            <w:shd w:val="clear" w:color="auto" w:fill="auto"/>
            <w:noWrap w:val="0"/>
            <w:vAlign w:val="center"/>
          </w:tcPr>
          <w:p w14:paraId="7F16DA2E">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4</w:t>
            </w:r>
          </w:p>
        </w:tc>
        <w:tc>
          <w:tcPr>
            <w:tcW w:w="2085" w:type="dxa"/>
            <w:shd w:val="clear" w:color="auto" w:fill="auto"/>
            <w:noWrap w:val="0"/>
            <w:vAlign w:val="center"/>
          </w:tcPr>
          <w:p w14:paraId="4A17448D">
            <w:pPr>
              <w:spacing w:line="240" w:lineRule="auto"/>
              <w:jc w:val="center"/>
              <w:rPr>
                <w:rFonts w:hint="eastAsia" w:ascii="宋体" w:hAnsi="宋体" w:eastAsia="宋体" w:cs="宋体"/>
                <w:color w:val="000000"/>
                <w:sz w:val="24"/>
                <w:szCs w:val="24"/>
                <w:highlight w:val="none"/>
              </w:rPr>
            </w:pPr>
            <w:r>
              <w:rPr>
                <w:rFonts w:hint="eastAsia" w:ascii="宋体" w:hAnsi="宋体" w:cs="宋体"/>
                <w:sz w:val="24"/>
                <w:highlight w:val="none"/>
                <w:lang w:val="en-US" w:eastAsia="zh-CN"/>
              </w:rPr>
              <w:t>项目</w:t>
            </w:r>
            <w:r>
              <w:rPr>
                <w:rFonts w:hint="eastAsia" w:ascii="宋体" w:hAnsi="宋体" w:eastAsia="宋体" w:cs="宋体"/>
                <w:sz w:val="24"/>
                <w:highlight w:val="none"/>
              </w:rPr>
              <w:t>地点</w:t>
            </w:r>
          </w:p>
        </w:tc>
        <w:tc>
          <w:tcPr>
            <w:tcW w:w="6687" w:type="dxa"/>
            <w:shd w:val="clear" w:color="auto" w:fill="auto"/>
            <w:noWrap w:val="0"/>
            <w:vAlign w:val="center"/>
          </w:tcPr>
          <w:p w14:paraId="1099F021">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bCs/>
                <w:color w:val="000000"/>
                <w:sz w:val="24"/>
                <w:szCs w:val="24"/>
                <w:highlight w:val="none"/>
              </w:rPr>
              <w:t>长春市市场监督管理局</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长春市景阳大路1199号</w:t>
            </w:r>
            <w:r>
              <w:rPr>
                <w:rFonts w:hint="eastAsia" w:ascii="宋体" w:hAnsi="宋体" w:eastAsia="宋体" w:cs="宋体"/>
                <w:bCs/>
                <w:color w:val="000000"/>
                <w:sz w:val="24"/>
                <w:szCs w:val="24"/>
                <w:highlight w:val="none"/>
                <w:lang w:eastAsia="zh-CN"/>
              </w:rPr>
              <w:t>）</w:t>
            </w:r>
          </w:p>
        </w:tc>
      </w:tr>
      <w:tr w14:paraId="70B6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306" w:type="dxa"/>
            <w:shd w:val="clear" w:color="auto" w:fill="auto"/>
            <w:noWrap w:val="0"/>
            <w:vAlign w:val="center"/>
          </w:tcPr>
          <w:p w14:paraId="65860F82">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5</w:t>
            </w:r>
          </w:p>
        </w:tc>
        <w:tc>
          <w:tcPr>
            <w:tcW w:w="2085" w:type="dxa"/>
            <w:shd w:val="clear" w:color="auto" w:fill="auto"/>
            <w:noWrap w:val="0"/>
            <w:vAlign w:val="center"/>
          </w:tcPr>
          <w:p w14:paraId="08D63FB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w:t>
            </w:r>
          </w:p>
        </w:tc>
        <w:tc>
          <w:tcPr>
            <w:tcW w:w="6687" w:type="dxa"/>
            <w:shd w:val="clear" w:color="auto" w:fill="auto"/>
            <w:noWrap w:val="0"/>
            <w:vAlign w:val="center"/>
          </w:tcPr>
          <w:p w14:paraId="4B9F5139">
            <w:pPr>
              <w:spacing w:line="240" w:lineRule="auto"/>
              <w:rPr>
                <w:rFonts w:hint="eastAsia" w:ascii="宋体" w:hAnsi="宋体" w:eastAsia="宋体" w:cs="宋体"/>
                <w:color w:val="000000"/>
                <w:sz w:val="24"/>
                <w:szCs w:val="24"/>
                <w:highlight w:val="none"/>
              </w:rPr>
            </w:pPr>
            <w:r>
              <w:rPr>
                <w:rFonts w:hint="eastAsia" w:ascii="宋体" w:hAnsi="宋体" w:cs="宋体"/>
                <w:sz w:val="24"/>
                <w:highlight w:val="none"/>
                <w:lang w:val="en-US" w:eastAsia="zh-CN"/>
              </w:rPr>
              <w:t>财政</w:t>
            </w:r>
            <w:r>
              <w:rPr>
                <w:rFonts w:hint="eastAsia" w:ascii="宋体" w:hAnsi="宋体" w:eastAsia="宋体" w:cs="宋体"/>
                <w:sz w:val="24"/>
                <w:highlight w:val="none"/>
                <w:lang w:eastAsia="zh-CN"/>
              </w:rPr>
              <w:t>资金</w:t>
            </w:r>
          </w:p>
        </w:tc>
      </w:tr>
      <w:tr w14:paraId="207C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exact"/>
          <w:jc w:val="center"/>
        </w:trPr>
        <w:tc>
          <w:tcPr>
            <w:tcW w:w="1306" w:type="dxa"/>
            <w:shd w:val="clear" w:color="auto" w:fill="auto"/>
            <w:noWrap w:val="0"/>
            <w:vAlign w:val="center"/>
          </w:tcPr>
          <w:p w14:paraId="60511580">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6</w:t>
            </w:r>
          </w:p>
        </w:tc>
        <w:tc>
          <w:tcPr>
            <w:tcW w:w="2085" w:type="dxa"/>
            <w:shd w:val="clear" w:color="auto" w:fill="auto"/>
            <w:noWrap w:val="0"/>
            <w:vAlign w:val="center"/>
          </w:tcPr>
          <w:p w14:paraId="2EFBF970">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出资比例</w:t>
            </w:r>
          </w:p>
        </w:tc>
        <w:tc>
          <w:tcPr>
            <w:tcW w:w="6687" w:type="dxa"/>
            <w:shd w:val="clear" w:color="auto" w:fill="auto"/>
            <w:noWrap w:val="0"/>
            <w:vAlign w:val="center"/>
          </w:tcPr>
          <w:p w14:paraId="379CAFD2">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p>
        </w:tc>
      </w:tr>
      <w:tr w14:paraId="5309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306" w:type="dxa"/>
            <w:shd w:val="clear" w:color="auto" w:fill="auto"/>
            <w:noWrap w:val="0"/>
            <w:vAlign w:val="center"/>
          </w:tcPr>
          <w:p w14:paraId="331468D3">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085" w:type="dxa"/>
            <w:shd w:val="clear" w:color="auto" w:fill="auto"/>
            <w:noWrap w:val="0"/>
            <w:vAlign w:val="center"/>
          </w:tcPr>
          <w:p w14:paraId="2ABF1CC3">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资金落实情况</w:t>
            </w:r>
          </w:p>
        </w:tc>
        <w:tc>
          <w:tcPr>
            <w:tcW w:w="6687" w:type="dxa"/>
            <w:shd w:val="clear" w:color="auto" w:fill="auto"/>
            <w:noWrap w:val="0"/>
            <w:vAlign w:val="center"/>
          </w:tcPr>
          <w:p w14:paraId="42B47D97">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已落实</w:t>
            </w:r>
          </w:p>
        </w:tc>
      </w:tr>
      <w:tr w14:paraId="7484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exact"/>
          <w:jc w:val="center"/>
        </w:trPr>
        <w:tc>
          <w:tcPr>
            <w:tcW w:w="1306" w:type="dxa"/>
            <w:shd w:val="clear" w:color="auto" w:fill="auto"/>
            <w:noWrap w:val="0"/>
            <w:vAlign w:val="center"/>
          </w:tcPr>
          <w:p w14:paraId="3468F53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085" w:type="dxa"/>
            <w:shd w:val="clear" w:color="auto" w:fill="auto"/>
            <w:noWrap w:val="0"/>
            <w:vAlign w:val="center"/>
          </w:tcPr>
          <w:p w14:paraId="14FA83A6">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采购需求</w:t>
            </w:r>
          </w:p>
        </w:tc>
        <w:tc>
          <w:tcPr>
            <w:tcW w:w="6687" w:type="dxa"/>
            <w:shd w:val="clear" w:color="auto" w:fill="auto"/>
            <w:noWrap w:val="0"/>
            <w:vAlign w:val="center"/>
          </w:tcPr>
          <w:p w14:paraId="4D4531D3">
            <w:pPr>
              <w:pStyle w:val="9"/>
              <w:spacing w:line="240" w:lineRule="auto"/>
              <w:jc w:val="both"/>
              <w:rPr>
                <w:rFonts w:hint="default" w:ascii="宋体" w:hAnsi="宋体" w:eastAsia="宋体" w:cs="宋体"/>
                <w:bCs/>
                <w:color w:val="000000"/>
                <w:kern w:val="2"/>
                <w:sz w:val="24"/>
                <w:szCs w:val="24"/>
                <w:highlight w:val="none"/>
                <w:lang w:val="en-US" w:eastAsia="zh-CN"/>
              </w:rPr>
            </w:pPr>
            <w:r>
              <w:rPr>
                <w:rFonts w:hint="eastAsia" w:ascii="宋体" w:hAnsi="宋体" w:cs="宋体"/>
                <w:sz w:val="24"/>
                <w:szCs w:val="24"/>
                <w:highlight w:val="none"/>
                <w:lang w:eastAsia="zh-CN"/>
              </w:rPr>
              <w:t>为办公区工作人员提供早餐、午餐以及因工作需要的工作餐、特殊情况下的节假日加班餐；</w:t>
            </w:r>
          </w:p>
        </w:tc>
      </w:tr>
      <w:tr w14:paraId="307A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306" w:type="dxa"/>
            <w:shd w:val="clear" w:color="auto" w:fill="auto"/>
            <w:noWrap w:val="0"/>
            <w:vAlign w:val="center"/>
          </w:tcPr>
          <w:p w14:paraId="3344D323">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085" w:type="dxa"/>
            <w:shd w:val="clear" w:color="auto" w:fill="auto"/>
            <w:noWrap w:val="0"/>
            <w:vAlign w:val="center"/>
          </w:tcPr>
          <w:p w14:paraId="29654A5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合同履行期限</w:t>
            </w:r>
          </w:p>
        </w:tc>
        <w:tc>
          <w:tcPr>
            <w:tcW w:w="6687" w:type="dxa"/>
            <w:shd w:val="clear" w:color="auto" w:fill="auto"/>
            <w:noWrap w:val="0"/>
            <w:vAlign w:val="center"/>
          </w:tcPr>
          <w:p w14:paraId="4929F203">
            <w:pPr>
              <w:spacing w:line="240" w:lineRule="auto"/>
              <w:rPr>
                <w:rFonts w:hint="eastAsia" w:ascii="宋体" w:hAnsi="宋体" w:eastAsia="宋体" w:cs="宋体"/>
                <w:bCs/>
                <w:color w:val="000000"/>
                <w:sz w:val="24"/>
                <w:szCs w:val="24"/>
                <w:highlight w:val="none"/>
                <w:lang w:eastAsia="zh-CN"/>
              </w:rPr>
            </w:pPr>
            <w:r>
              <w:rPr>
                <w:rFonts w:hint="default" w:ascii="宋体" w:hAnsi="宋体" w:eastAsia="宋体" w:cs="宋体"/>
                <w:sz w:val="24"/>
                <w:szCs w:val="24"/>
                <w:highlight w:val="none"/>
                <w:lang w:val="en-US" w:eastAsia="zh-CN"/>
              </w:rPr>
              <w:t>合同签订之日起</w:t>
            </w:r>
            <w:r>
              <w:rPr>
                <w:rFonts w:hint="eastAsia" w:ascii="宋体" w:hAnsi="宋体" w:cs="宋体"/>
                <w:sz w:val="24"/>
                <w:szCs w:val="24"/>
                <w:highlight w:val="none"/>
                <w:lang w:val="en-US" w:eastAsia="zh-CN"/>
              </w:rPr>
              <w:t>1年；</w:t>
            </w:r>
          </w:p>
        </w:tc>
      </w:tr>
      <w:tr w14:paraId="7354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306" w:type="dxa"/>
            <w:shd w:val="clear" w:color="auto" w:fill="auto"/>
            <w:noWrap w:val="0"/>
            <w:vAlign w:val="center"/>
          </w:tcPr>
          <w:p w14:paraId="4244C343">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085" w:type="dxa"/>
            <w:shd w:val="clear" w:color="auto" w:fill="auto"/>
            <w:noWrap w:val="0"/>
            <w:vAlign w:val="center"/>
          </w:tcPr>
          <w:p w14:paraId="6D098A5D">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sz w:val="24"/>
                <w:highlight w:val="none"/>
              </w:rPr>
              <w:t>质量标准</w:t>
            </w:r>
          </w:p>
        </w:tc>
        <w:tc>
          <w:tcPr>
            <w:tcW w:w="6687" w:type="dxa"/>
            <w:shd w:val="clear" w:color="auto" w:fill="auto"/>
            <w:noWrap w:val="0"/>
            <w:vAlign w:val="center"/>
          </w:tcPr>
          <w:p w14:paraId="6D218182">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sz w:val="24"/>
                <w:highlight w:val="none"/>
              </w:rPr>
              <w:t>符合国家、行业规定的合格标准及采购人要求</w:t>
            </w:r>
          </w:p>
        </w:tc>
      </w:tr>
      <w:tr w14:paraId="71BB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1306" w:type="dxa"/>
            <w:shd w:val="clear" w:color="auto" w:fill="auto"/>
            <w:noWrap w:val="0"/>
            <w:vAlign w:val="center"/>
          </w:tcPr>
          <w:p w14:paraId="7172799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085" w:type="dxa"/>
            <w:shd w:val="clear" w:color="auto" w:fill="auto"/>
            <w:noWrap w:val="0"/>
            <w:vAlign w:val="center"/>
          </w:tcPr>
          <w:p w14:paraId="18A1E58B">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供应商资质条件、能力和信誉</w:t>
            </w:r>
          </w:p>
        </w:tc>
        <w:tc>
          <w:tcPr>
            <w:tcW w:w="6687" w:type="dxa"/>
            <w:shd w:val="clear" w:color="auto" w:fill="auto"/>
            <w:noWrap w:val="0"/>
            <w:vAlign w:val="center"/>
          </w:tcPr>
          <w:p w14:paraId="14BE015F">
            <w:pPr>
              <w:shd w:val="clear"/>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1、满足《中华人民共和国政府采购法》第二十二条规定</w:t>
            </w:r>
            <w:r>
              <w:rPr>
                <w:rFonts w:hint="eastAsia" w:ascii="宋体" w:hAnsi="宋体" w:cs="宋体"/>
                <w:sz w:val="24"/>
                <w:szCs w:val="24"/>
                <w:highlight w:val="none"/>
                <w:lang w:eastAsia="zh-CN"/>
              </w:rPr>
              <w:t>；</w:t>
            </w:r>
          </w:p>
          <w:p w14:paraId="44604317">
            <w:pPr>
              <w:shd w:val="clear"/>
              <w:ind w:firstLine="480" w:firstLineChars="200"/>
              <w:rPr>
                <w:rFonts w:hint="eastAsia" w:ascii="宋体" w:hAnsi="宋体" w:cs="宋体"/>
                <w:sz w:val="24"/>
                <w:szCs w:val="24"/>
                <w:highlight w:val="none"/>
              </w:rPr>
            </w:pPr>
            <w:r>
              <w:rPr>
                <w:rFonts w:hint="eastAsia" w:ascii="宋体" w:hAnsi="宋体" w:cs="宋体"/>
                <w:sz w:val="24"/>
                <w:szCs w:val="24"/>
                <w:highlight w:val="none"/>
              </w:rPr>
              <w:t>2、落实政府采购政策需满足的资格要求：</w:t>
            </w:r>
          </w:p>
          <w:p w14:paraId="3D901E60">
            <w:pPr>
              <w:shd w:val="clear"/>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本项目为专门面向中小企业采购项目,供应商应为中小微企业或监狱企业或残疾人福利性单位。</w:t>
            </w:r>
          </w:p>
          <w:p w14:paraId="22BD91D0">
            <w:pPr>
              <w:shd w:val="clear"/>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4C4C7814">
            <w:pPr>
              <w:shd w:val="clear"/>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（2）供应商为监狱企业的视同小型和微型企业，可不提供上述（1）材料，但应当提供由省级以上监狱管理局、戒毒管理局(含新疆生产建设兵团)出具的属于监狱企业的证明文件。</w:t>
            </w:r>
          </w:p>
          <w:p w14:paraId="7A1BFEF2">
            <w:pPr>
              <w:shd w:val="clear"/>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（3）供应商为残疾人福利性单位的视同小型和微型企业，可不提供上述（1）材料，但应当提供《残疾人福利性单位声明函》，格式见竞争性磋商文件相关附件。</w:t>
            </w:r>
          </w:p>
          <w:p w14:paraId="1CBF5733">
            <w:pPr>
              <w:shd w:val="clear"/>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（4）本项目采购标的对应的中小企业划分标准所属行业为</w:t>
            </w:r>
            <w:r>
              <w:rPr>
                <w:rFonts w:hint="eastAsia" w:ascii="宋体" w:hAnsi="宋体" w:cs="宋体"/>
                <w:sz w:val="24"/>
                <w:szCs w:val="24"/>
                <w:highlight w:val="none"/>
                <w:lang w:val="en-US" w:eastAsia="zh-CN"/>
              </w:rPr>
              <w:t>餐饮</w:t>
            </w:r>
            <w:r>
              <w:rPr>
                <w:rFonts w:hint="eastAsia" w:ascii="宋体" w:hAnsi="宋体" w:eastAsia="宋体" w:cs="宋体"/>
                <w:sz w:val="24"/>
                <w:szCs w:val="24"/>
                <w:highlight w:val="none"/>
                <w:lang w:val="en-US" w:eastAsia="zh-CN"/>
              </w:rPr>
              <w:t>业</w:t>
            </w:r>
            <w:r>
              <w:rPr>
                <w:rFonts w:hint="eastAsia" w:ascii="宋体" w:hAnsi="宋体" w:cs="宋体"/>
                <w:sz w:val="24"/>
                <w:szCs w:val="24"/>
                <w:highlight w:val="none"/>
                <w:lang w:eastAsia="zh-CN"/>
              </w:rPr>
              <w:t>。</w:t>
            </w:r>
          </w:p>
          <w:p w14:paraId="5266CCBD">
            <w:pPr>
              <w:shd w:val="clear"/>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3、本项目的特定资格要求：</w:t>
            </w:r>
          </w:p>
          <w:p w14:paraId="08AE06BA">
            <w:pPr>
              <w:shd w:val="clea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（1）在中华人民共和国境内注册，能够独立承担民事责任的法人或其他组织形式，具备有效的营业执照，并在人员、设备、资金等方面具有相应的能力</w:t>
            </w:r>
            <w:r>
              <w:rPr>
                <w:rFonts w:hint="eastAsia" w:ascii="宋体" w:hAnsi="宋体" w:eastAsia="宋体" w:cs="宋体"/>
                <w:sz w:val="24"/>
                <w:szCs w:val="24"/>
                <w:highlight w:val="none"/>
                <w:lang w:eastAsia="zh-CN"/>
              </w:rPr>
              <w:t>；</w:t>
            </w:r>
          </w:p>
          <w:p w14:paraId="401751D8">
            <w:pPr>
              <w:shd w:val="clear"/>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具备食品药品行政监督部门核发的《食品经营许可证》；</w:t>
            </w:r>
          </w:p>
          <w:p w14:paraId="2B8BDEE4">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）具有良好的商业信誉和健全的财务会计制度，提供财务状况良好资格条件承诺函；</w:t>
            </w:r>
          </w:p>
          <w:p w14:paraId="5E05390B">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）具有</w:t>
            </w: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社会保障资金</w:t>
            </w:r>
            <w:r>
              <w:rPr>
                <w:rFonts w:hint="eastAsia" w:ascii="宋体" w:hAnsi="宋体" w:eastAsia="宋体" w:cs="宋体"/>
                <w:kern w:val="2"/>
                <w:sz w:val="24"/>
                <w:szCs w:val="24"/>
                <w:highlight w:val="none"/>
                <w:lang w:val="en-US" w:eastAsia="zh-CN" w:bidi="ar-SA"/>
              </w:rPr>
              <w:t>的良好记录，提供依法缴纳税收和依法缴纳社会保障资金资格条件承诺函；</w:t>
            </w:r>
          </w:p>
          <w:p w14:paraId="47A6FCF7">
            <w:pPr>
              <w:shd w:val="clea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）不接受被政府列入取消投标资格期限内的企业或个人参加投标。参加政府采购活动前3年内在经营活动中没有重大违法记录。</w:t>
            </w:r>
            <w:r>
              <w:rPr>
                <w:rFonts w:hint="eastAsia" w:ascii="宋体" w:hAnsi="宋体" w:eastAsia="宋体" w:cs="宋体"/>
                <w:sz w:val="24"/>
                <w:szCs w:val="24"/>
                <w:highlight w:val="none"/>
                <w:lang w:val="en-US" w:eastAsia="zh-CN"/>
              </w:rPr>
              <w:t>未被</w:t>
            </w:r>
            <w:r>
              <w:rPr>
                <w:rFonts w:hint="eastAsia" w:ascii="宋体" w:hAnsi="宋体" w:cs="宋体"/>
                <w:sz w:val="24"/>
                <w:szCs w:val="24"/>
                <w:highlight w:val="none"/>
              </w:rPr>
              <w:t>“信用中国”网站（www.creditchina.gov.cn）列入重大税收违法失信主体、政府采购严重违法失信行为记录名单；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r>
              <w:rPr>
                <w:rFonts w:hint="eastAsia" w:ascii="宋体" w:hAnsi="宋体" w:cs="宋体"/>
                <w:sz w:val="24"/>
                <w:szCs w:val="24"/>
                <w:highlight w:val="none"/>
                <w:lang w:eastAsia="zh-CN"/>
              </w:rPr>
              <w:t>；</w:t>
            </w:r>
          </w:p>
          <w:p w14:paraId="643E8D13">
            <w:pPr>
              <w:pStyle w:val="43"/>
              <w:shd w:val="clea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2B71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8" w:hRule="exact"/>
          <w:jc w:val="center"/>
        </w:trPr>
        <w:tc>
          <w:tcPr>
            <w:tcW w:w="1306" w:type="dxa"/>
            <w:shd w:val="clear" w:color="auto" w:fill="auto"/>
            <w:noWrap w:val="0"/>
            <w:vAlign w:val="center"/>
          </w:tcPr>
          <w:p w14:paraId="54869318">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085" w:type="dxa"/>
            <w:shd w:val="clear" w:color="auto" w:fill="auto"/>
            <w:noWrap w:val="0"/>
            <w:vAlign w:val="center"/>
          </w:tcPr>
          <w:p w14:paraId="74CA55DD">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是否接受联合体参加</w:t>
            </w:r>
          </w:p>
        </w:tc>
        <w:tc>
          <w:tcPr>
            <w:tcW w:w="6687" w:type="dxa"/>
            <w:shd w:val="clear" w:color="auto" w:fill="auto"/>
            <w:noWrap w:val="0"/>
            <w:vAlign w:val="center"/>
          </w:tcPr>
          <w:p w14:paraId="1EE6DB76">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口接受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\o\ac(□,√)</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不接受</w:t>
            </w:r>
          </w:p>
        </w:tc>
      </w:tr>
      <w:tr w14:paraId="199A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3" w:hRule="exact"/>
          <w:jc w:val="center"/>
        </w:trPr>
        <w:tc>
          <w:tcPr>
            <w:tcW w:w="1306" w:type="dxa"/>
            <w:shd w:val="clear" w:color="auto" w:fill="auto"/>
            <w:noWrap w:val="0"/>
            <w:vAlign w:val="center"/>
          </w:tcPr>
          <w:p w14:paraId="3AB6E3B7">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085" w:type="dxa"/>
            <w:shd w:val="clear" w:color="auto" w:fill="auto"/>
            <w:noWrap w:val="0"/>
            <w:vAlign w:val="center"/>
          </w:tcPr>
          <w:p w14:paraId="7293CD44">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6687" w:type="dxa"/>
            <w:shd w:val="clear" w:color="auto" w:fill="auto"/>
            <w:noWrap w:val="0"/>
            <w:vAlign w:val="center"/>
          </w:tcPr>
          <w:p w14:paraId="3EF77213">
            <w:pPr>
              <w:rPr>
                <w:rFonts w:hint="eastAsia" w:ascii="宋体" w:hAnsi="宋体" w:eastAsia="长城楷体" w:cs="宋体"/>
                <w:kern w:val="0"/>
                <w:sz w:val="24"/>
                <w:szCs w:val="24"/>
                <w:highlight w:val="none"/>
                <w:lang w:val="en-US" w:eastAsia="zh-CN" w:bidi="ar-SA"/>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\o\ac(□</w:instrText>
            </w:r>
            <w:r>
              <w:rPr>
                <w:rFonts w:hint="eastAsia" w:ascii="宋体" w:hAnsi="宋体" w:cs="宋体"/>
                <w:color w:val="000000"/>
                <w:sz w:val="24"/>
                <w:szCs w:val="24"/>
                <w:highlight w:val="none"/>
                <w:lang w:eastAsia="zh-CN"/>
              </w:rPr>
              <w:instrText xml:space="preserve">,</w:instrText>
            </w:r>
            <w:r>
              <w:rPr>
                <w:rFonts w:hint="eastAsia" w:ascii="宋体" w:hAnsi="宋体" w:cs="宋体"/>
                <w:color w:val="000000"/>
                <w:position w:val="2"/>
                <w:sz w:val="16"/>
                <w:szCs w:val="24"/>
                <w:highlight w:val="none"/>
                <w:lang w:eastAsia="zh-CN"/>
              </w:rPr>
              <w:instrText xml:space="preserve">√</w:instrText>
            </w:r>
            <w:r>
              <w:rPr>
                <w:rFonts w:hint="eastAsia" w:ascii="宋体" w:hAnsi="宋体" w:eastAsia="宋体" w:cs="宋体"/>
                <w:color w:val="000000"/>
                <w:sz w:val="24"/>
                <w:szCs w:val="24"/>
                <w:highlight w:val="none"/>
              </w:rPr>
              <w:instrText xml:space="preserve">)</w:instrTex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不</w:t>
            </w:r>
            <w:r>
              <w:rPr>
                <w:rFonts w:hint="eastAsia" w:ascii="宋体" w:hAnsi="宋体" w:eastAsia="长城楷体" w:cs="宋体"/>
                <w:kern w:val="0"/>
                <w:sz w:val="24"/>
                <w:szCs w:val="24"/>
                <w:highlight w:val="none"/>
                <w:lang w:val="en-US" w:eastAsia="zh-CN" w:bidi="ar-SA"/>
              </w:rPr>
              <w:t>组织踏勘</w:t>
            </w:r>
          </w:p>
          <w:p w14:paraId="31BD034B">
            <w:pPr>
              <w:rPr>
                <w:rFonts w:hint="eastAsia"/>
                <w:highlight w:val="none"/>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\o\ac(□)</w:instrText>
            </w:r>
            <w:r>
              <w:rPr>
                <w:rFonts w:hint="eastAsia" w:ascii="宋体" w:hAnsi="宋体" w:eastAsia="宋体" w:cs="宋体"/>
                <w:color w:val="000000"/>
                <w:sz w:val="24"/>
                <w:szCs w:val="24"/>
                <w:highlight w:val="none"/>
              </w:rPr>
              <w:fldChar w:fldCharType="end"/>
            </w:r>
            <w:r>
              <w:rPr>
                <w:rFonts w:hint="eastAsia" w:ascii="宋体" w:hAnsi="宋体" w:eastAsia="长城楷体" w:cs="宋体"/>
                <w:kern w:val="0"/>
                <w:sz w:val="24"/>
                <w:szCs w:val="24"/>
                <w:highlight w:val="none"/>
                <w:lang w:val="en-US" w:eastAsia="zh-CN" w:bidi="ar-SA"/>
              </w:rPr>
              <w:t>组织踏勘</w:t>
            </w:r>
          </w:p>
          <w:p w14:paraId="2F478FA1">
            <w:pPr>
              <w:rPr>
                <w:rFonts w:hint="eastAsia" w:ascii="宋体" w:hAnsi="宋体" w:eastAsia="长城楷体" w:cs="宋体"/>
                <w:kern w:val="0"/>
                <w:sz w:val="24"/>
                <w:szCs w:val="24"/>
                <w:highlight w:val="none"/>
                <w:lang w:val="en-US" w:eastAsia="zh-CN" w:bidi="ar-SA"/>
              </w:rPr>
            </w:pPr>
            <w:r>
              <w:rPr>
                <w:rFonts w:hint="eastAsia" w:ascii="宋体" w:hAnsi="宋体" w:eastAsia="长城楷体" w:cs="宋体"/>
                <w:kern w:val="0"/>
                <w:sz w:val="24"/>
                <w:szCs w:val="24"/>
                <w:highlight w:val="none"/>
                <w:lang w:val="en-US" w:eastAsia="zh-CN" w:bidi="ar-SA"/>
              </w:rPr>
              <w:t>踏勘地点：</w:t>
            </w:r>
          </w:p>
          <w:p w14:paraId="6BD980AF">
            <w:pPr>
              <w:rPr>
                <w:rFonts w:hint="default"/>
                <w:highlight w:val="none"/>
                <w:lang w:val="en-US" w:eastAsia="zh-CN"/>
              </w:rPr>
            </w:pPr>
            <w:r>
              <w:rPr>
                <w:rFonts w:hint="eastAsia" w:ascii="宋体" w:hAnsi="宋体" w:eastAsia="长城楷体" w:cs="宋体"/>
                <w:kern w:val="0"/>
                <w:sz w:val="24"/>
                <w:szCs w:val="24"/>
                <w:highlight w:val="none"/>
                <w:lang w:val="en-US" w:eastAsia="zh-CN" w:bidi="ar-SA"/>
              </w:rPr>
              <w:t>踏勘需携带企业法定代表人授权委托书</w:t>
            </w:r>
          </w:p>
        </w:tc>
      </w:tr>
      <w:tr w14:paraId="422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exact"/>
          <w:jc w:val="center"/>
        </w:trPr>
        <w:tc>
          <w:tcPr>
            <w:tcW w:w="1306" w:type="dxa"/>
            <w:shd w:val="clear" w:color="auto" w:fill="auto"/>
            <w:noWrap w:val="0"/>
            <w:vAlign w:val="center"/>
          </w:tcPr>
          <w:p w14:paraId="751D297D">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085" w:type="dxa"/>
            <w:shd w:val="clear" w:color="auto" w:fill="auto"/>
            <w:noWrap w:val="0"/>
            <w:vAlign w:val="center"/>
          </w:tcPr>
          <w:p w14:paraId="1FDF9A0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会议前预备会</w:t>
            </w:r>
          </w:p>
        </w:tc>
        <w:tc>
          <w:tcPr>
            <w:tcW w:w="6687" w:type="dxa"/>
            <w:shd w:val="clear" w:color="auto" w:fill="auto"/>
            <w:noWrap w:val="0"/>
            <w:vAlign w:val="center"/>
          </w:tcPr>
          <w:p w14:paraId="2F79C2BB">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\o\ac(□</w:instrText>
            </w:r>
            <w:r>
              <w:rPr>
                <w:rFonts w:hint="eastAsia" w:ascii="宋体" w:hAnsi="宋体" w:cs="宋体"/>
                <w:color w:val="000000"/>
                <w:sz w:val="24"/>
                <w:szCs w:val="24"/>
                <w:highlight w:val="none"/>
                <w:lang w:eastAsia="zh-CN"/>
              </w:rPr>
              <w:instrText xml:space="preserve">,</w:instrText>
            </w:r>
            <w:r>
              <w:rPr>
                <w:rFonts w:hint="eastAsia" w:ascii="宋体" w:hAnsi="宋体" w:cs="宋体"/>
                <w:color w:val="000000"/>
                <w:position w:val="2"/>
                <w:sz w:val="16"/>
                <w:szCs w:val="24"/>
                <w:highlight w:val="none"/>
                <w:lang w:eastAsia="zh-CN"/>
              </w:rPr>
              <w:instrText xml:space="preserve">√</w:instrText>
            </w:r>
            <w:r>
              <w:rPr>
                <w:rFonts w:hint="eastAsia" w:ascii="宋体" w:hAnsi="宋体" w:eastAsia="宋体" w:cs="宋体"/>
                <w:color w:val="000000"/>
                <w:sz w:val="24"/>
                <w:szCs w:val="24"/>
                <w:highlight w:val="none"/>
              </w:rPr>
              <w:instrText xml:space="preserve">)</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不召开，供应商可将问题以书面或邮件的方式发送给</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公司。</w:t>
            </w:r>
          </w:p>
        </w:tc>
      </w:tr>
      <w:tr w14:paraId="7343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1" w:hRule="atLeast"/>
          <w:jc w:val="center"/>
        </w:trPr>
        <w:tc>
          <w:tcPr>
            <w:tcW w:w="1306" w:type="dxa"/>
            <w:shd w:val="clear" w:color="auto" w:fill="auto"/>
            <w:noWrap w:val="0"/>
            <w:vAlign w:val="center"/>
          </w:tcPr>
          <w:p w14:paraId="51841FD3">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15</w:t>
            </w:r>
          </w:p>
        </w:tc>
        <w:tc>
          <w:tcPr>
            <w:tcW w:w="2085" w:type="dxa"/>
            <w:shd w:val="clear" w:color="auto" w:fill="auto"/>
            <w:noWrap w:val="0"/>
            <w:vAlign w:val="center"/>
          </w:tcPr>
          <w:p w14:paraId="3904BDC1">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供应商提出问题的截止时间</w:t>
            </w:r>
          </w:p>
        </w:tc>
        <w:tc>
          <w:tcPr>
            <w:tcW w:w="6687" w:type="dxa"/>
            <w:shd w:val="clear" w:color="auto" w:fill="auto"/>
            <w:noWrap w:val="0"/>
            <w:vAlign w:val="center"/>
          </w:tcPr>
          <w:p w14:paraId="7DBE2D42">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疑问的提出：</w:t>
            </w:r>
          </w:p>
          <w:p w14:paraId="2942F109">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提交疑问截止时间：对采购文件提出质疑的，应当在获取采购文件或者采购文件公告期限届满之日起7个工作日内提出。</w:t>
            </w:r>
          </w:p>
          <w:p w14:paraId="53F4C630">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提交地址：吉林省顺宏项目管理咨询有限公司，同时将电子版发送到采购代理公司邮箱（460566880@qq.com）  </w:t>
            </w:r>
          </w:p>
          <w:p w14:paraId="1DC6AEA1">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项目联系人：刘宇</w:t>
            </w:r>
          </w:p>
          <w:p w14:paraId="15D05C47">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电话：0431-82276521</w:t>
            </w:r>
          </w:p>
          <w:p w14:paraId="351A97FC">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用A4纸打印，一式三份，并加盖公章。</w:t>
            </w:r>
          </w:p>
          <w:p w14:paraId="1452FFDD">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若供应商未按规定提交，则视为其无疑问。</w:t>
            </w:r>
          </w:p>
        </w:tc>
      </w:tr>
      <w:tr w14:paraId="128C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6" w:hRule="atLeast"/>
          <w:jc w:val="center"/>
        </w:trPr>
        <w:tc>
          <w:tcPr>
            <w:tcW w:w="1306" w:type="dxa"/>
            <w:shd w:val="clear" w:color="auto" w:fill="auto"/>
            <w:noWrap w:val="0"/>
            <w:vAlign w:val="center"/>
          </w:tcPr>
          <w:p w14:paraId="5AFD6D75">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085" w:type="dxa"/>
            <w:shd w:val="clear" w:color="auto" w:fill="auto"/>
            <w:noWrap w:val="0"/>
            <w:vAlign w:val="center"/>
          </w:tcPr>
          <w:p w14:paraId="69806F46">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采购人书面澄清的时间</w:t>
            </w:r>
          </w:p>
        </w:tc>
        <w:tc>
          <w:tcPr>
            <w:tcW w:w="6687" w:type="dxa"/>
            <w:shd w:val="clear" w:color="auto" w:fill="auto"/>
            <w:noWrap w:val="0"/>
            <w:vAlign w:val="center"/>
          </w:tcPr>
          <w:p w14:paraId="2E8C0753">
            <w:pPr>
              <w:spacing w:line="24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响应文件</w:t>
            </w:r>
            <w:r>
              <w:rPr>
                <w:rFonts w:hint="eastAsia" w:ascii="宋体" w:hAnsi="宋体" w:cs="宋体"/>
                <w:color w:val="000000"/>
                <w:sz w:val="24"/>
                <w:szCs w:val="24"/>
                <w:highlight w:val="none"/>
                <w:lang w:val="en-US" w:eastAsia="zh-CN"/>
              </w:rPr>
              <w:t>提</w:t>
            </w:r>
            <w:r>
              <w:rPr>
                <w:rFonts w:hint="eastAsia" w:ascii="宋体" w:hAnsi="宋体" w:eastAsia="宋体" w:cs="宋体"/>
                <w:color w:val="000000"/>
                <w:sz w:val="24"/>
                <w:szCs w:val="24"/>
                <w:highlight w:val="none"/>
              </w:rPr>
              <w:t>交截止时间前5</w:t>
            </w:r>
            <w:r>
              <w:rPr>
                <w:rFonts w:hint="eastAsia" w:ascii="宋体" w:hAnsi="宋体" w:cs="宋体"/>
                <w:color w:val="000000"/>
                <w:sz w:val="24"/>
                <w:szCs w:val="24"/>
                <w:highlight w:val="none"/>
                <w:lang w:val="en-US" w:eastAsia="zh-CN"/>
              </w:rPr>
              <w:t>日</w:t>
            </w:r>
          </w:p>
        </w:tc>
      </w:tr>
      <w:tr w14:paraId="2389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06" w:type="dxa"/>
            <w:shd w:val="clear" w:color="auto" w:fill="auto"/>
            <w:noWrap w:val="0"/>
            <w:vAlign w:val="center"/>
          </w:tcPr>
          <w:p w14:paraId="2CF902CE">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085" w:type="dxa"/>
            <w:shd w:val="clear" w:color="auto" w:fill="auto"/>
            <w:noWrap w:val="0"/>
            <w:vAlign w:val="center"/>
          </w:tcPr>
          <w:p w14:paraId="75F7C19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  包</w:t>
            </w:r>
          </w:p>
        </w:tc>
        <w:tc>
          <w:tcPr>
            <w:tcW w:w="6687" w:type="dxa"/>
            <w:shd w:val="clear" w:color="auto" w:fill="auto"/>
            <w:noWrap w:val="0"/>
            <w:vAlign w:val="center"/>
          </w:tcPr>
          <w:p w14:paraId="7F179164">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\o\ac(□,√)</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不允许</w:t>
            </w:r>
          </w:p>
        </w:tc>
      </w:tr>
      <w:tr w14:paraId="62B4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jc w:val="center"/>
        </w:trPr>
        <w:tc>
          <w:tcPr>
            <w:tcW w:w="1306" w:type="dxa"/>
            <w:shd w:val="clear" w:color="auto" w:fill="auto"/>
            <w:noWrap w:val="0"/>
            <w:vAlign w:val="center"/>
          </w:tcPr>
          <w:p w14:paraId="469BC36A">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085" w:type="dxa"/>
            <w:shd w:val="clear" w:color="auto" w:fill="auto"/>
            <w:noWrap w:val="0"/>
            <w:vAlign w:val="center"/>
          </w:tcPr>
          <w:p w14:paraId="40C5A5DE">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  离</w:t>
            </w:r>
          </w:p>
        </w:tc>
        <w:tc>
          <w:tcPr>
            <w:tcW w:w="6687" w:type="dxa"/>
            <w:shd w:val="clear" w:color="auto" w:fill="auto"/>
            <w:noWrap w:val="0"/>
            <w:vAlign w:val="center"/>
          </w:tcPr>
          <w:p w14:paraId="5283748F">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\o\ac(□,√)</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不允许</w:t>
            </w:r>
          </w:p>
        </w:tc>
      </w:tr>
      <w:tr w14:paraId="6D1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5" w:hRule="atLeast"/>
          <w:jc w:val="center"/>
        </w:trPr>
        <w:tc>
          <w:tcPr>
            <w:tcW w:w="1306" w:type="dxa"/>
            <w:shd w:val="clear" w:color="auto" w:fill="auto"/>
            <w:noWrap w:val="0"/>
            <w:vAlign w:val="center"/>
          </w:tcPr>
          <w:p w14:paraId="138C3522">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085" w:type="dxa"/>
            <w:shd w:val="clear" w:color="auto" w:fill="auto"/>
            <w:noWrap w:val="0"/>
            <w:vAlign w:val="center"/>
          </w:tcPr>
          <w:p w14:paraId="6745B218">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构成</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的其他材料</w:t>
            </w:r>
          </w:p>
        </w:tc>
        <w:tc>
          <w:tcPr>
            <w:tcW w:w="6687" w:type="dxa"/>
            <w:shd w:val="clear" w:color="auto" w:fill="auto"/>
            <w:noWrap w:val="0"/>
            <w:vAlign w:val="center"/>
          </w:tcPr>
          <w:p w14:paraId="4249E25D">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无</w:t>
            </w:r>
          </w:p>
        </w:tc>
      </w:tr>
      <w:tr w14:paraId="5C47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1306" w:type="dxa"/>
            <w:shd w:val="clear" w:color="auto" w:fill="auto"/>
            <w:noWrap w:val="0"/>
            <w:vAlign w:val="center"/>
          </w:tcPr>
          <w:p w14:paraId="3D2A41A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085" w:type="dxa"/>
            <w:shd w:val="clear" w:color="auto" w:fill="auto"/>
            <w:noWrap w:val="0"/>
            <w:vAlign w:val="center"/>
          </w:tcPr>
          <w:p w14:paraId="607DA3D3">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供应商要求澄清</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的截止时间</w:t>
            </w:r>
          </w:p>
        </w:tc>
        <w:tc>
          <w:tcPr>
            <w:tcW w:w="6687" w:type="dxa"/>
            <w:shd w:val="clear" w:color="auto" w:fill="auto"/>
            <w:noWrap w:val="0"/>
            <w:vAlign w:val="center"/>
          </w:tcPr>
          <w:p w14:paraId="2E977E01">
            <w:pPr>
              <w:adjustRightInd w:val="0"/>
              <w:spacing w:line="240" w:lineRule="auto"/>
              <w:jc w:val="lef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响应文件提交</w:t>
            </w:r>
            <w:r>
              <w:rPr>
                <w:rFonts w:hint="eastAsia" w:ascii="宋体" w:hAnsi="宋体" w:eastAsia="宋体" w:cs="宋体"/>
                <w:color w:val="000000"/>
                <w:sz w:val="24"/>
                <w:szCs w:val="24"/>
                <w:highlight w:val="none"/>
              </w:rPr>
              <w:t>截止时间前5</w:t>
            </w:r>
            <w:r>
              <w:rPr>
                <w:rFonts w:hint="eastAsia" w:ascii="宋体" w:hAnsi="宋体" w:cs="宋体"/>
                <w:color w:val="000000"/>
                <w:sz w:val="24"/>
                <w:szCs w:val="24"/>
                <w:highlight w:val="none"/>
                <w:lang w:val="en-US" w:eastAsia="zh-CN"/>
              </w:rPr>
              <w:t>日</w:t>
            </w:r>
          </w:p>
        </w:tc>
      </w:tr>
      <w:tr w14:paraId="0C7F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06" w:type="dxa"/>
            <w:shd w:val="clear" w:color="auto" w:fill="auto"/>
            <w:noWrap w:val="0"/>
            <w:vAlign w:val="center"/>
          </w:tcPr>
          <w:p w14:paraId="3A508957">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085" w:type="dxa"/>
            <w:shd w:val="clear" w:color="auto" w:fill="auto"/>
            <w:noWrap w:val="0"/>
            <w:vAlign w:val="center"/>
          </w:tcPr>
          <w:p w14:paraId="372E75F3">
            <w:pPr>
              <w:spacing w:line="240" w:lineRule="auto"/>
              <w:jc w:val="center"/>
              <w:rPr>
                <w:rFonts w:hint="eastAsia" w:ascii="宋体" w:hAnsi="宋体" w:eastAsia="宋体" w:cs="宋体"/>
                <w:color w:val="000000"/>
                <w:sz w:val="24"/>
                <w:szCs w:val="24"/>
                <w:highlight w:val="none"/>
              </w:rPr>
            </w:pPr>
            <w:r>
              <w:rPr>
                <w:rFonts w:hint="eastAsia" w:ascii="宋体" w:hAnsi="宋体" w:cs="宋体"/>
                <w:sz w:val="24"/>
                <w:highlight w:val="none"/>
                <w:lang w:val="en-US" w:eastAsia="zh-CN"/>
              </w:rPr>
              <w:t>提</w:t>
            </w:r>
            <w:r>
              <w:rPr>
                <w:rFonts w:hint="eastAsia" w:ascii="宋体" w:hAnsi="宋体" w:cs="宋体"/>
                <w:sz w:val="24"/>
                <w:highlight w:val="none"/>
              </w:rPr>
              <w:t>交</w:t>
            </w:r>
            <w:r>
              <w:rPr>
                <w:rFonts w:hint="eastAsia" w:ascii="宋体" w:hAnsi="宋体" w:cs="宋体"/>
                <w:sz w:val="24"/>
                <w:highlight w:val="none"/>
                <w:lang w:eastAsia="zh-CN"/>
              </w:rPr>
              <w:t>响应文件</w:t>
            </w:r>
            <w:r>
              <w:rPr>
                <w:rFonts w:hint="eastAsia" w:ascii="宋体" w:hAnsi="宋体" w:cs="宋体"/>
                <w:sz w:val="24"/>
                <w:highlight w:val="none"/>
              </w:rPr>
              <w:t>截止时间</w:t>
            </w:r>
          </w:p>
        </w:tc>
        <w:tc>
          <w:tcPr>
            <w:tcW w:w="6687" w:type="dxa"/>
            <w:shd w:val="clear" w:color="auto" w:fill="auto"/>
            <w:noWrap w:val="0"/>
            <w:vAlign w:val="center"/>
          </w:tcPr>
          <w:p w14:paraId="2082544C">
            <w:pPr>
              <w:adjustRightInd w:val="0"/>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20日13</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sz w:val="24"/>
                <w:highlight w:val="none"/>
              </w:rPr>
              <w:t>（北京时间）</w:t>
            </w:r>
          </w:p>
        </w:tc>
      </w:tr>
      <w:tr w14:paraId="21D7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6" w:type="dxa"/>
            <w:shd w:val="clear" w:color="auto" w:fill="auto"/>
            <w:noWrap w:val="0"/>
            <w:vAlign w:val="center"/>
          </w:tcPr>
          <w:p w14:paraId="1FBEE907">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085" w:type="dxa"/>
            <w:shd w:val="clear" w:color="auto" w:fill="auto"/>
            <w:noWrap w:val="0"/>
            <w:vAlign w:val="center"/>
          </w:tcPr>
          <w:p w14:paraId="7B7C75BA">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供应商确认收到</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澄清的时间</w:t>
            </w:r>
          </w:p>
        </w:tc>
        <w:tc>
          <w:tcPr>
            <w:tcW w:w="6687" w:type="dxa"/>
            <w:shd w:val="clear" w:color="auto" w:fill="auto"/>
            <w:noWrap w:val="0"/>
            <w:vAlign w:val="center"/>
          </w:tcPr>
          <w:p w14:paraId="24CA8D74">
            <w:pPr>
              <w:spacing w:line="24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在收到相应澄清文件后</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小时内</w:t>
            </w:r>
          </w:p>
        </w:tc>
      </w:tr>
      <w:tr w14:paraId="0B4F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jc w:val="center"/>
        </w:trPr>
        <w:tc>
          <w:tcPr>
            <w:tcW w:w="1306" w:type="dxa"/>
            <w:shd w:val="clear" w:color="auto" w:fill="auto"/>
            <w:noWrap w:val="0"/>
            <w:vAlign w:val="center"/>
          </w:tcPr>
          <w:p w14:paraId="422A3F4B">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085" w:type="dxa"/>
            <w:shd w:val="clear" w:color="auto" w:fill="auto"/>
            <w:noWrap w:val="0"/>
            <w:vAlign w:val="center"/>
          </w:tcPr>
          <w:p w14:paraId="3DF5CEEE">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供应商确认收到</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修改的时间</w:t>
            </w:r>
          </w:p>
        </w:tc>
        <w:tc>
          <w:tcPr>
            <w:tcW w:w="6687" w:type="dxa"/>
            <w:shd w:val="clear" w:color="auto" w:fill="auto"/>
            <w:noWrap w:val="0"/>
            <w:vAlign w:val="center"/>
          </w:tcPr>
          <w:p w14:paraId="65BDE52D">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在收到相应修改文件后</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小时内</w:t>
            </w:r>
          </w:p>
        </w:tc>
      </w:tr>
      <w:tr w14:paraId="1998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06" w:type="dxa"/>
            <w:shd w:val="clear" w:color="auto" w:fill="auto"/>
            <w:noWrap w:val="0"/>
            <w:vAlign w:val="center"/>
          </w:tcPr>
          <w:p w14:paraId="3C255DF0">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085" w:type="dxa"/>
            <w:shd w:val="clear" w:color="auto" w:fill="auto"/>
            <w:noWrap w:val="0"/>
            <w:vAlign w:val="center"/>
          </w:tcPr>
          <w:p w14:paraId="0498457C">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磋商响应有效期</w:t>
            </w:r>
          </w:p>
        </w:tc>
        <w:tc>
          <w:tcPr>
            <w:tcW w:w="6687" w:type="dxa"/>
            <w:shd w:val="clear" w:color="auto" w:fill="auto"/>
            <w:noWrap w:val="0"/>
            <w:vAlign w:val="center"/>
          </w:tcPr>
          <w:p w14:paraId="4A928D34">
            <w:pPr>
              <w:spacing w:line="240" w:lineRule="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提交响应文件</w:t>
            </w:r>
            <w:r>
              <w:rPr>
                <w:rFonts w:hint="eastAsia" w:ascii="宋体" w:hAnsi="宋体" w:eastAsia="宋体" w:cs="宋体"/>
                <w:color w:val="000000"/>
                <w:sz w:val="24"/>
                <w:szCs w:val="24"/>
                <w:highlight w:val="none"/>
              </w:rPr>
              <w:t>截止之日起</w:t>
            </w:r>
            <w:r>
              <w:rPr>
                <w:rFonts w:hint="eastAsia" w:ascii="宋体" w:hAnsi="宋体" w:eastAsia="宋体" w:cs="宋体"/>
                <w:color w:val="000000"/>
                <w:sz w:val="24"/>
                <w:szCs w:val="24"/>
                <w:highlight w:val="none"/>
                <w:lang w:val="en-US" w:eastAsia="zh-CN"/>
              </w:rPr>
              <w:t>90</w:t>
            </w:r>
            <w:r>
              <w:rPr>
                <w:rFonts w:hint="eastAsia" w:ascii="宋体" w:hAnsi="宋体" w:eastAsia="宋体" w:cs="宋体"/>
                <w:color w:val="000000"/>
                <w:sz w:val="24"/>
                <w:szCs w:val="24"/>
                <w:highlight w:val="none"/>
              </w:rPr>
              <w:t>日历天</w:t>
            </w:r>
          </w:p>
        </w:tc>
      </w:tr>
      <w:tr w14:paraId="5DC3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06" w:type="dxa"/>
            <w:shd w:val="clear" w:color="auto" w:fill="auto"/>
            <w:noWrap w:val="0"/>
            <w:vAlign w:val="center"/>
          </w:tcPr>
          <w:p w14:paraId="00243D5B">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085" w:type="dxa"/>
            <w:shd w:val="clear" w:color="auto" w:fill="auto"/>
            <w:noWrap w:val="0"/>
            <w:vAlign w:val="center"/>
          </w:tcPr>
          <w:p w14:paraId="7A9C103B">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磋商保证金</w:t>
            </w:r>
          </w:p>
        </w:tc>
        <w:tc>
          <w:tcPr>
            <w:tcW w:w="6687" w:type="dxa"/>
            <w:shd w:val="clear" w:color="auto" w:fill="auto"/>
            <w:noWrap w:val="0"/>
            <w:vAlign w:val="center"/>
          </w:tcPr>
          <w:p w14:paraId="1C5E0135">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执行长财采购[2021]695号文件规定，自2021年7月1日起，长春市政府采购货物和服务招标投标活动及非招标采购方式采购货物、工程和服务不得向诚信纪录良好的供应商收取磋商保证金，但对于满足《中华人民共和国政府采购法》第二十二条有关规定，经信用中国网站查询存在行政处罚信息的供应商，采购人、采购代理机构可以按规定收取磋商保证金。</w:t>
            </w:r>
          </w:p>
          <w:p w14:paraId="05FF7229">
            <w:pPr>
              <w:spacing w:line="24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、磋商保证金：</w:t>
            </w:r>
            <w:r>
              <w:rPr>
                <w:rFonts w:hint="eastAsia" w:ascii="宋体" w:hAnsi="宋体" w:cs="宋体"/>
                <w:color w:val="000000"/>
                <w:sz w:val="24"/>
                <w:szCs w:val="24"/>
                <w:highlight w:val="none"/>
                <w:lang w:val="en-US" w:eastAsia="zh-CN"/>
              </w:rPr>
              <w:t>7000</w:t>
            </w:r>
            <w:r>
              <w:rPr>
                <w:rFonts w:hint="eastAsia" w:ascii="宋体" w:hAnsi="宋体" w:eastAsia="宋体" w:cs="宋体"/>
                <w:color w:val="000000"/>
                <w:sz w:val="24"/>
                <w:szCs w:val="24"/>
                <w:highlight w:val="none"/>
                <w:lang w:eastAsia="zh-CN"/>
              </w:rPr>
              <w:t>元。</w:t>
            </w:r>
          </w:p>
          <w:p w14:paraId="58EAE862">
            <w:pPr>
              <w:spacing w:line="24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提交</w:t>
            </w:r>
            <w:r>
              <w:rPr>
                <w:rFonts w:hint="eastAsia" w:ascii="宋体" w:hAnsi="宋体" w:eastAsia="宋体" w:cs="宋体"/>
                <w:color w:val="000000"/>
                <w:sz w:val="24"/>
                <w:szCs w:val="24"/>
                <w:highlight w:val="none"/>
                <w:lang w:eastAsia="zh-CN"/>
              </w:rPr>
              <w:t>形式：供应商自主选择支票、汇票、本票、保函、转账、电汇等形式；</w:t>
            </w:r>
          </w:p>
          <w:p w14:paraId="59BEA8BD">
            <w:pPr>
              <w:adjustRightInd w:val="0"/>
              <w:snapToGrid w:val="0"/>
              <w:spacing w:before="36" w:beforeLines="15"/>
              <w:jc w:val="left"/>
              <w:rPr>
                <w:rFonts w:hint="eastAsia" w:ascii="宋体" w:hAnsi="宋体" w:cs="宋体"/>
                <w:bCs/>
                <w:color w:val="000000"/>
                <w:sz w:val="24"/>
                <w:highlight w:val="none"/>
              </w:rPr>
            </w:pPr>
            <w:r>
              <w:rPr>
                <w:rFonts w:hint="eastAsia" w:ascii="宋体" w:hAnsi="宋体" w:cs="宋体"/>
                <w:bCs/>
                <w:color w:val="000000"/>
                <w:sz w:val="24"/>
                <w:highlight w:val="none"/>
              </w:rPr>
              <w:t>账户：吉林省顺宏项目管理咨询有限公司</w:t>
            </w:r>
          </w:p>
          <w:p w14:paraId="11D1A0C8">
            <w:pPr>
              <w:adjustRightInd w:val="0"/>
              <w:snapToGrid w:val="0"/>
              <w:spacing w:before="36" w:beforeLines="15"/>
              <w:jc w:val="left"/>
              <w:rPr>
                <w:rFonts w:hint="eastAsia" w:ascii="宋体" w:hAnsi="宋体" w:cs="宋体"/>
                <w:bCs/>
                <w:color w:val="000000"/>
                <w:sz w:val="24"/>
                <w:highlight w:val="none"/>
              </w:rPr>
            </w:pPr>
            <w:r>
              <w:rPr>
                <w:rFonts w:hint="eastAsia" w:ascii="宋体" w:hAnsi="宋体" w:cs="宋体"/>
                <w:bCs/>
                <w:color w:val="000000"/>
                <w:sz w:val="24"/>
                <w:highlight w:val="none"/>
              </w:rPr>
              <w:t>开户行：长春农村商业银行股份有限公司金宇大路支行</w:t>
            </w:r>
          </w:p>
          <w:p w14:paraId="2BFBF67D">
            <w:pPr>
              <w:adjustRightInd w:val="0"/>
              <w:snapToGrid w:val="0"/>
              <w:spacing w:before="36" w:beforeLines="15"/>
              <w:jc w:val="left"/>
              <w:rPr>
                <w:rFonts w:hint="eastAsia" w:ascii="宋体" w:hAnsi="宋体" w:cs="宋体"/>
                <w:bCs/>
                <w:color w:val="000000"/>
                <w:sz w:val="24"/>
                <w:highlight w:val="none"/>
              </w:rPr>
            </w:pPr>
            <w:r>
              <w:rPr>
                <w:rFonts w:hint="eastAsia" w:ascii="宋体" w:hAnsi="宋体" w:cs="宋体"/>
                <w:bCs/>
                <w:color w:val="000000"/>
                <w:sz w:val="24"/>
                <w:highlight w:val="none"/>
              </w:rPr>
              <w:t>账号：0710773011015200000318</w:t>
            </w:r>
          </w:p>
          <w:p w14:paraId="344570BF">
            <w:pPr>
              <w:spacing w:line="24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提交</w:t>
            </w:r>
            <w:r>
              <w:rPr>
                <w:rFonts w:hint="eastAsia" w:ascii="宋体" w:hAnsi="宋体" w:eastAsia="宋体" w:cs="宋体"/>
                <w:color w:val="000000"/>
                <w:sz w:val="24"/>
                <w:szCs w:val="24"/>
                <w:highlight w:val="none"/>
                <w:lang w:eastAsia="zh-CN"/>
              </w:rPr>
              <w:t>时间：供应商应于</w:t>
            </w:r>
            <w:r>
              <w:rPr>
                <w:rFonts w:hint="eastAsia" w:ascii="宋体" w:hAnsi="宋体" w:cs="宋体"/>
                <w:color w:val="000000"/>
                <w:sz w:val="24"/>
                <w:szCs w:val="24"/>
                <w:highlight w:val="none"/>
                <w:lang w:eastAsia="zh-CN"/>
              </w:rPr>
              <w:t>提交</w:t>
            </w:r>
            <w:r>
              <w:rPr>
                <w:rFonts w:hint="eastAsia" w:ascii="宋体" w:hAnsi="宋体" w:eastAsia="宋体" w:cs="宋体"/>
                <w:color w:val="000000"/>
                <w:sz w:val="24"/>
                <w:szCs w:val="24"/>
                <w:highlight w:val="none"/>
                <w:lang w:eastAsia="zh-CN"/>
              </w:rPr>
              <w:t>响应文件截止时间前</w:t>
            </w:r>
            <w:r>
              <w:rPr>
                <w:rFonts w:hint="eastAsia" w:ascii="宋体" w:hAnsi="宋体" w:cs="宋体"/>
                <w:color w:val="000000"/>
                <w:sz w:val="24"/>
                <w:szCs w:val="24"/>
                <w:highlight w:val="none"/>
                <w:lang w:eastAsia="zh-CN"/>
              </w:rPr>
              <w:t>提交</w:t>
            </w:r>
            <w:r>
              <w:rPr>
                <w:rFonts w:hint="eastAsia" w:ascii="宋体" w:hAnsi="宋体" w:eastAsia="宋体" w:cs="宋体"/>
                <w:color w:val="000000"/>
                <w:sz w:val="24"/>
                <w:szCs w:val="24"/>
                <w:highlight w:val="none"/>
                <w:lang w:eastAsia="zh-CN"/>
              </w:rPr>
              <w:t>，以到账为准。</w:t>
            </w:r>
          </w:p>
          <w:p w14:paraId="666490B9">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采用银行保函形式提交的，供应商应当在提交响应文件截止时间前向采购代理机构</w:t>
            </w:r>
            <w:r>
              <w:rPr>
                <w:rFonts w:hint="eastAsia" w:ascii="宋体" w:hAnsi="宋体" w:cs="宋体"/>
                <w:color w:val="000000"/>
                <w:sz w:val="24"/>
                <w:szCs w:val="24"/>
                <w:highlight w:val="none"/>
                <w:lang w:eastAsia="zh-CN"/>
              </w:rPr>
              <w:t>提交</w:t>
            </w:r>
            <w:r>
              <w:rPr>
                <w:rFonts w:hint="eastAsia" w:ascii="宋体" w:hAnsi="宋体" w:eastAsia="宋体" w:cs="宋体"/>
                <w:color w:val="000000"/>
                <w:sz w:val="24"/>
                <w:szCs w:val="24"/>
                <w:highlight w:val="none"/>
                <w:lang w:eastAsia="zh-CN"/>
              </w:rPr>
              <w:t>保函原件。</w:t>
            </w:r>
          </w:p>
          <w:p w14:paraId="12A01ADF">
            <w:pPr>
              <w:spacing w:line="24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、未按</w:t>
            </w:r>
            <w:r>
              <w:rPr>
                <w:rFonts w:hint="eastAsia" w:ascii="宋体" w:hAnsi="宋体" w:cs="宋体"/>
                <w:color w:val="000000"/>
                <w:sz w:val="24"/>
                <w:szCs w:val="24"/>
                <w:highlight w:val="none"/>
                <w:lang w:eastAsia="zh-CN"/>
              </w:rPr>
              <w:t>竞争性磋商文件</w:t>
            </w:r>
            <w:r>
              <w:rPr>
                <w:rFonts w:hint="eastAsia" w:ascii="宋体" w:hAnsi="宋体" w:eastAsia="宋体" w:cs="宋体"/>
                <w:color w:val="000000"/>
                <w:sz w:val="24"/>
                <w:szCs w:val="24"/>
                <w:highlight w:val="none"/>
                <w:lang w:eastAsia="zh-CN"/>
              </w:rPr>
              <w:t>要求提交磋商保证金，或提交磋商保证金的账户名称与供应商名称不一致，按照无效投标处理。</w:t>
            </w:r>
          </w:p>
          <w:p w14:paraId="0DAB3C75">
            <w:pPr>
              <w:spacing w:line="240" w:lineRule="auto"/>
              <w:rPr>
                <w:rFonts w:hint="eastAsia" w:ascii="宋体" w:hAnsi="宋体" w:eastAsia="宋体" w:cs="宋体"/>
                <w:b/>
                <w:color w:val="000000"/>
                <w:sz w:val="24"/>
                <w:szCs w:val="24"/>
                <w:highlight w:val="none"/>
                <w:lang w:eastAsia="zh-CN"/>
              </w:rPr>
            </w:pPr>
            <w:r>
              <w:rPr>
                <w:rFonts w:hint="eastAsia" w:ascii="宋体" w:hAnsi="宋体" w:eastAsia="宋体" w:cs="宋体"/>
                <w:color w:val="000000"/>
                <w:sz w:val="24"/>
                <w:szCs w:val="24"/>
                <w:highlight w:val="none"/>
                <w:lang w:eastAsia="zh-CN"/>
              </w:rPr>
              <w:t>注：供应商应在电汇或转账凭证上明确用途、项目名称。</w:t>
            </w:r>
          </w:p>
        </w:tc>
      </w:tr>
      <w:tr w14:paraId="58AE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jc w:val="center"/>
        </w:trPr>
        <w:tc>
          <w:tcPr>
            <w:tcW w:w="1306" w:type="dxa"/>
            <w:shd w:val="clear" w:color="auto" w:fill="auto"/>
            <w:noWrap w:val="0"/>
            <w:vAlign w:val="center"/>
          </w:tcPr>
          <w:p w14:paraId="15B8BFBF">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26</w:t>
            </w:r>
          </w:p>
        </w:tc>
        <w:tc>
          <w:tcPr>
            <w:tcW w:w="2085" w:type="dxa"/>
            <w:shd w:val="clear" w:color="auto" w:fill="auto"/>
            <w:noWrap w:val="0"/>
            <w:vAlign w:val="center"/>
          </w:tcPr>
          <w:p w14:paraId="0D1C47B4">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近年财务状况的要求</w:t>
            </w:r>
          </w:p>
        </w:tc>
        <w:tc>
          <w:tcPr>
            <w:tcW w:w="6687" w:type="dxa"/>
            <w:shd w:val="clear" w:color="auto" w:fill="auto"/>
            <w:noWrap w:val="0"/>
            <w:vAlign w:val="center"/>
          </w:tcPr>
          <w:p w14:paraId="43AF762B">
            <w:pP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具有良好的商业信誉和健全的财务会计制度，提供财务状况良好资格条件承诺函</w:t>
            </w:r>
          </w:p>
        </w:tc>
      </w:tr>
      <w:tr w14:paraId="615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jc w:val="center"/>
        </w:trPr>
        <w:tc>
          <w:tcPr>
            <w:tcW w:w="1306" w:type="dxa"/>
            <w:shd w:val="clear" w:color="auto" w:fill="auto"/>
            <w:noWrap w:val="0"/>
            <w:vAlign w:val="center"/>
          </w:tcPr>
          <w:p w14:paraId="1137D429">
            <w:pPr>
              <w:keepNext w:val="0"/>
              <w:keepLines w:val="0"/>
              <w:widowControl/>
              <w:suppressLineNumbers w:val="0"/>
              <w:jc w:val="center"/>
              <w:textAlignment w:val="center"/>
              <w:rPr>
                <w:rFonts w:hint="default" w:ascii="宋体" w:hAnsi="宋体" w:eastAsia="宋体" w:cs="宋体"/>
                <w:color w:val="000000"/>
                <w:sz w:val="24"/>
                <w:szCs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27</w:t>
            </w:r>
          </w:p>
        </w:tc>
        <w:tc>
          <w:tcPr>
            <w:tcW w:w="2085" w:type="dxa"/>
            <w:shd w:val="clear" w:color="auto" w:fill="auto"/>
            <w:noWrap w:val="0"/>
            <w:vAlign w:val="center"/>
          </w:tcPr>
          <w:p w14:paraId="0BF04833">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近年类似业绩及其他材料的年份要求</w:t>
            </w:r>
          </w:p>
        </w:tc>
        <w:tc>
          <w:tcPr>
            <w:tcW w:w="6687" w:type="dxa"/>
            <w:shd w:val="clear" w:color="auto" w:fill="auto"/>
            <w:noWrap w:val="0"/>
            <w:vAlign w:val="center"/>
          </w:tcPr>
          <w:p w14:paraId="00694FAC">
            <w:pPr>
              <w:spacing w:line="24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2022年1月1日至今</w:t>
            </w:r>
          </w:p>
        </w:tc>
      </w:tr>
      <w:tr w14:paraId="4F40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6" w:type="dxa"/>
            <w:shd w:val="clear" w:color="auto" w:fill="auto"/>
            <w:noWrap w:val="0"/>
            <w:vAlign w:val="center"/>
          </w:tcPr>
          <w:p w14:paraId="4FED07F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085" w:type="dxa"/>
            <w:shd w:val="clear" w:color="auto" w:fill="auto"/>
            <w:noWrap w:val="0"/>
            <w:vAlign w:val="center"/>
          </w:tcPr>
          <w:p w14:paraId="6F4125F3">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是否允许</w:t>
            </w:r>
            <w:r>
              <w:rPr>
                <w:rFonts w:hint="eastAsia" w:ascii="宋体" w:hAnsi="宋体" w:cs="宋体"/>
                <w:color w:val="000000"/>
                <w:sz w:val="24"/>
                <w:szCs w:val="24"/>
                <w:highlight w:val="none"/>
                <w:lang w:val="en-US" w:eastAsia="zh-CN"/>
              </w:rPr>
              <w:t>提交</w:t>
            </w:r>
            <w:r>
              <w:rPr>
                <w:rFonts w:hint="eastAsia" w:ascii="宋体" w:hAnsi="宋体" w:eastAsia="宋体" w:cs="宋体"/>
                <w:color w:val="000000"/>
                <w:sz w:val="24"/>
                <w:szCs w:val="24"/>
                <w:highlight w:val="none"/>
                <w:lang w:val="en-US" w:eastAsia="zh-CN"/>
              </w:rPr>
              <w:t>备选磋商方案</w:t>
            </w:r>
          </w:p>
        </w:tc>
        <w:tc>
          <w:tcPr>
            <w:tcW w:w="6687" w:type="dxa"/>
            <w:shd w:val="clear" w:color="auto" w:fill="auto"/>
            <w:noWrap w:val="0"/>
            <w:vAlign w:val="center"/>
          </w:tcPr>
          <w:p w14:paraId="10D9D559">
            <w:pPr>
              <w:spacing w:line="24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fldChar w:fldCharType="begin"/>
            </w:r>
            <w:r>
              <w:rPr>
                <w:rFonts w:hint="eastAsia" w:ascii="宋体" w:hAnsi="宋体" w:eastAsia="宋体" w:cs="宋体"/>
                <w:color w:val="000000"/>
                <w:sz w:val="24"/>
                <w:szCs w:val="24"/>
                <w:highlight w:val="none"/>
                <w:lang w:eastAsia="zh-CN"/>
              </w:rPr>
              <w:instrText xml:space="preserve"> eq \o\ac(□)</w:instrText>
            </w:r>
            <w:r>
              <w:rPr>
                <w:rFonts w:hint="eastAsia" w:ascii="宋体" w:hAnsi="宋体" w:eastAsia="宋体" w:cs="宋体"/>
                <w:color w:val="000000"/>
                <w:sz w:val="24"/>
                <w:szCs w:val="24"/>
                <w:highlight w:val="none"/>
                <w:lang w:eastAsia="zh-CN"/>
              </w:rPr>
              <w:fldChar w:fldCharType="end"/>
            </w:r>
            <w:r>
              <w:rPr>
                <w:rFonts w:hint="eastAsia" w:ascii="宋体" w:hAnsi="宋体" w:eastAsia="宋体" w:cs="宋体"/>
                <w:color w:val="000000"/>
                <w:sz w:val="24"/>
                <w:szCs w:val="24"/>
                <w:highlight w:val="none"/>
                <w:lang w:eastAsia="zh-CN"/>
              </w:rPr>
              <w:t>允许</w:t>
            </w:r>
          </w:p>
          <w:p w14:paraId="4E818E6D">
            <w:pPr>
              <w:spacing w:line="240" w:lineRule="auto"/>
              <w:rPr>
                <w:rFonts w:hint="eastAsia"/>
                <w:highlight w:val="none"/>
              </w:rPr>
            </w:pPr>
            <w:r>
              <w:rPr>
                <w:rFonts w:hint="eastAsia" w:ascii="宋体" w:hAnsi="宋体" w:eastAsia="宋体" w:cs="宋体"/>
                <w:color w:val="000000"/>
                <w:sz w:val="24"/>
                <w:szCs w:val="24"/>
                <w:highlight w:val="none"/>
                <w:lang w:eastAsia="zh-CN"/>
              </w:rPr>
              <w:fldChar w:fldCharType="begin"/>
            </w:r>
            <w:r>
              <w:rPr>
                <w:rFonts w:hint="eastAsia" w:ascii="宋体" w:hAnsi="宋体" w:eastAsia="宋体" w:cs="宋体"/>
                <w:color w:val="000000"/>
                <w:sz w:val="24"/>
                <w:szCs w:val="24"/>
                <w:highlight w:val="none"/>
                <w:lang w:eastAsia="zh-CN"/>
              </w:rPr>
              <w:instrText xml:space="preserve"> eq \o\ac(□</w:instrText>
            </w:r>
            <w:r>
              <w:rPr>
                <w:rFonts w:hint="eastAsia" w:ascii="宋体" w:hAnsi="宋体" w:cs="宋体"/>
                <w:color w:val="000000"/>
                <w:sz w:val="24"/>
                <w:szCs w:val="24"/>
                <w:highlight w:val="none"/>
                <w:lang w:eastAsia="zh-CN"/>
              </w:rPr>
              <w:instrText xml:space="preserve">,</w:instrText>
            </w:r>
            <w:r>
              <w:rPr>
                <w:rFonts w:hint="eastAsia" w:ascii="宋体" w:hAnsi="宋体" w:cs="宋体"/>
                <w:color w:val="000000"/>
                <w:position w:val="2"/>
                <w:sz w:val="16"/>
                <w:szCs w:val="24"/>
                <w:highlight w:val="none"/>
                <w:lang w:eastAsia="zh-CN"/>
              </w:rPr>
              <w:instrText xml:space="preserve">√</w:instrText>
            </w:r>
            <w:r>
              <w:rPr>
                <w:rFonts w:hint="eastAsia" w:ascii="宋体" w:hAnsi="宋体" w:eastAsia="宋体" w:cs="宋体"/>
                <w:color w:val="000000"/>
                <w:sz w:val="24"/>
                <w:szCs w:val="24"/>
                <w:highlight w:val="none"/>
                <w:lang w:eastAsia="zh-CN"/>
              </w:rPr>
              <w:instrText xml:space="preserve">)</w:instrText>
            </w:r>
            <w:r>
              <w:rPr>
                <w:rFonts w:hint="eastAsia" w:ascii="宋体" w:hAnsi="宋体" w:eastAsia="宋体" w:cs="宋体"/>
                <w:color w:val="000000"/>
                <w:sz w:val="24"/>
                <w:szCs w:val="24"/>
                <w:highlight w:val="none"/>
                <w:lang w:eastAsia="zh-CN"/>
              </w:rPr>
              <w:fldChar w:fldCharType="end"/>
            </w:r>
            <w:r>
              <w:rPr>
                <w:rFonts w:hint="eastAsia" w:ascii="宋体" w:hAnsi="宋体" w:eastAsia="宋体" w:cs="宋体"/>
                <w:color w:val="000000"/>
                <w:sz w:val="24"/>
                <w:szCs w:val="24"/>
                <w:highlight w:val="none"/>
                <w:lang w:eastAsia="zh-CN"/>
              </w:rPr>
              <w:t>不允许</w:t>
            </w:r>
          </w:p>
        </w:tc>
      </w:tr>
      <w:tr w14:paraId="1C09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7" w:hRule="atLeast"/>
          <w:jc w:val="center"/>
        </w:trPr>
        <w:tc>
          <w:tcPr>
            <w:tcW w:w="1306" w:type="dxa"/>
            <w:shd w:val="clear" w:color="auto" w:fill="auto"/>
            <w:noWrap w:val="0"/>
            <w:vAlign w:val="center"/>
          </w:tcPr>
          <w:p w14:paraId="024AC9F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085" w:type="dxa"/>
            <w:shd w:val="clear" w:color="auto" w:fill="auto"/>
            <w:noWrap w:val="0"/>
            <w:vAlign w:val="center"/>
          </w:tcPr>
          <w:p w14:paraId="2FAC339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签字和（或）盖章要求</w:t>
            </w:r>
          </w:p>
        </w:tc>
        <w:tc>
          <w:tcPr>
            <w:tcW w:w="6687" w:type="dxa"/>
            <w:shd w:val="clear" w:color="auto" w:fill="auto"/>
            <w:noWrap w:val="0"/>
            <w:vAlign w:val="center"/>
          </w:tcPr>
          <w:p w14:paraId="4E84A45C">
            <w:pPr>
              <w:spacing w:line="240" w:lineRule="auto"/>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响应文件的签署盖章及填写符合竞争性磋商文件的要求。</w:t>
            </w:r>
          </w:p>
        </w:tc>
      </w:tr>
      <w:tr w14:paraId="7B4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jc w:val="center"/>
        </w:trPr>
        <w:tc>
          <w:tcPr>
            <w:tcW w:w="1306" w:type="dxa"/>
            <w:shd w:val="clear" w:color="auto" w:fill="auto"/>
            <w:noWrap w:val="0"/>
            <w:vAlign w:val="center"/>
          </w:tcPr>
          <w:p w14:paraId="6F9F48F3">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085" w:type="dxa"/>
            <w:shd w:val="clear" w:color="auto" w:fill="auto"/>
            <w:noWrap w:val="0"/>
            <w:vAlign w:val="center"/>
          </w:tcPr>
          <w:p w14:paraId="7391134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响应文件份数</w:t>
            </w:r>
          </w:p>
        </w:tc>
        <w:tc>
          <w:tcPr>
            <w:tcW w:w="6687" w:type="dxa"/>
            <w:shd w:val="clear" w:color="auto" w:fill="auto"/>
            <w:noWrap w:val="0"/>
            <w:vAlign w:val="center"/>
          </w:tcPr>
          <w:p w14:paraId="510E7EC4">
            <w:pPr>
              <w:spacing w:line="240" w:lineRule="auto"/>
              <w:rPr>
                <w:rFonts w:hint="default" w:eastAsia="宋体"/>
                <w:highlight w:val="none"/>
                <w:lang w:val="en-US" w:eastAsia="zh-CN"/>
              </w:rPr>
            </w:pPr>
            <w:r>
              <w:rPr>
                <w:rFonts w:hint="default" w:ascii="宋体" w:hAnsi="宋体" w:eastAsia="宋体" w:cs="宋体"/>
                <w:color w:val="000000"/>
                <w:sz w:val="24"/>
                <w:szCs w:val="24"/>
                <w:highlight w:val="none"/>
                <w:lang w:val="en-US" w:eastAsia="zh-CN"/>
              </w:rPr>
              <w:t>响应文件1份（此响应文件须上传至“政采云”平台）。</w:t>
            </w:r>
          </w:p>
        </w:tc>
      </w:tr>
      <w:tr w14:paraId="4152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306" w:type="dxa"/>
            <w:shd w:val="clear" w:color="auto" w:fill="auto"/>
            <w:noWrap w:val="0"/>
            <w:vAlign w:val="center"/>
          </w:tcPr>
          <w:p w14:paraId="0A489662">
            <w:pPr>
              <w:keepNext w:val="0"/>
              <w:keepLines w:val="0"/>
              <w:widowControl/>
              <w:suppressLineNumbers w:val="0"/>
              <w:jc w:val="center"/>
              <w:textAlignment w:val="center"/>
              <w:rPr>
                <w:rFonts w:hint="default" w:ascii="宋体" w:hAnsi="宋体" w:eastAsia="宋体" w:cs="宋体"/>
                <w:color w:val="000000"/>
                <w:sz w:val="24"/>
                <w:szCs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31</w:t>
            </w:r>
          </w:p>
        </w:tc>
        <w:tc>
          <w:tcPr>
            <w:tcW w:w="2085" w:type="dxa"/>
            <w:shd w:val="clear" w:color="auto" w:fill="auto"/>
            <w:noWrap w:val="0"/>
            <w:vAlign w:val="center"/>
          </w:tcPr>
          <w:p w14:paraId="29BCC3AF">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是否退还</w:t>
            </w:r>
            <w:r>
              <w:rPr>
                <w:rFonts w:hint="eastAsia" w:ascii="宋体" w:hAnsi="宋体" w:cs="宋体"/>
                <w:color w:val="000000"/>
                <w:sz w:val="24"/>
                <w:szCs w:val="24"/>
                <w:highlight w:val="none"/>
                <w:lang w:eastAsia="zh-CN"/>
              </w:rPr>
              <w:t>响应文件</w:t>
            </w:r>
          </w:p>
        </w:tc>
        <w:tc>
          <w:tcPr>
            <w:tcW w:w="6687" w:type="dxa"/>
            <w:shd w:val="clear" w:color="auto" w:fill="auto"/>
            <w:noWrap w:val="0"/>
            <w:vAlign w:val="center"/>
          </w:tcPr>
          <w:p w14:paraId="79C97A4C">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否</w:t>
            </w:r>
          </w:p>
        </w:tc>
      </w:tr>
      <w:tr w14:paraId="02AA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306" w:type="dxa"/>
            <w:shd w:val="clear" w:color="auto" w:fill="auto"/>
            <w:noWrap w:val="0"/>
            <w:vAlign w:val="center"/>
          </w:tcPr>
          <w:p w14:paraId="219604FB">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085" w:type="dxa"/>
            <w:shd w:val="clear" w:color="auto" w:fill="auto"/>
            <w:noWrap w:val="0"/>
            <w:vAlign w:val="center"/>
          </w:tcPr>
          <w:p w14:paraId="285FBC1C">
            <w:pPr>
              <w:spacing w:line="24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开启</w:t>
            </w:r>
            <w:r>
              <w:rPr>
                <w:rFonts w:hint="eastAsia" w:ascii="宋体" w:hAnsi="宋体" w:eastAsia="宋体" w:cs="宋体"/>
                <w:color w:val="000000"/>
                <w:sz w:val="24"/>
                <w:szCs w:val="24"/>
                <w:highlight w:val="none"/>
              </w:rPr>
              <w:t>时间和地点</w:t>
            </w:r>
          </w:p>
        </w:tc>
        <w:tc>
          <w:tcPr>
            <w:tcW w:w="6687" w:type="dxa"/>
            <w:shd w:val="clear" w:color="auto" w:fill="auto"/>
            <w:noWrap w:val="0"/>
            <w:vAlign w:val="center"/>
          </w:tcPr>
          <w:p w14:paraId="356EC9D9">
            <w:pPr>
              <w:spacing w:line="24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开启</w:t>
            </w:r>
            <w:r>
              <w:rPr>
                <w:rFonts w:hint="eastAsia" w:ascii="宋体" w:hAnsi="宋体" w:eastAsia="宋体" w:cs="宋体"/>
                <w:color w:val="000000"/>
                <w:sz w:val="24"/>
                <w:szCs w:val="24"/>
                <w:highlight w:val="none"/>
              </w:rPr>
              <w:t>时间：</w:t>
            </w: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02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20日13</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sz w:val="24"/>
                <w:highlight w:val="none"/>
              </w:rPr>
              <w:t>（北京时间）</w:t>
            </w:r>
          </w:p>
          <w:p w14:paraId="26ABB360">
            <w:pPr>
              <w:spacing w:line="240" w:lineRule="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开启</w:t>
            </w:r>
            <w:r>
              <w:rPr>
                <w:rFonts w:hint="eastAsia" w:ascii="宋体" w:hAnsi="宋体" w:eastAsia="宋体" w:cs="宋体"/>
                <w:color w:val="000000"/>
                <w:sz w:val="24"/>
                <w:szCs w:val="24"/>
                <w:highlight w:val="none"/>
              </w:rPr>
              <w:t>地点：长春市二道区洋浦大街6999号凯利中心AB栋101</w:t>
            </w:r>
            <w:r>
              <w:rPr>
                <w:rFonts w:hint="eastAsia" w:ascii="宋体" w:hAnsi="宋体" w:cs="宋体"/>
                <w:color w:val="000000"/>
                <w:sz w:val="24"/>
                <w:szCs w:val="24"/>
                <w:highlight w:val="none"/>
                <w:lang w:val="en-US" w:eastAsia="zh-CN"/>
              </w:rPr>
              <w:t>评</w:t>
            </w:r>
            <w:r>
              <w:rPr>
                <w:rFonts w:hint="eastAsia" w:ascii="宋体" w:hAnsi="宋体" w:eastAsia="宋体" w:cs="宋体"/>
                <w:color w:val="000000"/>
                <w:sz w:val="24"/>
                <w:szCs w:val="24"/>
                <w:highlight w:val="none"/>
              </w:rPr>
              <w:t>标</w:t>
            </w: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室</w:t>
            </w:r>
          </w:p>
        </w:tc>
      </w:tr>
      <w:tr w14:paraId="14E1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306" w:type="dxa"/>
            <w:shd w:val="clear" w:color="auto" w:fill="auto"/>
            <w:noWrap w:val="0"/>
            <w:vAlign w:val="center"/>
          </w:tcPr>
          <w:p w14:paraId="323ACB92">
            <w:pPr>
              <w:keepNext w:val="0"/>
              <w:keepLines w:val="0"/>
              <w:widowControl/>
              <w:suppressLineNumbers w:val="0"/>
              <w:jc w:val="center"/>
              <w:textAlignment w:val="center"/>
              <w:rPr>
                <w:rFonts w:hint="default" w:ascii="宋体" w:hAnsi="宋体" w:eastAsia="宋体" w:cs="宋体"/>
                <w:color w:val="000000"/>
                <w:sz w:val="24"/>
                <w:szCs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33</w:t>
            </w:r>
          </w:p>
        </w:tc>
        <w:tc>
          <w:tcPr>
            <w:tcW w:w="2085" w:type="dxa"/>
            <w:shd w:val="clear" w:color="auto" w:fill="auto"/>
            <w:noWrap w:val="0"/>
            <w:vAlign w:val="center"/>
          </w:tcPr>
          <w:p w14:paraId="72E1D9FF">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磋商小组的组建</w:t>
            </w:r>
          </w:p>
        </w:tc>
        <w:tc>
          <w:tcPr>
            <w:tcW w:w="6687" w:type="dxa"/>
            <w:shd w:val="clear" w:color="auto" w:fill="auto"/>
            <w:noWrap w:val="0"/>
            <w:vAlign w:val="center"/>
          </w:tcPr>
          <w:p w14:paraId="48333F96">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磋商小组构成：采购人代表0人、专家3人，共3人组成</w:t>
            </w:r>
          </w:p>
          <w:p w14:paraId="50E73FE1">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评审专家确定方式：专家从</w:t>
            </w:r>
            <w:r>
              <w:rPr>
                <w:rFonts w:hint="eastAsia" w:ascii="宋体" w:hAnsi="宋体" w:cs="宋体"/>
                <w:color w:val="000000"/>
                <w:sz w:val="24"/>
                <w:szCs w:val="24"/>
                <w:highlight w:val="none"/>
                <w:lang w:val="en-US" w:eastAsia="zh-CN"/>
              </w:rPr>
              <w:t>政采云</w:t>
            </w:r>
            <w:r>
              <w:rPr>
                <w:rFonts w:hint="eastAsia" w:ascii="宋体" w:hAnsi="宋体" w:eastAsia="宋体" w:cs="宋体"/>
                <w:color w:val="000000"/>
                <w:sz w:val="24"/>
                <w:szCs w:val="24"/>
                <w:highlight w:val="none"/>
              </w:rPr>
              <w:t>专家库中随机抽取。</w:t>
            </w:r>
          </w:p>
        </w:tc>
      </w:tr>
      <w:tr w14:paraId="25D5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06" w:type="dxa"/>
            <w:shd w:val="clear" w:color="auto" w:fill="auto"/>
            <w:noWrap w:val="0"/>
            <w:vAlign w:val="center"/>
          </w:tcPr>
          <w:p w14:paraId="6E8148C8">
            <w:pPr>
              <w:keepNext w:val="0"/>
              <w:keepLines w:val="0"/>
              <w:widowControl/>
              <w:suppressLineNumbers w:val="0"/>
              <w:jc w:val="center"/>
              <w:textAlignment w:val="center"/>
              <w:rPr>
                <w:rFonts w:hint="default" w:ascii="宋体" w:hAnsi="宋体" w:eastAsia="宋体" w:cs="宋体"/>
                <w:color w:val="000000"/>
                <w:sz w:val="24"/>
                <w:szCs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34</w:t>
            </w:r>
          </w:p>
        </w:tc>
        <w:tc>
          <w:tcPr>
            <w:tcW w:w="2085" w:type="dxa"/>
            <w:shd w:val="clear" w:color="auto" w:fill="auto"/>
            <w:noWrap w:val="0"/>
            <w:vAlign w:val="center"/>
          </w:tcPr>
          <w:p w14:paraId="45F834B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是否授权磋商小组确定</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w:t>
            </w:r>
          </w:p>
        </w:tc>
        <w:tc>
          <w:tcPr>
            <w:tcW w:w="6687" w:type="dxa"/>
            <w:shd w:val="clear" w:color="auto" w:fill="auto"/>
            <w:noWrap w:val="0"/>
            <w:vAlign w:val="center"/>
          </w:tcPr>
          <w:p w14:paraId="788339C3">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w:t>
            </w:r>
          </w:p>
        </w:tc>
      </w:tr>
      <w:tr w14:paraId="03B9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306" w:type="dxa"/>
            <w:shd w:val="clear" w:color="auto" w:fill="auto"/>
            <w:noWrap w:val="0"/>
            <w:vAlign w:val="center"/>
          </w:tcPr>
          <w:p w14:paraId="78420EA7">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85" w:type="dxa"/>
            <w:shd w:val="clear" w:color="auto" w:fill="auto"/>
            <w:noWrap w:val="0"/>
            <w:vAlign w:val="center"/>
          </w:tcPr>
          <w:p w14:paraId="4273E7E4">
            <w:pPr>
              <w:spacing w:line="240" w:lineRule="auto"/>
              <w:jc w:val="center"/>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中标</w:t>
            </w:r>
            <w:r>
              <w:rPr>
                <w:rFonts w:hint="eastAsia" w:ascii="宋体" w:hAnsi="宋体" w:eastAsia="宋体" w:cs="宋体"/>
                <w:color w:val="auto"/>
                <w:kern w:val="15"/>
                <w:sz w:val="24"/>
                <w:szCs w:val="24"/>
                <w:highlight w:val="none"/>
                <w:lang w:eastAsia="zh-CN"/>
              </w:rPr>
              <w:t>（</w:t>
            </w:r>
            <w:r>
              <w:rPr>
                <w:rFonts w:hint="eastAsia" w:ascii="宋体" w:hAnsi="宋体" w:eastAsia="宋体" w:cs="宋体"/>
                <w:color w:val="auto"/>
                <w:kern w:val="15"/>
                <w:sz w:val="24"/>
                <w:szCs w:val="24"/>
                <w:highlight w:val="none"/>
                <w:lang w:val="en-US" w:eastAsia="zh-CN"/>
              </w:rPr>
              <w:t>成交</w:t>
            </w:r>
            <w:r>
              <w:rPr>
                <w:rFonts w:hint="eastAsia" w:ascii="宋体" w:hAnsi="宋体" w:eastAsia="宋体" w:cs="宋体"/>
                <w:color w:val="auto"/>
                <w:kern w:val="15"/>
                <w:sz w:val="24"/>
                <w:szCs w:val="24"/>
                <w:highlight w:val="none"/>
                <w:lang w:eastAsia="zh-CN"/>
              </w:rPr>
              <w:t>）</w:t>
            </w:r>
            <w:r>
              <w:rPr>
                <w:rFonts w:hint="eastAsia" w:ascii="宋体" w:hAnsi="宋体" w:eastAsia="宋体" w:cs="宋体"/>
                <w:color w:val="auto"/>
                <w:kern w:val="15"/>
                <w:sz w:val="24"/>
                <w:szCs w:val="24"/>
                <w:highlight w:val="none"/>
              </w:rPr>
              <w:t>公告</w:t>
            </w:r>
            <w:r>
              <w:rPr>
                <w:rFonts w:hint="eastAsia" w:ascii="宋体" w:hAnsi="宋体" w:eastAsia="宋体" w:cs="宋体"/>
                <w:color w:val="auto"/>
                <w:kern w:val="15"/>
                <w:sz w:val="24"/>
                <w:szCs w:val="24"/>
                <w:highlight w:val="none"/>
                <w:lang w:val="en-US" w:eastAsia="zh-CN"/>
              </w:rPr>
              <w:t>发布</w:t>
            </w:r>
            <w:r>
              <w:rPr>
                <w:rFonts w:hint="eastAsia" w:ascii="宋体" w:hAnsi="宋体" w:eastAsia="宋体" w:cs="宋体"/>
                <w:color w:val="auto"/>
                <w:kern w:val="15"/>
                <w:sz w:val="24"/>
                <w:szCs w:val="24"/>
                <w:highlight w:val="none"/>
              </w:rPr>
              <w:t>媒介</w:t>
            </w:r>
          </w:p>
        </w:tc>
        <w:tc>
          <w:tcPr>
            <w:tcW w:w="6687" w:type="dxa"/>
            <w:shd w:val="clear" w:color="auto" w:fill="auto"/>
            <w:noWrap w:val="0"/>
            <w:vAlign w:val="center"/>
          </w:tcPr>
          <w:p w14:paraId="0EB7F8D9">
            <w:pPr>
              <w:shd w:val="clear"/>
              <w:spacing w:line="240" w:lineRule="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lang w:eastAsia="zh-CN"/>
              </w:rPr>
              <w:t>“政采云”平台（http://www.zcygov.cn），同步推送到吉林省政府采购网（http://www.ccgp-jilin.gov.cn/）和长春市公共资源交易网，并同时在中国政府采购网、</w:t>
            </w:r>
            <w:r>
              <w:rPr>
                <w:rFonts w:hint="eastAsia" w:ascii="宋体" w:hAnsi="宋体" w:eastAsia="宋体" w:cs="宋体"/>
                <w:color w:val="auto"/>
                <w:kern w:val="15"/>
                <w:sz w:val="24"/>
                <w:szCs w:val="24"/>
                <w:highlight w:val="none"/>
                <w:lang w:val="en-US" w:eastAsia="zh-CN"/>
              </w:rPr>
              <w:t>长春市市场监督管理局官网</w:t>
            </w:r>
            <w:r>
              <w:rPr>
                <w:rFonts w:hint="eastAsia" w:ascii="宋体" w:hAnsi="宋体" w:eastAsia="宋体" w:cs="宋体"/>
                <w:color w:val="auto"/>
                <w:kern w:val="15"/>
                <w:sz w:val="24"/>
                <w:szCs w:val="24"/>
                <w:highlight w:val="none"/>
                <w:lang w:eastAsia="zh-CN"/>
              </w:rPr>
              <w:t>上发布。</w:t>
            </w:r>
          </w:p>
        </w:tc>
      </w:tr>
      <w:tr w14:paraId="76D7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jc w:val="center"/>
        </w:trPr>
        <w:tc>
          <w:tcPr>
            <w:tcW w:w="1306" w:type="dxa"/>
            <w:shd w:val="clear" w:color="auto" w:fill="auto"/>
            <w:noWrap w:val="0"/>
            <w:vAlign w:val="center"/>
          </w:tcPr>
          <w:p w14:paraId="40D53641">
            <w:pPr>
              <w:keepNext w:val="0"/>
              <w:keepLines w:val="0"/>
              <w:widowControl/>
              <w:suppressLineNumbers w:val="0"/>
              <w:jc w:val="center"/>
              <w:textAlignment w:val="center"/>
              <w:rPr>
                <w:rFonts w:hint="default" w:ascii="宋体" w:hAnsi="宋体" w:eastAsia="宋体" w:cs="宋体"/>
                <w:color w:val="000000"/>
                <w:sz w:val="24"/>
                <w:szCs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36</w:t>
            </w:r>
          </w:p>
        </w:tc>
        <w:tc>
          <w:tcPr>
            <w:tcW w:w="2085" w:type="dxa"/>
            <w:shd w:val="clear" w:color="auto" w:fill="auto"/>
            <w:noWrap w:val="0"/>
            <w:vAlign w:val="center"/>
          </w:tcPr>
          <w:p w14:paraId="592428E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代理服务费</w:t>
            </w:r>
          </w:p>
        </w:tc>
        <w:tc>
          <w:tcPr>
            <w:tcW w:w="6687" w:type="dxa"/>
            <w:shd w:val="clear" w:color="auto" w:fill="auto"/>
            <w:noWrap w:val="0"/>
            <w:vAlign w:val="center"/>
          </w:tcPr>
          <w:p w14:paraId="3D94A311">
            <w:pPr>
              <w:spacing w:line="240" w:lineRule="auto"/>
              <w:rPr>
                <w:rFonts w:hint="eastAsia" w:ascii="宋体" w:hAnsi="宋体" w:eastAsia="宋体" w:cs="宋体"/>
                <w:color w:val="auto"/>
                <w:kern w:val="15"/>
                <w:sz w:val="24"/>
                <w:szCs w:val="24"/>
                <w:highlight w:val="none"/>
              </w:rPr>
            </w:pPr>
            <w:r>
              <w:rPr>
                <w:rFonts w:hint="eastAsia" w:ascii="宋体" w:hAnsi="宋体" w:eastAsia="宋体" w:cs="宋体"/>
                <w:color w:val="auto"/>
                <w:kern w:val="15"/>
                <w:sz w:val="24"/>
                <w:szCs w:val="24"/>
                <w:highlight w:val="none"/>
              </w:rPr>
              <w:t>采购代理机构参考原国家计委计价格[2002]1980号文件、国家发改委发改办价格[2003]857号文件及国家发改委发改价格〔2015〕299号文件规定，按</w:t>
            </w:r>
            <w:r>
              <w:rPr>
                <w:rFonts w:hint="eastAsia" w:ascii="宋体" w:hAnsi="宋体" w:cs="宋体"/>
                <w:color w:val="auto"/>
                <w:kern w:val="15"/>
                <w:sz w:val="24"/>
                <w:szCs w:val="24"/>
                <w:highlight w:val="none"/>
                <w:lang w:val="en-US" w:eastAsia="zh-CN"/>
              </w:rPr>
              <w:t>中标金额1.5%</w:t>
            </w:r>
            <w:r>
              <w:rPr>
                <w:rFonts w:hint="eastAsia" w:ascii="宋体" w:hAnsi="宋体" w:eastAsia="宋体" w:cs="宋体"/>
                <w:color w:val="auto"/>
                <w:kern w:val="15"/>
                <w:sz w:val="24"/>
                <w:szCs w:val="24"/>
                <w:highlight w:val="none"/>
              </w:rPr>
              <w:t>计取，由</w:t>
            </w:r>
            <w:r>
              <w:rPr>
                <w:rFonts w:hint="eastAsia" w:ascii="宋体" w:hAnsi="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w:t>
            </w:r>
            <w:r>
              <w:rPr>
                <w:rFonts w:hint="eastAsia" w:ascii="宋体" w:hAnsi="宋体" w:eastAsia="宋体" w:cs="宋体"/>
                <w:color w:val="auto"/>
                <w:kern w:val="15"/>
                <w:sz w:val="24"/>
                <w:szCs w:val="24"/>
                <w:highlight w:val="none"/>
              </w:rPr>
              <w:t>支付。</w:t>
            </w:r>
          </w:p>
        </w:tc>
      </w:tr>
      <w:tr w14:paraId="7E2F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jc w:val="center"/>
        </w:trPr>
        <w:tc>
          <w:tcPr>
            <w:tcW w:w="1306" w:type="dxa"/>
            <w:shd w:val="clear" w:color="auto" w:fill="auto"/>
            <w:noWrap w:val="0"/>
            <w:vAlign w:val="center"/>
          </w:tcPr>
          <w:p w14:paraId="6A8CE810">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37</w:t>
            </w:r>
          </w:p>
        </w:tc>
        <w:tc>
          <w:tcPr>
            <w:tcW w:w="2085" w:type="dxa"/>
            <w:shd w:val="clear" w:color="auto" w:fill="auto"/>
            <w:noWrap w:val="0"/>
            <w:vAlign w:val="center"/>
          </w:tcPr>
          <w:p w14:paraId="4C8B256A">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w:t>
            </w:r>
          </w:p>
        </w:tc>
        <w:tc>
          <w:tcPr>
            <w:tcW w:w="6687" w:type="dxa"/>
            <w:shd w:val="clear" w:color="auto" w:fill="auto"/>
            <w:noWrap w:val="0"/>
            <w:vAlign w:val="center"/>
          </w:tcPr>
          <w:p w14:paraId="4E4981A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rPr>
              <w:t>超过</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rPr>
              <w:t>，否则按废标处理</w:t>
            </w:r>
          </w:p>
        </w:tc>
      </w:tr>
      <w:tr w14:paraId="4E12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6" w:hRule="atLeast"/>
          <w:jc w:val="center"/>
        </w:trPr>
        <w:tc>
          <w:tcPr>
            <w:tcW w:w="1306" w:type="dxa"/>
            <w:shd w:val="clear" w:color="auto" w:fill="auto"/>
            <w:noWrap w:val="0"/>
            <w:vAlign w:val="center"/>
          </w:tcPr>
          <w:p w14:paraId="7FD5FC83">
            <w:pPr>
              <w:keepNext w:val="0"/>
              <w:keepLines w:val="0"/>
              <w:widowControl/>
              <w:suppressLineNumbers w:val="0"/>
              <w:jc w:val="center"/>
              <w:textAlignment w:val="center"/>
              <w:rPr>
                <w:rFonts w:hint="default" w:ascii="宋体" w:hAnsi="宋体" w:eastAsia="宋体" w:cs="宋体"/>
                <w:color w:val="000000"/>
                <w:sz w:val="24"/>
                <w:szCs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38</w:t>
            </w:r>
          </w:p>
        </w:tc>
        <w:tc>
          <w:tcPr>
            <w:tcW w:w="2085" w:type="dxa"/>
            <w:shd w:val="clear" w:color="auto" w:fill="auto"/>
            <w:noWrap w:val="0"/>
            <w:vAlign w:val="center"/>
          </w:tcPr>
          <w:p w14:paraId="3D90787B">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付款方式</w:t>
            </w:r>
          </w:p>
          <w:p w14:paraId="3632C874">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及</w:t>
            </w:r>
            <w:r>
              <w:rPr>
                <w:rFonts w:hint="default"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lang w:val="en-US" w:eastAsia="zh-CN"/>
              </w:rPr>
              <w:t>担保</w:t>
            </w:r>
          </w:p>
        </w:tc>
        <w:tc>
          <w:tcPr>
            <w:tcW w:w="6687" w:type="dxa"/>
            <w:shd w:val="clear" w:color="auto" w:fill="auto"/>
            <w:noWrap w:val="0"/>
            <w:vAlign w:val="top"/>
          </w:tcPr>
          <w:p w14:paraId="3484C364">
            <w:pPr>
              <w:spacing w:line="240" w:lineRule="auto"/>
              <w:rPr>
                <w:rFonts w:hint="default" w:ascii="宋体" w:hAnsi="宋体" w:eastAsia="宋体" w:cs="宋体"/>
                <w:b/>
                <w:bCs/>
                <w:color w:val="auto"/>
                <w:kern w:val="15"/>
                <w:sz w:val="24"/>
                <w:szCs w:val="24"/>
                <w:highlight w:val="none"/>
                <w:lang w:val="en-US" w:eastAsia="zh-CN"/>
              </w:rPr>
            </w:pPr>
            <w:r>
              <w:rPr>
                <w:rFonts w:hint="default" w:ascii="宋体" w:hAnsi="宋体" w:eastAsia="宋体" w:cs="宋体"/>
                <w:b/>
                <w:bCs/>
                <w:color w:val="auto"/>
                <w:kern w:val="15"/>
                <w:sz w:val="24"/>
                <w:szCs w:val="24"/>
                <w:highlight w:val="none"/>
                <w:lang w:val="en-US" w:eastAsia="zh-CN"/>
              </w:rPr>
              <w:t>付款方式：</w:t>
            </w:r>
            <w:r>
              <w:rPr>
                <w:rFonts w:hint="eastAsia" w:ascii="宋体" w:hAnsi="宋体" w:cs="宋体"/>
                <w:b/>
                <w:bCs/>
                <w:color w:val="auto"/>
                <w:kern w:val="15"/>
                <w:sz w:val="24"/>
                <w:szCs w:val="24"/>
                <w:highlight w:val="none"/>
                <w:lang w:val="en-US" w:eastAsia="zh-CN"/>
              </w:rPr>
              <w:t>以合同总价款平均12个月，按月付款，每月15日前支付上个月份服务费。</w:t>
            </w:r>
          </w:p>
          <w:p w14:paraId="68CD93B3">
            <w:pPr>
              <w:spacing w:line="240" w:lineRule="auto"/>
              <w:rPr>
                <w:rFonts w:hint="default"/>
                <w:highlight w:val="none"/>
                <w:lang w:val="en-US" w:eastAsia="zh-CN"/>
              </w:rPr>
            </w:pPr>
            <w:r>
              <w:rPr>
                <w:rFonts w:hint="default" w:ascii="宋体" w:hAnsi="宋体" w:eastAsia="宋体" w:cs="宋体"/>
                <w:b/>
                <w:bCs/>
                <w:color w:val="auto"/>
                <w:kern w:val="15"/>
                <w:sz w:val="24"/>
                <w:szCs w:val="24"/>
                <w:highlight w:val="none"/>
                <w:lang w:val="en-US" w:eastAsia="zh-CN"/>
              </w:rPr>
              <w:t>履约</w:t>
            </w:r>
            <w:r>
              <w:rPr>
                <w:rFonts w:hint="eastAsia" w:ascii="宋体" w:hAnsi="宋体" w:eastAsia="宋体" w:cs="宋体"/>
                <w:b/>
                <w:bCs/>
                <w:color w:val="auto"/>
                <w:kern w:val="15"/>
                <w:sz w:val="24"/>
                <w:szCs w:val="24"/>
                <w:highlight w:val="none"/>
                <w:lang w:val="en-US" w:eastAsia="zh-CN"/>
              </w:rPr>
              <w:t>担保：</w:t>
            </w:r>
            <w:r>
              <w:rPr>
                <w:rFonts w:hint="eastAsia" w:ascii="宋体" w:hAnsi="宋体" w:eastAsia="宋体" w:cs="宋体"/>
                <w:color w:val="auto"/>
                <w:kern w:val="15"/>
                <w:sz w:val="24"/>
                <w:szCs w:val="24"/>
                <w:highlight w:val="none"/>
                <w:lang w:val="en-US" w:eastAsia="zh-CN"/>
              </w:rPr>
              <w:t>无</w:t>
            </w:r>
          </w:p>
        </w:tc>
      </w:tr>
      <w:tr w14:paraId="6489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06" w:type="dxa"/>
            <w:shd w:val="clear" w:color="auto" w:fill="auto"/>
            <w:noWrap w:val="0"/>
            <w:vAlign w:val="center"/>
          </w:tcPr>
          <w:p w14:paraId="3D8BE5C4">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39</w:t>
            </w:r>
          </w:p>
        </w:tc>
        <w:tc>
          <w:tcPr>
            <w:tcW w:w="2085" w:type="dxa"/>
            <w:shd w:val="clear" w:color="auto" w:fill="auto"/>
            <w:noWrap w:val="0"/>
            <w:vAlign w:val="center"/>
          </w:tcPr>
          <w:p w14:paraId="0761E959">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低于成本价不正当竞争预防措施</w:t>
            </w:r>
          </w:p>
          <w:p w14:paraId="7A94D2F5">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（实质性要求）</w:t>
            </w:r>
          </w:p>
        </w:tc>
        <w:tc>
          <w:tcPr>
            <w:tcW w:w="6687" w:type="dxa"/>
            <w:shd w:val="clear" w:color="auto" w:fill="auto"/>
            <w:noWrap w:val="0"/>
            <w:vAlign w:val="top"/>
          </w:tcPr>
          <w:p w14:paraId="0F8F07A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241641F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2289A8E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供应商书面说明应当签字确认或者加盖公章，否则无效。 </w:t>
            </w:r>
          </w:p>
          <w:p w14:paraId="3855ECF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书面说明的签字确认，由其法定代表人/主要负责人/本人或者其授权代表签字确认。 </w:t>
            </w:r>
          </w:p>
          <w:p w14:paraId="520C27F0">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w:t>
            </w:r>
            <w:r>
              <w:rPr>
                <w:rFonts w:hint="eastAsia" w:ascii="宋体" w:hAnsi="宋体" w:cs="宋体"/>
                <w:color w:val="auto"/>
                <w:sz w:val="24"/>
                <w:szCs w:val="24"/>
                <w:highlight w:val="none"/>
                <w:lang w:val="en-US" w:eastAsia="zh-CN"/>
              </w:rPr>
              <w:t>提交</w:t>
            </w:r>
            <w:r>
              <w:rPr>
                <w:rFonts w:hint="eastAsia" w:ascii="宋体" w:hAnsi="宋体" w:eastAsia="宋体" w:cs="宋体"/>
                <w:color w:val="auto"/>
                <w:sz w:val="24"/>
                <w:szCs w:val="24"/>
                <w:highlight w:val="none"/>
                <w:lang w:val="en-US" w:eastAsia="zh-CN"/>
              </w:rPr>
              <w:t>有效书面说明书的，磋商小组应当将其响应文件作为无效处理。</w:t>
            </w:r>
          </w:p>
        </w:tc>
      </w:tr>
      <w:tr w14:paraId="3F4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06" w:type="dxa"/>
            <w:shd w:val="clear" w:color="auto" w:fill="auto"/>
            <w:noWrap w:val="0"/>
            <w:vAlign w:val="center"/>
          </w:tcPr>
          <w:p w14:paraId="21CE64E3">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40</w:t>
            </w:r>
          </w:p>
        </w:tc>
        <w:tc>
          <w:tcPr>
            <w:tcW w:w="2085" w:type="dxa"/>
            <w:shd w:val="clear" w:color="auto" w:fill="auto"/>
            <w:noWrap w:val="0"/>
            <w:vAlign w:val="center"/>
          </w:tcPr>
          <w:p w14:paraId="5381A794">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需要落实的政府采购政策</w:t>
            </w:r>
          </w:p>
        </w:tc>
        <w:tc>
          <w:tcPr>
            <w:tcW w:w="6687" w:type="dxa"/>
            <w:shd w:val="clear" w:color="auto" w:fill="auto"/>
            <w:noWrap w:val="0"/>
            <w:vAlign w:val="center"/>
          </w:tcPr>
          <w:p w14:paraId="4DABC543">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政府采购支持中小企业（含监狱企业）发展：</w:t>
            </w:r>
          </w:p>
          <w:p w14:paraId="7809A9F8">
            <w:pPr>
              <w:adjustRightInd w:val="0"/>
              <w:snapToGrid w:val="0"/>
              <w:spacing w:line="240" w:lineRule="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专门面向中小企业采购（应同时在</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公告中注明）。</w:t>
            </w:r>
          </w:p>
          <w:p w14:paraId="3218A305">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 xml:space="preserve"> 非专门面向中小企业采购：</w:t>
            </w:r>
          </w:p>
          <w:p w14:paraId="16C67431">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对于小型或微型企业（含监狱企业）参与本项目投标的，给予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0%的价格扣除。</w:t>
            </w:r>
          </w:p>
          <w:p w14:paraId="3CB9F229">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72873246">
            <w:pPr>
              <w:adjustRightInd w:val="0"/>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1）提供《</w:t>
            </w:r>
            <w:r>
              <w:rPr>
                <w:rFonts w:hint="eastAsia" w:ascii="宋体" w:hAnsi="宋体" w:cs="宋体"/>
                <w:sz w:val="24"/>
                <w:szCs w:val="24"/>
                <w:highlight w:val="none"/>
                <w:lang w:val="en-US" w:eastAsia="zh-CN"/>
              </w:rPr>
              <w:t>中小</w:t>
            </w:r>
            <w:r>
              <w:rPr>
                <w:rFonts w:hint="eastAsia" w:ascii="宋体" w:hAnsi="宋体" w:eastAsia="宋体" w:cs="宋体"/>
                <w:sz w:val="24"/>
                <w:szCs w:val="24"/>
                <w:highlight w:val="none"/>
              </w:rPr>
              <w:t>企业声明函》；</w:t>
            </w:r>
          </w:p>
          <w:p w14:paraId="22988B6F">
            <w:pPr>
              <w:adjustRightInd w:val="0"/>
              <w:snapToGrid w:val="0"/>
              <w:spacing w:line="24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监狱企业参加政府采购活动时，应当提供由省级以上监狱管理局、戒毒管理局（含新疆生产建设兵团）出具的属于监狱企业的证明文件。</w:t>
            </w:r>
          </w:p>
          <w:p w14:paraId="39EEF1D7">
            <w:pPr>
              <w:pStyle w:val="25"/>
              <w:ind w:left="0" w:leftChars="0" w:firstLine="0" w:firstLineChars="0"/>
              <w:rPr>
                <w:rFonts w:hint="eastAsia"/>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供应商为残疾人福利性单位的视同小型和微型企业，应当提供《残疾人福利性单位声明函》</w:t>
            </w:r>
          </w:p>
          <w:p w14:paraId="3D54AD8F">
            <w:pPr>
              <w:adjustRightInd w:val="0"/>
              <w:snapToGrid w:val="0"/>
              <w:spacing w:line="240" w:lineRule="auto"/>
              <w:rPr>
                <w:rFonts w:hint="eastAsia" w:ascii="宋体" w:hAnsi="宋体" w:eastAsia="宋体" w:cs="宋体"/>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）根据工信部等部位发布的《关于印发中小企业划型标准规定的通知》（工信部联企业【2011】300号），符合相关条件的为中小微型企业。本项目所属行业为：</w:t>
            </w:r>
            <w:r>
              <w:rPr>
                <w:rFonts w:hint="eastAsia" w:ascii="宋体" w:hAnsi="宋体" w:cs="宋体"/>
                <w:sz w:val="24"/>
                <w:szCs w:val="24"/>
                <w:highlight w:val="none"/>
                <w:lang w:val="en-US" w:eastAsia="zh-CN"/>
              </w:rPr>
              <w:t>餐饮</w:t>
            </w:r>
            <w:r>
              <w:rPr>
                <w:rFonts w:hint="eastAsia" w:ascii="宋体" w:hAnsi="宋体" w:eastAsia="宋体" w:cs="宋体"/>
                <w:sz w:val="24"/>
                <w:szCs w:val="24"/>
                <w:highlight w:val="none"/>
                <w:lang w:val="en-US" w:eastAsia="zh-CN"/>
              </w:rPr>
              <w:t>业。</w:t>
            </w:r>
          </w:p>
        </w:tc>
      </w:tr>
      <w:tr w14:paraId="689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jc w:val="center"/>
        </w:trPr>
        <w:tc>
          <w:tcPr>
            <w:tcW w:w="1306" w:type="dxa"/>
            <w:shd w:val="clear" w:color="auto" w:fill="auto"/>
            <w:noWrap w:val="0"/>
            <w:vAlign w:val="center"/>
          </w:tcPr>
          <w:p w14:paraId="1D0F6A40">
            <w:pPr>
              <w:keepNext w:val="0"/>
              <w:keepLines w:val="0"/>
              <w:widowControl/>
              <w:suppressLineNumbers w:val="0"/>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41</w:t>
            </w:r>
          </w:p>
        </w:tc>
        <w:tc>
          <w:tcPr>
            <w:tcW w:w="2085" w:type="dxa"/>
            <w:shd w:val="clear" w:color="auto" w:fill="auto"/>
            <w:noWrap w:val="0"/>
            <w:vAlign w:val="center"/>
          </w:tcPr>
          <w:p w14:paraId="71D20C73">
            <w:pPr>
              <w:spacing w:line="24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信用信息查询</w:t>
            </w:r>
          </w:p>
        </w:tc>
        <w:tc>
          <w:tcPr>
            <w:tcW w:w="6687" w:type="dxa"/>
            <w:shd w:val="clear" w:color="auto" w:fill="auto"/>
            <w:noWrap w:val="0"/>
            <w:vAlign w:val="center"/>
          </w:tcPr>
          <w:p w14:paraId="7A8C2BCF">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对供应商信用信息的查询：</w:t>
            </w:r>
          </w:p>
          <w:p w14:paraId="65708976">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查询渠道：</w:t>
            </w:r>
          </w:p>
          <w:p w14:paraId="549116AF">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①“信用中国”网站（www.creditchina.gov.cn）：</w:t>
            </w:r>
            <w:r>
              <w:rPr>
                <w:rFonts w:hint="eastAsia" w:ascii="宋体" w:hAnsi="宋体" w:eastAsia="宋体" w:cs="宋体"/>
                <w:color w:val="auto"/>
                <w:sz w:val="24"/>
                <w:highlight w:val="none"/>
              </w:rPr>
              <w:t>重大税收违法失信主体、政府采购严重违法失信行为记录名单</w:t>
            </w:r>
            <w:r>
              <w:rPr>
                <w:rFonts w:hint="eastAsia" w:ascii="宋体" w:hAnsi="宋体" w:cs="宋体"/>
                <w:sz w:val="24"/>
                <w:szCs w:val="24"/>
                <w:highlight w:val="none"/>
                <w:lang w:val="en-US" w:eastAsia="zh-CN"/>
              </w:rPr>
              <w:t>。</w:t>
            </w:r>
          </w:p>
          <w:p w14:paraId="570E5F81">
            <w:pPr>
              <w:pStyle w:val="7"/>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②中国执行信息公开网（http://zxgk.court.gov.cn）列入失信被执行人</w:t>
            </w:r>
          </w:p>
          <w:p w14:paraId="61265582">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③中国政府采购网(www.ccgp.gov.cn)：政府采购严重违法失信行为信息记录。</w:t>
            </w:r>
          </w:p>
          <w:p w14:paraId="5327C3E3">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查询截止时点：投标截止时间。</w:t>
            </w:r>
          </w:p>
          <w:p w14:paraId="78B51CBA">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信用信息查询记录和证据留存的具体方式：</w:t>
            </w:r>
          </w:p>
          <w:p w14:paraId="21B42E13">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采购人或采购代理机构将按查询截止时点对所有供应商的信用信息进行查询，网站查询记录作为采购活动存档备案材料的组成部分进行留存。</w:t>
            </w:r>
          </w:p>
          <w:p w14:paraId="4DF6D62F">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信用信息的使用规则：</w:t>
            </w:r>
          </w:p>
          <w:p w14:paraId="397E7FD0">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采购人或采购代理机构将按查询截止时点对所有供应商的信用信息进行查询，查询结果作为是否接受投标报名的依据之一，</w:t>
            </w:r>
            <w:r>
              <w:rPr>
                <w:rFonts w:hint="eastAsia" w:ascii="宋体" w:hAnsi="宋体" w:eastAsia="宋体" w:cs="宋体"/>
                <w:color w:val="auto"/>
                <w:sz w:val="24"/>
                <w:highlight w:val="none"/>
              </w:rPr>
              <w:t>重大税收违法失信主体</w:t>
            </w:r>
            <w:r>
              <w:rPr>
                <w:rFonts w:hint="eastAsia" w:ascii="宋体" w:hAnsi="宋体" w:cs="宋体"/>
                <w:sz w:val="24"/>
                <w:szCs w:val="24"/>
                <w:highlight w:val="none"/>
                <w:lang w:val="en-US" w:eastAsia="zh-CN"/>
              </w:rPr>
              <w:t>、失信</w:t>
            </w:r>
            <w:r>
              <w:rPr>
                <w:rFonts w:hint="eastAsia" w:ascii="宋体" w:hAnsi="宋体" w:eastAsia="宋体" w:cs="宋体"/>
                <w:sz w:val="24"/>
                <w:szCs w:val="24"/>
                <w:highlight w:val="none"/>
                <w:lang w:val="en-US" w:eastAsia="zh-CN"/>
              </w:rPr>
              <w:t>被执</w:t>
            </w:r>
            <w:r>
              <w:rPr>
                <w:rFonts w:hint="eastAsia" w:ascii="宋体" w:hAnsi="宋体" w:cs="宋体"/>
                <w:sz w:val="24"/>
                <w:szCs w:val="24"/>
                <w:highlight w:val="none"/>
                <w:lang w:val="en-US" w:eastAsia="zh-CN"/>
              </w:rPr>
              <w:t>行人、政府采购严重违法失信行为记录名单的供应商将不接受其参加政府采购活动。</w:t>
            </w:r>
          </w:p>
        </w:tc>
      </w:tr>
      <w:tr w14:paraId="2B77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jc w:val="center"/>
        </w:trPr>
        <w:tc>
          <w:tcPr>
            <w:tcW w:w="1306" w:type="dxa"/>
            <w:shd w:val="clear" w:color="auto" w:fill="auto"/>
            <w:noWrap w:val="0"/>
            <w:vAlign w:val="center"/>
          </w:tcPr>
          <w:p w14:paraId="795CEB61">
            <w:pPr>
              <w:keepNext w:val="0"/>
              <w:keepLines w:val="0"/>
              <w:widowControl/>
              <w:suppressLineNumbers w:val="0"/>
              <w:jc w:val="center"/>
              <w:textAlignment w:val="center"/>
              <w:rPr>
                <w:rFonts w:hint="default" w:ascii="宋体" w:hAnsi="宋体" w:cs="宋体"/>
                <w:color w:val="00000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42</w:t>
            </w:r>
          </w:p>
        </w:tc>
        <w:tc>
          <w:tcPr>
            <w:tcW w:w="2085" w:type="dxa"/>
            <w:shd w:val="clear" w:color="auto" w:fill="auto"/>
            <w:noWrap w:val="0"/>
            <w:vAlign w:val="center"/>
          </w:tcPr>
          <w:p w14:paraId="5811F464">
            <w:pPr>
              <w:spacing w:line="24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全流程电子化相关要求</w:t>
            </w:r>
          </w:p>
        </w:tc>
        <w:tc>
          <w:tcPr>
            <w:tcW w:w="6687" w:type="dxa"/>
            <w:shd w:val="clear" w:color="auto" w:fill="auto"/>
            <w:noWrap w:val="0"/>
            <w:vAlign w:val="center"/>
          </w:tcPr>
          <w:p w14:paraId="242248E2">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(一)政府采购各参与方要严格按照《中华人民共和国政 府采购法》等相关规定，做好政府采购电子化项目的线上委托、 编制电子采购文件、在线发布采购公告、电子开评标、在线发 送中标通知书、采购结果公告、签订合同等政府采购电子化交</w:t>
            </w:r>
          </w:p>
          <w:p w14:paraId="772B081B">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易相关工作。</w:t>
            </w:r>
          </w:p>
          <w:p w14:paraId="35AAB430">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(二)项目所委托的采购代理机构需在电子化平台登记备 案。采购代理机构登记备案链接： https://www.zcygov.cn/lu  ban/ruzhu/d1jg。 采购代理机构的开评标场地建设、可视化监 控系统及信息化设备部署须满足电子化平台的运行标准。采购 代理机构相关经办人均应熟练掌握平台的操作和使用，同时承 担对现场参与评标的评审专家的操作指导，但不得交流超出平台操作范围以外的事项。</w:t>
            </w:r>
          </w:p>
          <w:p w14:paraId="47E7D53A">
            <w:pPr>
              <w:adjustRightInd w:val="0"/>
              <w:snapToGrid w:val="0"/>
              <w:spacing w:line="24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(三)供应商在电子化平台参与政府采购项目前，应在电子化平台完成信息注册(如已注册长春市政府采购电子商城则 无需重复注册),注册链接： https://middle.zcygov.cn/v-se   ttle-front/registry。 政采云投标客户端及CA 驱动下载地址：</w:t>
            </w:r>
            <w:r>
              <w:rPr>
                <w:rFonts w:hint="eastAsia" w:ascii="宋体" w:hAnsi="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cs="宋体"/>
                <w:color w:val="000000" w:themeColor="text1"/>
                <w:sz w:val="24"/>
                <w:szCs w:val="24"/>
                <w:highlight w:val="none"/>
                <w:lang w:val="en-US" w:eastAsia="zh-CN"/>
                <w14:textFill>
                  <w14:solidFill>
                    <w14:schemeClr w14:val="tx1"/>
                  </w14:solidFill>
                </w14:textFill>
              </w:rPr>
              <w:instrText xml:space="preserve"> HYPERLINK "https://customer.zcygov.cn/CA-driver-download?utm=" </w:instrText>
            </w:r>
            <w:r>
              <w:rPr>
                <w:rFonts w:hint="eastAsia" w:ascii="宋体" w:hAnsi="宋体" w:cs="宋体"/>
                <w:color w:val="000000" w:themeColor="text1"/>
                <w:sz w:val="24"/>
                <w:szCs w:val="24"/>
                <w:highlight w:val="none"/>
                <w:lang w:val="en-US" w:eastAsia="zh-CN"/>
                <w14:textFill>
                  <w14:solidFill>
                    <w14:schemeClr w14:val="tx1"/>
                  </w14:solidFill>
                </w14:textFill>
              </w:rPr>
              <w:fldChar w:fldCharType="separate"/>
            </w:r>
            <w:r>
              <w:rPr>
                <w:rStyle w:val="37"/>
                <w:rFonts w:hint="eastAsia" w:ascii="宋体" w:hAnsi="宋体" w:cs="宋体"/>
                <w:color w:val="000000" w:themeColor="text1"/>
                <w:sz w:val="24"/>
                <w:szCs w:val="24"/>
                <w:highlight w:val="none"/>
                <w:lang w:val="en-US" w:eastAsia="zh-CN"/>
                <w14:textFill>
                  <w14:solidFill>
                    <w14:schemeClr w14:val="tx1"/>
                  </w14:solidFill>
                </w14:textFill>
              </w:rPr>
              <w:t>https://customer.zcygov.cn/CA-driver-download?utm=</w:t>
            </w:r>
            <w:r>
              <w:rPr>
                <w:rFonts w:hint="eastAsia" w:ascii="宋体" w:hAnsi="宋体" w:cs="宋体"/>
                <w:color w:val="000000" w:themeColor="text1"/>
                <w:sz w:val="24"/>
                <w:szCs w:val="24"/>
                <w:highlight w:val="none"/>
                <w:lang w:val="en-US" w:eastAsia="zh-CN"/>
                <w14:textFill>
                  <w14:solidFill>
                    <w14:schemeClr w14:val="tx1"/>
                  </w14:solidFill>
                </w14:textFill>
              </w:rPr>
              <w:fldChar w:fldCharType="end"/>
            </w:r>
          </w:p>
          <w:p w14:paraId="165CD4F6">
            <w:pPr>
              <w:pStyle w:val="65"/>
              <w:numPr>
                <w:ilvl w:val="0"/>
                <w:numId w:val="0"/>
              </w:numPr>
              <w:spacing w:line="240" w:lineRule="auto"/>
              <w:rPr>
                <w:rFonts w:hint="eastAsia" w:ascii="宋体" w:hAnsi="宋体" w:cs="宋体"/>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web-login-front.52cebfa2.0.0.04df404003451ledaac705fda12edb43。</w:t>
            </w:r>
          </w:p>
        </w:tc>
      </w:tr>
      <w:tr w14:paraId="686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6" w:type="dxa"/>
            <w:shd w:val="clear" w:color="auto" w:fill="auto"/>
            <w:noWrap w:val="0"/>
            <w:vAlign w:val="center"/>
          </w:tcPr>
          <w:p w14:paraId="22C632C4">
            <w:pPr>
              <w:keepNext w:val="0"/>
              <w:keepLines w:val="0"/>
              <w:widowControl/>
              <w:suppressLineNumbers w:val="0"/>
              <w:jc w:val="center"/>
              <w:textAlignment w:val="center"/>
              <w:rPr>
                <w:rFonts w:hint="default" w:ascii="宋体" w:hAnsi="宋体" w:cs="宋体"/>
                <w:color w:val="000000"/>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43</w:t>
            </w:r>
          </w:p>
        </w:tc>
        <w:tc>
          <w:tcPr>
            <w:tcW w:w="2085" w:type="dxa"/>
            <w:shd w:val="clear" w:color="auto" w:fill="auto"/>
            <w:noWrap w:val="0"/>
            <w:vAlign w:val="center"/>
          </w:tcPr>
          <w:p w14:paraId="2B878754">
            <w:pPr>
              <w:adjustRightInd w:val="0"/>
              <w:snapToGrid w:val="0"/>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电子响应文件编制及报送要求：</w:t>
            </w:r>
          </w:p>
          <w:p w14:paraId="5AC9E8CB">
            <w:pPr>
              <w:spacing w:line="240" w:lineRule="auto"/>
              <w:jc w:val="center"/>
              <w:rPr>
                <w:rFonts w:hint="eastAsia" w:ascii="宋体" w:hAnsi="宋体" w:cs="宋体"/>
                <w:color w:val="000000"/>
                <w:sz w:val="24"/>
                <w:szCs w:val="24"/>
                <w:highlight w:val="none"/>
                <w:lang w:eastAsia="zh-CN"/>
              </w:rPr>
            </w:pPr>
          </w:p>
        </w:tc>
        <w:tc>
          <w:tcPr>
            <w:tcW w:w="6687" w:type="dxa"/>
            <w:shd w:val="clear" w:color="auto" w:fill="auto"/>
            <w:noWrap w:val="0"/>
            <w:vAlign w:val="center"/>
          </w:tcPr>
          <w:p w14:paraId="0E817CFC">
            <w:pPr>
              <w:numPr>
                <w:ilvl w:val="0"/>
                <w:numId w:val="3"/>
              </w:numPr>
              <w:shd w:val="clear"/>
              <w:adjustRightInd w:val="0"/>
              <w:snapToGrid w:val="0"/>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供应商须在“政采云投标客户端”按照本项目竞争性磋商文件和政府采购云平台要求编制，将所有响应文件内容上传至“政采云”平台，并在开启时间</w:t>
            </w:r>
            <w:r>
              <w:rPr>
                <w:rFonts w:hint="eastAsia" w:ascii="宋体" w:hAnsi="宋体" w:cs="宋体"/>
                <w:color w:val="000000" w:themeColor="text1"/>
                <w:sz w:val="24"/>
                <w:szCs w:val="24"/>
                <w:highlight w:val="none"/>
                <w:lang w:val="en-US" w:eastAsia="zh-CN"/>
                <w14:textFill>
                  <w14:solidFill>
                    <w14:schemeClr w14:val="tx1"/>
                  </w14:solidFill>
                </w14:textFill>
              </w:rPr>
              <w:t>后30分钟内</w:t>
            </w:r>
            <w:r>
              <w:rPr>
                <w:rFonts w:hint="eastAsia" w:ascii="宋体" w:hAnsi="宋体" w:eastAsia="宋体" w:cs="宋体"/>
                <w:color w:val="000000" w:themeColor="text1"/>
                <w:sz w:val="24"/>
                <w:szCs w:val="24"/>
                <w:highlight w:val="none"/>
                <w:lang w:val="en-US" w:eastAsia="zh-CN"/>
                <w14:textFill>
                  <w14:solidFill>
                    <w14:schemeClr w14:val="tx1"/>
                  </w14:solidFill>
                </w14:textFill>
              </w:rPr>
              <w:t>持制作响应文件时用来加密的有效数字证书（CA认证）对响应文件进行解密。</w:t>
            </w:r>
          </w:p>
          <w:p w14:paraId="7B5696B9">
            <w:pPr>
              <w:shd w:val="clear"/>
              <w:adjustRightInd w:val="0"/>
              <w:snapToGrid w:val="0"/>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供应商在制作响应文件时，电子响应文件以“政采云”平台的响应文件格式为准。</w:t>
            </w:r>
          </w:p>
          <w:p w14:paraId="5508941F">
            <w:pPr>
              <w:shd w:val="clear"/>
              <w:adjustRightInd w:val="0"/>
              <w:snapToGrid w:val="0"/>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三、电子响应文件中反应供应商资格审查的图片、扫描件、文字描述等，必须清晰可见。其中所有证书和执照必须为原件扫描。</w:t>
            </w:r>
          </w:p>
          <w:p w14:paraId="3ABFA66A">
            <w:pPr>
              <w:shd w:val="clear"/>
              <w:adjustRightInd w:val="0"/>
              <w:snapToGrid w:val="0"/>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sz w:val="24"/>
                <w:highlight w:val="none"/>
              </w:rPr>
              <w:t>若供应商上传的电子响应文件</w:t>
            </w:r>
            <w:r>
              <w:rPr>
                <w:rFonts w:hint="eastAsia" w:ascii="宋体" w:hAnsi="宋体" w:cs="宋体"/>
                <w:sz w:val="24"/>
                <w:highlight w:val="none"/>
                <w:lang w:val="en-US" w:eastAsia="zh-CN"/>
              </w:rPr>
              <w:t>在规定的时间内</w:t>
            </w:r>
            <w:r>
              <w:rPr>
                <w:rFonts w:hint="eastAsia" w:ascii="宋体" w:hAnsi="宋体" w:eastAsia="宋体" w:cs="宋体"/>
                <w:sz w:val="24"/>
                <w:highlight w:val="none"/>
              </w:rPr>
              <w:t>无法解密而对响应文件无法进行评标的，采购人可以拒绝该供应商投标。</w:t>
            </w:r>
          </w:p>
          <w:p w14:paraId="0EECC783">
            <w:pPr>
              <w:adjustRightInd w:val="0"/>
              <w:snapToGrid w:val="0"/>
              <w:spacing w:line="240" w:lineRule="auto"/>
              <w:rPr>
                <w:rFonts w:hint="eastAsia" w:ascii="宋体" w:hAnsi="宋体" w:cs="宋体"/>
                <w:sz w:val="24"/>
                <w:szCs w:val="24"/>
                <w:highlight w:val="none"/>
                <w:lang w:val="en-US" w:eastAsia="zh-CN"/>
              </w:rPr>
            </w:pP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若对项目采购电子交易系统操作有疑问</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拨打电子化平台客服热线：95763。</w:t>
            </w:r>
          </w:p>
        </w:tc>
      </w:tr>
      <w:tr w14:paraId="44D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5" w:hRule="atLeast"/>
          <w:jc w:val="center"/>
        </w:trPr>
        <w:tc>
          <w:tcPr>
            <w:tcW w:w="10078" w:type="dxa"/>
            <w:gridSpan w:val="3"/>
            <w:shd w:val="clear" w:color="auto" w:fill="auto"/>
            <w:noWrap w:val="0"/>
            <w:vAlign w:val="center"/>
          </w:tcPr>
          <w:p w14:paraId="518AA57C">
            <w:pPr>
              <w:widowControl/>
              <w:spacing w:line="240" w:lineRule="auto"/>
              <w:jc w:val="both"/>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本项目</w:t>
            </w:r>
            <w:r>
              <w:rPr>
                <w:rFonts w:hint="eastAsia" w:ascii="宋体" w:hAnsi="宋体" w:eastAsia="宋体" w:cs="宋体"/>
                <w:sz w:val="24"/>
                <w:highlight w:val="none"/>
                <w:lang w:eastAsia="zh-CN"/>
              </w:rPr>
              <w:t>竞争性磋商</w:t>
            </w:r>
            <w:r>
              <w:rPr>
                <w:rFonts w:hint="eastAsia" w:ascii="宋体" w:hAnsi="宋体" w:eastAsia="宋体" w:cs="宋体"/>
                <w:bCs/>
                <w:sz w:val="24"/>
                <w:szCs w:val="24"/>
                <w:highlight w:val="none"/>
                <w:lang w:val="zh-CN"/>
              </w:rPr>
              <w:t>公告与</w:t>
            </w:r>
            <w:r>
              <w:rPr>
                <w:rFonts w:hint="eastAsia" w:ascii="宋体" w:hAnsi="宋体" w:cs="宋体"/>
                <w:sz w:val="24"/>
                <w:highlight w:val="none"/>
                <w:lang w:eastAsia="zh-CN"/>
              </w:rPr>
              <w:t>竞争性磋商文件</w:t>
            </w:r>
            <w:r>
              <w:rPr>
                <w:rFonts w:hint="eastAsia" w:ascii="宋体" w:hAnsi="宋体" w:eastAsia="宋体" w:cs="宋体"/>
                <w:bCs/>
                <w:sz w:val="24"/>
                <w:szCs w:val="24"/>
                <w:highlight w:val="none"/>
                <w:lang w:val="zh-CN"/>
              </w:rPr>
              <w:t>供应商须知内容有不符之处，以</w:t>
            </w:r>
            <w:r>
              <w:rPr>
                <w:rFonts w:hint="eastAsia" w:ascii="宋体" w:hAnsi="宋体" w:cs="宋体"/>
                <w:sz w:val="24"/>
                <w:highlight w:val="none"/>
                <w:lang w:eastAsia="zh-CN"/>
              </w:rPr>
              <w:t>竞争性磋商文件</w:t>
            </w:r>
            <w:r>
              <w:rPr>
                <w:rFonts w:hint="eastAsia" w:ascii="宋体" w:hAnsi="宋体" w:eastAsia="宋体" w:cs="宋体"/>
                <w:bCs/>
                <w:sz w:val="24"/>
                <w:szCs w:val="24"/>
                <w:highlight w:val="none"/>
                <w:lang w:val="zh-CN"/>
              </w:rPr>
              <w:t>供应商须知内容为准。</w:t>
            </w:r>
          </w:p>
        </w:tc>
      </w:tr>
    </w:tbl>
    <w:p w14:paraId="7C7C5634">
      <w:pPr>
        <w:rPr>
          <w:rFonts w:hint="eastAsia"/>
          <w:b/>
          <w:bCs/>
          <w:sz w:val="24"/>
          <w:szCs w:val="24"/>
          <w:highlight w:val="none"/>
          <w:lang w:eastAsia="zh-CN"/>
        </w:rPr>
      </w:pPr>
      <w:r>
        <w:rPr>
          <w:rFonts w:hint="eastAsia"/>
          <w:b/>
          <w:bCs/>
          <w:sz w:val="24"/>
          <w:szCs w:val="24"/>
          <w:highlight w:val="none"/>
          <w:lang w:eastAsia="zh-CN"/>
        </w:rPr>
        <w:br w:type="page"/>
      </w:r>
    </w:p>
    <w:p w14:paraId="357ADA75">
      <w:pPr>
        <w:bidi w:val="0"/>
        <w:jc w:val="center"/>
        <w:rPr>
          <w:rFonts w:hint="eastAsia"/>
          <w:b/>
          <w:bCs/>
          <w:sz w:val="24"/>
          <w:szCs w:val="24"/>
          <w:highlight w:val="none"/>
        </w:rPr>
      </w:pPr>
      <w:r>
        <w:rPr>
          <w:rFonts w:hint="eastAsia"/>
          <w:b/>
          <w:bCs/>
          <w:sz w:val="24"/>
          <w:szCs w:val="24"/>
          <w:highlight w:val="none"/>
          <w:lang w:eastAsia="zh-CN"/>
        </w:rPr>
        <w:t>（二）</w:t>
      </w:r>
      <w:r>
        <w:rPr>
          <w:rFonts w:hint="eastAsia"/>
          <w:b/>
          <w:bCs/>
          <w:sz w:val="24"/>
          <w:szCs w:val="24"/>
          <w:highlight w:val="none"/>
        </w:rPr>
        <w:t>供应商须知</w:t>
      </w:r>
    </w:p>
    <w:p w14:paraId="071616CD">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1. 总则</w:t>
      </w:r>
    </w:p>
    <w:p w14:paraId="1321071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项目概况</w:t>
      </w:r>
    </w:p>
    <w:p w14:paraId="720F71B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1.1.1根据《中华人民共和国政府采购法》、《政府采购竞争性磋商采购方式管理暂行办法》等有关法律、法规和规章的规定，本采购项目已具备采购条件，现对本项目进行采购。</w:t>
      </w:r>
    </w:p>
    <w:p w14:paraId="2668F19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本采购项目采购人：见供应商须知前附表。</w:t>
      </w:r>
    </w:p>
    <w:p w14:paraId="67B022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本项目采购代理机构：见供应商须知前附表。</w:t>
      </w:r>
    </w:p>
    <w:p w14:paraId="4C26F6E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本采购项目名称：见供应商须知前附表。</w:t>
      </w:r>
    </w:p>
    <w:p w14:paraId="0EF60B6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本项目</w:t>
      </w:r>
      <w:r>
        <w:rPr>
          <w:rFonts w:hint="eastAsia" w:ascii="宋体" w:hAnsi="宋体" w:cs="宋体"/>
          <w:sz w:val="24"/>
          <w:highlight w:val="none"/>
          <w:lang w:eastAsia="zh-CN"/>
        </w:rPr>
        <w:t>服务</w:t>
      </w:r>
      <w:r>
        <w:rPr>
          <w:rFonts w:hint="eastAsia" w:ascii="宋体" w:hAnsi="宋体" w:eastAsia="宋体" w:cs="宋体"/>
          <w:sz w:val="24"/>
          <w:highlight w:val="none"/>
        </w:rPr>
        <w:t>地点：见供应商须知前附表。</w:t>
      </w:r>
    </w:p>
    <w:p w14:paraId="23E89B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 资金来源和落实情况</w:t>
      </w:r>
    </w:p>
    <w:p w14:paraId="0D78DB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本采购项目的资金来源：见供应商须知前附表。</w:t>
      </w:r>
    </w:p>
    <w:p w14:paraId="778143A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 本采购项目的出资比例：见供应商须知前附表。</w:t>
      </w:r>
    </w:p>
    <w:p w14:paraId="1D59C2B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 本采购项目的资金落实情况：见供应商须知前附表。</w:t>
      </w:r>
    </w:p>
    <w:p w14:paraId="368602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 采购需求、</w:t>
      </w:r>
      <w:r>
        <w:rPr>
          <w:rFonts w:hint="eastAsia" w:ascii="宋体" w:hAnsi="宋体" w:eastAsia="宋体" w:cs="宋体"/>
          <w:sz w:val="24"/>
          <w:highlight w:val="none"/>
          <w:lang w:val="en-US" w:eastAsia="zh-CN"/>
        </w:rPr>
        <w:t>合同履行期限</w:t>
      </w:r>
      <w:r>
        <w:rPr>
          <w:rFonts w:hint="eastAsia" w:ascii="宋体" w:hAnsi="宋体" w:eastAsia="宋体" w:cs="宋体"/>
          <w:sz w:val="24"/>
          <w:highlight w:val="none"/>
        </w:rPr>
        <w:t>和质量标准</w:t>
      </w:r>
    </w:p>
    <w:p w14:paraId="3B8ACC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采购需求：见供应商须知前附表。</w:t>
      </w:r>
    </w:p>
    <w:p w14:paraId="6E90AC4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1.3.2 </w:t>
      </w:r>
      <w:r>
        <w:rPr>
          <w:rFonts w:hint="eastAsia" w:ascii="宋体" w:hAnsi="宋体" w:eastAsia="宋体" w:cs="宋体"/>
          <w:sz w:val="24"/>
          <w:highlight w:val="none"/>
          <w:lang w:val="en-US" w:eastAsia="zh-CN"/>
        </w:rPr>
        <w:t>合同履行期限</w:t>
      </w:r>
      <w:r>
        <w:rPr>
          <w:rFonts w:hint="eastAsia" w:ascii="宋体" w:hAnsi="宋体" w:eastAsia="宋体" w:cs="宋体"/>
          <w:sz w:val="24"/>
          <w:highlight w:val="none"/>
        </w:rPr>
        <w:t>：见供应商须知前附表。</w:t>
      </w:r>
    </w:p>
    <w:p w14:paraId="25DE229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 质量标准：见供应商须知前附表。</w:t>
      </w:r>
    </w:p>
    <w:p w14:paraId="069AA1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 供应商资格要求</w:t>
      </w:r>
    </w:p>
    <w:p w14:paraId="286354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供应商应具备承担本项目的资质条件、能力和信誉。</w:t>
      </w:r>
    </w:p>
    <w:p w14:paraId="7EB5EF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（1）资质条件：见供应商须知前附表；</w:t>
      </w:r>
    </w:p>
    <w:p w14:paraId="799257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（2）财务要求：见供应商须知前附表；</w:t>
      </w:r>
    </w:p>
    <w:p w14:paraId="46B922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（3）业绩要求：见供应商须知前附表；</w:t>
      </w:r>
    </w:p>
    <w:p w14:paraId="47884A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（4）信誉要求：见供应商须知前附表；</w:t>
      </w:r>
    </w:p>
    <w:p w14:paraId="2252D2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（5）其他要求：见供应商须知前附表。</w:t>
      </w:r>
    </w:p>
    <w:p w14:paraId="0E1F8E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供应商须知前附表规定接受联合体参加的，除应符合本章第1.4.1项和供应商须知前附表的要求外，还应遵守下列规定：</w:t>
      </w:r>
    </w:p>
    <w:p w14:paraId="64EE0B0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（1）联合体各方应按照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提供的格式签订联合体协议书，明确联合体牵头人和各方权利义务；</w:t>
      </w:r>
    </w:p>
    <w:p w14:paraId="5D3F8BA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（2）由同一专业的单位组成的联合体，按照资质等级较低的单位确定资质等级；</w:t>
      </w:r>
    </w:p>
    <w:p w14:paraId="49486D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（3）联合体各方不得再以自己的名义单独或参加其他联合体在同一标段中参加。</w:t>
      </w:r>
    </w:p>
    <w:p w14:paraId="7A07E81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 费用承担</w:t>
      </w:r>
    </w:p>
    <w:p w14:paraId="5047B4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供应商准备和参加磋商活动发生的费用自理。</w:t>
      </w:r>
    </w:p>
    <w:p w14:paraId="688E1F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 保密</w:t>
      </w:r>
    </w:p>
    <w:p w14:paraId="79A83CA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参与采购投标活动的各方应对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和</w:t>
      </w:r>
      <w:r>
        <w:rPr>
          <w:rFonts w:hint="eastAsia" w:ascii="宋体" w:hAnsi="宋体" w:cs="宋体"/>
          <w:sz w:val="24"/>
          <w:highlight w:val="none"/>
          <w:lang w:eastAsia="zh-CN"/>
        </w:rPr>
        <w:t>响应文件</w:t>
      </w:r>
      <w:r>
        <w:rPr>
          <w:rFonts w:hint="eastAsia" w:ascii="宋体" w:hAnsi="宋体" w:eastAsia="宋体" w:cs="宋体"/>
          <w:sz w:val="24"/>
          <w:highlight w:val="none"/>
        </w:rPr>
        <w:t xml:space="preserve">中的商业和技术等秘密保密，违者应对由此造成的后果承担法律责任。 </w:t>
      </w:r>
    </w:p>
    <w:p w14:paraId="6B5929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 语言文字</w:t>
      </w:r>
    </w:p>
    <w:p w14:paraId="21DF94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除专用术语外，与采购投标有关的语言均使用中文。必要时专用术语应附有中文注释。</w:t>
      </w:r>
    </w:p>
    <w:p w14:paraId="0F729BA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 计量单位</w:t>
      </w:r>
    </w:p>
    <w:p w14:paraId="36BB644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14:paraId="2F253B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 踏勘现场</w:t>
      </w:r>
    </w:p>
    <w:p w14:paraId="46E9EAE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1.9.1供应商须知前附表规定组织踏勘现场的，采购人按供应商须知前附表规定的时间、地点组织供应商踏勘项目现场。 </w:t>
      </w:r>
    </w:p>
    <w:p w14:paraId="2D2287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供应商踏勘现场发生的费用自理。</w:t>
      </w:r>
    </w:p>
    <w:p w14:paraId="3744A24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除采购人的原因外，供应商自行负责在踏勘现场中所发生的人员伤亡和财产损失。</w:t>
      </w:r>
    </w:p>
    <w:p w14:paraId="380F4D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采购人在踏勘现场中介绍的工程场地和相关的周边环境情况，供应商在编制</w:t>
      </w: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文件时参考，采购人不对供应商据此作出的判断和决策负责。</w:t>
      </w:r>
    </w:p>
    <w:p w14:paraId="3BD16E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 答疑会</w:t>
      </w:r>
    </w:p>
    <w:p w14:paraId="2FB0194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1.10.1 供应商须知前附表规定召开磋商预备会的，采购人按供应商须知前附表规定的时间和地点召开</w:t>
      </w:r>
      <w:r>
        <w:rPr>
          <w:rFonts w:hint="eastAsia" w:ascii="宋体" w:hAnsi="宋体" w:eastAsia="宋体" w:cs="宋体"/>
          <w:sz w:val="24"/>
          <w:highlight w:val="none"/>
          <w:lang w:eastAsia="zh-CN"/>
        </w:rPr>
        <w:t>磋商</w:t>
      </w:r>
      <w:r>
        <w:rPr>
          <w:rFonts w:hint="eastAsia" w:ascii="宋体" w:hAnsi="宋体" w:eastAsia="宋体" w:cs="宋体"/>
          <w:sz w:val="24"/>
          <w:highlight w:val="none"/>
        </w:rPr>
        <w:t>。预备会，澄清供应商提出的问题。</w:t>
      </w:r>
    </w:p>
    <w:p w14:paraId="74AD04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1.10.2 供应商应在供应商须知前附表规定的时间前，以书面和电子邮件形式将提出的问题送达采购代理机构，以便采购人和采购代理机构在会议期间澄清。</w:t>
      </w:r>
    </w:p>
    <w:p w14:paraId="386B09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1.10.3 采购人、采购代理机构在供应商须知前附表规定的时间内，将对供应商所提问题的澄清，以书面方式通知所有购买</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的供应商。该澄清内容为</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w:t>
      </w:r>
    </w:p>
    <w:p w14:paraId="04C99B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分包</w:t>
      </w:r>
    </w:p>
    <w:p w14:paraId="19484A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供应商拟在中选后将中选项目的部分非主体、非关键性工作进行分包的，应符合供应商须知前附表规定的分包内容、分包金额和接受分包的第三人资质要求等限制性条件。</w:t>
      </w:r>
    </w:p>
    <w:p w14:paraId="1B1450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偏离</w:t>
      </w:r>
    </w:p>
    <w:p w14:paraId="063CF5D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供应商须知前附表允许</w:t>
      </w:r>
      <w:r>
        <w:rPr>
          <w:rFonts w:hint="eastAsia" w:ascii="宋体" w:hAnsi="宋体" w:cs="宋体"/>
          <w:sz w:val="24"/>
          <w:highlight w:val="none"/>
          <w:lang w:eastAsia="zh-CN"/>
        </w:rPr>
        <w:t>响应文件</w:t>
      </w:r>
      <w:r>
        <w:rPr>
          <w:rFonts w:hint="eastAsia" w:ascii="宋体" w:hAnsi="宋体" w:eastAsia="宋体" w:cs="宋体"/>
          <w:sz w:val="24"/>
          <w:highlight w:val="none"/>
        </w:rPr>
        <w:t>偏离</w:t>
      </w:r>
      <w:r>
        <w:rPr>
          <w:rFonts w:hint="eastAsia" w:ascii="宋体" w:hAnsi="宋体" w:cs="宋体"/>
          <w:sz w:val="24"/>
          <w:highlight w:val="none"/>
          <w:lang w:eastAsia="zh-CN"/>
        </w:rPr>
        <w:t>竞争性磋商文件</w:t>
      </w:r>
      <w:r>
        <w:rPr>
          <w:rFonts w:hint="eastAsia" w:ascii="宋体" w:hAnsi="宋体" w:eastAsia="宋体" w:cs="宋体"/>
          <w:sz w:val="24"/>
          <w:highlight w:val="none"/>
        </w:rPr>
        <w:t>某些要求的，偏离应当符合</w:t>
      </w:r>
      <w:r>
        <w:rPr>
          <w:rFonts w:hint="eastAsia" w:ascii="宋体" w:hAnsi="宋体" w:cs="宋体"/>
          <w:sz w:val="24"/>
          <w:highlight w:val="none"/>
          <w:lang w:eastAsia="zh-CN"/>
        </w:rPr>
        <w:t>竞争性磋商文件</w:t>
      </w:r>
      <w:r>
        <w:rPr>
          <w:rFonts w:hint="eastAsia" w:ascii="宋体" w:hAnsi="宋体" w:eastAsia="宋体" w:cs="宋体"/>
          <w:sz w:val="24"/>
          <w:highlight w:val="none"/>
        </w:rPr>
        <w:t>规定的偏离范围和幅度。</w:t>
      </w:r>
    </w:p>
    <w:p w14:paraId="20E36668">
      <w:pPr>
        <w:spacing w:line="360" w:lineRule="auto"/>
        <w:ind w:firstLine="482" w:firstLineChars="200"/>
        <w:jc w:val="center"/>
        <w:rPr>
          <w:rFonts w:hint="eastAsia" w:ascii="宋体" w:hAnsi="宋体" w:eastAsia="宋体" w:cs="宋体"/>
          <w:sz w:val="24"/>
          <w:highlight w:val="none"/>
          <w:lang w:eastAsia="zh-CN"/>
        </w:rPr>
      </w:pPr>
      <w:r>
        <w:rPr>
          <w:rFonts w:hint="eastAsia" w:ascii="宋体" w:hAnsi="宋体" w:eastAsia="宋体" w:cs="宋体"/>
          <w:b/>
          <w:bCs/>
          <w:sz w:val="24"/>
          <w:highlight w:val="none"/>
        </w:rPr>
        <w:t xml:space="preserve">2. </w:t>
      </w:r>
      <w:r>
        <w:rPr>
          <w:rFonts w:hint="eastAsia" w:ascii="宋体" w:hAnsi="宋体" w:cs="宋体"/>
          <w:b/>
          <w:bCs/>
          <w:sz w:val="24"/>
          <w:highlight w:val="none"/>
          <w:lang w:eastAsia="zh-CN"/>
        </w:rPr>
        <w:t>竞争性磋商文件</w:t>
      </w:r>
    </w:p>
    <w:p w14:paraId="5E28ED1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2.1 </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w:t>
      </w:r>
    </w:p>
    <w:p w14:paraId="2929C5EB">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竞争性磋商文件</w:t>
      </w:r>
      <w:r>
        <w:rPr>
          <w:rFonts w:hint="eastAsia" w:ascii="宋体" w:hAnsi="宋体" w:eastAsia="宋体" w:cs="宋体"/>
          <w:sz w:val="24"/>
          <w:highlight w:val="none"/>
        </w:rPr>
        <w:t>除以下内容外，采购人在采购期间发出的答疑纪要和其他补充修改函件，均是</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的组成部分，对供应商起约束作用。</w:t>
      </w:r>
      <w:r>
        <w:rPr>
          <w:rFonts w:hint="eastAsia" w:ascii="宋体" w:hAnsi="宋体" w:cs="宋体"/>
          <w:sz w:val="24"/>
          <w:highlight w:val="none"/>
          <w:lang w:eastAsia="zh-CN"/>
        </w:rPr>
        <w:t>竞争性磋商文件</w:t>
      </w:r>
      <w:r>
        <w:rPr>
          <w:rFonts w:hint="eastAsia" w:ascii="宋体" w:hAnsi="宋体" w:eastAsia="宋体" w:cs="宋体"/>
          <w:sz w:val="24"/>
          <w:highlight w:val="none"/>
        </w:rPr>
        <w:t>包括下列内容：</w:t>
      </w:r>
    </w:p>
    <w:p w14:paraId="090510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（1）竞争性磋商公告；</w:t>
      </w:r>
    </w:p>
    <w:p w14:paraId="33CC1A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（2）供应商须知；</w:t>
      </w:r>
    </w:p>
    <w:p w14:paraId="5AFEB74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（3）评分办法；</w:t>
      </w:r>
    </w:p>
    <w:p w14:paraId="7B63E2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（4）合同条款（合同参考格式） </w:t>
      </w:r>
    </w:p>
    <w:p w14:paraId="1B9702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eastAsia="zh-CN"/>
        </w:rPr>
        <w:t>服务</w:t>
      </w:r>
      <w:r>
        <w:rPr>
          <w:rFonts w:hint="eastAsia" w:ascii="宋体" w:hAnsi="宋体" w:eastAsia="宋体" w:cs="宋体"/>
          <w:sz w:val="24"/>
          <w:highlight w:val="none"/>
        </w:rPr>
        <w:t xml:space="preserve">需求及技术规格要求； </w:t>
      </w:r>
    </w:p>
    <w:p w14:paraId="59D734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cs="宋体"/>
          <w:sz w:val="24"/>
          <w:highlight w:val="none"/>
          <w:lang w:eastAsia="zh-CN"/>
        </w:rPr>
        <w:t>响应文件</w:t>
      </w:r>
      <w:r>
        <w:rPr>
          <w:rFonts w:hint="eastAsia" w:ascii="宋体" w:hAnsi="宋体" w:eastAsia="宋体" w:cs="宋体"/>
          <w:sz w:val="24"/>
          <w:highlight w:val="none"/>
        </w:rPr>
        <w:t>格式；</w:t>
      </w:r>
    </w:p>
    <w:p w14:paraId="7569C9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根据本章第1.10款、第2.2款和第2.3款对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所作的澄清、修改，构成</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w:t>
      </w:r>
    </w:p>
    <w:p w14:paraId="6E14D0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2.2 </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的澄清</w:t>
      </w:r>
    </w:p>
    <w:p w14:paraId="233CB6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2.2.1供应商在</w:t>
      </w:r>
      <w:r>
        <w:rPr>
          <w:rFonts w:hint="eastAsia" w:ascii="宋体" w:hAnsi="宋体" w:cs="宋体"/>
          <w:sz w:val="24"/>
          <w:highlight w:val="none"/>
          <w:lang w:val="en-US" w:eastAsia="zh-CN"/>
        </w:rPr>
        <w:t>获取</w:t>
      </w:r>
      <w:r>
        <w:rPr>
          <w:rFonts w:hint="eastAsia" w:ascii="宋体" w:hAnsi="宋体" w:cs="宋体"/>
          <w:sz w:val="24"/>
          <w:highlight w:val="none"/>
          <w:lang w:eastAsia="zh-CN"/>
        </w:rPr>
        <w:t>竞争性磋商文件</w:t>
      </w:r>
      <w:r>
        <w:rPr>
          <w:rFonts w:hint="eastAsia" w:ascii="宋体" w:hAnsi="宋体" w:eastAsia="宋体" w:cs="宋体"/>
          <w:sz w:val="24"/>
          <w:highlight w:val="none"/>
        </w:rPr>
        <w:t>后，对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任何部分若有任何疑问，任何要求澄清</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的供应商，均应按照本须知前附表规定的时间及方式以书面形式向采购人或代理公司提交。不论是采购人根据需要主动对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进行必要的澄清或是根据供应商的要求对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做出澄清，采购人都将在响应文件截止日期前以书面形式予以答复，同时将书面答复发给所有供应商。投标的澄清作为</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的组成部分，对供应商起约束作用。</w:t>
      </w:r>
    </w:p>
    <w:p w14:paraId="7596F5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2.3 </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的修改</w:t>
      </w:r>
    </w:p>
    <w:p w14:paraId="0AE1F85F">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竞争性磋商文件</w:t>
      </w:r>
      <w:r>
        <w:rPr>
          <w:rFonts w:hint="eastAsia" w:ascii="宋体" w:hAnsi="宋体" w:eastAsia="宋体" w:cs="宋体"/>
          <w:sz w:val="24"/>
          <w:highlight w:val="none"/>
        </w:rPr>
        <w:t>发出后，在响应文件截止日期前，无论出于何种原因，采购人可主动地或在解答供应商提出的澄清问题时对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进行修改。</w:t>
      </w:r>
    </w:p>
    <w:p w14:paraId="03DA8B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的修改将以书面形式发给所有供应商，</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的修改作为</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的组成部分，并具有约束力。供应商应尽快以书面形式通知采购人确定已收到修改文件。</w:t>
      </w:r>
    </w:p>
    <w:p w14:paraId="3F307A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.3.2</w:t>
      </w:r>
      <w:r>
        <w:rPr>
          <w:rFonts w:hint="eastAsia" w:ascii="宋体" w:hAnsi="宋体" w:cs="宋体"/>
          <w:sz w:val="24"/>
          <w:highlight w:val="none"/>
          <w:lang w:eastAsia="zh-CN"/>
        </w:rPr>
        <w:t>竞争性磋商文件</w:t>
      </w:r>
      <w:r>
        <w:rPr>
          <w:rFonts w:hint="eastAsia" w:ascii="宋体" w:hAnsi="宋体" w:eastAsia="宋体" w:cs="宋体"/>
          <w:sz w:val="24"/>
          <w:highlight w:val="none"/>
        </w:rPr>
        <w:t>、</w:t>
      </w:r>
      <w:r>
        <w:rPr>
          <w:rFonts w:hint="eastAsia" w:ascii="宋体" w:hAnsi="宋体" w:cs="宋体"/>
          <w:sz w:val="24"/>
          <w:highlight w:val="none"/>
          <w:lang w:eastAsia="zh-CN"/>
        </w:rPr>
        <w:t>竞争性磋商文件</w:t>
      </w:r>
      <w:r>
        <w:rPr>
          <w:rFonts w:hint="eastAsia" w:ascii="宋体" w:hAnsi="宋体" w:eastAsia="宋体" w:cs="宋体"/>
          <w:sz w:val="24"/>
          <w:highlight w:val="none"/>
        </w:rPr>
        <w:t>澄清（答疑）纪要、</w:t>
      </w:r>
      <w:r>
        <w:rPr>
          <w:rFonts w:hint="eastAsia" w:ascii="宋体" w:hAnsi="宋体" w:cs="宋体"/>
          <w:sz w:val="24"/>
          <w:highlight w:val="none"/>
          <w:lang w:eastAsia="zh-CN"/>
        </w:rPr>
        <w:t>竞争性磋商文件</w:t>
      </w:r>
      <w:r>
        <w:rPr>
          <w:rFonts w:hint="eastAsia" w:ascii="宋体" w:hAnsi="宋体" w:eastAsia="宋体" w:cs="宋体"/>
          <w:sz w:val="24"/>
          <w:highlight w:val="none"/>
        </w:rPr>
        <w:t>修改补充通知内容均以书面明确的内容为准。当</w:t>
      </w:r>
      <w:r>
        <w:rPr>
          <w:rFonts w:hint="eastAsia" w:ascii="宋体" w:hAnsi="宋体" w:cs="宋体"/>
          <w:sz w:val="24"/>
          <w:highlight w:val="none"/>
          <w:lang w:eastAsia="zh-CN"/>
        </w:rPr>
        <w:t>竞争性磋商文件</w:t>
      </w:r>
      <w:r>
        <w:rPr>
          <w:rFonts w:hint="eastAsia" w:ascii="宋体" w:hAnsi="宋体" w:eastAsia="宋体" w:cs="宋体"/>
          <w:sz w:val="24"/>
          <w:highlight w:val="none"/>
        </w:rPr>
        <w:t>、修改补充通知、澄清（答疑）纪要内容相互矛盾时，以最后发出的通知（或纪要）或修改文件为准。</w:t>
      </w:r>
    </w:p>
    <w:p w14:paraId="39B03A7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2.3.3 采购人保证</w:t>
      </w:r>
      <w:r>
        <w:rPr>
          <w:rFonts w:hint="eastAsia" w:ascii="宋体" w:hAnsi="宋体" w:cs="宋体"/>
          <w:sz w:val="24"/>
          <w:highlight w:val="none"/>
          <w:lang w:eastAsia="zh-CN"/>
        </w:rPr>
        <w:t>竞争性磋商文件</w:t>
      </w:r>
      <w:r>
        <w:rPr>
          <w:rFonts w:hint="eastAsia" w:ascii="宋体" w:hAnsi="宋体" w:eastAsia="宋体" w:cs="宋体"/>
          <w:sz w:val="24"/>
          <w:highlight w:val="none"/>
        </w:rPr>
        <w:t>澄清（答疑）纪要和</w:t>
      </w:r>
      <w:r>
        <w:rPr>
          <w:rFonts w:hint="eastAsia" w:ascii="宋体" w:hAnsi="宋体" w:cs="宋体"/>
          <w:sz w:val="24"/>
          <w:highlight w:val="none"/>
          <w:lang w:eastAsia="zh-CN"/>
        </w:rPr>
        <w:t>竞争性磋商文件</w:t>
      </w:r>
      <w:r>
        <w:rPr>
          <w:rFonts w:hint="eastAsia" w:ascii="宋体" w:hAnsi="宋体" w:eastAsia="宋体" w:cs="宋体"/>
          <w:sz w:val="24"/>
          <w:highlight w:val="none"/>
        </w:rPr>
        <w:t>修改补充通知在响应文件截止时间前以书面形式发给所有供应商。为使供应商在编写响应文件时有充分时间对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的修改部分进行研究，采购人可以酌情延长</w:t>
      </w:r>
      <w:r>
        <w:rPr>
          <w:rFonts w:hint="eastAsia" w:ascii="宋体" w:hAnsi="宋体" w:cs="宋体"/>
          <w:sz w:val="24"/>
          <w:highlight w:val="none"/>
          <w:lang w:eastAsia="zh-CN"/>
        </w:rPr>
        <w:t>提交</w:t>
      </w:r>
      <w:r>
        <w:rPr>
          <w:rFonts w:hint="eastAsia" w:ascii="宋体" w:hAnsi="宋体" w:eastAsia="宋体" w:cs="宋体"/>
          <w:sz w:val="24"/>
          <w:highlight w:val="none"/>
        </w:rPr>
        <w:t>响应文件的截止日期，具体时间将在修改补充通知中明确。</w:t>
      </w:r>
    </w:p>
    <w:p w14:paraId="34BA48A2">
      <w:pPr>
        <w:spacing w:line="360" w:lineRule="auto"/>
        <w:ind w:firstLine="480" w:firstLineChars="200"/>
        <w:rPr>
          <w:rFonts w:hint="eastAsia" w:ascii="宋体" w:hAnsi="宋体" w:eastAsia="宋体" w:cs="宋体"/>
          <w:sz w:val="24"/>
          <w:highlight w:val="none"/>
        </w:rPr>
      </w:pPr>
    </w:p>
    <w:p w14:paraId="68F1F972">
      <w:pPr>
        <w:spacing w:line="360" w:lineRule="auto"/>
        <w:ind w:firstLine="482" w:firstLineChars="200"/>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rPr>
        <w:t xml:space="preserve">3. </w:t>
      </w:r>
      <w:r>
        <w:rPr>
          <w:rFonts w:hint="eastAsia" w:ascii="宋体" w:hAnsi="宋体" w:cs="宋体"/>
          <w:b/>
          <w:bCs/>
          <w:sz w:val="24"/>
          <w:highlight w:val="none"/>
          <w:lang w:eastAsia="zh-CN"/>
        </w:rPr>
        <w:t>响应文件</w:t>
      </w:r>
    </w:p>
    <w:p w14:paraId="0A28619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3.1 </w:t>
      </w:r>
      <w:r>
        <w:rPr>
          <w:rFonts w:hint="eastAsia" w:ascii="宋体" w:hAnsi="宋体" w:cs="宋体"/>
          <w:sz w:val="24"/>
          <w:highlight w:val="none"/>
          <w:lang w:eastAsia="zh-CN"/>
        </w:rPr>
        <w:t>响应文件</w:t>
      </w:r>
      <w:r>
        <w:rPr>
          <w:rFonts w:hint="eastAsia" w:ascii="宋体" w:hAnsi="宋体" w:eastAsia="宋体" w:cs="宋体"/>
          <w:sz w:val="24"/>
          <w:highlight w:val="none"/>
        </w:rPr>
        <w:t>的组成</w:t>
      </w:r>
    </w:p>
    <w:p w14:paraId="2957092A">
      <w:pPr>
        <w:tabs>
          <w:tab w:val="left" w:pos="1365"/>
        </w:tabs>
        <w:spacing w:line="360" w:lineRule="auto"/>
        <w:ind w:left="416" w:leftChars="198"/>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磋商响应函</w:t>
      </w:r>
    </w:p>
    <w:p w14:paraId="66C957E3">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、法定代表人身份证明</w:t>
      </w:r>
    </w:p>
    <w:p w14:paraId="793E2EC0">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w:t>
      </w:r>
    </w:p>
    <w:p w14:paraId="1448490A">
      <w:pPr>
        <w:tabs>
          <w:tab w:val="left" w:pos="1365"/>
        </w:tabs>
        <w:spacing w:line="360" w:lineRule="auto"/>
        <w:ind w:left="416" w:leftChars="198"/>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磋商报价表</w:t>
      </w:r>
    </w:p>
    <w:p w14:paraId="5E46F382">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、商务条款偏离表</w:t>
      </w:r>
    </w:p>
    <w:p w14:paraId="2763C842">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、技术条款偏离表</w:t>
      </w:r>
    </w:p>
    <w:p w14:paraId="444BFCA8">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、供应商基本情况</w:t>
      </w:r>
    </w:p>
    <w:p w14:paraId="4CE048C9">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、供应商类似项目业绩一览表</w:t>
      </w:r>
    </w:p>
    <w:p w14:paraId="1F349353">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、供应商拟派于本项目服务人员情况表</w:t>
      </w:r>
    </w:p>
    <w:p w14:paraId="1BC4B684">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保证金</w:t>
      </w:r>
    </w:p>
    <w:p w14:paraId="05172A25">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、实施方案</w:t>
      </w:r>
    </w:p>
    <w:p w14:paraId="7AA8ECAC">
      <w:pPr>
        <w:tabs>
          <w:tab w:val="left" w:pos="393"/>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、供应商认为需要提供的其他材料</w:t>
      </w:r>
    </w:p>
    <w:p w14:paraId="2213B2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取费报价</w:t>
      </w:r>
    </w:p>
    <w:p w14:paraId="3CC646B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 除非</w:t>
      </w:r>
      <w:r>
        <w:rPr>
          <w:rFonts w:hint="eastAsia" w:ascii="宋体" w:hAnsi="宋体" w:cs="宋体"/>
          <w:sz w:val="24"/>
          <w:highlight w:val="none"/>
          <w:lang w:eastAsia="zh-CN"/>
        </w:rPr>
        <w:t>竞争性磋商文件</w:t>
      </w:r>
      <w:r>
        <w:rPr>
          <w:rFonts w:hint="eastAsia" w:ascii="宋体" w:hAnsi="宋体" w:eastAsia="宋体" w:cs="宋体"/>
          <w:sz w:val="24"/>
          <w:highlight w:val="none"/>
        </w:rPr>
        <w:t>中另有规定，服务取费报价应包括完成本项目过程中提供的所有服务，所需采购人支付的全部服务费。</w:t>
      </w:r>
    </w:p>
    <w:p w14:paraId="7A19D52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设计费用在合同实施期间固定不变。</w:t>
      </w:r>
    </w:p>
    <w:p w14:paraId="346781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 磋商响应有效期</w:t>
      </w:r>
    </w:p>
    <w:p w14:paraId="6BA04A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 在供应商须知前附表规定的磋商响应有效期内，供应商不得要求撤销或修改其</w:t>
      </w:r>
      <w:r>
        <w:rPr>
          <w:rFonts w:hint="eastAsia" w:ascii="宋体" w:hAnsi="宋体" w:cs="宋体"/>
          <w:sz w:val="24"/>
          <w:highlight w:val="none"/>
          <w:lang w:eastAsia="zh-CN"/>
        </w:rPr>
        <w:t>响应文件</w:t>
      </w:r>
      <w:r>
        <w:rPr>
          <w:rFonts w:hint="eastAsia" w:ascii="宋体" w:hAnsi="宋体" w:eastAsia="宋体" w:cs="宋体"/>
          <w:sz w:val="24"/>
          <w:highlight w:val="none"/>
        </w:rPr>
        <w:t>。</w:t>
      </w:r>
    </w:p>
    <w:p w14:paraId="0A50B4B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3.3.2出现特殊情况需要延长磋商响应有效期的，采购人以书面形式通知所有供应商延长磋商响应有效期。供应商同意延长的，应相应延长其磋商保证金的有效期，但不得要求或被允许修改或撤销其</w:t>
      </w:r>
      <w:r>
        <w:rPr>
          <w:rFonts w:hint="eastAsia" w:ascii="宋体" w:hAnsi="宋体" w:cs="宋体"/>
          <w:sz w:val="24"/>
          <w:highlight w:val="none"/>
          <w:lang w:eastAsia="zh-CN"/>
        </w:rPr>
        <w:t>响应文件</w:t>
      </w:r>
      <w:r>
        <w:rPr>
          <w:rFonts w:hint="eastAsia" w:ascii="宋体" w:hAnsi="宋体" w:eastAsia="宋体" w:cs="宋体"/>
          <w:sz w:val="24"/>
          <w:highlight w:val="none"/>
        </w:rPr>
        <w:t xml:space="preserve">；供应商拒绝延长的，其响应失效，但供应商有权收回其磋商保证金。 </w:t>
      </w:r>
    </w:p>
    <w:p w14:paraId="2070AFC5">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3.4 磋商保证金</w:t>
      </w:r>
    </w:p>
    <w:p w14:paraId="2138BB7F">
      <w:pPr>
        <w:spacing w:line="360" w:lineRule="auto"/>
        <w:ind w:firstLine="482" w:firstLineChars="200"/>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依据长财采购【</w:t>
      </w:r>
      <w:r>
        <w:rPr>
          <w:rFonts w:hint="eastAsia" w:ascii="宋体" w:hAnsi="宋体" w:eastAsia="宋体" w:cs="宋体"/>
          <w:b/>
          <w:bCs/>
          <w:sz w:val="24"/>
          <w:highlight w:val="none"/>
          <w:lang w:val="en-US" w:eastAsia="zh-CN"/>
        </w:rPr>
        <w:t>2021</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695号文件规定，</w:t>
      </w:r>
      <w:r>
        <w:rPr>
          <w:rFonts w:hint="eastAsia" w:ascii="宋体" w:hAnsi="宋体" w:eastAsia="宋体" w:cs="宋体"/>
          <w:b/>
          <w:bCs/>
          <w:sz w:val="24"/>
          <w:highlight w:val="none"/>
        </w:rPr>
        <w:t>对于诚信良好的供应商可免收</w:t>
      </w:r>
      <w:r>
        <w:rPr>
          <w:rFonts w:hint="eastAsia" w:ascii="宋体" w:hAnsi="宋体" w:eastAsia="宋体" w:cs="宋体"/>
          <w:b/>
          <w:bCs/>
          <w:sz w:val="24"/>
          <w:highlight w:val="none"/>
          <w:lang w:eastAsia="zh-CN"/>
        </w:rPr>
        <w:t>磋商</w:t>
      </w:r>
      <w:r>
        <w:rPr>
          <w:rFonts w:hint="eastAsia" w:ascii="宋体" w:hAnsi="宋体" w:eastAsia="宋体" w:cs="宋体"/>
          <w:b/>
          <w:bCs/>
          <w:sz w:val="24"/>
          <w:highlight w:val="none"/>
        </w:rPr>
        <w:t>保证金；</w:t>
      </w:r>
      <w:r>
        <w:rPr>
          <w:rFonts w:hint="eastAsia" w:ascii="宋体" w:hAnsi="宋体" w:eastAsia="宋体" w:cs="宋体"/>
          <w:sz w:val="24"/>
          <w:highlight w:val="none"/>
        </w:rPr>
        <w:t>但对于满足《中华人民共和国政府采购法》第二十二条有关规定，经“信用中国”网站查询存在行政处罚信息的供应商，须按规定提交</w:t>
      </w:r>
      <w:r>
        <w:rPr>
          <w:rFonts w:hint="eastAsia" w:ascii="宋体" w:hAnsi="宋体" w:eastAsia="宋体" w:cs="宋体"/>
          <w:sz w:val="24"/>
          <w:highlight w:val="none"/>
          <w:lang w:eastAsia="zh-CN"/>
        </w:rPr>
        <w:t>磋商</w:t>
      </w:r>
      <w:r>
        <w:rPr>
          <w:rFonts w:hint="eastAsia" w:ascii="宋体" w:hAnsi="宋体" w:eastAsia="宋体" w:cs="宋体"/>
          <w:sz w:val="24"/>
          <w:highlight w:val="none"/>
        </w:rPr>
        <w:t>保证金</w:t>
      </w:r>
      <w:r>
        <w:rPr>
          <w:rFonts w:hint="eastAsia" w:ascii="宋体" w:hAnsi="宋体" w:eastAsia="宋体" w:cs="宋体"/>
          <w:sz w:val="24"/>
          <w:highlight w:val="none"/>
          <w:lang w:eastAsia="zh-CN"/>
        </w:rPr>
        <w:t>；</w:t>
      </w:r>
    </w:p>
    <w:p w14:paraId="59CEBED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供应商在</w:t>
      </w:r>
      <w:r>
        <w:rPr>
          <w:rFonts w:hint="eastAsia" w:ascii="宋体" w:hAnsi="宋体" w:cs="宋体"/>
          <w:sz w:val="24"/>
          <w:highlight w:val="none"/>
          <w:lang w:eastAsia="zh-CN"/>
        </w:rPr>
        <w:t>提交响应文件</w:t>
      </w:r>
      <w:r>
        <w:rPr>
          <w:rFonts w:hint="eastAsia" w:ascii="宋体" w:hAnsi="宋体" w:eastAsia="宋体" w:cs="宋体"/>
          <w:sz w:val="24"/>
          <w:highlight w:val="none"/>
        </w:rPr>
        <w:t>的同时，应按供应商须知前附表规定的金额、担保形式和第六章“</w:t>
      </w:r>
      <w:r>
        <w:rPr>
          <w:rFonts w:hint="eastAsia" w:ascii="宋体" w:hAnsi="宋体" w:cs="宋体"/>
          <w:sz w:val="24"/>
          <w:highlight w:val="none"/>
          <w:lang w:eastAsia="zh-CN"/>
        </w:rPr>
        <w:t>响应文件</w:t>
      </w:r>
      <w:r>
        <w:rPr>
          <w:rFonts w:hint="eastAsia" w:ascii="宋体" w:hAnsi="宋体" w:eastAsia="宋体" w:cs="宋体"/>
          <w:sz w:val="24"/>
          <w:highlight w:val="none"/>
        </w:rPr>
        <w:t>格式”规定的磋商保证金格式</w:t>
      </w:r>
      <w:r>
        <w:rPr>
          <w:rFonts w:hint="eastAsia" w:ascii="宋体" w:hAnsi="宋体" w:cs="宋体"/>
          <w:sz w:val="24"/>
          <w:highlight w:val="none"/>
          <w:lang w:eastAsia="zh-CN"/>
        </w:rPr>
        <w:t>提交</w:t>
      </w:r>
      <w:r>
        <w:rPr>
          <w:rFonts w:hint="eastAsia" w:ascii="宋体" w:hAnsi="宋体" w:eastAsia="宋体" w:cs="宋体"/>
          <w:sz w:val="24"/>
          <w:highlight w:val="none"/>
        </w:rPr>
        <w:t>磋商保证金，并作为其</w:t>
      </w:r>
      <w:r>
        <w:rPr>
          <w:rFonts w:hint="eastAsia" w:ascii="宋体" w:hAnsi="宋体" w:cs="宋体"/>
          <w:sz w:val="24"/>
          <w:highlight w:val="none"/>
          <w:lang w:eastAsia="zh-CN"/>
        </w:rPr>
        <w:t>响应文件</w:t>
      </w:r>
      <w:r>
        <w:rPr>
          <w:rFonts w:hint="eastAsia" w:ascii="宋体" w:hAnsi="宋体" w:eastAsia="宋体" w:cs="宋体"/>
          <w:sz w:val="24"/>
          <w:highlight w:val="none"/>
        </w:rPr>
        <w:t>的组成部分。联合体参加的，其磋商保证金由牵头人</w:t>
      </w:r>
      <w:r>
        <w:rPr>
          <w:rFonts w:hint="eastAsia" w:ascii="宋体" w:hAnsi="宋体" w:cs="宋体"/>
          <w:sz w:val="24"/>
          <w:highlight w:val="none"/>
          <w:lang w:eastAsia="zh-CN"/>
        </w:rPr>
        <w:t>提交</w:t>
      </w:r>
      <w:r>
        <w:rPr>
          <w:rFonts w:hint="eastAsia" w:ascii="宋体" w:hAnsi="宋体" w:eastAsia="宋体" w:cs="宋体"/>
          <w:sz w:val="24"/>
          <w:highlight w:val="none"/>
        </w:rPr>
        <w:t>，并应符合供应商须知前附表的规定。</w:t>
      </w:r>
    </w:p>
    <w:p w14:paraId="70CFF9D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 供应商不按本章第3.4.1项要求提交磋商保证金的，将导致</w:t>
      </w:r>
      <w:r>
        <w:rPr>
          <w:rFonts w:hint="eastAsia" w:ascii="宋体" w:hAnsi="宋体" w:cs="宋体"/>
          <w:sz w:val="24"/>
          <w:highlight w:val="none"/>
          <w:lang w:eastAsia="zh-CN"/>
        </w:rPr>
        <w:t>响应文件</w:t>
      </w:r>
      <w:r>
        <w:rPr>
          <w:rFonts w:hint="eastAsia" w:ascii="宋体" w:hAnsi="宋体" w:eastAsia="宋体" w:cs="宋体"/>
          <w:sz w:val="24"/>
          <w:highlight w:val="none"/>
        </w:rPr>
        <w:t>被否决。</w:t>
      </w:r>
    </w:p>
    <w:p w14:paraId="54E0F61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 采购人与中选人签订合同后5个工作日内，向未中选的供应商和中选人退还磋商保证金。</w:t>
      </w:r>
    </w:p>
    <w:p w14:paraId="535601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3.4.4 有下列情形之一的，磋商保证金将不予退还：</w:t>
      </w:r>
    </w:p>
    <w:p w14:paraId="20499B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（1）供应商在规定的磋商想要个有效期内撤销或修改其</w:t>
      </w:r>
      <w:r>
        <w:rPr>
          <w:rFonts w:hint="eastAsia" w:ascii="宋体" w:hAnsi="宋体" w:cs="宋体"/>
          <w:sz w:val="24"/>
          <w:highlight w:val="none"/>
          <w:lang w:eastAsia="zh-CN"/>
        </w:rPr>
        <w:t>响应文件</w:t>
      </w:r>
      <w:r>
        <w:rPr>
          <w:rFonts w:hint="eastAsia" w:ascii="宋体" w:hAnsi="宋体" w:eastAsia="宋体" w:cs="宋体"/>
          <w:sz w:val="24"/>
          <w:highlight w:val="none"/>
        </w:rPr>
        <w:t>；</w:t>
      </w:r>
    </w:p>
    <w:p w14:paraId="4A9D21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w:t>
      </w:r>
      <w:r>
        <w:rPr>
          <w:rFonts w:hint="eastAsia" w:ascii="宋体" w:hAnsi="宋体" w:cs="宋体"/>
          <w:sz w:val="24"/>
          <w:highlight w:val="none"/>
          <w:lang w:val="en-US" w:eastAsia="zh-CN"/>
        </w:rPr>
        <w:t>标</w:t>
      </w:r>
      <w:r>
        <w:rPr>
          <w:rFonts w:hint="eastAsia" w:ascii="宋体" w:hAnsi="宋体" w:eastAsia="宋体" w:cs="宋体"/>
          <w:sz w:val="24"/>
          <w:highlight w:val="none"/>
        </w:rPr>
        <w:t>人在收到成交通知书后，无正当理由拒签合同协议书或未按</w:t>
      </w:r>
      <w:r>
        <w:rPr>
          <w:rFonts w:hint="eastAsia" w:ascii="宋体" w:hAnsi="宋体" w:cs="宋体"/>
          <w:sz w:val="24"/>
          <w:highlight w:val="none"/>
          <w:lang w:eastAsia="zh-CN"/>
        </w:rPr>
        <w:t>竞争性磋商文件</w:t>
      </w:r>
      <w:r>
        <w:rPr>
          <w:rFonts w:hint="eastAsia" w:ascii="宋体" w:hAnsi="宋体" w:eastAsia="宋体" w:cs="宋体"/>
          <w:sz w:val="24"/>
          <w:highlight w:val="none"/>
        </w:rPr>
        <w:t>规定提交履约担保。</w:t>
      </w:r>
    </w:p>
    <w:p w14:paraId="1149CC2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 资格审查资料</w:t>
      </w:r>
    </w:p>
    <w:p w14:paraId="2A2BC1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 “供应商基本情况表”应附供应商营业执照副本</w:t>
      </w:r>
      <w:r>
        <w:rPr>
          <w:rFonts w:hint="eastAsia" w:ascii="宋体" w:hAnsi="宋体" w:cs="宋体"/>
          <w:sz w:val="24"/>
          <w:highlight w:val="none"/>
          <w:lang w:eastAsia="zh-CN"/>
        </w:rPr>
        <w:t>、《食品经营许可证》</w:t>
      </w:r>
      <w:r>
        <w:rPr>
          <w:rFonts w:hint="eastAsia" w:ascii="宋体" w:hAnsi="宋体" w:eastAsia="宋体" w:cs="宋体"/>
          <w:sz w:val="24"/>
          <w:highlight w:val="none"/>
        </w:rPr>
        <w:t>等材料的复印件</w:t>
      </w:r>
      <w:r>
        <w:rPr>
          <w:rFonts w:hint="eastAsia" w:ascii="宋体" w:hAnsi="宋体" w:eastAsia="宋体" w:cs="宋体"/>
          <w:sz w:val="24"/>
          <w:highlight w:val="none"/>
          <w:lang w:eastAsia="zh-CN"/>
        </w:rPr>
        <w:t>加盖公章</w:t>
      </w:r>
      <w:r>
        <w:rPr>
          <w:rFonts w:hint="eastAsia" w:ascii="宋体" w:hAnsi="宋体" w:eastAsia="宋体" w:cs="宋体"/>
          <w:sz w:val="24"/>
          <w:highlight w:val="none"/>
        </w:rPr>
        <w:t>。</w:t>
      </w:r>
    </w:p>
    <w:p w14:paraId="0A00BB7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3.5.2 “近年财务状况表”应附</w:t>
      </w:r>
      <w:r>
        <w:rPr>
          <w:rFonts w:hint="eastAsia" w:ascii="宋体" w:hAnsi="宋体" w:eastAsia="宋体" w:cs="宋体"/>
          <w:kern w:val="2"/>
          <w:sz w:val="24"/>
          <w:szCs w:val="24"/>
          <w:highlight w:val="none"/>
          <w:lang w:val="en-US" w:eastAsia="zh-CN" w:bidi="ar-SA"/>
        </w:rPr>
        <w:t>财务状况良好资格条件承诺函</w:t>
      </w:r>
      <w:r>
        <w:rPr>
          <w:rFonts w:hint="eastAsia" w:ascii="宋体" w:hAnsi="宋体" w:eastAsia="宋体" w:cs="宋体"/>
          <w:sz w:val="24"/>
          <w:highlight w:val="none"/>
        </w:rPr>
        <w:t>。</w:t>
      </w:r>
    </w:p>
    <w:p w14:paraId="3236125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3.5.3 “近年完成的类似项目情况表”应附中标通知书和（或）合同协议书的复印件加盖公章，具体年份要求见供应商须知前附表。</w:t>
      </w:r>
    </w:p>
    <w:p w14:paraId="26BDD6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3.5.4 “近年发生的诉讼及仲裁情况”应说明相关情况，并附法院或仲裁机构作出的判决、裁决等有关法律文书复印件，具体年份要求见供应商须知前附表，无诉讼仲裁则不用提供。</w:t>
      </w:r>
    </w:p>
    <w:p w14:paraId="3984679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3.5.5 供应商须知前附表规定接受联合体参加的，本章第3.5.1项至第3.5.4项规定的表格和资料应包括联合体各方相关情况。</w:t>
      </w:r>
    </w:p>
    <w:p w14:paraId="45F8C4A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 备选</w:t>
      </w:r>
      <w:r>
        <w:rPr>
          <w:rFonts w:hint="eastAsia" w:ascii="宋体" w:hAnsi="宋体" w:cs="宋体"/>
          <w:sz w:val="24"/>
          <w:highlight w:val="none"/>
          <w:lang w:eastAsia="zh-CN"/>
        </w:rPr>
        <w:t>供应商</w:t>
      </w:r>
      <w:r>
        <w:rPr>
          <w:rFonts w:hint="eastAsia" w:ascii="宋体" w:hAnsi="宋体" w:eastAsia="宋体" w:cs="宋体"/>
          <w:sz w:val="24"/>
          <w:highlight w:val="none"/>
        </w:rPr>
        <w:t>案</w:t>
      </w:r>
    </w:p>
    <w:p w14:paraId="50B7C7B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除供应商须知前附表另有规定外，供应商不得</w:t>
      </w:r>
      <w:r>
        <w:rPr>
          <w:rFonts w:hint="eastAsia" w:ascii="宋体" w:hAnsi="宋体" w:cs="宋体"/>
          <w:sz w:val="24"/>
          <w:highlight w:val="none"/>
          <w:lang w:eastAsia="zh-CN"/>
        </w:rPr>
        <w:t>提交</w:t>
      </w:r>
      <w:r>
        <w:rPr>
          <w:rFonts w:hint="eastAsia" w:ascii="宋体" w:hAnsi="宋体" w:eastAsia="宋体" w:cs="宋体"/>
          <w:sz w:val="24"/>
          <w:highlight w:val="none"/>
        </w:rPr>
        <w:t>备选磋商响应方案。</w:t>
      </w:r>
    </w:p>
    <w:p w14:paraId="5862F3A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3.7 </w:t>
      </w:r>
      <w:r>
        <w:rPr>
          <w:rFonts w:hint="eastAsia" w:ascii="宋体" w:hAnsi="宋体" w:cs="宋体"/>
          <w:sz w:val="24"/>
          <w:highlight w:val="none"/>
          <w:lang w:eastAsia="zh-CN"/>
        </w:rPr>
        <w:t>响应文件</w:t>
      </w:r>
      <w:r>
        <w:rPr>
          <w:rFonts w:hint="eastAsia" w:ascii="宋体" w:hAnsi="宋体" w:eastAsia="宋体" w:cs="宋体"/>
          <w:sz w:val="24"/>
          <w:highlight w:val="none"/>
        </w:rPr>
        <w:t>的编制</w:t>
      </w:r>
    </w:p>
    <w:p w14:paraId="1021098F">
      <w:pPr>
        <w:pStyle w:val="4"/>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3.7.1供应商应按竞争性磋商文件要求编制响应文件，将所有响应文件内容上传至“政采云”平台，并在开启时间持制作响应文件时用来加密的有效数字证书（CA认证）对响应文件进行解密。</w:t>
      </w:r>
    </w:p>
    <w:p w14:paraId="0730870E">
      <w:pPr>
        <w:pStyle w:val="4"/>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3.7.2电子响应文件中反应供应商资格审查的图片、扫描件、文字描述等，必须清晰可见。其中所有证书和执照必须为原件扫描。</w:t>
      </w:r>
    </w:p>
    <w:p w14:paraId="4CFABB32">
      <w:pPr>
        <w:pStyle w:val="4"/>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3.7.3若供应商上传的电子响应文件因无法解密而对响应文件无法进行评标的，采购人可以拒绝该供应商投标。</w:t>
      </w:r>
    </w:p>
    <w:p w14:paraId="7EBA1BAD">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4. 磋商前</w:t>
      </w:r>
    </w:p>
    <w:p w14:paraId="468821CC">
      <w:pPr>
        <w:shd w:val="clea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4.1 响应文件份数</w:t>
      </w:r>
    </w:p>
    <w:p w14:paraId="534C3AAD">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4.1.1供应商在“政采云”平台（http：//www.zcygov.cn）上制作响应文件1份（此响应文件须上传至“政采云”平台）。</w:t>
      </w:r>
    </w:p>
    <w:p w14:paraId="56D25BFB">
      <w:pPr>
        <w:shd w:val="clear"/>
        <w:spacing w:line="360" w:lineRule="auto"/>
        <w:ind w:firstLine="480" w:firstLineChars="200"/>
        <w:rPr>
          <w:rFonts w:hint="eastAsia" w:ascii="宋体" w:hAnsi="宋体" w:eastAsia="宋体" w:cs="宋体"/>
          <w:color w:val="000000"/>
          <w:kern w:val="15"/>
          <w:sz w:val="24"/>
          <w:szCs w:val="24"/>
          <w:highlight w:val="none"/>
        </w:rPr>
      </w:pPr>
      <w:r>
        <w:rPr>
          <w:rFonts w:hint="eastAsia" w:ascii="宋体" w:hAnsi="宋体" w:eastAsia="宋体" w:cs="宋体"/>
          <w:sz w:val="24"/>
          <w:highlight w:val="none"/>
        </w:rPr>
        <w:t xml:space="preserve">4.2 </w:t>
      </w:r>
      <w:r>
        <w:rPr>
          <w:rFonts w:hint="eastAsia" w:ascii="宋体" w:hAnsi="宋体" w:cs="宋体"/>
          <w:sz w:val="24"/>
          <w:highlight w:val="none"/>
          <w:lang w:eastAsia="zh-CN"/>
        </w:rPr>
        <w:t>响应文件</w:t>
      </w:r>
      <w:r>
        <w:rPr>
          <w:rFonts w:hint="eastAsia" w:ascii="宋体" w:hAnsi="宋体" w:eastAsia="宋体" w:cs="宋体"/>
          <w:sz w:val="24"/>
          <w:highlight w:val="none"/>
        </w:rPr>
        <w:t>的</w:t>
      </w:r>
      <w:r>
        <w:rPr>
          <w:rFonts w:hint="eastAsia" w:ascii="宋体" w:hAnsi="宋体" w:cs="宋体"/>
          <w:sz w:val="24"/>
          <w:highlight w:val="none"/>
          <w:lang w:eastAsia="zh-CN"/>
        </w:rPr>
        <w:t>提交</w:t>
      </w:r>
    </w:p>
    <w:p w14:paraId="0D8A7199">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4.2.1</w:t>
      </w:r>
      <w:r>
        <w:rPr>
          <w:rFonts w:hint="eastAsia" w:ascii="宋体" w:hAnsi="宋体" w:eastAsia="宋体" w:cs="宋体"/>
          <w:sz w:val="24"/>
          <w:highlight w:val="none"/>
        </w:rPr>
        <w:t>、供应商须在“政采云投标客户端”按照本项目竞争性磋商文件和政府采购云平台要求编制，将所有响应文件内容上传至“政采云”平台，并在开启时间后</w:t>
      </w:r>
      <w:r>
        <w:rPr>
          <w:rFonts w:hint="eastAsia" w:ascii="宋体" w:hAnsi="宋体" w:cs="宋体"/>
          <w:sz w:val="24"/>
          <w:highlight w:val="none"/>
          <w:lang w:val="en-US" w:eastAsia="zh-CN"/>
        </w:rPr>
        <w:t>30</w:t>
      </w:r>
      <w:r>
        <w:rPr>
          <w:rFonts w:hint="eastAsia" w:ascii="宋体" w:hAnsi="宋体" w:eastAsia="宋体" w:cs="宋体"/>
          <w:sz w:val="24"/>
          <w:highlight w:val="none"/>
        </w:rPr>
        <w:t>分钟内持制作响应文件时用来加密的有效数字证书（CA认证）对响应文件进行解密。</w:t>
      </w:r>
    </w:p>
    <w:p w14:paraId="152A3DE6">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4.2.2</w:t>
      </w:r>
      <w:r>
        <w:rPr>
          <w:rFonts w:hint="eastAsia" w:ascii="宋体" w:hAnsi="宋体" w:eastAsia="宋体" w:cs="宋体"/>
          <w:sz w:val="24"/>
          <w:highlight w:val="none"/>
        </w:rPr>
        <w:t>、</w:t>
      </w:r>
      <w:r>
        <w:rPr>
          <w:rFonts w:hint="default" w:ascii="宋体" w:hAnsi="宋体" w:eastAsia="宋体" w:cs="宋体"/>
          <w:sz w:val="24"/>
          <w:highlight w:val="none"/>
          <w:lang w:val="en-US" w:eastAsia="zh-CN"/>
        </w:rPr>
        <w:t>供应商在制作响应文件时，电子响应文件以“政采云”平台的响应文件格式为准。</w:t>
      </w:r>
    </w:p>
    <w:p w14:paraId="454DD577">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4.2.3</w:t>
      </w:r>
      <w:r>
        <w:rPr>
          <w:rFonts w:hint="eastAsia" w:ascii="宋体" w:hAnsi="宋体" w:eastAsia="宋体" w:cs="宋体"/>
          <w:sz w:val="24"/>
          <w:highlight w:val="none"/>
        </w:rPr>
        <w:t>、电子响应文件中反应供应商资格审查的图片、扫描件、文字描述等，必须清晰可见。其中所有证</w:t>
      </w:r>
      <w:r>
        <w:rPr>
          <w:rFonts w:hint="eastAsia" w:ascii="宋体" w:hAnsi="宋体" w:cs="宋体"/>
          <w:sz w:val="24"/>
          <w:highlight w:val="none"/>
          <w:lang w:val="en-US" w:eastAsia="zh-CN"/>
        </w:rPr>
        <w:t>件</w:t>
      </w:r>
      <w:r>
        <w:rPr>
          <w:rFonts w:hint="eastAsia" w:ascii="宋体" w:hAnsi="宋体" w:eastAsia="宋体" w:cs="宋体"/>
          <w:sz w:val="24"/>
          <w:highlight w:val="none"/>
        </w:rPr>
        <w:t>必须为原件扫描。</w:t>
      </w:r>
    </w:p>
    <w:p w14:paraId="0EC096C7">
      <w:pPr>
        <w:shd w:val="clea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4.2.4</w:t>
      </w:r>
      <w:r>
        <w:rPr>
          <w:rFonts w:hint="eastAsia" w:ascii="宋体" w:hAnsi="宋体" w:eastAsia="宋体" w:cs="宋体"/>
          <w:sz w:val="24"/>
          <w:highlight w:val="none"/>
        </w:rPr>
        <w:t>、若供应商上传的电子响应文件</w:t>
      </w:r>
      <w:r>
        <w:rPr>
          <w:rFonts w:hint="eastAsia" w:ascii="宋体" w:hAnsi="宋体" w:cs="宋体"/>
          <w:sz w:val="24"/>
          <w:highlight w:val="none"/>
          <w:lang w:val="en-US" w:eastAsia="zh-CN"/>
        </w:rPr>
        <w:t>在规定的时间内</w:t>
      </w:r>
      <w:r>
        <w:rPr>
          <w:rFonts w:hint="eastAsia" w:ascii="宋体" w:hAnsi="宋体" w:eastAsia="宋体" w:cs="宋体"/>
          <w:sz w:val="24"/>
          <w:highlight w:val="none"/>
        </w:rPr>
        <w:t>无法解密而对响应文件无法进行评标的，采购人可以拒绝该供应商投标。</w:t>
      </w:r>
    </w:p>
    <w:p w14:paraId="19B6446E">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 </w:t>
      </w:r>
      <w:r>
        <w:rPr>
          <w:rFonts w:hint="eastAsia" w:ascii="宋体" w:hAnsi="宋体" w:cs="宋体"/>
          <w:sz w:val="24"/>
          <w:highlight w:val="none"/>
          <w:lang w:eastAsia="zh-CN"/>
        </w:rPr>
        <w:t>响应文件</w:t>
      </w:r>
      <w:r>
        <w:rPr>
          <w:rFonts w:hint="eastAsia" w:ascii="宋体" w:hAnsi="宋体" w:eastAsia="宋体" w:cs="宋体"/>
          <w:sz w:val="24"/>
          <w:highlight w:val="none"/>
        </w:rPr>
        <w:t>的修改与撤回</w:t>
      </w:r>
    </w:p>
    <w:p w14:paraId="0F5CC614">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4.3.1</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应当在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截止时间前完成</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文件的传输</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交，并可以补充、修改或者撤回</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文件。补充或者修改</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文件的，应当先行撤回原文件，补充、修改后重新传输</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截止时间前未完成传输的，视为撤回</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截止时间后</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交的</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文件，“政采云”平台将拒收。</w:t>
      </w:r>
    </w:p>
    <w:p w14:paraId="532B8D27">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4.3.2 “政采云”平台收到</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截止时间前，除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补充、修改或者撤回</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外，任何单位和个人不得解密或提取</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文件。</w:t>
      </w:r>
    </w:p>
    <w:p w14:paraId="45D0E1B1">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4.3.3 在</w:t>
      </w:r>
      <w:r>
        <w:rPr>
          <w:rFonts w:hint="eastAsia" w:ascii="宋体" w:hAnsi="宋体" w:eastAsia="宋体" w:cs="宋体"/>
          <w:sz w:val="24"/>
          <w:highlight w:val="none"/>
          <w:lang w:val="en-US" w:eastAsia="zh-CN"/>
        </w:rPr>
        <w:t>提交响应文件</w:t>
      </w:r>
      <w:r>
        <w:rPr>
          <w:rFonts w:hint="eastAsia" w:ascii="宋体" w:hAnsi="宋体" w:eastAsia="宋体" w:cs="宋体"/>
          <w:sz w:val="24"/>
          <w:highlight w:val="none"/>
        </w:rPr>
        <w:t>截止时间</w:t>
      </w:r>
      <w:r>
        <w:rPr>
          <w:rFonts w:hint="eastAsia" w:ascii="宋体" w:hAnsi="宋体" w:eastAsia="宋体" w:cs="宋体"/>
          <w:sz w:val="24"/>
          <w:highlight w:val="none"/>
          <w:lang w:val="en-US" w:eastAsia="zh-CN"/>
        </w:rPr>
        <w:t>止</w:t>
      </w:r>
      <w:r>
        <w:rPr>
          <w:rFonts w:hint="eastAsia" w:ascii="宋体" w:hAnsi="宋体" w:eastAsia="宋体" w:cs="宋体"/>
          <w:sz w:val="24"/>
          <w:highlight w:val="none"/>
        </w:rPr>
        <w:t>提交</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不足3家时，</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由代理机构在“政采云”平台操作退回，除此之外</w:t>
      </w:r>
      <w:r>
        <w:rPr>
          <w:rFonts w:hint="eastAsia" w:ascii="宋体" w:hAnsi="宋体" w:eastAsia="宋体" w:cs="宋体"/>
          <w:sz w:val="24"/>
          <w:highlight w:val="none"/>
          <w:lang w:eastAsia="zh-CN"/>
        </w:rPr>
        <w:t>采购人和采购代理机构</w:t>
      </w:r>
      <w:r>
        <w:rPr>
          <w:rFonts w:hint="eastAsia" w:ascii="宋体" w:hAnsi="宋体" w:eastAsia="宋体" w:cs="宋体"/>
          <w:sz w:val="24"/>
          <w:highlight w:val="none"/>
        </w:rPr>
        <w:t>对已提交的</w:t>
      </w:r>
      <w:r>
        <w:rPr>
          <w:rFonts w:hint="eastAsia" w:ascii="宋体" w:hAnsi="宋体" w:eastAsia="宋体" w:cs="宋体"/>
          <w:sz w:val="24"/>
          <w:highlight w:val="none"/>
          <w:lang w:val="en-US" w:eastAsia="zh-CN"/>
        </w:rPr>
        <w:t>响应文件</w:t>
      </w:r>
      <w:r>
        <w:rPr>
          <w:rFonts w:hint="eastAsia" w:ascii="宋体" w:hAnsi="宋体" w:eastAsia="宋体" w:cs="宋体"/>
          <w:sz w:val="24"/>
          <w:highlight w:val="none"/>
        </w:rPr>
        <w:t>概不退回。</w:t>
      </w:r>
    </w:p>
    <w:p w14:paraId="76DBC398">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5. 磋商</w:t>
      </w:r>
    </w:p>
    <w:p w14:paraId="661B2D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 磋商时间和地点</w:t>
      </w:r>
    </w:p>
    <w:p w14:paraId="01B30909">
      <w:pPr>
        <w:shd w:val="clea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采购人在规定的递交磋商响应文件截止时间（磋商时间）和供应商须知前附表规定的地点磋商，并邀请所有供应商的法定代表人或其委托代理人准时参加。</w:t>
      </w:r>
    </w:p>
    <w:p w14:paraId="170898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 磋商程序</w:t>
      </w:r>
    </w:p>
    <w:p w14:paraId="3422180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第一步：磋商小组对响应文件的有效性、完整性和响应程度进行资格审查</w:t>
      </w:r>
      <w:r>
        <w:rPr>
          <w:rFonts w:hint="eastAsia" w:ascii="宋体" w:hAnsi="宋体" w:cs="宋体"/>
          <w:sz w:val="24"/>
          <w:highlight w:val="none"/>
          <w:lang w:eastAsia="zh-CN"/>
        </w:rPr>
        <w:t>、</w:t>
      </w:r>
      <w:r>
        <w:rPr>
          <w:rFonts w:hint="eastAsia" w:ascii="宋体" w:hAnsi="宋体" w:cs="宋体"/>
          <w:sz w:val="24"/>
          <w:highlight w:val="none"/>
          <w:lang w:val="en-US" w:eastAsia="zh-CN"/>
        </w:rPr>
        <w:t>符合性审查</w:t>
      </w:r>
      <w:r>
        <w:rPr>
          <w:rFonts w:hint="eastAsia" w:ascii="宋体" w:hAnsi="宋体" w:eastAsia="宋体" w:cs="宋体"/>
          <w:sz w:val="24"/>
          <w:highlight w:val="none"/>
        </w:rPr>
        <w:t>，具体内容详见评标办法前附表（一）</w:t>
      </w:r>
    </w:p>
    <w:p w14:paraId="197B28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5233B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00BA886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有下列情况之一者，磋商小组认定其为不合格供应商，并取消其磋商资格：</w:t>
      </w:r>
    </w:p>
    <w:p w14:paraId="655C286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（1）法定代表人或法定代表人委托人未参加磋商仪式的；</w:t>
      </w:r>
    </w:p>
    <w:p w14:paraId="7C4C866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（2）未加盖供应商公章，也未经法定代表人签章或其授权代理人签字的；</w:t>
      </w:r>
    </w:p>
    <w:p w14:paraId="132F91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（3）响应文件未按</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的要求制作的；响应文件内容字迹模糊、无法辨认的；</w:t>
      </w:r>
    </w:p>
    <w:p w14:paraId="38CA05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（4）供应商资格不符合供应商须知规定的合格条件的；</w:t>
      </w:r>
    </w:p>
    <w:p w14:paraId="58385A6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（5）技术文件不符合响应文件规定合格性标准的；</w:t>
      </w:r>
    </w:p>
    <w:p w14:paraId="2CA7E5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（6）响应文件附有采购人不能接受的条件；</w:t>
      </w:r>
    </w:p>
    <w:p w14:paraId="1CA41FC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（7）未响应</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的实质性要求和条件的；</w:t>
      </w:r>
    </w:p>
    <w:p w14:paraId="4DC10A5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（8）供应商未按照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的要求提供磋商保证金的；</w:t>
      </w:r>
    </w:p>
    <w:p w14:paraId="300E81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（9）扰乱磋商仪式会场秩序的；</w:t>
      </w:r>
    </w:p>
    <w:p w14:paraId="295190D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（10）在本项目响应活动中违反相关法律、法规的；</w:t>
      </w:r>
    </w:p>
    <w:p w14:paraId="3D9250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（11）所提供有关证书、证明涂改、转让或提供虚假材料的。</w:t>
      </w:r>
    </w:p>
    <w:p w14:paraId="5C4BCC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（12）不符合评标办法前附表（一）规定的任意情况</w:t>
      </w:r>
    </w:p>
    <w:p w14:paraId="6EF6AE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响应文件的评审和比较工作由磋商小组负责，评审、比较过程、结果对外不作任何解释。</w:t>
      </w:r>
    </w:p>
    <w:p w14:paraId="1B3ED1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磋商小组将仅对认定资格审查合格，确定为可以进入详细评审的供应商进行评价与比较，未通过资格审查的不参与后续磋商。</w:t>
      </w:r>
    </w:p>
    <w:p w14:paraId="48C3754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第二步：磋商小组所有成员集中与单一供应商分别进行磋商。</w:t>
      </w:r>
    </w:p>
    <w:p w14:paraId="4DEE9D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在磋商过程中，磋商小组可以根据</w:t>
      </w:r>
      <w:r>
        <w:rPr>
          <w:rFonts w:hint="eastAsia" w:ascii="宋体" w:hAnsi="宋体" w:cs="宋体"/>
          <w:sz w:val="24"/>
          <w:highlight w:val="none"/>
          <w:lang w:eastAsia="zh-CN"/>
        </w:rPr>
        <w:t>竞争性磋商文件</w:t>
      </w:r>
      <w:r>
        <w:rPr>
          <w:rFonts w:hint="eastAsia" w:ascii="宋体" w:hAnsi="宋体" w:eastAsia="宋体" w:cs="宋体"/>
          <w:sz w:val="24"/>
          <w:highlight w:val="none"/>
        </w:rPr>
        <w:t>和磋商情况实质性变动采购需求中的技术、服务要求以及合同草案条款，但不得变动</w:t>
      </w:r>
      <w:r>
        <w:rPr>
          <w:rFonts w:hint="eastAsia" w:ascii="宋体" w:hAnsi="宋体" w:cs="宋体"/>
          <w:sz w:val="24"/>
          <w:highlight w:val="none"/>
          <w:lang w:eastAsia="zh-CN"/>
        </w:rPr>
        <w:t>竞争性磋商文件</w:t>
      </w:r>
      <w:r>
        <w:rPr>
          <w:rFonts w:hint="eastAsia" w:ascii="宋体" w:hAnsi="宋体" w:eastAsia="宋体" w:cs="宋体"/>
          <w:sz w:val="24"/>
          <w:highlight w:val="none"/>
        </w:rPr>
        <w:t>中的其他内容。实质性变动的内容，须经采购人代表确认。</w:t>
      </w:r>
    </w:p>
    <w:p w14:paraId="4295AE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作出的实质性变动是</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的有效组成部分，磋商小组应当及时以书面形式同时通知所有参加磋商的供应商。</w:t>
      </w:r>
    </w:p>
    <w:p w14:paraId="42CCE9C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供应商应当按照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的变动情况和磋商小组的要求重新提交响应文件，并由其法定代表人或授权代表签字或者加盖公章。由授权代表签字的，应当附法定代表人授权书。供应商为自然人的，应当由本人签字并附身份证明。</w:t>
      </w:r>
    </w:p>
    <w:p w14:paraId="40DD340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未实质性响应</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的响应文件按无效响应处理，磋商小组应当告知提交响应文件的供应商。</w:t>
      </w:r>
    </w:p>
    <w:p w14:paraId="21FF1E6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第三步：提交最后报价。</w:t>
      </w:r>
    </w:p>
    <w:p w14:paraId="66373E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经磋商确定实质性响应的供应商后，磋商小组要求所有实质性相应的供应商在规定时间内提交最后报价。</w:t>
      </w:r>
    </w:p>
    <w:p w14:paraId="6A39C8C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第四步：采用综合评分法对供应商的响应文件进行综合评分，具体内容详见评标办法前附表（二）。</w:t>
      </w:r>
    </w:p>
    <w:p w14:paraId="568237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经磋商确定最终采购需求和提交最后报价的供应商后，由磋商小组采用综合评分法对提交最后报价的供应商的响应文件和最后报价进行综合评分。</w:t>
      </w:r>
    </w:p>
    <w:p w14:paraId="6132C8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第五步：磋商小组应当根据综合评分情况，按照评审得分由高到低顺序推荐成交候选供应商，确定排名第一的候选供应商为</w:t>
      </w:r>
      <w:r>
        <w:rPr>
          <w:rFonts w:hint="eastAsia" w:ascii="宋体" w:hAnsi="宋体" w:eastAsia="宋体" w:cs="宋体"/>
          <w:sz w:val="24"/>
          <w:highlight w:val="none"/>
          <w:lang w:eastAsia="zh-CN"/>
        </w:rPr>
        <w:t>成交</w:t>
      </w:r>
      <w:r>
        <w:rPr>
          <w:rFonts w:hint="eastAsia" w:ascii="宋体" w:hAnsi="宋体" w:eastAsia="宋体" w:cs="宋体"/>
          <w:sz w:val="24"/>
          <w:highlight w:val="none"/>
        </w:rPr>
        <w:t>供应商，并编写评审报告。</w:t>
      </w:r>
    </w:p>
    <w:p w14:paraId="0E726A1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AF5A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第六步：采购人确认评审报告及成交供应商，并公告成交结果。</w:t>
      </w:r>
    </w:p>
    <w:p w14:paraId="0340CD1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F2BD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不保证最低报价的供应商最终成交，也没有义务对未成交的供应商作任何解释和说明。</w:t>
      </w:r>
    </w:p>
    <w:p w14:paraId="48C346F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采购人或者采购代理机构应当在成交供应商确定后2个工作日内，在财政部门指定的政府采购信息发布媒体上公告成交结果，同时向成交供应商发出成交通知书。</w:t>
      </w:r>
    </w:p>
    <w:p w14:paraId="16F64E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为维护国家的利益，采购人在授予合同之前仍有选择和拒绝任何或全部谈判的权力，并对所采取的行为不做任何解释。</w:t>
      </w:r>
    </w:p>
    <w:p w14:paraId="5F3F50F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采购人有权利根据供应商响应文件对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实质性响应的程度决定接受其全部或部分的谈判。</w:t>
      </w:r>
    </w:p>
    <w:p w14:paraId="230BB0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第七步：签订政府采购合同。</w:t>
      </w:r>
    </w:p>
    <w:p w14:paraId="1909C8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采购人与成交供应商应当在成交通知书发出之日起</w:t>
      </w:r>
      <w:r>
        <w:rPr>
          <w:rFonts w:hint="eastAsia" w:ascii="宋体" w:hAnsi="宋体" w:cs="宋体"/>
          <w:sz w:val="24"/>
          <w:highlight w:val="none"/>
          <w:lang w:val="en-US" w:eastAsia="zh-CN"/>
        </w:rPr>
        <w:t>30</w:t>
      </w:r>
      <w:r>
        <w:rPr>
          <w:rFonts w:hint="eastAsia" w:ascii="宋体" w:hAnsi="宋体" w:eastAsia="宋体" w:cs="宋体"/>
          <w:sz w:val="24"/>
          <w:highlight w:val="none"/>
        </w:rPr>
        <w:t>日内，按照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确定的合同文本以及采购标的、采购金额、技术和服务要求等事项签订政府采购合同。</w:t>
      </w:r>
    </w:p>
    <w:p w14:paraId="5C408603">
      <w:pPr>
        <w:spacing w:line="360" w:lineRule="auto"/>
        <w:ind w:firstLine="482" w:firstLineChars="200"/>
        <w:jc w:val="center"/>
        <w:rPr>
          <w:rFonts w:hint="eastAsia" w:ascii="宋体" w:hAnsi="宋体" w:eastAsia="宋体" w:cs="宋体"/>
          <w:sz w:val="24"/>
          <w:highlight w:val="none"/>
        </w:rPr>
      </w:pPr>
      <w:r>
        <w:rPr>
          <w:rFonts w:hint="eastAsia" w:ascii="宋体" w:hAnsi="宋体" w:eastAsia="宋体" w:cs="宋体"/>
          <w:b/>
          <w:bCs/>
          <w:sz w:val="24"/>
          <w:highlight w:val="none"/>
        </w:rPr>
        <w:t>6. 评审</w:t>
      </w:r>
    </w:p>
    <w:p w14:paraId="6D515D2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 磋商小组</w:t>
      </w:r>
    </w:p>
    <w:p w14:paraId="4D0BDC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6.1.1 评标由采购人依法组建的磋商小组负责。磋商小组由有关技术、经济等方面的专家组成。磋商小组成员人数以及技术、经济等方面专家的确定方式见供应商须知前附表。</w:t>
      </w:r>
    </w:p>
    <w:p w14:paraId="33C930C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6.1.2 磋商小组成员有下列情形之一的，应当回避：</w:t>
      </w:r>
    </w:p>
    <w:p w14:paraId="1C1BE5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（1）采购人或供应商的主要负责人的近亲属；</w:t>
      </w:r>
    </w:p>
    <w:p w14:paraId="1E52AA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（2）项目主管部门或者行政监督部门的人员；</w:t>
      </w:r>
    </w:p>
    <w:p w14:paraId="53C1E2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（3）与供应商有经济利益关系，可能影响对投标公正评审的；</w:t>
      </w:r>
    </w:p>
    <w:p w14:paraId="177ED8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（4）曾因在采购、评标以及其他与采购投标有关活动中从事违法行为而受过行政处罚或刑事处罚的。</w:t>
      </w:r>
    </w:p>
    <w:p w14:paraId="43DB2C0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评审原则</w:t>
      </w:r>
      <w:r>
        <w:rPr>
          <w:rFonts w:hint="eastAsia" w:ascii="宋体" w:hAnsi="宋体" w:eastAsia="宋体" w:cs="宋体"/>
          <w:sz w:val="24"/>
          <w:highlight w:val="none"/>
        </w:rPr>
        <w:tab/>
      </w:r>
    </w:p>
    <w:p w14:paraId="6AABAF5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评审活动遵循公平、公正、科学和择优的原则。</w:t>
      </w:r>
    </w:p>
    <w:p w14:paraId="6DF637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 评审</w:t>
      </w:r>
    </w:p>
    <w:p w14:paraId="7A3AF76E">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磋商小组按照第三章“评标办法”规定的方法、评审因素、标准和程序对</w:t>
      </w:r>
      <w:r>
        <w:rPr>
          <w:rFonts w:hint="eastAsia" w:ascii="宋体" w:hAnsi="宋体" w:cs="宋体"/>
          <w:sz w:val="24"/>
          <w:highlight w:val="none"/>
          <w:lang w:eastAsia="zh-CN"/>
        </w:rPr>
        <w:t>响应文件</w:t>
      </w:r>
      <w:r>
        <w:rPr>
          <w:rFonts w:hint="eastAsia" w:ascii="宋体" w:hAnsi="宋体" w:eastAsia="宋体" w:cs="宋体"/>
          <w:sz w:val="24"/>
          <w:highlight w:val="none"/>
        </w:rPr>
        <w:t>进行评审。第三章“评审办法”没有规定的方法、评审因素和标准，不作为评审依据。</w:t>
      </w:r>
    </w:p>
    <w:p w14:paraId="080F0D1E">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7. 合同授予</w:t>
      </w:r>
    </w:p>
    <w:p w14:paraId="1BDD5E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 确定方式</w:t>
      </w:r>
    </w:p>
    <w:p w14:paraId="3D0F76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采购人依据磋商小组推荐的中选候选供应商确定中选人，磋商小组推荐中选候选供应商的人数见供应商须知前附表。</w:t>
      </w:r>
    </w:p>
    <w:p w14:paraId="03AD9F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7.2 成交通知</w:t>
      </w:r>
    </w:p>
    <w:p w14:paraId="6642D5F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在本章第3.3款规定的磋商响应有效期内，采购人以书面形式向中选供应商发出成交通知书，同时将成交结果通知未中选的供应商。</w:t>
      </w:r>
    </w:p>
    <w:p w14:paraId="398915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 签订合同</w:t>
      </w:r>
    </w:p>
    <w:p w14:paraId="269127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7.3.1 采购人和中选供应商应当自成交通知书发出之日起30天内，根据</w:t>
      </w:r>
      <w:r>
        <w:rPr>
          <w:rFonts w:hint="eastAsia" w:ascii="宋体" w:hAnsi="宋体" w:cs="宋体"/>
          <w:sz w:val="24"/>
          <w:highlight w:val="none"/>
          <w:lang w:eastAsia="zh-CN"/>
        </w:rPr>
        <w:t>竞争性磋商文件</w:t>
      </w:r>
      <w:r>
        <w:rPr>
          <w:rFonts w:hint="eastAsia" w:ascii="宋体" w:hAnsi="宋体" w:eastAsia="宋体" w:cs="宋体"/>
          <w:sz w:val="24"/>
          <w:highlight w:val="none"/>
        </w:rPr>
        <w:t>和中选供应商的</w:t>
      </w:r>
      <w:r>
        <w:rPr>
          <w:rFonts w:hint="eastAsia" w:ascii="宋体" w:hAnsi="宋体" w:cs="宋体"/>
          <w:sz w:val="24"/>
          <w:highlight w:val="none"/>
          <w:lang w:eastAsia="zh-CN"/>
        </w:rPr>
        <w:t>响应文件</w:t>
      </w:r>
      <w:r>
        <w:rPr>
          <w:rFonts w:hint="eastAsia" w:ascii="宋体" w:hAnsi="宋体" w:eastAsia="宋体" w:cs="宋体"/>
          <w:sz w:val="24"/>
          <w:highlight w:val="none"/>
        </w:rPr>
        <w:t xml:space="preserve">订立书面合同。中选供应商无正当理由拒签合同的，采购人取消其中选资格，其磋商保证金不予退还；给采购人造成的损失超过磋商保证金数额的，中选供应商还应当对超过部分予以赔偿。 </w:t>
      </w:r>
    </w:p>
    <w:p w14:paraId="405B20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7.3.2 发出成交通知书后，采购人无正当理由拒签合同的，采购人向中选供应商退还磋商保证金；给中选供应商造成损失的，还应当赔偿损失。</w:t>
      </w:r>
    </w:p>
    <w:p w14:paraId="6639C15E">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8. 重新采购和不再采购</w:t>
      </w:r>
    </w:p>
    <w:p w14:paraId="7BE24E0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8.1 重新采购</w:t>
      </w:r>
    </w:p>
    <w:p w14:paraId="583237C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有下列情形之一的，采购人将重新采购：</w:t>
      </w:r>
    </w:p>
    <w:p w14:paraId="1F48E2D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提交响应文件</w:t>
      </w:r>
      <w:r>
        <w:rPr>
          <w:rFonts w:hint="eastAsia" w:ascii="宋体" w:hAnsi="宋体" w:eastAsia="宋体" w:cs="宋体"/>
          <w:sz w:val="24"/>
          <w:highlight w:val="none"/>
        </w:rPr>
        <w:t>截止时间止，供应商少于3个的；</w:t>
      </w:r>
    </w:p>
    <w:p w14:paraId="72AA531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（2）经磋商小组评审后否决所有响应供应商的。</w:t>
      </w:r>
    </w:p>
    <w:p w14:paraId="2FF210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8.2 不再采购</w:t>
      </w:r>
    </w:p>
    <w:p w14:paraId="28486B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重新采购后供应商仍少于3个或者所有响应被否决的，属于必须审批或核准的项目，经原审批或核准部门批准后不再进行采购。</w:t>
      </w:r>
    </w:p>
    <w:p w14:paraId="4F4AA16B">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9. 纪律和监督</w:t>
      </w:r>
    </w:p>
    <w:p w14:paraId="6A794D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 对采购人的纪律要求</w:t>
      </w:r>
    </w:p>
    <w:p w14:paraId="6AD175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采购人不得泄漏采购活动中应当保密的情况和资料，不得与供应商串通损害国家利益、社会公共利益或者他人合法权益。</w:t>
      </w:r>
    </w:p>
    <w:p w14:paraId="28380F9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 对供应商的纪律要求</w:t>
      </w:r>
    </w:p>
    <w:p w14:paraId="343E808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供应商不得相互串通或者与采购人串通，不得向采购人或者磋商小组成员行贿谋取中选，不得以他人名义响应或者以其他方式弄虚作假骗取中选；供应商不得以任何方式干扰、影响评审工作。</w:t>
      </w:r>
    </w:p>
    <w:p w14:paraId="428399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 对磋商小组成员的纪律要求</w:t>
      </w:r>
    </w:p>
    <w:p w14:paraId="4D47FB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磋商小组成员不得收受他人的财物或者其他好处，不得向他人透漏对</w:t>
      </w:r>
      <w:r>
        <w:rPr>
          <w:rFonts w:hint="eastAsia" w:ascii="宋体" w:hAnsi="宋体" w:cs="宋体"/>
          <w:sz w:val="24"/>
          <w:highlight w:val="none"/>
          <w:lang w:eastAsia="zh-CN"/>
        </w:rPr>
        <w:t>响应文件</w:t>
      </w:r>
      <w:r>
        <w:rPr>
          <w:rFonts w:hint="eastAsia" w:ascii="宋体" w:hAnsi="宋体" w:eastAsia="宋体" w:cs="宋体"/>
          <w:sz w:val="24"/>
          <w:highlight w:val="none"/>
        </w:rPr>
        <w:t>的评审和比较、中选候选供应商的推荐情况以及评审有关的其他情况。在评审活动中，磋商小组成员不得擅离职守，影响评审程序正常进行，不得使用第三章“评标办法”没有规定的评审因素和标准进行评审。</w:t>
      </w:r>
    </w:p>
    <w:p w14:paraId="066785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9.4 对与评审活动有关的工作人员的纪律要求</w:t>
      </w:r>
    </w:p>
    <w:p w14:paraId="1B870D3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与评审活动有关的工作人员不得收受他人的财物或者其他好处，不得向他人透漏对</w:t>
      </w:r>
      <w:r>
        <w:rPr>
          <w:rFonts w:hint="eastAsia" w:ascii="宋体" w:hAnsi="宋体" w:cs="宋体"/>
          <w:sz w:val="24"/>
          <w:highlight w:val="none"/>
          <w:lang w:eastAsia="zh-CN"/>
        </w:rPr>
        <w:t>响应文件</w:t>
      </w:r>
      <w:r>
        <w:rPr>
          <w:rFonts w:hint="eastAsia" w:ascii="宋体" w:hAnsi="宋体" w:eastAsia="宋体" w:cs="宋体"/>
          <w:sz w:val="24"/>
          <w:highlight w:val="none"/>
        </w:rPr>
        <w:t>的评审和比较、中选候选供应商的推荐情况以及评审有关的其他情况。在评审活动中，与评审活动有关的工作人员不得擅离职守，影响评审程序正常进行。</w:t>
      </w:r>
    </w:p>
    <w:p w14:paraId="60FD02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9.5 投诉</w:t>
      </w:r>
    </w:p>
    <w:p w14:paraId="7595531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供应商和其他利害关系人认为本次采购活动违反法律、法规和规章规定的，有权向有关行政监督部门投诉。</w:t>
      </w:r>
    </w:p>
    <w:p w14:paraId="2E8243DC">
      <w:pPr>
        <w:spacing w:line="360" w:lineRule="auto"/>
        <w:ind w:firstLine="482" w:firstLineChars="200"/>
        <w:jc w:val="center"/>
        <w:rPr>
          <w:rFonts w:hint="eastAsia" w:ascii="宋体" w:hAnsi="宋体" w:eastAsia="宋体" w:cs="宋体"/>
          <w:sz w:val="24"/>
          <w:highlight w:val="none"/>
        </w:rPr>
      </w:pPr>
      <w:r>
        <w:rPr>
          <w:rFonts w:hint="eastAsia" w:ascii="宋体" w:hAnsi="宋体" w:eastAsia="宋体" w:cs="宋体"/>
          <w:b/>
          <w:bCs/>
          <w:sz w:val="24"/>
          <w:highlight w:val="none"/>
        </w:rPr>
        <w:t>10. 需要补充的其他内容</w:t>
      </w:r>
    </w:p>
    <w:p w14:paraId="0BCEA23D">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需要补充的其他内容：见供应商须知前附表。</w:t>
      </w:r>
    </w:p>
    <w:p w14:paraId="736E9EFA">
      <w:pPr>
        <w:spacing w:line="360" w:lineRule="auto"/>
        <w:jc w:val="center"/>
        <w:rPr>
          <w:rFonts w:hint="eastAsia" w:ascii="宋体" w:hAnsi="宋体" w:eastAsia="宋体" w:cs="宋体"/>
          <w:bCs/>
          <w:sz w:val="36"/>
          <w:szCs w:val="36"/>
          <w:highlight w:val="none"/>
        </w:rPr>
      </w:pPr>
      <w:r>
        <w:rPr>
          <w:rFonts w:hint="eastAsia" w:ascii="宋体" w:hAnsi="宋体" w:eastAsia="宋体" w:cs="宋体"/>
          <w:sz w:val="24"/>
          <w:highlight w:val="none"/>
        </w:rPr>
        <w:br w:type="page"/>
      </w:r>
      <w:bookmarkStart w:id="13" w:name="_Toc17916"/>
      <w:bookmarkStart w:id="14" w:name="_Toc19972"/>
      <w:bookmarkStart w:id="15" w:name="_Toc24879"/>
      <w:bookmarkStart w:id="16" w:name="_Toc24464"/>
      <w:bookmarkStart w:id="17" w:name="_Toc16246"/>
      <w:bookmarkStart w:id="18" w:name="_Toc12796"/>
      <w:bookmarkStart w:id="19" w:name="_Toc26141"/>
      <w:r>
        <w:rPr>
          <w:rStyle w:val="42"/>
          <w:rFonts w:hint="eastAsia" w:ascii="宋体" w:hAnsi="宋体" w:eastAsia="宋体" w:cs="宋体"/>
          <w:highlight w:val="none"/>
        </w:rPr>
        <w:t>第三章 评标办法</w:t>
      </w:r>
      <w:bookmarkEnd w:id="13"/>
      <w:bookmarkEnd w:id="14"/>
      <w:bookmarkEnd w:id="15"/>
      <w:bookmarkEnd w:id="16"/>
      <w:bookmarkEnd w:id="17"/>
      <w:bookmarkEnd w:id="18"/>
      <w:bookmarkEnd w:id="19"/>
    </w:p>
    <w:p w14:paraId="285211D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评标应当遵循下列工作程序：</w:t>
      </w:r>
    </w:p>
    <w:p w14:paraId="556EC012">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1.1评标办法前附表（一）：分为资格性检查和符合性检查。</w:t>
      </w:r>
    </w:p>
    <w:p w14:paraId="6B2AAA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cs="宋体"/>
          <w:sz w:val="24"/>
          <w:highlight w:val="none"/>
          <w:lang w:eastAsia="zh-CN"/>
        </w:rPr>
        <w:t>响应文件提交截止时间</w:t>
      </w:r>
      <w:r>
        <w:rPr>
          <w:rFonts w:hint="eastAsia" w:ascii="宋体" w:hAnsi="宋体" w:eastAsia="宋体" w:cs="宋体"/>
          <w:sz w:val="24"/>
          <w:highlight w:val="none"/>
        </w:rPr>
        <w:t>后，由</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对供应商的资格进行审查，并详细填写下表。合格供应商不足3家的，不进行评标。</w:t>
      </w:r>
    </w:p>
    <w:p w14:paraId="25C06FC7">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资格性审查表</w:t>
      </w:r>
    </w:p>
    <w:tbl>
      <w:tblPr>
        <w:tblStyle w:val="26"/>
        <w:tblW w:w="9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837"/>
        <w:gridCol w:w="5795"/>
        <w:gridCol w:w="1080"/>
      </w:tblGrid>
      <w:tr w14:paraId="4E3D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00" w:type="dxa"/>
            <w:vAlign w:val="center"/>
          </w:tcPr>
          <w:p w14:paraId="34FFC174">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37" w:type="dxa"/>
            <w:vAlign w:val="center"/>
          </w:tcPr>
          <w:p w14:paraId="210990F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资格审查内容</w:t>
            </w:r>
          </w:p>
        </w:tc>
        <w:tc>
          <w:tcPr>
            <w:tcW w:w="5795" w:type="dxa"/>
            <w:vAlign w:val="center"/>
          </w:tcPr>
          <w:p w14:paraId="3123C55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1080" w:type="dxa"/>
            <w:vAlign w:val="center"/>
          </w:tcPr>
          <w:p w14:paraId="29D8F64D">
            <w:pPr>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评审结论（√/×）</w:t>
            </w:r>
          </w:p>
        </w:tc>
      </w:tr>
      <w:tr w14:paraId="3DF6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00" w:type="dxa"/>
            <w:vAlign w:val="center"/>
          </w:tcPr>
          <w:p w14:paraId="662C1A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37" w:type="dxa"/>
            <w:vAlign w:val="center"/>
          </w:tcPr>
          <w:p w14:paraId="2E45FE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w:t>
            </w:r>
          </w:p>
        </w:tc>
        <w:tc>
          <w:tcPr>
            <w:tcW w:w="5795" w:type="dxa"/>
            <w:vAlign w:val="center"/>
          </w:tcPr>
          <w:p w14:paraId="74942194">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具备有效的营业执照；</w:t>
            </w:r>
          </w:p>
          <w:p w14:paraId="57966B08">
            <w:pPr>
              <w:jc w:val="both"/>
              <w:rPr>
                <w:rFonts w:hint="eastAsia" w:ascii="宋体" w:hAnsi="宋体" w:eastAsia="宋体" w:cs="宋体"/>
                <w:sz w:val="24"/>
                <w:szCs w:val="24"/>
                <w:highlight w:val="none"/>
              </w:rPr>
            </w:pP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内附</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加盖公章。</w:t>
            </w:r>
          </w:p>
        </w:tc>
        <w:tc>
          <w:tcPr>
            <w:tcW w:w="1080" w:type="dxa"/>
            <w:vAlign w:val="center"/>
          </w:tcPr>
          <w:p w14:paraId="59476E5D">
            <w:pPr>
              <w:jc w:val="both"/>
              <w:rPr>
                <w:rFonts w:hint="eastAsia" w:ascii="宋体" w:hAnsi="宋体" w:eastAsia="宋体" w:cs="宋体"/>
                <w:sz w:val="24"/>
                <w:szCs w:val="24"/>
                <w:highlight w:val="none"/>
              </w:rPr>
            </w:pPr>
          </w:p>
        </w:tc>
      </w:tr>
      <w:tr w14:paraId="6272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00" w:type="dxa"/>
            <w:vAlign w:val="center"/>
          </w:tcPr>
          <w:p w14:paraId="1A1EEFAE">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837" w:type="dxa"/>
            <w:vAlign w:val="center"/>
          </w:tcPr>
          <w:p w14:paraId="4BB5F810">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食品经营许可证</w:t>
            </w:r>
          </w:p>
        </w:tc>
        <w:tc>
          <w:tcPr>
            <w:tcW w:w="5795" w:type="dxa"/>
            <w:vAlign w:val="center"/>
          </w:tcPr>
          <w:p w14:paraId="002CBB14">
            <w:pPr>
              <w:shd w:val="clea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具备食品药品行政监督部门核发的《食品经营许可证》；</w:t>
            </w:r>
          </w:p>
          <w:p w14:paraId="04D59795">
            <w:pPr>
              <w:jc w:val="both"/>
              <w:rPr>
                <w:rFonts w:hint="eastAsia" w:ascii="宋体" w:hAnsi="宋体" w:cs="宋体"/>
                <w:sz w:val="24"/>
                <w:szCs w:val="24"/>
                <w:highlight w:val="none"/>
                <w:lang w:eastAsia="zh-CN"/>
              </w:rPr>
            </w:pP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内附</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加盖公章。</w:t>
            </w:r>
          </w:p>
        </w:tc>
        <w:tc>
          <w:tcPr>
            <w:tcW w:w="1080" w:type="dxa"/>
            <w:vAlign w:val="center"/>
          </w:tcPr>
          <w:p w14:paraId="5B710F6E">
            <w:pPr>
              <w:jc w:val="both"/>
              <w:rPr>
                <w:rFonts w:hint="eastAsia" w:ascii="宋体" w:hAnsi="宋体" w:eastAsia="宋体" w:cs="宋体"/>
                <w:sz w:val="24"/>
                <w:szCs w:val="24"/>
                <w:highlight w:val="none"/>
              </w:rPr>
            </w:pPr>
          </w:p>
        </w:tc>
      </w:tr>
      <w:tr w14:paraId="08D34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00" w:type="dxa"/>
            <w:vAlign w:val="center"/>
          </w:tcPr>
          <w:p w14:paraId="4FCBF8FE">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837" w:type="dxa"/>
            <w:vAlign w:val="center"/>
          </w:tcPr>
          <w:p w14:paraId="0A3698D5">
            <w:pPr>
              <w:jc w:val="center"/>
              <w:rPr>
                <w:rFonts w:hint="eastAsia" w:ascii="宋体" w:hAnsi="宋体" w:eastAsia="宋体" w:cs="宋体"/>
                <w:sz w:val="24"/>
                <w:szCs w:val="24"/>
                <w:highlight w:val="none"/>
              </w:rPr>
            </w:pPr>
            <w:r>
              <w:rPr>
                <w:rFonts w:hint="eastAsia" w:ascii="宋体" w:hAnsi="宋体" w:eastAsia="宋体" w:cs="宋体"/>
                <w:sz w:val="22"/>
                <w:szCs w:val="22"/>
                <w:highlight w:val="none"/>
                <w:lang w:val="en-US" w:eastAsia="zh-CN"/>
              </w:rPr>
              <w:t>中小企业声明函</w:t>
            </w:r>
          </w:p>
        </w:tc>
        <w:tc>
          <w:tcPr>
            <w:tcW w:w="5795" w:type="dxa"/>
            <w:vAlign w:val="center"/>
          </w:tcPr>
          <w:p w14:paraId="3652E20E">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本项目为专门面向中小企业采购项目,供应商应为中小微企业或监狱企业或残疾人福利性单位。</w:t>
            </w:r>
          </w:p>
          <w:p w14:paraId="333D67D2">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供应商应按磋商文件要求提供《中小企业声明函》或监狱企业的证明文件或《残疾人福利性单位声函》。</w:t>
            </w:r>
          </w:p>
          <w:p w14:paraId="73EF4508">
            <w:pPr>
              <w:jc w:val="both"/>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内附</w:t>
            </w:r>
            <w:r>
              <w:rPr>
                <w:rFonts w:hint="eastAsia" w:ascii="宋体" w:hAnsi="宋体" w:eastAsia="宋体" w:cs="宋体"/>
                <w:sz w:val="24"/>
                <w:szCs w:val="24"/>
                <w:highlight w:val="none"/>
                <w:lang w:val="en-US" w:eastAsia="zh-CN"/>
              </w:rPr>
              <w:t>其证明文件</w:t>
            </w:r>
            <w:r>
              <w:rPr>
                <w:rFonts w:hint="eastAsia" w:ascii="宋体" w:hAnsi="宋体" w:eastAsia="宋体" w:cs="宋体"/>
                <w:sz w:val="24"/>
                <w:szCs w:val="24"/>
                <w:highlight w:val="none"/>
              </w:rPr>
              <w:t>加盖公章</w:t>
            </w:r>
          </w:p>
        </w:tc>
        <w:tc>
          <w:tcPr>
            <w:tcW w:w="1080" w:type="dxa"/>
            <w:vAlign w:val="center"/>
          </w:tcPr>
          <w:p w14:paraId="2E12574C">
            <w:pPr>
              <w:jc w:val="both"/>
              <w:rPr>
                <w:rFonts w:hint="eastAsia" w:ascii="宋体" w:hAnsi="宋体" w:eastAsia="宋体" w:cs="宋体"/>
                <w:sz w:val="24"/>
                <w:szCs w:val="24"/>
                <w:highlight w:val="none"/>
              </w:rPr>
            </w:pPr>
          </w:p>
        </w:tc>
      </w:tr>
      <w:tr w14:paraId="3C80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800" w:type="dxa"/>
            <w:vAlign w:val="center"/>
          </w:tcPr>
          <w:p w14:paraId="188F19D7">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37" w:type="dxa"/>
            <w:vAlign w:val="center"/>
          </w:tcPr>
          <w:p w14:paraId="60A5D64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财务状况</w:t>
            </w:r>
          </w:p>
        </w:tc>
        <w:tc>
          <w:tcPr>
            <w:tcW w:w="5795" w:type="dxa"/>
            <w:vAlign w:val="center"/>
          </w:tcPr>
          <w:p w14:paraId="191A3822">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附资格条件承诺函，签字并加盖单位公章。</w:t>
            </w:r>
          </w:p>
        </w:tc>
        <w:tc>
          <w:tcPr>
            <w:tcW w:w="1080" w:type="dxa"/>
            <w:vAlign w:val="center"/>
          </w:tcPr>
          <w:p w14:paraId="15289D03">
            <w:pPr>
              <w:jc w:val="both"/>
              <w:rPr>
                <w:rFonts w:hint="eastAsia" w:ascii="宋体" w:hAnsi="宋体" w:eastAsia="宋体" w:cs="宋体"/>
                <w:sz w:val="24"/>
                <w:szCs w:val="24"/>
                <w:highlight w:val="none"/>
              </w:rPr>
            </w:pPr>
          </w:p>
        </w:tc>
      </w:tr>
      <w:tr w14:paraId="2F67D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800" w:type="dxa"/>
            <w:vAlign w:val="center"/>
          </w:tcPr>
          <w:p w14:paraId="4A861791">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37" w:type="dxa"/>
            <w:vAlign w:val="center"/>
          </w:tcPr>
          <w:p w14:paraId="3175767F">
            <w:pPr>
              <w:jc w:val="center"/>
              <w:rPr>
                <w:rFonts w:hint="eastAsia" w:ascii="宋体" w:hAnsi="宋体" w:eastAsia="宋体" w:cs="宋体"/>
                <w:sz w:val="24"/>
                <w:szCs w:val="24"/>
                <w:highlight w:val="none"/>
              </w:rPr>
            </w:pPr>
            <w:r>
              <w:rPr>
                <w:rFonts w:hint="eastAsia" w:ascii="宋体" w:hAnsi="宋体" w:eastAsia="宋体" w:cs="宋体"/>
                <w:sz w:val="24"/>
                <w:highlight w:val="none"/>
              </w:rPr>
              <w:t>依法缴纳税收</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社会保障资金</w:t>
            </w:r>
          </w:p>
        </w:tc>
        <w:tc>
          <w:tcPr>
            <w:tcW w:w="5795" w:type="dxa"/>
            <w:vAlign w:val="center"/>
          </w:tcPr>
          <w:p w14:paraId="26D11D16">
            <w:pPr>
              <w:jc w:val="both"/>
              <w:rPr>
                <w:rFonts w:hint="eastAsia"/>
                <w:highlight w:val="none"/>
                <w:lang w:eastAsia="zh-CN"/>
              </w:rPr>
            </w:pPr>
            <w:r>
              <w:rPr>
                <w:rFonts w:hint="eastAsia" w:ascii="宋体" w:hAnsi="宋体" w:cs="宋体"/>
                <w:sz w:val="24"/>
                <w:szCs w:val="24"/>
                <w:highlight w:val="none"/>
                <w:lang w:val="en-US" w:eastAsia="zh-CN"/>
              </w:rPr>
              <w:t>附资格条件承诺函，签字并加盖单位公章。</w:t>
            </w:r>
          </w:p>
        </w:tc>
        <w:tc>
          <w:tcPr>
            <w:tcW w:w="1080" w:type="dxa"/>
            <w:vAlign w:val="center"/>
          </w:tcPr>
          <w:p w14:paraId="51F470AE">
            <w:pPr>
              <w:jc w:val="both"/>
              <w:rPr>
                <w:rFonts w:hint="eastAsia" w:ascii="宋体" w:hAnsi="宋体" w:eastAsia="宋体" w:cs="宋体"/>
                <w:sz w:val="24"/>
                <w:szCs w:val="24"/>
                <w:highlight w:val="none"/>
              </w:rPr>
            </w:pPr>
          </w:p>
        </w:tc>
      </w:tr>
      <w:tr w14:paraId="2EBE1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00" w:type="dxa"/>
            <w:vAlign w:val="center"/>
          </w:tcPr>
          <w:p w14:paraId="7D9FF2A6">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37" w:type="dxa"/>
            <w:vAlign w:val="center"/>
          </w:tcPr>
          <w:p w14:paraId="5FF201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法人授权委托书</w:t>
            </w:r>
          </w:p>
        </w:tc>
        <w:tc>
          <w:tcPr>
            <w:tcW w:w="5795" w:type="dxa"/>
            <w:vAlign w:val="center"/>
          </w:tcPr>
          <w:p w14:paraId="529F1413">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由法定代表人及委托代理人签字并加盖公章，</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附复印件加盖公章。</w:t>
            </w:r>
          </w:p>
        </w:tc>
        <w:tc>
          <w:tcPr>
            <w:tcW w:w="1080" w:type="dxa"/>
            <w:vAlign w:val="center"/>
          </w:tcPr>
          <w:p w14:paraId="0C7A3095">
            <w:pPr>
              <w:jc w:val="both"/>
              <w:rPr>
                <w:rFonts w:hint="eastAsia" w:ascii="宋体" w:hAnsi="宋体" w:eastAsia="宋体" w:cs="宋体"/>
                <w:sz w:val="24"/>
                <w:szCs w:val="24"/>
                <w:highlight w:val="none"/>
              </w:rPr>
            </w:pPr>
          </w:p>
        </w:tc>
      </w:tr>
      <w:tr w14:paraId="6429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00" w:type="dxa"/>
            <w:vAlign w:val="center"/>
          </w:tcPr>
          <w:p w14:paraId="6AA43367">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837" w:type="dxa"/>
            <w:vAlign w:val="center"/>
          </w:tcPr>
          <w:p w14:paraId="4468ADF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信誉要求</w:t>
            </w:r>
          </w:p>
        </w:tc>
        <w:tc>
          <w:tcPr>
            <w:tcW w:w="5795" w:type="dxa"/>
            <w:vAlign w:val="center"/>
          </w:tcPr>
          <w:p w14:paraId="31B6447D">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不接受被政府列入取消投标资格期限内的企业或个人参加投标。参加政府采购活动前3年内在经营活动中没有重大违法记录。</w:t>
            </w:r>
            <w:r>
              <w:rPr>
                <w:rFonts w:hint="eastAsia" w:ascii="宋体" w:hAnsi="宋体" w:eastAsia="宋体" w:cs="宋体"/>
                <w:sz w:val="24"/>
                <w:szCs w:val="24"/>
                <w:highlight w:val="none"/>
                <w:lang w:val="en-US" w:eastAsia="zh-CN"/>
              </w:rPr>
              <w:t>未被</w:t>
            </w:r>
            <w:r>
              <w:rPr>
                <w:rFonts w:hint="eastAsia" w:ascii="宋体" w:hAnsi="宋体" w:eastAsia="宋体" w:cs="宋体"/>
                <w:sz w:val="24"/>
                <w:szCs w:val="24"/>
                <w:highlight w:val="none"/>
              </w:rPr>
              <w:t>“信用中国”网站（www.creditchina.gov.cn）列入重大税收违法失信主体、政府采购严重违法失信行为记录名单；对在中国执行信息公开网（http://zxgk.court.gov.cn）列入失信被执行人；对在中国政府采购网（www.ccgp.gov.cn）列入政府采购严重违法失信行为记录名单及其他不符合《中华人民共和国政府采购法》第二十二条规定，不得参加政府采购活动</w:t>
            </w:r>
            <w:r>
              <w:rPr>
                <w:rFonts w:hint="eastAsia" w:ascii="宋体" w:hAnsi="宋体" w:eastAsia="宋体" w:cs="宋体"/>
                <w:sz w:val="24"/>
                <w:szCs w:val="24"/>
                <w:highlight w:val="none"/>
                <w:lang w:eastAsia="zh-CN"/>
              </w:rPr>
              <w:t>；</w:t>
            </w:r>
          </w:p>
          <w:p w14:paraId="194A35E7">
            <w:pPr>
              <w:jc w:val="both"/>
              <w:rPr>
                <w:rFonts w:hint="default"/>
                <w:highlight w:val="none"/>
                <w:lang w:val="en-US"/>
              </w:rPr>
            </w:pPr>
            <w:r>
              <w:rPr>
                <w:rFonts w:hint="eastAsia" w:ascii="宋体" w:hAnsi="宋体" w:eastAsia="宋体" w:cs="宋体"/>
                <w:b/>
                <w:bCs/>
                <w:sz w:val="24"/>
                <w:szCs w:val="24"/>
                <w:highlight w:val="none"/>
                <w:lang w:val="en-US" w:eastAsia="zh-CN"/>
              </w:rPr>
              <w:t>由采购人或采购代理机构现场查询。</w:t>
            </w:r>
          </w:p>
        </w:tc>
        <w:tc>
          <w:tcPr>
            <w:tcW w:w="1080" w:type="dxa"/>
            <w:vAlign w:val="center"/>
          </w:tcPr>
          <w:p w14:paraId="139691F7">
            <w:pPr>
              <w:jc w:val="both"/>
              <w:rPr>
                <w:rFonts w:hint="eastAsia" w:ascii="宋体" w:hAnsi="宋体" w:eastAsia="宋体" w:cs="宋体"/>
                <w:sz w:val="24"/>
                <w:szCs w:val="24"/>
                <w:highlight w:val="none"/>
              </w:rPr>
            </w:pPr>
          </w:p>
        </w:tc>
      </w:tr>
      <w:tr w14:paraId="1941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00" w:type="dxa"/>
            <w:vAlign w:val="center"/>
          </w:tcPr>
          <w:p w14:paraId="2023C29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837" w:type="dxa"/>
            <w:vAlign w:val="center"/>
          </w:tcPr>
          <w:p w14:paraId="6A87726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5795" w:type="dxa"/>
            <w:vAlign w:val="center"/>
          </w:tcPr>
          <w:p w14:paraId="24F5531F">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B6727E4">
            <w:pPr>
              <w:jc w:val="both"/>
              <w:rPr>
                <w:rFonts w:hint="eastAsia" w:eastAsia="宋体"/>
                <w:highlight w:val="none"/>
                <w:lang w:val="en-US" w:eastAsia="zh-CN"/>
              </w:rPr>
            </w:pPr>
            <w:r>
              <w:rPr>
                <w:rFonts w:hint="eastAsia" w:ascii="宋体" w:hAnsi="宋体" w:eastAsia="宋体" w:cs="宋体"/>
                <w:b/>
                <w:bCs/>
                <w:sz w:val="24"/>
                <w:szCs w:val="24"/>
                <w:highlight w:val="none"/>
                <w:lang w:val="en-US" w:eastAsia="zh-CN"/>
              </w:rPr>
              <w:t>提供不存在以上情形承诺书</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由法定代表人</w:t>
            </w:r>
            <w:r>
              <w:rPr>
                <w:rFonts w:hint="eastAsia" w:ascii="宋体" w:hAnsi="宋体" w:eastAsia="宋体" w:cs="宋体"/>
                <w:b/>
                <w:bCs/>
                <w:sz w:val="24"/>
                <w:szCs w:val="24"/>
                <w:highlight w:val="none"/>
                <w:lang w:val="en-US" w:eastAsia="zh-CN"/>
              </w:rPr>
              <w:t>或</w:t>
            </w:r>
            <w:r>
              <w:rPr>
                <w:rFonts w:hint="eastAsia" w:ascii="宋体" w:hAnsi="宋体" w:eastAsia="宋体" w:cs="宋体"/>
                <w:b/>
                <w:bCs/>
                <w:sz w:val="24"/>
                <w:szCs w:val="24"/>
                <w:highlight w:val="none"/>
              </w:rPr>
              <w:t>委托代理人签字并加盖公章</w:t>
            </w:r>
            <w:r>
              <w:rPr>
                <w:rFonts w:hint="eastAsia" w:ascii="宋体" w:hAnsi="宋体" w:cs="宋体"/>
                <w:b/>
                <w:bCs/>
                <w:sz w:val="24"/>
                <w:szCs w:val="24"/>
                <w:highlight w:val="none"/>
                <w:lang w:eastAsia="zh-CN"/>
              </w:rPr>
              <w:t>。</w:t>
            </w:r>
          </w:p>
        </w:tc>
        <w:tc>
          <w:tcPr>
            <w:tcW w:w="1080" w:type="dxa"/>
            <w:vAlign w:val="center"/>
          </w:tcPr>
          <w:p w14:paraId="1455D0E0">
            <w:pPr>
              <w:jc w:val="both"/>
              <w:rPr>
                <w:rFonts w:hint="eastAsia" w:ascii="宋体" w:hAnsi="宋体" w:eastAsia="宋体" w:cs="宋体"/>
                <w:sz w:val="24"/>
                <w:szCs w:val="24"/>
                <w:highlight w:val="none"/>
              </w:rPr>
            </w:pPr>
          </w:p>
        </w:tc>
      </w:tr>
      <w:tr w14:paraId="6B623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637" w:type="dxa"/>
            <w:gridSpan w:val="2"/>
            <w:vAlign w:val="center"/>
          </w:tcPr>
          <w:p w14:paraId="28FBD440">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评审结论（合格/不合格）</w:t>
            </w:r>
          </w:p>
        </w:tc>
        <w:tc>
          <w:tcPr>
            <w:tcW w:w="6875" w:type="dxa"/>
            <w:gridSpan w:val="2"/>
            <w:vAlign w:val="center"/>
          </w:tcPr>
          <w:p w14:paraId="200999FB">
            <w:pPr>
              <w:jc w:val="both"/>
              <w:rPr>
                <w:rFonts w:hint="eastAsia" w:ascii="宋体" w:hAnsi="宋体" w:eastAsia="宋体" w:cs="宋体"/>
                <w:sz w:val="24"/>
                <w:szCs w:val="24"/>
                <w:highlight w:val="none"/>
              </w:rPr>
            </w:pPr>
          </w:p>
        </w:tc>
      </w:tr>
    </w:tbl>
    <w:p w14:paraId="11AA329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注：本表中符合评审内容要求的写“√”，不符合评审内容要求的写“×”。结论为“合格”或“不合格。结论不合格的不进入符合性审查阶段。</w:t>
      </w:r>
    </w:p>
    <w:p w14:paraId="0E0E30F4">
      <w:pPr>
        <w:pStyle w:val="23"/>
        <w:spacing w:beforeAutospacing="0" w:afterAutospacing="0" w:line="360" w:lineRule="auto"/>
        <w:ind w:firstLine="480" w:firstLineChars="200"/>
        <w:jc w:val="both"/>
        <w:rPr>
          <w:rFonts w:hint="eastAsia" w:ascii="宋体" w:hAnsi="宋体" w:eastAsia="宋体" w:cs="宋体"/>
          <w:kern w:val="2"/>
          <w:highlight w:val="none"/>
        </w:rPr>
      </w:pPr>
      <w:r>
        <w:rPr>
          <w:rFonts w:hint="eastAsia" w:ascii="宋体" w:hAnsi="宋体" w:eastAsia="宋体" w:cs="宋体"/>
          <w:kern w:val="2"/>
          <w:highlight w:val="none"/>
        </w:rPr>
        <w:t xml:space="preserve">1.1.2 </w:t>
      </w:r>
      <w:r>
        <w:rPr>
          <w:rFonts w:hint="eastAsia" w:ascii="宋体" w:hAnsi="宋体" w:eastAsia="宋体" w:cs="宋体"/>
          <w:kern w:val="2"/>
          <w:highlight w:val="none"/>
          <w:lang w:eastAsia="zh-CN"/>
        </w:rPr>
        <w:t>磋商小组</w:t>
      </w:r>
      <w:r>
        <w:rPr>
          <w:rFonts w:hint="eastAsia" w:ascii="宋体" w:hAnsi="宋体" w:eastAsia="宋体" w:cs="宋体"/>
          <w:kern w:val="2"/>
          <w:highlight w:val="none"/>
        </w:rPr>
        <w:t>将对符合资格的供应商的</w:t>
      </w:r>
      <w:r>
        <w:rPr>
          <w:rFonts w:hint="eastAsia" w:cs="宋体"/>
          <w:sz w:val="24"/>
          <w:szCs w:val="24"/>
          <w:highlight w:val="none"/>
          <w:lang w:eastAsia="zh-CN"/>
        </w:rPr>
        <w:t>响应文件</w:t>
      </w:r>
      <w:r>
        <w:rPr>
          <w:rFonts w:hint="eastAsia" w:ascii="宋体" w:hAnsi="宋体" w:eastAsia="宋体" w:cs="宋体"/>
          <w:kern w:val="2"/>
          <w:highlight w:val="none"/>
        </w:rPr>
        <w:t>进行符合性审查，以确定其是否满足</w:t>
      </w:r>
      <w:r>
        <w:rPr>
          <w:rFonts w:hint="eastAsia" w:cs="宋体"/>
          <w:kern w:val="2"/>
          <w:highlight w:val="none"/>
          <w:lang w:eastAsia="zh-CN"/>
        </w:rPr>
        <w:t>竞争性磋商文件</w:t>
      </w:r>
      <w:r>
        <w:rPr>
          <w:rFonts w:hint="eastAsia" w:ascii="宋体" w:hAnsi="宋体" w:eastAsia="宋体" w:cs="宋体"/>
          <w:kern w:val="2"/>
          <w:highlight w:val="none"/>
        </w:rPr>
        <w:t>的实质性要求。</w:t>
      </w:r>
    </w:p>
    <w:p w14:paraId="256F7DAE">
      <w:pPr>
        <w:pStyle w:val="23"/>
        <w:spacing w:beforeAutospacing="0" w:afterAutospacing="0" w:line="360" w:lineRule="auto"/>
        <w:jc w:val="center"/>
        <w:rPr>
          <w:rFonts w:hint="eastAsia" w:ascii="宋体" w:hAnsi="宋体" w:eastAsia="宋体" w:cs="宋体"/>
          <w:b/>
          <w:bCs/>
          <w:highlight w:val="none"/>
        </w:rPr>
      </w:pPr>
      <w:r>
        <w:rPr>
          <w:rFonts w:hint="eastAsia" w:ascii="宋体" w:hAnsi="宋体" w:eastAsia="宋体" w:cs="宋体"/>
          <w:b/>
          <w:bCs/>
          <w:kern w:val="2"/>
          <w:highlight w:val="none"/>
        </w:rPr>
        <w:t>符合性审查表</w:t>
      </w:r>
    </w:p>
    <w:tbl>
      <w:tblPr>
        <w:tblStyle w:val="26"/>
        <w:tblW w:w="96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1814"/>
        <w:gridCol w:w="5738"/>
        <w:gridCol w:w="1316"/>
      </w:tblGrid>
      <w:tr w14:paraId="5002F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7" w:type="dxa"/>
            <w:vAlign w:val="center"/>
          </w:tcPr>
          <w:p w14:paraId="0668D734">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814" w:type="dxa"/>
            <w:vAlign w:val="center"/>
          </w:tcPr>
          <w:p w14:paraId="04A386F3">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评审项目</w:t>
            </w:r>
          </w:p>
        </w:tc>
        <w:tc>
          <w:tcPr>
            <w:tcW w:w="5738" w:type="dxa"/>
            <w:vAlign w:val="center"/>
          </w:tcPr>
          <w:p w14:paraId="10A6386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1316" w:type="dxa"/>
            <w:vAlign w:val="center"/>
          </w:tcPr>
          <w:p w14:paraId="0E3DF615">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评审结论（√/×）</w:t>
            </w:r>
          </w:p>
        </w:tc>
      </w:tr>
      <w:tr w14:paraId="0557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7" w:type="dxa"/>
            <w:vAlign w:val="center"/>
          </w:tcPr>
          <w:p w14:paraId="0CE3F79F">
            <w:pPr>
              <w:jc w:val="center"/>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1</w:t>
            </w:r>
          </w:p>
        </w:tc>
        <w:tc>
          <w:tcPr>
            <w:tcW w:w="1814" w:type="dxa"/>
            <w:vAlign w:val="center"/>
          </w:tcPr>
          <w:p w14:paraId="7A07815F">
            <w:pPr>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磋商保证金</w:t>
            </w:r>
          </w:p>
        </w:tc>
        <w:tc>
          <w:tcPr>
            <w:tcW w:w="5738" w:type="dxa"/>
            <w:vAlign w:val="center"/>
          </w:tcPr>
          <w:p w14:paraId="0C64C4F3">
            <w:pPr>
              <w:jc w:val="both"/>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依据长财采购【</w:t>
            </w:r>
            <w:r>
              <w:rPr>
                <w:rFonts w:hint="eastAsia" w:ascii="宋体" w:hAnsi="宋体" w:eastAsia="宋体" w:cs="宋体"/>
                <w:sz w:val="24"/>
                <w:szCs w:val="24"/>
                <w:highlight w:val="none"/>
                <w:lang w:val="en-US" w:eastAsia="zh-CN"/>
              </w:rPr>
              <w:t>2021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695号文件规定，</w:t>
            </w:r>
            <w:r>
              <w:rPr>
                <w:rFonts w:hint="eastAsia" w:ascii="宋体" w:hAnsi="宋体" w:eastAsia="宋体" w:cs="宋体"/>
                <w:sz w:val="24"/>
                <w:szCs w:val="24"/>
                <w:highlight w:val="none"/>
              </w:rPr>
              <w:t>对于诚信良好的供应商可免收</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保证金；但对于满足《中华人民共和国政府采购法》第二十二条有关规定，经“信用中国”网站查询存在行政处罚信息的供应商，须按规定提交</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保证金，并提供缴纳证明。</w:t>
            </w:r>
          </w:p>
        </w:tc>
        <w:tc>
          <w:tcPr>
            <w:tcW w:w="1316" w:type="dxa"/>
            <w:vAlign w:val="center"/>
          </w:tcPr>
          <w:p w14:paraId="6A9250E3">
            <w:pPr>
              <w:jc w:val="center"/>
              <w:rPr>
                <w:rFonts w:hint="eastAsia" w:ascii="宋体" w:hAnsi="宋体" w:eastAsia="宋体" w:cs="宋体"/>
                <w:b/>
                <w:bCs/>
                <w:sz w:val="24"/>
                <w:szCs w:val="24"/>
                <w:highlight w:val="none"/>
              </w:rPr>
            </w:pPr>
          </w:p>
        </w:tc>
      </w:tr>
      <w:tr w14:paraId="66909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7" w:type="dxa"/>
            <w:vAlign w:val="center"/>
          </w:tcPr>
          <w:p w14:paraId="07300A66">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1814" w:type="dxa"/>
            <w:vAlign w:val="center"/>
          </w:tcPr>
          <w:p w14:paraId="18B0F9D8">
            <w:pPr>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签署盖章</w:t>
            </w:r>
          </w:p>
        </w:tc>
        <w:tc>
          <w:tcPr>
            <w:tcW w:w="5738" w:type="dxa"/>
            <w:vAlign w:val="center"/>
          </w:tcPr>
          <w:p w14:paraId="7AFB38EB">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文件的签署</w:t>
            </w:r>
            <w:r>
              <w:rPr>
                <w:rFonts w:hint="eastAsia" w:ascii="宋体" w:hAnsi="宋体" w:eastAsia="宋体" w:cs="宋体"/>
                <w:sz w:val="24"/>
                <w:szCs w:val="24"/>
                <w:highlight w:val="none"/>
                <w:lang w:val="en-US" w:eastAsia="zh-CN"/>
              </w:rPr>
              <w:t>盖章</w:t>
            </w:r>
            <w:r>
              <w:rPr>
                <w:rFonts w:hint="eastAsia" w:ascii="宋体" w:hAnsi="宋体" w:eastAsia="宋体" w:cs="宋体"/>
                <w:sz w:val="24"/>
                <w:szCs w:val="24"/>
                <w:highlight w:val="none"/>
                <w:lang w:eastAsia="zh-CN"/>
              </w:rPr>
              <w:t>及填写符合</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lang w:eastAsia="zh-CN"/>
              </w:rPr>
              <w:t>文件的要求。</w:t>
            </w:r>
          </w:p>
        </w:tc>
        <w:tc>
          <w:tcPr>
            <w:tcW w:w="1316" w:type="dxa"/>
            <w:vAlign w:val="center"/>
          </w:tcPr>
          <w:p w14:paraId="3A2E17FA">
            <w:pPr>
              <w:jc w:val="both"/>
              <w:rPr>
                <w:rFonts w:hint="eastAsia" w:ascii="宋体" w:hAnsi="宋体" w:eastAsia="宋体" w:cs="宋体"/>
                <w:sz w:val="24"/>
                <w:szCs w:val="24"/>
                <w:highlight w:val="none"/>
              </w:rPr>
            </w:pPr>
          </w:p>
        </w:tc>
      </w:tr>
      <w:tr w14:paraId="3134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817" w:type="dxa"/>
            <w:vAlign w:val="center"/>
          </w:tcPr>
          <w:p w14:paraId="50FC4BED">
            <w:pP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1814" w:type="dxa"/>
            <w:vAlign w:val="center"/>
          </w:tcPr>
          <w:p w14:paraId="46D24DA0">
            <w:pPr>
              <w:shd w:val="clear"/>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en-US" w:eastAsia="zh-CN"/>
              </w:rPr>
              <w:t>文件</w:t>
            </w:r>
            <w:r>
              <w:rPr>
                <w:rFonts w:hint="eastAsia" w:ascii="宋体" w:hAnsi="宋体" w:cs="宋体"/>
                <w:sz w:val="24"/>
                <w:szCs w:val="24"/>
                <w:highlight w:val="none"/>
                <w:lang w:val="en-US" w:eastAsia="zh-CN"/>
              </w:rPr>
              <w:t>的递交</w:t>
            </w:r>
          </w:p>
        </w:tc>
        <w:tc>
          <w:tcPr>
            <w:tcW w:w="5738" w:type="dxa"/>
            <w:vAlign w:val="center"/>
          </w:tcPr>
          <w:p w14:paraId="1B0299C5">
            <w:pPr>
              <w:shd w:val="clea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符合竞争性磋商文件</w:t>
            </w:r>
            <w:r>
              <w:rPr>
                <w:rFonts w:hint="eastAsia" w:ascii="宋体" w:hAnsi="宋体" w:cs="宋体"/>
                <w:sz w:val="24"/>
                <w:szCs w:val="24"/>
                <w:highlight w:val="none"/>
                <w:lang w:val="en-US" w:eastAsia="zh-CN"/>
              </w:rPr>
              <w:t>规定的份数及要求</w:t>
            </w:r>
          </w:p>
        </w:tc>
        <w:tc>
          <w:tcPr>
            <w:tcW w:w="1316" w:type="dxa"/>
            <w:vAlign w:val="center"/>
          </w:tcPr>
          <w:p w14:paraId="1B45372B">
            <w:pPr>
              <w:jc w:val="both"/>
              <w:rPr>
                <w:rFonts w:hint="eastAsia" w:ascii="宋体" w:hAnsi="宋体" w:eastAsia="宋体" w:cs="宋体"/>
                <w:sz w:val="24"/>
                <w:szCs w:val="24"/>
                <w:highlight w:val="none"/>
              </w:rPr>
            </w:pPr>
          </w:p>
        </w:tc>
      </w:tr>
      <w:tr w14:paraId="14EB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817" w:type="dxa"/>
            <w:vAlign w:val="center"/>
          </w:tcPr>
          <w:p w14:paraId="380B34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814" w:type="dxa"/>
            <w:vAlign w:val="center"/>
          </w:tcPr>
          <w:p w14:paraId="172C374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5738" w:type="dxa"/>
            <w:vAlign w:val="center"/>
          </w:tcPr>
          <w:p w14:paraId="0C17AB17">
            <w:pPr>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报价未超过</w:t>
            </w:r>
            <w:r>
              <w:rPr>
                <w:rFonts w:hint="eastAsia" w:ascii="宋体" w:hAnsi="宋体" w:eastAsia="宋体" w:cs="宋体"/>
                <w:sz w:val="24"/>
                <w:highlight w:val="none"/>
              </w:rPr>
              <w:t>最高限价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最高限价：1271400元</w:t>
            </w:r>
          </w:p>
        </w:tc>
        <w:tc>
          <w:tcPr>
            <w:tcW w:w="1316" w:type="dxa"/>
            <w:vAlign w:val="center"/>
          </w:tcPr>
          <w:p w14:paraId="5E38A1BC">
            <w:pPr>
              <w:jc w:val="both"/>
              <w:rPr>
                <w:rFonts w:hint="eastAsia" w:ascii="宋体" w:hAnsi="宋体" w:eastAsia="宋体" w:cs="宋体"/>
                <w:sz w:val="24"/>
                <w:szCs w:val="24"/>
                <w:highlight w:val="none"/>
              </w:rPr>
            </w:pPr>
          </w:p>
        </w:tc>
      </w:tr>
      <w:tr w14:paraId="64A2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817" w:type="dxa"/>
            <w:vAlign w:val="center"/>
          </w:tcPr>
          <w:p w14:paraId="365E2B49">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p>
        </w:tc>
        <w:tc>
          <w:tcPr>
            <w:tcW w:w="1814" w:type="dxa"/>
            <w:vAlign w:val="center"/>
          </w:tcPr>
          <w:p w14:paraId="4BB8DD7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附加条件</w:t>
            </w:r>
          </w:p>
        </w:tc>
        <w:tc>
          <w:tcPr>
            <w:tcW w:w="5738" w:type="dxa"/>
            <w:vAlign w:val="center"/>
          </w:tcPr>
          <w:p w14:paraId="4EFD125B">
            <w:pPr>
              <w:jc w:val="both"/>
              <w:rPr>
                <w:rFonts w:hint="eastAsia" w:ascii="宋体" w:hAnsi="宋体" w:eastAsia="宋体" w:cs="宋体"/>
                <w:sz w:val="24"/>
                <w:szCs w:val="24"/>
                <w:highlight w:val="none"/>
              </w:rPr>
            </w:pP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不含有采购人不能接受的附加条件；</w:t>
            </w:r>
          </w:p>
        </w:tc>
        <w:tc>
          <w:tcPr>
            <w:tcW w:w="1316" w:type="dxa"/>
            <w:vAlign w:val="center"/>
          </w:tcPr>
          <w:p w14:paraId="5747FC95">
            <w:pPr>
              <w:jc w:val="both"/>
              <w:rPr>
                <w:rFonts w:hint="eastAsia" w:ascii="宋体" w:hAnsi="宋体" w:eastAsia="宋体" w:cs="宋体"/>
                <w:sz w:val="24"/>
                <w:szCs w:val="24"/>
                <w:highlight w:val="none"/>
              </w:rPr>
            </w:pPr>
          </w:p>
        </w:tc>
      </w:tr>
      <w:tr w14:paraId="0419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817" w:type="dxa"/>
            <w:vAlign w:val="center"/>
          </w:tcPr>
          <w:p w14:paraId="17F17FD0">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4" w:type="dxa"/>
            <w:vAlign w:val="center"/>
          </w:tcPr>
          <w:p w14:paraId="36533C5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其他无效情形</w:t>
            </w:r>
          </w:p>
        </w:tc>
        <w:tc>
          <w:tcPr>
            <w:tcW w:w="5738" w:type="dxa"/>
            <w:vAlign w:val="center"/>
          </w:tcPr>
          <w:p w14:paraId="3A049E58">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竞争性磋商文件</w:t>
            </w:r>
            <w:r>
              <w:rPr>
                <w:rFonts w:hint="eastAsia" w:ascii="宋体" w:hAnsi="宋体" w:eastAsia="宋体" w:cs="宋体"/>
                <w:sz w:val="24"/>
                <w:szCs w:val="24"/>
                <w:highlight w:val="none"/>
              </w:rPr>
              <w:t>规定的其他无效情形；</w:t>
            </w:r>
          </w:p>
        </w:tc>
        <w:tc>
          <w:tcPr>
            <w:tcW w:w="1316" w:type="dxa"/>
            <w:vAlign w:val="center"/>
          </w:tcPr>
          <w:p w14:paraId="5F6B61D3">
            <w:pPr>
              <w:jc w:val="both"/>
              <w:rPr>
                <w:rFonts w:hint="eastAsia" w:ascii="宋体" w:hAnsi="宋体" w:eastAsia="宋体" w:cs="宋体"/>
                <w:sz w:val="24"/>
                <w:szCs w:val="24"/>
                <w:highlight w:val="none"/>
              </w:rPr>
            </w:pPr>
          </w:p>
        </w:tc>
      </w:tr>
      <w:tr w14:paraId="15DC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817" w:type="dxa"/>
            <w:vAlign w:val="center"/>
          </w:tcPr>
          <w:p w14:paraId="5AF72FC5">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4" w:type="dxa"/>
            <w:vAlign w:val="center"/>
          </w:tcPr>
          <w:p w14:paraId="19E8D2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w:t>
            </w:r>
          </w:p>
        </w:tc>
        <w:tc>
          <w:tcPr>
            <w:tcW w:w="5738" w:type="dxa"/>
            <w:vAlign w:val="center"/>
          </w:tcPr>
          <w:p w14:paraId="78991F43">
            <w:pPr>
              <w:jc w:val="both"/>
              <w:rPr>
                <w:rFonts w:hint="eastAsia" w:ascii="宋体" w:hAnsi="宋体" w:eastAsia="宋体" w:cs="宋体"/>
                <w:sz w:val="24"/>
                <w:szCs w:val="24"/>
                <w:highlight w:val="none"/>
              </w:rPr>
            </w:pPr>
            <w:r>
              <w:rPr>
                <w:rFonts w:hint="eastAsia" w:ascii="宋体" w:hAnsi="宋体" w:cs="宋体"/>
                <w:bCs/>
                <w:sz w:val="24"/>
                <w:szCs w:val="24"/>
                <w:highlight w:val="none"/>
                <w:lang w:eastAsia="zh-CN"/>
              </w:rPr>
              <w:t>提交响应文件</w:t>
            </w:r>
            <w:r>
              <w:rPr>
                <w:rFonts w:hint="eastAsia" w:ascii="宋体" w:hAnsi="宋体" w:eastAsia="宋体" w:cs="宋体"/>
                <w:bCs/>
                <w:sz w:val="24"/>
                <w:szCs w:val="24"/>
                <w:highlight w:val="none"/>
              </w:rPr>
              <w:t>截止之日</w:t>
            </w:r>
            <w:r>
              <w:rPr>
                <w:rFonts w:hint="eastAsia" w:ascii="宋体" w:hAnsi="宋体" w:cs="宋体"/>
                <w:bCs/>
                <w:sz w:val="24"/>
                <w:szCs w:val="24"/>
                <w:highlight w:val="none"/>
                <w:lang w:val="en-US" w:eastAsia="zh-CN"/>
              </w:rPr>
              <w:t>起90日历天</w:t>
            </w:r>
            <w:r>
              <w:rPr>
                <w:rFonts w:hint="eastAsia" w:ascii="宋体" w:hAnsi="宋体" w:eastAsia="宋体" w:cs="宋体"/>
                <w:bCs/>
                <w:sz w:val="24"/>
                <w:szCs w:val="24"/>
                <w:highlight w:val="none"/>
                <w:lang w:eastAsia="zh-CN"/>
              </w:rPr>
              <w:t>。</w:t>
            </w:r>
          </w:p>
        </w:tc>
        <w:tc>
          <w:tcPr>
            <w:tcW w:w="1316" w:type="dxa"/>
            <w:vAlign w:val="center"/>
          </w:tcPr>
          <w:p w14:paraId="2BD2395C">
            <w:pPr>
              <w:jc w:val="both"/>
              <w:rPr>
                <w:rFonts w:hint="eastAsia" w:ascii="宋体" w:hAnsi="宋体" w:eastAsia="宋体" w:cs="宋体"/>
                <w:sz w:val="24"/>
                <w:szCs w:val="24"/>
                <w:highlight w:val="none"/>
              </w:rPr>
            </w:pPr>
          </w:p>
        </w:tc>
      </w:tr>
      <w:tr w14:paraId="56883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jc w:val="center"/>
        </w:trPr>
        <w:tc>
          <w:tcPr>
            <w:tcW w:w="817" w:type="dxa"/>
            <w:vAlign w:val="center"/>
          </w:tcPr>
          <w:p w14:paraId="717012D9">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814" w:type="dxa"/>
            <w:vAlign w:val="center"/>
          </w:tcPr>
          <w:p w14:paraId="637372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备选方案</w:t>
            </w:r>
          </w:p>
        </w:tc>
        <w:tc>
          <w:tcPr>
            <w:tcW w:w="5738" w:type="dxa"/>
            <w:vAlign w:val="center"/>
          </w:tcPr>
          <w:p w14:paraId="52CD1E7A">
            <w:pPr>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lang w:val="en-US" w:eastAsia="zh-CN"/>
              </w:rPr>
              <w:t>允许提交备选方案</w:t>
            </w:r>
            <w:r>
              <w:rPr>
                <w:rFonts w:hint="eastAsia" w:ascii="宋体" w:hAnsi="宋体" w:cs="宋体"/>
                <w:sz w:val="24"/>
                <w:szCs w:val="24"/>
                <w:highlight w:val="none"/>
                <w:lang w:val="en-US" w:eastAsia="zh-CN"/>
              </w:rPr>
              <w:t>；</w:t>
            </w:r>
          </w:p>
        </w:tc>
        <w:tc>
          <w:tcPr>
            <w:tcW w:w="1316" w:type="dxa"/>
            <w:vAlign w:val="center"/>
          </w:tcPr>
          <w:p w14:paraId="1853321D">
            <w:pPr>
              <w:jc w:val="both"/>
              <w:rPr>
                <w:rFonts w:hint="eastAsia" w:ascii="宋体" w:hAnsi="宋体" w:eastAsia="宋体" w:cs="宋体"/>
                <w:sz w:val="24"/>
                <w:szCs w:val="24"/>
                <w:highlight w:val="none"/>
              </w:rPr>
            </w:pPr>
          </w:p>
        </w:tc>
      </w:tr>
      <w:tr w14:paraId="058F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17" w:type="dxa"/>
            <w:vAlign w:val="center"/>
          </w:tcPr>
          <w:p w14:paraId="6887E77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814" w:type="dxa"/>
            <w:vAlign w:val="center"/>
          </w:tcPr>
          <w:p w14:paraId="017462B3">
            <w:pPr>
              <w:jc w:val="center"/>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商务/</w:t>
            </w:r>
            <w:r>
              <w:rPr>
                <w:rFonts w:hint="eastAsia" w:ascii="宋体" w:hAnsi="宋体" w:eastAsia="宋体" w:cs="宋体"/>
                <w:sz w:val="24"/>
                <w:szCs w:val="24"/>
                <w:highlight w:val="none"/>
              </w:rPr>
              <w:t>技术</w:t>
            </w:r>
          </w:p>
        </w:tc>
        <w:tc>
          <w:tcPr>
            <w:tcW w:w="5738" w:type="dxa"/>
            <w:vAlign w:val="center"/>
          </w:tcPr>
          <w:p w14:paraId="0C9589DD">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符合“</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需求及技术规格要求”要求，</w:t>
            </w:r>
            <w:r>
              <w:rPr>
                <w:rFonts w:hint="eastAsia" w:ascii="宋体" w:hAnsi="宋体" w:cs="宋体"/>
                <w:sz w:val="24"/>
                <w:szCs w:val="24"/>
                <w:highlight w:val="none"/>
                <w:lang w:val="en-US" w:eastAsia="zh-CN"/>
              </w:rPr>
              <w:t>商务条款/</w:t>
            </w:r>
            <w:r>
              <w:rPr>
                <w:rFonts w:hint="eastAsia" w:ascii="宋体" w:hAnsi="宋体" w:eastAsia="宋体" w:cs="宋体"/>
                <w:sz w:val="24"/>
                <w:szCs w:val="24"/>
                <w:highlight w:val="none"/>
              </w:rPr>
              <w:t>技术</w:t>
            </w:r>
            <w:r>
              <w:rPr>
                <w:rFonts w:hint="eastAsia" w:ascii="宋体" w:hAnsi="宋体" w:cs="宋体"/>
                <w:sz w:val="24"/>
                <w:szCs w:val="24"/>
                <w:highlight w:val="none"/>
                <w:lang w:val="en-US" w:eastAsia="zh-CN"/>
              </w:rPr>
              <w:t>条款</w:t>
            </w:r>
            <w:r>
              <w:rPr>
                <w:rFonts w:hint="eastAsia" w:ascii="宋体" w:hAnsi="宋体" w:eastAsia="宋体" w:cs="宋体"/>
                <w:sz w:val="24"/>
                <w:szCs w:val="24"/>
                <w:highlight w:val="none"/>
              </w:rPr>
              <w:t>无</w:t>
            </w:r>
            <w:r>
              <w:rPr>
                <w:rFonts w:hint="eastAsia" w:ascii="宋体" w:hAnsi="宋体" w:cs="宋体"/>
                <w:sz w:val="24"/>
                <w:szCs w:val="24"/>
                <w:highlight w:val="none"/>
                <w:lang w:val="en-US" w:eastAsia="zh-CN"/>
              </w:rPr>
              <w:t>负</w:t>
            </w:r>
            <w:r>
              <w:rPr>
                <w:rFonts w:hint="eastAsia" w:ascii="宋体" w:hAnsi="宋体" w:eastAsia="宋体" w:cs="宋体"/>
                <w:sz w:val="24"/>
                <w:szCs w:val="24"/>
                <w:highlight w:val="none"/>
              </w:rPr>
              <w:t>偏</w:t>
            </w:r>
            <w:r>
              <w:rPr>
                <w:rFonts w:hint="eastAsia" w:ascii="宋体" w:hAnsi="宋体" w:cs="宋体"/>
                <w:sz w:val="24"/>
                <w:szCs w:val="24"/>
                <w:highlight w:val="none"/>
                <w:lang w:val="en-US" w:eastAsia="zh-CN"/>
              </w:rPr>
              <w:t>离；</w:t>
            </w:r>
          </w:p>
        </w:tc>
        <w:tc>
          <w:tcPr>
            <w:tcW w:w="1316" w:type="dxa"/>
            <w:vAlign w:val="center"/>
          </w:tcPr>
          <w:p w14:paraId="3EE7CD81">
            <w:pPr>
              <w:jc w:val="both"/>
              <w:rPr>
                <w:rFonts w:hint="eastAsia" w:ascii="宋体" w:hAnsi="宋体" w:eastAsia="宋体" w:cs="宋体"/>
                <w:sz w:val="24"/>
                <w:szCs w:val="24"/>
                <w:highlight w:val="none"/>
              </w:rPr>
            </w:pPr>
          </w:p>
        </w:tc>
      </w:tr>
      <w:tr w14:paraId="7140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jc w:val="center"/>
        </w:trPr>
        <w:tc>
          <w:tcPr>
            <w:tcW w:w="817" w:type="dxa"/>
            <w:vAlign w:val="center"/>
          </w:tcPr>
          <w:p w14:paraId="55D2CB58">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14" w:type="dxa"/>
            <w:vAlign w:val="center"/>
          </w:tcPr>
          <w:p w14:paraId="4F329CE9">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w:t>
            </w:r>
          </w:p>
        </w:tc>
        <w:tc>
          <w:tcPr>
            <w:tcW w:w="5738" w:type="dxa"/>
            <w:vAlign w:val="center"/>
          </w:tcPr>
          <w:p w14:paraId="74CA603D">
            <w:pPr>
              <w:jc w:val="both"/>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lang w:val="en-US" w:eastAsia="zh-CN"/>
              </w:rPr>
              <w:t>合同签订之日起</w:t>
            </w:r>
            <w:r>
              <w:rPr>
                <w:rFonts w:hint="eastAsia" w:ascii="宋体" w:hAnsi="宋体" w:cs="宋体"/>
                <w:sz w:val="24"/>
                <w:szCs w:val="24"/>
                <w:highlight w:val="none"/>
                <w:lang w:val="en-US" w:eastAsia="zh-CN"/>
              </w:rPr>
              <w:t>1年</w:t>
            </w:r>
            <w:r>
              <w:rPr>
                <w:rFonts w:hint="default" w:ascii="宋体" w:hAnsi="宋体" w:eastAsia="宋体" w:cs="宋体"/>
                <w:sz w:val="24"/>
                <w:szCs w:val="24"/>
                <w:highlight w:val="none"/>
                <w:lang w:val="en-US" w:eastAsia="zh-CN"/>
              </w:rPr>
              <w:t>；</w:t>
            </w:r>
          </w:p>
        </w:tc>
        <w:tc>
          <w:tcPr>
            <w:tcW w:w="1316" w:type="dxa"/>
            <w:vAlign w:val="center"/>
          </w:tcPr>
          <w:p w14:paraId="24DFEE28">
            <w:pPr>
              <w:jc w:val="both"/>
              <w:rPr>
                <w:rFonts w:hint="eastAsia" w:ascii="宋体" w:hAnsi="宋体" w:eastAsia="宋体" w:cs="宋体"/>
                <w:sz w:val="24"/>
                <w:szCs w:val="24"/>
                <w:highlight w:val="none"/>
              </w:rPr>
            </w:pPr>
          </w:p>
        </w:tc>
      </w:tr>
      <w:tr w14:paraId="1B1D5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jc w:val="center"/>
        </w:trPr>
        <w:tc>
          <w:tcPr>
            <w:tcW w:w="2631" w:type="dxa"/>
            <w:gridSpan w:val="2"/>
            <w:vAlign w:val="center"/>
          </w:tcPr>
          <w:p w14:paraId="0CDA1151">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评审结论（合格/不合格）</w:t>
            </w:r>
          </w:p>
        </w:tc>
        <w:tc>
          <w:tcPr>
            <w:tcW w:w="7054" w:type="dxa"/>
            <w:gridSpan w:val="2"/>
            <w:vAlign w:val="center"/>
          </w:tcPr>
          <w:p w14:paraId="18B39358">
            <w:pPr>
              <w:jc w:val="both"/>
              <w:rPr>
                <w:rFonts w:hint="eastAsia" w:ascii="宋体" w:hAnsi="宋体" w:eastAsia="宋体" w:cs="宋体"/>
                <w:sz w:val="24"/>
                <w:szCs w:val="24"/>
                <w:highlight w:val="none"/>
              </w:rPr>
            </w:pPr>
          </w:p>
        </w:tc>
      </w:tr>
    </w:tbl>
    <w:p w14:paraId="10F5FA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注：本表中符合评审内容要求的写“√”，不符合评审内容要求的写“×”。结论为“合格”或“不合格。结论不合格的不进入综合评审阶段。</w:t>
      </w:r>
    </w:p>
    <w:p w14:paraId="4E6A65D1">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响应文件</w:t>
      </w:r>
      <w:r>
        <w:rPr>
          <w:rFonts w:hint="eastAsia" w:ascii="宋体" w:hAnsi="宋体" w:eastAsia="宋体" w:cs="宋体"/>
          <w:sz w:val="24"/>
          <w:highlight w:val="none"/>
        </w:rPr>
        <w:t>属下列情况之一的，应当在资格性、符合性检查时按照无效投标处理：</w:t>
      </w:r>
    </w:p>
    <w:p w14:paraId="0701847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（一）未按照规定</w:t>
      </w:r>
      <w:r>
        <w:rPr>
          <w:rFonts w:hint="eastAsia" w:ascii="宋体" w:hAnsi="宋体" w:cs="宋体"/>
          <w:sz w:val="24"/>
          <w:highlight w:val="none"/>
          <w:lang w:eastAsia="zh-CN"/>
        </w:rPr>
        <w:t>提交</w:t>
      </w:r>
      <w:r>
        <w:rPr>
          <w:rFonts w:hint="eastAsia" w:ascii="宋体" w:hAnsi="宋体" w:eastAsia="宋体" w:cs="宋体"/>
          <w:sz w:val="24"/>
          <w:highlight w:val="none"/>
          <w:lang w:eastAsia="zh-CN"/>
        </w:rPr>
        <w:t>磋商</w:t>
      </w:r>
      <w:r>
        <w:rPr>
          <w:rFonts w:hint="eastAsia" w:ascii="宋体" w:hAnsi="宋体" w:eastAsia="宋体" w:cs="宋体"/>
          <w:sz w:val="24"/>
          <w:highlight w:val="none"/>
        </w:rPr>
        <w:t>保证金的；</w:t>
      </w:r>
    </w:p>
    <w:p w14:paraId="78F7F05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（二）未按照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规定要求签署、盖章的；</w:t>
      </w:r>
    </w:p>
    <w:p w14:paraId="7033C5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（三）不具备</w:t>
      </w:r>
      <w:r>
        <w:rPr>
          <w:rFonts w:hint="eastAsia" w:ascii="宋体" w:hAnsi="宋体" w:cs="宋体"/>
          <w:sz w:val="24"/>
          <w:highlight w:val="none"/>
          <w:lang w:eastAsia="zh-CN"/>
        </w:rPr>
        <w:t>竞争性磋商文件</w:t>
      </w:r>
      <w:r>
        <w:rPr>
          <w:rFonts w:hint="eastAsia" w:ascii="宋体" w:hAnsi="宋体" w:eastAsia="宋体" w:cs="宋体"/>
          <w:sz w:val="24"/>
          <w:highlight w:val="none"/>
        </w:rPr>
        <w:t>中规定资格要求的；</w:t>
      </w:r>
    </w:p>
    <w:p w14:paraId="72B7AA39">
      <w:pPr>
        <w:numPr>
          <w:ilvl w:val="0"/>
          <w:numId w:val="4"/>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报价超过</w:t>
      </w:r>
      <w:r>
        <w:rPr>
          <w:rFonts w:hint="eastAsia" w:ascii="宋体" w:hAnsi="宋体" w:cs="宋体"/>
          <w:sz w:val="24"/>
          <w:highlight w:val="none"/>
          <w:lang w:eastAsia="zh-CN"/>
        </w:rPr>
        <w:t>竞争性磋商文件</w:t>
      </w:r>
      <w:r>
        <w:rPr>
          <w:rFonts w:hint="eastAsia" w:ascii="宋体" w:hAnsi="宋体" w:eastAsia="宋体" w:cs="宋体"/>
          <w:sz w:val="24"/>
          <w:highlight w:val="none"/>
        </w:rPr>
        <w:t>中规定的预算金额或者最高限价的；</w:t>
      </w:r>
    </w:p>
    <w:p w14:paraId="54564901">
      <w:pPr>
        <w:numPr>
          <w:ilvl w:val="0"/>
          <w:numId w:val="4"/>
        </w:num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响应文件</w:t>
      </w:r>
      <w:r>
        <w:rPr>
          <w:rFonts w:hint="eastAsia" w:ascii="宋体" w:hAnsi="宋体" w:eastAsia="宋体" w:cs="宋体"/>
          <w:sz w:val="24"/>
          <w:highlight w:val="none"/>
        </w:rPr>
        <w:t>含有采购人不能接受的附加条件的;</w:t>
      </w:r>
    </w:p>
    <w:p w14:paraId="5CA22D12">
      <w:pPr>
        <w:numPr>
          <w:ilvl w:val="0"/>
          <w:numId w:val="4"/>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不符合法律、法规和</w:t>
      </w:r>
      <w:r>
        <w:rPr>
          <w:rFonts w:hint="eastAsia" w:ascii="宋体" w:hAnsi="宋体" w:cs="宋体"/>
          <w:sz w:val="24"/>
          <w:highlight w:val="none"/>
          <w:lang w:eastAsia="zh-CN"/>
        </w:rPr>
        <w:t>竞争性磋商文件</w:t>
      </w:r>
      <w:r>
        <w:rPr>
          <w:rFonts w:hint="eastAsia" w:ascii="宋体" w:hAnsi="宋体" w:eastAsia="宋体" w:cs="宋体"/>
          <w:sz w:val="24"/>
          <w:highlight w:val="none"/>
        </w:rPr>
        <w:t>中规定的其他实质性要求的。</w:t>
      </w:r>
    </w:p>
    <w:p w14:paraId="6327271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审查供应商是否存在串通投标行为：</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发现有下列情形之一的，视为供应商串通投标，其投标无效：</w:t>
      </w:r>
    </w:p>
    <w:p w14:paraId="4E65D0A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（一）不同供应商的</w:t>
      </w:r>
      <w:r>
        <w:rPr>
          <w:rFonts w:hint="eastAsia" w:ascii="宋体" w:hAnsi="宋体" w:cs="宋体"/>
          <w:sz w:val="24"/>
          <w:szCs w:val="24"/>
          <w:highlight w:val="none"/>
          <w:lang w:eastAsia="zh-CN"/>
        </w:rPr>
        <w:t>响应文件</w:t>
      </w:r>
      <w:r>
        <w:rPr>
          <w:rFonts w:hint="eastAsia" w:ascii="宋体" w:hAnsi="宋体" w:eastAsia="宋体" w:cs="宋体"/>
          <w:sz w:val="24"/>
          <w:highlight w:val="none"/>
        </w:rPr>
        <w:t>由同一单位或者个人编制；</w:t>
      </w:r>
    </w:p>
    <w:p w14:paraId="2B0B013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（二）不同供应商委托同一单位或者个人办理</w:t>
      </w:r>
      <w:r>
        <w:rPr>
          <w:rFonts w:hint="eastAsia" w:ascii="宋体" w:hAnsi="宋体" w:eastAsia="宋体" w:cs="宋体"/>
          <w:sz w:val="24"/>
          <w:highlight w:val="none"/>
          <w:lang w:eastAsia="zh-CN"/>
        </w:rPr>
        <w:t>磋商</w:t>
      </w:r>
      <w:r>
        <w:rPr>
          <w:rFonts w:hint="eastAsia" w:ascii="宋体" w:hAnsi="宋体" w:eastAsia="宋体" w:cs="宋体"/>
          <w:sz w:val="24"/>
          <w:highlight w:val="none"/>
        </w:rPr>
        <w:t>事宜；</w:t>
      </w:r>
    </w:p>
    <w:p w14:paraId="7BAE01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（三）不同供应商的</w:t>
      </w:r>
      <w:r>
        <w:rPr>
          <w:rFonts w:hint="eastAsia" w:ascii="宋体" w:hAnsi="宋体" w:cs="宋体"/>
          <w:sz w:val="24"/>
          <w:highlight w:val="none"/>
          <w:lang w:eastAsia="zh-CN"/>
        </w:rPr>
        <w:t>响应文件</w:t>
      </w:r>
      <w:r>
        <w:rPr>
          <w:rFonts w:hint="eastAsia" w:ascii="宋体" w:hAnsi="宋体" w:eastAsia="宋体" w:cs="宋体"/>
          <w:sz w:val="24"/>
          <w:highlight w:val="none"/>
        </w:rPr>
        <w:t>载明的项目管理成员或者联系人员为同一人；</w:t>
      </w:r>
    </w:p>
    <w:p w14:paraId="0445A7B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（四）不同供应商的</w:t>
      </w:r>
      <w:r>
        <w:rPr>
          <w:rFonts w:hint="eastAsia" w:ascii="宋体" w:hAnsi="宋体" w:cs="宋体"/>
          <w:sz w:val="24"/>
          <w:highlight w:val="none"/>
          <w:lang w:eastAsia="zh-CN"/>
        </w:rPr>
        <w:t>响应文件</w:t>
      </w:r>
      <w:r>
        <w:rPr>
          <w:rFonts w:hint="eastAsia" w:ascii="宋体" w:hAnsi="宋体" w:eastAsia="宋体" w:cs="宋体"/>
          <w:sz w:val="24"/>
          <w:highlight w:val="none"/>
        </w:rPr>
        <w:t>异常一致或者报价呈规律性差异；</w:t>
      </w:r>
    </w:p>
    <w:p w14:paraId="1E7DDB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（五）不同供应商的</w:t>
      </w:r>
      <w:r>
        <w:rPr>
          <w:rFonts w:hint="eastAsia" w:ascii="宋体" w:hAnsi="宋体" w:cs="宋体"/>
          <w:sz w:val="24"/>
          <w:highlight w:val="none"/>
          <w:lang w:eastAsia="zh-CN"/>
        </w:rPr>
        <w:t>响应文件</w:t>
      </w:r>
      <w:r>
        <w:rPr>
          <w:rFonts w:hint="eastAsia" w:ascii="宋体" w:hAnsi="宋体" w:eastAsia="宋体" w:cs="宋体"/>
          <w:sz w:val="24"/>
          <w:highlight w:val="none"/>
        </w:rPr>
        <w:t>相互混装；</w:t>
      </w:r>
    </w:p>
    <w:p w14:paraId="750B6D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（六）不同供应商的</w:t>
      </w:r>
      <w:r>
        <w:rPr>
          <w:rFonts w:hint="eastAsia" w:ascii="宋体" w:hAnsi="宋体" w:eastAsia="宋体" w:cs="宋体"/>
          <w:sz w:val="24"/>
          <w:highlight w:val="none"/>
          <w:lang w:eastAsia="zh-CN"/>
        </w:rPr>
        <w:t>磋商</w:t>
      </w:r>
      <w:r>
        <w:rPr>
          <w:rFonts w:hint="eastAsia" w:ascii="宋体" w:hAnsi="宋体" w:eastAsia="宋体" w:cs="宋体"/>
          <w:sz w:val="24"/>
          <w:highlight w:val="none"/>
        </w:rPr>
        <w:t>保证金从同一单位或者个人的账户转出。</w:t>
      </w:r>
    </w:p>
    <w:p w14:paraId="2C12F3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注：经</w:t>
      </w:r>
      <w:r>
        <w:rPr>
          <w:rFonts w:hint="eastAsia" w:ascii="宋体" w:hAnsi="宋体" w:eastAsia="宋体" w:cs="宋体"/>
          <w:bCs/>
          <w:sz w:val="24"/>
          <w:highlight w:val="none"/>
          <w:lang w:eastAsia="zh-CN"/>
        </w:rPr>
        <w:t>磋商小组</w:t>
      </w:r>
      <w:r>
        <w:rPr>
          <w:rFonts w:hint="eastAsia" w:ascii="宋体" w:hAnsi="宋体" w:eastAsia="宋体" w:cs="宋体"/>
          <w:bCs/>
          <w:sz w:val="24"/>
          <w:highlight w:val="none"/>
        </w:rPr>
        <w:t>评审合格</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的家数不足三家，该项目废标，采购人有权委托采购代理机构重新组织采购。</w:t>
      </w:r>
    </w:p>
    <w:p w14:paraId="30FA619F">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1.2澄清有关问题。</w:t>
      </w:r>
      <w:r>
        <w:rPr>
          <w:rFonts w:hint="eastAsia" w:ascii="宋体" w:hAnsi="宋体" w:eastAsia="宋体" w:cs="宋体"/>
          <w:sz w:val="24"/>
          <w:highlight w:val="none"/>
        </w:rPr>
        <w:t>对</w:t>
      </w:r>
      <w:r>
        <w:rPr>
          <w:rFonts w:hint="eastAsia" w:ascii="宋体" w:hAnsi="宋体" w:cs="宋体"/>
          <w:sz w:val="24"/>
          <w:highlight w:val="none"/>
          <w:lang w:eastAsia="zh-CN"/>
        </w:rPr>
        <w:t>响应文件</w:t>
      </w:r>
      <w:r>
        <w:rPr>
          <w:rFonts w:hint="eastAsia" w:ascii="宋体" w:hAnsi="宋体" w:eastAsia="宋体" w:cs="宋体"/>
          <w:sz w:val="24"/>
          <w:highlight w:val="none"/>
        </w:rPr>
        <w:t>中含义不明确、同类问题表述不一致或者有明显文字和计算错误的内容，</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可以书面形式要求供应商做出必要的澄清、说明或者纠正。供应商的澄清、说明或者补正不得超出</w:t>
      </w:r>
      <w:r>
        <w:rPr>
          <w:rFonts w:hint="eastAsia" w:ascii="宋体" w:hAnsi="宋体" w:cs="宋体"/>
          <w:sz w:val="24"/>
          <w:highlight w:val="none"/>
          <w:lang w:eastAsia="zh-CN"/>
        </w:rPr>
        <w:t>响应文件</w:t>
      </w:r>
      <w:r>
        <w:rPr>
          <w:rFonts w:hint="eastAsia" w:ascii="宋体" w:hAnsi="宋体" w:eastAsia="宋体" w:cs="宋体"/>
          <w:sz w:val="24"/>
          <w:highlight w:val="none"/>
        </w:rPr>
        <w:t>的范围或者改变</w:t>
      </w:r>
      <w:r>
        <w:rPr>
          <w:rFonts w:hint="eastAsia" w:ascii="宋体" w:hAnsi="宋体" w:cs="宋体"/>
          <w:sz w:val="24"/>
          <w:highlight w:val="none"/>
          <w:lang w:eastAsia="zh-CN"/>
        </w:rPr>
        <w:t>响应文件</w:t>
      </w:r>
      <w:r>
        <w:rPr>
          <w:rFonts w:hint="eastAsia" w:ascii="宋体" w:hAnsi="宋体" w:eastAsia="宋体" w:cs="宋体"/>
          <w:sz w:val="24"/>
          <w:highlight w:val="none"/>
        </w:rPr>
        <w:t>的实质性内容。</w:t>
      </w:r>
    </w:p>
    <w:p w14:paraId="16058EC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将允许修正</w:t>
      </w:r>
      <w:r>
        <w:rPr>
          <w:rFonts w:hint="eastAsia" w:ascii="宋体" w:hAnsi="宋体" w:cs="宋体"/>
          <w:sz w:val="24"/>
          <w:highlight w:val="none"/>
          <w:lang w:eastAsia="zh-CN"/>
        </w:rPr>
        <w:t>响应文件</w:t>
      </w:r>
      <w:r>
        <w:rPr>
          <w:rFonts w:hint="eastAsia" w:ascii="宋体" w:hAnsi="宋体" w:eastAsia="宋体" w:cs="宋体"/>
          <w:sz w:val="24"/>
          <w:highlight w:val="none"/>
        </w:rPr>
        <w:t>中不构成重大偏离的细微偏离，但这些修正应不会对实质上响应</w:t>
      </w:r>
      <w:r>
        <w:rPr>
          <w:rFonts w:hint="eastAsia" w:ascii="宋体" w:hAnsi="宋体" w:cs="宋体"/>
          <w:sz w:val="24"/>
          <w:highlight w:val="none"/>
          <w:lang w:eastAsia="zh-CN"/>
        </w:rPr>
        <w:t>竞争性磋商文件</w:t>
      </w:r>
      <w:r>
        <w:rPr>
          <w:rFonts w:hint="eastAsia" w:ascii="宋体" w:hAnsi="宋体" w:eastAsia="宋体" w:cs="宋体"/>
          <w:sz w:val="24"/>
          <w:highlight w:val="none"/>
        </w:rPr>
        <w:t>要求的供应商的竞争地位（相互排序）产生不公正的影响。</w:t>
      </w:r>
    </w:p>
    <w:p w14:paraId="447CE96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w:t>
      </w:r>
      <w:r>
        <w:rPr>
          <w:rFonts w:hint="eastAsia" w:ascii="宋体" w:hAnsi="宋体" w:cs="宋体"/>
          <w:sz w:val="24"/>
          <w:highlight w:val="none"/>
          <w:lang w:eastAsia="zh-CN"/>
        </w:rPr>
        <w:t>响应文件</w:t>
      </w:r>
      <w:r>
        <w:rPr>
          <w:rFonts w:hint="eastAsia" w:ascii="宋体" w:hAnsi="宋体" w:eastAsia="宋体" w:cs="宋体"/>
          <w:sz w:val="24"/>
          <w:highlight w:val="none"/>
        </w:rPr>
        <w:t>报价出现前后不一致的，除</w:t>
      </w:r>
      <w:r>
        <w:rPr>
          <w:rFonts w:hint="eastAsia" w:ascii="宋体" w:hAnsi="宋体" w:cs="宋体"/>
          <w:sz w:val="24"/>
          <w:highlight w:val="none"/>
          <w:lang w:eastAsia="zh-CN"/>
        </w:rPr>
        <w:t>竞争性磋商文件</w:t>
      </w:r>
      <w:r>
        <w:rPr>
          <w:rFonts w:hint="eastAsia" w:ascii="宋体" w:hAnsi="宋体" w:eastAsia="宋体" w:cs="宋体"/>
          <w:sz w:val="24"/>
          <w:highlight w:val="none"/>
        </w:rPr>
        <w:t>另有规定外，按照下列规定修正：</w:t>
      </w:r>
    </w:p>
    <w:p w14:paraId="78363A32">
      <w:pPr>
        <w:numPr>
          <w:ilvl w:val="0"/>
          <w:numId w:val="5"/>
        </w:num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响应文件</w:t>
      </w:r>
      <w:r>
        <w:rPr>
          <w:rFonts w:hint="eastAsia" w:ascii="宋体" w:hAnsi="宋体" w:eastAsia="宋体" w:cs="宋体"/>
          <w:sz w:val="24"/>
          <w:highlight w:val="none"/>
        </w:rPr>
        <w:t>中</w:t>
      </w:r>
      <w:r>
        <w:rPr>
          <w:rFonts w:hint="eastAsia" w:ascii="宋体" w:hAnsi="宋体" w:eastAsia="宋体" w:cs="宋体"/>
          <w:sz w:val="24"/>
          <w:highlight w:val="none"/>
          <w:lang w:eastAsia="zh-CN"/>
        </w:rPr>
        <w:t>磋商</w:t>
      </w:r>
      <w:r>
        <w:rPr>
          <w:rFonts w:hint="eastAsia" w:ascii="宋体" w:hAnsi="宋体" w:eastAsia="宋体" w:cs="宋体"/>
          <w:sz w:val="24"/>
          <w:highlight w:val="none"/>
        </w:rPr>
        <w:t>（报价表）内容与</w:t>
      </w:r>
      <w:r>
        <w:rPr>
          <w:rFonts w:hint="eastAsia" w:ascii="宋体" w:hAnsi="宋体" w:cs="宋体"/>
          <w:sz w:val="24"/>
          <w:szCs w:val="24"/>
          <w:highlight w:val="none"/>
          <w:lang w:eastAsia="zh-CN"/>
        </w:rPr>
        <w:t>响应文件</w:t>
      </w:r>
      <w:r>
        <w:rPr>
          <w:rFonts w:hint="eastAsia" w:ascii="宋体" w:hAnsi="宋体" w:eastAsia="宋体" w:cs="宋体"/>
          <w:sz w:val="24"/>
          <w:highlight w:val="none"/>
        </w:rPr>
        <w:t>中相应内容不一致的，以报价一览表（报价表）为准；</w:t>
      </w:r>
    </w:p>
    <w:p w14:paraId="30175C54">
      <w:pPr>
        <w:numPr>
          <w:ilvl w:val="0"/>
          <w:numId w:val="5"/>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74384A52">
      <w:pPr>
        <w:numPr>
          <w:ilvl w:val="0"/>
          <w:numId w:val="5"/>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单价金额小数点或者百分比有明显错位的，以报价一览表的总价为准，并修改单价；</w:t>
      </w:r>
    </w:p>
    <w:p w14:paraId="05BCB649">
      <w:pPr>
        <w:numPr>
          <w:ilvl w:val="0"/>
          <w:numId w:val="0"/>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（四）总价金额与按单价汇总金额不一致的，以单价金额计算结果为准。</w:t>
      </w:r>
    </w:p>
    <w:p w14:paraId="74CA66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同时出现两种以上不一致的，按照规定的顺序修正。修正后的报价经供应商确认后产生约束力，供应商不确认的，其投标无效。</w:t>
      </w:r>
    </w:p>
    <w:p w14:paraId="3BD6F66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应当将其作为无效投标处理。</w:t>
      </w:r>
    </w:p>
    <w:p w14:paraId="37A70701">
      <w:pPr>
        <w:pStyle w:val="23"/>
        <w:spacing w:beforeAutospacing="0" w:afterAutospacing="0" w:line="360" w:lineRule="auto"/>
        <w:ind w:firstLine="482" w:firstLineChars="200"/>
        <w:jc w:val="both"/>
        <w:rPr>
          <w:rFonts w:hint="eastAsia" w:ascii="宋体" w:hAnsi="宋体" w:eastAsia="宋体" w:cs="宋体"/>
          <w:b/>
          <w:bCs/>
          <w:kern w:val="2"/>
          <w:highlight w:val="none"/>
        </w:rPr>
      </w:pPr>
      <w:r>
        <w:rPr>
          <w:rFonts w:hint="eastAsia" w:ascii="宋体" w:hAnsi="宋体" w:eastAsia="宋体" w:cs="宋体"/>
          <w:b/>
          <w:bCs/>
          <w:kern w:val="2"/>
          <w:highlight w:val="none"/>
        </w:rPr>
        <w:t>1.3</w:t>
      </w:r>
      <w:r>
        <w:rPr>
          <w:rFonts w:hint="eastAsia" w:ascii="宋体" w:hAnsi="宋体" w:eastAsia="宋体" w:cs="宋体"/>
          <w:b/>
          <w:bCs/>
          <w:kern w:val="2"/>
          <w:highlight w:val="none"/>
          <w:lang w:eastAsia="zh-CN"/>
        </w:rPr>
        <w:t>磋商小组</w:t>
      </w:r>
      <w:r>
        <w:rPr>
          <w:rFonts w:hint="eastAsia" w:ascii="宋体" w:hAnsi="宋体" w:eastAsia="宋体" w:cs="宋体"/>
          <w:b/>
          <w:bCs/>
          <w:kern w:val="2"/>
          <w:highlight w:val="none"/>
        </w:rPr>
        <w:t>应当按照</w:t>
      </w:r>
      <w:r>
        <w:rPr>
          <w:rFonts w:hint="eastAsia" w:cs="宋体"/>
          <w:b/>
          <w:bCs/>
          <w:kern w:val="2"/>
          <w:highlight w:val="none"/>
          <w:lang w:eastAsia="zh-CN"/>
        </w:rPr>
        <w:t>竞争性磋商文件</w:t>
      </w:r>
      <w:r>
        <w:rPr>
          <w:rFonts w:hint="eastAsia" w:ascii="宋体" w:hAnsi="宋体" w:eastAsia="宋体" w:cs="宋体"/>
          <w:b/>
          <w:bCs/>
          <w:kern w:val="2"/>
          <w:highlight w:val="none"/>
        </w:rPr>
        <w:t>中规定的评标方法和标准，对符合性审查合格的</w:t>
      </w:r>
      <w:r>
        <w:rPr>
          <w:rFonts w:hint="eastAsia" w:cs="宋体"/>
          <w:b/>
          <w:bCs/>
          <w:kern w:val="2"/>
          <w:highlight w:val="none"/>
          <w:lang w:eastAsia="zh-CN"/>
        </w:rPr>
        <w:t>响应文件</w:t>
      </w:r>
      <w:r>
        <w:rPr>
          <w:rFonts w:hint="eastAsia" w:ascii="宋体" w:hAnsi="宋体" w:eastAsia="宋体" w:cs="宋体"/>
          <w:b/>
          <w:bCs/>
          <w:kern w:val="2"/>
          <w:highlight w:val="none"/>
        </w:rPr>
        <w:t>进行商务和技术评估，综合比较与评价。</w:t>
      </w:r>
    </w:p>
    <w:p w14:paraId="6BE414C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本项目采用综合评分法评标，</w:t>
      </w:r>
      <w:r>
        <w:rPr>
          <w:rFonts w:hint="eastAsia" w:ascii="宋体" w:hAnsi="宋体" w:eastAsia="宋体" w:cs="宋体"/>
          <w:sz w:val="24"/>
          <w:highlight w:val="none"/>
          <w:lang w:eastAsia="zh-CN"/>
        </w:rPr>
        <w:t>磋商小组</w:t>
      </w:r>
      <w:r>
        <w:rPr>
          <w:rFonts w:hint="eastAsia" w:ascii="宋体" w:hAnsi="宋体" w:eastAsia="宋体" w:cs="宋体"/>
          <w:sz w:val="24"/>
          <w:highlight w:val="none"/>
        </w:rPr>
        <w:t>将按下述标准评定成交供应商：独立对每个供应商的</w:t>
      </w: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文件进行评价，并汇总每个供应商的得分。按评审后得分由高到低顺序排列。得分相同的，按</w:t>
      </w:r>
      <w:r>
        <w:rPr>
          <w:rFonts w:hint="eastAsia" w:ascii="宋体" w:hAnsi="宋体" w:eastAsia="宋体" w:cs="宋体"/>
          <w:sz w:val="24"/>
          <w:highlight w:val="none"/>
          <w:lang w:eastAsia="zh-CN"/>
        </w:rPr>
        <w:t>磋商</w:t>
      </w:r>
      <w:r>
        <w:rPr>
          <w:rFonts w:hint="eastAsia" w:ascii="宋体" w:hAnsi="宋体" w:eastAsia="宋体" w:cs="宋体"/>
          <w:sz w:val="24"/>
          <w:highlight w:val="none"/>
        </w:rPr>
        <w:t>报价由低到高顺序排列。得分且</w:t>
      </w:r>
      <w:r>
        <w:rPr>
          <w:rFonts w:hint="eastAsia" w:ascii="宋体" w:hAnsi="宋体" w:eastAsia="宋体" w:cs="宋体"/>
          <w:sz w:val="24"/>
          <w:highlight w:val="none"/>
          <w:lang w:eastAsia="zh-CN"/>
        </w:rPr>
        <w:t>磋商</w:t>
      </w:r>
      <w:r>
        <w:rPr>
          <w:rFonts w:hint="eastAsia" w:ascii="宋体" w:hAnsi="宋体" w:eastAsia="宋体" w:cs="宋体"/>
          <w:sz w:val="24"/>
          <w:highlight w:val="none"/>
        </w:rPr>
        <w:t>报价相同的并列。</w:t>
      </w: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文件满足</w:t>
      </w:r>
      <w:r>
        <w:rPr>
          <w:rFonts w:hint="eastAsia" w:ascii="宋体" w:hAnsi="宋体" w:cs="宋体"/>
          <w:sz w:val="24"/>
          <w:highlight w:val="none"/>
          <w:lang w:eastAsia="zh-CN"/>
        </w:rPr>
        <w:t>竞争性磋商文件</w:t>
      </w:r>
      <w:r>
        <w:rPr>
          <w:rFonts w:hint="eastAsia" w:ascii="宋体" w:hAnsi="宋体" w:eastAsia="宋体" w:cs="宋体"/>
          <w:sz w:val="24"/>
          <w:highlight w:val="none"/>
        </w:rPr>
        <w:t>全部实质性要求，且按照评审因素的量化指标评审得分最高的供应商为排名第一的</w:t>
      </w:r>
      <w:r>
        <w:rPr>
          <w:rFonts w:hint="eastAsia" w:ascii="宋体" w:hAnsi="宋体" w:eastAsia="宋体" w:cs="宋体"/>
          <w:sz w:val="24"/>
          <w:highlight w:val="none"/>
          <w:lang w:eastAsia="zh-CN"/>
        </w:rPr>
        <w:t>为成交供应商</w:t>
      </w:r>
      <w:r>
        <w:rPr>
          <w:rFonts w:hint="eastAsia" w:ascii="宋体" w:hAnsi="宋体" w:eastAsia="宋体" w:cs="宋体"/>
          <w:sz w:val="24"/>
          <w:highlight w:val="none"/>
        </w:rPr>
        <w:t>。</w:t>
      </w:r>
    </w:p>
    <w:p w14:paraId="57ECBF1F">
      <w:pPr>
        <w:rPr>
          <w:rFonts w:hint="eastAsia" w:ascii="宋体" w:hAnsi="宋体" w:eastAsia="宋体" w:cs="宋体"/>
          <w:sz w:val="24"/>
          <w:highlight w:val="none"/>
        </w:rPr>
      </w:pPr>
      <w:r>
        <w:rPr>
          <w:rFonts w:hint="eastAsia" w:ascii="宋体" w:hAnsi="宋体" w:eastAsia="宋体" w:cs="宋体"/>
          <w:sz w:val="24"/>
          <w:highlight w:val="none"/>
        </w:rPr>
        <w:br w:type="page"/>
      </w:r>
    </w:p>
    <w:p w14:paraId="153E44C3">
      <w:pPr>
        <w:spacing w:line="360" w:lineRule="auto"/>
        <w:ind w:firstLine="482" w:firstLineChars="200"/>
        <w:rPr>
          <w:rFonts w:hint="eastAsia"/>
          <w:highlight w:val="none"/>
        </w:rPr>
      </w:pPr>
      <w:r>
        <w:rPr>
          <w:rFonts w:hint="eastAsia" w:ascii="宋体" w:hAnsi="宋体" w:eastAsia="宋体" w:cs="宋体"/>
          <w:b/>
          <w:bCs/>
          <w:sz w:val="24"/>
          <w:highlight w:val="none"/>
        </w:rPr>
        <w:t>1.3.1.1评标办法前附表（</w:t>
      </w: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w:t>
      </w:r>
    </w:p>
    <w:p w14:paraId="5E54AB6C">
      <w:pPr>
        <w:spacing w:line="360" w:lineRule="auto"/>
        <w:ind w:firstLine="482" w:firstLineChars="200"/>
        <w:rPr>
          <w:rFonts w:hint="eastAsia" w:ascii="宋体" w:hAnsi="宋体" w:cs="宋体"/>
          <w:b/>
          <w:bCs/>
          <w:sz w:val="24"/>
          <w:highlight w:val="none"/>
          <w:lang w:eastAsia="zh-CN"/>
        </w:rPr>
      </w:pPr>
      <w:r>
        <w:rPr>
          <w:rFonts w:hint="eastAsia" w:ascii="宋体" w:hAnsi="宋体" w:eastAsia="宋体" w:cs="宋体"/>
          <w:b/>
          <w:bCs/>
          <w:sz w:val="24"/>
          <w:highlight w:val="none"/>
        </w:rPr>
        <w:t>综合评分法评分方法（计算结果精确到小数点后两位）</w:t>
      </w:r>
    </w:p>
    <w:tbl>
      <w:tblPr>
        <w:tblStyle w:val="26"/>
        <w:tblW w:w="8715" w:type="dxa"/>
        <w:tblInd w:w="91" w:type="dxa"/>
        <w:tblLayout w:type="autofit"/>
        <w:tblCellMar>
          <w:top w:w="0" w:type="dxa"/>
          <w:left w:w="108" w:type="dxa"/>
          <w:bottom w:w="0" w:type="dxa"/>
          <w:right w:w="108" w:type="dxa"/>
        </w:tblCellMar>
      </w:tblPr>
      <w:tblGrid>
        <w:gridCol w:w="809"/>
        <w:gridCol w:w="1530"/>
        <w:gridCol w:w="5568"/>
        <w:gridCol w:w="808"/>
      </w:tblGrid>
      <w:tr w14:paraId="30541F33">
        <w:tblPrEx>
          <w:tblCellMar>
            <w:top w:w="0" w:type="dxa"/>
            <w:left w:w="108" w:type="dxa"/>
            <w:bottom w:w="0" w:type="dxa"/>
            <w:right w:w="108" w:type="dxa"/>
          </w:tblCellMar>
        </w:tblPrEx>
        <w:trPr>
          <w:trHeight w:val="23" w:hRule="atLeast"/>
        </w:trPr>
        <w:tc>
          <w:tcPr>
            <w:tcW w:w="809" w:type="dxa"/>
            <w:tcBorders>
              <w:top w:val="single" w:color="000000" w:sz="4" w:space="0"/>
              <w:left w:val="single" w:color="000000" w:sz="4" w:space="0"/>
              <w:bottom w:val="single" w:color="000000" w:sz="4" w:space="0"/>
              <w:right w:val="single" w:color="000000" w:sz="4" w:space="0"/>
            </w:tcBorders>
            <w:vAlign w:val="center"/>
          </w:tcPr>
          <w:p w14:paraId="6B84BCA3">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1530" w:type="dxa"/>
            <w:tcBorders>
              <w:top w:val="single" w:color="000000" w:sz="4" w:space="0"/>
              <w:left w:val="single" w:color="000000" w:sz="4" w:space="0"/>
              <w:bottom w:val="single" w:color="000000" w:sz="4" w:space="0"/>
              <w:right w:val="single" w:color="000000" w:sz="4" w:space="0"/>
            </w:tcBorders>
            <w:vAlign w:val="center"/>
          </w:tcPr>
          <w:p w14:paraId="0EC37FFE">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评审因素</w:t>
            </w:r>
          </w:p>
        </w:tc>
        <w:tc>
          <w:tcPr>
            <w:tcW w:w="5568" w:type="dxa"/>
            <w:tcBorders>
              <w:top w:val="single" w:color="000000" w:sz="4" w:space="0"/>
              <w:left w:val="single" w:color="000000" w:sz="4" w:space="0"/>
              <w:bottom w:val="single" w:color="000000" w:sz="4" w:space="0"/>
              <w:right w:val="single" w:color="000000" w:sz="4" w:space="0"/>
            </w:tcBorders>
            <w:vAlign w:val="center"/>
          </w:tcPr>
          <w:p w14:paraId="712A0AB6">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评分标准</w:t>
            </w:r>
          </w:p>
        </w:tc>
        <w:tc>
          <w:tcPr>
            <w:tcW w:w="808" w:type="dxa"/>
            <w:tcBorders>
              <w:top w:val="single" w:color="000000" w:sz="4" w:space="0"/>
              <w:left w:val="single" w:color="000000" w:sz="4" w:space="0"/>
              <w:bottom w:val="single" w:color="000000" w:sz="4" w:space="0"/>
              <w:right w:val="single" w:color="000000" w:sz="4" w:space="0"/>
            </w:tcBorders>
            <w:vAlign w:val="center"/>
          </w:tcPr>
          <w:p w14:paraId="768FB2EE">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分值</w:t>
            </w:r>
          </w:p>
        </w:tc>
      </w:tr>
      <w:tr w14:paraId="5DE662B5">
        <w:tblPrEx>
          <w:tblCellMar>
            <w:top w:w="0" w:type="dxa"/>
            <w:left w:w="108" w:type="dxa"/>
            <w:bottom w:w="0" w:type="dxa"/>
            <w:right w:w="108" w:type="dxa"/>
          </w:tblCellMar>
        </w:tblPrEx>
        <w:trPr>
          <w:trHeight w:val="23" w:hRule="atLeast"/>
        </w:trPr>
        <w:tc>
          <w:tcPr>
            <w:tcW w:w="8715" w:type="dxa"/>
            <w:gridSpan w:val="4"/>
            <w:tcBorders>
              <w:top w:val="single" w:color="000000" w:sz="4" w:space="0"/>
              <w:left w:val="single" w:color="000000" w:sz="4" w:space="0"/>
              <w:bottom w:val="single" w:color="000000" w:sz="4" w:space="0"/>
              <w:right w:val="single" w:color="000000" w:sz="4" w:space="0"/>
            </w:tcBorders>
            <w:vAlign w:val="center"/>
          </w:tcPr>
          <w:p w14:paraId="77DF8ACB">
            <w:pPr>
              <w:widowControl/>
              <w:spacing w:line="360" w:lineRule="auto"/>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（一）价格评分（10分）</w:t>
            </w:r>
          </w:p>
        </w:tc>
      </w:tr>
      <w:tr w14:paraId="0453E513">
        <w:tblPrEx>
          <w:tblCellMar>
            <w:top w:w="0" w:type="dxa"/>
            <w:left w:w="108" w:type="dxa"/>
            <w:bottom w:w="0" w:type="dxa"/>
            <w:right w:w="108" w:type="dxa"/>
          </w:tblCellMar>
        </w:tblPrEx>
        <w:trPr>
          <w:trHeight w:val="23" w:hRule="atLeast"/>
        </w:trPr>
        <w:tc>
          <w:tcPr>
            <w:tcW w:w="809" w:type="dxa"/>
            <w:tcBorders>
              <w:top w:val="single" w:color="000000" w:sz="4" w:space="0"/>
              <w:left w:val="single" w:color="000000" w:sz="4" w:space="0"/>
              <w:bottom w:val="single" w:color="000000" w:sz="4" w:space="0"/>
              <w:right w:val="single" w:color="000000" w:sz="4" w:space="0"/>
            </w:tcBorders>
            <w:vAlign w:val="center"/>
          </w:tcPr>
          <w:p w14:paraId="4C812807">
            <w:pPr>
              <w:widowControl/>
              <w:numPr>
                <w:ilvl w:val="0"/>
                <w:numId w:val="0"/>
              </w:numPr>
              <w:spacing w:line="240" w:lineRule="auto"/>
              <w:ind w:leftChars="0"/>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530" w:type="dxa"/>
            <w:tcBorders>
              <w:top w:val="single" w:color="000000" w:sz="4" w:space="0"/>
              <w:left w:val="single" w:color="000000" w:sz="4" w:space="0"/>
              <w:bottom w:val="single" w:color="000000" w:sz="4" w:space="0"/>
              <w:right w:val="single" w:color="000000" w:sz="4" w:space="0"/>
            </w:tcBorders>
            <w:vAlign w:val="center"/>
          </w:tcPr>
          <w:p w14:paraId="2AF3707A">
            <w:pPr>
              <w:widowControl/>
              <w:numPr>
                <w:ilvl w:val="0"/>
                <w:numId w:val="0"/>
              </w:numPr>
              <w:spacing w:line="240" w:lineRule="auto"/>
              <w:ind w:leftChars="0"/>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价格评分</w:t>
            </w:r>
          </w:p>
        </w:tc>
        <w:tc>
          <w:tcPr>
            <w:tcW w:w="5568" w:type="dxa"/>
            <w:tcBorders>
              <w:top w:val="single" w:color="000000" w:sz="4" w:space="0"/>
              <w:left w:val="single" w:color="000000" w:sz="4" w:space="0"/>
              <w:bottom w:val="single" w:color="000000" w:sz="4" w:space="0"/>
              <w:right w:val="single" w:color="000000" w:sz="4" w:space="0"/>
            </w:tcBorders>
            <w:vAlign w:val="center"/>
          </w:tcPr>
          <w:p w14:paraId="2CF2330D">
            <w:pPr>
              <w:widowControl/>
              <w:numPr>
                <w:ilvl w:val="0"/>
                <w:numId w:val="0"/>
              </w:numPr>
              <w:spacing w:line="240" w:lineRule="auto"/>
              <w:ind w:leftChars="0"/>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满足竞争性磋商文件要求且供应商</w:t>
            </w:r>
            <w:r>
              <w:rPr>
                <w:rFonts w:hint="eastAsia" w:ascii="宋体" w:hAnsi="宋体" w:cs="宋体"/>
                <w:color w:val="000000"/>
                <w:kern w:val="0"/>
                <w:szCs w:val="21"/>
                <w:highlight w:val="none"/>
                <w:lang w:val="en-US" w:eastAsia="zh-CN" w:bidi="ar"/>
              </w:rPr>
              <w:t>最终</w:t>
            </w:r>
            <w:r>
              <w:rPr>
                <w:rFonts w:hint="eastAsia" w:ascii="宋体" w:hAnsi="宋体" w:cs="宋体"/>
                <w:color w:val="000000"/>
                <w:kern w:val="0"/>
                <w:szCs w:val="21"/>
                <w:highlight w:val="none"/>
                <w:lang w:bidi="ar"/>
              </w:rPr>
              <w:t>磋商报价最低的为评标基准价，其价格分为满分。其他供应商的价格分统一按照下列公式计算：</w:t>
            </w:r>
          </w:p>
          <w:p w14:paraId="26BB6383">
            <w:pPr>
              <w:widowControl/>
              <w:numPr>
                <w:ilvl w:val="0"/>
                <w:numId w:val="0"/>
              </w:numPr>
              <w:spacing w:line="240" w:lineRule="auto"/>
              <w:ind w:leftChars="0"/>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磋商报价得分=（评标基准价/磋商报价）×价格权值</w:t>
            </w:r>
            <w:r>
              <w:rPr>
                <w:rFonts w:hint="eastAsia" w:ascii="宋体" w:hAnsi="宋体" w:cs="宋体"/>
                <w:color w:val="auto"/>
                <w:kern w:val="0"/>
                <w:szCs w:val="21"/>
                <w:highlight w:val="none"/>
                <w:lang w:bidi="ar"/>
              </w:rPr>
              <w:t>×100</w:t>
            </w:r>
          </w:p>
          <w:p w14:paraId="197C3E87">
            <w:pPr>
              <w:widowControl/>
              <w:numPr>
                <w:ilvl w:val="0"/>
                <w:numId w:val="0"/>
              </w:numPr>
              <w:spacing w:line="240" w:lineRule="auto"/>
              <w:ind w:leftChars="0"/>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保留小数点后两位，第三位四舍五入</w:t>
            </w:r>
          </w:p>
        </w:tc>
        <w:tc>
          <w:tcPr>
            <w:tcW w:w="808" w:type="dxa"/>
            <w:tcBorders>
              <w:top w:val="single" w:color="000000" w:sz="4" w:space="0"/>
              <w:left w:val="single" w:color="000000" w:sz="4" w:space="0"/>
              <w:bottom w:val="single" w:color="000000" w:sz="4" w:space="0"/>
              <w:right w:val="single" w:color="000000" w:sz="4" w:space="0"/>
            </w:tcBorders>
            <w:vAlign w:val="center"/>
          </w:tcPr>
          <w:p w14:paraId="1C0C0124">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10</w:t>
            </w:r>
          </w:p>
        </w:tc>
      </w:tr>
      <w:tr w14:paraId="2BA625E5">
        <w:tblPrEx>
          <w:tblCellMar>
            <w:top w:w="0" w:type="dxa"/>
            <w:left w:w="108" w:type="dxa"/>
            <w:bottom w:w="0" w:type="dxa"/>
            <w:right w:w="108" w:type="dxa"/>
          </w:tblCellMar>
        </w:tblPrEx>
        <w:trPr>
          <w:trHeight w:val="90" w:hRule="atLeast"/>
        </w:trPr>
        <w:tc>
          <w:tcPr>
            <w:tcW w:w="8715" w:type="dxa"/>
            <w:gridSpan w:val="4"/>
            <w:tcBorders>
              <w:top w:val="single" w:color="000000" w:sz="4" w:space="0"/>
              <w:left w:val="single" w:color="000000" w:sz="4" w:space="0"/>
              <w:bottom w:val="single" w:color="000000" w:sz="4" w:space="0"/>
              <w:right w:val="single" w:color="000000" w:sz="4" w:space="0"/>
            </w:tcBorders>
            <w:vAlign w:val="center"/>
          </w:tcPr>
          <w:p w14:paraId="4688672C">
            <w:pPr>
              <w:widowControl/>
              <w:numPr>
                <w:ilvl w:val="0"/>
                <w:numId w:val="0"/>
              </w:numPr>
              <w:spacing w:line="240" w:lineRule="auto"/>
              <w:ind w:leftChars="0"/>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（二）技术评分（</w:t>
            </w:r>
            <w:r>
              <w:rPr>
                <w:rFonts w:hint="eastAsia" w:ascii="宋体" w:hAnsi="宋体" w:cs="宋体"/>
                <w:b/>
                <w:bCs/>
                <w:color w:val="000000"/>
                <w:kern w:val="0"/>
                <w:szCs w:val="21"/>
                <w:highlight w:val="none"/>
                <w:lang w:val="en-US" w:eastAsia="zh-CN" w:bidi="ar"/>
              </w:rPr>
              <w:t>70</w:t>
            </w:r>
            <w:r>
              <w:rPr>
                <w:rFonts w:hint="eastAsia" w:ascii="宋体" w:hAnsi="宋体" w:cs="宋体"/>
                <w:b/>
                <w:bCs/>
                <w:color w:val="000000"/>
                <w:kern w:val="0"/>
                <w:szCs w:val="21"/>
                <w:highlight w:val="none"/>
                <w:lang w:bidi="ar"/>
              </w:rPr>
              <w:t>分）</w:t>
            </w:r>
          </w:p>
        </w:tc>
      </w:tr>
      <w:tr w14:paraId="3234DD9E">
        <w:tblPrEx>
          <w:tblCellMar>
            <w:top w:w="0" w:type="dxa"/>
            <w:left w:w="108" w:type="dxa"/>
            <w:bottom w:w="0" w:type="dxa"/>
            <w:right w:w="108" w:type="dxa"/>
          </w:tblCellMar>
        </w:tblPrEx>
        <w:trPr>
          <w:trHeight w:val="23" w:hRule="atLeast"/>
        </w:trPr>
        <w:tc>
          <w:tcPr>
            <w:tcW w:w="809" w:type="dxa"/>
            <w:tcBorders>
              <w:top w:val="single" w:color="000000" w:sz="4" w:space="0"/>
              <w:left w:val="single" w:color="000000" w:sz="4" w:space="0"/>
              <w:bottom w:val="single" w:color="000000" w:sz="4" w:space="0"/>
              <w:right w:val="single" w:color="000000" w:sz="4" w:space="0"/>
            </w:tcBorders>
            <w:vAlign w:val="center"/>
          </w:tcPr>
          <w:p w14:paraId="63FC0FA9">
            <w:pPr>
              <w:widowControl/>
              <w:numPr>
                <w:ilvl w:val="0"/>
                <w:numId w:val="0"/>
              </w:numPr>
              <w:spacing w:line="240" w:lineRule="auto"/>
              <w:ind w:leftChars="0"/>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p>
        </w:tc>
        <w:tc>
          <w:tcPr>
            <w:tcW w:w="1530" w:type="dxa"/>
            <w:tcBorders>
              <w:top w:val="single" w:color="000000" w:sz="4" w:space="0"/>
              <w:left w:val="single" w:color="000000" w:sz="4" w:space="0"/>
              <w:bottom w:val="single" w:color="000000" w:sz="4" w:space="0"/>
              <w:right w:val="single" w:color="000000" w:sz="4" w:space="0"/>
            </w:tcBorders>
            <w:vAlign w:val="center"/>
          </w:tcPr>
          <w:p w14:paraId="51AF3B04">
            <w:pPr>
              <w:widowControl/>
              <w:numPr>
                <w:ilvl w:val="0"/>
                <w:numId w:val="0"/>
              </w:numPr>
              <w:spacing w:line="240" w:lineRule="auto"/>
              <w:ind w:leftChars="0"/>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食堂管理制度</w:t>
            </w:r>
          </w:p>
        </w:tc>
        <w:tc>
          <w:tcPr>
            <w:tcW w:w="5568" w:type="dxa"/>
            <w:tcBorders>
              <w:top w:val="single" w:color="000000" w:sz="4" w:space="0"/>
              <w:left w:val="single" w:color="000000" w:sz="4" w:space="0"/>
              <w:bottom w:val="single" w:color="000000" w:sz="4" w:space="0"/>
              <w:right w:val="single" w:color="000000" w:sz="4" w:space="0"/>
            </w:tcBorders>
            <w:vAlign w:val="center"/>
          </w:tcPr>
          <w:p w14:paraId="5333D0AC">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供应商根据本项目所提出的食堂管理制度方案。</w:t>
            </w:r>
            <w:r>
              <w:rPr>
                <w:highlight w:val="none"/>
              </w:rPr>
              <w:t>管理制度(包括但不限于团队人员配置、员工工作管理制度、</w:t>
            </w:r>
            <w:r>
              <w:rPr>
                <w:rFonts w:hint="eastAsia"/>
                <w:highlight w:val="none"/>
              </w:rPr>
              <w:t>从业人员健康管理制度</w:t>
            </w:r>
            <w:r>
              <w:rPr>
                <w:rFonts w:hint="eastAsia"/>
                <w:highlight w:val="none"/>
                <w:lang w:eastAsia="zh-CN"/>
              </w:rPr>
              <w:t>、</w:t>
            </w:r>
            <w:r>
              <w:rPr>
                <w:highlight w:val="none"/>
              </w:rPr>
              <w:t>奖惩制度</w:t>
            </w:r>
            <w:r>
              <w:rPr>
                <w:rFonts w:hint="eastAsia"/>
                <w:highlight w:val="none"/>
                <w:lang w:eastAsia="zh-CN"/>
              </w:rPr>
              <w:t>）</w:t>
            </w:r>
            <w:r>
              <w:rPr>
                <w:highlight w:val="none"/>
              </w:rPr>
              <w:t>每个要点均有展开详细的阐述且能够适用于本项目</w:t>
            </w:r>
            <w:r>
              <w:rPr>
                <w:rFonts w:hint="eastAsia"/>
                <w:highlight w:val="none"/>
                <w:lang w:eastAsia="zh-CN"/>
              </w:rPr>
              <w:t>。</w:t>
            </w:r>
            <w:r>
              <w:rPr>
                <w:highlight w:val="none"/>
              </w:rPr>
              <w:t>进行评分：</w:t>
            </w:r>
          </w:p>
          <w:p w14:paraId="26605C7E">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内容全面、合理，管理制度健全，得10分；</w:t>
            </w:r>
          </w:p>
          <w:p w14:paraId="42B5648A">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内容比较全面、比较合理，管理制度比较健全，得7分；</w:t>
            </w:r>
          </w:p>
          <w:p w14:paraId="063A8252">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内容不够全面、不够合理，管理制度不够健全，得4分；</w:t>
            </w:r>
          </w:p>
          <w:p w14:paraId="33E4585C">
            <w:pPr>
              <w:widowControl/>
              <w:numPr>
                <w:ilvl w:val="0"/>
                <w:numId w:val="0"/>
              </w:numPr>
              <w:spacing w:line="240" w:lineRule="auto"/>
              <w:ind w:leftChars="0"/>
              <w:jc w:val="left"/>
              <w:textAlignment w:val="center"/>
              <w:rPr>
                <w:rFonts w:ascii="宋体" w:hAnsi="宋体" w:cs="宋体"/>
                <w:color w:val="000000"/>
                <w:szCs w:val="21"/>
                <w:highlight w:val="none"/>
              </w:rPr>
            </w:pPr>
            <w:r>
              <w:rPr>
                <w:rFonts w:hint="eastAsia" w:ascii="宋体" w:hAnsi="宋体" w:eastAsia="宋体" w:cs="宋体"/>
                <w:color w:val="000000"/>
                <w:szCs w:val="21"/>
                <w:highlight w:val="none"/>
                <w:lang w:val="en-US" w:eastAsia="zh-CN"/>
              </w:rPr>
              <w:t>严重缺项或无此项内容的，得0分。</w:t>
            </w:r>
          </w:p>
        </w:tc>
        <w:tc>
          <w:tcPr>
            <w:tcW w:w="808" w:type="dxa"/>
            <w:tcBorders>
              <w:top w:val="single" w:color="000000" w:sz="4" w:space="0"/>
              <w:left w:val="single" w:color="000000" w:sz="4" w:space="0"/>
              <w:bottom w:val="single" w:color="000000" w:sz="4" w:space="0"/>
              <w:right w:val="single" w:color="000000" w:sz="4" w:space="0"/>
            </w:tcBorders>
            <w:vAlign w:val="center"/>
          </w:tcPr>
          <w:p w14:paraId="4016F6F8">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10</w:t>
            </w:r>
          </w:p>
        </w:tc>
      </w:tr>
      <w:tr w14:paraId="571E92B3">
        <w:tblPrEx>
          <w:tblCellMar>
            <w:top w:w="0" w:type="dxa"/>
            <w:left w:w="108" w:type="dxa"/>
            <w:bottom w:w="0" w:type="dxa"/>
            <w:right w:w="108" w:type="dxa"/>
          </w:tblCellMar>
        </w:tblPrEx>
        <w:trPr>
          <w:trHeight w:val="1628" w:hRule="atLeast"/>
        </w:trPr>
        <w:tc>
          <w:tcPr>
            <w:tcW w:w="809" w:type="dxa"/>
            <w:tcBorders>
              <w:top w:val="single" w:color="000000" w:sz="4" w:space="0"/>
              <w:left w:val="single" w:color="000000" w:sz="4" w:space="0"/>
              <w:bottom w:val="single" w:color="auto" w:sz="4" w:space="0"/>
              <w:right w:val="single" w:color="000000" w:sz="4" w:space="0"/>
            </w:tcBorders>
            <w:vAlign w:val="center"/>
          </w:tcPr>
          <w:p w14:paraId="5605D543">
            <w:pPr>
              <w:widowControl/>
              <w:numPr>
                <w:ilvl w:val="0"/>
                <w:numId w:val="0"/>
              </w:numPr>
              <w:spacing w:line="240" w:lineRule="auto"/>
              <w:ind w:leftChars="0"/>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p>
        </w:tc>
        <w:tc>
          <w:tcPr>
            <w:tcW w:w="1530" w:type="dxa"/>
            <w:tcBorders>
              <w:top w:val="single" w:color="000000" w:sz="4" w:space="0"/>
              <w:left w:val="single" w:color="000000" w:sz="4" w:space="0"/>
              <w:bottom w:val="single" w:color="auto" w:sz="4" w:space="0"/>
              <w:right w:val="single" w:color="000000" w:sz="4" w:space="0"/>
            </w:tcBorders>
            <w:vAlign w:val="center"/>
          </w:tcPr>
          <w:p w14:paraId="27C0683A">
            <w:pPr>
              <w:widowControl/>
              <w:numPr>
                <w:ilvl w:val="0"/>
                <w:numId w:val="0"/>
              </w:numPr>
              <w:spacing w:line="240" w:lineRule="auto"/>
              <w:ind w:leftChars="0"/>
              <w:jc w:val="center"/>
              <w:textAlignment w:val="center"/>
              <w:rPr>
                <w:rFonts w:ascii="宋体" w:hAnsi="宋体" w:cs="宋体"/>
                <w:color w:val="000000"/>
                <w:szCs w:val="21"/>
                <w:highlight w:val="none"/>
              </w:rPr>
            </w:pPr>
            <w:r>
              <w:rPr>
                <w:highlight w:val="none"/>
              </w:rPr>
              <w:t>卫生管理方案</w:t>
            </w:r>
          </w:p>
        </w:tc>
        <w:tc>
          <w:tcPr>
            <w:tcW w:w="5568" w:type="dxa"/>
            <w:tcBorders>
              <w:top w:val="single" w:color="000000" w:sz="4" w:space="0"/>
              <w:left w:val="single" w:color="000000" w:sz="4" w:space="0"/>
              <w:bottom w:val="single" w:color="auto" w:sz="4" w:space="0"/>
              <w:right w:val="single" w:color="000000" w:sz="4" w:space="0"/>
            </w:tcBorders>
            <w:vAlign w:val="center"/>
          </w:tcPr>
          <w:p w14:paraId="08E801D7">
            <w:pPr>
              <w:widowControl/>
              <w:numPr>
                <w:ilvl w:val="0"/>
                <w:numId w:val="0"/>
              </w:numPr>
              <w:spacing w:line="240" w:lineRule="auto"/>
              <w:ind w:leftChars="0"/>
              <w:jc w:val="left"/>
              <w:textAlignment w:val="center"/>
              <w:rPr>
                <w:highlight w:val="none"/>
              </w:rPr>
            </w:pPr>
            <w:r>
              <w:rPr>
                <w:rFonts w:hint="eastAsia" w:ascii="宋体" w:hAnsi="宋体" w:eastAsia="宋体" w:cs="宋体"/>
                <w:color w:val="000000"/>
                <w:szCs w:val="21"/>
                <w:highlight w:val="none"/>
                <w:lang w:val="en-US" w:eastAsia="zh-CN"/>
              </w:rPr>
              <w:t>供应商根据本项目所提出的</w:t>
            </w:r>
            <w:r>
              <w:rPr>
                <w:highlight w:val="none"/>
              </w:rPr>
              <w:t>卫生管理方案</w:t>
            </w:r>
            <w:r>
              <w:rPr>
                <w:rFonts w:hint="eastAsia" w:ascii="宋体" w:hAnsi="宋体" w:eastAsia="宋体" w:cs="宋体"/>
                <w:color w:val="000000"/>
                <w:szCs w:val="21"/>
                <w:highlight w:val="none"/>
                <w:lang w:val="en-US" w:eastAsia="zh-CN"/>
              </w:rPr>
              <w:t>。</w:t>
            </w:r>
            <w:r>
              <w:rPr>
                <w:highlight w:val="none"/>
              </w:rPr>
              <w:t>卫生管理（包括但不限于</w:t>
            </w:r>
            <w:r>
              <w:rPr>
                <w:rFonts w:hint="eastAsia"/>
                <w:highlight w:val="none"/>
                <w:lang w:val="en-US" w:eastAsia="zh-CN"/>
              </w:rPr>
              <w:t>食品卫生、环境卫生</w:t>
            </w:r>
            <w:r>
              <w:rPr>
                <w:highlight w:val="none"/>
              </w:rPr>
              <w:t>方面）每个要点均有展开详细的阐述且能够适用于本项目</w:t>
            </w:r>
            <w:r>
              <w:rPr>
                <w:rFonts w:hint="eastAsia"/>
                <w:highlight w:val="none"/>
                <w:lang w:eastAsia="zh-CN"/>
              </w:rPr>
              <w:t>。</w:t>
            </w:r>
            <w:r>
              <w:rPr>
                <w:highlight w:val="none"/>
              </w:rPr>
              <w:t>进行评分：</w:t>
            </w:r>
          </w:p>
          <w:p w14:paraId="2CDAF110">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内容全面、合理，</w:t>
            </w:r>
            <w:r>
              <w:rPr>
                <w:highlight w:val="none"/>
              </w:rPr>
              <w:t>卫生管理方案</w:t>
            </w:r>
            <w:r>
              <w:rPr>
                <w:rFonts w:hint="eastAsia" w:ascii="宋体" w:hAnsi="宋体" w:eastAsia="宋体" w:cs="宋体"/>
                <w:color w:val="000000"/>
                <w:szCs w:val="21"/>
                <w:highlight w:val="none"/>
                <w:lang w:val="en-US" w:eastAsia="zh-CN"/>
              </w:rPr>
              <w:t>健全，得10分；</w:t>
            </w:r>
          </w:p>
          <w:p w14:paraId="01670ED9">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内容比较全面、比较合理，</w:t>
            </w:r>
            <w:r>
              <w:rPr>
                <w:highlight w:val="none"/>
              </w:rPr>
              <w:t>卫生管理方案</w:t>
            </w:r>
            <w:r>
              <w:rPr>
                <w:rFonts w:hint="eastAsia" w:ascii="宋体" w:hAnsi="宋体" w:eastAsia="宋体" w:cs="宋体"/>
                <w:color w:val="000000"/>
                <w:szCs w:val="21"/>
                <w:highlight w:val="none"/>
                <w:lang w:val="en-US" w:eastAsia="zh-CN"/>
              </w:rPr>
              <w:t>比较健全，得7分；</w:t>
            </w:r>
          </w:p>
          <w:p w14:paraId="6D23F829">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内容不够全面、不够合理，</w:t>
            </w:r>
            <w:r>
              <w:rPr>
                <w:highlight w:val="none"/>
              </w:rPr>
              <w:t>卫生管理方案</w:t>
            </w:r>
            <w:r>
              <w:rPr>
                <w:rFonts w:hint="eastAsia" w:ascii="宋体" w:hAnsi="宋体" w:eastAsia="宋体" w:cs="宋体"/>
                <w:color w:val="000000"/>
                <w:szCs w:val="21"/>
                <w:highlight w:val="none"/>
                <w:lang w:val="en-US" w:eastAsia="zh-CN"/>
              </w:rPr>
              <w:t>不够健全，得4分；</w:t>
            </w:r>
          </w:p>
          <w:p w14:paraId="3ABF51F1">
            <w:pPr>
              <w:pStyle w:val="22"/>
              <w:rPr>
                <w:highlight w:val="none"/>
              </w:rPr>
            </w:pPr>
            <w:r>
              <w:rPr>
                <w:rFonts w:hint="eastAsia" w:ascii="宋体" w:hAnsi="宋体" w:eastAsia="宋体" w:cs="宋体"/>
                <w:color w:val="000000"/>
                <w:szCs w:val="21"/>
                <w:highlight w:val="none"/>
                <w:lang w:val="en-US" w:eastAsia="zh-CN"/>
              </w:rPr>
              <w:t>严重缺项或无此项内容的，得0分。</w:t>
            </w:r>
          </w:p>
        </w:tc>
        <w:tc>
          <w:tcPr>
            <w:tcW w:w="808" w:type="dxa"/>
            <w:tcBorders>
              <w:top w:val="single" w:color="000000" w:sz="4" w:space="0"/>
              <w:left w:val="single" w:color="000000" w:sz="4" w:space="0"/>
              <w:bottom w:val="single" w:color="000000" w:sz="4" w:space="0"/>
              <w:right w:val="single" w:color="000000" w:sz="4" w:space="0"/>
            </w:tcBorders>
            <w:vAlign w:val="center"/>
          </w:tcPr>
          <w:p w14:paraId="56983354">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10</w:t>
            </w:r>
          </w:p>
        </w:tc>
      </w:tr>
      <w:tr w14:paraId="46497C14">
        <w:tblPrEx>
          <w:tblCellMar>
            <w:top w:w="0" w:type="dxa"/>
            <w:left w:w="108" w:type="dxa"/>
            <w:bottom w:w="0" w:type="dxa"/>
            <w:right w:w="108" w:type="dxa"/>
          </w:tblCellMar>
        </w:tblPrEx>
        <w:trPr>
          <w:trHeight w:val="2370" w:hRule="atLeast"/>
        </w:trPr>
        <w:tc>
          <w:tcPr>
            <w:tcW w:w="809" w:type="dxa"/>
            <w:tcBorders>
              <w:top w:val="single" w:color="auto" w:sz="4" w:space="0"/>
              <w:left w:val="single" w:color="auto" w:sz="4" w:space="0"/>
              <w:bottom w:val="single" w:color="auto" w:sz="4" w:space="0"/>
              <w:right w:val="single" w:color="auto" w:sz="4" w:space="0"/>
            </w:tcBorders>
            <w:vAlign w:val="center"/>
          </w:tcPr>
          <w:p w14:paraId="5986F1AF">
            <w:pPr>
              <w:widowControl/>
              <w:numPr>
                <w:ilvl w:val="0"/>
                <w:numId w:val="0"/>
              </w:numPr>
              <w:spacing w:line="240" w:lineRule="auto"/>
              <w:ind w:leftChars="0"/>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c>
          <w:tcPr>
            <w:tcW w:w="1530" w:type="dxa"/>
            <w:tcBorders>
              <w:top w:val="single" w:color="auto" w:sz="4" w:space="0"/>
              <w:left w:val="single" w:color="auto" w:sz="4" w:space="0"/>
              <w:bottom w:val="single" w:color="auto" w:sz="4" w:space="0"/>
              <w:right w:val="single" w:color="auto" w:sz="4" w:space="0"/>
            </w:tcBorders>
            <w:vAlign w:val="center"/>
          </w:tcPr>
          <w:p w14:paraId="4566F4F5">
            <w:pPr>
              <w:widowControl/>
              <w:numPr>
                <w:ilvl w:val="0"/>
                <w:numId w:val="0"/>
              </w:numPr>
              <w:spacing w:line="240" w:lineRule="auto"/>
              <w:ind w:leftChars="0"/>
              <w:jc w:val="center"/>
              <w:textAlignment w:val="center"/>
              <w:rPr>
                <w:rFonts w:ascii="宋体" w:hAnsi="宋体" w:cs="宋体"/>
                <w:color w:val="000000"/>
                <w:szCs w:val="21"/>
                <w:highlight w:val="none"/>
              </w:rPr>
            </w:pPr>
            <w:r>
              <w:rPr>
                <w:highlight w:val="none"/>
              </w:rPr>
              <w:t>食品安全方案</w:t>
            </w:r>
          </w:p>
        </w:tc>
        <w:tc>
          <w:tcPr>
            <w:tcW w:w="5568" w:type="dxa"/>
            <w:tcBorders>
              <w:top w:val="single" w:color="auto" w:sz="4" w:space="0"/>
              <w:left w:val="single" w:color="auto" w:sz="4" w:space="0"/>
              <w:right w:val="single" w:color="auto" w:sz="4" w:space="0"/>
            </w:tcBorders>
            <w:vAlign w:val="center"/>
          </w:tcPr>
          <w:p w14:paraId="0217DE7C">
            <w:pPr>
              <w:widowControl/>
              <w:numPr>
                <w:ilvl w:val="0"/>
                <w:numId w:val="0"/>
              </w:numPr>
              <w:spacing w:line="240" w:lineRule="auto"/>
              <w:ind w:leftChars="0"/>
              <w:jc w:val="left"/>
              <w:textAlignment w:val="center"/>
              <w:rPr>
                <w:highlight w:val="none"/>
              </w:rPr>
            </w:pPr>
            <w:r>
              <w:rPr>
                <w:rFonts w:hint="eastAsia" w:ascii="宋体" w:hAnsi="宋体" w:eastAsia="宋体" w:cs="宋体"/>
                <w:color w:val="000000"/>
                <w:szCs w:val="21"/>
                <w:highlight w:val="none"/>
                <w:lang w:val="en-US" w:eastAsia="zh-CN"/>
              </w:rPr>
              <w:t>供应商根据本项目所提出的</w:t>
            </w:r>
            <w:r>
              <w:rPr>
                <w:highlight w:val="none"/>
              </w:rPr>
              <w:t>食品安全方案</w:t>
            </w:r>
            <w:r>
              <w:rPr>
                <w:rFonts w:hint="eastAsia" w:ascii="宋体" w:hAnsi="宋体" w:eastAsia="宋体" w:cs="宋体"/>
                <w:color w:val="000000"/>
                <w:szCs w:val="21"/>
                <w:highlight w:val="none"/>
                <w:lang w:val="en-US" w:eastAsia="zh-CN"/>
              </w:rPr>
              <w:t>。</w:t>
            </w:r>
            <w:r>
              <w:rPr>
                <w:rFonts w:hint="eastAsia" w:eastAsia="宋体"/>
                <w:highlight w:val="none"/>
                <w:lang w:val="en-US" w:eastAsia="zh-CN"/>
              </w:rPr>
              <w:t>食品安全</w:t>
            </w:r>
            <w:r>
              <w:rPr>
                <w:highlight w:val="none"/>
              </w:rPr>
              <w:t>（包括但不限于食品验收、加工、成品保护措施、食品安全防护措施）每个要点均有展开详细的阐述且能够适用于本项目</w:t>
            </w:r>
            <w:r>
              <w:rPr>
                <w:rFonts w:hint="eastAsia"/>
                <w:highlight w:val="none"/>
                <w:lang w:eastAsia="zh-CN"/>
              </w:rPr>
              <w:t>。</w:t>
            </w:r>
            <w:r>
              <w:rPr>
                <w:highlight w:val="none"/>
              </w:rPr>
              <w:t>进行评分：</w:t>
            </w:r>
          </w:p>
          <w:p w14:paraId="370D4C5B">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内容全面、合理，</w:t>
            </w:r>
            <w:r>
              <w:rPr>
                <w:highlight w:val="none"/>
              </w:rPr>
              <w:t>食品安全方案</w:t>
            </w:r>
            <w:r>
              <w:rPr>
                <w:rFonts w:hint="eastAsia" w:ascii="宋体" w:hAnsi="宋体" w:eastAsia="宋体" w:cs="宋体"/>
                <w:color w:val="000000"/>
                <w:szCs w:val="21"/>
                <w:highlight w:val="none"/>
                <w:lang w:val="en-US" w:eastAsia="zh-CN"/>
              </w:rPr>
              <w:t>健全，得10分；</w:t>
            </w:r>
          </w:p>
          <w:p w14:paraId="5736FC03">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内容比较全面、比较合理，</w:t>
            </w:r>
            <w:r>
              <w:rPr>
                <w:highlight w:val="none"/>
              </w:rPr>
              <w:t>食品安全方案</w:t>
            </w:r>
            <w:r>
              <w:rPr>
                <w:rFonts w:hint="eastAsia" w:ascii="宋体" w:hAnsi="宋体" w:eastAsia="宋体" w:cs="宋体"/>
                <w:color w:val="000000"/>
                <w:szCs w:val="21"/>
                <w:highlight w:val="none"/>
                <w:lang w:val="en-US" w:eastAsia="zh-CN"/>
              </w:rPr>
              <w:t>比较健全，得7分；</w:t>
            </w:r>
          </w:p>
          <w:p w14:paraId="02C789C0">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内容不够全面、不够合理，</w:t>
            </w:r>
            <w:r>
              <w:rPr>
                <w:highlight w:val="none"/>
              </w:rPr>
              <w:t>食品安全方案</w:t>
            </w:r>
            <w:r>
              <w:rPr>
                <w:rFonts w:hint="eastAsia" w:ascii="宋体" w:hAnsi="宋体" w:eastAsia="宋体" w:cs="宋体"/>
                <w:color w:val="000000"/>
                <w:szCs w:val="21"/>
                <w:highlight w:val="none"/>
                <w:lang w:val="en-US" w:eastAsia="zh-CN"/>
              </w:rPr>
              <w:t>不够健全，得4分；</w:t>
            </w:r>
          </w:p>
          <w:p w14:paraId="062C7556">
            <w:pPr>
              <w:widowControl/>
              <w:numPr>
                <w:ilvl w:val="0"/>
                <w:numId w:val="0"/>
              </w:numPr>
              <w:spacing w:line="240" w:lineRule="auto"/>
              <w:ind w:leftChars="0"/>
              <w:textAlignment w:val="center"/>
              <w:rPr>
                <w:rFonts w:ascii="宋体" w:hAnsi="宋体" w:cs="宋体"/>
                <w:color w:val="000000"/>
                <w:kern w:val="0"/>
                <w:szCs w:val="21"/>
                <w:highlight w:val="none"/>
                <w:lang w:bidi="ar"/>
              </w:rPr>
            </w:pPr>
            <w:r>
              <w:rPr>
                <w:rFonts w:hint="eastAsia" w:ascii="宋体" w:hAnsi="宋体" w:eastAsia="宋体" w:cs="宋体"/>
                <w:color w:val="000000"/>
                <w:szCs w:val="21"/>
                <w:highlight w:val="none"/>
                <w:lang w:val="en-US" w:eastAsia="zh-CN"/>
              </w:rPr>
              <w:t>严重缺项或无此项内容的，得0分。</w:t>
            </w:r>
          </w:p>
        </w:tc>
        <w:tc>
          <w:tcPr>
            <w:tcW w:w="808" w:type="dxa"/>
            <w:tcBorders>
              <w:top w:val="single" w:color="000000" w:sz="4" w:space="0"/>
              <w:left w:val="single" w:color="auto" w:sz="4" w:space="0"/>
              <w:bottom w:val="single" w:color="000000" w:sz="4" w:space="0"/>
              <w:right w:val="single" w:color="000000" w:sz="4" w:space="0"/>
            </w:tcBorders>
            <w:vAlign w:val="center"/>
          </w:tcPr>
          <w:p w14:paraId="5930C7BE">
            <w:pPr>
              <w:widowControl/>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10</w:t>
            </w:r>
          </w:p>
        </w:tc>
      </w:tr>
      <w:tr w14:paraId="2DE9706F">
        <w:tblPrEx>
          <w:tblCellMar>
            <w:top w:w="0" w:type="dxa"/>
            <w:left w:w="108" w:type="dxa"/>
            <w:bottom w:w="0" w:type="dxa"/>
            <w:right w:w="108" w:type="dxa"/>
          </w:tblCellMar>
        </w:tblPrEx>
        <w:trPr>
          <w:trHeight w:val="1228" w:hRule="atLeast"/>
        </w:trPr>
        <w:tc>
          <w:tcPr>
            <w:tcW w:w="809" w:type="dxa"/>
            <w:tcBorders>
              <w:top w:val="single" w:color="000000" w:sz="4" w:space="0"/>
              <w:left w:val="single" w:color="000000" w:sz="4" w:space="0"/>
              <w:bottom w:val="single" w:color="000000" w:sz="4" w:space="0"/>
              <w:right w:val="single" w:color="000000" w:sz="4" w:space="0"/>
            </w:tcBorders>
            <w:vAlign w:val="center"/>
          </w:tcPr>
          <w:p w14:paraId="4554FDA0">
            <w:pPr>
              <w:widowControl/>
              <w:numPr>
                <w:ilvl w:val="0"/>
                <w:numId w:val="0"/>
              </w:numPr>
              <w:spacing w:line="240" w:lineRule="auto"/>
              <w:ind w:leftChars="0"/>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vAlign w:val="center"/>
          </w:tcPr>
          <w:p w14:paraId="24190AD2">
            <w:pPr>
              <w:widowControl/>
              <w:numPr>
                <w:ilvl w:val="0"/>
                <w:numId w:val="0"/>
              </w:numPr>
              <w:spacing w:line="240" w:lineRule="auto"/>
              <w:ind w:leftChars="0"/>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消防安全方案</w:t>
            </w:r>
          </w:p>
        </w:tc>
        <w:tc>
          <w:tcPr>
            <w:tcW w:w="5568" w:type="dxa"/>
            <w:tcBorders>
              <w:top w:val="single" w:color="000000" w:sz="4" w:space="0"/>
              <w:left w:val="single" w:color="000000" w:sz="4" w:space="0"/>
              <w:bottom w:val="single" w:color="000000" w:sz="4" w:space="0"/>
              <w:right w:val="single" w:color="000000" w:sz="4" w:space="0"/>
            </w:tcBorders>
            <w:vAlign w:val="center"/>
          </w:tcPr>
          <w:p w14:paraId="07ABBB1A">
            <w:pPr>
              <w:widowControl/>
              <w:numPr>
                <w:ilvl w:val="0"/>
                <w:numId w:val="0"/>
              </w:numPr>
              <w:spacing w:line="240" w:lineRule="auto"/>
              <w:ind w:leftChars="0"/>
              <w:jc w:val="left"/>
              <w:textAlignment w:val="center"/>
              <w:rPr>
                <w:highlight w:val="none"/>
              </w:rPr>
            </w:pPr>
            <w:r>
              <w:rPr>
                <w:rFonts w:hint="eastAsia" w:ascii="宋体" w:hAnsi="宋体" w:eastAsia="宋体" w:cs="宋体"/>
                <w:color w:val="000000"/>
                <w:szCs w:val="21"/>
                <w:highlight w:val="none"/>
                <w:lang w:val="en-US" w:eastAsia="zh-CN"/>
              </w:rPr>
              <w:t>供应商根据本项目所提出的消防</w:t>
            </w:r>
            <w:r>
              <w:rPr>
                <w:highlight w:val="none"/>
              </w:rPr>
              <w:t>安全方案</w:t>
            </w:r>
            <w:r>
              <w:rPr>
                <w:rFonts w:hint="eastAsia" w:ascii="宋体" w:hAnsi="宋体" w:eastAsia="宋体" w:cs="宋体"/>
                <w:color w:val="000000"/>
                <w:szCs w:val="21"/>
                <w:highlight w:val="none"/>
                <w:lang w:val="en-US" w:eastAsia="zh-CN"/>
              </w:rPr>
              <w:t>。</w:t>
            </w:r>
            <w:r>
              <w:rPr>
                <w:rFonts w:hint="eastAsia" w:eastAsia="宋体"/>
                <w:highlight w:val="none"/>
                <w:lang w:val="en-US" w:eastAsia="zh-CN"/>
              </w:rPr>
              <w:t>消防安全</w:t>
            </w:r>
            <w:r>
              <w:rPr>
                <w:highlight w:val="none"/>
              </w:rPr>
              <w:t>（包括但不限于</w:t>
            </w:r>
            <w:r>
              <w:rPr>
                <w:rFonts w:hint="eastAsia"/>
                <w:highlight w:val="none"/>
              </w:rPr>
              <w:t>消防学习演练</w:t>
            </w:r>
            <w:r>
              <w:rPr>
                <w:highlight w:val="none"/>
              </w:rPr>
              <w:t>、消防器具使用</w:t>
            </w:r>
            <w:r>
              <w:rPr>
                <w:rFonts w:hint="eastAsia"/>
                <w:highlight w:val="none"/>
                <w:lang w:eastAsia="zh-CN"/>
              </w:rPr>
              <w:t>、</w:t>
            </w:r>
            <w:r>
              <w:rPr>
                <w:highlight w:val="none"/>
              </w:rPr>
              <w:t>消防安全知识培训）每个要点均有展开详细的阐述且能够适用于本项目</w:t>
            </w:r>
            <w:r>
              <w:rPr>
                <w:rFonts w:hint="eastAsia"/>
                <w:highlight w:val="none"/>
                <w:lang w:eastAsia="zh-CN"/>
              </w:rPr>
              <w:t>。</w:t>
            </w:r>
            <w:r>
              <w:rPr>
                <w:highlight w:val="none"/>
              </w:rPr>
              <w:t>进行评分：</w:t>
            </w:r>
          </w:p>
          <w:p w14:paraId="469872F2">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内容全面、合理，</w:t>
            </w:r>
            <w:r>
              <w:rPr>
                <w:rFonts w:hint="eastAsia" w:eastAsia="宋体"/>
                <w:highlight w:val="none"/>
                <w:lang w:val="en-US" w:eastAsia="zh-CN"/>
              </w:rPr>
              <w:t>消防</w:t>
            </w:r>
            <w:r>
              <w:rPr>
                <w:highlight w:val="none"/>
              </w:rPr>
              <w:t>安全方案</w:t>
            </w:r>
            <w:r>
              <w:rPr>
                <w:rFonts w:hint="eastAsia" w:ascii="宋体" w:hAnsi="宋体" w:eastAsia="宋体" w:cs="宋体"/>
                <w:color w:val="000000"/>
                <w:szCs w:val="21"/>
                <w:highlight w:val="none"/>
                <w:lang w:val="en-US" w:eastAsia="zh-CN"/>
              </w:rPr>
              <w:t>健全，得10分；</w:t>
            </w:r>
          </w:p>
          <w:p w14:paraId="2ACFD15B">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内容比较全面、比较合理，</w:t>
            </w:r>
            <w:r>
              <w:rPr>
                <w:rFonts w:hint="eastAsia" w:eastAsia="宋体"/>
                <w:highlight w:val="none"/>
                <w:lang w:val="en-US" w:eastAsia="zh-CN"/>
              </w:rPr>
              <w:t>消防</w:t>
            </w:r>
            <w:r>
              <w:rPr>
                <w:highlight w:val="none"/>
              </w:rPr>
              <w:t>安全方案</w:t>
            </w:r>
            <w:r>
              <w:rPr>
                <w:rFonts w:hint="eastAsia" w:ascii="宋体" w:hAnsi="宋体" w:eastAsia="宋体" w:cs="宋体"/>
                <w:color w:val="000000"/>
                <w:szCs w:val="21"/>
                <w:highlight w:val="none"/>
                <w:lang w:val="en-US" w:eastAsia="zh-CN"/>
              </w:rPr>
              <w:t>比较健全，得7分；</w:t>
            </w:r>
          </w:p>
          <w:p w14:paraId="679B3191">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内容不够全面、不够合理，</w:t>
            </w:r>
            <w:r>
              <w:rPr>
                <w:rFonts w:hint="eastAsia" w:eastAsia="宋体"/>
                <w:highlight w:val="none"/>
                <w:lang w:val="en-US" w:eastAsia="zh-CN"/>
              </w:rPr>
              <w:t>消防</w:t>
            </w:r>
            <w:r>
              <w:rPr>
                <w:highlight w:val="none"/>
              </w:rPr>
              <w:t>安全方案</w:t>
            </w:r>
            <w:r>
              <w:rPr>
                <w:rFonts w:hint="eastAsia" w:ascii="宋体" w:hAnsi="宋体" w:eastAsia="宋体" w:cs="宋体"/>
                <w:color w:val="000000"/>
                <w:szCs w:val="21"/>
                <w:highlight w:val="none"/>
                <w:lang w:val="en-US" w:eastAsia="zh-CN"/>
              </w:rPr>
              <w:t>不够健全，得4分；</w:t>
            </w:r>
          </w:p>
          <w:p w14:paraId="68513ED0">
            <w:pPr>
              <w:widowControl/>
              <w:numPr>
                <w:ilvl w:val="0"/>
                <w:numId w:val="0"/>
              </w:numPr>
              <w:spacing w:line="240" w:lineRule="auto"/>
              <w:ind w:leftChars="0"/>
              <w:textAlignment w:val="center"/>
              <w:rPr>
                <w:rFonts w:ascii="宋体" w:hAnsi="宋体" w:cs="宋体"/>
                <w:color w:val="000000"/>
                <w:kern w:val="0"/>
                <w:szCs w:val="21"/>
                <w:highlight w:val="none"/>
                <w:lang w:bidi="ar"/>
              </w:rPr>
            </w:pPr>
            <w:r>
              <w:rPr>
                <w:rFonts w:hint="eastAsia" w:ascii="宋体" w:hAnsi="宋体" w:eastAsia="宋体" w:cs="宋体"/>
                <w:color w:val="000000"/>
                <w:szCs w:val="21"/>
                <w:highlight w:val="none"/>
                <w:lang w:val="en-US" w:eastAsia="zh-CN"/>
              </w:rPr>
              <w:t>严重缺项或无此项内容的，得0分。</w:t>
            </w:r>
          </w:p>
        </w:tc>
        <w:tc>
          <w:tcPr>
            <w:tcW w:w="808" w:type="dxa"/>
            <w:tcBorders>
              <w:top w:val="single" w:color="000000" w:sz="4" w:space="0"/>
              <w:left w:val="single" w:color="000000" w:sz="4" w:space="0"/>
              <w:bottom w:val="single" w:color="000000" w:sz="4" w:space="0"/>
              <w:right w:val="single" w:color="000000" w:sz="4" w:space="0"/>
            </w:tcBorders>
            <w:vAlign w:val="center"/>
          </w:tcPr>
          <w:p w14:paraId="5E847AFA">
            <w:pPr>
              <w:widowControl/>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w:t>
            </w:r>
          </w:p>
        </w:tc>
      </w:tr>
      <w:tr w14:paraId="5441E33F">
        <w:tblPrEx>
          <w:tblCellMar>
            <w:top w:w="0" w:type="dxa"/>
            <w:left w:w="108" w:type="dxa"/>
            <w:bottom w:w="0" w:type="dxa"/>
            <w:right w:w="108" w:type="dxa"/>
          </w:tblCellMar>
        </w:tblPrEx>
        <w:trPr>
          <w:trHeight w:val="1228" w:hRule="atLeast"/>
        </w:trPr>
        <w:tc>
          <w:tcPr>
            <w:tcW w:w="809" w:type="dxa"/>
            <w:tcBorders>
              <w:top w:val="single" w:color="000000" w:sz="4" w:space="0"/>
              <w:left w:val="single" w:color="000000" w:sz="4" w:space="0"/>
              <w:bottom w:val="single" w:color="000000" w:sz="4" w:space="0"/>
              <w:right w:val="single" w:color="000000" w:sz="4" w:space="0"/>
            </w:tcBorders>
            <w:vAlign w:val="center"/>
          </w:tcPr>
          <w:p w14:paraId="25249122">
            <w:pPr>
              <w:widowControl/>
              <w:numPr>
                <w:ilvl w:val="0"/>
                <w:numId w:val="0"/>
              </w:numPr>
              <w:spacing w:line="240" w:lineRule="auto"/>
              <w:ind w:leftChars="0"/>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71637021">
            <w:pPr>
              <w:widowControl/>
              <w:numPr>
                <w:ilvl w:val="0"/>
                <w:numId w:val="0"/>
              </w:numPr>
              <w:spacing w:line="240" w:lineRule="auto"/>
              <w:ind w:left="0" w:leftChars="0"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highlight w:val="none"/>
              </w:rPr>
              <w:t>应急预案</w:t>
            </w:r>
          </w:p>
        </w:tc>
        <w:tc>
          <w:tcPr>
            <w:tcW w:w="5568" w:type="dxa"/>
            <w:tcBorders>
              <w:top w:val="single" w:color="000000" w:sz="4" w:space="0"/>
              <w:left w:val="single" w:color="000000" w:sz="4" w:space="0"/>
              <w:bottom w:val="single" w:color="000000" w:sz="4" w:space="0"/>
              <w:right w:val="single" w:color="000000" w:sz="4" w:space="0"/>
            </w:tcBorders>
            <w:vAlign w:val="center"/>
          </w:tcPr>
          <w:p w14:paraId="2B8FD0C6">
            <w:pPr>
              <w:widowControl/>
              <w:numPr>
                <w:ilvl w:val="0"/>
                <w:numId w:val="0"/>
              </w:numPr>
              <w:spacing w:line="240" w:lineRule="auto"/>
              <w:ind w:leftChars="0"/>
              <w:jc w:val="left"/>
              <w:textAlignment w:val="center"/>
              <w:rPr>
                <w:highlight w:val="none"/>
              </w:rPr>
            </w:pPr>
            <w:r>
              <w:rPr>
                <w:rFonts w:hint="eastAsia" w:ascii="宋体" w:hAnsi="宋体" w:eastAsia="宋体" w:cs="宋体"/>
                <w:color w:val="000000"/>
                <w:szCs w:val="21"/>
                <w:highlight w:val="none"/>
                <w:lang w:val="en-US" w:eastAsia="zh-CN"/>
              </w:rPr>
              <w:t>供应商根据本项目所提出的应急预</w:t>
            </w:r>
            <w:r>
              <w:rPr>
                <w:highlight w:val="none"/>
              </w:rPr>
              <w:t>案</w:t>
            </w:r>
            <w:r>
              <w:rPr>
                <w:rFonts w:hint="eastAsia" w:ascii="宋体" w:hAnsi="宋体" w:eastAsia="宋体" w:cs="宋体"/>
                <w:color w:val="000000"/>
                <w:szCs w:val="21"/>
                <w:highlight w:val="none"/>
                <w:lang w:val="en-US" w:eastAsia="zh-CN"/>
              </w:rPr>
              <w:t>。应急预案</w:t>
            </w:r>
            <w:r>
              <w:rPr>
                <w:highlight w:val="none"/>
              </w:rPr>
              <w:t>（包括但不限于食堂卫生安全事故处理预案及制度、临时加餐、疫情防控</w:t>
            </w:r>
            <w:r>
              <w:rPr>
                <w:rFonts w:hint="eastAsia"/>
                <w:highlight w:val="none"/>
                <w:lang w:eastAsia="zh-CN"/>
              </w:rPr>
              <w:t>、突发特殊情况(停电、停水 停气)</w:t>
            </w:r>
            <w:r>
              <w:rPr>
                <w:highlight w:val="none"/>
              </w:rPr>
              <w:t>）每个要点均有展开详细的阐述且能够适用于本项目</w:t>
            </w:r>
            <w:r>
              <w:rPr>
                <w:rFonts w:hint="eastAsia"/>
                <w:highlight w:val="none"/>
                <w:lang w:eastAsia="zh-CN"/>
              </w:rPr>
              <w:t>。</w:t>
            </w:r>
            <w:r>
              <w:rPr>
                <w:highlight w:val="none"/>
              </w:rPr>
              <w:t>进行评分：</w:t>
            </w:r>
          </w:p>
          <w:p w14:paraId="115E1392">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内容全面、合理，</w:t>
            </w:r>
            <w:r>
              <w:rPr>
                <w:rFonts w:hint="eastAsia" w:eastAsia="宋体"/>
                <w:highlight w:val="none"/>
                <w:lang w:val="en-US" w:eastAsia="zh-CN"/>
              </w:rPr>
              <w:t>应急预案</w:t>
            </w:r>
            <w:r>
              <w:rPr>
                <w:rFonts w:hint="eastAsia" w:ascii="宋体" w:hAnsi="宋体" w:eastAsia="宋体" w:cs="宋体"/>
                <w:color w:val="000000"/>
                <w:szCs w:val="21"/>
                <w:highlight w:val="none"/>
                <w:lang w:val="en-US" w:eastAsia="zh-CN"/>
              </w:rPr>
              <w:t>健全，得10分；</w:t>
            </w:r>
          </w:p>
          <w:p w14:paraId="43A21ED9">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内容比较全面、比较合理，</w:t>
            </w:r>
            <w:r>
              <w:rPr>
                <w:rFonts w:hint="eastAsia" w:eastAsia="宋体"/>
                <w:highlight w:val="none"/>
                <w:lang w:val="en-US" w:eastAsia="zh-CN"/>
              </w:rPr>
              <w:t>应急预案</w:t>
            </w:r>
            <w:r>
              <w:rPr>
                <w:rFonts w:hint="eastAsia" w:ascii="宋体" w:hAnsi="宋体" w:eastAsia="宋体" w:cs="宋体"/>
                <w:color w:val="000000"/>
                <w:szCs w:val="21"/>
                <w:highlight w:val="none"/>
                <w:lang w:val="en-US" w:eastAsia="zh-CN"/>
              </w:rPr>
              <w:t>比较健全，得7分；</w:t>
            </w:r>
          </w:p>
          <w:p w14:paraId="0975C757">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内容不够全面、不够合理，</w:t>
            </w:r>
            <w:r>
              <w:rPr>
                <w:rFonts w:hint="eastAsia" w:eastAsia="宋体"/>
                <w:highlight w:val="none"/>
                <w:lang w:val="en-US" w:eastAsia="zh-CN"/>
              </w:rPr>
              <w:t>应急预案</w:t>
            </w:r>
            <w:r>
              <w:rPr>
                <w:rFonts w:hint="eastAsia" w:ascii="宋体" w:hAnsi="宋体" w:eastAsia="宋体" w:cs="宋体"/>
                <w:color w:val="000000"/>
                <w:szCs w:val="21"/>
                <w:highlight w:val="none"/>
                <w:lang w:val="en-US" w:eastAsia="zh-CN"/>
              </w:rPr>
              <w:t>不够健全，得4分；</w:t>
            </w:r>
          </w:p>
          <w:p w14:paraId="094F3AE0">
            <w:pPr>
              <w:pStyle w:val="22"/>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szCs w:val="21"/>
                <w:highlight w:val="none"/>
                <w:lang w:val="en-US" w:eastAsia="zh-CN"/>
              </w:rPr>
              <w:t>严重缺项或无此项内容的，得0分。</w:t>
            </w:r>
          </w:p>
        </w:tc>
        <w:tc>
          <w:tcPr>
            <w:tcW w:w="808" w:type="dxa"/>
            <w:tcBorders>
              <w:top w:val="single" w:color="000000" w:sz="4" w:space="0"/>
              <w:left w:val="single" w:color="000000" w:sz="4" w:space="0"/>
              <w:bottom w:val="single" w:color="000000" w:sz="4" w:space="0"/>
              <w:right w:val="single" w:color="000000" w:sz="4" w:space="0"/>
            </w:tcBorders>
            <w:vAlign w:val="center"/>
          </w:tcPr>
          <w:p w14:paraId="283CF78F">
            <w:pPr>
              <w:widowControl/>
              <w:spacing w:line="360" w:lineRule="auto"/>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w:t>
            </w:r>
          </w:p>
        </w:tc>
      </w:tr>
      <w:tr w14:paraId="2378FC1F">
        <w:tblPrEx>
          <w:tblCellMar>
            <w:top w:w="0" w:type="dxa"/>
            <w:left w:w="108" w:type="dxa"/>
            <w:bottom w:w="0" w:type="dxa"/>
            <w:right w:w="108" w:type="dxa"/>
          </w:tblCellMar>
        </w:tblPrEx>
        <w:trPr>
          <w:trHeight w:val="2543" w:hRule="atLeast"/>
        </w:trPr>
        <w:tc>
          <w:tcPr>
            <w:tcW w:w="809" w:type="dxa"/>
            <w:tcBorders>
              <w:top w:val="single" w:color="000000" w:sz="4" w:space="0"/>
              <w:left w:val="single" w:color="000000" w:sz="4" w:space="0"/>
              <w:bottom w:val="single" w:color="000000" w:sz="4" w:space="0"/>
              <w:right w:val="single" w:color="000000" w:sz="4" w:space="0"/>
            </w:tcBorders>
            <w:vAlign w:val="center"/>
          </w:tcPr>
          <w:p w14:paraId="41A7AF19">
            <w:pPr>
              <w:widowControl/>
              <w:numPr>
                <w:ilvl w:val="0"/>
                <w:numId w:val="0"/>
              </w:numPr>
              <w:spacing w:line="240" w:lineRule="auto"/>
              <w:ind w:leftChars="0"/>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vAlign w:val="center"/>
          </w:tcPr>
          <w:p w14:paraId="4D2E27C2">
            <w:pPr>
              <w:widowControl/>
              <w:numPr>
                <w:ilvl w:val="0"/>
                <w:numId w:val="0"/>
              </w:numPr>
              <w:spacing w:line="240" w:lineRule="auto"/>
              <w:ind w:leftChars="0"/>
              <w:jc w:val="center"/>
              <w:textAlignment w:val="center"/>
              <w:rPr>
                <w:rFonts w:hint="eastAsia" w:ascii="宋体" w:hAnsi="宋体" w:eastAsia="宋体" w:cs="宋体"/>
                <w:color w:val="000000"/>
                <w:kern w:val="0"/>
                <w:szCs w:val="21"/>
                <w:highlight w:val="none"/>
                <w:lang w:val="en-US" w:eastAsia="zh-CN" w:bidi="ar"/>
              </w:rPr>
            </w:pPr>
            <w:r>
              <w:rPr>
                <w:highlight w:val="none"/>
              </w:rPr>
              <w:t>菜品种类方案</w:t>
            </w:r>
          </w:p>
        </w:tc>
        <w:tc>
          <w:tcPr>
            <w:tcW w:w="5568" w:type="dxa"/>
            <w:tcBorders>
              <w:top w:val="single" w:color="000000" w:sz="4" w:space="0"/>
              <w:left w:val="single" w:color="000000" w:sz="4" w:space="0"/>
              <w:bottom w:val="single" w:color="000000" w:sz="4" w:space="0"/>
              <w:right w:val="single" w:color="000000" w:sz="4" w:space="0"/>
            </w:tcBorders>
            <w:vAlign w:val="center"/>
          </w:tcPr>
          <w:p w14:paraId="257DF4E7">
            <w:pPr>
              <w:widowControl/>
              <w:numPr>
                <w:ilvl w:val="0"/>
                <w:numId w:val="0"/>
              </w:numPr>
              <w:spacing w:line="240" w:lineRule="auto"/>
              <w:ind w:leftChars="0"/>
              <w:jc w:val="left"/>
              <w:textAlignment w:val="center"/>
              <w:rPr>
                <w:highlight w:val="none"/>
              </w:rPr>
            </w:pPr>
            <w:r>
              <w:rPr>
                <w:rFonts w:hint="eastAsia" w:ascii="宋体" w:hAnsi="宋体" w:eastAsia="宋体" w:cs="宋体"/>
                <w:color w:val="000000"/>
                <w:szCs w:val="21"/>
                <w:highlight w:val="none"/>
                <w:lang w:val="en-US" w:eastAsia="zh-CN"/>
              </w:rPr>
              <w:t>供应商根据本项目所提出的</w:t>
            </w:r>
            <w:r>
              <w:rPr>
                <w:highlight w:val="none"/>
              </w:rPr>
              <w:t>菜品种类方案</w:t>
            </w:r>
            <w:r>
              <w:rPr>
                <w:rFonts w:hint="eastAsia" w:ascii="宋体" w:hAnsi="宋体" w:eastAsia="宋体" w:cs="宋体"/>
                <w:color w:val="000000"/>
                <w:szCs w:val="21"/>
                <w:highlight w:val="none"/>
                <w:lang w:val="en-US" w:eastAsia="zh-CN"/>
              </w:rPr>
              <w:t>。</w:t>
            </w:r>
            <w:r>
              <w:rPr>
                <w:highlight w:val="none"/>
              </w:rPr>
              <w:t>菜品种类方案（包括但不限于列</w:t>
            </w:r>
            <w:r>
              <w:rPr>
                <w:rFonts w:hint="eastAsia"/>
                <w:highlight w:val="none"/>
                <w:lang w:val="en-US" w:eastAsia="zh-CN"/>
              </w:rPr>
              <w:t>早餐、午餐标准，一周内</w:t>
            </w:r>
            <w:r>
              <w:rPr>
                <w:highlight w:val="none"/>
              </w:rPr>
              <w:t>菜品种类不重样、</w:t>
            </w:r>
            <w:r>
              <w:rPr>
                <w:rFonts w:hint="eastAsia" w:eastAsia="宋体" w:cs="Times New Roman"/>
                <w:highlight w:val="none"/>
                <w:lang w:val="en-US" w:eastAsia="zh-CN"/>
              </w:rPr>
              <w:t>要求菜品丰富</w:t>
            </w:r>
            <w:r>
              <w:rPr>
                <w:rFonts w:hint="eastAsia"/>
                <w:sz w:val="24"/>
                <w:szCs w:val="24"/>
                <w:highlight w:val="none"/>
              </w:rPr>
              <w:t>，</w:t>
            </w:r>
            <w:r>
              <w:rPr>
                <w:rFonts w:hint="eastAsia" w:eastAsia="宋体" w:cs="Times New Roman"/>
                <w:highlight w:val="none"/>
                <w:lang w:val="en-US" w:eastAsia="zh-CN"/>
              </w:rPr>
              <w:t>搭配合理</w:t>
            </w:r>
            <w:r>
              <w:rPr>
                <w:highlight w:val="none"/>
              </w:rPr>
              <w:t>）每个要点均有展开详细的阐述且能够适用于本项目</w:t>
            </w:r>
            <w:r>
              <w:rPr>
                <w:rFonts w:hint="eastAsia"/>
                <w:highlight w:val="none"/>
                <w:lang w:eastAsia="zh-CN"/>
              </w:rPr>
              <w:t>。</w:t>
            </w:r>
            <w:r>
              <w:rPr>
                <w:highlight w:val="none"/>
              </w:rPr>
              <w:t>进行评分：</w:t>
            </w:r>
          </w:p>
          <w:p w14:paraId="789157DF">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内容全面、合理，</w:t>
            </w:r>
            <w:r>
              <w:rPr>
                <w:highlight w:val="none"/>
              </w:rPr>
              <w:t>菜品种类方案</w:t>
            </w:r>
            <w:r>
              <w:rPr>
                <w:rFonts w:hint="eastAsia" w:ascii="宋体" w:hAnsi="宋体" w:eastAsia="宋体" w:cs="宋体"/>
                <w:color w:val="000000"/>
                <w:szCs w:val="21"/>
                <w:highlight w:val="none"/>
                <w:lang w:val="en-US" w:eastAsia="zh-CN"/>
              </w:rPr>
              <w:t>健全，得10分；</w:t>
            </w:r>
          </w:p>
          <w:p w14:paraId="084A1479">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内容比较全面、比较合理，</w:t>
            </w:r>
            <w:r>
              <w:rPr>
                <w:highlight w:val="none"/>
              </w:rPr>
              <w:t>菜品种类方案</w:t>
            </w:r>
            <w:r>
              <w:rPr>
                <w:rFonts w:hint="eastAsia" w:ascii="宋体" w:hAnsi="宋体" w:eastAsia="宋体" w:cs="宋体"/>
                <w:color w:val="000000"/>
                <w:szCs w:val="21"/>
                <w:highlight w:val="none"/>
                <w:lang w:val="en-US" w:eastAsia="zh-CN"/>
              </w:rPr>
              <w:t>比较健全，得7分；</w:t>
            </w:r>
          </w:p>
          <w:p w14:paraId="02B18EFB">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内容不够全面、不够合理，</w:t>
            </w:r>
            <w:r>
              <w:rPr>
                <w:highlight w:val="none"/>
              </w:rPr>
              <w:t>菜品种类方案</w:t>
            </w:r>
            <w:r>
              <w:rPr>
                <w:rFonts w:hint="eastAsia" w:ascii="宋体" w:hAnsi="宋体" w:eastAsia="宋体" w:cs="宋体"/>
                <w:color w:val="000000"/>
                <w:szCs w:val="21"/>
                <w:highlight w:val="none"/>
                <w:lang w:val="en-US" w:eastAsia="zh-CN"/>
              </w:rPr>
              <w:t>不够健全，得4分；</w:t>
            </w:r>
          </w:p>
          <w:p w14:paraId="094AAB3A">
            <w:pPr>
              <w:pStyle w:val="22"/>
              <w:rPr>
                <w:rFonts w:ascii="宋体" w:hAnsi="宋体" w:cs="宋体"/>
                <w:color w:val="000000"/>
                <w:kern w:val="0"/>
                <w:szCs w:val="21"/>
                <w:highlight w:val="none"/>
                <w:lang w:bidi="ar"/>
              </w:rPr>
            </w:pPr>
            <w:r>
              <w:rPr>
                <w:rFonts w:hint="eastAsia" w:ascii="宋体" w:hAnsi="宋体" w:eastAsia="宋体" w:cs="宋体"/>
                <w:color w:val="000000"/>
                <w:szCs w:val="21"/>
                <w:highlight w:val="none"/>
                <w:lang w:val="en-US" w:eastAsia="zh-CN"/>
              </w:rPr>
              <w:t>严重缺项或无此项内容的，得0分。</w:t>
            </w:r>
          </w:p>
        </w:tc>
        <w:tc>
          <w:tcPr>
            <w:tcW w:w="808" w:type="dxa"/>
            <w:tcBorders>
              <w:top w:val="single" w:color="000000" w:sz="4" w:space="0"/>
              <w:left w:val="single" w:color="000000" w:sz="4" w:space="0"/>
              <w:bottom w:val="single" w:color="000000" w:sz="4" w:space="0"/>
              <w:right w:val="single" w:color="000000" w:sz="4" w:space="0"/>
            </w:tcBorders>
            <w:vAlign w:val="center"/>
          </w:tcPr>
          <w:p w14:paraId="70EA8C03">
            <w:pPr>
              <w:widowControl/>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w:t>
            </w:r>
          </w:p>
        </w:tc>
      </w:tr>
      <w:tr w14:paraId="09D6D574">
        <w:tblPrEx>
          <w:tblCellMar>
            <w:top w:w="0" w:type="dxa"/>
            <w:left w:w="108" w:type="dxa"/>
            <w:bottom w:w="0" w:type="dxa"/>
            <w:right w:w="108" w:type="dxa"/>
          </w:tblCellMar>
        </w:tblPrEx>
        <w:trPr>
          <w:trHeight w:val="23" w:hRule="atLeast"/>
        </w:trPr>
        <w:tc>
          <w:tcPr>
            <w:tcW w:w="809" w:type="dxa"/>
            <w:tcBorders>
              <w:top w:val="single" w:color="000000" w:sz="4" w:space="0"/>
              <w:left w:val="single" w:color="000000" w:sz="4" w:space="0"/>
              <w:bottom w:val="single" w:color="000000" w:sz="4" w:space="0"/>
              <w:right w:val="single" w:color="000000" w:sz="4" w:space="0"/>
            </w:tcBorders>
            <w:vAlign w:val="center"/>
          </w:tcPr>
          <w:p w14:paraId="28345EE6">
            <w:pPr>
              <w:widowControl/>
              <w:numPr>
                <w:ilvl w:val="0"/>
                <w:numId w:val="0"/>
              </w:numPr>
              <w:spacing w:line="240" w:lineRule="auto"/>
              <w:ind w:leftChars="0"/>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vAlign w:val="center"/>
          </w:tcPr>
          <w:p w14:paraId="25FEBCA8">
            <w:pPr>
              <w:widowControl/>
              <w:numPr>
                <w:ilvl w:val="0"/>
                <w:numId w:val="0"/>
              </w:numPr>
              <w:spacing w:line="240" w:lineRule="auto"/>
              <w:ind w:leftChars="0"/>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人员培训方案</w:t>
            </w:r>
          </w:p>
        </w:tc>
        <w:tc>
          <w:tcPr>
            <w:tcW w:w="5568" w:type="dxa"/>
            <w:tcBorders>
              <w:top w:val="single" w:color="000000" w:sz="4" w:space="0"/>
              <w:left w:val="single" w:color="000000" w:sz="4" w:space="0"/>
              <w:bottom w:val="single" w:color="000000" w:sz="4" w:space="0"/>
              <w:right w:val="single" w:color="000000" w:sz="4" w:space="0"/>
            </w:tcBorders>
            <w:vAlign w:val="center"/>
          </w:tcPr>
          <w:p w14:paraId="2AA16714">
            <w:pPr>
              <w:widowControl/>
              <w:numPr>
                <w:ilvl w:val="0"/>
                <w:numId w:val="0"/>
              </w:numPr>
              <w:spacing w:line="240" w:lineRule="auto"/>
              <w:ind w:leftChars="0"/>
              <w:jc w:val="left"/>
              <w:textAlignment w:val="center"/>
              <w:rPr>
                <w:highlight w:val="none"/>
              </w:rPr>
            </w:pPr>
            <w:r>
              <w:rPr>
                <w:rFonts w:hint="eastAsia" w:ascii="宋体" w:hAnsi="宋体" w:eastAsia="宋体" w:cs="宋体"/>
                <w:color w:val="000000"/>
                <w:szCs w:val="21"/>
                <w:highlight w:val="none"/>
                <w:lang w:val="en-US" w:eastAsia="zh-CN"/>
              </w:rPr>
              <w:t>供应商根据本项目所提出的人员培训方案。人员培训方案</w:t>
            </w:r>
            <w:r>
              <w:rPr>
                <w:highlight w:val="none"/>
              </w:rPr>
              <w:t>（包括但不限于</w:t>
            </w:r>
            <w:r>
              <w:rPr>
                <w:rFonts w:hint="eastAsia"/>
                <w:highlight w:val="none"/>
              </w:rPr>
              <w:t>工作职责与工作要求、工作程序与操作规范、食堂纪律、工作态度</w:t>
            </w:r>
            <w:r>
              <w:rPr>
                <w:highlight w:val="none"/>
              </w:rPr>
              <w:t>）每个要点均有展开详细的阐述且能够适用于本项目</w:t>
            </w:r>
            <w:r>
              <w:rPr>
                <w:rFonts w:hint="eastAsia"/>
                <w:highlight w:val="none"/>
                <w:lang w:eastAsia="zh-CN"/>
              </w:rPr>
              <w:t>。</w:t>
            </w:r>
            <w:r>
              <w:rPr>
                <w:highlight w:val="none"/>
              </w:rPr>
              <w:t>进行评分：</w:t>
            </w:r>
          </w:p>
          <w:p w14:paraId="7488D7A7">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内容全面、合理，人员培训方案健全，得10分；</w:t>
            </w:r>
          </w:p>
          <w:p w14:paraId="731F1915">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内容比较全面、比较合理，人员培训方案比较健全，得7分；</w:t>
            </w:r>
          </w:p>
          <w:p w14:paraId="6579D0C2">
            <w:pPr>
              <w:widowControl/>
              <w:numPr>
                <w:ilvl w:val="0"/>
                <w:numId w:val="0"/>
              </w:numPr>
              <w:spacing w:line="240" w:lineRule="auto"/>
              <w:ind w:leftChars="0"/>
              <w:jc w:val="left"/>
              <w:textAlignment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内容不够全面、不够合理，人员培训方案不够健全，得4分；</w:t>
            </w:r>
          </w:p>
          <w:p w14:paraId="3DA0E5BC">
            <w:pPr>
              <w:numPr>
                <w:ilvl w:val="0"/>
                <w:numId w:val="0"/>
              </w:numPr>
              <w:spacing w:line="240" w:lineRule="auto"/>
              <w:ind w:leftChars="0"/>
              <w:rPr>
                <w:rFonts w:ascii="宋体" w:hAnsi="宋体" w:cs="宋体"/>
                <w:color w:val="000000"/>
                <w:kern w:val="0"/>
                <w:szCs w:val="21"/>
                <w:highlight w:val="none"/>
                <w:lang w:bidi="ar"/>
              </w:rPr>
            </w:pPr>
            <w:r>
              <w:rPr>
                <w:rFonts w:hint="eastAsia" w:ascii="宋体" w:hAnsi="宋体" w:eastAsia="宋体" w:cs="宋体"/>
                <w:color w:val="000000"/>
                <w:szCs w:val="21"/>
                <w:highlight w:val="none"/>
                <w:lang w:val="en-US" w:eastAsia="zh-CN"/>
              </w:rPr>
              <w:t>严重缺项或无此项内容的，得0分。</w:t>
            </w:r>
          </w:p>
        </w:tc>
        <w:tc>
          <w:tcPr>
            <w:tcW w:w="808" w:type="dxa"/>
            <w:tcBorders>
              <w:top w:val="single" w:color="000000" w:sz="4" w:space="0"/>
              <w:left w:val="single" w:color="000000" w:sz="4" w:space="0"/>
              <w:bottom w:val="single" w:color="000000" w:sz="4" w:space="0"/>
              <w:right w:val="single" w:color="000000" w:sz="4" w:space="0"/>
            </w:tcBorders>
            <w:vAlign w:val="center"/>
          </w:tcPr>
          <w:p w14:paraId="1D06DC04">
            <w:pPr>
              <w:widowControl/>
              <w:spacing w:line="360" w:lineRule="auto"/>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w:t>
            </w:r>
          </w:p>
        </w:tc>
      </w:tr>
      <w:tr w14:paraId="5D6B0E53">
        <w:tblPrEx>
          <w:tblCellMar>
            <w:top w:w="0" w:type="dxa"/>
            <w:left w:w="108" w:type="dxa"/>
            <w:bottom w:w="0" w:type="dxa"/>
            <w:right w:w="108" w:type="dxa"/>
          </w:tblCellMar>
        </w:tblPrEx>
        <w:trPr>
          <w:trHeight w:val="23" w:hRule="atLeast"/>
        </w:trPr>
        <w:tc>
          <w:tcPr>
            <w:tcW w:w="8715" w:type="dxa"/>
            <w:gridSpan w:val="4"/>
            <w:tcBorders>
              <w:top w:val="single" w:color="000000" w:sz="4" w:space="0"/>
              <w:left w:val="single" w:color="000000" w:sz="4" w:space="0"/>
              <w:bottom w:val="single" w:color="000000" w:sz="4" w:space="0"/>
              <w:right w:val="single" w:color="000000" w:sz="4" w:space="0"/>
            </w:tcBorders>
            <w:vAlign w:val="center"/>
          </w:tcPr>
          <w:p w14:paraId="473E3AD9">
            <w:pPr>
              <w:widowControl/>
              <w:numPr>
                <w:ilvl w:val="0"/>
                <w:numId w:val="0"/>
              </w:numPr>
              <w:spacing w:line="240" w:lineRule="auto"/>
              <w:ind w:leftChars="0"/>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 xml:space="preserve">（三）商务评分（ </w:t>
            </w:r>
            <w:r>
              <w:rPr>
                <w:rFonts w:hint="eastAsia" w:ascii="宋体" w:hAnsi="宋体" w:cs="宋体"/>
                <w:b/>
                <w:bCs/>
                <w:color w:val="000000"/>
                <w:kern w:val="0"/>
                <w:szCs w:val="21"/>
                <w:highlight w:val="none"/>
                <w:lang w:val="en-US" w:eastAsia="zh-CN" w:bidi="ar"/>
              </w:rPr>
              <w:t>20</w:t>
            </w:r>
            <w:r>
              <w:rPr>
                <w:rFonts w:hint="eastAsia" w:ascii="宋体" w:hAnsi="宋体" w:cs="宋体"/>
                <w:b/>
                <w:bCs/>
                <w:color w:val="000000"/>
                <w:kern w:val="0"/>
                <w:szCs w:val="21"/>
                <w:highlight w:val="none"/>
                <w:lang w:bidi="ar"/>
              </w:rPr>
              <w:t>分）</w:t>
            </w:r>
          </w:p>
        </w:tc>
      </w:tr>
      <w:tr w14:paraId="1478DF93">
        <w:tblPrEx>
          <w:tblCellMar>
            <w:top w:w="0" w:type="dxa"/>
            <w:left w:w="108" w:type="dxa"/>
            <w:bottom w:w="0" w:type="dxa"/>
            <w:right w:w="108" w:type="dxa"/>
          </w:tblCellMar>
        </w:tblPrEx>
        <w:trPr>
          <w:trHeight w:val="23" w:hRule="atLeast"/>
        </w:trPr>
        <w:tc>
          <w:tcPr>
            <w:tcW w:w="809" w:type="dxa"/>
            <w:tcBorders>
              <w:top w:val="single" w:color="000000" w:sz="8" w:space="0"/>
              <w:left w:val="single" w:color="000000" w:sz="8" w:space="0"/>
              <w:bottom w:val="single" w:color="000000" w:sz="8" w:space="0"/>
              <w:right w:val="single" w:color="000000" w:sz="8" w:space="0"/>
            </w:tcBorders>
            <w:vAlign w:val="center"/>
          </w:tcPr>
          <w:p w14:paraId="397BA5B3">
            <w:pPr>
              <w:widowControl/>
              <w:numPr>
                <w:ilvl w:val="0"/>
                <w:numId w:val="0"/>
              </w:numPr>
              <w:spacing w:line="240" w:lineRule="auto"/>
              <w:ind w:leftChars="0"/>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530" w:type="dxa"/>
            <w:tcBorders>
              <w:top w:val="single" w:color="000000" w:sz="8" w:space="0"/>
              <w:left w:val="single" w:color="000000" w:sz="8" w:space="0"/>
              <w:bottom w:val="single" w:color="000000" w:sz="8" w:space="0"/>
              <w:right w:val="single" w:color="000000" w:sz="8" w:space="0"/>
            </w:tcBorders>
            <w:vAlign w:val="center"/>
          </w:tcPr>
          <w:p w14:paraId="23C19626">
            <w:pPr>
              <w:widowControl/>
              <w:numPr>
                <w:ilvl w:val="0"/>
                <w:numId w:val="0"/>
              </w:numPr>
              <w:spacing w:line="240" w:lineRule="auto"/>
              <w:ind w:leftChars="0"/>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业绩</w:t>
            </w:r>
          </w:p>
        </w:tc>
        <w:tc>
          <w:tcPr>
            <w:tcW w:w="5568" w:type="dxa"/>
            <w:tcBorders>
              <w:top w:val="single" w:color="000000" w:sz="8" w:space="0"/>
              <w:left w:val="single" w:color="000000" w:sz="8" w:space="0"/>
              <w:bottom w:val="single" w:color="000000" w:sz="8" w:space="0"/>
              <w:right w:val="single" w:color="000000" w:sz="8" w:space="0"/>
            </w:tcBorders>
            <w:vAlign w:val="center"/>
          </w:tcPr>
          <w:p w14:paraId="4C201724">
            <w:pPr>
              <w:numPr>
                <w:ilvl w:val="0"/>
                <w:numId w:val="0"/>
              </w:numPr>
              <w:spacing w:line="240" w:lineRule="auto"/>
              <w:ind w:leftChars="0"/>
              <w:jc w:val="left"/>
              <w:rPr>
                <w:rFonts w:ascii="宋体" w:hAnsi="宋体" w:cs="宋体"/>
                <w:szCs w:val="21"/>
                <w:highlight w:val="none"/>
              </w:rPr>
            </w:pPr>
            <w:r>
              <w:rPr>
                <w:rFonts w:hint="eastAsia" w:ascii="宋体" w:hAnsi="宋体" w:cs="宋体"/>
                <w:szCs w:val="21"/>
                <w:highlight w:val="none"/>
              </w:rPr>
              <w:t>供应商近三年</w:t>
            </w:r>
            <w:r>
              <w:rPr>
                <w:rFonts w:hint="eastAsia" w:ascii="宋体" w:hAnsi="宋体" w:cs="宋体"/>
                <w:szCs w:val="21"/>
                <w:highlight w:val="none"/>
                <w:lang w:eastAsia="zh-CN"/>
              </w:rPr>
              <w:t>（</w:t>
            </w:r>
            <w:r>
              <w:rPr>
                <w:rFonts w:hint="eastAsia" w:ascii="宋体" w:hAnsi="宋体" w:cs="宋体"/>
                <w:szCs w:val="21"/>
                <w:highlight w:val="none"/>
                <w:lang w:val="en-US" w:eastAsia="zh-CN"/>
              </w:rPr>
              <w:t>2022年至今</w:t>
            </w:r>
            <w:r>
              <w:rPr>
                <w:rFonts w:hint="eastAsia" w:ascii="宋体" w:hAnsi="宋体" w:cs="宋体"/>
                <w:szCs w:val="21"/>
                <w:highlight w:val="none"/>
                <w:lang w:eastAsia="zh-CN"/>
              </w:rPr>
              <w:t>）</w:t>
            </w:r>
            <w:r>
              <w:rPr>
                <w:rFonts w:hint="eastAsia" w:ascii="宋体" w:hAnsi="宋体" w:cs="宋体"/>
                <w:szCs w:val="21"/>
                <w:highlight w:val="none"/>
              </w:rPr>
              <w:t>完成</w:t>
            </w:r>
            <w:r>
              <w:rPr>
                <w:rFonts w:hint="eastAsia" w:ascii="宋体" w:hAnsi="宋体" w:cs="宋体"/>
                <w:szCs w:val="21"/>
                <w:highlight w:val="none"/>
                <w:lang w:eastAsia="zh-CN"/>
              </w:rPr>
              <w:t>的</w:t>
            </w:r>
            <w:r>
              <w:rPr>
                <w:rFonts w:hint="eastAsia" w:ascii="宋体" w:hAnsi="宋体" w:cs="宋体"/>
                <w:szCs w:val="21"/>
                <w:highlight w:val="none"/>
              </w:rPr>
              <w:t>项目</w:t>
            </w:r>
            <w:r>
              <w:rPr>
                <w:rFonts w:hint="eastAsia" w:ascii="宋体" w:hAnsi="宋体" w:cs="宋体"/>
                <w:szCs w:val="21"/>
                <w:highlight w:val="none"/>
                <w:lang w:val="en-US" w:eastAsia="zh-CN"/>
              </w:rPr>
              <w:t>业绩</w:t>
            </w:r>
            <w:r>
              <w:rPr>
                <w:rFonts w:hint="eastAsia" w:ascii="宋体" w:hAnsi="宋体" w:cs="宋体"/>
                <w:szCs w:val="21"/>
                <w:highlight w:val="none"/>
              </w:rPr>
              <w:t>，每</w:t>
            </w:r>
            <w:r>
              <w:rPr>
                <w:rFonts w:hint="eastAsia" w:ascii="宋体" w:hAnsi="宋体" w:cs="宋体"/>
                <w:szCs w:val="21"/>
                <w:highlight w:val="none"/>
                <w:lang w:val="en-US" w:eastAsia="zh-CN"/>
              </w:rPr>
              <w:t>有1</w:t>
            </w:r>
            <w:r>
              <w:rPr>
                <w:rFonts w:hint="eastAsia" w:ascii="宋体" w:hAnsi="宋体" w:cs="宋体"/>
                <w:szCs w:val="21"/>
                <w:highlight w:val="none"/>
              </w:rPr>
              <w:t>项得2分，满分</w:t>
            </w:r>
            <w:r>
              <w:rPr>
                <w:rFonts w:hint="eastAsia" w:ascii="宋体" w:hAnsi="宋体" w:cs="宋体"/>
                <w:szCs w:val="21"/>
                <w:highlight w:val="none"/>
                <w:lang w:val="en-US" w:eastAsia="zh-CN"/>
              </w:rPr>
              <w:t>10</w:t>
            </w:r>
            <w:r>
              <w:rPr>
                <w:rFonts w:hint="eastAsia" w:ascii="宋体" w:hAnsi="宋体" w:cs="宋体"/>
                <w:szCs w:val="21"/>
                <w:highlight w:val="none"/>
              </w:rPr>
              <w:t>分。</w:t>
            </w:r>
          </w:p>
          <w:p w14:paraId="22913FBF">
            <w:pPr>
              <w:widowControl/>
              <w:numPr>
                <w:ilvl w:val="0"/>
                <w:numId w:val="0"/>
              </w:numPr>
              <w:spacing w:line="240" w:lineRule="auto"/>
              <w:ind w:leftChars="0"/>
              <w:textAlignment w:val="center"/>
              <w:rPr>
                <w:rFonts w:ascii="宋体" w:hAnsi="宋体" w:cs="宋体"/>
                <w:color w:val="000000"/>
                <w:szCs w:val="21"/>
                <w:highlight w:val="none"/>
              </w:rPr>
            </w:pPr>
            <w:r>
              <w:rPr>
                <w:rFonts w:hint="eastAsia" w:ascii="宋体" w:hAnsi="宋体" w:cs="宋体"/>
                <w:szCs w:val="21"/>
                <w:highlight w:val="none"/>
              </w:rPr>
              <w:t>（提供相关合同</w:t>
            </w:r>
            <w:r>
              <w:rPr>
                <w:rFonts w:hint="eastAsia" w:ascii="宋体" w:hAnsi="宋体" w:cs="宋体"/>
                <w:szCs w:val="21"/>
                <w:highlight w:val="none"/>
                <w:lang w:val="en-US" w:eastAsia="zh-CN"/>
              </w:rPr>
              <w:t>或中标通知书</w:t>
            </w:r>
            <w:r>
              <w:rPr>
                <w:rFonts w:hint="eastAsia" w:ascii="宋体" w:hAnsi="宋体" w:cs="宋体"/>
                <w:szCs w:val="21"/>
                <w:highlight w:val="none"/>
              </w:rPr>
              <w:t>完整</w:t>
            </w:r>
            <w:r>
              <w:rPr>
                <w:rFonts w:hint="eastAsia" w:ascii="宋体" w:hAnsi="宋体" w:cs="宋体"/>
                <w:szCs w:val="21"/>
                <w:highlight w:val="none"/>
                <w:lang w:val="en-US" w:eastAsia="zh-CN"/>
              </w:rPr>
              <w:t>扫描件并加盖单位公章</w:t>
            </w:r>
            <w:r>
              <w:rPr>
                <w:rFonts w:hint="eastAsia" w:ascii="宋体" w:hAnsi="宋体" w:cs="宋体"/>
                <w:szCs w:val="21"/>
                <w:highlight w:val="none"/>
              </w:rPr>
              <w:t>，</w:t>
            </w:r>
            <w:r>
              <w:rPr>
                <w:rFonts w:hint="eastAsia" w:ascii="宋体" w:hAnsi="宋体" w:cs="宋体"/>
                <w:szCs w:val="21"/>
                <w:highlight w:val="none"/>
                <w:lang w:val="en-US" w:eastAsia="zh-CN"/>
              </w:rPr>
              <w:t>未加盖单位公章或扫描件</w:t>
            </w:r>
            <w:r>
              <w:rPr>
                <w:rFonts w:hint="eastAsia" w:ascii="宋体" w:hAnsi="宋体" w:cs="宋体"/>
                <w:szCs w:val="21"/>
                <w:highlight w:val="none"/>
              </w:rPr>
              <w:t>文字不清晰、涂改或遮盖视为无效）</w:t>
            </w:r>
          </w:p>
        </w:tc>
        <w:tc>
          <w:tcPr>
            <w:tcW w:w="808" w:type="dxa"/>
            <w:tcBorders>
              <w:top w:val="single" w:color="000000" w:sz="8" w:space="0"/>
              <w:left w:val="single" w:color="000000" w:sz="8" w:space="0"/>
              <w:bottom w:val="single" w:color="000000" w:sz="8" w:space="0"/>
              <w:right w:val="single" w:color="000000" w:sz="8" w:space="0"/>
            </w:tcBorders>
            <w:vAlign w:val="center"/>
          </w:tcPr>
          <w:p w14:paraId="30E8C035">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val="en-US" w:eastAsia="zh-CN" w:bidi="ar"/>
              </w:rPr>
              <w:t>10</w:t>
            </w:r>
          </w:p>
        </w:tc>
      </w:tr>
      <w:tr w14:paraId="3B5B44F8">
        <w:tblPrEx>
          <w:tblCellMar>
            <w:top w:w="0" w:type="dxa"/>
            <w:left w:w="108" w:type="dxa"/>
            <w:bottom w:w="0" w:type="dxa"/>
            <w:right w:w="108" w:type="dxa"/>
          </w:tblCellMar>
        </w:tblPrEx>
        <w:trPr>
          <w:trHeight w:val="23" w:hRule="atLeast"/>
        </w:trPr>
        <w:tc>
          <w:tcPr>
            <w:tcW w:w="809" w:type="dxa"/>
            <w:tcBorders>
              <w:top w:val="single" w:color="000000" w:sz="8" w:space="0"/>
              <w:left w:val="single" w:color="000000" w:sz="8" w:space="0"/>
              <w:bottom w:val="single" w:color="000000" w:sz="8" w:space="0"/>
              <w:right w:val="single" w:color="000000" w:sz="8" w:space="0"/>
            </w:tcBorders>
            <w:vAlign w:val="center"/>
          </w:tcPr>
          <w:p w14:paraId="55CAD759">
            <w:pPr>
              <w:widowControl/>
              <w:numPr>
                <w:ilvl w:val="0"/>
                <w:numId w:val="0"/>
              </w:numPr>
              <w:spacing w:line="240" w:lineRule="auto"/>
              <w:ind w:leftChars="0"/>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w:t>
            </w:r>
          </w:p>
        </w:tc>
        <w:tc>
          <w:tcPr>
            <w:tcW w:w="1530" w:type="dxa"/>
            <w:tcBorders>
              <w:top w:val="single" w:color="000000" w:sz="8" w:space="0"/>
              <w:left w:val="single" w:color="000000" w:sz="8" w:space="0"/>
              <w:bottom w:val="single" w:color="000000" w:sz="8" w:space="0"/>
              <w:right w:val="single" w:color="000000" w:sz="8" w:space="0"/>
            </w:tcBorders>
            <w:vAlign w:val="center"/>
          </w:tcPr>
          <w:p w14:paraId="157AC8CD">
            <w:pPr>
              <w:widowControl/>
              <w:numPr>
                <w:ilvl w:val="0"/>
                <w:numId w:val="0"/>
              </w:numPr>
              <w:spacing w:line="240" w:lineRule="auto"/>
              <w:ind w:left="0" w:leftChars="0" w:firstLine="0" w:firstLineChars="0"/>
              <w:jc w:val="left"/>
              <w:textAlignment w:val="center"/>
              <w:rPr>
                <w:rFonts w:hint="eastAsia" w:ascii="宋体" w:hAnsi="宋体" w:cs="宋体"/>
                <w:color w:val="000000"/>
                <w:kern w:val="0"/>
                <w:szCs w:val="21"/>
                <w:highlight w:val="none"/>
                <w:lang w:bidi="ar"/>
              </w:rPr>
            </w:pPr>
            <w:r>
              <w:rPr>
                <w:rFonts w:hint="eastAsia" w:eastAsia="宋体" w:cs="Times New Roman"/>
                <w:highlight w:val="none"/>
                <w:lang w:val="en-US" w:eastAsia="zh-CN"/>
              </w:rPr>
              <w:t>服务承诺</w:t>
            </w:r>
          </w:p>
        </w:tc>
        <w:tc>
          <w:tcPr>
            <w:tcW w:w="5568" w:type="dxa"/>
            <w:tcBorders>
              <w:top w:val="single" w:color="000000" w:sz="8" w:space="0"/>
              <w:left w:val="single" w:color="000000" w:sz="8" w:space="0"/>
              <w:bottom w:val="single" w:color="000000" w:sz="8" w:space="0"/>
              <w:right w:val="single" w:color="000000" w:sz="8" w:space="0"/>
            </w:tcBorders>
            <w:vAlign w:val="center"/>
          </w:tcPr>
          <w:p w14:paraId="7D99846C">
            <w:pPr>
              <w:widowControl/>
              <w:numPr>
                <w:ilvl w:val="0"/>
                <w:numId w:val="0"/>
              </w:numPr>
              <w:spacing w:line="240" w:lineRule="auto"/>
              <w:ind w:leftChars="0"/>
              <w:jc w:val="left"/>
              <w:textAlignment w:val="center"/>
              <w:rPr>
                <w:rFonts w:hint="eastAsia" w:eastAsia="宋体" w:cs="Times New Roman"/>
                <w:highlight w:val="none"/>
                <w:lang w:val="en-US" w:eastAsia="zh-CN"/>
              </w:rPr>
            </w:pPr>
            <w:r>
              <w:rPr>
                <w:rFonts w:hint="eastAsia" w:eastAsia="宋体" w:cs="Times New Roman"/>
                <w:highlight w:val="none"/>
                <w:lang w:val="en-US" w:eastAsia="zh-CN"/>
              </w:rPr>
              <w:t>供应商根据本项目所提出的服务承诺。服务承诺（包括但不限于服务标准、服务质量、服务时限）等方面作出</w:t>
            </w:r>
            <w:r>
              <w:rPr>
                <w:rFonts w:hint="eastAsia" w:eastAsia="宋体" w:cs="Times New Roman"/>
                <w:highlight w:val="none"/>
              </w:rPr>
              <w:t>详细的阐述</w:t>
            </w:r>
            <w:r>
              <w:rPr>
                <w:rFonts w:hint="eastAsia" w:eastAsia="宋体" w:cs="Times New Roman"/>
                <w:highlight w:val="none"/>
                <w:lang w:val="en-US" w:eastAsia="zh-CN"/>
              </w:rPr>
              <w:t>，进行评分：</w:t>
            </w:r>
          </w:p>
          <w:p w14:paraId="5127CAC7">
            <w:pPr>
              <w:widowControl/>
              <w:numPr>
                <w:ilvl w:val="0"/>
                <w:numId w:val="0"/>
              </w:numPr>
              <w:spacing w:line="240" w:lineRule="auto"/>
              <w:ind w:leftChars="0"/>
              <w:jc w:val="left"/>
              <w:textAlignment w:val="center"/>
              <w:rPr>
                <w:rFonts w:hint="eastAsia" w:eastAsia="宋体" w:cs="Times New Roman"/>
                <w:highlight w:val="none"/>
              </w:rPr>
            </w:pPr>
            <w:r>
              <w:rPr>
                <w:rFonts w:hint="eastAsia" w:eastAsia="宋体" w:cs="Times New Roman"/>
                <w:highlight w:val="none"/>
              </w:rPr>
              <w:t>内容全面、合理、可行，且有针对性的，得</w:t>
            </w:r>
            <w:r>
              <w:rPr>
                <w:rFonts w:hint="eastAsia" w:eastAsia="宋体" w:cs="Times New Roman"/>
                <w:highlight w:val="none"/>
                <w:lang w:val="en-US" w:eastAsia="zh-CN"/>
              </w:rPr>
              <w:t>5</w:t>
            </w:r>
            <w:r>
              <w:rPr>
                <w:rFonts w:hint="eastAsia" w:eastAsia="宋体" w:cs="Times New Roman"/>
                <w:highlight w:val="none"/>
              </w:rPr>
              <w:t>分；</w:t>
            </w:r>
          </w:p>
          <w:p w14:paraId="32AD57A8">
            <w:pPr>
              <w:widowControl/>
              <w:numPr>
                <w:ilvl w:val="0"/>
                <w:numId w:val="0"/>
              </w:numPr>
              <w:spacing w:line="240" w:lineRule="auto"/>
              <w:ind w:leftChars="0"/>
              <w:jc w:val="left"/>
              <w:textAlignment w:val="center"/>
              <w:rPr>
                <w:rFonts w:hint="eastAsia" w:eastAsia="宋体" w:cs="Times New Roman"/>
                <w:highlight w:val="none"/>
              </w:rPr>
            </w:pPr>
            <w:r>
              <w:rPr>
                <w:rFonts w:hint="eastAsia" w:eastAsia="宋体" w:cs="Times New Roman"/>
                <w:highlight w:val="none"/>
              </w:rPr>
              <w:t>内容比较全面，比较合理，比较可行，且比较有针对性的，得</w:t>
            </w:r>
            <w:r>
              <w:rPr>
                <w:rFonts w:hint="eastAsia" w:eastAsia="宋体" w:cs="Times New Roman"/>
                <w:highlight w:val="none"/>
                <w:lang w:val="en-US" w:eastAsia="zh-CN"/>
              </w:rPr>
              <w:t>3</w:t>
            </w:r>
            <w:r>
              <w:rPr>
                <w:rFonts w:hint="eastAsia" w:eastAsia="宋体" w:cs="Times New Roman"/>
                <w:highlight w:val="none"/>
              </w:rPr>
              <w:t>分；</w:t>
            </w:r>
          </w:p>
          <w:p w14:paraId="1DB5CBE2">
            <w:pPr>
              <w:widowControl/>
              <w:numPr>
                <w:ilvl w:val="0"/>
                <w:numId w:val="0"/>
              </w:numPr>
              <w:spacing w:line="240" w:lineRule="auto"/>
              <w:ind w:leftChars="0"/>
              <w:jc w:val="left"/>
              <w:textAlignment w:val="center"/>
              <w:rPr>
                <w:rFonts w:hint="eastAsia" w:eastAsia="宋体" w:cs="Times New Roman"/>
                <w:highlight w:val="none"/>
              </w:rPr>
            </w:pPr>
            <w:r>
              <w:rPr>
                <w:rFonts w:hint="eastAsia" w:eastAsia="宋体" w:cs="Times New Roman"/>
                <w:highlight w:val="none"/>
              </w:rPr>
              <w:t>内容简单，不合理，可行性差，且针对性不强的，得</w:t>
            </w:r>
            <w:r>
              <w:rPr>
                <w:rFonts w:hint="eastAsia" w:eastAsia="宋体" w:cs="Times New Roman"/>
                <w:highlight w:val="none"/>
                <w:lang w:val="en-US" w:eastAsia="zh-CN"/>
              </w:rPr>
              <w:t>1</w:t>
            </w:r>
            <w:r>
              <w:rPr>
                <w:rFonts w:hint="eastAsia" w:eastAsia="宋体" w:cs="Times New Roman"/>
                <w:highlight w:val="none"/>
              </w:rPr>
              <w:t>分；</w:t>
            </w:r>
          </w:p>
          <w:p w14:paraId="76A8BA3B">
            <w:pPr>
              <w:widowControl/>
              <w:numPr>
                <w:ilvl w:val="0"/>
                <w:numId w:val="0"/>
              </w:numPr>
              <w:spacing w:line="240" w:lineRule="auto"/>
              <w:ind w:left="0" w:leftChars="0" w:firstLine="0" w:firstLineChars="0"/>
              <w:jc w:val="left"/>
              <w:textAlignment w:val="center"/>
              <w:rPr>
                <w:rFonts w:hint="eastAsia" w:ascii="宋体" w:hAnsi="宋体" w:cs="宋体"/>
                <w:szCs w:val="21"/>
                <w:highlight w:val="none"/>
              </w:rPr>
            </w:pPr>
            <w:r>
              <w:rPr>
                <w:rFonts w:hint="eastAsia" w:eastAsia="宋体" w:cs="Times New Roman"/>
                <w:highlight w:val="none"/>
              </w:rPr>
              <w:t>严重缺项或无此项内容的，得0分。</w:t>
            </w:r>
          </w:p>
        </w:tc>
        <w:tc>
          <w:tcPr>
            <w:tcW w:w="808" w:type="dxa"/>
            <w:tcBorders>
              <w:top w:val="single" w:color="000000" w:sz="8" w:space="0"/>
              <w:left w:val="single" w:color="000000" w:sz="8" w:space="0"/>
              <w:bottom w:val="single" w:color="000000" w:sz="8" w:space="0"/>
              <w:right w:val="single" w:color="000000" w:sz="8" w:space="0"/>
            </w:tcBorders>
            <w:vAlign w:val="center"/>
          </w:tcPr>
          <w:p w14:paraId="3E005FFC">
            <w:pPr>
              <w:widowControl/>
              <w:spacing w:line="360" w:lineRule="auto"/>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5</w:t>
            </w:r>
          </w:p>
        </w:tc>
      </w:tr>
      <w:tr w14:paraId="5CC39258">
        <w:tblPrEx>
          <w:tblCellMar>
            <w:top w:w="0" w:type="dxa"/>
            <w:left w:w="108" w:type="dxa"/>
            <w:bottom w:w="0" w:type="dxa"/>
            <w:right w:w="108" w:type="dxa"/>
          </w:tblCellMar>
        </w:tblPrEx>
        <w:trPr>
          <w:trHeight w:val="23" w:hRule="atLeast"/>
        </w:trPr>
        <w:tc>
          <w:tcPr>
            <w:tcW w:w="809" w:type="dxa"/>
            <w:tcBorders>
              <w:top w:val="single" w:color="000000" w:sz="8" w:space="0"/>
              <w:left w:val="single" w:color="000000" w:sz="8" w:space="0"/>
              <w:bottom w:val="single" w:color="000000" w:sz="8" w:space="0"/>
              <w:right w:val="single" w:color="000000" w:sz="8" w:space="0"/>
            </w:tcBorders>
            <w:vAlign w:val="center"/>
          </w:tcPr>
          <w:p w14:paraId="67745BC4">
            <w:pPr>
              <w:widowControl/>
              <w:numPr>
                <w:ilvl w:val="0"/>
                <w:numId w:val="0"/>
              </w:numPr>
              <w:spacing w:line="240" w:lineRule="auto"/>
              <w:ind w:leftChars="0"/>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3</w:t>
            </w:r>
          </w:p>
        </w:tc>
        <w:tc>
          <w:tcPr>
            <w:tcW w:w="1530" w:type="dxa"/>
            <w:tcBorders>
              <w:top w:val="single" w:color="000000" w:sz="8" w:space="0"/>
              <w:left w:val="single" w:color="000000" w:sz="8" w:space="0"/>
              <w:bottom w:val="single" w:color="000000" w:sz="8" w:space="0"/>
              <w:right w:val="single" w:color="000000" w:sz="8" w:space="0"/>
            </w:tcBorders>
            <w:vAlign w:val="center"/>
          </w:tcPr>
          <w:p w14:paraId="03FA6C43">
            <w:pPr>
              <w:widowControl/>
              <w:numPr>
                <w:ilvl w:val="0"/>
                <w:numId w:val="0"/>
              </w:numPr>
              <w:spacing w:line="240" w:lineRule="auto"/>
              <w:ind w:left="0" w:leftChars="0" w:firstLine="0" w:firstLineChars="0"/>
              <w:jc w:val="left"/>
              <w:textAlignment w:val="center"/>
              <w:rPr>
                <w:rFonts w:hint="eastAsia" w:ascii="宋体" w:hAnsi="宋体" w:cs="宋体"/>
                <w:color w:val="000000"/>
                <w:kern w:val="0"/>
                <w:szCs w:val="21"/>
                <w:highlight w:val="none"/>
                <w:lang w:bidi="ar"/>
              </w:rPr>
            </w:pPr>
            <w:r>
              <w:rPr>
                <w:rFonts w:hint="eastAsia" w:eastAsia="宋体" w:cs="Times New Roman"/>
                <w:highlight w:val="none"/>
                <w:lang w:val="en-US" w:eastAsia="zh-CN"/>
              </w:rPr>
              <w:t>优惠条件</w:t>
            </w:r>
          </w:p>
        </w:tc>
        <w:tc>
          <w:tcPr>
            <w:tcW w:w="5568" w:type="dxa"/>
            <w:tcBorders>
              <w:top w:val="single" w:color="000000" w:sz="8" w:space="0"/>
              <w:left w:val="single" w:color="000000" w:sz="8" w:space="0"/>
              <w:bottom w:val="single" w:color="auto" w:sz="4" w:space="0"/>
              <w:right w:val="single" w:color="000000" w:sz="8" w:space="0"/>
            </w:tcBorders>
            <w:vAlign w:val="center"/>
          </w:tcPr>
          <w:p w14:paraId="2FB40630">
            <w:pPr>
              <w:widowControl/>
              <w:numPr>
                <w:ilvl w:val="0"/>
                <w:numId w:val="0"/>
              </w:numPr>
              <w:spacing w:line="240" w:lineRule="auto"/>
              <w:ind w:left="0" w:leftChars="0" w:firstLine="0" w:firstLineChars="0"/>
              <w:jc w:val="left"/>
              <w:textAlignment w:val="center"/>
              <w:rPr>
                <w:rFonts w:hint="eastAsia" w:ascii="宋体" w:hAnsi="宋体" w:cs="宋体"/>
                <w:szCs w:val="21"/>
                <w:highlight w:val="none"/>
              </w:rPr>
            </w:pPr>
            <w:r>
              <w:rPr>
                <w:rFonts w:hint="eastAsia" w:eastAsia="宋体" w:cs="Times New Roman"/>
                <w:highlight w:val="none"/>
                <w:lang w:val="en-US" w:eastAsia="zh-CN"/>
              </w:rPr>
              <w:t>每提供一条实质性优惠条件得1分，满分5分。</w:t>
            </w:r>
          </w:p>
        </w:tc>
        <w:tc>
          <w:tcPr>
            <w:tcW w:w="808" w:type="dxa"/>
            <w:tcBorders>
              <w:top w:val="single" w:color="000000" w:sz="8" w:space="0"/>
              <w:left w:val="single" w:color="000000" w:sz="8" w:space="0"/>
              <w:bottom w:val="single" w:color="auto" w:sz="4" w:space="0"/>
              <w:right w:val="single" w:color="000000" w:sz="8" w:space="0"/>
            </w:tcBorders>
            <w:vAlign w:val="center"/>
          </w:tcPr>
          <w:p w14:paraId="52FB008E">
            <w:pPr>
              <w:widowControl/>
              <w:spacing w:line="360" w:lineRule="auto"/>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5</w:t>
            </w:r>
          </w:p>
        </w:tc>
      </w:tr>
    </w:tbl>
    <w:p w14:paraId="1B8A933E">
      <w:pPr>
        <w:pStyle w:val="11"/>
        <w:spacing w:before="11" w:after="1"/>
        <w:rPr>
          <w:rFonts w:hint="eastAsia" w:ascii="宋体" w:hAnsi="宋体" w:eastAsia="宋体" w:cs="宋体"/>
          <w:b/>
          <w:sz w:val="10"/>
          <w:highlight w:val="none"/>
        </w:rPr>
      </w:pPr>
    </w:p>
    <w:p w14:paraId="4E999059">
      <w:pPr>
        <w:pStyle w:val="23"/>
        <w:widowControl w:val="0"/>
        <w:spacing w:beforeAutospacing="0" w:afterAutospacing="0" w:line="360" w:lineRule="auto"/>
        <w:jc w:val="both"/>
        <w:rPr>
          <w:rFonts w:hint="eastAsia" w:ascii="宋体" w:hAnsi="宋体" w:eastAsia="宋体" w:cs="宋体"/>
          <w:b/>
          <w:bCs/>
          <w:kern w:val="2"/>
          <w:highlight w:val="none"/>
        </w:rPr>
      </w:pPr>
      <w:r>
        <w:rPr>
          <w:rFonts w:hint="eastAsia" w:ascii="宋体" w:hAnsi="宋体" w:eastAsia="宋体" w:cs="宋体"/>
          <w:b/>
          <w:bCs/>
          <w:kern w:val="2"/>
          <w:highlight w:val="none"/>
        </w:rPr>
        <w:t>1.4编写评标报告，授权</w:t>
      </w:r>
      <w:r>
        <w:rPr>
          <w:rFonts w:hint="eastAsia" w:ascii="宋体" w:hAnsi="宋体" w:eastAsia="宋体" w:cs="宋体"/>
          <w:b/>
          <w:bCs/>
          <w:kern w:val="2"/>
          <w:highlight w:val="none"/>
          <w:lang w:eastAsia="zh-CN"/>
        </w:rPr>
        <w:t>磋商小组</w:t>
      </w:r>
      <w:r>
        <w:rPr>
          <w:rFonts w:hint="eastAsia" w:ascii="宋体" w:hAnsi="宋体" w:eastAsia="宋体" w:cs="宋体"/>
          <w:b/>
          <w:bCs/>
          <w:kern w:val="2"/>
          <w:highlight w:val="none"/>
        </w:rPr>
        <w:t>确定综合得分排名第一的供应商为成交供应商。</w:t>
      </w:r>
    </w:p>
    <w:p w14:paraId="5007EE54">
      <w:pPr>
        <w:rPr>
          <w:rFonts w:hint="eastAsia" w:ascii="宋体" w:hAnsi="宋体" w:eastAsia="宋体" w:cs="宋体"/>
          <w:sz w:val="24"/>
          <w:highlight w:val="none"/>
        </w:rPr>
      </w:pPr>
      <w:r>
        <w:rPr>
          <w:rFonts w:hint="eastAsia" w:ascii="宋体" w:hAnsi="宋体" w:eastAsia="宋体" w:cs="宋体"/>
          <w:sz w:val="24"/>
          <w:highlight w:val="none"/>
        </w:rPr>
        <w:br w:type="page"/>
      </w:r>
    </w:p>
    <w:p w14:paraId="670EB41B">
      <w:pPr>
        <w:pStyle w:val="3"/>
        <w:rPr>
          <w:rFonts w:hint="eastAsia" w:ascii="宋体" w:hAnsi="宋体" w:cs="宋体"/>
          <w:sz w:val="28"/>
          <w:szCs w:val="28"/>
          <w:highlight w:val="none"/>
          <w:lang w:eastAsia="zh-CN"/>
        </w:rPr>
      </w:pPr>
      <w:bookmarkStart w:id="20" w:name="_Toc6167"/>
      <w:bookmarkStart w:id="21" w:name="_Toc25668"/>
      <w:bookmarkStart w:id="22" w:name="_Toc15349"/>
      <w:bookmarkStart w:id="23" w:name="_Toc4302"/>
      <w:bookmarkStart w:id="24" w:name="_Toc12680"/>
      <w:bookmarkStart w:id="25" w:name="_Toc1684"/>
      <w:bookmarkStart w:id="26" w:name="_Toc8439"/>
      <w:r>
        <w:rPr>
          <w:rFonts w:hint="eastAsia" w:ascii="宋体" w:hAnsi="宋体" w:eastAsia="宋体" w:cs="宋体"/>
          <w:highlight w:val="none"/>
        </w:rPr>
        <w:t>第四章 合同条款</w:t>
      </w:r>
      <w:bookmarkEnd w:id="20"/>
      <w:bookmarkEnd w:id="21"/>
      <w:bookmarkEnd w:id="22"/>
      <w:bookmarkEnd w:id="23"/>
      <w:bookmarkEnd w:id="24"/>
      <w:bookmarkEnd w:id="25"/>
      <w:bookmarkEnd w:id="26"/>
    </w:p>
    <w:p w14:paraId="6A39817F">
      <w:pPr>
        <w:pStyle w:val="23"/>
        <w:widowControl/>
        <w:spacing w:before="240" w:after="60"/>
        <w:jc w:val="center"/>
        <w:outlineLvl w:val="0"/>
        <w:rPr>
          <w:rFonts w:ascii="宋体" w:hAnsi="宋体" w:cs="宋体"/>
          <w:b/>
          <w:bCs/>
          <w:kern w:val="44"/>
          <w:sz w:val="21"/>
          <w:szCs w:val="21"/>
          <w:highlight w:val="none"/>
        </w:rPr>
      </w:pPr>
      <w:r>
        <w:rPr>
          <w:rFonts w:hint="eastAsia" w:ascii="宋体" w:hAnsi="宋体" w:cs="宋体"/>
          <w:sz w:val="21"/>
          <w:szCs w:val="21"/>
          <w:highlight w:val="none"/>
          <w:lang w:bidi="ar"/>
        </w:rPr>
        <w:t>采购合同条款及格式</w:t>
      </w:r>
    </w:p>
    <w:p w14:paraId="7B21DEF4">
      <w:pPr>
        <w:ind w:firstLine="420" w:firstLineChars="200"/>
        <w:rPr>
          <w:rFonts w:ascii="宋体" w:hAnsi="宋体" w:cs="宋体"/>
          <w:szCs w:val="21"/>
          <w:highlight w:val="none"/>
        </w:rPr>
      </w:pPr>
      <w:r>
        <w:rPr>
          <w:rFonts w:hint="eastAsia" w:ascii="宋体" w:hAnsi="宋体" w:cs="宋体"/>
          <w:szCs w:val="21"/>
          <w:highlight w:val="none"/>
          <w:lang w:bidi="ar"/>
        </w:rPr>
        <w:t>合同编号：</w:t>
      </w:r>
    </w:p>
    <w:p w14:paraId="201AA89F">
      <w:pPr>
        <w:ind w:firstLine="420" w:firstLineChars="200"/>
        <w:rPr>
          <w:rFonts w:ascii="宋体" w:hAnsi="宋体" w:cs="宋体"/>
          <w:szCs w:val="21"/>
          <w:highlight w:val="none"/>
        </w:rPr>
      </w:pPr>
      <w:r>
        <w:rPr>
          <w:rFonts w:hint="eastAsia" w:ascii="宋体" w:hAnsi="宋体" w:cs="宋体"/>
          <w:szCs w:val="21"/>
          <w:highlight w:val="none"/>
          <w:lang w:bidi="ar"/>
        </w:rPr>
        <w:t xml:space="preserve">签订地点： </w:t>
      </w:r>
    </w:p>
    <w:p w14:paraId="17D14967">
      <w:pPr>
        <w:ind w:firstLine="420" w:firstLineChars="200"/>
        <w:rPr>
          <w:rFonts w:ascii="宋体" w:hAnsi="宋体" w:cs="宋体"/>
          <w:szCs w:val="21"/>
          <w:highlight w:val="none"/>
        </w:rPr>
      </w:pPr>
      <w:r>
        <w:rPr>
          <w:rFonts w:hint="eastAsia" w:ascii="宋体" w:hAnsi="宋体" w:cs="宋体"/>
          <w:szCs w:val="21"/>
          <w:highlight w:val="none"/>
          <w:lang w:bidi="ar"/>
        </w:rPr>
        <w:t>签订日期：</w:t>
      </w:r>
    </w:p>
    <w:p w14:paraId="583A78B4">
      <w:pPr>
        <w:ind w:firstLine="420" w:firstLineChars="200"/>
        <w:rPr>
          <w:rFonts w:ascii="宋体" w:hAnsi="宋体" w:cs="宋体"/>
          <w:szCs w:val="21"/>
          <w:highlight w:val="none"/>
        </w:rPr>
      </w:pPr>
      <w:r>
        <w:rPr>
          <w:rFonts w:hint="eastAsia" w:ascii="宋体" w:hAnsi="宋体" w:cs="宋体"/>
          <w:szCs w:val="21"/>
          <w:highlight w:val="none"/>
          <w:lang w:bidi="ar"/>
        </w:rPr>
        <w:t>采购任务编号：</w:t>
      </w:r>
    </w:p>
    <w:p w14:paraId="40109C30">
      <w:pPr>
        <w:ind w:firstLine="420" w:firstLineChars="200"/>
        <w:rPr>
          <w:rFonts w:ascii="宋体" w:hAnsi="宋体" w:cs="宋体"/>
          <w:szCs w:val="21"/>
          <w:highlight w:val="none"/>
        </w:rPr>
      </w:pP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（需方）需求的“</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 xml:space="preserve">（项目名称）经        以编号为 </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的</w:t>
      </w:r>
      <w:r>
        <w:rPr>
          <w:rFonts w:hint="eastAsia" w:ascii="宋体" w:hAnsi="宋体" w:cs="宋体"/>
          <w:szCs w:val="21"/>
          <w:highlight w:val="none"/>
          <w:lang w:val="en-US" w:eastAsia="zh-CN" w:bidi="ar"/>
        </w:rPr>
        <w:t>竞争性磋商文件</w:t>
      </w:r>
      <w:r>
        <w:rPr>
          <w:rFonts w:hint="eastAsia" w:ascii="宋体" w:hAnsi="宋体" w:cs="宋体"/>
          <w:szCs w:val="21"/>
          <w:highlight w:val="none"/>
          <w:lang w:bidi="ar"/>
        </w:rPr>
        <w:t>在国内</w:t>
      </w:r>
      <w:r>
        <w:rPr>
          <w:rFonts w:hint="eastAsia" w:ascii="宋体" w:hAnsi="宋体" w:cs="宋体"/>
          <w:szCs w:val="21"/>
          <w:highlight w:val="none"/>
          <w:lang w:val="en-US" w:eastAsia="zh-CN" w:bidi="ar"/>
        </w:rPr>
        <w:t>进行竞争性磋商</w:t>
      </w:r>
      <w:r>
        <w:rPr>
          <w:rFonts w:hint="eastAsia" w:ascii="宋体" w:hAnsi="宋体" w:cs="宋体"/>
          <w:szCs w:val="21"/>
          <w:highlight w:val="none"/>
          <w:lang w:bidi="ar"/>
        </w:rPr>
        <w:t>，经</w:t>
      </w:r>
      <w:r>
        <w:rPr>
          <w:rFonts w:hint="eastAsia" w:ascii="宋体" w:hAnsi="宋体" w:cs="宋体"/>
          <w:szCs w:val="21"/>
          <w:highlight w:val="none"/>
          <w:lang w:eastAsia="zh-CN" w:bidi="ar"/>
        </w:rPr>
        <w:t>磋商小组</w:t>
      </w:r>
      <w:r>
        <w:rPr>
          <w:rFonts w:hint="eastAsia" w:ascii="宋体" w:hAnsi="宋体" w:cs="宋体"/>
          <w:szCs w:val="21"/>
          <w:highlight w:val="none"/>
          <w:lang w:bidi="ar"/>
        </w:rPr>
        <w:t>评定</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（供方）（包号）为</w:t>
      </w:r>
      <w:r>
        <w:rPr>
          <w:rFonts w:hint="eastAsia" w:ascii="宋体" w:hAnsi="宋体" w:cs="宋体"/>
          <w:szCs w:val="21"/>
          <w:highlight w:val="none"/>
          <w:lang w:val="en-US" w:eastAsia="zh-CN" w:bidi="ar"/>
        </w:rPr>
        <w:t>成交供应商</w:t>
      </w:r>
      <w:r>
        <w:rPr>
          <w:rFonts w:hint="eastAsia" w:ascii="宋体" w:hAnsi="宋体" w:cs="宋体"/>
          <w:szCs w:val="21"/>
          <w:highlight w:val="none"/>
          <w:lang w:bidi="ar"/>
        </w:rPr>
        <w:t>。供需双方按照《中华人民共和国</w:t>
      </w:r>
      <w:r>
        <w:rPr>
          <w:rFonts w:hint="eastAsia" w:ascii="宋体" w:hAnsi="宋体" w:cs="宋体"/>
          <w:szCs w:val="21"/>
          <w:highlight w:val="none"/>
          <w:lang w:val="en-US" w:eastAsia="zh-CN" w:bidi="ar"/>
        </w:rPr>
        <w:t>民法典</w:t>
      </w:r>
      <w:r>
        <w:rPr>
          <w:rFonts w:hint="eastAsia" w:ascii="宋体" w:hAnsi="宋体" w:cs="宋体"/>
          <w:szCs w:val="21"/>
          <w:highlight w:val="none"/>
          <w:lang w:bidi="ar"/>
        </w:rPr>
        <w:t>法》和有关法律法规，遵循平等、自愿、公平和诚实信用原则，同意按照下面的条款和条件订立本合同，共同信守。</w:t>
      </w:r>
    </w:p>
    <w:p w14:paraId="43EAFA33">
      <w:pPr>
        <w:ind w:firstLine="422" w:firstLineChars="200"/>
        <w:rPr>
          <w:rFonts w:ascii="宋体" w:hAnsi="宋体" w:cs="宋体"/>
          <w:b/>
          <w:bCs/>
          <w:szCs w:val="21"/>
          <w:highlight w:val="none"/>
        </w:rPr>
      </w:pPr>
      <w:r>
        <w:rPr>
          <w:rFonts w:hint="eastAsia" w:ascii="宋体" w:hAnsi="宋体" w:cs="宋体"/>
          <w:b/>
          <w:bCs/>
          <w:szCs w:val="21"/>
          <w:highlight w:val="none"/>
          <w:lang w:bidi="ar"/>
        </w:rPr>
        <w:t>一、服务项目名称</w:t>
      </w:r>
    </w:p>
    <w:p w14:paraId="6700C873">
      <w:pPr>
        <w:ind w:firstLine="422" w:firstLineChars="200"/>
        <w:rPr>
          <w:rFonts w:ascii="宋体" w:hAnsi="宋体" w:cs="宋体"/>
          <w:b/>
          <w:bCs/>
          <w:szCs w:val="21"/>
          <w:highlight w:val="none"/>
        </w:rPr>
      </w:pPr>
      <w:r>
        <w:rPr>
          <w:rFonts w:hint="eastAsia" w:ascii="宋体" w:hAnsi="宋体" w:cs="宋体"/>
          <w:b/>
          <w:bCs/>
          <w:szCs w:val="21"/>
          <w:highlight w:val="none"/>
          <w:lang w:bidi="ar"/>
        </w:rPr>
        <w:t>二、合同价款</w:t>
      </w:r>
    </w:p>
    <w:p w14:paraId="73A5F731">
      <w:pPr>
        <w:ind w:firstLine="480"/>
        <w:rPr>
          <w:rFonts w:hint="eastAsia" w:ascii="宋体" w:hAnsi="宋体" w:cs="宋体"/>
          <w:szCs w:val="21"/>
          <w:highlight w:val="none"/>
          <w:lang w:bidi="ar"/>
        </w:rPr>
      </w:pPr>
      <w:r>
        <w:rPr>
          <w:rFonts w:hint="eastAsia" w:ascii="宋体" w:hAnsi="宋体" w:cs="宋体"/>
          <w:szCs w:val="21"/>
          <w:highlight w:val="none"/>
          <w:lang w:bidi="ar"/>
        </w:rPr>
        <w:t>2.1合同总价：人民币（大写）              元，（小写）            元。</w:t>
      </w:r>
    </w:p>
    <w:p w14:paraId="72519D80">
      <w:pPr>
        <w:pStyle w:val="7"/>
        <w:ind w:firstLine="420" w:firstLineChars="200"/>
        <w:rPr>
          <w:rFonts w:hint="default" w:ascii="宋体" w:hAnsi="宋体" w:eastAsia="宋体" w:cs="宋体"/>
          <w:b w:val="0"/>
          <w:bCs w:val="0"/>
          <w:kern w:val="2"/>
          <w:sz w:val="21"/>
          <w:szCs w:val="21"/>
          <w:highlight w:val="none"/>
          <w:lang w:val="en-US" w:eastAsia="zh-CN" w:bidi="ar"/>
        </w:rPr>
      </w:pPr>
      <w:r>
        <w:rPr>
          <w:rFonts w:hint="eastAsia" w:ascii="宋体" w:hAnsi="宋体" w:eastAsia="宋体" w:cs="宋体"/>
          <w:b w:val="0"/>
          <w:bCs w:val="0"/>
          <w:kern w:val="2"/>
          <w:sz w:val="21"/>
          <w:szCs w:val="21"/>
          <w:highlight w:val="none"/>
          <w:lang w:val="en-US" w:eastAsia="zh-CN" w:bidi="ar"/>
        </w:rPr>
        <w:t>2.2合同类型：固定总价合同，供应商的报价应当包含为完成本项目全部工作所需的一切费用，包括成本、利润、税金等。</w:t>
      </w:r>
    </w:p>
    <w:p w14:paraId="07B821C8">
      <w:pPr>
        <w:ind w:firstLine="422" w:firstLineChars="200"/>
        <w:rPr>
          <w:rFonts w:ascii="宋体" w:hAnsi="宋体" w:cs="宋体"/>
          <w:b/>
          <w:bCs/>
          <w:szCs w:val="21"/>
          <w:highlight w:val="none"/>
        </w:rPr>
      </w:pPr>
      <w:r>
        <w:rPr>
          <w:rFonts w:hint="eastAsia" w:ascii="宋体" w:hAnsi="宋体" w:cs="宋体"/>
          <w:b/>
          <w:bCs/>
          <w:szCs w:val="21"/>
          <w:highlight w:val="none"/>
          <w:lang w:bidi="ar"/>
        </w:rPr>
        <w:t>三、服务地点及合同履行期限：</w:t>
      </w:r>
    </w:p>
    <w:p w14:paraId="2F09C2E9">
      <w:pPr>
        <w:ind w:firstLine="420" w:firstLineChars="200"/>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bidi="ar"/>
        </w:rPr>
        <w:t>3.1项目地点：长春市市场监督管理局（长春市景阳大路1199号）</w:t>
      </w:r>
      <w:r>
        <w:rPr>
          <w:rFonts w:hint="eastAsia" w:ascii="宋体" w:hAnsi="宋体" w:cs="宋体"/>
          <w:b w:val="0"/>
          <w:bCs w:val="0"/>
          <w:szCs w:val="21"/>
          <w:highlight w:val="none"/>
          <w:lang w:eastAsia="zh-CN" w:bidi="ar"/>
        </w:rPr>
        <w:t>；</w:t>
      </w:r>
    </w:p>
    <w:p w14:paraId="21FC72B3">
      <w:pPr>
        <w:widowControl/>
        <w:jc w:val="left"/>
        <w:textAlignment w:val="top"/>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lang w:bidi="ar"/>
        </w:rPr>
        <w:t xml:space="preserve">    3.2合同履行期限：合同签订之日起</w:t>
      </w:r>
      <w:r>
        <w:rPr>
          <w:rFonts w:hint="eastAsia" w:ascii="宋体" w:hAnsi="宋体" w:cs="宋体"/>
          <w:b w:val="0"/>
          <w:bCs w:val="0"/>
          <w:szCs w:val="21"/>
          <w:highlight w:val="none"/>
          <w:lang w:val="en-US" w:eastAsia="zh-CN" w:bidi="ar"/>
        </w:rPr>
        <w:t>1年</w:t>
      </w:r>
      <w:r>
        <w:rPr>
          <w:rFonts w:hint="eastAsia" w:ascii="宋体" w:hAnsi="宋体" w:cs="宋体"/>
          <w:b w:val="0"/>
          <w:bCs w:val="0"/>
          <w:szCs w:val="21"/>
          <w:highlight w:val="none"/>
          <w:lang w:bidi="ar"/>
        </w:rPr>
        <w:t>；</w:t>
      </w:r>
    </w:p>
    <w:p w14:paraId="5B1A5366">
      <w:pPr>
        <w:ind w:firstLine="422" w:firstLineChars="200"/>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bidi="ar"/>
        </w:rPr>
        <w:t>四、</w:t>
      </w:r>
      <w:r>
        <w:rPr>
          <w:rFonts w:hint="eastAsia" w:ascii="宋体" w:hAnsi="宋体" w:cs="宋体"/>
          <w:b/>
          <w:bCs/>
          <w:szCs w:val="21"/>
          <w:highlight w:val="none"/>
          <w:lang w:bidi="ar"/>
        </w:rPr>
        <w:t>付款</w:t>
      </w:r>
      <w:r>
        <w:rPr>
          <w:rFonts w:hint="eastAsia" w:ascii="宋体" w:hAnsi="宋体" w:cs="宋体"/>
          <w:b/>
          <w:bCs/>
          <w:szCs w:val="21"/>
          <w:highlight w:val="none"/>
          <w:lang w:val="en-US" w:eastAsia="zh-CN" w:bidi="ar"/>
        </w:rPr>
        <w:t>方式及履约担保</w:t>
      </w:r>
    </w:p>
    <w:p w14:paraId="1426217F">
      <w:pPr>
        <w:spacing w:line="240" w:lineRule="auto"/>
        <w:ind w:firstLine="420" w:firstLineChars="200"/>
        <w:rPr>
          <w:rFonts w:hint="eastAsia" w:ascii="宋体" w:hAnsi="宋体" w:cs="宋体"/>
          <w:b w:val="0"/>
          <w:bCs/>
          <w:szCs w:val="21"/>
          <w:highlight w:val="none"/>
          <w:lang w:val="en-US" w:eastAsia="zh-CN" w:bidi="ar"/>
        </w:rPr>
      </w:pPr>
      <w:r>
        <w:rPr>
          <w:rFonts w:hint="eastAsia" w:ascii="宋体" w:hAnsi="宋体" w:cs="宋体"/>
          <w:b w:val="0"/>
          <w:bCs/>
          <w:szCs w:val="21"/>
          <w:highlight w:val="none"/>
          <w:lang w:val="en-US" w:eastAsia="zh-CN" w:bidi="ar"/>
        </w:rPr>
        <w:t>4.1付款方式：以合同总价款平均12个月，按月付款，每月15日前支付上个月份服务费。</w:t>
      </w:r>
    </w:p>
    <w:p w14:paraId="040CB677">
      <w:pPr>
        <w:ind w:firstLine="420" w:firstLineChars="200"/>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b w:val="0"/>
          <w:bCs w:val="0"/>
          <w:kern w:val="2"/>
          <w:sz w:val="21"/>
          <w:szCs w:val="21"/>
          <w:highlight w:val="none"/>
          <w:lang w:val="en-US" w:eastAsia="zh-CN" w:bidi="ar"/>
        </w:rPr>
        <w:t>4.2履约</w:t>
      </w:r>
      <w:r>
        <w:rPr>
          <w:rFonts w:hint="eastAsia" w:ascii="宋体" w:hAnsi="宋体" w:cs="宋体"/>
          <w:b w:val="0"/>
          <w:bCs w:val="0"/>
          <w:kern w:val="2"/>
          <w:sz w:val="21"/>
          <w:szCs w:val="21"/>
          <w:highlight w:val="none"/>
          <w:lang w:val="en-US" w:eastAsia="zh-CN" w:bidi="ar"/>
        </w:rPr>
        <w:t>担保</w:t>
      </w:r>
      <w:r>
        <w:rPr>
          <w:rFonts w:hint="eastAsia" w:ascii="宋体" w:hAnsi="宋体" w:eastAsia="宋体" w:cs="宋体"/>
          <w:b w:val="0"/>
          <w:bCs w:val="0"/>
          <w:kern w:val="2"/>
          <w:sz w:val="21"/>
          <w:szCs w:val="21"/>
          <w:highlight w:val="none"/>
          <w:lang w:val="en-US" w:eastAsia="zh-CN" w:bidi="ar"/>
        </w:rPr>
        <w:t>：</w:t>
      </w:r>
      <w:r>
        <w:rPr>
          <w:rFonts w:hint="eastAsia" w:ascii="宋体" w:hAnsi="宋体" w:cs="宋体"/>
          <w:b w:val="0"/>
          <w:bCs w:val="0"/>
          <w:kern w:val="2"/>
          <w:sz w:val="21"/>
          <w:szCs w:val="21"/>
          <w:highlight w:val="none"/>
          <w:lang w:val="en-US" w:eastAsia="zh-CN" w:bidi="ar"/>
        </w:rPr>
        <w:t>无</w:t>
      </w:r>
      <w:r>
        <w:rPr>
          <w:rFonts w:hint="eastAsia" w:ascii="宋体" w:hAnsi="宋体" w:eastAsia="宋体" w:cs="宋体"/>
          <w:b w:val="0"/>
          <w:bCs w:val="0"/>
          <w:kern w:val="2"/>
          <w:sz w:val="21"/>
          <w:szCs w:val="21"/>
          <w:highlight w:val="none"/>
          <w:lang w:val="en-US" w:eastAsia="zh-CN" w:bidi="ar"/>
        </w:rPr>
        <w:t>。</w:t>
      </w:r>
    </w:p>
    <w:p w14:paraId="46741373">
      <w:pPr>
        <w:ind w:firstLine="422" w:firstLineChars="200"/>
        <w:rPr>
          <w:rFonts w:hint="eastAsia" w:ascii="宋体" w:hAnsi="宋体" w:eastAsia="宋体" w:cs="宋体"/>
          <w:b w:val="0"/>
          <w:bCs w:val="0"/>
          <w:kern w:val="2"/>
          <w:sz w:val="21"/>
          <w:szCs w:val="21"/>
          <w:highlight w:val="none"/>
          <w:lang w:val="en-US" w:eastAsia="zh-CN" w:bidi="ar"/>
        </w:rPr>
      </w:pPr>
      <w:r>
        <w:rPr>
          <w:rFonts w:hint="eastAsia" w:ascii="宋体" w:hAnsi="宋体" w:cs="宋体"/>
          <w:b/>
          <w:bCs/>
          <w:kern w:val="2"/>
          <w:sz w:val="21"/>
          <w:szCs w:val="21"/>
          <w:highlight w:val="none"/>
          <w:lang w:val="en-US" w:eastAsia="zh-CN" w:bidi="ar"/>
        </w:rPr>
        <w:t>五</w:t>
      </w:r>
      <w:r>
        <w:rPr>
          <w:rFonts w:hint="eastAsia" w:ascii="宋体" w:hAnsi="宋体" w:eastAsia="宋体" w:cs="宋体"/>
          <w:b/>
          <w:bCs/>
          <w:kern w:val="2"/>
          <w:sz w:val="21"/>
          <w:szCs w:val="21"/>
          <w:highlight w:val="none"/>
          <w:lang w:val="en-US" w:eastAsia="zh-CN" w:bidi="ar"/>
        </w:rPr>
        <w:t>、服务标准</w:t>
      </w:r>
      <w:r>
        <w:rPr>
          <w:rFonts w:hint="eastAsia" w:ascii="宋体" w:hAnsi="宋体" w:eastAsia="宋体" w:cs="宋体"/>
          <w:b w:val="0"/>
          <w:bCs w:val="0"/>
          <w:kern w:val="2"/>
          <w:sz w:val="21"/>
          <w:szCs w:val="21"/>
          <w:highlight w:val="none"/>
          <w:lang w:val="en-US" w:eastAsia="zh-CN" w:bidi="ar"/>
        </w:rPr>
        <w:t>：符合国家、行业规定的合格标准及采购人要求。</w:t>
      </w:r>
    </w:p>
    <w:p w14:paraId="1C61C28A">
      <w:pPr>
        <w:ind w:firstLine="422" w:firstLineChars="200"/>
        <w:rPr>
          <w:rFonts w:hint="eastAsia" w:ascii="宋体" w:hAnsi="宋体" w:cs="宋体"/>
          <w:b/>
          <w:bCs/>
          <w:szCs w:val="21"/>
          <w:highlight w:val="none"/>
          <w:lang w:bidi="ar"/>
        </w:rPr>
      </w:pPr>
      <w:r>
        <w:rPr>
          <w:rFonts w:hint="eastAsia" w:ascii="宋体" w:hAnsi="宋体" w:cs="宋体"/>
          <w:b/>
          <w:bCs/>
          <w:szCs w:val="21"/>
          <w:highlight w:val="none"/>
          <w:lang w:bidi="ar"/>
        </w:rPr>
        <w:t>六、验收</w:t>
      </w:r>
    </w:p>
    <w:p w14:paraId="2DB675AB">
      <w:pPr>
        <w:ind w:firstLine="440" w:firstLineChars="200"/>
        <w:rPr>
          <w:rFonts w:hint="eastAsia" w:ascii="宋体" w:hAnsi="宋体"/>
          <w:sz w:val="22"/>
          <w:szCs w:val="24"/>
          <w:highlight w:val="none"/>
        </w:rPr>
      </w:pPr>
      <w:r>
        <w:rPr>
          <w:rFonts w:hint="eastAsia" w:ascii="宋体" w:hAnsi="宋体"/>
          <w:sz w:val="22"/>
          <w:szCs w:val="24"/>
          <w:highlight w:val="none"/>
          <w:lang w:val="en-US" w:eastAsia="zh-CN"/>
        </w:rPr>
        <w:t>6.1</w:t>
      </w:r>
      <w:r>
        <w:rPr>
          <w:rFonts w:hint="eastAsia" w:ascii="宋体" w:hAnsi="宋体"/>
          <w:sz w:val="22"/>
          <w:szCs w:val="24"/>
          <w:highlight w:val="none"/>
        </w:rPr>
        <w:t>成立验收小组成立验收工作小组</w:t>
      </w:r>
    </w:p>
    <w:p w14:paraId="35C7AFFE">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由需</w:t>
      </w:r>
      <w:r>
        <w:rPr>
          <w:rFonts w:hint="eastAsia" w:ascii="宋体" w:hAnsi="宋体" w:cs="宋体"/>
          <w:color w:val="auto"/>
          <w:szCs w:val="21"/>
          <w:highlight w:val="none"/>
          <w:lang w:val="en-US" w:eastAsia="zh-CN" w:bidi="ar"/>
        </w:rPr>
        <w:t>求</w:t>
      </w:r>
      <w:r>
        <w:rPr>
          <w:rFonts w:hint="eastAsia" w:ascii="宋体" w:hAnsi="宋体" w:cs="宋体"/>
          <w:color w:val="auto"/>
          <w:szCs w:val="21"/>
          <w:highlight w:val="none"/>
          <w:lang w:bidi="ar"/>
        </w:rPr>
        <w:t>方组成验收工作小组。验收小组成员应为单数。</w:t>
      </w:r>
    </w:p>
    <w:p w14:paraId="3CE3B9EE">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6.2制定验收方案</w:t>
      </w:r>
    </w:p>
    <w:p w14:paraId="13D2DF20">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验收小组成立后应当根据项目的具体情况，制定详细的采购项目履约验收工作方案，验收小组成员应当在实施履约验收前掌握该采购项目的采购需求、验收清单和标准及政府采购合同内约定的双方权利义务并完成其他验收前相应的准备工作。</w:t>
      </w:r>
    </w:p>
    <w:p w14:paraId="778F7931">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6.3验收程序与要求 </w:t>
      </w:r>
    </w:p>
    <w:p w14:paraId="712AAFBA">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6.3.1验收应在</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 xml:space="preserve">履行完合同义务起十个工作日后，由需求方提出并组织进行履约验收。 </w:t>
      </w:r>
    </w:p>
    <w:p w14:paraId="3F4F22A7">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6.3.2验收应以采购合同、招投标（采购）及其补充文件、国家或行业相关标准、封存样品为验收的主要依据。 </w:t>
      </w:r>
    </w:p>
    <w:p w14:paraId="000A58BA">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6.3.3验收小组成员应到合同标的交付现场进行实地审查验收。根据标的所示清单逐一进行检查，对标的进行检测试验或演试，检查安装调试运行情况以及了解相关人员的培训情况，验收时，应做好验收记录。验收记录必须精确、详细的记载和反应采购项目重要事项的履约情况。</w:t>
      </w:r>
    </w:p>
    <w:p w14:paraId="63D28789">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6.4出具验收报告 </w:t>
      </w:r>
    </w:p>
    <w:p w14:paraId="3B9EC18D">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6.4.1验收小组完成验收后，应出具验收报告，所有验收情况应在验收报告中进行详细记录和如实反应，验收过程中发现问题应提出相应处理办法。 </w:t>
      </w:r>
    </w:p>
    <w:p w14:paraId="076FE29B">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6.4.2验收小组应对验收结果作出结论性的意见，在验收报告上签字确认并对验收报告的内容负责。有不同意见的，应当写明意见并说明理由，签字但不写明理由的视同为无意见，拒不签字又不另行书面说明的，视同为同意验收结果。</w:t>
      </w:r>
    </w:p>
    <w:p w14:paraId="658DC57B">
      <w:pPr>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6.4.3验收报告单与采购合同、发票作为支付合同金额款项的必备依据。验收时发现问题应立马通知</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进行处理并严格按合同履约，因故不能及时纠正应向财政部门报告。</w:t>
      </w:r>
    </w:p>
    <w:p w14:paraId="741BB60B">
      <w:pPr>
        <w:ind w:firstLine="422" w:firstLineChars="200"/>
        <w:rPr>
          <w:rFonts w:hint="eastAsia" w:ascii="宋体" w:hAnsi="宋体" w:eastAsia="宋体" w:cs="宋体"/>
          <w:b/>
          <w:bCs/>
          <w:szCs w:val="21"/>
          <w:highlight w:val="none"/>
          <w:lang w:eastAsia="zh-CN" w:bidi="ar"/>
        </w:rPr>
      </w:pPr>
      <w:r>
        <w:rPr>
          <w:rFonts w:hint="eastAsia" w:ascii="宋体" w:hAnsi="宋体" w:cs="宋体"/>
          <w:b/>
          <w:bCs/>
          <w:szCs w:val="21"/>
          <w:highlight w:val="none"/>
          <w:lang w:bidi="ar"/>
        </w:rPr>
        <w:t>七、知识产权及有关规定</w:t>
      </w:r>
    </w:p>
    <w:p w14:paraId="29017E1E">
      <w:pPr>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bidi="ar"/>
        </w:rPr>
        <w:t>7.</w:t>
      </w:r>
      <w:r>
        <w:rPr>
          <w:rFonts w:hint="eastAsia" w:ascii="宋体" w:hAnsi="宋体" w:cs="宋体"/>
          <w:szCs w:val="21"/>
          <w:highlight w:val="none"/>
          <w:lang w:val="en-US" w:eastAsia="zh-CN" w:bidi="ar"/>
        </w:rPr>
        <w:t>1</w:t>
      </w:r>
      <w:r>
        <w:rPr>
          <w:rFonts w:hint="eastAsia" w:ascii="宋体" w:hAnsi="宋体" w:cs="宋体"/>
          <w:szCs w:val="21"/>
          <w:highlight w:val="none"/>
          <w:lang w:bidi="ar"/>
        </w:rPr>
        <w:t>知识产权的归属</w:t>
      </w:r>
      <w:r>
        <w:rPr>
          <w:rFonts w:hint="eastAsia" w:ascii="宋体" w:hAnsi="宋体" w:cs="宋体"/>
          <w:szCs w:val="21"/>
          <w:highlight w:val="none"/>
          <w:lang w:val="en-US" w:eastAsia="zh-CN" w:bidi="ar"/>
        </w:rPr>
        <w:t>于：无。</w:t>
      </w:r>
    </w:p>
    <w:p w14:paraId="2503331C">
      <w:pPr>
        <w:ind w:firstLine="422" w:firstLineChars="200"/>
        <w:rPr>
          <w:rFonts w:ascii="宋体" w:hAnsi="宋体" w:cs="宋体"/>
          <w:b/>
          <w:bCs/>
          <w:szCs w:val="21"/>
          <w:highlight w:val="none"/>
        </w:rPr>
      </w:pPr>
      <w:r>
        <w:rPr>
          <w:rFonts w:hint="eastAsia" w:ascii="宋体" w:hAnsi="宋体" w:cs="宋体"/>
          <w:b/>
          <w:bCs/>
          <w:szCs w:val="21"/>
          <w:highlight w:val="none"/>
          <w:lang w:bidi="ar"/>
        </w:rPr>
        <w:t>八、伴随服务</w:t>
      </w:r>
    </w:p>
    <w:p w14:paraId="2DE24938">
      <w:pPr>
        <w:ind w:firstLine="420" w:firstLineChars="200"/>
        <w:rPr>
          <w:rFonts w:ascii="宋体" w:hAnsi="宋体" w:cs="宋体"/>
          <w:szCs w:val="21"/>
          <w:highlight w:val="none"/>
        </w:rPr>
      </w:pPr>
      <w:r>
        <w:rPr>
          <w:rFonts w:hint="eastAsia" w:ascii="宋体" w:hAnsi="宋体" w:cs="宋体"/>
          <w:szCs w:val="21"/>
          <w:highlight w:val="none"/>
          <w:lang w:bidi="ar"/>
        </w:rPr>
        <w:t>8.1供方应提供服务成果的全套文件资料。</w:t>
      </w:r>
    </w:p>
    <w:p w14:paraId="6C190552">
      <w:pPr>
        <w:ind w:firstLine="420" w:firstLineChars="200"/>
        <w:rPr>
          <w:rFonts w:ascii="宋体" w:hAnsi="宋体" w:cs="宋体"/>
          <w:szCs w:val="21"/>
          <w:highlight w:val="none"/>
        </w:rPr>
      </w:pPr>
      <w:r>
        <w:rPr>
          <w:rFonts w:hint="eastAsia" w:ascii="宋体" w:hAnsi="宋体" w:cs="宋体"/>
          <w:szCs w:val="21"/>
          <w:highlight w:val="none"/>
          <w:lang w:bidi="ar"/>
        </w:rPr>
        <w:t>8.2上述伴随服务的费用应包含在合同价中，不单独进行支付。</w:t>
      </w:r>
    </w:p>
    <w:p w14:paraId="6E7CE926">
      <w:pPr>
        <w:ind w:firstLine="422" w:firstLineChars="200"/>
        <w:rPr>
          <w:rFonts w:ascii="宋体" w:hAnsi="宋体" w:cs="宋体"/>
          <w:b/>
          <w:bCs/>
          <w:szCs w:val="21"/>
          <w:highlight w:val="none"/>
        </w:rPr>
      </w:pPr>
      <w:r>
        <w:rPr>
          <w:rFonts w:hint="eastAsia" w:ascii="宋体" w:hAnsi="宋体" w:cs="宋体"/>
          <w:b/>
          <w:bCs/>
          <w:szCs w:val="21"/>
          <w:highlight w:val="none"/>
          <w:lang w:val="en-US" w:eastAsia="zh-CN" w:bidi="ar"/>
        </w:rPr>
        <w:t>九、</w:t>
      </w:r>
      <w:r>
        <w:rPr>
          <w:rFonts w:hint="eastAsia" w:ascii="宋体" w:hAnsi="宋体" w:cs="宋体"/>
          <w:b/>
          <w:bCs/>
          <w:szCs w:val="21"/>
          <w:highlight w:val="none"/>
          <w:lang w:bidi="ar"/>
        </w:rPr>
        <w:t>质量保证期</w:t>
      </w:r>
      <w:r>
        <w:rPr>
          <w:rFonts w:hint="eastAsia" w:ascii="宋体" w:hAnsi="宋体" w:cs="宋体"/>
          <w:b/>
          <w:bCs/>
          <w:szCs w:val="21"/>
          <w:highlight w:val="none"/>
          <w:lang w:eastAsia="zh-CN" w:bidi="ar"/>
        </w:rPr>
        <w:t>（</w:t>
      </w:r>
      <w:r>
        <w:rPr>
          <w:rFonts w:hint="eastAsia" w:ascii="宋体" w:hAnsi="宋体" w:cs="宋体"/>
          <w:b/>
          <w:bCs/>
          <w:szCs w:val="21"/>
          <w:highlight w:val="none"/>
          <w:lang w:bidi="ar"/>
        </w:rPr>
        <w:t>服务期</w:t>
      </w:r>
      <w:r>
        <w:rPr>
          <w:rFonts w:hint="eastAsia" w:ascii="宋体" w:hAnsi="宋体" w:cs="宋体"/>
          <w:b/>
          <w:bCs/>
          <w:szCs w:val="21"/>
          <w:highlight w:val="none"/>
          <w:lang w:eastAsia="zh-CN" w:bidi="ar"/>
        </w:rPr>
        <w:t>）</w:t>
      </w:r>
      <w:r>
        <w:rPr>
          <w:rFonts w:hint="eastAsia" w:ascii="宋体" w:hAnsi="宋体" w:cs="宋体"/>
          <w:b/>
          <w:bCs/>
          <w:szCs w:val="21"/>
          <w:highlight w:val="none"/>
          <w:lang w:bidi="ar"/>
        </w:rPr>
        <w:t>及售后服务</w:t>
      </w:r>
    </w:p>
    <w:p w14:paraId="7D4CDA95">
      <w:pPr>
        <w:ind w:firstLine="420" w:firstLineChars="200"/>
        <w:rPr>
          <w:rFonts w:hint="eastAsia" w:ascii="宋体" w:hAnsi="宋体" w:cs="宋体"/>
          <w:bCs/>
          <w:szCs w:val="21"/>
          <w:highlight w:val="none"/>
          <w:lang w:bidi="ar"/>
        </w:rPr>
      </w:pPr>
      <w:r>
        <w:rPr>
          <w:rFonts w:hint="eastAsia" w:ascii="宋体" w:hAnsi="宋体" w:cs="宋体"/>
          <w:bCs/>
          <w:color w:val="auto"/>
          <w:szCs w:val="21"/>
          <w:highlight w:val="none"/>
          <w:lang w:bidi="ar"/>
        </w:rPr>
        <w:t>9.</w:t>
      </w: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服务要求：提供最优质、最快捷、最满意的售后服务，以合同要求为准。</w:t>
      </w:r>
    </w:p>
    <w:p w14:paraId="62F7CCAB">
      <w:pPr>
        <w:ind w:firstLine="422" w:firstLineChars="200"/>
        <w:rPr>
          <w:rFonts w:ascii="宋体" w:hAnsi="宋体" w:cs="宋体"/>
          <w:b/>
          <w:bCs/>
          <w:szCs w:val="21"/>
          <w:highlight w:val="none"/>
        </w:rPr>
      </w:pPr>
      <w:r>
        <w:rPr>
          <w:rFonts w:hint="eastAsia" w:ascii="宋体" w:hAnsi="宋体" w:cs="宋体"/>
          <w:b/>
          <w:bCs/>
          <w:szCs w:val="21"/>
          <w:highlight w:val="none"/>
          <w:lang w:val="en-US" w:eastAsia="zh-CN" w:bidi="ar"/>
        </w:rPr>
        <w:t>十、</w:t>
      </w:r>
      <w:r>
        <w:rPr>
          <w:rFonts w:hint="eastAsia" w:ascii="宋体" w:hAnsi="宋体" w:cs="宋体"/>
          <w:b/>
          <w:bCs/>
          <w:szCs w:val="21"/>
          <w:highlight w:val="none"/>
          <w:lang w:bidi="ar"/>
        </w:rPr>
        <w:t>质量保证</w:t>
      </w:r>
    </w:p>
    <w:p w14:paraId="4364077B">
      <w:pPr>
        <w:ind w:left="420" w:leftChars="200"/>
        <w:rPr>
          <w:rFonts w:ascii="宋体" w:hAnsi="宋体" w:cs="宋体"/>
          <w:bCs/>
          <w:szCs w:val="21"/>
          <w:highlight w:val="none"/>
        </w:rPr>
      </w:pPr>
      <w:r>
        <w:rPr>
          <w:rFonts w:hint="eastAsia" w:ascii="宋体" w:hAnsi="宋体" w:cs="宋体"/>
          <w:bCs/>
          <w:szCs w:val="21"/>
          <w:highlight w:val="none"/>
          <w:lang w:bidi="ar"/>
        </w:rPr>
        <w:t>应满足国家有关行业的质量要求，提供优质服务。</w:t>
      </w:r>
    </w:p>
    <w:p w14:paraId="1909E6A7">
      <w:pPr>
        <w:ind w:firstLine="422" w:firstLineChars="200"/>
        <w:rPr>
          <w:rFonts w:ascii="宋体" w:hAnsi="宋体" w:cs="宋体"/>
          <w:b/>
          <w:bCs/>
          <w:szCs w:val="21"/>
          <w:highlight w:val="none"/>
        </w:rPr>
      </w:pPr>
      <w:r>
        <w:rPr>
          <w:rFonts w:hint="eastAsia" w:ascii="宋体" w:hAnsi="宋体" w:cs="宋体"/>
          <w:b/>
          <w:bCs/>
          <w:szCs w:val="21"/>
          <w:highlight w:val="none"/>
          <w:lang w:bidi="ar"/>
        </w:rPr>
        <w:t>十一、不可抗力</w:t>
      </w:r>
    </w:p>
    <w:p w14:paraId="64578833">
      <w:pPr>
        <w:rPr>
          <w:rFonts w:ascii="宋体" w:hAnsi="宋体" w:cs="宋体"/>
          <w:szCs w:val="21"/>
          <w:highlight w:val="none"/>
        </w:rPr>
      </w:pPr>
      <w:r>
        <w:rPr>
          <w:rFonts w:hint="eastAsia" w:ascii="宋体" w:hAnsi="宋体" w:cs="宋体"/>
          <w:szCs w:val="21"/>
          <w:highlight w:val="none"/>
          <w:lang w:bidi="ar"/>
        </w:rPr>
        <w:t xml:space="preserve">    11.1 如果供需双方因不可抗力而导致合同实施延误或不能履行合同义务，不应该承担误期赔偿或不能履行合同义务的责任。</w:t>
      </w:r>
    </w:p>
    <w:p w14:paraId="7BA61BA1">
      <w:pPr>
        <w:rPr>
          <w:rFonts w:ascii="宋体" w:hAnsi="宋体" w:cs="宋体"/>
          <w:szCs w:val="21"/>
          <w:highlight w:val="none"/>
        </w:rPr>
      </w:pPr>
      <w:r>
        <w:rPr>
          <w:rFonts w:hint="eastAsia" w:ascii="宋体" w:hAnsi="宋体" w:cs="宋体"/>
          <w:szCs w:val="21"/>
          <w:highlight w:val="none"/>
          <w:lang w:bidi="ar"/>
        </w:rPr>
        <w:t xml:space="preserve">    11.2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02F52C85">
      <w:pPr>
        <w:ind w:firstLine="420" w:firstLineChars="200"/>
        <w:rPr>
          <w:rFonts w:ascii="宋体" w:hAnsi="宋体" w:cs="宋体"/>
          <w:szCs w:val="21"/>
          <w:highlight w:val="none"/>
        </w:rPr>
      </w:pPr>
      <w:r>
        <w:rPr>
          <w:rFonts w:hint="eastAsia" w:ascii="宋体" w:hAnsi="宋体" w:cs="宋体"/>
          <w:szCs w:val="21"/>
          <w:highlight w:val="none"/>
          <w:lang w:bidi="ar"/>
        </w:rPr>
        <w:t>11.3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0A03A534">
      <w:pPr>
        <w:ind w:firstLine="422" w:firstLineChars="200"/>
        <w:rPr>
          <w:rFonts w:ascii="宋体" w:hAnsi="宋体" w:cs="宋体"/>
          <w:b/>
          <w:bCs/>
          <w:szCs w:val="21"/>
          <w:highlight w:val="none"/>
        </w:rPr>
      </w:pPr>
      <w:r>
        <w:rPr>
          <w:rFonts w:hint="eastAsia" w:ascii="宋体" w:hAnsi="宋体" w:cs="宋体"/>
          <w:b/>
          <w:bCs/>
          <w:szCs w:val="21"/>
          <w:highlight w:val="none"/>
          <w:lang w:bidi="ar"/>
        </w:rPr>
        <w:t>十二、税费</w:t>
      </w:r>
    </w:p>
    <w:p w14:paraId="0A15FB21">
      <w:pPr>
        <w:rPr>
          <w:rFonts w:ascii="宋体" w:hAnsi="宋体" w:cs="宋体"/>
          <w:szCs w:val="21"/>
          <w:highlight w:val="none"/>
        </w:rPr>
      </w:pPr>
      <w:r>
        <w:rPr>
          <w:rFonts w:hint="eastAsia" w:ascii="宋体" w:hAnsi="宋体" w:cs="宋体"/>
          <w:szCs w:val="21"/>
          <w:highlight w:val="none"/>
          <w:lang w:bidi="ar"/>
        </w:rPr>
        <w:t xml:space="preserve">    12.1 根据现行法律规定对需方征收的与本合同有关的一切税费均由需方负担。</w:t>
      </w:r>
    </w:p>
    <w:p w14:paraId="13BA1AF8">
      <w:pPr>
        <w:rPr>
          <w:rFonts w:ascii="宋体" w:hAnsi="宋体" w:cs="宋体"/>
          <w:szCs w:val="21"/>
          <w:highlight w:val="none"/>
        </w:rPr>
      </w:pPr>
      <w:r>
        <w:rPr>
          <w:rFonts w:hint="eastAsia" w:ascii="宋体" w:hAnsi="宋体" w:cs="宋体"/>
          <w:szCs w:val="21"/>
          <w:highlight w:val="none"/>
          <w:lang w:bidi="ar"/>
        </w:rPr>
        <w:t xml:space="preserve">    12.2 根据现行法律规定对供方征收的与本合同有关的一切税费均由供方负担。</w:t>
      </w:r>
    </w:p>
    <w:p w14:paraId="3B5DF1C3">
      <w:pPr>
        <w:ind w:firstLine="420" w:firstLineChars="200"/>
        <w:rPr>
          <w:rFonts w:ascii="宋体" w:hAnsi="宋体" w:cs="宋体"/>
          <w:szCs w:val="21"/>
          <w:highlight w:val="none"/>
        </w:rPr>
      </w:pPr>
      <w:r>
        <w:rPr>
          <w:rFonts w:hint="eastAsia" w:ascii="宋体" w:hAnsi="宋体" w:cs="宋体"/>
          <w:szCs w:val="21"/>
          <w:highlight w:val="none"/>
          <w:lang w:bidi="ar"/>
        </w:rPr>
        <w:t>12.3 在中国境外发生的与执行本合同有关的一切税费均由供方负担。</w:t>
      </w:r>
    </w:p>
    <w:p w14:paraId="392C348B">
      <w:pPr>
        <w:ind w:firstLine="422" w:firstLineChars="200"/>
        <w:rPr>
          <w:rFonts w:ascii="宋体" w:hAnsi="宋体" w:cs="宋体"/>
          <w:b/>
          <w:bCs/>
          <w:szCs w:val="21"/>
          <w:highlight w:val="none"/>
        </w:rPr>
      </w:pPr>
      <w:r>
        <w:rPr>
          <w:rFonts w:hint="eastAsia" w:ascii="宋体" w:hAnsi="宋体" w:cs="宋体"/>
          <w:b/>
          <w:bCs/>
          <w:szCs w:val="21"/>
          <w:highlight w:val="none"/>
          <w:lang w:bidi="ar"/>
        </w:rPr>
        <w:t>十三、争端的解决</w:t>
      </w:r>
    </w:p>
    <w:p w14:paraId="71C58F81">
      <w:pPr>
        <w:rPr>
          <w:rFonts w:ascii="宋体" w:hAnsi="宋体" w:cs="宋体"/>
          <w:szCs w:val="21"/>
          <w:highlight w:val="none"/>
        </w:rPr>
      </w:pPr>
      <w:r>
        <w:rPr>
          <w:rFonts w:hint="eastAsia" w:ascii="宋体" w:hAnsi="宋体" w:cs="宋体"/>
          <w:szCs w:val="21"/>
          <w:highlight w:val="none"/>
          <w:lang w:bidi="ar"/>
        </w:rPr>
        <w:t xml:space="preserve">    13.1 供需双方应通过友好协商，解决在执行本合同过程中所发生的或与本合同有关的一切争端。如从协商开始十（10）天内仍不能解决，可以向有关合同管理部门提请调解。</w:t>
      </w:r>
    </w:p>
    <w:p w14:paraId="5D1A1D48">
      <w:pPr>
        <w:ind w:firstLine="420" w:firstLineChars="200"/>
        <w:rPr>
          <w:rFonts w:ascii="宋体" w:hAnsi="宋体" w:cs="宋体"/>
          <w:szCs w:val="21"/>
          <w:highlight w:val="none"/>
        </w:rPr>
      </w:pPr>
      <w:r>
        <w:rPr>
          <w:rFonts w:hint="eastAsia" w:ascii="宋体" w:hAnsi="宋体" w:cs="宋体"/>
          <w:szCs w:val="21"/>
          <w:highlight w:val="none"/>
          <w:lang w:bidi="ar"/>
        </w:rPr>
        <w:t>13.2 如果调解不成，供需双方的任何一方可以向人民法院提起诉讼。诉讼由合同签订地人民法院管辖。</w:t>
      </w:r>
    </w:p>
    <w:p w14:paraId="0F227EBB">
      <w:pPr>
        <w:ind w:firstLine="420" w:firstLineChars="200"/>
        <w:rPr>
          <w:rFonts w:ascii="宋体" w:hAnsi="宋体" w:cs="宋体"/>
          <w:szCs w:val="21"/>
          <w:highlight w:val="none"/>
        </w:rPr>
      </w:pPr>
      <w:r>
        <w:rPr>
          <w:rFonts w:hint="eastAsia" w:ascii="宋体" w:hAnsi="宋体" w:cs="宋体"/>
          <w:szCs w:val="21"/>
          <w:highlight w:val="none"/>
          <w:lang w:bidi="ar"/>
        </w:rPr>
        <w:t>13.3诉讼费除法院另有裁决外均由败诉方负担。</w:t>
      </w:r>
    </w:p>
    <w:p w14:paraId="04400903">
      <w:pPr>
        <w:ind w:firstLine="420" w:firstLineChars="200"/>
        <w:rPr>
          <w:rFonts w:ascii="宋体" w:hAnsi="宋体" w:cs="宋体"/>
          <w:szCs w:val="21"/>
          <w:highlight w:val="none"/>
        </w:rPr>
      </w:pPr>
      <w:r>
        <w:rPr>
          <w:rFonts w:hint="eastAsia" w:ascii="宋体" w:hAnsi="宋体" w:cs="宋体"/>
          <w:szCs w:val="21"/>
          <w:highlight w:val="none"/>
          <w:lang w:bidi="ar"/>
        </w:rPr>
        <w:t>13.4在诉讼期间，除正在进行诉讼的部分外，本合同的其它部分应继续执行。</w:t>
      </w:r>
    </w:p>
    <w:p w14:paraId="1ED29D75">
      <w:pPr>
        <w:ind w:firstLine="422" w:firstLineChars="200"/>
        <w:rPr>
          <w:rFonts w:ascii="宋体" w:hAnsi="宋体" w:cs="宋体"/>
          <w:b/>
          <w:bCs/>
          <w:szCs w:val="21"/>
          <w:highlight w:val="none"/>
        </w:rPr>
      </w:pPr>
      <w:r>
        <w:rPr>
          <w:rFonts w:hint="eastAsia" w:ascii="宋体" w:hAnsi="宋体" w:cs="宋体"/>
          <w:b/>
          <w:bCs/>
          <w:szCs w:val="21"/>
          <w:highlight w:val="none"/>
          <w:lang w:bidi="ar"/>
        </w:rPr>
        <w:t>十四、违约终止合同</w:t>
      </w:r>
    </w:p>
    <w:p w14:paraId="501875E8">
      <w:pPr>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14.1</w:t>
      </w:r>
      <w:r>
        <w:rPr>
          <w:rFonts w:hint="eastAsia" w:ascii="宋体" w:hAnsi="宋体" w:cs="宋体"/>
          <w:szCs w:val="21"/>
          <w:highlight w:val="none"/>
          <w:lang w:bidi="ar"/>
        </w:rPr>
        <w:t>甲方未按照约定付款的，或乙方无正当理由延迟发货、交付的，应承担违约金责任，违约金以日为单位计算，每逾期一日支付合同总价款千分之三（3‰）的违约金，最高不超过合同总价款的百分之五（5%）。</w:t>
      </w:r>
    </w:p>
    <w:p w14:paraId="53C1CE6D">
      <w:pPr>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14.2</w:t>
      </w:r>
      <w:r>
        <w:rPr>
          <w:rFonts w:hint="eastAsia" w:ascii="宋体" w:hAnsi="宋体" w:cs="宋体"/>
          <w:szCs w:val="21"/>
          <w:highlight w:val="none"/>
          <w:lang w:bidi="ar"/>
        </w:rPr>
        <w:t>甲乙双方任何一方未履行或未完全履行合同约定之义务的，对方有权中止履行合同至违约方适当履行义务之日，由此引起的任何损失均由违约方承担。</w:t>
      </w:r>
    </w:p>
    <w:p w14:paraId="7A9E14D4">
      <w:pPr>
        <w:ind w:firstLine="422" w:firstLineChars="200"/>
        <w:rPr>
          <w:rFonts w:ascii="宋体" w:hAnsi="宋体" w:cs="宋体"/>
          <w:b/>
          <w:bCs/>
          <w:szCs w:val="21"/>
          <w:highlight w:val="none"/>
        </w:rPr>
      </w:pPr>
      <w:r>
        <w:rPr>
          <w:rFonts w:hint="eastAsia" w:ascii="宋体" w:hAnsi="宋体" w:cs="宋体"/>
          <w:b/>
          <w:bCs/>
          <w:szCs w:val="21"/>
          <w:highlight w:val="none"/>
          <w:lang w:bidi="ar"/>
        </w:rPr>
        <w:t>十五、破产终止合同</w:t>
      </w:r>
    </w:p>
    <w:p w14:paraId="6133A9A8">
      <w:pPr>
        <w:ind w:firstLine="420" w:firstLineChars="200"/>
        <w:rPr>
          <w:rFonts w:ascii="宋体" w:hAnsi="宋体" w:cs="宋体"/>
          <w:szCs w:val="21"/>
          <w:highlight w:val="none"/>
        </w:rPr>
      </w:pPr>
      <w:r>
        <w:rPr>
          <w:rFonts w:hint="eastAsia" w:ascii="宋体" w:hAnsi="宋体" w:cs="宋体"/>
          <w:szCs w:val="21"/>
          <w:highlight w:val="none"/>
          <w:lang w:bidi="ar"/>
        </w:rPr>
        <w:t>15.1 如果供方破产或丧失清偿能力，需方可在任何时候以书面形式通知供方终止合同而不给供方补偿。该终止合同将不损害或影响需方已经采取或将要采取任何补救措施的权力。</w:t>
      </w:r>
    </w:p>
    <w:p w14:paraId="38946565">
      <w:pPr>
        <w:ind w:firstLine="422" w:firstLineChars="200"/>
        <w:rPr>
          <w:rFonts w:ascii="宋体" w:hAnsi="宋体" w:cs="宋体"/>
          <w:szCs w:val="21"/>
          <w:highlight w:val="none"/>
        </w:rPr>
      </w:pPr>
      <w:r>
        <w:rPr>
          <w:rFonts w:hint="eastAsia" w:ascii="宋体" w:hAnsi="宋体" w:cs="宋体"/>
          <w:b/>
          <w:bCs/>
          <w:szCs w:val="21"/>
          <w:highlight w:val="none"/>
          <w:lang w:bidi="ar"/>
        </w:rPr>
        <w:t>十六、合同转让和分包</w:t>
      </w:r>
    </w:p>
    <w:p w14:paraId="29149417">
      <w:pPr>
        <w:ind w:firstLine="420" w:firstLineChars="200"/>
        <w:rPr>
          <w:rFonts w:ascii="宋体" w:hAnsi="宋体" w:cs="宋体"/>
          <w:szCs w:val="21"/>
          <w:highlight w:val="none"/>
        </w:rPr>
      </w:pPr>
      <w:r>
        <w:rPr>
          <w:rFonts w:hint="eastAsia" w:ascii="宋体" w:hAnsi="宋体" w:cs="宋体"/>
          <w:szCs w:val="21"/>
          <w:highlight w:val="none"/>
          <w:lang w:bidi="ar"/>
        </w:rPr>
        <w:t>16.1 供方不得部分转让和分包或全部转让和分包其应履行的合同义务。</w:t>
      </w:r>
    </w:p>
    <w:p w14:paraId="0AFDBBBA">
      <w:pPr>
        <w:ind w:right="-80" w:rightChars="-38" w:firstLine="422" w:firstLineChars="200"/>
        <w:rPr>
          <w:rFonts w:ascii="宋体" w:hAnsi="宋体" w:cs="宋体"/>
          <w:szCs w:val="21"/>
          <w:highlight w:val="none"/>
        </w:rPr>
      </w:pPr>
      <w:r>
        <w:rPr>
          <w:rFonts w:hint="eastAsia" w:ascii="宋体" w:hAnsi="宋体" w:cs="宋体"/>
          <w:b/>
          <w:bCs/>
          <w:szCs w:val="21"/>
          <w:highlight w:val="none"/>
          <w:lang w:bidi="ar"/>
        </w:rPr>
        <w:t>十七、需要补充的合同条款</w:t>
      </w:r>
    </w:p>
    <w:p w14:paraId="5A0530FD">
      <w:pPr>
        <w:ind w:right="-80" w:rightChars="-38" w:firstLine="472" w:firstLineChars="225"/>
        <w:rPr>
          <w:rFonts w:ascii="宋体" w:hAnsi="宋体" w:cs="宋体"/>
          <w:szCs w:val="21"/>
          <w:highlight w:val="none"/>
        </w:rPr>
      </w:pPr>
      <w:r>
        <w:rPr>
          <w:rFonts w:hint="eastAsia" w:ascii="宋体" w:hAnsi="宋体" w:cs="宋体"/>
          <w:szCs w:val="21"/>
          <w:highlight w:val="none"/>
          <w:lang w:bidi="ar"/>
        </w:rPr>
        <w:t>17.1 根据评标过程中或者商务谈判时商定的条款和条件在订立合同时标明。</w:t>
      </w:r>
    </w:p>
    <w:p w14:paraId="0504103D">
      <w:pPr>
        <w:ind w:firstLine="422" w:firstLineChars="200"/>
        <w:rPr>
          <w:rFonts w:ascii="宋体" w:hAnsi="宋体" w:cs="宋体"/>
          <w:b/>
          <w:bCs/>
          <w:szCs w:val="21"/>
          <w:highlight w:val="none"/>
        </w:rPr>
      </w:pPr>
      <w:r>
        <w:rPr>
          <w:rFonts w:hint="eastAsia" w:ascii="宋体" w:hAnsi="宋体" w:cs="宋体"/>
          <w:b/>
          <w:bCs/>
          <w:szCs w:val="21"/>
          <w:highlight w:val="none"/>
          <w:lang w:bidi="ar"/>
        </w:rPr>
        <w:t>十八、适用法律</w:t>
      </w:r>
    </w:p>
    <w:p w14:paraId="44018D81">
      <w:pPr>
        <w:ind w:firstLine="420" w:firstLineChars="200"/>
        <w:rPr>
          <w:rFonts w:ascii="宋体" w:hAnsi="宋体" w:cs="宋体"/>
          <w:szCs w:val="21"/>
          <w:highlight w:val="none"/>
        </w:rPr>
      </w:pPr>
      <w:r>
        <w:rPr>
          <w:rFonts w:hint="eastAsia" w:ascii="宋体" w:hAnsi="宋体" w:cs="宋体"/>
          <w:szCs w:val="21"/>
          <w:highlight w:val="none"/>
          <w:lang w:bidi="ar"/>
        </w:rPr>
        <w:t>18.1 本合同按照中华人民共和国的现行法律进行解释。</w:t>
      </w:r>
    </w:p>
    <w:p w14:paraId="4F6E2314">
      <w:pPr>
        <w:ind w:firstLine="422" w:firstLineChars="200"/>
        <w:rPr>
          <w:rFonts w:ascii="宋体" w:hAnsi="宋体" w:cs="宋体"/>
          <w:b/>
          <w:bCs/>
          <w:szCs w:val="21"/>
          <w:highlight w:val="none"/>
        </w:rPr>
      </w:pPr>
      <w:r>
        <w:rPr>
          <w:rFonts w:hint="eastAsia" w:ascii="宋体" w:hAnsi="宋体" w:cs="宋体"/>
          <w:b/>
          <w:bCs/>
          <w:szCs w:val="21"/>
          <w:highlight w:val="none"/>
          <w:lang w:bidi="ar"/>
        </w:rPr>
        <w:t>十九、合同生效</w:t>
      </w:r>
    </w:p>
    <w:p w14:paraId="39BF3C72">
      <w:pPr>
        <w:rPr>
          <w:rFonts w:ascii="宋体" w:hAnsi="宋体" w:cs="宋体"/>
          <w:szCs w:val="21"/>
          <w:highlight w:val="none"/>
        </w:rPr>
      </w:pPr>
      <w:r>
        <w:rPr>
          <w:rFonts w:hint="eastAsia" w:ascii="宋体" w:hAnsi="宋体" w:cs="宋体"/>
          <w:szCs w:val="21"/>
          <w:highlight w:val="none"/>
          <w:lang w:bidi="ar"/>
        </w:rPr>
        <w:t xml:space="preserve">   19.1 本合同在供需双方法定代表人或其授权代理人签字并加盖公章并且采购方收到供方提交的履约保证金后生效。 </w:t>
      </w:r>
    </w:p>
    <w:p w14:paraId="15D04B35">
      <w:pPr>
        <w:ind w:firstLine="422" w:firstLineChars="200"/>
        <w:rPr>
          <w:rFonts w:ascii="宋体" w:hAnsi="宋体" w:cs="宋体"/>
          <w:b/>
          <w:bCs/>
          <w:szCs w:val="21"/>
          <w:highlight w:val="none"/>
        </w:rPr>
      </w:pPr>
      <w:r>
        <w:rPr>
          <w:rFonts w:hint="eastAsia" w:ascii="宋体" w:hAnsi="宋体" w:cs="宋体"/>
          <w:b/>
          <w:bCs/>
          <w:szCs w:val="21"/>
          <w:highlight w:val="none"/>
          <w:lang w:bidi="ar"/>
        </w:rPr>
        <w:t>二十、合同附件</w:t>
      </w:r>
    </w:p>
    <w:p w14:paraId="629382D3">
      <w:pPr>
        <w:ind w:firstLine="420" w:firstLineChars="200"/>
        <w:rPr>
          <w:rFonts w:ascii="宋体" w:hAnsi="宋体" w:cs="宋体"/>
          <w:szCs w:val="21"/>
          <w:highlight w:val="none"/>
        </w:rPr>
      </w:pPr>
      <w:r>
        <w:rPr>
          <w:rFonts w:hint="eastAsia" w:ascii="宋体" w:hAnsi="宋体" w:cs="宋体"/>
          <w:szCs w:val="21"/>
          <w:highlight w:val="none"/>
          <w:lang w:bidi="ar"/>
        </w:rPr>
        <w:t>20.1下列文件构成本合同不可分割的组成部分，与本合同具有同等法律效力：</w:t>
      </w:r>
    </w:p>
    <w:p w14:paraId="157B48E1">
      <w:pPr>
        <w:ind w:firstLine="420" w:firstLineChars="200"/>
        <w:rPr>
          <w:rFonts w:ascii="宋体" w:hAnsi="宋体" w:cs="宋体"/>
          <w:szCs w:val="21"/>
          <w:highlight w:val="none"/>
        </w:rPr>
      </w:pPr>
      <w:r>
        <w:rPr>
          <w:rFonts w:hint="eastAsia" w:ascii="宋体" w:hAnsi="宋体" w:cs="宋体"/>
          <w:szCs w:val="21"/>
          <w:highlight w:val="none"/>
          <w:lang w:bidi="ar"/>
        </w:rPr>
        <w:t>1、</w:t>
      </w:r>
      <w:r>
        <w:rPr>
          <w:rFonts w:hint="eastAsia" w:ascii="宋体" w:hAnsi="宋体" w:cs="宋体"/>
          <w:szCs w:val="21"/>
          <w:highlight w:val="none"/>
          <w:lang w:eastAsia="zh-CN" w:bidi="ar"/>
        </w:rPr>
        <w:t>竞争性磋商文件</w:t>
      </w:r>
      <w:r>
        <w:rPr>
          <w:rFonts w:hint="eastAsia" w:ascii="宋体" w:hAnsi="宋体" w:cs="宋体"/>
          <w:szCs w:val="21"/>
          <w:highlight w:val="none"/>
          <w:lang w:bidi="ar"/>
        </w:rPr>
        <w:t>及澄清、补充文件；</w:t>
      </w:r>
    </w:p>
    <w:p w14:paraId="1BFEFF17">
      <w:pPr>
        <w:ind w:firstLine="420" w:firstLineChars="200"/>
        <w:rPr>
          <w:rFonts w:ascii="宋体" w:hAnsi="宋体" w:cs="宋体"/>
          <w:szCs w:val="21"/>
          <w:highlight w:val="none"/>
        </w:rPr>
      </w:pPr>
      <w:r>
        <w:rPr>
          <w:rFonts w:hint="eastAsia" w:ascii="宋体" w:hAnsi="宋体" w:cs="宋体"/>
          <w:szCs w:val="21"/>
          <w:highlight w:val="none"/>
          <w:lang w:bidi="ar"/>
        </w:rPr>
        <w:t>2、供方的</w:t>
      </w:r>
      <w:r>
        <w:rPr>
          <w:rFonts w:hint="eastAsia" w:ascii="宋体" w:hAnsi="宋体" w:cs="宋体"/>
          <w:szCs w:val="21"/>
          <w:highlight w:val="none"/>
          <w:lang w:eastAsia="zh-CN" w:bidi="ar"/>
        </w:rPr>
        <w:t>响应文件</w:t>
      </w:r>
      <w:r>
        <w:rPr>
          <w:rFonts w:hint="eastAsia" w:ascii="宋体" w:hAnsi="宋体" w:cs="宋体"/>
          <w:szCs w:val="21"/>
          <w:highlight w:val="none"/>
          <w:lang w:bidi="ar"/>
        </w:rPr>
        <w:t xml:space="preserve">、在投标期间的书面承诺文件和售后服务承诺书；        </w:t>
      </w:r>
    </w:p>
    <w:p w14:paraId="70087D22">
      <w:pPr>
        <w:ind w:firstLine="420" w:firstLineChars="200"/>
        <w:rPr>
          <w:rFonts w:ascii="宋体" w:hAnsi="宋体" w:cs="宋体"/>
          <w:szCs w:val="21"/>
          <w:highlight w:val="none"/>
        </w:rPr>
      </w:pPr>
      <w:r>
        <w:rPr>
          <w:rFonts w:hint="eastAsia" w:ascii="宋体" w:hAnsi="宋体" w:cs="宋体"/>
          <w:szCs w:val="21"/>
          <w:highlight w:val="none"/>
          <w:lang w:bidi="ar"/>
        </w:rPr>
        <w:t>3、</w:t>
      </w:r>
      <w:r>
        <w:rPr>
          <w:rFonts w:hint="eastAsia" w:ascii="宋体" w:hAnsi="宋体" w:cs="宋体"/>
          <w:szCs w:val="21"/>
          <w:highlight w:val="none"/>
          <w:lang w:val="en-US" w:eastAsia="zh-CN" w:bidi="ar"/>
        </w:rPr>
        <w:t>成交</w:t>
      </w:r>
      <w:r>
        <w:rPr>
          <w:rFonts w:hint="eastAsia" w:ascii="宋体" w:hAnsi="宋体" w:cs="宋体"/>
          <w:szCs w:val="21"/>
          <w:highlight w:val="none"/>
          <w:lang w:bidi="ar"/>
        </w:rPr>
        <w:t>通知书；</w:t>
      </w:r>
    </w:p>
    <w:p w14:paraId="777FF66B">
      <w:pPr>
        <w:ind w:firstLine="420" w:firstLineChars="200"/>
        <w:rPr>
          <w:rFonts w:ascii="宋体" w:hAnsi="宋体" w:cs="宋体"/>
          <w:szCs w:val="21"/>
          <w:highlight w:val="none"/>
        </w:rPr>
      </w:pPr>
      <w:r>
        <w:rPr>
          <w:rFonts w:hint="eastAsia" w:ascii="宋体" w:hAnsi="宋体" w:cs="宋体"/>
          <w:szCs w:val="21"/>
          <w:highlight w:val="none"/>
          <w:lang w:bidi="ar"/>
        </w:rPr>
        <w:t>4、合同的其他附件：</w:t>
      </w:r>
    </w:p>
    <w:p w14:paraId="0DE977B5">
      <w:pPr>
        <w:ind w:firstLine="420" w:firstLineChars="200"/>
        <w:rPr>
          <w:rFonts w:ascii="宋体" w:hAnsi="宋体" w:cs="宋体"/>
          <w:szCs w:val="21"/>
          <w:highlight w:val="none"/>
        </w:rPr>
      </w:pPr>
      <w:r>
        <w:rPr>
          <w:rFonts w:hint="eastAsia" w:ascii="宋体" w:hAnsi="宋体" w:cs="宋体"/>
          <w:szCs w:val="21"/>
          <w:highlight w:val="none"/>
          <w:lang w:bidi="ar"/>
        </w:rPr>
        <w:t>上述合同附件如果有不一致之处，以日期在后的和对需方有利的为准。</w:t>
      </w:r>
    </w:p>
    <w:p w14:paraId="1599BAA6">
      <w:pPr>
        <w:ind w:firstLine="422" w:firstLineChars="200"/>
        <w:rPr>
          <w:rFonts w:ascii="宋体" w:hAnsi="宋体" w:cs="宋体"/>
          <w:b/>
          <w:bCs/>
          <w:szCs w:val="21"/>
          <w:highlight w:val="none"/>
        </w:rPr>
      </w:pPr>
      <w:r>
        <w:rPr>
          <w:rFonts w:hint="eastAsia" w:ascii="宋体" w:hAnsi="宋体" w:cs="宋体"/>
          <w:b/>
          <w:bCs/>
          <w:szCs w:val="21"/>
          <w:highlight w:val="none"/>
          <w:lang w:bidi="ar"/>
        </w:rPr>
        <w:t>二十一、合同修改</w:t>
      </w:r>
    </w:p>
    <w:p w14:paraId="140A15BB">
      <w:pPr>
        <w:ind w:firstLine="420" w:firstLineChars="200"/>
        <w:rPr>
          <w:rFonts w:ascii="宋体" w:hAnsi="宋体" w:cs="宋体"/>
          <w:szCs w:val="21"/>
          <w:highlight w:val="none"/>
        </w:rPr>
      </w:pPr>
      <w:r>
        <w:rPr>
          <w:rFonts w:hint="eastAsia" w:ascii="宋体" w:hAnsi="宋体" w:cs="宋体"/>
          <w:szCs w:val="21"/>
          <w:highlight w:val="none"/>
          <w:lang w:bidi="ar"/>
        </w:rPr>
        <w:t>21.1除供需双方和采购方签署书面修改、补充协议，并成为本合同不可分割的一部分之外，本合同条件不得有任何变化或修改。</w:t>
      </w:r>
    </w:p>
    <w:p w14:paraId="56EA8073">
      <w:pPr>
        <w:ind w:firstLine="422" w:firstLineChars="200"/>
        <w:rPr>
          <w:rFonts w:ascii="宋体" w:hAnsi="宋体" w:cs="宋体"/>
          <w:b/>
          <w:bCs/>
          <w:szCs w:val="21"/>
          <w:highlight w:val="none"/>
        </w:rPr>
      </w:pPr>
      <w:r>
        <w:rPr>
          <w:rFonts w:hint="eastAsia" w:ascii="宋体" w:hAnsi="宋体" w:cs="宋体"/>
          <w:b/>
          <w:bCs/>
          <w:szCs w:val="21"/>
          <w:highlight w:val="none"/>
          <w:lang w:bidi="ar"/>
        </w:rPr>
        <w:t>二十二、合同备案</w:t>
      </w:r>
    </w:p>
    <w:p w14:paraId="1CA06681">
      <w:pPr>
        <w:ind w:firstLine="420" w:firstLineChars="200"/>
        <w:rPr>
          <w:rFonts w:ascii="宋体" w:hAnsi="宋体" w:cs="宋体"/>
          <w:szCs w:val="21"/>
          <w:highlight w:val="none"/>
        </w:rPr>
      </w:pPr>
      <w:r>
        <w:rPr>
          <w:rFonts w:hint="eastAsia" w:ascii="宋体" w:hAnsi="宋体" w:cs="宋体"/>
          <w:szCs w:val="21"/>
          <w:highlight w:val="none"/>
          <w:lang w:bidi="ar"/>
        </w:rPr>
        <w:t>22.1自本合同订立之日起七个工作日内，向本级政府采购监督管理部门备案。</w:t>
      </w:r>
    </w:p>
    <w:p w14:paraId="10B256A5">
      <w:pPr>
        <w:ind w:firstLine="422" w:firstLineChars="200"/>
        <w:rPr>
          <w:rFonts w:ascii="宋体" w:hAnsi="宋体" w:cs="宋体"/>
          <w:b/>
          <w:bCs/>
          <w:szCs w:val="21"/>
          <w:highlight w:val="none"/>
        </w:rPr>
      </w:pPr>
      <w:r>
        <w:rPr>
          <w:rFonts w:hint="eastAsia" w:ascii="宋体" w:hAnsi="宋体" w:cs="宋体"/>
          <w:b/>
          <w:bCs/>
          <w:szCs w:val="21"/>
          <w:highlight w:val="none"/>
          <w:lang w:bidi="ar"/>
        </w:rPr>
        <w:t>二十三、政府采购法对政府采购合同变更终止的规定：</w:t>
      </w:r>
      <w:r>
        <w:rPr>
          <w:rFonts w:hint="eastAsia" w:ascii="宋体" w:hAnsi="宋体" w:cs="宋体"/>
          <w:szCs w:val="21"/>
          <w:highlight w:val="none"/>
          <w:lang w:bidi="ar"/>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3888BB7D">
      <w:pPr>
        <w:rPr>
          <w:rFonts w:ascii="宋体" w:hAnsi="宋体" w:cs="宋体"/>
          <w:szCs w:val="21"/>
          <w:highlight w:val="none"/>
        </w:rPr>
      </w:pPr>
      <w:r>
        <w:rPr>
          <w:rFonts w:hint="eastAsia" w:ascii="宋体" w:hAnsi="宋体" w:cs="宋体"/>
          <w:szCs w:val="21"/>
          <w:highlight w:val="none"/>
          <w:lang w:bidi="ar"/>
        </w:rPr>
        <w:t xml:space="preserve">  需方：                                  供方：</w:t>
      </w:r>
    </w:p>
    <w:p w14:paraId="526F3364">
      <w:pPr>
        <w:ind w:firstLine="210" w:firstLineChars="100"/>
        <w:rPr>
          <w:rFonts w:ascii="宋体" w:hAnsi="宋体" w:cs="宋体"/>
          <w:szCs w:val="21"/>
          <w:highlight w:val="none"/>
        </w:rPr>
      </w:pPr>
      <w:r>
        <w:rPr>
          <w:rFonts w:hint="eastAsia" w:ascii="宋体" w:hAnsi="宋体" w:cs="宋体"/>
          <w:szCs w:val="21"/>
          <w:highlight w:val="none"/>
          <w:lang w:bidi="ar"/>
        </w:rPr>
        <w:t>地址：                                  地址：</w:t>
      </w:r>
    </w:p>
    <w:p w14:paraId="476C30DC">
      <w:pPr>
        <w:ind w:firstLine="210" w:firstLineChars="100"/>
        <w:rPr>
          <w:rFonts w:ascii="宋体" w:hAnsi="宋体" w:cs="宋体"/>
          <w:szCs w:val="21"/>
          <w:highlight w:val="none"/>
        </w:rPr>
      </w:pPr>
      <w:r>
        <w:rPr>
          <w:rFonts w:hint="eastAsia" w:ascii="宋体" w:hAnsi="宋体" w:cs="宋体"/>
          <w:szCs w:val="21"/>
          <w:highlight w:val="none"/>
          <w:lang w:bidi="ar"/>
        </w:rPr>
        <w:t xml:space="preserve">法定代表人 ：                           法定代表人 :              </w:t>
      </w:r>
    </w:p>
    <w:p w14:paraId="488F027D">
      <w:pPr>
        <w:ind w:firstLine="210" w:firstLineChars="100"/>
        <w:rPr>
          <w:rFonts w:ascii="宋体" w:hAnsi="宋体" w:cs="宋体"/>
          <w:szCs w:val="21"/>
          <w:highlight w:val="none"/>
        </w:rPr>
      </w:pPr>
      <w:r>
        <w:rPr>
          <w:rFonts w:hint="eastAsia" w:ascii="宋体" w:hAnsi="宋体" w:cs="宋体"/>
          <w:szCs w:val="21"/>
          <w:highlight w:val="none"/>
          <w:lang w:bidi="ar"/>
        </w:rPr>
        <w:t>或授权委托人：                          或授权代理人：</w:t>
      </w:r>
    </w:p>
    <w:p w14:paraId="74AF234C">
      <w:pPr>
        <w:ind w:firstLine="210" w:firstLineChars="100"/>
        <w:rPr>
          <w:rFonts w:ascii="宋体" w:hAnsi="宋体" w:cs="宋体"/>
          <w:szCs w:val="21"/>
          <w:highlight w:val="none"/>
        </w:rPr>
      </w:pPr>
      <w:r>
        <w:rPr>
          <w:rFonts w:hint="eastAsia" w:ascii="宋体" w:hAnsi="宋体" w:cs="宋体"/>
          <w:szCs w:val="21"/>
          <w:highlight w:val="none"/>
          <w:lang w:bidi="ar"/>
        </w:rPr>
        <w:t>签字日期：                              签字日期：</w:t>
      </w:r>
    </w:p>
    <w:p w14:paraId="142890E0">
      <w:pPr>
        <w:ind w:firstLine="210" w:firstLineChars="100"/>
        <w:rPr>
          <w:rFonts w:ascii="宋体" w:hAnsi="宋体" w:cs="宋体"/>
          <w:szCs w:val="21"/>
          <w:highlight w:val="none"/>
        </w:rPr>
      </w:pPr>
      <w:r>
        <w:rPr>
          <w:rFonts w:hint="eastAsia" w:ascii="宋体" w:hAnsi="宋体" w:cs="宋体"/>
          <w:szCs w:val="21"/>
          <w:highlight w:val="none"/>
          <w:lang w:bidi="ar"/>
        </w:rPr>
        <w:t>邮政编码：                              邮政编码：</w:t>
      </w:r>
    </w:p>
    <w:p w14:paraId="297E83E3">
      <w:pPr>
        <w:ind w:firstLine="210" w:firstLineChars="100"/>
        <w:rPr>
          <w:rFonts w:ascii="宋体" w:hAnsi="宋体" w:cs="宋体"/>
          <w:szCs w:val="21"/>
          <w:highlight w:val="none"/>
        </w:rPr>
      </w:pPr>
      <w:r>
        <w:rPr>
          <w:rFonts w:hint="eastAsia" w:ascii="宋体" w:hAnsi="宋体" w:cs="宋体"/>
          <w:szCs w:val="21"/>
          <w:highlight w:val="none"/>
          <w:lang w:bidi="ar"/>
        </w:rPr>
        <w:t>电话：                                  电话：</w:t>
      </w:r>
    </w:p>
    <w:p w14:paraId="55FEE771">
      <w:pPr>
        <w:ind w:firstLine="210" w:firstLineChars="100"/>
        <w:rPr>
          <w:rFonts w:ascii="宋体" w:hAnsi="宋体" w:cs="宋体"/>
          <w:szCs w:val="21"/>
          <w:highlight w:val="none"/>
        </w:rPr>
      </w:pPr>
      <w:r>
        <w:rPr>
          <w:rFonts w:hint="eastAsia" w:ascii="宋体" w:hAnsi="宋体" w:cs="宋体"/>
          <w:szCs w:val="21"/>
          <w:highlight w:val="none"/>
          <w:lang w:bidi="ar"/>
        </w:rPr>
        <w:t>传真：                                  传真：</w:t>
      </w:r>
    </w:p>
    <w:p w14:paraId="1ABA8BEE">
      <w:pPr>
        <w:ind w:firstLine="210" w:firstLineChars="100"/>
        <w:rPr>
          <w:rFonts w:ascii="宋体" w:hAnsi="宋体" w:cs="宋体"/>
          <w:szCs w:val="21"/>
          <w:highlight w:val="none"/>
        </w:rPr>
      </w:pPr>
      <w:r>
        <w:rPr>
          <w:rFonts w:hint="eastAsia" w:ascii="宋体" w:hAnsi="宋体" w:cs="宋体"/>
          <w:szCs w:val="21"/>
          <w:highlight w:val="none"/>
          <w:lang w:bidi="ar"/>
        </w:rPr>
        <w:t>联系人：                                联系人：</w:t>
      </w:r>
    </w:p>
    <w:p w14:paraId="3AB66709">
      <w:pPr>
        <w:ind w:firstLine="210" w:firstLineChars="100"/>
        <w:rPr>
          <w:rFonts w:ascii="宋体" w:hAnsi="宋体" w:cs="宋体"/>
          <w:szCs w:val="21"/>
          <w:highlight w:val="none"/>
        </w:rPr>
      </w:pPr>
      <w:r>
        <w:rPr>
          <w:rFonts w:hint="eastAsia" w:ascii="宋体" w:hAnsi="宋体" w:cs="宋体"/>
          <w:szCs w:val="21"/>
          <w:highlight w:val="none"/>
          <w:lang w:bidi="ar"/>
        </w:rPr>
        <w:t>开户银行：                              开户银行：</w:t>
      </w:r>
    </w:p>
    <w:p w14:paraId="7483820E">
      <w:pPr>
        <w:ind w:firstLine="210" w:firstLineChars="100"/>
        <w:rPr>
          <w:rFonts w:ascii="宋体" w:hAnsi="宋体" w:cs="宋体"/>
          <w:szCs w:val="21"/>
          <w:highlight w:val="none"/>
        </w:rPr>
      </w:pPr>
      <w:r>
        <w:rPr>
          <w:rFonts w:hint="eastAsia" w:ascii="宋体" w:hAnsi="宋体" w:cs="宋体"/>
          <w:szCs w:val="21"/>
          <w:highlight w:val="none"/>
          <w:lang w:bidi="ar"/>
        </w:rPr>
        <w:t>帐户名称:                               帐户名称：</w:t>
      </w:r>
    </w:p>
    <w:p w14:paraId="33F16754">
      <w:pPr>
        <w:ind w:firstLine="210" w:firstLineChars="100"/>
        <w:rPr>
          <w:rFonts w:ascii="宋体" w:hAnsi="宋体" w:cs="宋体"/>
          <w:szCs w:val="21"/>
          <w:highlight w:val="none"/>
        </w:rPr>
      </w:pPr>
      <w:r>
        <w:rPr>
          <w:rFonts w:hint="eastAsia" w:ascii="宋体" w:hAnsi="宋体" w:cs="宋体"/>
          <w:szCs w:val="21"/>
          <w:highlight w:val="none"/>
          <w:lang w:bidi="ar"/>
        </w:rPr>
        <w:t>帐号：                                  帐号</w:t>
      </w:r>
    </w:p>
    <w:p w14:paraId="081A692E">
      <w:pPr>
        <w:ind w:firstLine="211" w:firstLineChars="100"/>
        <w:rPr>
          <w:rFonts w:hint="eastAsia" w:ascii="宋体" w:hAnsi="宋体" w:eastAsia="宋体" w:cs="宋体"/>
          <w:b/>
          <w:bCs/>
          <w:highlight w:val="none"/>
          <w:lang w:val="en-US" w:eastAsia="zh-CN"/>
        </w:rPr>
      </w:pPr>
      <w:r>
        <w:rPr>
          <w:rFonts w:hint="eastAsia" w:ascii="宋体" w:hAnsi="宋体" w:cs="宋体"/>
          <w:b/>
          <w:bCs/>
          <w:szCs w:val="21"/>
          <w:highlight w:val="none"/>
          <w:lang w:bidi="ar"/>
        </w:rPr>
        <w:t>注：最终合同内容以双方实际签订合同为准。</w:t>
      </w:r>
      <w:bookmarkStart w:id="27" w:name="_Toc2124"/>
      <w:bookmarkStart w:id="28" w:name="_Toc4746"/>
      <w:bookmarkStart w:id="29" w:name="_Toc22112"/>
      <w:bookmarkStart w:id="30" w:name="_Toc29506"/>
      <w:bookmarkStart w:id="31" w:name="_Toc3073"/>
      <w:bookmarkStart w:id="32" w:name="_Toc317"/>
      <w:bookmarkStart w:id="33" w:name="_Toc5796"/>
    </w:p>
    <w:p w14:paraId="5DBE4562">
      <w:pPr>
        <w:jc w:val="center"/>
        <w:rPr>
          <w:rFonts w:hint="eastAsia"/>
          <w:highlight w:val="none"/>
          <w:lang w:val="en-US" w:eastAsia="zh-CN"/>
        </w:rPr>
      </w:pPr>
    </w:p>
    <w:p w14:paraId="065899EB">
      <w:pPr>
        <w:pStyle w:val="3"/>
        <w:jc w:val="both"/>
        <w:rPr>
          <w:rFonts w:hint="eastAsia" w:ascii="宋体" w:hAnsi="宋体" w:eastAsia="宋体" w:cs="宋体"/>
          <w:highlight w:val="none"/>
          <w:lang w:val="en-US" w:eastAsia="zh-CN"/>
        </w:rPr>
      </w:pPr>
    </w:p>
    <w:p w14:paraId="3C075422">
      <w:pPr>
        <w:rPr>
          <w:rFonts w:hint="eastAsia" w:ascii="宋体" w:hAnsi="宋体" w:eastAsia="宋体" w:cs="宋体"/>
          <w:highlight w:val="none"/>
          <w:lang w:val="en-US" w:eastAsia="zh-CN"/>
        </w:rPr>
      </w:pPr>
    </w:p>
    <w:p w14:paraId="33F767EE">
      <w:pPr>
        <w:pStyle w:val="22"/>
        <w:rPr>
          <w:rFonts w:hint="eastAsia" w:ascii="宋体" w:hAnsi="宋体" w:eastAsia="宋体" w:cs="宋体"/>
          <w:highlight w:val="none"/>
          <w:lang w:val="en-US" w:eastAsia="zh-CN"/>
        </w:rPr>
      </w:pPr>
    </w:p>
    <w:p w14:paraId="74C36789">
      <w:pPr>
        <w:pStyle w:val="22"/>
        <w:rPr>
          <w:rFonts w:hint="eastAsia" w:ascii="宋体" w:hAnsi="宋体" w:eastAsia="宋体" w:cs="宋体"/>
          <w:highlight w:val="none"/>
          <w:lang w:val="en-US" w:eastAsia="zh-CN"/>
        </w:rPr>
      </w:pPr>
    </w:p>
    <w:p w14:paraId="65068DB5">
      <w:pPr>
        <w:pStyle w:val="22"/>
        <w:rPr>
          <w:rFonts w:hint="eastAsia" w:ascii="宋体" w:hAnsi="宋体" w:eastAsia="宋体" w:cs="宋体"/>
          <w:highlight w:val="none"/>
          <w:lang w:val="en-US" w:eastAsia="zh-CN"/>
        </w:rPr>
      </w:pPr>
    </w:p>
    <w:p w14:paraId="5232914E">
      <w:pPr>
        <w:pStyle w:val="22"/>
        <w:rPr>
          <w:rFonts w:hint="eastAsia" w:ascii="宋体" w:hAnsi="宋体" w:eastAsia="宋体" w:cs="宋体"/>
          <w:highlight w:val="none"/>
          <w:lang w:val="en-US" w:eastAsia="zh-CN"/>
        </w:rPr>
      </w:pPr>
    </w:p>
    <w:p w14:paraId="1687D9E9">
      <w:pPr>
        <w:pStyle w:val="22"/>
        <w:rPr>
          <w:rFonts w:hint="eastAsia" w:ascii="宋体" w:hAnsi="宋体" w:eastAsia="宋体" w:cs="宋体"/>
          <w:highlight w:val="none"/>
          <w:lang w:val="en-US" w:eastAsia="zh-CN"/>
        </w:rPr>
      </w:pPr>
    </w:p>
    <w:p w14:paraId="0151A30D">
      <w:pPr>
        <w:pStyle w:val="22"/>
        <w:rPr>
          <w:rFonts w:hint="eastAsia" w:ascii="宋体" w:hAnsi="宋体" w:eastAsia="宋体" w:cs="宋体"/>
          <w:highlight w:val="none"/>
          <w:lang w:val="en-US" w:eastAsia="zh-CN"/>
        </w:rPr>
      </w:pPr>
    </w:p>
    <w:p w14:paraId="6AF123A0">
      <w:pPr>
        <w:pStyle w:val="22"/>
        <w:rPr>
          <w:rFonts w:hint="eastAsia" w:ascii="宋体" w:hAnsi="宋体" w:eastAsia="宋体" w:cs="宋体"/>
          <w:highlight w:val="none"/>
          <w:lang w:val="en-US" w:eastAsia="zh-CN"/>
        </w:rPr>
      </w:pPr>
    </w:p>
    <w:p w14:paraId="6700CED9">
      <w:pPr>
        <w:pStyle w:val="3"/>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第五章 </w:t>
      </w:r>
      <w:r>
        <w:rPr>
          <w:rFonts w:hint="eastAsia" w:ascii="宋体" w:hAnsi="宋体" w:cs="宋体"/>
          <w:highlight w:val="none"/>
          <w:lang w:val="en-US" w:eastAsia="zh-CN"/>
        </w:rPr>
        <w:t>采购</w:t>
      </w:r>
      <w:r>
        <w:rPr>
          <w:rFonts w:hint="eastAsia" w:ascii="宋体" w:hAnsi="宋体" w:eastAsia="宋体" w:cs="宋体"/>
          <w:highlight w:val="none"/>
          <w:lang w:val="en-US" w:eastAsia="zh-CN"/>
        </w:rPr>
        <w:t>需求</w:t>
      </w:r>
      <w:bookmarkEnd w:id="27"/>
      <w:r>
        <w:rPr>
          <w:rFonts w:hint="eastAsia" w:ascii="宋体" w:hAnsi="宋体" w:eastAsia="宋体" w:cs="宋体"/>
          <w:highlight w:val="none"/>
          <w:lang w:val="en-US" w:eastAsia="zh-CN"/>
        </w:rPr>
        <w:t>及技术规格要求</w:t>
      </w:r>
    </w:p>
    <w:p w14:paraId="31001615">
      <w:pPr>
        <w:ind w:firstLine="480" w:firstLineChars="200"/>
        <w:rPr>
          <w:rFonts w:hint="eastAsia" w:eastAsia="宋体"/>
          <w:sz w:val="24"/>
          <w:szCs w:val="24"/>
          <w:highlight w:val="none"/>
          <w:lang w:val="en-US" w:eastAsia="zh-CN"/>
        </w:rPr>
      </w:pPr>
      <w:bookmarkStart w:id="34" w:name="_Toc7022"/>
      <w:r>
        <w:rPr>
          <w:rFonts w:hint="eastAsia" w:eastAsia="宋体"/>
          <w:sz w:val="24"/>
          <w:szCs w:val="24"/>
          <w:highlight w:val="none"/>
          <w:lang w:val="en-US" w:eastAsia="zh-CN"/>
        </w:rPr>
        <w:t>一、项目概况与总体要求</w:t>
      </w:r>
    </w:p>
    <w:p w14:paraId="1DF9EB1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依据《中华人民共和国合同法》、《中华人民共和国食品安全法》等法律、法规，长春市市场监督管理局（甲方）与长春市金粤轩餐饮有限公司（乙方）充分协商，签订《长春市市场监督管理局食堂管理外包服务合同》。</w:t>
      </w:r>
    </w:p>
    <w:p w14:paraId="79184979">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长春市市场监督管理局一号办公楼位于绿园区景阳大1199号，C区1-2楼为食堂库房、厨房、餐厅。其中主餐厅，容纳10人餐桌35张。食堂厨房主体结构：热菜间、蒸菜间、面点间、凉菜间、切配间、原材料清洗间、厨具清洗间、消毒间、厨具间；库房分别有食品仓库、物品仓库、米面仓库及调料仓库。</w:t>
      </w:r>
    </w:p>
    <w:p w14:paraId="39337FC3">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本次采购项目为食堂服务外包，具体为乙方为甲方机关干部职工提供工作日早、午餐及应急事件处理等特殊情况下的公休日加班餐。以及厨房餐厅卫生、食品安全、消防安全、残剩饭菜厨余垃圾处理等其他工作。</w:t>
      </w:r>
    </w:p>
    <w:p w14:paraId="26D7FE85">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乙方应提供不少于21人服务团队，包括其中管理员1人，厨师长1人，副食厨师3人，面食师傅3人，各类服务人员13人。</w:t>
      </w:r>
    </w:p>
    <w:p w14:paraId="1CA16CE2">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按甲方要求，如遇重大事件处理等应急情况下，随时调派人员配合甲方完成加班用餐及延时服务，人数不得少于6人，包括厨师2名、切配1名、面点师1名、服务员2名。加班人员按照实际情况调配人数，乙方无条件积极响应并全力配合。</w:t>
      </w:r>
    </w:p>
    <w:p w14:paraId="4D93D2D1">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二、服务范围内容</w:t>
      </w:r>
    </w:p>
    <w:p w14:paraId="4D976744">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乙方严格执行《中华人民共和国食品安全法》的规定和要求，依照中国烹协《餐饮业食品卫生规范》的规定执行。为长春市市场监督管理局机关一号楼职工食堂提供餐饮管理服务。食堂场地、餐饮设备、原材料采购、物耗等由甲方提供。</w:t>
      </w:r>
    </w:p>
    <w:p w14:paraId="54A8069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管理人员负责范围：编制项目内部管理的职责分工、日常管理制度、考核办法、投诉管理制度和质量保障措施。结合本项目的要求、硬件设施配置及特点，提出管理服务定位目标；食品安全及质量保证方案；突然断水、断电、无燃气情况的应急措施；存储食材出现质量问题无法使用的应急措施；食物中毒或食源性疾病应急措施；职工意外伤害应急处理措施；消防疏散应急措施；传染病防疫应急措施；开展岗前培训和食品安全知识培训，建立从业人员健康管理档案，从业人员持有有效健康证。</w:t>
      </w:r>
    </w:p>
    <w:p w14:paraId="6BED21BA">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厨师负责范围：负责食堂所有早餐、中餐及其他用餐的菜品烹调制作工作。计划用料，精工细作，提高烹调技术，改善制作方法，做到色、香、味俱佳。协助食堂管理员做好采购计划工作。保证食堂能按时开饭。负责检查操作台卫生，注意饮食安全，定期检查食堂库房物品质量，防止食物中毒。因其他原因、临时加餐必须做到菜品精细，保质保量。节约水、电、用气，做好防火工作，每日将食堂清理出来的餐食垃圾定时清运到指定地点、不得过夜。严禁食堂以外的人员进入洗消间，防止投毒事故发生。禁止有意人为损坏餐具。佩戴齐全防护用具，使用专用手套工作。完成领导安排的其他临时性工作。</w:t>
      </w:r>
    </w:p>
    <w:p w14:paraId="4D47E9A4">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面点师负责范围：保证和面机、发面用具、蒸锅、烤箱、消毒柜等设备清洁完好，如有故障及时维修报修，确保工作完成。馒头、花卷、包子、油条等面食，操作手法应按标准搓、揉，保证质量，米饭达到不糊、不夹生、不窜烟、不软、不硬的要求，并不断创新，新增花样品种，对剩余的主食要清理装盒保存，严格按规定保管好。工作积极主动，既分工又合作，要注意节约，减少消耗，反对浪费，认真完成食堂的各项工作任务。注意安全，随时检查电源开关，自来水开关，杜绝一切事故发生。严禁食堂以外的人员进入洗消间，防止投毒事故发生。禁止有意人为损坏餐具。佩戴齐全防护用具，使用专用手套工作。完成领导临时交办的其他工作。</w:t>
      </w:r>
    </w:p>
    <w:p w14:paraId="027C2B6E">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各类服务员负责范围：保证餐厅环境整洁卫生，四壁无尘，桌椅纵横成行，摆放整齐桌面无污迹，餐具上无杂物。要不怕脏，不怕累，不怕麻烦，每餐饭前，饭后要及时将桌椅、地面、摆放台面等设施整理干净，使用的食品工具，做到定期消毒，无水渍，无污渍，摆放有序。每日下班前，要关好门窗和切断电源，防止发生一切意外。努力掌握业务本领，练好基本功，接待用餐人员要正确使用规范服务用语，摆台迅速、规范，达到一流服务标准，不断提高服务水平。每日开餐期间，因天气原因。对面食等菜品进行临时加热替换上餐。清洗餐具做到一洗、二清、三消毒。餐具清洁完毕后不得有微小异物、油渍、水渍。必须用指定清洗剂清洗餐具。检斤称斤、餐巾台布清洗更换等。严禁食堂以外的人员进入洗消间，防止投毒事故发生。禁止有意人为损坏餐具。佩戴齐全防护用具，使用专用手套工作。完成领导临时交办的其他工作。</w:t>
      </w:r>
    </w:p>
    <w:p w14:paraId="07B2D173">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三、服务人员要求</w:t>
      </w:r>
    </w:p>
    <w:p w14:paraId="22AB4679">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1、乙方应当建立并执行从业人员健康管理制度。上岗人员必须持健康证上岗，并按照国家相关法律法规要求进行体检，派驻本项目的管理及服务人员均须提供上岗体检报告。</w:t>
      </w:r>
    </w:p>
    <w:p w14:paraId="1ED9C3A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2、乙方不得选派患有痢疾、伤寒、病毒性肝炎等消化道传染病的人员，以及患有活动性肺结核、化脓性或者渗出性皮肤病等有碍食品安全的疾病的人员从事接触直接入口食品的工作。</w:t>
      </w:r>
    </w:p>
    <w:p w14:paraId="7D2A05B9">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3、服务人员上岗前须经岗前业务和安全培训，掌握工作标准、服务流程和相关安全消防知识，做到文明礼貌、主动服务、爱岗敬业。应严格遵守国家法律法规和甲方相关的各项规章制度。</w:t>
      </w:r>
    </w:p>
    <w:p w14:paraId="48AE0513">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4、个人素质条件：身体健康能熟练操作烹饪工作，能主、副食营养搭配，科学调剂职工食堂伙食，无前科劣迹。在服务上要做到微笑服务、文明用语等。</w:t>
      </w:r>
    </w:p>
    <w:p w14:paraId="46DCE162">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5、乙方要加强对食堂服务人员的管理，无打架斗殴、偷盗等严重行为，确保服务人员无违法、违规、违纪事件发生。政府行政机关查实的各类违规违纪责任，均由乙方自行负责。</w:t>
      </w:r>
    </w:p>
    <w:p w14:paraId="5388832C">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6、乙方工作人员在工作时间穿戴整洁（要求穿工作服，戴帽子、口罩等），不留长发、勤剪指甲、勤洗手，不佩戴首饰。工作人员在上班前必须要清洁整理个人卫生，穿戴工作衣帽。工作时必须随时保持手部的清洁，必要时应穿戴一次性工作手套。</w:t>
      </w:r>
    </w:p>
    <w:p w14:paraId="6998F58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7、乙方服务人员职前必须学习并严格遵守《中华人民共和国保守秘密法》，各岗位所有员工必须严格遵守本岗位保密规定。为安全和保密工作需要，乙方人员只能在食堂工作区域指定区域内活动，未经许可，不得带无关人员和车辆进入院内。若有违反，甲方有权视情节轻重或造成的负面影响，给予乙方经济处罚。</w:t>
      </w:r>
    </w:p>
    <w:p w14:paraId="2FDA62B1">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8、乙方服务人员严禁在生产区吸烟、嚼口香糖等，禁止坐工作台或其它食品容器。</w:t>
      </w:r>
    </w:p>
    <w:p w14:paraId="61F33C4B">
      <w:pPr>
        <w:ind w:firstLine="480" w:firstLineChars="200"/>
        <w:rPr>
          <w:rFonts w:hint="eastAsia" w:eastAsia="宋体"/>
          <w:sz w:val="24"/>
          <w:szCs w:val="24"/>
          <w:highlight w:val="none"/>
          <w:lang w:val="en-US" w:eastAsia="zh-CN"/>
        </w:rPr>
      </w:pPr>
      <w:bookmarkStart w:id="35" w:name="_Toc175644391"/>
      <w:bookmarkStart w:id="36" w:name="_Toc101951260"/>
      <w:r>
        <w:rPr>
          <w:rFonts w:hint="eastAsia" w:eastAsia="宋体"/>
          <w:sz w:val="24"/>
          <w:szCs w:val="24"/>
          <w:highlight w:val="none"/>
          <w:lang w:val="en-US" w:eastAsia="zh-CN"/>
        </w:rPr>
        <w:t>9、乙方服务人员应遵守安全操作规章制度，禁止发生人身伤害及意外伤害等工伤事故。如发生事故由乙方负责。</w:t>
      </w:r>
    </w:p>
    <w:p w14:paraId="7A2D10C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10、乙方全部工作人员应专职服务本项目，如遇特殊情况需借用本项目工作人员，须报请甲方批准，并保证本项目正常运行。</w:t>
      </w:r>
    </w:p>
    <w:bookmarkEnd w:id="35"/>
    <w:bookmarkEnd w:id="36"/>
    <w:p w14:paraId="715825BC">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11、乙方要统筹安排全体工作人员无条件配合采购人处理各种突发事件和做好临时安排工作，配合甲方完成一些后勤搬运等工作。</w:t>
      </w:r>
    </w:p>
    <w:p w14:paraId="5779DFD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12、乙方无条件配合甲方落实各类紧急、突发事件等。</w:t>
      </w:r>
    </w:p>
    <w:p w14:paraId="5CA511B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13、乙方使用的设备、工具、器材、消耗品等相关用品，须在指定地点整齐摆放。</w:t>
      </w:r>
    </w:p>
    <w:p w14:paraId="799EB8F0">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14、乙方任何人不得私自带无关人员进入食堂区域，禁止在甲方处存放违禁品，禁止携带有毒化学药剂等进入食堂。</w:t>
      </w:r>
    </w:p>
    <w:p w14:paraId="3DE2044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15、乙方定期组织消防学习演练，对员工进行消防安全培训。</w:t>
      </w:r>
    </w:p>
    <w:p w14:paraId="26A327E4">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16、乙方对服务人员进行节能管理专业培训，加大节能管理力度，制定水、电、气等能源消耗节约管理制度。作业期间合理分配水、电、气资源使用，杜绝“长流水、长明灯、空燃气”现象，按照天气、温度变化合理调节公共区域空调、灯具等温度及亮度。</w:t>
      </w:r>
    </w:p>
    <w:p w14:paraId="19787795">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 xml:space="preserve"> 四、服务标准</w:t>
      </w:r>
    </w:p>
    <w:p w14:paraId="68A9D751">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（一）总体标准</w:t>
      </w:r>
    </w:p>
    <w:p w14:paraId="7F660F0E">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在服务期限内，乙方必须遵守国家有关法律、法规，在管理范围内组织开展食堂外包管理服务及甲方要求的其他工作，不断提高管理服务水平，各项管理服务项目要达到规定标准，主要包括：</w:t>
      </w:r>
    </w:p>
    <w:p w14:paraId="00A7BD9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1、有效投诉率1‰</w:t>
      </w:r>
      <w:r>
        <w:rPr>
          <w:rFonts w:hint="eastAsia" w:eastAsia="宋体"/>
          <w:sz w:val="24"/>
          <w:szCs w:val="24"/>
          <w:highlight w:val="none"/>
          <w:lang w:val="en-US" w:eastAsia="zh-CN"/>
        </w:rPr>
        <w:tab/>
      </w:r>
      <w:r>
        <w:rPr>
          <w:rFonts w:hint="eastAsia" w:eastAsia="宋体"/>
          <w:sz w:val="24"/>
          <w:szCs w:val="24"/>
          <w:highlight w:val="none"/>
          <w:lang w:val="en-US" w:eastAsia="zh-CN"/>
        </w:rPr>
        <w:tab/>
      </w:r>
      <w:r>
        <w:rPr>
          <w:rFonts w:hint="eastAsia" w:eastAsia="宋体"/>
          <w:sz w:val="24"/>
          <w:szCs w:val="24"/>
          <w:highlight w:val="none"/>
          <w:lang w:val="en-US" w:eastAsia="zh-CN"/>
        </w:rPr>
        <w:tab/>
      </w:r>
    </w:p>
    <w:p w14:paraId="07101E9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2、有效投诉处理率100%</w:t>
      </w:r>
    </w:p>
    <w:p w14:paraId="286A2CF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3、管理人员专业培训合格率100%</w:t>
      </w:r>
    </w:p>
    <w:p w14:paraId="48BCB605">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4、甲方满意率98%</w:t>
      </w:r>
    </w:p>
    <w:p w14:paraId="0A066ACD">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5、提供符合实际工作需要的服务模式和方案；具有严格、周密、实用的管理制度；</w:t>
      </w:r>
    </w:p>
    <w:p w14:paraId="79965099">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6、具有有针对性的岗位职责及各项安全保密措施。</w:t>
      </w:r>
    </w:p>
    <w:p w14:paraId="072C616C">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（二）服务标准</w:t>
      </w:r>
    </w:p>
    <w:p w14:paraId="243DDC3D">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乙方为长春市市场监督管理局一号办公楼干部职工提供工作日早餐、午餐，特殊情况公休日加班餐饮食服务。早餐时间7:30-8:30，午餐时间11:20-12:30（就餐时间按照长春市政府办公厅、市局机关作息时间调整通知适时调整）。</w:t>
      </w:r>
    </w:p>
    <w:p w14:paraId="56D41579">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2、乙方按甲方要求做好食品卫生、安全消防综合治理等工作，包括但不限于供应方案、内部管理制度、节能管理措施等。</w:t>
      </w:r>
    </w:p>
    <w:p w14:paraId="76104523">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3、就餐形式为自助餐，就餐人员根据菜肴情况自行选择搭配。如有需要，应按甲方要求提供桌餐、送餐（以盒饭为主）服务。</w:t>
      </w:r>
    </w:p>
    <w:p w14:paraId="62787543">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4、早餐最低标准如下：</w:t>
      </w:r>
    </w:p>
    <w:p w14:paraId="4445A7AA">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早餐制作包括粥两款、中点四款（至少含米饭、饼类、馒头、包馅面食）、西点一到两款、鸡蛋一款。热菜一款，咸菜两款（要求菜品丰富，一周之内不重复），豆浆、牛奶各一款。</w:t>
      </w:r>
    </w:p>
    <w:p w14:paraId="4F07713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5、午餐最低标准如下：</w:t>
      </w:r>
    </w:p>
    <w:p w14:paraId="61880B2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午餐制作主食四款，包括但不限于米饭、饼类、馒头等，制作热菜六款，包括二荤四素，（每周至少制作虾、牛肉、羊肉、猪排骨、鱼类等菜品或同档次菜品各一次，要求菜品丰富，搭配合理，一周之内不重复）、汤一款、咸菜两款，风味小吃一款。</w:t>
      </w:r>
    </w:p>
    <w:p w14:paraId="543BB04D">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6、特殊情况下的公休日加班餐由甲方制定方案，乙方按照采购人需求执行。</w:t>
      </w:r>
    </w:p>
    <w:p w14:paraId="25BB59CA">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7、日常就餐标准及菜品安排按甲方制定标准执行。传统节日或重要节气当天应制作相应的节日食品。</w:t>
      </w:r>
    </w:p>
    <w:p w14:paraId="2672460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8、乙方严格执行服务标准，确保菜品质量美味可口，主副食营养均衡，荤素搭配，干净卫生，花样翻新，菜品一周之内不重复，并确保菜品数量和准时开餐。</w:t>
      </w:r>
    </w:p>
    <w:p w14:paraId="48930A03">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9、每周乙方厨师长按照甲方制定的就餐标准和菜品配置要求制定就餐菜谱，并请甲方管理人员审核确定。</w:t>
      </w:r>
    </w:p>
    <w:p w14:paraId="2C466F2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10、每日职工食堂所需食材按照预定食谱由甲方管理人员统一采购。每日早上收货时，由甲乙双方分别派1名管理人员进行检斤工作，检查配送食材质量和数量。所购食品必须符合卫生要求和食品质量标准，菜品新鲜，如不符合要求，应立即更换食材。</w:t>
      </w:r>
    </w:p>
    <w:p w14:paraId="214DFC3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11、乙方确保食堂后厨、就餐大厅环境卫生，干净整洁。</w:t>
      </w:r>
    </w:p>
    <w:p w14:paraId="0493BCAD">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12、食品卫生控制标准:</w:t>
      </w:r>
    </w:p>
    <w:p w14:paraId="12A8FE75">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严格执行《中华人民共和国食品安全法》的规定和要求，坚持“超洁净”卫生操作，彻底消除食品卫生安全隐患。依照中国烹协《餐饮业食品卫生规范》与ISO9001国际质量要求的过程控制标准，对各工作流程严格控制，规范操作。</w:t>
      </w:r>
    </w:p>
    <w:p w14:paraId="5E8A995D">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卫生控制措施：</w:t>
      </w:r>
    </w:p>
    <w:p w14:paraId="6F51CF4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（1）严把原材料入口关，不准“三无”产品及变质原料进入。</w:t>
      </w:r>
    </w:p>
    <w:p w14:paraId="45E78E57">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（2）坚持蔬菜类原材料加工前浸泡30分钟，洗净去污，减少农药残留。</w:t>
      </w:r>
    </w:p>
    <w:p w14:paraId="476B666F">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（3）严格洗消保洁程序，公用餐具坚持每餐浸泡清洗、高温消毒，保洁存放。</w:t>
      </w:r>
    </w:p>
    <w:p w14:paraId="2332A8EA">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（4）坚持食品加工“生进熟出一条龙”作业，杜绝交叉感染。</w:t>
      </w:r>
    </w:p>
    <w:p w14:paraId="35B03447">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（5）盛生食物和熟食物的容器不得混用；切生食物和切熟食物的刀板不能混用并分别保管。</w:t>
      </w:r>
    </w:p>
    <w:p w14:paraId="51DB0159">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（6）每餐主、副食品留样48小时，以备查验。严格执行食品留样制度，每餐都应分别留存食品，做好标签, 留足数量并做好记录以备查验。</w:t>
      </w:r>
    </w:p>
    <w:p w14:paraId="2FBF99B4">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（7）所有工作人员的个人卫生都要岗前检查，不达标的不允许上岗。</w:t>
      </w:r>
    </w:p>
    <w:p w14:paraId="7881F9CD">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（8）厨师作为食品质量检验人员，对食品入库、加工实施监督检查。</w:t>
      </w:r>
    </w:p>
    <w:p w14:paraId="1C6B45C7">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环境卫生控制措施：</w:t>
      </w:r>
    </w:p>
    <w:p w14:paraId="4C5C70C7">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（1）空气清新无异味。</w:t>
      </w:r>
    </w:p>
    <w:p w14:paraId="0AB77B97">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（2）无蝇、无鼠、无垃圾、无污水沉积，垃圾收集桶洁净并加盖。</w:t>
      </w:r>
    </w:p>
    <w:p w14:paraId="7673E13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（3）污水排放畅通，地面无积水、无杂物。保持排水畅通，污水应及时倒入污水池，不积存脏水污物。</w:t>
      </w:r>
    </w:p>
    <w:p w14:paraId="3C2C25C4">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（4）门窗洁净，墙壁无尘土、无蜘蛛网。</w:t>
      </w:r>
    </w:p>
    <w:p w14:paraId="1912755C">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（5）机械设备、排风扇、照明用具保持洁净。</w:t>
      </w:r>
    </w:p>
    <w:p w14:paraId="1D87A632">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（6）水池、保洁柜、消毒柜、蒸箱洁净，无污垢，无杂物。</w:t>
      </w:r>
    </w:p>
    <w:p w14:paraId="0945EBA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（7）清洁用具定位放置，分区管理，责任到人。</w:t>
      </w:r>
    </w:p>
    <w:p w14:paraId="4307A6A9">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（8）小炊具用后要及时清洗晾干、放置有序；较大的炊具用后用热水洗净擦干，每周用碱水刷洗一次；机械用具用后热水洗净，擦干保存；</w:t>
      </w:r>
    </w:p>
    <w:p w14:paraId="497979CA">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（9）要保持厨房操作间、饭堂及周边环境卫生，做到干净、整洁，达到规定合格标准。餐前、餐后要及时进行环境擦扫，保持环境整洁。</w:t>
      </w:r>
    </w:p>
    <w:p w14:paraId="0EC368D5">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（10）餐桌布，餐椅套每月清洗一次。</w:t>
      </w:r>
    </w:p>
    <w:p w14:paraId="193F0722">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（11）每日卫生、安全、防疫等工作有检查有记录。</w:t>
      </w:r>
    </w:p>
    <w:p w14:paraId="0EEED2E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安全管理控制措施：</w:t>
      </w:r>
    </w:p>
    <w:p w14:paraId="4FB5C15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（1）节约使用食堂用具，做好用品交接和保管；节约用水、用电。管理好易燃易爆用具，饭后严格检查，发现问题及时上报。</w:t>
      </w:r>
    </w:p>
    <w:p w14:paraId="1F3BA672">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（2）食堂要对炉具、电气设备、燃气阀门管道进行专人管理，每日进行安全检查，以保证安全。</w:t>
      </w:r>
    </w:p>
    <w:p w14:paraId="44E6A3DF">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 xml:space="preserve">（3）炉灶、通风扇、排油烟机要经常清洗，以防油渍引发火灾，对燃气胶管要经常检查更新，杜绝意外事故的发生 </w:t>
      </w:r>
    </w:p>
    <w:p w14:paraId="16962342">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（4）食堂工作人员离开厨房前，必须将厨房各种食品放置好，关好门窗，检查各类电源开关、设备、炉灶等。</w:t>
      </w:r>
    </w:p>
    <w:p w14:paraId="0B65FB8C">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生产阶段的控制：</w:t>
      </w:r>
    </w:p>
    <w:p w14:paraId="290CD426">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原料领用与加工：严格计划领料，检查各类需加工用的原料质量，确认可靠后才可进行加工。对须切割加工的原料，应根据烹调的需要，事先明确规定切料加工的规格标准，编制原料切割规格表，作为加工人员操作依据和管理人员检查监督依据。</w:t>
      </w:r>
    </w:p>
    <w:p w14:paraId="7D9D155A">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（2）原料配份：食堂严格执行服务标准，确保菜品质量美味可口，主副食营养均衡，荤素搭配，干净卫生，花样翻新，确保菜品供应数量满足就餐者需求，做好成本核算，杜绝浪费。</w:t>
      </w:r>
    </w:p>
    <w:p w14:paraId="7327CCA5">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3）食品烹调：在开餐前，将经常使用的主要的调味汁，批量集中兑制，以便烹调时各炉头随时取用，以减少偏差，保证菜品口味的一致性。调味汁的调兑应由专人负责。调兑用料规格比例在标准菜谱中应事先规定，如无标准菜谱也可独立制定用料规格表。</w:t>
      </w:r>
    </w:p>
    <w:p w14:paraId="2AE8C20E">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消费阶段的控制：</w:t>
      </w:r>
    </w:p>
    <w:p w14:paraId="4224C828">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（1）备餐服务：实行严格的质量检查制度，每一道工序的员工，必须针对上一道工序的食品加工制作质量进行检查，如发现不合标准，应予返工，以免影响成品质量。</w:t>
      </w:r>
    </w:p>
    <w:p w14:paraId="1D1A9D7B">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（2）打餐服务：服务员在开餐前做好餐前准备，服装穿戴整齐，使用礼貌用语。</w:t>
      </w:r>
    </w:p>
    <w:p w14:paraId="3125DD7F">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13、乙方如因违反《食品卫生法》给甲方及甲方人员造成损失，乙方及乙方相关人员应负相关法律责任及全部经济责任。</w:t>
      </w:r>
    </w:p>
    <w:p w14:paraId="495F3E02">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14、乙方应节约能源和各种原材料，做好成本核算，努力降低成本。爱惜食堂设备、设施，因乙方及乙方相关人员原因造成设备、设施及物品损坏，乙方按价赔偿。乙方不得私自将食堂设备及物资运出甲方大院，查清核实一次，扣除当月服务费用。上述行为发生三次以上，甲方有权单方面终止合同，造成经济损失由乙方自行承担。</w:t>
      </w:r>
    </w:p>
    <w:p w14:paraId="4621FCEF">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15、乙方负责食堂安全工作，确保食堂消防安全、人身安全、食品安全、物品安全，确保不发生安全事故。如因乙方及乙方人员操作不当发生以上安全事故，乙方负相关法律责任及全部经济责任。</w:t>
      </w:r>
    </w:p>
    <w:p w14:paraId="196EED0E">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16、乙方应具有食品安全事故预防和处置方案，加强食堂食品、水源和库房的安全监控，定期检查食品安全防范措施落实情况，及时消除食品安全事故隐患；一旦发生食品安全事故，需迅速启动预案，积极处理事故。经国家权威部门鉴定，确认事故是由乙方造成，乙方将承担被保障单位及受害者一切损失，必要时承担相应的法律责任。</w:t>
      </w:r>
    </w:p>
    <w:p w14:paraId="46781365">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17、乙方严格服从甲方领导，食堂所有员工严格执行食堂的规章制度。食堂在管理经营过程中的一切流程接受甲方的监督，对采购人提出的意见努力改进，让就餐者满意。</w:t>
      </w:r>
    </w:p>
    <w:p w14:paraId="2C4F6B4C">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18、科学、营养配餐，保证就餐者营养合理搭配。符合中国烹协规定的营养标准，制定出符合采购人饮食结构的食谱，以保障就餐者在营养均衡下保持良好的工作状态。</w:t>
      </w:r>
    </w:p>
    <w:p w14:paraId="6CBC5BBC">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19、在突发特殊情况（停电、停水、停气）影响就餐时，具备保障能力和保障措施，保证基本饮食需求。乙方应有完善的应急预案，如遇临时停水、停电、断气、食物中毒、原材料无法及时到达、临时增加就餐人员等特殊情况，需保证正常供应。</w:t>
      </w:r>
    </w:p>
    <w:p w14:paraId="64A9DC21">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20、巡检：乙方实行日常巡检制度，发现问题责令责任人马上整改，对于整改有困难的问题要限期整改，保证职工食堂内无各项卫生安全隐患。</w:t>
      </w:r>
    </w:p>
    <w:p w14:paraId="6F214E87">
      <w:pPr>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21、乙方负责餐厨垃圾清运，垃圾必须日产日清；做好垃圾分类和禁塑工作。</w:t>
      </w:r>
    </w:p>
    <w:p w14:paraId="0A3168F3">
      <w:pPr>
        <w:ind w:firstLine="480" w:firstLineChars="200"/>
        <w:rPr>
          <w:rFonts w:hint="eastAsia"/>
          <w:sz w:val="24"/>
          <w:szCs w:val="24"/>
          <w:highlight w:val="none"/>
        </w:rPr>
      </w:pPr>
      <w:r>
        <w:rPr>
          <w:rFonts w:hint="eastAsia" w:eastAsia="宋体"/>
          <w:sz w:val="24"/>
          <w:szCs w:val="24"/>
          <w:highlight w:val="none"/>
          <w:lang w:val="en-US" w:eastAsia="zh-CN"/>
        </w:rPr>
        <w:t>22、坚持“安全第一、服务为上”的原则，一切从服务就餐者角度出发，真正把食堂建设成为“职工之家”。</w:t>
      </w:r>
    </w:p>
    <w:p w14:paraId="6462DDA6">
      <w:pPr>
        <w:rPr>
          <w:rFonts w:hint="eastAsia" w:ascii="宋体" w:hAnsi="宋体" w:eastAsia="宋体" w:cs="宋体"/>
          <w:sz w:val="24"/>
          <w:szCs w:val="24"/>
          <w:highlight w:val="none"/>
        </w:rPr>
      </w:pPr>
    </w:p>
    <w:p w14:paraId="071358D3">
      <w:pPr>
        <w:rPr>
          <w:rFonts w:hint="eastAsia"/>
          <w:sz w:val="24"/>
          <w:szCs w:val="24"/>
          <w:highlight w:val="none"/>
        </w:rPr>
      </w:pPr>
    </w:p>
    <w:p w14:paraId="7D81AF6B">
      <w:pPr>
        <w:rPr>
          <w:rFonts w:hint="eastAsia"/>
          <w:sz w:val="24"/>
          <w:szCs w:val="24"/>
          <w:highlight w:val="none"/>
        </w:rPr>
      </w:pPr>
    </w:p>
    <w:p w14:paraId="70810684">
      <w:pPr>
        <w:rPr>
          <w:rFonts w:hint="eastAsia"/>
          <w:sz w:val="24"/>
          <w:szCs w:val="24"/>
          <w:highlight w:val="none"/>
        </w:rPr>
      </w:pPr>
    </w:p>
    <w:p w14:paraId="5F5CCA06">
      <w:pPr>
        <w:rPr>
          <w:rFonts w:hint="eastAsia"/>
          <w:sz w:val="24"/>
          <w:szCs w:val="24"/>
          <w:highlight w:val="none"/>
        </w:rPr>
      </w:pPr>
    </w:p>
    <w:p w14:paraId="21C982C8">
      <w:pPr>
        <w:rPr>
          <w:rFonts w:hint="eastAsia" w:ascii="宋体" w:hAnsi="宋体" w:eastAsia="宋体" w:cs="宋体"/>
          <w:sz w:val="24"/>
          <w:szCs w:val="24"/>
          <w:highlight w:val="none"/>
        </w:rPr>
      </w:pPr>
    </w:p>
    <w:p w14:paraId="1E1994B7">
      <w:pPr>
        <w:rPr>
          <w:rFonts w:hint="eastAsia" w:ascii="宋体" w:hAnsi="宋体" w:eastAsia="宋体" w:cs="宋体"/>
          <w:sz w:val="24"/>
          <w:szCs w:val="24"/>
          <w:highlight w:val="none"/>
        </w:rPr>
      </w:pPr>
    </w:p>
    <w:p w14:paraId="26019F3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482194DF">
      <w:pPr>
        <w:pStyle w:val="3"/>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第六章 </w:t>
      </w:r>
      <w:r>
        <w:rPr>
          <w:rFonts w:hint="eastAsia" w:ascii="宋体" w:hAnsi="宋体" w:cs="宋体"/>
          <w:highlight w:val="none"/>
          <w:lang w:val="en-US" w:eastAsia="zh-CN"/>
        </w:rPr>
        <w:t>响应文件</w:t>
      </w:r>
      <w:r>
        <w:rPr>
          <w:rFonts w:hint="eastAsia" w:ascii="宋体" w:hAnsi="宋体" w:eastAsia="宋体" w:cs="宋体"/>
          <w:highlight w:val="none"/>
          <w:lang w:val="en-US" w:eastAsia="zh-CN"/>
        </w:rPr>
        <w:t>构成及格式</w:t>
      </w:r>
      <w:bookmarkEnd w:id="28"/>
      <w:bookmarkEnd w:id="29"/>
      <w:bookmarkEnd w:id="30"/>
      <w:bookmarkEnd w:id="31"/>
      <w:bookmarkEnd w:id="32"/>
      <w:bookmarkEnd w:id="33"/>
      <w:bookmarkEnd w:id="34"/>
    </w:p>
    <w:p w14:paraId="482F0EE3">
      <w:pPr>
        <w:spacing w:line="360" w:lineRule="auto"/>
        <w:ind w:left="420"/>
        <w:jc w:val="center"/>
        <w:rPr>
          <w:rFonts w:hint="eastAsia" w:ascii="宋体" w:hAnsi="宋体" w:eastAsia="宋体" w:cs="宋体"/>
          <w:sz w:val="24"/>
          <w:szCs w:val="24"/>
          <w:highlight w:val="none"/>
        </w:rPr>
      </w:pPr>
    </w:p>
    <w:p w14:paraId="38CDDF2A">
      <w:pPr>
        <w:pStyle w:val="15"/>
        <w:spacing w:line="360" w:lineRule="auto"/>
        <w:rPr>
          <w:rFonts w:hint="eastAsia" w:ascii="宋体" w:hAnsi="宋体" w:eastAsia="宋体" w:cs="宋体"/>
          <w:bCs/>
          <w:sz w:val="24"/>
          <w:szCs w:val="24"/>
          <w:highlight w:val="none"/>
        </w:rPr>
      </w:pPr>
      <w:bookmarkStart w:id="37" w:name="_Toc7468"/>
      <w:bookmarkStart w:id="38" w:name="_Toc21335"/>
      <w:bookmarkStart w:id="39" w:name="_Toc25392"/>
      <w:bookmarkStart w:id="40" w:name="_Toc24749"/>
      <w:bookmarkStart w:id="41" w:name="_Toc21796"/>
      <w:bookmarkStart w:id="42" w:name="_Toc9535"/>
      <w:r>
        <w:rPr>
          <w:rFonts w:hint="eastAsia" w:ascii="宋体" w:hAnsi="宋体" w:eastAsia="宋体" w:cs="宋体"/>
          <w:bCs/>
          <w:sz w:val="24"/>
          <w:szCs w:val="24"/>
          <w:highlight w:val="none"/>
        </w:rPr>
        <w:t>采购人特别声明：</w:t>
      </w:r>
      <w:bookmarkEnd w:id="37"/>
      <w:bookmarkEnd w:id="38"/>
      <w:bookmarkEnd w:id="39"/>
      <w:bookmarkEnd w:id="40"/>
      <w:bookmarkEnd w:id="41"/>
      <w:bookmarkEnd w:id="42"/>
    </w:p>
    <w:p w14:paraId="453A32D0">
      <w:pPr>
        <w:pStyle w:val="4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供应商应提交本“</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文件格式”所列举和要求的全部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，并且所提交的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都是真实有效的，否则，将是供应商的风险。</w:t>
      </w:r>
    </w:p>
    <w:p w14:paraId="2FF19A22">
      <w:pPr>
        <w:rPr>
          <w:rFonts w:hint="eastAsia" w:ascii="宋体" w:hAnsi="宋体" w:eastAsia="宋体" w:cs="宋体"/>
          <w:b/>
          <w:kern w:val="0"/>
          <w:sz w:val="28"/>
          <w:szCs w:val="28"/>
          <w:highlight w:val="none"/>
          <w:shd w:val="clear" w:color="auto" w:fill="FFFFFF"/>
        </w:rPr>
      </w:pPr>
      <w:r>
        <w:rPr>
          <w:rFonts w:hint="eastAsia" w:ascii="宋体" w:hAnsi="宋体" w:eastAsia="宋体" w:cs="宋体"/>
          <w:b/>
          <w:kern w:val="0"/>
          <w:sz w:val="28"/>
          <w:szCs w:val="28"/>
          <w:highlight w:val="none"/>
          <w:shd w:val="clear" w:color="auto" w:fill="FFFFFF"/>
        </w:rPr>
        <w:br w:type="page"/>
      </w:r>
    </w:p>
    <w:p w14:paraId="3F5B5F84">
      <w:pPr>
        <w:jc w:val="right"/>
        <w:rPr>
          <w:rFonts w:hint="eastAsia" w:ascii="宋体" w:hAnsi="宋体" w:eastAsia="宋体" w:cs="宋体"/>
          <w:sz w:val="48"/>
          <w:highlight w:val="none"/>
        </w:rPr>
      </w:pPr>
      <w:r>
        <w:rPr>
          <w:rFonts w:hint="eastAsia" w:ascii="宋体" w:hAnsi="宋体" w:eastAsia="宋体" w:cs="宋体"/>
          <w:b/>
          <w:sz w:val="44"/>
          <w:szCs w:val="44"/>
          <w:highlight w:val="none"/>
        </w:rPr>
        <w:t>【正本或副本】</w:t>
      </w:r>
    </w:p>
    <w:p w14:paraId="433FB312">
      <w:pPr>
        <w:rPr>
          <w:rFonts w:hint="eastAsia" w:ascii="宋体" w:hAnsi="宋体" w:eastAsia="宋体" w:cs="宋体"/>
          <w:b/>
          <w:sz w:val="36"/>
          <w:szCs w:val="36"/>
          <w:highlight w:val="none"/>
        </w:rPr>
      </w:pPr>
    </w:p>
    <w:p w14:paraId="3A0A1023">
      <w:pPr>
        <w:rPr>
          <w:rFonts w:hint="eastAsia" w:ascii="宋体" w:hAnsi="宋体" w:eastAsia="宋体" w:cs="宋体"/>
          <w:b/>
          <w:sz w:val="36"/>
          <w:szCs w:val="36"/>
          <w:highlight w:val="none"/>
        </w:rPr>
      </w:pPr>
    </w:p>
    <w:p w14:paraId="6BDF59D5">
      <w:pPr>
        <w:jc w:val="center"/>
        <w:rPr>
          <w:rFonts w:hint="eastAsia" w:ascii="宋体" w:hAnsi="宋体" w:eastAsia="宋体" w:cs="宋体"/>
          <w:b/>
          <w:bCs/>
          <w:color w:val="000000"/>
          <w:sz w:val="44"/>
          <w:szCs w:val="44"/>
          <w:highlight w:val="none"/>
          <w:u w:val="single"/>
          <w:lang w:eastAsia="zh-CN"/>
        </w:rPr>
      </w:pPr>
      <w:r>
        <w:rPr>
          <w:rFonts w:hint="eastAsia" w:ascii="宋体" w:hAnsi="宋体" w:eastAsia="宋体" w:cs="宋体"/>
          <w:b/>
          <w:bCs/>
          <w:color w:val="000000"/>
          <w:sz w:val="44"/>
          <w:szCs w:val="44"/>
          <w:highlight w:val="none"/>
          <w:u w:val="single"/>
          <w:lang w:val="en-US" w:eastAsia="zh-CN"/>
        </w:rPr>
        <w:t xml:space="preserve">                          </w:t>
      </w:r>
      <w:r>
        <w:rPr>
          <w:rFonts w:hint="eastAsia" w:ascii="宋体" w:hAnsi="宋体" w:eastAsia="宋体" w:cs="宋体"/>
          <w:b/>
          <w:bCs/>
          <w:color w:val="000000"/>
          <w:sz w:val="44"/>
          <w:szCs w:val="44"/>
          <w:highlight w:val="none"/>
          <w:u w:val="single"/>
          <w:lang w:eastAsia="zh-CN"/>
        </w:rPr>
        <w:t>项目</w:t>
      </w:r>
    </w:p>
    <w:p w14:paraId="746094EB">
      <w:pPr>
        <w:pStyle w:val="4"/>
        <w:rPr>
          <w:rFonts w:hint="eastAsia" w:ascii="宋体" w:hAnsi="宋体" w:eastAsia="宋体" w:cs="宋体"/>
          <w:highlight w:val="none"/>
        </w:rPr>
      </w:pPr>
    </w:p>
    <w:p w14:paraId="7533CA0C">
      <w:pPr>
        <w:rPr>
          <w:rFonts w:hint="eastAsia" w:ascii="宋体" w:hAnsi="宋体" w:eastAsia="宋体" w:cs="宋体"/>
          <w:b/>
          <w:sz w:val="84"/>
          <w:szCs w:val="84"/>
          <w:highlight w:val="none"/>
        </w:rPr>
      </w:pPr>
    </w:p>
    <w:p w14:paraId="02C14514">
      <w:pPr>
        <w:spacing w:line="480" w:lineRule="auto"/>
        <w:ind w:right="105"/>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 xml:space="preserve"> 响 应 文 件</w:t>
      </w:r>
    </w:p>
    <w:p w14:paraId="2A34505D">
      <w:pPr>
        <w:rPr>
          <w:rFonts w:hint="eastAsia" w:ascii="宋体" w:hAnsi="宋体" w:eastAsia="宋体" w:cs="宋体"/>
          <w:sz w:val="36"/>
          <w:highlight w:val="none"/>
        </w:rPr>
      </w:pPr>
    </w:p>
    <w:p w14:paraId="3F89917C">
      <w:pPr>
        <w:jc w:val="cente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项目编号：</w:t>
      </w:r>
      <w:r>
        <w:rPr>
          <w:rFonts w:hint="eastAsia" w:ascii="宋体" w:hAnsi="宋体" w:eastAsia="宋体" w:cs="宋体"/>
          <w:b/>
          <w:bCs/>
          <w:sz w:val="30"/>
          <w:szCs w:val="30"/>
          <w:highlight w:val="none"/>
          <w:lang w:val="en-US" w:eastAsia="zh-CN"/>
        </w:rPr>
        <w:t xml:space="preserve"> </w:t>
      </w:r>
    </w:p>
    <w:p w14:paraId="7B3A8478">
      <w:pPr>
        <w:ind w:firstLine="321" w:firstLineChars="100"/>
        <w:jc w:val="center"/>
        <w:rPr>
          <w:rFonts w:hint="eastAsia" w:ascii="宋体" w:hAnsi="宋体" w:eastAsia="宋体" w:cs="宋体"/>
          <w:b/>
          <w:sz w:val="32"/>
          <w:szCs w:val="32"/>
          <w:highlight w:val="none"/>
        </w:rPr>
      </w:pPr>
    </w:p>
    <w:p w14:paraId="70135CDB">
      <w:pPr>
        <w:rPr>
          <w:rFonts w:hint="eastAsia" w:ascii="宋体" w:hAnsi="宋体" w:eastAsia="宋体" w:cs="宋体"/>
          <w:sz w:val="30"/>
          <w:szCs w:val="30"/>
          <w:highlight w:val="none"/>
        </w:rPr>
      </w:pPr>
    </w:p>
    <w:p w14:paraId="288BE14B">
      <w:pPr>
        <w:rPr>
          <w:rFonts w:hint="eastAsia" w:ascii="宋体" w:hAnsi="宋体" w:eastAsia="宋体" w:cs="宋体"/>
          <w:sz w:val="32"/>
          <w:highlight w:val="none"/>
        </w:rPr>
      </w:pPr>
    </w:p>
    <w:p w14:paraId="0ADDC4D3">
      <w:pPr>
        <w:ind w:firstLine="643" w:firstLineChars="200"/>
        <w:rPr>
          <w:rFonts w:hint="eastAsia" w:ascii="宋体" w:hAnsi="宋体" w:eastAsia="宋体" w:cs="宋体"/>
          <w:b/>
          <w:sz w:val="32"/>
          <w:szCs w:val="32"/>
          <w:highlight w:val="none"/>
        </w:rPr>
      </w:pPr>
    </w:p>
    <w:p w14:paraId="12A31FF3">
      <w:pPr>
        <w:ind w:firstLine="643" w:firstLineChars="200"/>
        <w:rPr>
          <w:rFonts w:hint="eastAsia" w:ascii="宋体" w:hAnsi="宋体" w:eastAsia="宋体" w:cs="宋体"/>
          <w:b/>
          <w:sz w:val="32"/>
          <w:szCs w:val="32"/>
          <w:highlight w:val="none"/>
        </w:rPr>
      </w:pPr>
    </w:p>
    <w:p w14:paraId="6F5199D2">
      <w:pPr>
        <w:ind w:firstLine="643" w:firstLineChars="200"/>
        <w:rPr>
          <w:rFonts w:hint="eastAsia" w:ascii="宋体" w:hAnsi="宋体" w:eastAsia="宋体" w:cs="宋体"/>
          <w:b/>
          <w:sz w:val="32"/>
          <w:szCs w:val="32"/>
          <w:highlight w:val="none"/>
        </w:rPr>
      </w:pPr>
    </w:p>
    <w:p w14:paraId="79844FBB">
      <w:pPr>
        <w:ind w:firstLine="643" w:firstLineChars="200"/>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lang w:eastAsia="zh-CN"/>
        </w:rPr>
        <w:t>供应商</w:t>
      </w:r>
      <w:r>
        <w:rPr>
          <w:rFonts w:hint="eastAsia" w:ascii="宋体" w:hAnsi="宋体" w:eastAsia="宋体" w:cs="宋体"/>
          <w:b/>
          <w:sz w:val="32"/>
          <w:szCs w:val="32"/>
          <w:highlight w:val="none"/>
        </w:rPr>
        <w:t>：</w:t>
      </w:r>
      <w:r>
        <w:rPr>
          <w:rFonts w:hint="eastAsia" w:ascii="宋体" w:hAnsi="宋体" w:eastAsia="宋体" w:cs="宋体"/>
          <w:b/>
          <w:sz w:val="32"/>
          <w:szCs w:val="32"/>
          <w:highlight w:val="none"/>
          <w:u w:val="single"/>
        </w:rPr>
        <w:t xml:space="preserve">                       （盖章）</w:t>
      </w:r>
    </w:p>
    <w:p w14:paraId="4C6D07F1">
      <w:pPr>
        <w:ind w:firstLine="643" w:firstLineChars="200"/>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法定代表人或其授权委托代理人：</w:t>
      </w:r>
      <w:r>
        <w:rPr>
          <w:rFonts w:hint="eastAsia" w:ascii="宋体" w:hAnsi="宋体" w:eastAsia="宋体" w:cs="宋体"/>
          <w:b/>
          <w:sz w:val="32"/>
          <w:szCs w:val="32"/>
          <w:highlight w:val="none"/>
          <w:u w:val="single"/>
        </w:rPr>
        <w:t xml:space="preserve">  （签字或盖章）       </w:t>
      </w:r>
    </w:p>
    <w:p w14:paraId="5A2CC681">
      <w:pPr>
        <w:ind w:firstLine="643" w:firstLineChars="200"/>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日期：</w:t>
      </w:r>
      <w:r>
        <w:rPr>
          <w:rFonts w:hint="eastAsia" w:ascii="宋体" w:hAnsi="宋体" w:eastAsia="宋体" w:cs="宋体"/>
          <w:b/>
          <w:sz w:val="32"/>
          <w:szCs w:val="32"/>
          <w:highlight w:val="none"/>
          <w:u w:val="single"/>
        </w:rPr>
        <w:t xml:space="preserve">    年   月   日</w:t>
      </w:r>
    </w:p>
    <w:p w14:paraId="6A2EE534">
      <w:pPr>
        <w:tabs>
          <w:tab w:val="left" w:pos="1365"/>
        </w:tabs>
        <w:spacing w:line="360" w:lineRule="auto"/>
        <w:rPr>
          <w:rFonts w:hint="eastAsia" w:ascii="宋体" w:hAnsi="宋体" w:eastAsia="宋体" w:cs="宋体"/>
          <w:b/>
          <w:sz w:val="36"/>
          <w:szCs w:val="36"/>
          <w:highlight w:val="none"/>
        </w:rPr>
      </w:pPr>
    </w:p>
    <w:p w14:paraId="18A1FAC0">
      <w:pPr>
        <w:tabs>
          <w:tab w:val="left" w:pos="1365"/>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79B489BD">
      <w:pPr>
        <w:tabs>
          <w:tab w:val="left" w:pos="1365"/>
        </w:tabs>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6D22898B">
      <w:pPr>
        <w:tabs>
          <w:tab w:val="left" w:pos="1365"/>
        </w:tabs>
        <w:spacing w:line="360" w:lineRule="auto"/>
        <w:ind w:left="416" w:leftChars="198"/>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磋商响应函</w:t>
      </w:r>
    </w:p>
    <w:p w14:paraId="01FDBB32">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、法定代表人身份证明</w:t>
      </w:r>
    </w:p>
    <w:p w14:paraId="6B0FFAAF">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、授权委托书</w:t>
      </w:r>
    </w:p>
    <w:p w14:paraId="6369D240">
      <w:pPr>
        <w:tabs>
          <w:tab w:val="left" w:pos="1365"/>
        </w:tabs>
        <w:spacing w:line="360" w:lineRule="auto"/>
        <w:ind w:left="416" w:leftChars="198"/>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磋商报价表</w:t>
      </w:r>
    </w:p>
    <w:p w14:paraId="3369FEEB">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、商务条款偏离表</w:t>
      </w:r>
    </w:p>
    <w:p w14:paraId="1D52F62A">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、技术条款偏离表</w:t>
      </w:r>
    </w:p>
    <w:p w14:paraId="70DB8F06">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、供应商基本情况</w:t>
      </w:r>
    </w:p>
    <w:p w14:paraId="36827615">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、供应商类似项目业绩一览表</w:t>
      </w:r>
    </w:p>
    <w:p w14:paraId="5105FEA1">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、供应商拟派于本项目服务人员情况表</w:t>
      </w:r>
    </w:p>
    <w:p w14:paraId="24EA13AB">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保证金</w:t>
      </w:r>
    </w:p>
    <w:p w14:paraId="4D8B6BD3">
      <w:pPr>
        <w:tabs>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、实施方案</w:t>
      </w:r>
    </w:p>
    <w:p w14:paraId="2AA50C34">
      <w:pPr>
        <w:tabs>
          <w:tab w:val="left" w:pos="393"/>
          <w:tab w:val="left" w:pos="1365"/>
        </w:tabs>
        <w:spacing w:line="360" w:lineRule="auto"/>
        <w:ind w:left="416" w:leftChars="19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、供应商认为需要提供的其他材料</w:t>
      </w:r>
    </w:p>
    <w:p w14:paraId="58A9EE23">
      <w:pPr>
        <w:tabs>
          <w:tab w:val="left" w:pos="1365"/>
        </w:tabs>
        <w:spacing w:line="360" w:lineRule="auto"/>
        <w:ind w:firstLine="482" w:firstLineChars="201"/>
        <w:rPr>
          <w:rFonts w:hint="eastAsia" w:ascii="宋体" w:hAnsi="宋体" w:eastAsia="宋体" w:cs="宋体"/>
          <w:color w:val="auto"/>
          <w:sz w:val="24"/>
          <w:highlight w:val="none"/>
        </w:rPr>
      </w:pPr>
    </w:p>
    <w:p w14:paraId="7BDEE0C6">
      <w:pPr>
        <w:spacing w:line="360" w:lineRule="auto"/>
        <w:outlineLvl w:val="1"/>
        <w:rPr>
          <w:rFonts w:hint="eastAsia" w:ascii="宋体" w:hAnsi="宋体" w:eastAsia="宋体" w:cs="宋体"/>
          <w:color w:val="auto"/>
          <w:sz w:val="24"/>
          <w:highlight w:val="none"/>
        </w:rPr>
      </w:pPr>
    </w:p>
    <w:p w14:paraId="37BD2EA1">
      <w:pPr>
        <w:tabs>
          <w:tab w:val="left" w:pos="1365"/>
        </w:tabs>
        <w:spacing w:line="360" w:lineRule="auto"/>
        <w:jc w:val="left"/>
        <w:rPr>
          <w:rFonts w:hint="eastAsia" w:ascii="宋体" w:hAnsi="宋体" w:eastAsia="宋体" w:cs="宋体"/>
          <w:b/>
          <w:color w:val="auto"/>
          <w:sz w:val="24"/>
          <w:highlight w:val="none"/>
        </w:rPr>
      </w:pPr>
    </w:p>
    <w:p w14:paraId="6A3C670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注：供应商可自行编制目录，并标注对应页码。所有复印件需清晰可辩。</w:t>
      </w:r>
    </w:p>
    <w:p w14:paraId="70A11B16">
      <w:pPr>
        <w:tabs>
          <w:tab w:val="left" w:pos="1365"/>
        </w:tabs>
        <w:spacing w:line="360" w:lineRule="auto"/>
        <w:jc w:val="center"/>
        <w:rPr>
          <w:rFonts w:hint="eastAsia" w:ascii="宋体" w:hAnsi="宋体" w:eastAsia="宋体" w:cs="宋体"/>
          <w:b/>
          <w:color w:val="auto"/>
          <w:sz w:val="32"/>
          <w:szCs w:val="32"/>
          <w:highlight w:val="none"/>
        </w:rPr>
      </w:pPr>
    </w:p>
    <w:p w14:paraId="5D85F387">
      <w:pPr>
        <w:tabs>
          <w:tab w:val="left" w:pos="1365"/>
        </w:tabs>
        <w:spacing w:line="360" w:lineRule="auto"/>
        <w:jc w:val="center"/>
        <w:rPr>
          <w:rFonts w:hint="eastAsia" w:ascii="宋体" w:hAnsi="宋体" w:eastAsia="宋体" w:cs="宋体"/>
          <w:b/>
          <w:sz w:val="32"/>
          <w:szCs w:val="32"/>
          <w:highlight w:val="none"/>
        </w:rPr>
      </w:pPr>
    </w:p>
    <w:p w14:paraId="5860F743">
      <w:pPr>
        <w:tabs>
          <w:tab w:val="left" w:pos="1365"/>
        </w:tabs>
        <w:spacing w:line="360" w:lineRule="auto"/>
        <w:rPr>
          <w:rFonts w:hint="eastAsia" w:ascii="宋体" w:hAnsi="宋体" w:eastAsia="宋体" w:cs="宋体"/>
          <w:b/>
          <w:sz w:val="32"/>
          <w:szCs w:val="32"/>
          <w:highlight w:val="none"/>
        </w:rPr>
      </w:pPr>
    </w:p>
    <w:p w14:paraId="472E0B78">
      <w:pPr>
        <w:tabs>
          <w:tab w:val="left" w:pos="1365"/>
        </w:tabs>
        <w:spacing w:line="360" w:lineRule="auto"/>
        <w:rPr>
          <w:rFonts w:hint="eastAsia" w:ascii="宋体" w:hAnsi="宋体" w:eastAsia="宋体" w:cs="宋体"/>
          <w:b/>
          <w:sz w:val="32"/>
          <w:szCs w:val="32"/>
          <w:highlight w:val="none"/>
        </w:rPr>
      </w:pPr>
    </w:p>
    <w:p w14:paraId="35A41B07">
      <w:pPr>
        <w:tabs>
          <w:tab w:val="left" w:pos="1365"/>
        </w:tabs>
        <w:spacing w:line="360" w:lineRule="auto"/>
        <w:rPr>
          <w:rFonts w:hint="eastAsia" w:ascii="宋体" w:hAnsi="宋体" w:eastAsia="宋体" w:cs="宋体"/>
          <w:b/>
          <w:sz w:val="32"/>
          <w:szCs w:val="32"/>
          <w:highlight w:val="none"/>
        </w:rPr>
      </w:pPr>
    </w:p>
    <w:p w14:paraId="26A60EDA">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C4374D2">
      <w:pPr>
        <w:spacing w:line="480" w:lineRule="exact"/>
        <w:ind w:right="42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1</w:t>
      </w:r>
      <w:r>
        <w:rPr>
          <w:rFonts w:hint="eastAsia" w:ascii="宋体" w:hAnsi="宋体" w:eastAsia="宋体" w:cs="宋体"/>
          <w:b/>
          <w:sz w:val="32"/>
          <w:szCs w:val="32"/>
          <w:highlight w:val="none"/>
        </w:rPr>
        <w:t>、磋商响应函</w:t>
      </w:r>
    </w:p>
    <w:p w14:paraId="21AFF7D3">
      <w:pPr>
        <w:tabs>
          <w:tab w:val="left" w:pos="2790"/>
        </w:tabs>
        <w:wordWrap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ab/>
      </w:r>
    </w:p>
    <w:p w14:paraId="2DF3DA57">
      <w:pPr>
        <w:wordWrap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u w:val="single"/>
        </w:rPr>
        <w:t>{采购人名称}</w:t>
      </w:r>
      <w:r>
        <w:rPr>
          <w:rFonts w:hint="eastAsia" w:ascii="宋体" w:hAnsi="宋体" w:eastAsia="宋体" w:cs="宋体"/>
          <w:bCs/>
          <w:sz w:val="24"/>
          <w:szCs w:val="24"/>
          <w:highlight w:val="none"/>
        </w:rPr>
        <w:t>：</w:t>
      </w:r>
    </w:p>
    <w:p w14:paraId="7710AAC5">
      <w:pPr>
        <w:wordWrap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1、根据已收到的采购项目编号为{</w:t>
      </w:r>
      <w:r>
        <w:rPr>
          <w:rFonts w:hint="eastAsia" w:ascii="宋体" w:hAnsi="宋体" w:eastAsia="宋体" w:cs="宋体"/>
          <w:bCs/>
          <w:sz w:val="24"/>
          <w:szCs w:val="24"/>
          <w:highlight w:val="none"/>
          <w:u w:val="single"/>
        </w:rPr>
        <w:t>采购项目编号</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u w:val="single"/>
        </w:rPr>
        <w:t>项目名称</w:t>
      </w:r>
      <w:r>
        <w:rPr>
          <w:rFonts w:hint="eastAsia" w:ascii="宋体" w:hAnsi="宋体" w:eastAsia="宋体" w:cs="宋体"/>
          <w:bCs/>
          <w:sz w:val="24"/>
          <w:szCs w:val="24"/>
          <w:highlight w:val="none"/>
        </w:rPr>
        <w:t>}的</w:t>
      </w:r>
      <w:r>
        <w:rPr>
          <w:rFonts w:hint="eastAsia" w:ascii="宋体" w:hAnsi="宋体" w:cs="宋体"/>
          <w:bCs/>
          <w:sz w:val="24"/>
          <w:szCs w:val="24"/>
          <w:highlight w:val="none"/>
          <w:lang w:eastAsia="zh-CN"/>
        </w:rPr>
        <w:t>竞争性磋商文件</w:t>
      </w:r>
      <w:r>
        <w:rPr>
          <w:rFonts w:hint="eastAsia" w:ascii="宋体" w:hAnsi="宋体" w:eastAsia="宋体" w:cs="宋体"/>
          <w:bCs/>
          <w:sz w:val="24"/>
          <w:szCs w:val="24"/>
          <w:highlight w:val="none"/>
        </w:rPr>
        <w:t>，遵照</w:t>
      </w:r>
      <w:r>
        <w:rPr>
          <w:rFonts w:hint="eastAsia" w:ascii="宋体" w:hAnsi="宋体" w:eastAsia="宋体" w:cs="宋体"/>
          <w:sz w:val="24"/>
          <w:highlight w:val="none"/>
        </w:rPr>
        <w:t>《中华人民共和国政府采购法》、《政府采购竞争性磋商采购方式管理暂行办法》</w:t>
      </w:r>
      <w:r>
        <w:rPr>
          <w:rFonts w:hint="eastAsia" w:ascii="宋体" w:hAnsi="宋体" w:eastAsia="宋体" w:cs="宋体"/>
          <w:bCs/>
          <w:sz w:val="24"/>
          <w:szCs w:val="24"/>
          <w:highlight w:val="none"/>
        </w:rPr>
        <w:t>的有关规定，我方经和研究上述</w:t>
      </w:r>
      <w:r>
        <w:rPr>
          <w:rFonts w:hint="eastAsia" w:ascii="宋体" w:hAnsi="宋体" w:cs="宋体"/>
          <w:bCs/>
          <w:sz w:val="24"/>
          <w:szCs w:val="24"/>
          <w:highlight w:val="none"/>
          <w:lang w:eastAsia="zh-CN"/>
        </w:rPr>
        <w:t>竞争性磋商文件</w:t>
      </w:r>
      <w:r>
        <w:rPr>
          <w:rFonts w:hint="eastAsia" w:ascii="宋体" w:hAnsi="宋体" w:eastAsia="宋体" w:cs="宋体"/>
          <w:bCs/>
          <w:sz w:val="24"/>
          <w:szCs w:val="24"/>
          <w:highlight w:val="none"/>
        </w:rPr>
        <w:t>的供应商须知、合同条件、</w:t>
      </w:r>
      <w:r>
        <w:rPr>
          <w:rFonts w:hint="eastAsia" w:ascii="宋体" w:hAnsi="宋体" w:eastAsia="宋体" w:cs="宋体"/>
          <w:bCs/>
          <w:sz w:val="24"/>
          <w:szCs w:val="24"/>
          <w:highlight w:val="none"/>
          <w:lang w:eastAsia="zh-CN"/>
        </w:rPr>
        <w:t>技术</w:t>
      </w:r>
      <w:r>
        <w:rPr>
          <w:rFonts w:hint="eastAsia" w:ascii="宋体" w:hAnsi="宋体" w:eastAsia="宋体" w:cs="宋体"/>
          <w:bCs/>
          <w:sz w:val="24"/>
          <w:szCs w:val="24"/>
          <w:highlight w:val="none"/>
        </w:rPr>
        <w:t>需求和其他有关文件后</w:t>
      </w:r>
      <w:r>
        <w:rPr>
          <w:rFonts w:hint="eastAsia" w:ascii="宋体" w:hAnsi="宋体" w:eastAsia="宋体" w:cs="宋体"/>
          <w:bCs/>
          <w:color w:val="000000"/>
          <w:sz w:val="24"/>
          <w:szCs w:val="24"/>
          <w:highlight w:val="none"/>
        </w:rPr>
        <w:t>，我方愿以</w:t>
      </w:r>
      <w:r>
        <w:rPr>
          <w:rFonts w:hint="eastAsia" w:ascii="宋体" w:hAnsi="宋体" w:eastAsia="宋体" w:cs="宋体"/>
          <w:bCs/>
          <w:color w:val="000000"/>
          <w:sz w:val="24"/>
          <w:szCs w:val="24"/>
          <w:highlight w:val="none"/>
          <w:lang w:eastAsia="zh-CN"/>
        </w:rPr>
        <w:t>（大写）：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u w:val="none"/>
          <w:lang w:val="en-US" w:eastAsia="zh-CN"/>
        </w:rPr>
        <w:t>（小写）：</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rPr>
        <w:t>的总价，</w:t>
      </w:r>
      <w:r>
        <w:rPr>
          <w:rFonts w:hint="eastAsia" w:ascii="宋体" w:hAnsi="宋体" w:eastAsia="宋体" w:cs="宋体"/>
          <w:bCs/>
          <w:sz w:val="24"/>
          <w:szCs w:val="24"/>
          <w:highlight w:val="none"/>
        </w:rPr>
        <w:t>按上述合同条件、要求承包。</w:t>
      </w:r>
    </w:p>
    <w:p w14:paraId="71EAA005">
      <w:pPr>
        <w:wordWrap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2、一旦我方</w:t>
      </w:r>
      <w:r>
        <w:rPr>
          <w:rFonts w:hint="eastAsia" w:ascii="宋体" w:hAnsi="宋体" w:eastAsia="宋体" w:cs="宋体"/>
          <w:bCs/>
          <w:sz w:val="24"/>
          <w:szCs w:val="24"/>
          <w:highlight w:val="none"/>
          <w:lang w:eastAsia="zh-CN"/>
        </w:rPr>
        <w:t>成交</w:t>
      </w:r>
      <w:r>
        <w:rPr>
          <w:rFonts w:hint="eastAsia" w:ascii="宋体" w:hAnsi="宋体" w:eastAsia="宋体" w:cs="宋体"/>
          <w:bCs/>
          <w:sz w:val="24"/>
          <w:szCs w:val="24"/>
          <w:highlight w:val="none"/>
        </w:rPr>
        <w:t>，我方保证在合同签订时间内</w:t>
      </w:r>
      <w:r>
        <w:rPr>
          <w:rFonts w:hint="eastAsia" w:ascii="宋体" w:hAnsi="宋体" w:eastAsia="宋体" w:cs="宋体"/>
          <w:bCs/>
          <w:sz w:val="24"/>
          <w:szCs w:val="24"/>
          <w:highlight w:val="none"/>
          <w:lang w:eastAsia="zh-CN"/>
        </w:rPr>
        <w:t>完成合同约定全部内容并提供优质服务</w:t>
      </w:r>
      <w:r>
        <w:rPr>
          <w:rFonts w:hint="eastAsia" w:ascii="宋体" w:hAnsi="宋体" w:eastAsia="宋体" w:cs="宋体"/>
          <w:bCs/>
          <w:sz w:val="24"/>
          <w:szCs w:val="24"/>
          <w:highlight w:val="none"/>
        </w:rPr>
        <w:t>。</w:t>
      </w:r>
    </w:p>
    <w:p w14:paraId="18929F26">
      <w:pPr>
        <w:wordWrap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3、我方同意所</w:t>
      </w:r>
      <w:r>
        <w:rPr>
          <w:rFonts w:hint="eastAsia" w:ascii="宋体" w:hAnsi="宋体" w:cs="宋体"/>
          <w:bCs/>
          <w:sz w:val="24"/>
          <w:szCs w:val="24"/>
          <w:highlight w:val="none"/>
          <w:lang w:eastAsia="zh-CN"/>
        </w:rPr>
        <w:t>提交</w:t>
      </w:r>
      <w:r>
        <w:rPr>
          <w:rFonts w:hint="eastAsia" w:ascii="宋体" w:hAnsi="宋体" w:eastAsia="宋体" w:cs="宋体"/>
          <w:bCs/>
          <w:sz w:val="24"/>
          <w:szCs w:val="24"/>
          <w:highlight w:val="none"/>
        </w:rPr>
        <w:t>的</w:t>
      </w:r>
      <w:r>
        <w:rPr>
          <w:rFonts w:hint="eastAsia" w:ascii="宋体" w:hAnsi="宋体" w:cs="宋体"/>
          <w:bCs/>
          <w:sz w:val="24"/>
          <w:szCs w:val="24"/>
          <w:highlight w:val="none"/>
          <w:lang w:eastAsia="zh-CN"/>
        </w:rPr>
        <w:t>响应文件</w:t>
      </w:r>
      <w:r>
        <w:rPr>
          <w:rFonts w:hint="eastAsia" w:ascii="宋体" w:hAnsi="宋体" w:eastAsia="宋体" w:cs="宋体"/>
          <w:bCs/>
          <w:sz w:val="24"/>
          <w:szCs w:val="24"/>
          <w:highlight w:val="none"/>
        </w:rPr>
        <w:t>在“供应商须知”规定的磋商响应有效期内有效，在此期间内我方的投标有可能中选，我方将受此约束。</w:t>
      </w:r>
    </w:p>
    <w:p w14:paraId="370381CF">
      <w:pPr>
        <w:wordWrap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4、除非另外达成协议并生效，你方的成交通知书和本</w:t>
      </w:r>
      <w:r>
        <w:rPr>
          <w:rFonts w:hint="eastAsia" w:ascii="宋体" w:hAnsi="宋体" w:cs="宋体"/>
          <w:bCs/>
          <w:sz w:val="24"/>
          <w:szCs w:val="24"/>
          <w:highlight w:val="none"/>
          <w:lang w:eastAsia="zh-CN"/>
        </w:rPr>
        <w:t>响应文件</w:t>
      </w:r>
      <w:r>
        <w:rPr>
          <w:rFonts w:hint="eastAsia" w:ascii="宋体" w:hAnsi="宋体" w:eastAsia="宋体" w:cs="宋体"/>
          <w:bCs/>
          <w:sz w:val="24"/>
          <w:szCs w:val="24"/>
          <w:highlight w:val="none"/>
        </w:rPr>
        <w:t>将构成约束我们双方的合同。</w:t>
      </w:r>
    </w:p>
    <w:p w14:paraId="06295EFD">
      <w:pPr>
        <w:wordWrap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5、我方</w:t>
      </w:r>
      <w:r>
        <w:rPr>
          <w:rFonts w:hint="eastAsia" w:ascii="宋体" w:hAnsi="宋体" w:cs="宋体"/>
          <w:bCs/>
          <w:sz w:val="24"/>
          <w:szCs w:val="24"/>
          <w:highlight w:val="none"/>
          <w:lang w:eastAsia="zh-CN"/>
        </w:rPr>
        <w:t>提交</w:t>
      </w:r>
      <w:r>
        <w:rPr>
          <w:rFonts w:hint="eastAsia" w:ascii="宋体" w:hAnsi="宋体" w:eastAsia="宋体" w:cs="宋体"/>
          <w:bCs/>
          <w:sz w:val="24"/>
          <w:szCs w:val="24"/>
          <w:highlight w:val="none"/>
        </w:rPr>
        <w:t>人民币</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元作为磋商保证金。</w:t>
      </w:r>
    </w:p>
    <w:p w14:paraId="531E142D">
      <w:pPr>
        <w:wordWrap w:val="0"/>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6、磋商响应有效期为：</w:t>
      </w:r>
      <w:r>
        <w:rPr>
          <w:rFonts w:hint="eastAsia" w:ascii="宋体" w:hAnsi="宋体" w:cs="宋体"/>
          <w:bCs/>
          <w:sz w:val="24"/>
          <w:szCs w:val="24"/>
          <w:highlight w:val="none"/>
          <w:lang w:eastAsia="zh-CN"/>
        </w:rPr>
        <w:t>提交响应文件</w:t>
      </w:r>
      <w:r>
        <w:rPr>
          <w:rFonts w:hint="eastAsia" w:ascii="宋体" w:hAnsi="宋体" w:eastAsia="宋体" w:cs="宋体"/>
          <w:bCs/>
          <w:sz w:val="24"/>
          <w:szCs w:val="24"/>
          <w:highlight w:val="none"/>
        </w:rPr>
        <w:t>截止之日</w:t>
      </w:r>
      <w:r>
        <w:rPr>
          <w:rFonts w:hint="eastAsia" w:ascii="宋体" w:hAnsi="宋体" w:cs="宋体"/>
          <w:bCs/>
          <w:sz w:val="24"/>
          <w:szCs w:val="24"/>
          <w:highlight w:val="none"/>
          <w:lang w:val="en-US" w:eastAsia="zh-CN"/>
        </w:rPr>
        <w:t>起</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日历</w:t>
      </w:r>
      <w:r>
        <w:rPr>
          <w:rFonts w:hint="eastAsia" w:ascii="宋体" w:hAnsi="宋体" w:eastAsia="宋体" w:cs="宋体"/>
          <w:bCs/>
          <w:sz w:val="24"/>
          <w:szCs w:val="24"/>
          <w:highlight w:val="none"/>
          <w:u w:val="none"/>
        </w:rPr>
        <w:t>天</w:t>
      </w:r>
      <w:r>
        <w:rPr>
          <w:rFonts w:hint="eastAsia" w:ascii="宋体" w:hAnsi="宋体" w:eastAsia="宋体" w:cs="宋体"/>
          <w:bCs/>
          <w:sz w:val="24"/>
          <w:szCs w:val="24"/>
          <w:highlight w:val="none"/>
          <w:lang w:eastAsia="zh-CN"/>
        </w:rPr>
        <w:t>。</w:t>
      </w:r>
    </w:p>
    <w:p w14:paraId="7966D540">
      <w:pPr>
        <w:wordWrap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bCs/>
          <w:sz w:val="24"/>
          <w:szCs w:val="24"/>
          <w:highlight w:val="none"/>
        </w:rPr>
        <w:t>7、采购人不对任何供应商参加本磋商项目过程中进行经济补偿</w:t>
      </w:r>
      <w:r>
        <w:rPr>
          <w:rFonts w:hint="eastAsia" w:ascii="宋体" w:hAnsi="宋体" w:eastAsia="宋体" w:cs="宋体"/>
          <w:bCs/>
          <w:sz w:val="24"/>
          <w:szCs w:val="24"/>
          <w:highlight w:val="none"/>
          <w:lang w:eastAsia="zh-CN"/>
        </w:rPr>
        <w:t>。</w:t>
      </w:r>
    </w:p>
    <w:p w14:paraId="2A897517">
      <w:pPr>
        <w:pStyle w:val="14"/>
        <w:spacing w:line="360" w:lineRule="auto"/>
        <w:rPr>
          <w:rFonts w:hint="eastAsia" w:ascii="宋体" w:hAnsi="宋体" w:eastAsia="宋体" w:cs="宋体"/>
          <w:color w:val="000000"/>
          <w:sz w:val="24"/>
          <w:szCs w:val="24"/>
          <w:highlight w:val="none"/>
        </w:rPr>
      </w:pPr>
    </w:p>
    <w:p w14:paraId="033C3665">
      <w:pPr>
        <w:wordWrap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（盖章）</w:t>
      </w:r>
    </w:p>
    <w:p w14:paraId="71D9CC2B">
      <w:pPr>
        <w:wordWrap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单位地址：</w:t>
      </w:r>
      <w:r>
        <w:rPr>
          <w:rFonts w:hint="eastAsia" w:ascii="宋体" w:hAnsi="宋体" w:eastAsia="宋体" w:cs="宋体"/>
          <w:bCs/>
          <w:sz w:val="24"/>
          <w:szCs w:val="24"/>
          <w:highlight w:val="none"/>
          <w:u w:val="single"/>
        </w:rPr>
        <w:t xml:space="preserve">                           </w:t>
      </w:r>
    </w:p>
    <w:p w14:paraId="3443BBBC">
      <w:pPr>
        <w:wordWrap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法定代表人或委托代理人：（签字或盖章）</w:t>
      </w:r>
    </w:p>
    <w:p w14:paraId="775FFD7D">
      <w:pPr>
        <w:wordWrap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邮政编码：</w:t>
      </w:r>
      <w:r>
        <w:rPr>
          <w:rFonts w:hint="eastAsia" w:ascii="宋体" w:hAnsi="宋体" w:eastAsia="宋体" w:cs="宋体"/>
          <w:bCs/>
          <w:sz w:val="24"/>
          <w:szCs w:val="24"/>
          <w:highlight w:val="none"/>
          <w:u w:val="single"/>
        </w:rPr>
        <w:t xml:space="preserve">                           </w:t>
      </w:r>
    </w:p>
    <w:p w14:paraId="0F67970C">
      <w:pPr>
        <w:wordWrap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电话：</w:t>
      </w:r>
      <w:r>
        <w:rPr>
          <w:rFonts w:hint="eastAsia" w:ascii="宋体" w:hAnsi="宋体" w:eastAsia="宋体" w:cs="宋体"/>
          <w:bCs/>
          <w:sz w:val="24"/>
          <w:szCs w:val="24"/>
          <w:highlight w:val="none"/>
          <w:u w:val="single"/>
        </w:rPr>
        <w:t xml:space="preserve">                               </w:t>
      </w:r>
    </w:p>
    <w:p w14:paraId="23020087">
      <w:pPr>
        <w:wordWrap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传真：</w:t>
      </w:r>
      <w:r>
        <w:rPr>
          <w:rFonts w:hint="eastAsia" w:ascii="宋体" w:hAnsi="宋体" w:eastAsia="宋体" w:cs="宋体"/>
          <w:bCs/>
          <w:sz w:val="24"/>
          <w:szCs w:val="24"/>
          <w:highlight w:val="none"/>
          <w:u w:val="single"/>
        </w:rPr>
        <w:t xml:space="preserve">                               </w:t>
      </w:r>
    </w:p>
    <w:p w14:paraId="0B412623">
      <w:pPr>
        <w:wordWrap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开户银行名称：</w:t>
      </w:r>
      <w:r>
        <w:rPr>
          <w:rFonts w:hint="eastAsia" w:ascii="宋体" w:hAnsi="宋体" w:eastAsia="宋体" w:cs="宋体"/>
          <w:bCs/>
          <w:sz w:val="24"/>
          <w:szCs w:val="24"/>
          <w:highlight w:val="none"/>
          <w:u w:val="single"/>
        </w:rPr>
        <w:t xml:space="preserve">                       </w:t>
      </w:r>
    </w:p>
    <w:p w14:paraId="6E7AA20A">
      <w:pPr>
        <w:wordWrap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银行帐号：</w:t>
      </w:r>
      <w:r>
        <w:rPr>
          <w:rFonts w:hint="eastAsia" w:ascii="宋体" w:hAnsi="宋体" w:eastAsia="宋体" w:cs="宋体"/>
          <w:bCs/>
          <w:sz w:val="24"/>
          <w:szCs w:val="24"/>
          <w:highlight w:val="none"/>
          <w:u w:val="single"/>
        </w:rPr>
        <w:t xml:space="preserve">                           </w:t>
      </w:r>
    </w:p>
    <w:p w14:paraId="7884BDE8">
      <w:pPr>
        <w:wordWrap w:val="0"/>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开户行地址：</w:t>
      </w:r>
      <w:r>
        <w:rPr>
          <w:rFonts w:hint="eastAsia" w:ascii="宋体" w:hAnsi="宋体" w:eastAsia="宋体" w:cs="宋体"/>
          <w:bCs/>
          <w:sz w:val="24"/>
          <w:szCs w:val="24"/>
          <w:highlight w:val="none"/>
          <w:u w:val="single"/>
        </w:rPr>
        <w:t xml:space="preserve">                         </w:t>
      </w:r>
    </w:p>
    <w:p w14:paraId="2D3AF976">
      <w:pPr>
        <w:spacing w:line="360" w:lineRule="auto"/>
        <w:ind w:right="105"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14:paraId="3C0F8EAB">
      <w:pPr>
        <w:wordWrap w:val="0"/>
        <w:spacing w:line="360" w:lineRule="auto"/>
        <w:rPr>
          <w:rFonts w:hint="eastAsia" w:ascii="宋体" w:hAnsi="宋体" w:eastAsia="宋体" w:cs="宋体"/>
          <w:bCs/>
          <w:sz w:val="24"/>
          <w:highlight w:val="none"/>
        </w:rPr>
      </w:pPr>
    </w:p>
    <w:p w14:paraId="72DCEF03">
      <w:pPr>
        <w:spacing w:line="360" w:lineRule="auto"/>
        <w:jc w:val="left"/>
        <w:rPr>
          <w:rFonts w:hint="eastAsia" w:ascii="宋体" w:hAnsi="宋体" w:eastAsia="宋体" w:cs="宋体"/>
          <w:sz w:val="24"/>
          <w:highlight w:val="none"/>
        </w:rPr>
      </w:pPr>
    </w:p>
    <w:p w14:paraId="613A43F3">
      <w:pPr>
        <w:spacing w:line="360" w:lineRule="auto"/>
        <w:jc w:val="left"/>
        <w:rPr>
          <w:rFonts w:hint="eastAsia" w:ascii="宋体" w:hAnsi="宋体" w:eastAsia="宋体" w:cs="宋体"/>
          <w:sz w:val="24"/>
          <w:highlight w:val="none"/>
        </w:rPr>
      </w:pPr>
    </w:p>
    <w:p w14:paraId="67F2001E">
      <w:pPr>
        <w:spacing w:line="360" w:lineRule="auto"/>
        <w:jc w:val="left"/>
        <w:rPr>
          <w:rFonts w:hint="eastAsia" w:ascii="宋体" w:hAnsi="宋体" w:eastAsia="宋体" w:cs="宋体"/>
          <w:sz w:val="24"/>
          <w:highlight w:val="none"/>
        </w:rPr>
      </w:pPr>
    </w:p>
    <w:p w14:paraId="3965C15E">
      <w:pPr>
        <w:spacing w:line="480" w:lineRule="exact"/>
        <w:ind w:right="420"/>
        <w:jc w:val="center"/>
        <w:rPr>
          <w:rFonts w:hint="eastAsia" w:ascii="宋体" w:hAnsi="宋体" w:eastAsia="宋体" w:cs="宋体"/>
          <w:b/>
          <w:sz w:val="32"/>
          <w:szCs w:val="32"/>
          <w:highlight w:val="none"/>
        </w:rPr>
      </w:pPr>
      <w:bookmarkStart w:id="43" w:name="_Toc30577828"/>
      <w:bookmarkStart w:id="44" w:name="_Toc107716842"/>
      <w:bookmarkStart w:id="45" w:name="_Toc112237131"/>
      <w:bookmarkStart w:id="46" w:name="_Toc45511005"/>
      <w:bookmarkStart w:id="47" w:name="_Toc107393598"/>
      <w:bookmarkStart w:id="48" w:name="_Toc45942979"/>
      <w:bookmarkStart w:id="49" w:name="_Toc139773320"/>
      <w:r>
        <w:rPr>
          <w:rFonts w:hint="eastAsia" w:ascii="宋体" w:hAnsi="宋体" w:eastAsia="宋体" w:cs="宋体"/>
          <w:b/>
          <w:sz w:val="32"/>
          <w:szCs w:val="32"/>
          <w:highlight w:val="none"/>
        </w:rPr>
        <w:t>2、法定代表人身份证明</w:t>
      </w:r>
    </w:p>
    <w:p w14:paraId="630CA63B">
      <w:pPr>
        <w:pStyle w:val="43"/>
        <w:jc w:val="center"/>
        <w:rPr>
          <w:rFonts w:hint="eastAsia" w:ascii="宋体" w:hAnsi="宋体" w:eastAsia="宋体" w:cs="宋体"/>
          <w:b/>
          <w:sz w:val="32"/>
          <w:szCs w:val="32"/>
          <w:highlight w:val="none"/>
        </w:rPr>
      </w:pPr>
    </w:p>
    <w:p w14:paraId="7899A6FF">
      <w:pPr>
        <w:pStyle w:val="43"/>
        <w:jc w:val="center"/>
        <w:rPr>
          <w:rFonts w:hint="eastAsia" w:ascii="宋体" w:hAnsi="宋体" w:eastAsia="宋体" w:cs="宋体"/>
          <w:sz w:val="21"/>
          <w:szCs w:val="21"/>
          <w:highlight w:val="none"/>
        </w:rPr>
      </w:pPr>
    </w:p>
    <w:p w14:paraId="4B49AB2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供应商名称：______________________________ </w:t>
      </w:r>
    </w:p>
    <w:p w14:paraId="032155A9">
      <w:pPr>
        <w:spacing w:line="500" w:lineRule="exact"/>
        <w:rPr>
          <w:rFonts w:hint="eastAsia" w:ascii="宋体" w:hAnsi="宋体" w:eastAsia="宋体" w:cs="宋体"/>
          <w:sz w:val="24"/>
          <w:highlight w:val="none"/>
        </w:rPr>
      </w:pPr>
      <w:r>
        <w:rPr>
          <w:rFonts w:hint="eastAsia" w:ascii="宋体" w:hAnsi="宋体" w:eastAsia="宋体" w:cs="宋体"/>
          <w:sz w:val="24"/>
          <w:highlight w:val="none"/>
        </w:rPr>
        <w:t>单位性质：_______________________________</w:t>
      </w:r>
    </w:p>
    <w:p w14:paraId="299A2062">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地址：___________________________________ </w:t>
      </w:r>
    </w:p>
    <w:p w14:paraId="3EBDFAEA">
      <w:pPr>
        <w:spacing w:line="500" w:lineRule="exact"/>
        <w:rPr>
          <w:rFonts w:hint="eastAsia" w:ascii="宋体" w:hAnsi="宋体" w:eastAsia="宋体" w:cs="宋体"/>
          <w:sz w:val="24"/>
          <w:highlight w:val="none"/>
        </w:rPr>
      </w:pPr>
      <w:r>
        <w:rPr>
          <w:rFonts w:hint="eastAsia" w:ascii="宋体" w:hAnsi="宋体" w:eastAsia="宋体" w:cs="宋体"/>
          <w:sz w:val="24"/>
          <w:highlight w:val="none"/>
        </w:rPr>
        <w:t>成立时间： 年 月 日</w:t>
      </w:r>
    </w:p>
    <w:p w14:paraId="163847AE">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经营期限：_______________________________ </w:t>
      </w:r>
    </w:p>
    <w:p w14:paraId="54ED3BD6">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姓名： 性别： 年龄：职务：________ </w:t>
      </w:r>
    </w:p>
    <w:p w14:paraId="62F876A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系 （供应商名称）的法定代表人。</w:t>
      </w:r>
    </w:p>
    <w:p w14:paraId="75003C1E">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7B32292">
      <w:pPr>
        <w:spacing w:line="360" w:lineRule="auto"/>
        <w:rPr>
          <w:rFonts w:hint="eastAsia" w:ascii="宋体" w:hAnsi="宋体" w:eastAsia="宋体" w:cs="宋体"/>
          <w:b/>
          <w:bCs/>
          <w:sz w:val="24"/>
          <w:highlight w:val="none"/>
          <w:u w:val="single"/>
        </w:rPr>
      </w:pPr>
    </w:p>
    <w:tbl>
      <w:tblPr>
        <w:tblStyle w:val="26"/>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84"/>
      </w:tblGrid>
      <w:tr w14:paraId="52F3562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1" w:hRule="atLeast"/>
        </w:trPr>
        <w:tc>
          <w:tcPr>
            <w:tcW w:w="5684" w:type="dxa"/>
            <w:noWrap/>
            <w:vAlign w:val="center"/>
          </w:tcPr>
          <w:p w14:paraId="3C523E1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法定代表人</w:t>
            </w:r>
          </w:p>
          <w:p w14:paraId="2546D61D">
            <w:pPr>
              <w:spacing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居民身份证复印件粘贴处（正、反面）</w:t>
            </w:r>
          </w:p>
        </w:tc>
      </w:tr>
    </w:tbl>
    <w:p w14:paraId="1C672147">
      <w:pPr>
        <w:spacing w:line="360" w:lineRule="auto"/>
        <w:rPr>
          <w:rFonts w:hint="eastAsia" w:ascii="宋体" w:hAnsi="宋体" w:eastAsia="宋体" w:cs="宋体"/>
          <w:sz w:val="24"/>
          <w:highlight w:val="none"/>
        </w:rPr>
      </w:pPr>
    </w:p>
    <w:p w14:paraId="37E1EC60">
      <w:pPr>
        <w:autoSpaceDE w:val="0"/>
        <w:autoSpaceDN w:val="0"/>
        <w:adjustRightInd w:val="0"/>
        <w:spacing w:line="360" w:lineRule="auto"/>
        <w:ind w:firstLine="4252" w:firstLineChars="1772"/>
        <w:jc w:val="right"/>
        <w:rPr>
          <w:rFonts w:hint="eastAsia" w:ascii="宋体" w:hAnsi="宋体"/>
          <w:color w:val="auto"/>
          <w:sz w:val="24"/>
          <w:highlight w:val="none"/>
          <w:lang w:val="zh-CN"/>
        </w:rPr>
      </w:pPr>
      <w:r>
        <w:rPr>
          <w:rFonts w:hint="eastAsia" w:ascii="宋体" w:hAnsi="宋体"/>
          <w:color w:val="auto"/>
          <w:sz w:val="24"/>
          <w:highlight w:val="none"/>
          <w:lang w:val="zh-CN"/>
        </w:rPr>
        <w:t>供应商名称（盖章）：</w:t>
      </w:r>
    </w:p>
    <w:p w14:paraId="25C6F441">
      <w:pPr>
        <w:autoSpaceDE w:val="0"/>
        <w:autoSpaceDN w:val="0"/>
        <w:adjustRightInd w:val="0"/>
        <w:spacing w:line="360" w:lineRule="auto"/>
        <w:ind w:firstLine="4252" w:firstLineChars="1772"/>
        <w:jc w:val="right"/>
        <w:rPr>
          <w:rFonts w:ascii="宋体" w:hAnsi="宋体"/>
          <w:color w:val="auto"/>
          <w:sz w:val="24"/>
          <w:highlight w:val="none"/>
          <w:lang w:val="zh-CN"/>
        </w:rPr>
      </w:pPr>
    </w:p>
    <w:p w14:paraId="4F1C3E94">
      <w:pPr>
        <w:spacing w:line="360" w:lineRule="auto"/>
        <w:jc w:val="right"/>
        <w:rPr>
          <w:rFonts w:hint="eastAsia" w:ascii="宋体" w:hAnsi="宋体" w:eastAsia="宋体" w:cs="宋体"/>
          <w:color w:val="auto"/>
          <w:sz w:val="24"/>
          <w:szCs w:val="24"/>
          <w:highlight w:val="none"/>
        </w:rPr>
      </w:pPr>
      <w:r>
        <w:rPr>
          <w:rFonts w:hint="eastAsia" w:ascii="宋体" w:hAnsi="宋体"/>
          <w:color w:val="auto"/>
          <w:sz w:val="24"/>
          <w:highlight w:val="none"/>
          <w:u w:val="single"/>
          <w:lang w:val="zh-CN"/>
        </w:rPr>
        <w:t xml:space="preserve">    </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p>
    <w:p w14:paraId="58209CFB">
      <w:pPr>
        <w:spacing w:line="360" w:lineRule="auto"/>
        <w:rPr>
          <w:rFonts w:hint="eastAsia" w:ascii="宋体" w:hAnsi="宋体" w:eastAsia="宋体" w:cs="宋体"/>
          <w:sz w:val="24"/>
          <w:highlight w:val="none"/>
        </w:rPr>
      </w:pPr>
    </w:p>
    <w:p w14:paraId="5ABBFEEF">
      <w:pPr>
        <w:rPr>
          <w:rFonts w:hint="eastAsia" w:ascii="宋体" w:hAnsi="宋体" w:eastAsia="宋体" w:cs="宋体"/>
          <w:sz w:val="24"/>
          <w:highlight w:val="none"/>
        </w:rPr>
      </w:pPr>
      <w:bookmarkStart w:id="50" w:name="_Toc492451835"/>
      <w:r>
        <w:rPr>
          <w:rFonts w:hint="eastAsia" w:ascii="宋体" w:hAnsi="宋体" w:eastAsia="宋体" w:cs="宋体"/>
          <w:b/>
          <w:sz w:val="24"/>
          <w:highlight w:val="none"/>
        </w:rPr>
        <w:t>注：法定代表人参加</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时必须按照以上格式填写并在</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时单独打印一份签字并盖章</w:t>
      </w:r>
      <w:r>
        <w:rPr>
          <w:rFonts w:hint="eastAsia" w:ascii="宋体" w:hAnsi="宋体" w:eastAsia="宋体" w:cs="宋体"/>
          <w:sz w:val="24"/>
          <w:highlight w:val="none"/>
        </w:rPr>
        <w:t>。</w:t>
      </w:r>
      <w:bookmarkEnd w:id="50"/>
    </w:p>
    <w:p w14:paraId="3480719E">
      <w:pPr>
        <w:tabs>
          <w:tab w:val="left" w:pos="1365"/>
        </w:tabs>
        <w:spacing w:line="360" w:lineRule="auto"/>
        <w:ind w:left="-2" w:leftChars="-1" w:firstLine="2"/>
        <w:jc w:val="center"/>
        <w:outlineLvl w:val="0"/>
        <w:rPr>
          <w:rFonts w:hint="eastAsia" w:ascii="宋体" w:hAnsi="宋体" w:eastAsia="宋体" w:cs="宋体"/>
          <w:sz w:val="24"/>
          <w:highlight w:val="none"/>
        </w:rPr>
      </w:pPr>
    </w:p>
    <w:p w14:paraId="5E3DCDE1">
      <w:pPr>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51" w:name="_Toc7795"/>
      <w:bookmarkStart w:id="52" w:name="_Toc492451836"/>
    </w:p>
    <w:p w14:paraId="185BAC7D">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3、授权委托书</w:t>
      </w:r>
      <w:bookmarkEnd w:id="51"/>
      <w:bookmarkEnd w:id="52"/>
    </w:p>
    <w:p w14:paraId="04DCAA0A">
      <w:pPr>
        <w:spacing w:line="360" w:lineRule="auto"/>
        <w:ind w:firstLine="480" w:firstLineChars="200"/>
        <w:rPr>
          <w:rFonts w:hint="eastAsia" w:ascii="宋体" w:hAnsi="宋体" w:eastAsia="宋体" w:cs="宋体"/>
          <w:sz w:val="24"/>
          <w:highlight w:val="none"/>
        </w:rPr>
      </w:pPr>
    </w:p>
    <w:p w14:paraId="15174FAC">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本授权书声明：（公司）的</w:t>
      </w:r>
      <w:r>
        <w:rPr>
          <w:rFonts w:hint="eastAsia" w:ascii="宋体" w:hAnsi="宋体" w:eastAsia="宋体" w:cs="宋体"/>
          <w:sz w:val="24"/>
          <w:highlight w:val="none"/>
          <w:u w:val="single"/>
        </w:rPr>
        <w:t xml:space="preserve">（法人代表姓名、职务）   </w:t>
      </w:r>
      <w:r>
        <w:rPr>
          <w:rFonts w:hint="eastAsia" w:ascii="宋体" w:hAnsi="宋体" w:eastAsia="宋体" w:cs="宋体"/>
          <w:sz w:val="24"/>
          <w:highlight w:val="none"/>
        </w:rPr>
        <w:t>代表本公司授权</w:t>
      </w:r>
      <w:r>
        <w:rPr>
          <w:rFonts w:hint="eastAsia" w:ascii="宋体" w:hAnsi="宋体" w:eastAsia="宋体" w:cs="宋体"/>
          <w:sz w:val="24"/>
          <w:highlight w:val="none"/>
          <w:u w:val="single"/>
        </w:rPr>
        <w:t xml:space="preserve"> （被授权人姓名、职务）</w:t>
      </w:r>
      <w:r>
        <w:rPr>
          <w:rFonts w:hint="eastAsia" w:ascii="宋体" w:hAnsi="宋体" w:eastAsia="宋体" w:cs="宋体"/>
          <w:sz w:val="24"/>
          <w:highlight w:val="none"/>
        </w:rPr>
        <w:t>为本公司的合法代理人，代理人根据授权，以我方名义签署、澄清、说明、补正、</w:t>
      </w:r>
      <w:r>
        <w:rPr>
          <w:rFonts w:hint="eastAsia" w:ascii="宋体" w:hAnsi="宋体" w:cs="宋体"/>
          <w:sz w:val="24"/>
          <w:highlight w:val="none"/>
          <w:lang w:eastAsia="zh-CN"/>
        </w:rPr>
        <w:t>提交</w:t>
      </w:r>
      <w:r>
        <w:rPr>
          <w:rFonts w:hint="eastAsia" w:ascii="宋体" w:hAnsi="宋体" w:eastAsia="宋体" w:cs="宋体"/>
          <w:sz w:val="24"/>
          <w:highlight w:val="none"/>
        </w:rPr>
        <w:t>、撤回、修改项目编号为：的</w:t>
      </w:r>
      <w:r>
        <w:rPr>
          <w:rFonts w:hint="eastAsia" w:ascii="宋体" w:hAnsi="宋体" w:eastAsia="宋体" w:cs="宋体"/>
          <w:sz w:val="24"/>
          <w:highlight w:val="none"/>
          <w:u w:val="single"/>
        </w:rPr>
        <w:t xml:space="preserve">         （项目名称</w:t>
      </w:r>
      <w:r>
        <w:rPr>
          <w:rFonts w:hint="eastAsia" w:ascii="宋体" w:hAnsi="宋体" w:eastAsia="宋体" w:cs="宋体"/>
          <w:sz w:val="24"/>
          <w:highlight w:val="none"/>
        </w:rPr>
        <w:t>）</w:t>
      </w: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文件、签定合同和处理有关事宜，其法律后果由我方承担。</w:t>
      </w:r>
    </w:p>
    <w:p w14:paraId="2657B132">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委托期限：</w:t>
      </w:r>
    </w:p>
    <w:p w14:paraId="36B7DB8E">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代理人无转委托权。</w:t>
      </w:r>
    </w:p>
    <w:p w14:paraId="7FAB5930">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附：法定代表人身份证明</w:t>
      </w:r>
    </w:p>
    <w:p w14:paraId="48608955">
      <w:pPr>
        <w:spacing w:line="360" w:lineRule="auto"/>
        <w:jc w:val="left"/>
        <w:rPr>
          <w:rFonts w:hint="eastAsia" w:ascii="宋体" w:hAnsi="宋体" w:eastAsia="宋体" w:cs="宋体"/>
          <w:sz w:val="24"/>
          <w:highlight w:val="none"/>
        </w:rPr>
      </w:pPr>
    </w:p>
    <w:tbl>
      <w:tblPr>
        <w:tblStyle w:val="2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
        <w:gridCol w:w="4111"/>
      </w:tblGrid>
      <w:tr w14:paraId="5590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969" w:type="dxa"/>
            <w:noWrap/>
            <w:vAlign w:val="center"/>
          </w:tcPr>
          <w:p w14:paraId="3C8EB9CA">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法定代表人</w:t>
            </w:r>
          </w:p>
          <w:p w14:paraId="57F91454">
            <w:pPr>
              <w:spacing w:line="360" w:lineRule="auto"/>
              <w:jc w:val="center"/>
              <w:rPr>
                <w:rFonts w:hint="eastAsia" w:ascii="宋体" w:hAnsi="宋体" w:eastAsia="宋体" w:cs="宋体"/>
                <w:sz w:val="24"/>
                <w:highlight w:val="none"/>
              </w:rPr>
            </w:pPr>
            <w:r>
              <w:rPr>
                <w:rFonts w:hint="eastAsia" w:ascii="宋体" w:hAnsi="宋体" w:eastAsia="宋体" w:cs="宋体"/>
                <w:b/>
                <w:sz w:val="24"/>
                <w:highlight w:val="none"/>
              </w:rPr>
              <w:t>居民身份证复印件粘贴处（正、反面）</w:t>
            </w:r>
          </w:p>
        </w:tc>
        <w:tc>
          <w:tcPr>
            <w:tcW w:w="567" w:type="dxa"/>
            <w:tcBorders>
              <w:top w:val="nil"/>
              <w:bottom w:val="nil"/>
            </w:tcBorders>
            <w:noWrap/>
          </w:tcPr>
          <w:p w14:paraId="03B4E925">
            <w:pPr>
              <w:widowControl/>
              <w:jc w:val="left"/>
              <w:rPr>
                <w:rFonts w:hint="eastAsia" w:ascii="宋体" w:hAnsi="宋体" w:eastAsia="宋体" w:cs="宋体"/>
                <w:sz w:val="24"/>
                <w:highlight w:val="none"/>
              </w:rPr>
            </w:pPr>
          </w:p>
        </w:tc>
        <w:tc>
          <w:tcPr>
            <w:tcW w:w="4111" w:type="dxa"/>
            <w:noWrap/>
            <w:vAlign w:val="center"/>
          </w:tcPr>
          <w:p w14:paraId="57DAD4BE">
            <w:pPr>
              <w:pStyle w:val="47"/>
              <w:ind w:left="105"/>
              <w:jc w:val="center"/>
              <w:rPr>
                <w:rFonts w:hint="eastAsia" w:ascii="宋体" w:hAnsi="宋体" w:eastAsia="宋体" w:cs="宋体"/>
                <w:b/>
                <w:szCs w:val="24"/>
                <w:highlight w:val="none"/>
              </w:rPr>
            </w:pPr>
            <w:r>
              <w:rPr>
                <w:rFonts w:hint="eastAsia" w:ascii="宋体" w:hAnsi="宋体" w:eastAsia="宋体" w:cs="宋体"/>
                <w:b/>
                <w:szCs w:val="24"/>
                <w:highlight w:val="none"/>
              </w:rPr>
              <w:t>被授权人（授权代表）</w:t>
            </w:r>
          </w:p>
          <w:p w14:paraId="7A0E98A7">
            <w:pPr>
              <w:widowControl/>
              <w:jc w:val="center"/>
              <w:rPr>
                <w:rFonts w:hint="eastAsia" w:ascii="宋体" w:hAnsi="宋体" w:eastAsia="宋体" w:cs="宋体"/>
                <w:sz w:val="24"/>
                <w:highlight w:val="none"/>
              </w:rPr>
            </w:pPr>
            <w:r>
              <w:rPr>
                <w:rFonts w:hint="eastAsia" w:ascii="宋体" w:hAnsi="宋体" w:eastAsia="宋体" w:cs="宋体"/>
                <w:b/>
                <w:sz w:val="24"/>
                <w:highlight w:val="none"/>
              </w:rPr>
              <w:t>居民身份证复印件粘贴处（正、反面）</w:t>
            </w:r>
          </w:p>
        </w:tc>
      </w:tr>
    </w:tbl>
    <w:p w14:paraId="57E2FCDD">
      <w:pPr>
        <w:spacing w:line="360" w:lineRule="auto"/>
        <w:jc w:val="left"/>
        <w:rPr>
          <w:rFonts w:hint="eastAsia" w:ascii="宋体" w:hAnsi="宋体" w:eastAsia="宋体" w:cs="宋体"/>
          <w:sz w:val="24"/>
          <w:highlight w:val="none"/>
        </w:rPr>
      </w:pPr>
    </w:p>
    <w:p w14:paraId="16C39613">
      <w:pPr>
        <w:spacing w:line="360" w:lineRule="auto"/>
        <w:jc w:val="left"/>
        <w:rPr>
          <w:rFonts w:hint="eastAsia" w:ascii="宋体" w:hAnsi="宋体" w:eastAsia="宋体" w:cs="宋体"/>
          <w:sz w:val="24"/>
          <w:highlight w:val="none"/>
        </w:rPr>
      </w:pPr>
    </w:p>
    <w:p w14:paraId="7B1DC8F4">
      <w:pPr>
        <w:snapToGrid w:val="0"/>
        <w:spacing w:line="360" w:lineRule="auto"/>
        <w:ind w:firstLine="3840" w:firstLineChars="1600"/>
        <w:rPr>
          <w:rFonts w:hint="eastAsia" w:ascii="宋体" w:hAnsi="宋体" w:eastAsia="宋体" w:cs="宋体"/>
          <w:sz w:val="24"/>
          <w:highlight w:val="none"/>
          <w:u w:val="single"/>
        </w:rPr>
      </w:pPr>
      <w:r>
        <w:rPr>
          <w:rFonts w:hint="eastAsia" w:ascii="宋体" w:hAnsi="宋体" w:eastAsia="宋体" w:cs="宋体"/>
          <w:sz w:val="24"/>
          <w:highlight w:val="none"/>
        </w:rPr>
        <w:t>供应商（单位盖章）：______________________</w:t>
      </w:r>
    </w:p>
    <w:p w14:paraId="61EBE163">
      <w:pPr>
        <w:snapToGrid w:val="0"/>
        <w:spacing w:line="360" w:lineRule="auto"/>
        <w:ind w:firstLine="3840" w:firstLineChars="1600"/>
        <w:jc w:val="left"/>
        <w:rPr>
          <w:rFonts w:hint="eastAsia" w:ascii="宋体" w:hAnsi="宋体" w:eastAsia="宋体" w:cs="宋体"/>
          <w:sz w:val="24"/>
          <w:highlight w:val="none"/>
          <w:u w:val="single"/>
        </w:rPr>
      </w:pPr>
      <w:r>
        <w:rPr>
          <w:rFonts w:hint="eastAsia" w:ascii="宋体" w:hAnsi="宋体" w:eastAsia="宋体" w:cs="宋体"/>
          <w:sz w:val="24"/>
          <w:highlight w:val="none"/>
        </w:rPr>
        <w:t>法定代表人（签字或盖章）：___________________</w:t>
      </w:r>
    </w:p>
    <w:p w14:paraId="70C7F0AE">
      <w:pPr>
        <w:snapToGrid w:val="0"/>
        <w:spacing w:line="360" w:lineRule="auto"/>
        <w:ind w:firstLine="3840" w:firstLineChars="1600"/>
        <w:rPr>
          <w:rFonts w:hint="eastAsia" w:ascii="宋体" w:hAnsi="宋体" w:eastAsia="宋体" w:cs="宋体"/>
          <w:sz w:val="24"/>
          <w:highlight w:val="none"/>
          <w:u w:val="single"/>
        </w:rPr>
      </w:pPr>
      <w:r>
        <w:rPr>
          <w:rFonts w:hint="eastAsia" w:ascii="宋体" w:hAnsi="宋体" w:eastAsia="宋体" w:cs="宋体"/>
          <w:sz w:val="24"/>
          <w:highlight w:val="none"/>
        </w:rPr>
        <w:t>法定代表人身份证号码：______________________</w:t>
      </w:r>
    </w:p>
    <w:p w14:paraId="0A5E1A8E">
      <w:pPr>
        <w:snapToGrid w:val="0"/>
        <w:spacing w:line="360" w:lineRule="auto"/>
        <w:ind w:firstLine="3840" w:firstLineChars="1600"/>
        <w:rPr>
          <w:rFonts w:hint="eastAsia" w:ascii="宋体" w:hAnsi="宋体" w:eastAsia="宋体" w:cs="宋体"/>
          <w:sz w:val="24"/>
          <w:highlight w:val="none"/>
          <w:u w:val="single"/>
        </w:rPr>
      </w:pPr>
      <w:r>
        <w:rPr>
          <w:rFonts w:hint="eastAsia" w:ascii="宋体" w:hAnsi="宋体" w:eastAsia="宋体" w:cs="宋体"/>
          <w:sz w:val="24"/>
          <w:highlight w:val="none"/>
        </w:rPr>
        <w:t>授权代理人（签字或盖章）：________________</w:t>
      </w:r>
    </w:p>
    <w:p w14:paraId="40345F8B">
      <w:pPr>
        <w:snapToGrid w:val="0"/>
        <w:spacing w:line="360" w:lineRule="auto"/>
        <w:ind w:firstLine="3840" w:firstLineChars="1600"/>
        <w:rPr>
          <w:rFonts w:hint="eastAsia" w:ascii="宋体" w:hAnsi="宋体" w:eastAsia="宋体" w:cs="宋体"/>
          <w:sz w:val="24"/>
          <w:highlight w:val="none"/>
          <w:u w:val="single"/>
        </w:rPr>
      </w:pPr>
      <w:r>
        <w:rPr>
          <w:rFonts w:hint="eastAsia" w:ascii="宋体" w:hAnsi="宋体" w:eastAsia="宋体" w:cs="宋体"/>
          <w:sz w:val="24"/>
          <w:highlight w:val="none"/>
        </w:rPr>
        <w:t>授权代理人身份证号码：______________________</w:t>
      </w:r>
    </w:p>
    <w:p w14:paraId="728052D1">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日         期：年月日</w:t>
      </w:r>
    </w:p>
    <w:p w14:paraId="14D1D44A">
      <w:pPr>
        <w:tabs>
          <w:tab w:val="left" w:pos="0"/>
        </w:tabs>
        <w:spacing w:line="360" w:lineRule="auto"/>
        <w:rPr>
          <w:rFonts w:hint="eastAsia" w:ascii="宋体" w:hAnsi="宋体" w:eastAsia="宋体" w:cs="宋体"/>
          <w:sz w:val="24"/>
          <w:highlight w:val="none"/>
        </w:rPr>
      </w:pPr>
    </w:p>
    <w:p w14:paraId="56F98E78">
      <w:pPr>
        <w:spacing w:line="360" w:lineRule="auto"/>
        <w:rPr>
          <w:rFonts w:hint="eastAsia" w:ascii="宋体" w:hAnsi="宋体" w:eastAsia="宋体" w:cs="宋体"/>
          <w:b/>
          <w:sz w:val="24"/>
          <w:highlight w:val="none"/>
        </w:rPr>
      </w:pPr>
      <w:bookmarkStart w:id="53" w:name="_Toc14540"/>
      <w:bookmarkStart w:id="54" w:name="_Toc492451838"/>
      <w:r>
        <w:rPr>
          <w:rFonts w:hint="eastAsia" w:ascii="宋体" w:hAnsi="宋体" w:eastAsia="宋体" w:cs="宋体"/>
          <w:b/>
          <w:sz w:val="24"/>
          <w:highlight w:val="none"/>
        </w:rPr>
        <w:t>注：授权委托书必须按照以上格式填写并在</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时单独打印一份签字及加盖单位公章，</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时由</w:t>
      </w:r>
      <w:r>
        <w:rPr>
          <w:rFonts w:hint="eastAsia" w:ascii="宋体" w:hAnsi="宋体" w:eastAsia="宋体" w:cs="宋体"/>
          <w:b/>
          <w:sz w:val="24"/>
          <w:highlight w:val="none"/>
          <w:lang w:eastAsia="zh-CN"/>
        </w:rPr>
        <w:t>采购</w:t>
      </w:r>
      <w:r>
        <w:rPr>
          <w:rFonts w:hint="eastAsia" w:ascii="宋体" w:hAnsi="宋体" w:eastAsia="宋体" w:cs="宋体"/>
          <w:b/>
          <w:sz w:val="24"/>
          <w:highlight w:val="none"/>
        </w:rPr>
        <w:t>人及监标人查验。</w:t>
      </w:r>
      <w:bookmarkEnd w:id="53"/>
      <w:bookmarkEnd w:id="54"/>
    </w:p>
    <w:p w14:paraId="16A27C15">
      <w:pPr>
        <w:tabs>
          <w:tab w:val="left" w:pos="1365"/>
        </w:tabs>
        <w:spacing w:line="360" w:lineRule="auto"/>
        <w:ind w:left="-2" w:leftChars="-1" w:firstLine="2"/>
        <w:jc w:val="left"/>
        <w:outlineLvl w:val="0"/>
        <w:rPr>
          <w:rFonts w:hint="eastAsia" w:ascii="宋体" w:hAnsi="宋体" w:eastAsia="宋体" w:cs="宋体"/>
          <w:b/>
          <w:sz w:val="24"/>
          <w:highlight w:val="none"/>
        </w:rPr>
      </w:pPr>
      <w:r>
        <w:rPr>
          <w:rFonts w:hint="eastAsia" w:ascii="宋体" w:hAnsi="宋体" w:eastAsia="宋体" w:cs="宋体"/>
          <w:b/>
          <w:sz w:val="24"/>
          <w:highlight w:val="none"/>
        </w:rPr>
        <w:br w:type="page"/>
      </w:r>
    </w:p>
    <w:p w14:paraId="2EC8F3DF">
      <w:pPr>
        <w:pStyle w:val="4"/>
        <w:spacing w:line="360" w:lineRule="auto"/>
        <w:jc w:val="center"/>
        <w:rPr>
          <w:rFonts w:hint="eastAsia" w:ascii="宋体" w:hAnsi="宋体" w:eastAsia="宋体" w:cs="宋体"/>
          <w:highlight w:val="none"/>
          <w:lang w:eastAsia="zh-CN"/>
        </w:rPr>
      </w:pPr>
      <w:bookmarkStart w:id="55" w:name="_Toc32146"/>
      <w:r>
        <w:rPr>
          <w:rFonts w:hint="eastAsia" w:ascii="宋体" w:hAnsi="宋体" w:eastAsia="宋体" w:cs="宋体"/>
          <w:highlight w:val="none"/>
        </w:rPr>
        <w:t>4、</w:t>
      </w:r>
      <w:bookmarkEnd w:id="43"/>
      <w:bookmarkEnd w:id="44"/>
      <w:bookmarkEnd w:id="45"/>
      <w:bookmarkEnd w:id="46"/>
      <w:bookmarkEnd w:id="47"/>
      <w:bookmarkEnd w:id="48"/>
      <w:bookmarkEnd w:id="49"/>
      <w:bookmarkEnd w:id="55"/>
      <w:r>
        <w:rPr>
          <w:rFonts w:hint="eastAsia" w:ascii="宋体" w:hAnsi="宋体" w:eastAsia="宋体" w:cs="宋体"/>
          <w:highlight w:val="none"/>
          <w:lang w:eastAsia="zh-CN"/>
        </w:rPr>
        <w:t>磋商报价表</w:t>
      </w:r>
    </w:p>
    <w:p w14:paraId="2DC84C8D">
      <w:pPr>
        <w:spacing w:line="360" w:lineRule="auto"/>
        <w:ind w:left="211"/>
        <w:rPr>
          <w:rFonts w:hint="eastAsia" w:ascii="宋体" w:hAnsi="宋体" w:eastAsia="宋体" w:cs="宋体"/>
          <w:sz w:val="24"/>
          <w:highlight w:val="none"/>
          <w:u w:val="single"/>
        </w:rPr>
      </w:pPr>
      <w:r>
        <w:rPr>
          <w:rFonts w:hint="eastAsia" w:ascii="宋体" w:hAnsi="宋体" w:eastAsia="宋体" w:cs="宋体"/>
          <w:sz w:val="24"/>
          <w:highlight w:val="none"/>
        </w:rPr>
        <w:t>项目名称：</w:t>
      </w:r>
    </w:p>
    <w:p w14:paraId="679B3BAD">
      <w:pPr>
        <w:spacing w:line="360" w:lineRule="auto"/>
        <w:ind w:left="211"/>
        <w:rPr>
          <w:rFonts w:hint="eastAsia" w:ascii="宋体" w:hAnsi="宋体" w:eastAsia="宋体" w:cs="宋体"/>
          <w:sz w:val="24"/>
          <w:highlight w:val="none"/>
          <w:u w:val="single"/>
        </w:rPr>
      </w:pP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w:t>
      </w:r>
    </w:p>
    <w:p w14:paraId="579E21A6">
      <w:pPr>
        <w:spacing w:line="360" w:lineRule="auto"/>
        <w:ind w:left="211"/>
        <w:rPr>
          <w:rFonts w:hint="eastAsia" w:ascii="宋体" w:hAnsi="宋体" w:eastAsia="宋体" w:cs="宋体"/>
          <w:sz w:val="24"/>
          <w:highlight w:val="none"/>
          <w:u w:val="single"/>
        </w:rPr>
      </w:pPr>
    </w:p>
    <w:tbl>
      <w:tblPr>
        <w:tblStyle w:val="26"/>
        <w:tblW w:w="904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133"/>
        <w:gridCol w:w="1678"/>
        <w:gridCol w:w="1738"/>
        <w:gridCol w:w="1184"/>
      </w:tblGrid>
      <w:tr w14:paraId="3974701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307" w:type="dxa"/>
            <w:tcBorders>
              <w:top w:val="single" w:color="auto" w:sz="4" w:space="0"/>
              <w:left w:val="single" w:color="auto" w:sz="4" w:space="0"/>
              <w:bottom w:val="single" w:color="auto" w:sz="4" w:space="0"/>
              <w:right w:val="single" w:color="auto" w:sz="4" w:space="0"/>
            </w:tcBorders>
            <w:noWrap/>
            <w:vAlign w:val="center"/>
          </w:tcPr>
          <w:p w14:paraId="339135F3">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2133" w:type="dxa"/>
            <w:tcBorders>
              <w:top w:val="single" w:color="auto" w:sz="4" w:space="0"/>
              <w:left w:val="single" w:color="auto" w:sz="4" w:space="0"/>
              <w:bottom w:val="single" w:color="auto" w:sz="4" w:space="0"/>
              <w:right w:val="single" w:color="auto" w:sz="4" w:space="0"/>
            </w:tcBorders>
            <w:noWrap/>
            <w:vAlign w:val="center"/>
          </w:tcPr>
          <w:p w14:paraId="0DB49ACE">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总价</w:t>
            </w:r>
          </w:p>
          <w:p w14:paraId="71DA42E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1678" w:type="dxa"/>
            <w:tcBorders>
              <w:top w:val="single" w:color="auto" w:sz="4" w:space="0"/>
              <w:left w:val="single" w:color="auto" w:sz="4" w:space="0"/>
              <w:bottom w:val="single" w:color="auto" w:sz="4" w:space="0"/>
              <w:right w:val="single" w:color="auto" w:sz="4" w:space="0"/>
            </w:tcBorders>
            <w:noWrap/>
            <w:vAlign w:val="center"/>
          </w:tcPr>
          <w:p w14:paraId="7F15667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合同履行期限</w:t>
            </w:r>
          </w:p>
        </w:tc>
        <w:tc>
          <w:tcPr>
            <w:tcW w:w="1738" w:type="dxa"/>
            <w:tcBorders>
              <w:top w:val="single" w:color="auto" w:sz="4" w:space="0"/>
              <w:left w:val="single" w:color="auto" w:sz="4" w:space="0"/>
              <w:bottom w:val="single" w:color="auto" w:sz="4" w:space="0"/>
              <w:right w:val="single" w:color="auto" w:sz="4" w:space="0"/>
            </w:tcBorders>
            <w:noWrap/>
            <w:vAlign w:val="center"/>
          </w:tcPr>
          <w:p w14:paraId="68792300">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质量标准</w:t>
            </w:r>
          </w:p>
        </w:tc>
        <w:tc>
          <w:tcPr>
            <w:tcW w:w="1184" w:type="dxa"/>
            <w:tcBorders>
              <w:top w:val="single" w:color="auto" w:sz="4" w:space="0"/>
              <w:left w:val="single" w:color="auto" w:sz="4" w:space="0"/>
              <w:bottom w:val="single" w:color="auto" w:sz="4" w:space="0"/>
              <w:right w:val="single" w:color="auto" w:sz="4" w:space="0"/>
            </w:tcBorders>
            <w:noWrap/>
            <w:vAlign w:val="center"/>
          </w:tcPr>
          <w:p w14:paraId="00586EB1">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24AAA76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307" w:type="dxa"/>
            <w:tcBorders>
              <w:top w:val="single" w:color="auto" w:sz="4" w:space="0"/>
              <w:left w:val="single" w:color="auto" w:sz="4" w:space="0"/>
              <w:bottom w:val="single" w:color="auto" w:sz="4" w:space="0"/>
              <w:right w:val="single" w:color="auto" w:sz="4" w:space="0"/>
            </w:tcBorders>
            <w:noWrap/>
            <w:vAlign w:val="center"/>
          </w:tcPr>
          <w:p w14:paraId="491A1CCE">
            <w:pPr>
              <w:jc w:val="center"/>
              <w:rPr>
                <w:rFonts w:hint="eastAsia" w:ascii="宋体" w:hAnsi="宋体" w:eastAsia="宋体" w:cs="宋体"/>
                <w:sz w:val="24"/>
                <w:highlight w:val="none"/>
              </w:rPr>
            </w:pPr>
          </w:p>
        </w:tc>
        <w:tc>
          <w:tcPr>
            <w:tcW w:w="2133" w:type="dxa"/>
            <w:tcBorders>
              <w:top w:val="single" w:color="auto" w:sz="4" w:space="0"/>
              <w:left w:val="single" w:color="auto" w:sz="4" w:space="0"/>
              <w:bottom w:val="single" w:color="auto" w:sz="4" w:space="0"/>
              <w:right w:val="single" w:color="auto" w:sz="4" w:space="0"/>
            </w:tcBorders>
            <w:noWrap/>
            <w:vAlign w:val="center"/>
          </w:tcPr>
          <w:p w14:paraId="412CBCCC">
            <w:pPr>
              <w:rPr>
                <w:rFonts w:hint="eastAsia" w:ascii="宋体" w:hAnsi="宋体" w:eastAsia="宋体" w:cs="宋体"/>
                <w:sz w:val="24"/>
                <w:highlight w:val="none"/>
              </w:rPr>
            </w:pPr>
            <w:r>
              <w:rPr>
                <w:rFonts w:hint="eastAsia" w:ascii="宋体" w:hAnsi="宋体" w:eastAsia="宋体" w:cs="宋体"/>
                <w:sz w:val="24"/>
                <w:highlight w:val="none"/>
              </w:rPr>
              <w:t>大写：</w:t>
            </w:r>
          </w:p>
          <w:p w14:paraId="7B1EA4C2">
            <w:pPr>
              <w:jc w:val="left"/>
              <w:rPr>
                <w:rFonts w:hint="eastAsia" w:ascii="宋体" w:hAnsi="宋体" w:eastAsia="宋体" w:cs="宋体"/>
                <w:sz w:val="24"/>
                <w:highlight w:val="none"/>
              </w:rPr>
            </w:pPr>
            <w:r>
              <w:rPr>
                <w:rFonts w:hint="eastAsia" w:ascii="宋体" w:hAnsi="宋体" w:eastAsia="宋体" w:cs="宋体"/>
                <w:sz w:val="24"/>
                <w:highlight w:val="none"/>
              </w:rPr>
              <w:t>小写：</w:t>
            </w:r>
          </w:p>
        </w:tc>
        <w:tc>
          <w:tcPr>
            <w:tcW w:w="1678" w:type="dxa"/>
            <w:tcBorders>
              <w:top w:val="single" w:color="auto" w:sz="4" w:space="0"/>
              <w:left w:val="single" w:color="auto" w:sz="4" w:space="0"/>
              <w:bottom w:val="single" w:color="auto" w:sz="4" w:space="0"/>
              <w:right w:val="single" w:color="auto" w:sz="4" w:space="0"/>
            </w:tcBorders>
            <w:noWrap/>
            <w:vAlign w:val="center"/>
          </w:tcPr>
          <w:p w14:paraId="5C6BAB9E">
            <w:pPr>
              <w:jc w:val="center"/>
              <w:rPr>
                <w:rFonts w:hint="eastAsia" w:ascii="宋体" w:hAnsi="宋体" w:eastAsia="宋体" w:cs="宋体"/>
                <w:sz w:val="24"/>
                <w:highlight w:val="none"/>
              </w:rPr>
            </w:pPr>
          </w:p>
        </w:tc>
        <w:tc>
          <w:tcPr>
            <w:tcW w:w="1738" w:type="dxa"/>
            <w:tcBorders>
              <w:top w:val="single" w:color="auto" w:sz="4" w:space="0"/>
              <w:left w:val="single" w:color="auto" w:sz="4" w:space="0"/>
              <w:bottom w:val="single" w:color="auto" w:sz="4" w:space="0"/>
              <w:right w:val="single" w:color="auto" w:sz="4" w:space="0"/>
            </w:tcBorders>
            <w:noWrap/>
            <w:vAlign w:val="center"/>
          </w:tcPr>
          <w:p w14:paraId="6CB681BC">
            <w:pPr>
              <w:jc w:val="center"/>
              <w:rPr>
                <w:rFonts w:hint="eastAsia" w:ascii="宋体" w:hAnsi="宋体" w:eastAsia="宋体" w:cs="宋体"/>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50DB28A0">
            <w:pPr>
              <w:jc w:val="center"/>
              <w:rPr>
                <w:rFonts w:hint="eastAsia" w:ascii="宋体" w:hAnsi="宋体" w:eastAsia="宋体" w:cs="宋体"/>
                <w:sz w:val="24"/>
                <w:highlight w:val="none"/>
              </w:rPr>
            </w:pPr>
          </w:p>
        </w:tc>
      </w:tr>
    </w:tbl>
    <w:p w14:paraId="41DD7B2B">
      <w:pPr>
        <w:autoSpaceDE w:val="0"/>
        <w:autoSpaceDN w:val="0"/>
        <w:adjustRightInd w:val="0"/>
        <w:spacing w:line="360" w:lineRule="auto"/>
        <w:rPr>
          <w:rFonts w:hint="eastAsia" w:ascii="宋体" w:hAnsi="宋体" w:eastAsia="宋体" w:cs="宋体"/>
          <w:kern w:val="0"/>
          <w:sz w:val="24"/>
          <w:highlight w:val="none"/>
        </w:rPr>
      </w:pPr>
    </w:p>
    <w:p w14:paraId="6D31D0C3">
      <w:pPr>
        <w:autoSpaceDE w:val="0"/>
        <w:autoSpaceDN w:val="0"/>
        <w:adjustRightInd w:val="0"/>
        <w:spacing w:line="360" w:lineRule="auto"/>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w:t>
      </w:r>
    </w:p>
    <w:p w14:paraId="5231F138">
      <w:pPr>
        <w:autoSpaceDE w:val="0"/>
        <w:autoSpaceDN w:val="0"/>
        <w:adjustRightInd w:val="0"/>
        <w:spacing w:line="360" w:lineRule="auto"/>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1、填报的内容必须和</w:t>
      </w:r>
      <w:r>
        <w:rPr>
          <w:rFonts w:hint="eastAsia" w:ascii="宋体" w:hAnsi="宋体" w:cs="宋体"/>
          <w:bCs/>
          <w:sz w:val="24"/>
          <w:highlight w:val="none"/>
          <w:lang w:val="zh-CN"/>
        </w:rPr>
        <w:t>竞争性磋商文件</w:t>
      </w:r>
      <w:r>
        <w:rPr>
          <w:rFonts w:hint="eastAsia" w:ascii="宋体" w:hAnsi="宋体" w:eastAsia="宋体" w:cs="宋体"/>
          <w:bCs/>
          <w:sz w:val="24"/>
          <w:highlight w:val="none"/>
          <w:lang w:val="zh-CN"/>
        </w:rPr>
        <w:t>中的内容相一致；须单独打印一份密封；</w:t>
      </w:r>
    </w:p>
    <w:p w14:paraId="07B402AF">
      <w:pPr>
        <w:autoSpaceDE w:val="0"/>
        <w:autoSpaceDN w:val="0"/>
        <w:adjustRightInd w:val="0"/>
        <w:spacing w:line="360" w:lineRule="auto"/>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2、填报的内容必须和磋商响应函中的内容一致；如不一致，以磋商响应函中相关内容为准；</w:t>
      </w:r>
    </w:p>
    <w:p w14:paraId="2A29E769">
      <w:pPr>
        <w:autoSpaceDE w:val="0"/>
        <w:autoSpaceDN w:val="0"/>
        <w:adjustRightInd w:val="0"/>
        <w:spacing w:line="360" w:lineRule="auto"/>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3、磋商响应函中大写金额报价与磋商响应函、磋商报价表中的小写金额报价不一致时，以磋商响应函中的大写金额报价为准，保留小数点后</w:t>
      </w:r>
      <w:r>
        <w:rPr>
          <w:rFonts w:hint="eastAsia" w:ascii="宋体" w:hAnsi="宋体" w:cs="宋体"/>
          <w:bCs/>
          <w:sz w:val="24"/>
          <w:highlight w:val="none"/>
          <w:lang w:val="en-US" w:eastAsia="zh-CN"/>
        </w:rPr>
        <w:t>两</w:t>
      </w:r>
      <w:r>
        <w:rPr>
          <w:rFonts w:hint="eastAsia" w:ascii="宋体" w:hAnsi="宋体" w:eastAsia="宋体" w:cs="宋体"/>
          <w:bCs/>
          <w:sz w:val="24"/>
          <w:highlight w:val="none"/>
          <w:lang w:val="zh-CN"/>
        </w:rPr>
        <w:t>位。</w:t>
      </w:r>
    </w:p>
    <w:p w14:paraId="7997AE00">
      <w:pPr>
        <w:spacing w:line="360" w:lineRule="auto"/>
        <w:ind w:firstLine="480"/>
        <w:rPr>
          <w:rFonts w:hint="eastAsia" w:ascii="宋体" w:hAnsi="宋体" w:eastAsia="宋体" w:cs="宋体"/>
          <w:sz w:val="24"/>
          <w:highlight w:val="none"/>
        </w:rPr>
      </w:pPr>
    </w:p>
    <w:p w14:paraId="4A340FA3">
      <w:pPr>
        <w:autoSpaceDE w:val="0"/>
        <w:autoSpaceDN w:val="0"/>
        <w:adjustRightInd w:val="0"/>
        <w:spacing w:line="360" w:lineRule="auto"/>
        <w:ind w:right="480" w:firstLine="4920" w:firstLineChars="2050"/>
        <w:rPr>
          <w:rFonts w:hint="eastAsia" w:ascii="宋体" w:hAnsi="宋体" w:eastAsia="宋体" w:cs="宋体"/>
          <w:sz w:val="24"/>
          <w:highlight w:val="none"/>
          <w:lang w:val="zh-CN"/>
        </w:rPr>
      </w:pPr>
    </w:p>
    <w:p w14:paraId="3967C4A3">
      <w:pPr>
        <w:autoSpaceDE w:val="0"/>
        <w:autoSpaceDN w:val="0"/>
        <w:adjustRightInd w:val="0"/>
        <w:spacing w:line="360" w:lineRule="auto"/>
        <w:ind w:right="480" w:firstLine="6360" w:firstLineChars="265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供应商名称（盖章）：</w:t>
      </w:r>
    </w:p>
    <w:p w14:paraId="14C6464D">
      <w:pPr>
        <w:autoSpaceDE w:val="0"/>
        <w:autoSpaceDN w:val="0"/>
        <w:adjustRightInd w:val="0"/>
        <w:spacing w:line="360" w:lineRule="auto"/>
        <w:ind w:right="480" w:firstLine="4920" w:firstLineChars="2050"/>
        <w:rPr>
          <w:rFonts w:hint="eastAsia" w:ascii="宋体" w:hAnsi="宋体" w:eastAsia="宋体" w:cs="宋体"/>
          <w:sz w:val="24"/>
          <w:highlight w:val="none"/>
          <w:lang w:val="zh-CN"/>
        </w:rPr>
      </w:pPr>
    </w:p>
    <w:p w14:paraId="1CD9A83B">
      <w:pPr>
        <w:autoSpaceDE w:val="0"/>
        <w:autoSpaceDN w:val="0"/>
        <w:adjustRightInd w:val="0"/>
        <w:spacing w:line="360" w:lineRule="auto"/>
        <w:ind w:firstLine="48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法定代表人或其委托代理人（签字）：</w:t>
      </w:r>
    </w:p>
    <w:p w14:paraId="55986835">
      <w:pPr>
        <w:autoSpaceDE w:val="0"/>
        <w:autoSpaceDN w:val="0"/>
        <w:adjustRightInd w:val="0"/>
        <w:spacing w:line="360" w:lineRule="auto"/>
        <w:ind w:firstLine="480"/>
        <w:jc w:val="right"/>
        <w:rPr>
          <w:rFonts w:hint="eastAsia" w:ascii="宋体" w:hAnsi="宋体" w:eastAsia="宋体" w:cs="宋体"/>
          <w:sz w:val="24"/>
          <w:highlight w:val="none"/>
          <w:lang w:val="zh-CN"/>
        </w:rPr>
      </w:pPr>
    </w:p>
    <w:p w14:paraId="0F95BF6C">
      <w:pPr>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lang w:val="zh-CN"/>
        </w:rPr>
        <w:t>日期：年月日</w:t>
      </w:r>
    </w:p>
    <w:p w14:paraId="6834A8D3">
      <w:pPr>
        <w:spacing w:line="360" w:lineRule="auto"/>
        <w:rPr>
          <w:rFonts w:hint="eastAsia" w:ascii="宋体" w:hAnsi="宋体" w:eastAsia="宋体" w:cs="宋体"/>
          <w:sz w:val="24"/>
          <w:highlight w:val="none"/>
        </w:rPr>
      </w:pPr>
    </w:p>
    <w:p w14:paraId="4D39EDA9">
      <w:pPr>
        <w:spacing w:line="360" w:lineRule="auto"/>
        <w:rPr>
          <w:rFonts w:hint="eastAsia" w:ascii="宋体" w:hAnsi="宋体" w:eastAsia="宋体" w:cs="宋体"/>
          <w:sz w:val="24"/>
          <w:highlight w:val="none"/>
        </w:rPr>
      </w:pPr>
    </w:p>
    <w:p w14:paraId="705FEDFE">
      <w:pPr>
        <w:spacing w:line="360" w:lineRule="auto"/>
        <w:jc w:val="left"/>
        <w:rPr>
          <w:rFonts w:hint="eastAsia" w:ascii="宋体" w:hAnsi="宋体" w:eastAsia="宋体" w:cs="宋体"/>
          <w:b/>
          <w:sz w:val="24"/>
          <w:highlight w:val="none"/>
        </w:rPr>
      </w:pPr>
    </w:p>
    <w:p w14:paraId="57C3D81E">
      <w:pPr>
        <w:tabs>
          <w:tab w:val="left" w:pos="1365"/>
        </w:tabs>
        <w:jc w:val="center"/>
        <w:rPr>
          <w:rFonts w:hint="eastAsia" w:ascii="宋体" w:hAnsi="宋体" w:eastAsia="宋体" w:cs="宋体"/>
          <w:b/>
          <w:sz w:val="32"/>
          <w:szCs w:val="32"/>
          <w:highlight w:val="none"/>
        </w:rPr>
      </w:pPr>
    </w:p>
    <w:p w14:paraId="6A89351E">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11BC5D8A">
      <w:pPr>
        <w:spacing w:line="360" w:lineRule="auto"/>
        <w:jc w:val="center"/>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5</w:t>
      </w:r>
      <w:r>
        <w:rPr>
          <w:rFonts w:hint="eastAsia" w:ascii="宋体" w:hAnsi="宋体" w:eastAsia="宋体" w:cs="宋体"/>
          <w:b/>
          <w:sz w:val="32"/>
          <w:szCs w:val="32"/>
          <w:highlight w:val="none"/>
        </w:rPr>
        <w:t>、商务条款偏离表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3694"/>
        <w:gridCol w:w="3346"/>
        <w:gridCol w:w="900"/>
      </w:tblGrid>
      <w:tr w14:paraId="4FBB7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388E9E4A">
            <w:pPr>
              <w:jc w:val="center"/>
              <w:rPr>
                <w:rFonts w:hint="eastAsia" w:ascii="宋体" w:hAnsi="宋体" w:eastAsia="宋体" w:cs="宋体"/>
                <w:sz w:val="24"/>
                <w:highlight w:val="none"/>
              </w:rPr>
            </w:pPr>
            <w:bookmarkStart w:id="56" w:name="_Toc492451841"/>
            <w:bookmarkStart w:id="57" w:name="_Toc9156"/>
            <w:r>
              <w:rPr>
                <w:rFonts w:hint="eastAsia" w:ascii="宋体" w:hAnsi="宋体" w:eastAsia="宋体" w:cs="宋体"/>
                <w:sz w:val="24"/>
                <w:highlight w:val="none"/>
              </w:rPr>
              <w:t>序号</w:t>
            </w:r>
            <w:bookmarkEnd w:id="56"/>
            <w:bookmarkEnd w:id="57"/>
          </w:p>
        </w:tc>
        <w:tc>
          <w:tcPr>
            <w:tcW w:w="3694" w:type="dxa"/>
            <w:tcBorders>
              <w:top w:val="single" w:color="auto" w:sz="4" w:space="0"/>
              <w:left w:val="single" w:color="auto" w:sz="4" w:space="0"/>
              <w:bottom w:val="single" w:color="auto" w:sz="4" w:space="0"/>
              <w:right w:val="single" w:color="auto" w:sz="4" w:space="0"/>
            </w:tcBorders>
            <w:noWrap/>
            <w:vAlign w:val="center"/>
          </w:tcPr>
          <w:p w14:paraId="5AE5FCD8">
            <w:pPr>
              <w:jc w:val="center"/>
              <w:rPr>
                <w:rFonts w:hint="eastAsia" w:ascii="宋体" w:hAnsi="宋体" w:eastAsia="宋体" w:cs="宋体"/>
                <w:sz w:val="24"/>
                <w:highlight w:val="none"/>
              </w:rPr>
            </w:pPr>
            <w:bookmarkStart w:id="58" w:name="_Toc6174"/>
            <w:bookmarkStart w:id="59" w:name="_Toc492451843"/>
            <w:r>
              <w:rPr>
                <w:rFonts w:hint="eastAsia" w:ascii="宋体" w:hAnsi="宋体" w:cs="宋体"/>
                <w:sz w:val="24"/>
                <w:highlight w:val="none"/>
                <w:lang w:eastAsia="zh-CN"/>
              </w:rPr>
              <w:t>竞争性磋商文件</w:t>
            </w:r>
            <w:r>
              <w:rPr>
                <w:rFonts w:hint="eastAsia" w:ascii="宋体" w:hAnsi="宋体" w:eastAsia="宋体" w:cs="宋体"/>
                <w:sz w:val="24"/>
                <w:highlight w:val="none"/>
              </w:rPr>
              <w:t>规定的商务条款</w:t>
            </w:r>
            <w:bookmarkEnd w:id="58"/>
            <w:bookmarkEnd w:id="59"/>
          </w:p>
        </w:tc>
        <w:tc>
          <w:tcPr>
            <w:tcW w:w="3346" w:type="dxa"/>
            <w:tcBorders>
              <w:top w:val="single" w:color="auto" w:sz="4" w:space="0"/>
              <w:left w:val="single" w:color="auto" w:sz="4" w:space="0"/>
              <w:bottom w:val="single" w:color="auto" w:sz="4" w:space="0"/>
              <w:right w:val="single" w:color="auto" w:sz="4" w:space="0"/>
            </w:tcBorders>
            <w:noWrap/>
            <w:vAlign w:val="center"/>
          </w:tcPr>
          <w:p w14:paraId="390C1565">
            <w:pPr>
              <w:jc w:val="center"/>
              <w:rPr>
                <w:rFonts w:hint="eastAsia" w:ascii="宋体" w:hAnsi="宋体" w:eastAsia="宋体" w:cs="宋体"/>
                <w:sz w:val="24"/>
                <w:highlight w:val="none"/>
              </w:rPr>
            </w:pPr>
            <w:bookmarkStart w:id="60" w:name="_Toc30914"/>
            <w:bookmarkStart w:id="61" w:name="_Toc492451844"/>
            <w:r>
              <w:rPr>
                <w:rFonts w:hint="eastAsia" w:ascii="宋体" w:hAnsi="宋体" w:cs="宋体"/>
                <w:sz w:val="24"/>
                <w:highlight w:val="none"/>
                <w:lang w:eastAsia="zh-CN"/>
              </w:rPr>
              <w:t>响应文件</w:t>
            </w:r>
            <w:r>
              <w:rPr>
                <w:rFonts w:hint="eastAsia" w:ascii="宋体" w:hAnsi="宋体" w:eastAsia="宋体" w:cs="宋体"/>
                <w:sz w:val="24"/>
                <w:highlight w:val="none"/>
              </w:rPr>
              <w:t>对应的商务条款</w:t>
            </w:r>
            <w:bookmarkEnd w:id="60"/>
            <w:bookmarkEnd w:id="61"/>
          </w:p>
        </w:tc>
        <w:tc>
          <w:tcPr>
            <w:tcW w:w="900" w:type="dxa"/>
            <w:tcBorders>
              <w:top w:val="single" w:color="auto" w:sz="4" w:space="0"/>
              <w:left w:val="single" w:color="auto" w:sz="4" w:space="0"/>
              <w:bottom w:val="single" w:color="auto" w:sz="4" w:space="0"/>
              <w:right w:val="single" w:color="auto" w:sz="4" w:space="0"/>
            </w:tcBorders>
            <w:noWrap/>
            <w:vAlign w:val="center"/>
          </w:tcPr>
          <w:p w14:paraId="796E6C19">
            <w:pPr>
              <w:jc w:val="center"/>
              <w:rPr>
                <w:rFonts w:hint="eastAsia" w:ascii="宋体" w:hAnsi="宋体" w:eastAsia="宋体" w:cs="宋体"/>
                <w:sz w:val="24"/>
                <w:highlight w:val="none"/>
              </w:rPr>
            </w:pPr>
            <w:bookmarkStart w:id="62" w:name="_Toc3453"/>
            <w:bookmarkStart w:id="63" w:name="_Toc492451845"/>
            <w:r>
              <w:rPr>
                <w:rFonts w:hint="eastAsia" w:ascii="宋体" w:hAnsi="宋体" w:eastAsia="宋体" w:cs="宋体"/>
                <w:sz w:val="24"/>
                <w:highlight w:val="none"/>
              </w:rPr>
              <w:t>备注</w:t>
            </w:r>
            <w:bookmarkEnd w:id="62"/>
            <w:bookmarkEnd w:id="63"/>
          </w:p>
        </w:tc>
      </w:tr>
      <w:tr w14:paraId="0AFEA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09BB8BBA">
            <w:pPr>
              <w:jc w:val="center"/>
              <w:outlineLvl w:val="0"/>
              <w:rPr>
                <w:rFonts w:hint="eastAsia" w:ascii="宋体" w:hAnsi="宋体" w:eastAsia="宋体" w:cs="宋体"/>
                <w:sz w:val="24"/>
                <w:highlight w:val="none"/>
              </w:rPr>
            </w:pPr>
          </w:p>
        </w:tc>
        <w:tc>
          <w:tcPr>
            <w:tcW w:w="3694" w:type="dxa"/>
            <w:tcBorders>
              <w:top w:val="single" w:color="auto" w:sz="4" w:space="0"/>
              <w:left w:val="single" w:color="auto" w:sz="4" w:space="0"/>
              <w:bottom w:val="single" w:color="auto" w:sz="4" w:space="0"/>
              <w:right w:val="single" w:color="auto" w:sz="4" w:space="0"/>
            </w:tcBorders>
            <w:noWrap/>
            <w:vAlign w:val="center"/>
          </w:tcPr>
          <w:p w14:paraId="22346995">
            <w:pPr>
              <w:jc w:val="center"/>
              <w:outlineLvl w:val="0"/>
              <w:rPr>
                <w:rFonts w:hint="eastAsia" w:ascii="宋体" w:hAnsi="宋体" w:eastAsia="宋体" w:cs="宋体"/>
                <w:sz w:val="24"/>
                <w:highlight w:val="none"/>
              </w:rPr>
            </w:pPr>
          </w:p>
        </w:tc>
        <w:tc>
          <w:tcPr>
            <w:tcW w:w="3346" w:type="dxa"/>
            <w:tcBorders>
              <w:top w:val="single" w:color="auto" w:sz="4" w:space="0"/>
              <w:left w:val="single" w:color="auto" w:sz="4" w:space="0"/>
              <w:bottom w:val="single" w:color="auto" w:sz="4" w:space="0"/>
              <w:right w:val="single" w:color="auto" w:sz="4" w:space="0"/>
            </w:tcBorders>
            <w:noWrap/>
            <w:vAlign w:val="center"/>
          </w:tcPr>
          <w:p w14:paraId="281E9613">
            <w:pPr>
              <w:jc w:val="center"/>
              <w:outlineLvl w:val="0"/>
              <w:rPr>
                <w:rFonts w:hint="eastAsia" w:ascii="宋体" w:hAnsi="宋体" w:eastAsia="宋体" w:cs="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552BBBC9">
            <w:pPr>
              <w:jc w:val="center"/>
              <w:outlineLvl w:val="0"/>
              <w:rPr>
                <w:rFonts w:hint="eastAsia" w:ascii="宋体" w:hAnsi="宋体" w:eastAsia="宋体" w:cs="宋体"/>
                <w:sz w:val="24"/>
                <w:highlight w:val="none"/>
              </w:rPr>
            </w:pPr>
          </w:p>
        </w:tc>
      </w:tr>
      <w:tr w14:paraId="3285A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42ED4252">
            <w:pPr>
              <w:jc w:val="center"/>
              <w:outlineLvl w:val="0"/>
              <w:rPr>
                <w:rFonts w:hint="eastAsia" w:ascii="宋体" w:hAnsi="宋体" w:eastAsia="宋体" w:cs="宋体"/>
                <w:sz w:val="24"/>
                <w:highlight w:val="none"/>
              </w:rPr>
            </w:pPr>
          </w:p>
        </w:tc>
        <w:tc>
          <w:tcPr>
            <w:tcW w:w="3694" w:type="dxa"/>
            <w:tcBorders>
              <w:top w:val="single" w:color="auto" w:sz="4" w:space="0"/>
              <w:left w:val="single" w:color="auto" w:sz="4" w:space="0"/>
              <w:bottom w:val="single" w:color="auto" w:sz="4" w:space="0"/>
              <w:right w:val="single" w:color="auto" w:sz="4" w:space="0"/>
            </w:tcBorders>
            <w:noWrap/>
            <w:vAlign w:val="center"/>
          </w:tcPr>
          <w:p w14:paraId="77BE09C5">
            <w:pPr>
              <w:jc w:val="center"/>
              <w:outlineLvl w:val="0"/>
              <w:rPr>
                <w:rFonts w:hint="eastAsia" w:ascii="宋体" w:hAnsi="宋体" w:eastAsia="宋体" w:cs="宋体"/>
                <w:sz w:val="24"/>
                <w:highlight w:val="none"/>
              </w:rPr>
            </w:pPr>
          </w:p>
        </w:tc>
        <w:tc>
          <w:tcPr>
            <w:tcW w:w="3346" w:type="dxa"/>
            <w:tcBorders>
              <w:top w:val="single" w:color="auto" w:sz="4" w:space="0"/>
              <w:left w:val="single" w:color="auto" w:sz="4" w:space="0"/>
              <w:bottom w:val="single" w:color="auto" w:sz="4" w:space="0"/>
              <w:right w:val="single" w:color="auto" w:sz="4" w:space="0"/>
            </w:tcBorders>
            <w:noWrap/>
            <w:vAlign w:val="center"/>
          </w:tcPr>
          <w:p w14:paraId="4B151C66">
            <w:pPr>
              <w:jc w:val="center"/>
              <w:outlineLvl w:val="0"/>
              <w:rPr>
                <w:rFonts w:hint="eastAsia" w:ascii="宋体" w:hAnsi="宋体" w:eastAsia="宋体" w:cs="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19ECBD6F">
            <w:pPr>
              <w:jc w:val="center"/>
              <w:outlineLvl w:val="0"/>
              <w:rPr>
                <w:rFonts w:hint="eastAsia" w:ascii="宋体" w:hAnsi="宋体" w:eastAsia="宋体" w:cs="宋体"/>
                <w:sz w:val="24"/>
                <w:highlight w:val="none"/>
              </w:rPr>
            </w:pPr>
          </w:p>
        </w:tc>
      </w:tr>
      <w:tr w14:paraId="1CC92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4CE97C6C">
            <w:pPr>
              <w:jc w:val="center"/>
              <w:outlineLvl w:val="0"/>
              <w:rPr>
                <w:rFonts w:hint="eastAsia" w:ascii="宋体" w:hAnsi="宋体" w:eastAsia="宋体" w:cs="宋体"/>
                <w:sz w:val="24"/>
                <w:highlight w:val="none"/>
              </w:rPr>
            </w:pPr>
          </w:p>
        </w:tc>
        <w:tc>
          <w:tcPr>
            <w:tcW w:w="3694" w:type="dxa"/>
            <w:tcBorders>
              <w:top w:val="single" w:color="auto" w:sz="4" w:space="0"/>
              <w:left w:val="single" w:color="auto" w:sz="4" w:space="0"/>
              <w:bottom w:val="single" w:color="auto" w:sz="4" w:space="0"/>
              <w:right w:val="single" w:color="auto" w:sz="4" w:space="0"/>
            </w:tcBorders>
            <w:noWrap/>
            <w:vAlign w:val="center"/>
          </w:tcPr>
          <w:p w14:paraId="0C08AEA0">
            <w:pPr>
              <w:jc w:val="center"/>
              <w:outlineLvl w:val="0"/>
              <w:rPr>
                <w:rFonts w:hint="eastAsia" w:ascii="宋体" w:hAnsi="宋体" w:eastAsia="宋体" w:cs="宋体"/>
                <w:sz w:val="24"/>
                <w:highlight w:val="none"/>
              </w:rPr>
            </w:pPr>
          </w:p>
        </w:tc>
        <w:tc>
          <w:tcPr>
            <w:tcW w:w="3346" w:type="dxa"/>
            <w:tcBorders>
              <w:top w:val="single" w:color="auto" w:sz="4" w:space="0"/>
              <w:left w:val="single" w:color="auto" w:sz="4" w:space="0"/>
              <w:bottom w:val="single" w:color="auto" w:sz="4" w:space="0"/>
              <w:right w:val="single" w:color="auto" w:sz="4" w:space="0"/>
            </w:tcBorders>
            <w:noWrap/>
            <w:vAlign w:val="center"/>
          </w:tcPr>
          <w:p w14:paraId="217EDF98">
            <w:pPr>
              <w:jc w:val="center"/>
              <w:outlineLvl w:val="0"/>
              <w:rPr>
                <w:rFonts w:hint="eastAsia" w:ascii="宋体" w:hAnsi="宋体" w:eastAsia="宋体" w:cs="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5215659F">
            <w:pPr>
              <w:jc w:val="center"/>
              <w:outlineLvl w:val="0"/>
              <w:rPr>
                <w:rFonts w:hint="eastAsia" w:ascii="宋体" w:hAnsi="宋体" w:eastAsia="宋体" w:cs="宋体"/>
                <w:sz w:val="24"/>
                <w:highlight w:val="none"/>
              </w:rPr>
            </w:pPr>
          </w:p>
        </w:tc>
      </w:tr>
      <w:tr w14:paraId="48665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27C4BB99">
            <w:pPr>
              <w:jc w:val="center"/>
              <w:outlineLvl w:val="0"/>
              <w:rPr>
                <w:rFonts w:hint="eastAsia" w:ascii="宋体" w:hAnsi="宋体" w:eastAsia="宋体" w:cs="宋体"/>
                <w:sz w:val="24"/>
                <w:highlight w:val="none"/>
              </w:rPr>
            </w:pPr>
          </w:p>
        </w:tc>
        <w:tc>
          <w:tcPr>
            <w:tcW w:w="3694" w:type="dxa"/>
            <w:tcBorders>
              <w:top w:val="single" w:color="auto" w:sz="4" w:space="0"/>
              <w:left w:val="single" w:color="auto" w:sz="4" w:space="0"/>
              <w:bottom w:val="single" w:color="auto" w:sz="4" w:space="0"/>
              <w:right w:val="single" w:color="auto" w:sz="4" w:space="0"/>
            </w:tcBorders>
            <w:noWrap/>
            <w:vAlign w:val="center"/>
          </w:tcPr>
          <w:p w14:paraId="284E2D39">
            <w:pPr>
              <w:jc w:val="center"/>
              <w:outlineLvl w:val="0"/>
              <w:rPr>
                <w:rFonts w:hint="eastAsia" w:ascii="宋体" w:hAnsi="宋体" w:eastAsia="宋体" w:cs="宋体"/>
                <w:sz w:val="24"/>
                <w:highlight w:val="none"/>
              </w:rPr>
            </w:pPr>
          </w:p>
        </w:tc>
        <w:tc>
          <w:tcPr>
            <w:tcW w:w="3346" w:type="dxa"/>
            <w:tcBorders>
              <w:top w:val="single" w:color="auto" w:sz="4" w:space="0"/>
              <w:left w:val="single" w:color="auto" w:sz="4" w:space="0"/>
              <w:bottom w:val="single" w:color="auto" w:sz="4" w:space="0"/>
              <w:right w:val="single" w:color="auto" w:sz="4" w:space="0"/>
            </w:tcBorders>
            <w:noWrap/>
            <w:vAlign w:val="center"/>
          </w:tcPr>
          <w:p w14:paraId="3B0CBAA4">
            <w:pPr>
              <w:jc w:val="center"/>
              <w:outlineLvl w:val="0"/>
              <w:rPr>
                <w:rFonts w:hint="eastAsia" w:ascii="宋体" w:hAnsi="宋体" w:eastAsia="宋体" w:cs="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1C0E2A2B">
            <w:pPr>
              <w:jc w:val="center"/>
              <w:outlineLvl w:val="0"/>
              <w:rPr>
                <w:rFonts w:hint="eastAsia" w:ascii="宋体" w:hAnsi="宋体" w:eastAsia="宋体" w:cs="宋体"/>
                <w:sz w:val="24"/>
                <w:highlight w:val="none"/>
              </w:rPr>
            </w:pPr>
          </w:p>
        </w:tc>
      </w:tr>
      <w:tr w14:paraId="1CC98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4FC8C3D4">
            <w:pPr>
              <w:jc w:val="center"/>
              <w:outlineLvl w:val="0"/>
              <w:rPr>
                <w:rFonts w:hint="eastAsia" w:ascii="宋体" w:hAnsi="宋体" w:eastAsia="宋体" w:cs="宋体"/>
                <w:sz w:val="24"/>
                <w:highlight w:val="none"/>
              </w:rPr>
            </w:pPr>
          </w:p>
        </w:tc>
        <w:tc>
          <w:tcPr>
            <w:tcW w:w="3694" w:type="dxa"/>
            <w:tcBorders>
              <w:top w:val="single" w:color="auto" w:sz="4" w:space="0"/>
              <w:left w:val="single" w:color="auto" w:sz="4" w:space="0"/>
              <w:bottom w:val="single" w:color="auto" w:sz="4" w:space="0"/>
              <w:right w:val="single" w:color="auto" w:sz="4" w:space="0"/>
            </w:tcBorders>
            <w:noWrap/>
            <w:vAlign w:val="center"/>
          </w:tcPr>
          <w:p w14:paraId="38B6E385">
            <w:pPr>
              <w:jc w:val="center"/>
              <w:outlineLvl w:val="0"/>
              <w:rPr>
                <w:rFonts w:hint="eastAsia" w:ascii="宋体" w:hAnsi="宋体" w:eastAsia="宋体" w:cs="宋体"/>
                <w:sz w:val="24"/>
                <w:highlight w:val="none"/>
              </w:rPr>
            </w:pPr>
          </w:p>
        </w:tc>
        <w:tc>
          <w:tcPr>
            <w:tcW w:w="3346" w:type="dxa"/>
            <w:tcBorders>
              <w:top w:val="single" w:color="auto" w:sz="4" w:space="0"/>
              <w:left w:val="single" w:color="auto" w:sz="4" w:space="0"/>
              <w:bottom w:val="single" w:color="auto" w:sz="4" w:space="0"/>
              <w:right w:val="single" w:color="auto" w:sz="4" w:space="0"/>
            </w:tcBorders>
            <w:noWrap/>
            <w:vAlign w:val="center"/>
          </w:tcPr>
          <w:p w14:paraId="2CF37F84">
            <w:pPr>
              <w:jc w:val="center"/>
              <w:outlineLvl w:val="0"/>
              <w:rPr>
                <w:rFonts w:hint="eastAsia" w:ascii="宋体" w:hAnsi="宋体" w:eastAsia="宋体" w:cs="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2830E254">
            <w:pPr>
              <w:jc w:val="center"/>
              <w:outlineLvl w:val="0"/>
              <w:rPr>
                <w:rFonts w:hint="eastAsia" w:ascii="宋体" w:hAnsi="宋体" w:eastAsia="宋体" w:cs="宋体"/>
                <w:sz w:val="24"/>
                <w:highlight w:val="none"/>
              </w:rPr>
            </w:pPr>
          </w:p>
        </w:tc>
      </w:tr>
      <w:tr w14:paraId="1E592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3B6DAD76">
            <w:pPr>
              <w:jc w:val="center"/>
              <w:outlineLvl w:val="0"/>
              <w:rPr>
                <w:rFonts w:hint="eastAsia" w:ascii="宋体" w:hAnsi="宋体" w:eastAsia="宋体" w:cs="宋体"/>
                <w:sz w:val="24"/>
                <w:highlight w:val="none"/>
              </w:rPr>
            </w:pPr>
          </w:p>
        </w:tc>
        <w:tc>
          <w:tcPr>
            <w:tcW w:w="3694" w:type="dxa"/>
            <w:tcBorders>
              <w:top w:val="single" w:color="auto" w:sz="4" w:space="0"/>
              <w:left w:val="single" w:color="auto" w:sz="4" w:space="0"/>
              <w:bottom w:val="single" w:color="auto" w:sz="4" w:space="0"/>
              <w:right w:val="single" w:color="auto" w:sz="4" w:space="0"/>
            </w:tcBorders>
            <w:noWrap/>
            <w:vAlign w:val="center"/>
          </w:tcPr>
          <w:p w14:paraId="788B2986">
            <w:pPr>
              <w:jc w:val="center"/>
              <w:outlineLvl w:val="0"/>
              <w:rPr>
                <w:rFonts w:hint="eastAsia" w:ascii="宋体" w:hAnsi="宋体" w:eastAsia="宋体" w:cs="宋体"/>
                <w:sz w:val="24"/>
                <w:highlight w:val="none"/>
              </w:rPr>
            </w:pPr>
          </w:p>
        </w:tc>
        <w:tc>
          <w:tcPr>
            <w:tcW w:w="3346" w:type="dxa"/>
            <w:tcBorders>
              <w:top w:val="single" w:color="auto" w:sz="4" w:space="0"/>
              <w:left w:val="single" w:color="auto" w:sz="4" w:space="0"/>
              <w:bottom w:val="single" w:color="auto" w:sz="4" w:space="0"/>
              <w:right w:val="single" w:color="auto" w:sz="4" w:space="0"/>
            </w:tcBorders>
            <w:noWrap/>
            <w:vAlign w:val="center"/>
          </w:tcPr>
          <w:p w14:paraId="17CDDB33">
            <w:pPr>
              <w:jc w:val="center"/>
              <w:outlineLvl w:val="0"/>
              <w:rPr>
                <w:rFonts w:hint="eastAsia" w:ascii="宋体" w:hAnsi="宋体" w:eastAsia="宋体" w:cs="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735ADF1C">
            <w:pPr>
              <w:jc w:val="center"/>
              <w:outlineLvl w:val="0"/>
              <w:rPr>
                <w:rFonts w:hint="eastAsia" w:ascii="宋体" w:hAnsi="宋体" w:eastAsia="宋体" w:cs="宋体"/>
                <w:sz w:val="24"/>
                <w:highlight w:val="none"/>
              </w:rPr>
            </w:pPr>
          </w:p>
        </w:tc>
      </w:tr>
      <w:tr w14:paraId="3DD14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40" w:type="dxa"/>
            <w:tcBorders>
              <w:top w:val="single" w:color="auto" w:sz="4" w:space="0"/>
              <w:left w:val="single" w:color="auto" w:sz="4" w:space="0"/>
              <w:bottom w:val="single" w:color="auto" w:sz="4" w:space="0"/>
              <w:right w:val="single" w:color="auto" w:sz="4" w:space="0"/>
            </w:tcBorders>
            <w:noWrap/>
            <w:vAlign w:val="center"/>
          </w:tcPr>
          <w:p w14:paraId="15D211E5">
            <w:pPr>
              <w:jc w:val="center"/>
              <w:outlineLvl w:val="0"/>
              <w:rPr>
                <w:rFonts w:hint="eastAsia" w:ascii="宋体" w:hAnsi="宋体" w:eastAsia="宋体" w:cs="宋体"/>
                <w:sz w:val="24"/>
                <w:highlight w:val="none"/>
              </w:rPr>
            </w:pPr>
          </w:p>
        </w:tc>
        <w:tc>
          <w:tcPr>
            <w:tcW w:w="3694" w:type="dxa"/>
            <w:tcBorders>
              <w:top w:val="single" w:color="auto" w:sz="4" w:space="0"/>
              <w:left w:val="single" w:color="auto" w:sz="4" w:space="0"/>
              <w:bottom w:val="single" w:color="auto" w:sz="4" w:space="0"/>
              <w:right w:val="single" w:color="auto" w:sz="4" w:space="0"/>
            </w:tcBorders>
            <w:noWrap/>
            <w:vAlign w:val="center"/>
          </w:tcPr>
          <w:p w14:paraId="2475C629">
            <w:pPr>
              <w:jc w:val="center"/>
              <w:outlineLvl w:val="0"/>
              <w:rPr>
                <w:rFonts w:hint="eastAsia" w:ascii="宋体" w:hAnsi="宋体" w:eastAsia="宋体" w:cs="宋体"/>
                <w:sz w:val="24"/>
                <w:highlight w:val="none"/>
              </w:rPr>
            </w:pPr>
          </w:p>
        </w:tc>
        <w:tc>
          <w:tcPr>
            <w:tcW w:w="3346" w:type="dxa"/>
            <w:tcBorders>
              <w:top w:val="single" w:color="auto" w:sz="4" w:space="0"/>
              <w:left w:val="single" w:color="auto" w:sz="4" w:space="0"/>
              <w:bottom w:val="single" w:color="auto" w:sz="4" w:space="0"/>
              <w:right w:val="single" w:color="auto" w:sz="4" w:space="0"/>
            </w:tcBorders>
            <w:noWrap/>
            <w:vAlign w:val="center"/>
          </w:tcPr>
          <w:p w14:paraId="5AC8861A">
            <w:pPr>
              <w:jc w:val="center"/>
              <w:outlineLvl w:val="0"/>
              <w:rPr>
                <w:rFonts w:hint="eastAsia" w:ascii="宋体" w:hAnsi="宋体" w:eastAsia="宋体" w:cs="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6A91F343">
            <w:pPr>
              <w:jc w:val="center"/>
              <w:outlineLvl w:val="0"/>
              <w:rPr>
                <w:rFonts w:hint="eastAsia" w:ascii="宋体" w:hAnsi="宋体" w:eastAsia="宋体" w:cs="宋体"/>
                <w:sz w:val="24"/>
                <w:highlight w:val="none"/>
              </w:rPr>
            </w:pPr>
          </w:p>
        </w:tc>
      </w:tr>
    </w:tbl>
    <w:p w14:paraId="7AA02ED9">
      <w:pPr>
        <w:rPr>
          <w:rFonts w:hint="eastAsia" w:ascii="宋体" w:hAnsi="宋体" w:eastAsia="宋体" w:cs="宋体"/>
          <w:sz w:val="24"/>
          <w:highlight w:val="none"/>
        </w:rPr>
      </w:pPr>
    </w:p>
    <w:p w14:paraId="2885E6C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w:t>
      </w:r>
    </w:p>
    <w:p w14:paraId="222400A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供应商应对照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商务要求，逐条说明已对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的商务内容做出了实质性的响应，并申明与</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的偏差和例外。</w:t>
      </w:r>
    </w:p>
    <w:p w14:paraId="5AE0528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2.商务条款主要填列付款方式、</w:t>
      </w:r>
      <w:r>
        <w:rPr>
          <w:rFonts w:hint="eastAsia" w:ascii="宋体" w:hAnsi="宋体" w:eastAsia="宋体" w:cs="宋体"/>
          <w:sz w:val="24"/>
          <w:highlight w:val="none"/>
          <w:lang w:val="en-US" w:eastAsia="zh-CN"/>
        </w:rPr>
        <w:t>合同履行期限</w:t>
      </w:r>
      <w:r>
        <w:rPr>
          <w:rFonts w:hint="eastAsia" w:ascii="宋体" w:hAnsi="宋体" w:eastAsia="宋体" w:cs="宋体"/>
          <w:sz w:val="24"/>
          <w:highlight w:val="none"/>
        </w:rPr>
        <w:t>、</w:t>
      </w:r>
      <w:r>
        <w:rPr>
          <w:rFonts w:hint="eastAsia" w:ascii="宋体" w:hAnsi="宋体" w:cs="宋体"/>
          <w:sz w:val="24"/>
          <w:highlight w:val="none"/>
          <w:lang w:eastAsia="zh-CN"/>
        </w:rPr>
        <w:t>服务</w:t>
      </w:r>
      <w:r>
        <w:rPr>
          <w:rFonts w:hint="eastAsia" w:ascii="宋体" w:hAnsi="宋体" w:eastAsia="宋体" w:cs="宋体"/>
          <w:sz w:val="24"/>
          <w:highlight w:val="none"/>
        </w:rPr>
        <w:t>地点、售后服务、质量保证、违约责任等重要条款方面的偏离情况。</w:t>
      </w:r>
    </w:p>
    <w:p w14:paraId="056377E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磋商</w:t>
      </w:r>
      <w:r>
        <w:rPr>
          <w:rFonts w:hint="eastAsia" w:ascii="宋体" w:hAnsi="宋体" w:cs="宋体"/>
          <w:sz w:val="24"/>
          <w:highlight w:val="none"/>
          <w:lang w:eastAsia="zh-CN"/>
        </w:rPr>
        <w:t>项目</w:t>
      </w:r>
      <w:r>
        <w:rPr>
          <w:rFonts w:hint="eastAsia" w:ascii="宋体" w:hAnsi="宋体" w:eastAsia="宋体" w:cs="宋体"/>
          <w:sz w:val="24"/>
          <w:highlight w:val="none"/>
        </w:rPr>
        <w:t>商务条款偏离表”是评审的重要依据，无论所提供的</w:t>
      </w:r>
      <w:r>
        <w:rPr>
          <w:rFonts w:hint="eastAsia" w:ascii="宋体" w:hAnsi="宋体" w:cs="宋体"/>
          <w:sz w:val="24"/>
          <w:highlight w:val="none"/>
          <w:lang w:eastAsia="zh-CN"/>
        </w:rPr>
        <w:t>服务</w:t>
      </w:r>
      <w:r>
        <w:rPr>
          <w:rFonts w:hint="eastAsia" w:ascii="宋体" w:hAnsi="宋体" w:eastAsia="宋体" w:cs="宋体"/>
          <w:sz w:val="24"/>
          <w:highlight w:val="none"/>
        </w:rPr>
        <w:t>与</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的要求是否有偏离，供应商均须详细填报“商务条款偏离表”。</w:t>
      </w:r>
    </w:p>
    <w:p w14:paraId="3BFBB71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4.表内如果填列不全，可另外附页说明并按规定签字和加盖公章。             </w:t>
      </w:r>
    </w:p>
    <w:p w14:paraId="23C3B3E1">
      <w:pPr>
        <w:spacing w:line="360" w:lineRule="auto"/>
        <w:ind w:firstLine="480" w:firstLineChars="200"/>
        <w:rPr>
          <w:rFonts w:hint="eastAsia" w:ascii="宋体" w:hAnsi="宋体" w:eastAsia="宋体" w:cs="宋体"/>
          <w:sz w:val="24"/>
          <w:highlight w:val="none"/>
        </w:rPr>
      </w:pPr>
      <w:bookmarkStart w:id="64" w:name="_Toc492451846"/>
      <w:bookmarkStart w:id="65" w:name="_Toc25931"/>
      <w:r>
        <w:rPr>
          <w:rFonts w:hint="eastAsia" w:ascii="宋体" w:hAnsi="宋体" w:eastAsia="宋体" w:cs="宋体"/>
          <w:sz w:val="24"/>
          <w:highlight w:val="none"/>
        </w:rPr>
        <w:t>5.此表可根据需要自行拉长加宽。</w:t>
      </w:r>
      <w:bookmarkEnd w:id="64"/>
      <w:bookmarkEnd w:id="65"/>
    </w:p>
    <w:p w14:paraId="20B25B5E">
      <w:pPr>
        <w:spacing w:line="360" w:lineRule="auto"/>
        <w:ind w:firstLine="480" w:firstLineChars="200"/>
        <w:outlineLvl w:val="0"/>
        <w:rPr>
          <w:rFonts w:hint="eastAsia" w:ascii="宋体" w:hAnsi="宋体" w:eastAsia="宋体" w:cs="宋体"/>
          <w:sz w:val="24"/>
          <w:highlight w:val="none"/>
        </w:rPr>
      </w:pPr>
    </w:p>
    <w:p w14:paraId="0442601E">
      <w:pPr>
        <w:spacing w:line="360" w:lineRule="auto"/>
        <w:ind w:firstLine="480" w:firstLineChars="200"/>
        <w:outlineLvl w:val="0"/>
        <w:rPr>
          <w:rFonts w:hint="eastAsia" w:ascii="宋体" w:hAnsi="宋体" w:eastAsia="宋体" w:cs="宋体"/>
          <w:sz w:val="24"/>
          <w:highlight w:val="none"/>
        </w:rPr>
      </w:pPr>
    </w:p>
    <w:p w14:paraId="0062D63B">
      <w:pPr>
        <w:autoSpaceDE w:val="0"/>
        <w:autoSpaceDN w:val="0"/>
        <w:adjustRightInd w:val="0"/>
        <w:spacing w:line="360" w:lineRule="auto"/>
        <w:ind w:right="480" w:firstLine="6240" w:firstLineChars="260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供应商名称（盖章）：</w:t>
      </w:r>
    </w:p>
    <w:p w14:paraId="7C0D8CB5">
      <w:pPr>
        <w:autoSpaceDE w:val="0"/>
        <w:autoSpaceDN w:val="0"/>
        <w:adjustRightInd w:val="0"/>
        <w:spacing w:line="360" w:lineRule="auto"/>
        <w:ind w:right="480" w:firstLine="4920" w:firstLineChars="2050"/>
        <w:rPr>
          <w:rFonts w:hint="eastAsia" w:ascii="宋体" w:hAnsi="宋体" w:eastAsia="宋体" w:cs="宋体"/>
          <w:sz w:val="24"/>
          <w:highlight w:val="none"/>
          <w:lang w:val="zh-CN"/>
        </w:rPr>
      </w:pPr>
    </w:p>
    <w:p w14:paraId="01DDC23E">
      <w:pPr>
        <w:autoSpaceDE w:val="0"/>
        <w:autoSpaceDN w:val="0"/>
        <w:adjustRightInd w:val="0"/>
        <w:spacing w:line="360" w:lineRule="auto"/>
        <w:ind w:firstLine="48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法定代表人或其委托代理人（签字）：</w:t>
      </w:r>
    </w:p>
    <w:p w14:paraId="41ED8A61">
      <w:pPr>
        <w:autoSpaceDE w:val="0"/>
        <w:autoSpaceDN w:val="0"/>
        <w:adjustRightInd w:val="0"/>
        <w:spacing w:line="360" w:lineRule="auto"/>
        <w:ind w:firstLine="480"/>
        <w:jc w:val="right"/>
        <w:rPr>
          <w:rFonts w:hint="eastAsia" w:ascii="宋体" w:hAnsi="宋体" w:eastAsia="宋体" w:cs="宋体"/>
          <w:sz w:val="24"/>
          <w:highlight w:val="none"/>
          <w:lang w:val="zh-CN"/>
        </w:rPr>
      </w:pPr>
    </w:p>
    <w:p w14:paraId="0F70B1B4">
      <w:pPr>
        <w:autoSpaceDE w:val="0"/>
        <w:autoSpaceDN w:val="0"/>
        <w:adjustRightInd w:val="0"/>
        <w:ind w:right="48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日期：年月日</w:t>
      </w:r>
    </w:p>
    <w:p w14:paraId="7E3AC8BD">
      <w:pPr>
        <w:spacing w:line="360" w:lineRule="auto"/>
        <w:outlineLvl w:val="0"/>
        <w:rPr>
          <w:rFonts w:hint="eastAsia" w:ascii="宋体" w:hAnsi="宋体" w:eastAsia="宋体" w:cs="宋体"/>
          <w:sz w:val="24"/>
          <w:highlight w:val="none"/>
        </w:rPr>
      </w:pPr>
    </w:p>
    <w:p w14:paraId="7E561378">
      <w:pPr>
        <w:spacing w:line="360" w:lineRule="auto"/>
        <w:ind w:firstLine="480" w:firstLineChars="200"/>
        <w:outlineLvl w:val="0"/>
        <w:rPr>
          <w:rFonts w:hint="eastAsia" w:ascii="宋体" w:hAnsi="宋体" w:eastAsia="宋体" w:cs="宋体"/>
          <w:sz w:val="24"/>
          <w:highlight w:val="none"/>
        </w:rPr>
      </w:pPr>
    </w:p>
    <w:p w14:paraId="0802C717">
      <w:pPr>
        <w:tabs>
          <w:tab w:val="left" w:pos="1365"/>
        </w:tabs>
        <w:jc w:val="center"/>
        <w:rPr>
          <w:rFonts w:hint="eastAsia" w:ascii="宋体" w:hAnsi="宋体" w:eastAsia="宋体" w:cs="宋体"/>
          <w:b/>
          <w:sz w:val="24"/>
          <w:highlight w:val="none"/>
        </w:rPr>
      </w:pPr>
      <w:r>
        <w:rPr>
          <w:rFonts w:hint="eastAsia" w:ascii="宋体" w:hAnsi="宋体" w:cs="宋体"/>
          <w:b/>
          <w:sz w:val="32"/>
          <w:szCs w:val="32"/>
          <w:highlight w:val="none"/>
          <w:lang w:val="en-US" w:eastAsia="zh-CN"/>
        </w:rPr>
        <w:t>6</w:t>
      </w:r>
      <w:r>
        <w:rPr>
          <w:rFonts w:hint="eastAsia" w:ascii="宋体" w:hAnsi="宋体" w:eastAsia="宋体" w:cs="宋体"/>
          <w:b/>
          <w:sz w:val="32"/>
          <w:szCs w:val="32"/>
          <w:highlight w:val="none"/>
        </w:rPr>
        <w:t>、技术</w:t>
      </w:r>
      <w:r>
        <w:rPr>
          <w:rFonts w:hint="eastAsia" w:ascii="宋体" w:hAnsi="宋体" w:cs="宋体"/>
          <w:b/>
          <w:sz w:val="32"/>
          <w:szCs w:val="32"/>
          <w:highlight w:val="none"/>
          <w:lang w:val="en-US" w:eastAsia="zh-CN"/>
        </w:rPr>
        <w:t>条款</w:t>
      </w:r>
      <w:r>
        <w:rPr>
          <w:rFonts w:hint="eastAsia" w:ascii="宋体" w:hAnsi="宋体" w:eastAsia="宋体" w:cs="宋体"/>
          <w:b/>
          <w:sz w:val="32"/>
          <w:szCs w:val="32"/>
          <w:highlight w:val="none"/>
        </w:rPr>
        <w:t>偏离表</w:t>
      </w:r>
    </w:p>
    <w:p w14:paraId="515F921B">
      <w:pPr>
        <w:rPr>
          <w:rFonts w:hint="eastAsia" w:ascii="宋体" w:hAnsi="宋体" w:eastAsia="宋体" w:cs="宋体"/>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21EA0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E1A826D">
            <w:pPr>
              <w:rPr>
                <w:rFonts w:hint="eastAsia" w:ascii="宋体" w:hAnsi="宋体" w:eastAsia="宋体" w:cs="宋体"/>
                <w:sz w:val="24"/>
                <w:highlight w:val="none"/>
              </w:rPr>
            </w:pPr>
            <w:bookmarkStart w:id="66" w:name="_Toc492451847"/>
            <w:bookmarkStart w:id="67" w:name="_Toc420593292"/>
            <w:bookmarkStart w:id="68" w:name="_Toc11797"/>
            <w:r>
              <w:rPr>
                <w:rFonts w:hint="eastAsia" w:ascii="宋体" w:hAnsi="宋体" w:eastAsia="宋体" w:cs="宋体"/>
                <w:sz w:val="24"/>
                <w:highlight w:val="none"/>
              </w:rPr>
              <w:t>序号</w:t>
            </w:r>
            <w:bookmarkEnd w:id="66"/>
            <w:bookmarkEnd w:id="67"/>
            <w:bookmarkEnd w:id="68"/>
          </w:p>
        </w:tc>
        <w:tc>
          <w:tcPr>
            <w:tcW w:w="1466" w:type="dxa"/>
            <w:tcBorders>
              <w:top w:val="single" w:color="auto" w:sz="4" w:space="0"/>
              <w:left w:val="single" w:color="auto" w:sz="4" w:space="0"/>
              <w:bottom w:val="single" w:color="auto" w:sz="4" w:space="0"/>
              <w:right w:val="single" w:color="auto" w:sz="4" w:space="0"/>
            </w:tcBorders>
            <w:noWrap/>
            <w:vAlign w:val="center"/>
          </w:tcPr>
          <w:p w14:paraId="4267974D">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服务内容</w:t>
            </w:r>
          </w:p>
        </w:tc>
        <w:tc>
          <w:tcPr>
            <w:tcW w:w="2559" w:type="dxa"/>
            <w:tcBorders>
              <w:top w:val="single" w:color="auto" w:sz="4" w:space="0"/>
              <w:left w:val="single" w:color="auto" w:sz="4" w:space="0"/>
              <w:bottom w:val="single" w:color="auto" w:sz="4" w:space="0"/>
              <w:right w:val="single" w:color="auto" w:sz="4" w:space="0"/>
            </w:tcBorders>
            <w:noWrap/>
            <w:vAlign w:val="center"/>
          </w:tcPr>
          <w:p w14:paraId="7F95DF61">
            <w:pPr>
              <w:jc w:val="center"/>
              <w:rPr>
                <w:rFonts w:hint="eastAsia" w:ascii="宋体" w:hAnsi="宋体" w:eastAsia="宋体" w:cs="宋体"/>
                <w:sz w:val="24"/>
                <w:highlight w:val="none"/>
              </w:rPr>
            </w:pPr>
            <w:bookmarkStart w:id="69" w:name="_Toc2647"/>
            <w:bookmarkStart w:id="70" w:name="_Toc492451849"/>
            <w:bookmarkStart w:id="71" w:name="_Toc420593294"/>
            <w:r>
              <w:rPr>
                <w:rFonts w:hint="eastAsia" w:ascii="宋体" w:hAnsi="宋体" w:cs="宋体"/>
                <w:sz w:val="24"/>
                <w:highlight w:val="none"/>
                <w:lang w:eastAsia="zh-CN"/>
              </w:rPr>
              <w:t>竞争性磋商文件</w:t>
            </w:r>
            <w:r>
              <w:rPr>
                <w:rFonts w:hint="eastAsia" w:ascii="宋体" w:hAnsi="宋体" w:eastAsia="宋体" w:cs="宋体"/>
                <w:sz w:val="24"/>
                <w:highlight w:val="none"/>
              </w:rPr>
              <w:t>规定需求技术条款</w:t>
            </w:r>
            <w:bookmarkEnd w:id="69"/>
            <w:bookmarkEnd w:id="70"/>
            <w:bookmarkEnd w:id="71"/>
          </w:p>
        </w:tc>
        <w:tc>
          <w:tcPr>
            <w:tcW w:w="2126" w:type="dxa"/>
            <w:tcBorders>
              <w:top w:val="single" w:color="auto" w:sz="4" w:space="0"/>
              <w:left w:val="single" w:color="auto" w:sz="4" w:space="0"/>
              <w:bottom w:val="single" w:color="auto" w:sz="4" w:space="0"/>
              <w:right w:val="single" w:color="auto" w:sz="4" w:space="0"/>
            </w:tcBorders>
            <w:noWrap/>
            <w:vAlign w:val="center"/>
          </w:tcPr>
          <w:p w14:paraId="6E94A915">
            <w:pPr>
              <w:jc w:val="center"/>
              <w:rPr>
                <w:rFonts w:hint="eastAsia" w:ascii="宋体" w:hAnsi="宋体" w:eastAsia="宋体" w:cs="宋体"/>
                <w:sz w:val="24"/>
                <w:highlight w:val="none"/>
              </w:rPr>
            </w:pPr>
            <w:bookmarkStart w:id="72" w:name="_Toc420593295"/>
            <w:bookmarkStart w:id="73" w:name="_Toc31317"/>
            <w:bookmarkStart w:id="74" w:name="_Toc492451850"/>
            <w:r>
              <w:rPr>
                <w:rFonts w:hint="eastAsia" w:ascii="宋体" w:hAnsi="宋体" w:cs="宋体"/>
                <w:sz w:val="24"/>
                <w:highlight w:val="none"/>
                <w:lang w:eastAsia="zh-CN"/>
              </w:rPr>
              <w:t>响应文件</w:t>
            </w:r>
            <w:r>
              <w:rPr>
                <w:rFonts w:hint="eastAsia" w:ascii="宋体" w:hAnsi="宋体" w:eastAsia="宋体" w:cs="宋体"/>
                <w:sz w:val="24"/>
                <w:highlight w:val="none"/>
              </w:rPr>
              <w:t>响应的内容</w:t>
            </w:r>
            <w:bookmarkEnd w:id="72"/>
            <w:bookmarkEnd w:id="73"/>
            <w:bookmarkEnd w:id="74"/>
          </w:p>
        </w:tc>
        <w:tc>
          <w:tcPr>
            <w:tcW w:w="1363" w:type="dxa"/>
            <w:tcBorders>
              <w:top w:val="single" w:color="auto" w:sz="4" w:space="0"/>
              <w:left w:val="single" w:color="auto" w:sz="4" w:space="0"/>
              <w:bottom w:val="single" w:color="auto" w:sz="4" w:space="0"/>
              <w:right w:val="single" w:color="auto" w:sz="4" w:space="0"/>
            </w:tcBorders>
            <w:noWrap/>
            <w:vAlign w:val="center"/>
          </w:tcPr>
          <w:p w14:paraId="3A11AB14">
            <w:pPr>
              <w:jc w:val="center"/>
              <w:rPr>
                <w:rFonts w:hint="eastAsia" w:ascii="宋体" w:hAnsi="宋体" w:eastAsia="宋体" w:cs="宋体"/>
                <w:sz w:val="24"/>
                <w:highlight w:val="none"/>
              </w:rPr>
            </w:pPr>
            <w:bookmarkStart w:id="75" w:name="_Toc3951"/>
            <w:bookmarkStart w:id="76" w:name="_Toc420593296"/>
            <w:bookmarkStart w:id="77" w:name="_Toc492451851"/>
            <w:r>
              <w:rPr>
                <w:rFonts w:hint="eastAsia" w:ascii="宋体" w:hAnsi="宋体" w:eastAsia="宋体" w:cs="宋体"/>
                <w:sz w:val="24"/>
                <w:highlight w:val="none"/>
              </w:rPr>
              <w:t>偏离</w:t>
            </w:r>
            <w:bookmarkEnd w:id="75"/>
            <w:bookmarkEnd w:id="76"/>
            <w:bookmarkEnd w:id="77"/>
          </w:p>
        </w:tc>
        <w:tc>
          <w:tcPr>
            <w:tcW w:w="940" w:type="dxa"/>
            <w:tcBorders>
              <w:top w:val="single" w:color="auto" w:sz="4" w:space="0"/>
              <w:left w:val="single" w:color="auto" w:sz="4" w:space="0"/>
              <w:bottom w:val="single" w:color="auto" w:sz="4" w:space="0"/>
              <w:right w:val="single" w:color="auto" w:sz="4" w:space="0"/>
            </w:tcBorders>
            <w:noWrap/>
            <w:vAlign w:val="center"/>
          </w:tcPr>
          <w:p w14:paraId="159E8223">
            <w:pPr>
              <w:jc w:val="center"/>
              <w:rPr>
                <w:rFonts w:hint="eastAsia" w:ascii="宋体" w:hAnsi="宋体" w:eastAsia="宋体" w:cs="宋体"/>
                <w:sz w:val="24"/>
                <w:highlight w:val="none"/>
              </w:rPr>
            </w:pPr>
            <w:bookmarkStart w:id="78" w:name="_Toc7508"/>
            <w:bookmarkStart w:id="79" w:name="_Toc492451852"/>
            <w:bookmarkStart w:id="80" w:name="_Toc420593297"/>
            <w:r>
              <w:rPr>
                <w:rFonts w:hint="eastAsia" w:ascii="宋体" w:hAnsi="宋体" w:eastAsia="宋体" w:cs="宋体"/>
                <w:sz w:val="24"/>
                <w:highlight w:val="none"/>
              </w:rPr>
              <w:t>备注</w:t>
            </w:r>
            <w:bookmarkEnd w:id="78"/>
            <w:bookmarkEnd w:id="79"/>
            <w:bookmarkEnd w:id="80"/>
          </w:p>
        </w:tc>
      </w:tr>
      <w:tr w14:paraId="6AE2B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C1EC71">
            <w:pPr>
              <w:jc w:val="center"/>
              <w:outlineLvl w:val="0"/>
              <w:rPr>
                <w:rFonts w:hint="eastAsia" w:ascii="宋体" w:hAnsi="宋体" w:eastAsia="宋体" w:cs="宋体"/>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9C7698D">
            <w:pPr>
              <w:pStyle w:val="15"/>
              <w:ind w:left="5250"/>
              <w:jc w:val="center"/>
              <w:outlineLvl w:val="0"/>
              <w:rPr>
                <w:rFonts w:hint="eastAsia" w:ascii="宋体" w:hAnsi="宋体" w:eastAsia="宋体" w:cs="宋体"/>
                <w:szCs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2502970">
            <w:pPr>
              <w:jc w:val="center"/>
              <w:outlineLvl w:val="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0B2F7DC6">
            <w:pPr>
              <w:jc w:val="center"/>
              <w:outlineLvl w:val="0"/>
              <w:rPr>
                <w:rFonts w:hint="eastAsia" w:ascii="宋体" w:hAnsi="宋体" w:eastAsia="宋体" w:cs="宋体"/>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67D122E">
            <w:pPr>
              <w:jc w:val="center"/>
              <w:outlineLvl w:val="0"/>
              <w:rPr>
                <w:rFonts w:hint="eastAsia" w:ascii="宋体" w:hAnsi="宋体" w:eastAsia="宋体" w:cs="宋体"/>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4C15735">
            <w:pPr>
              <w:jc w:val="center"/>
              <w:outlineLvl w:val="0"/>
              <w:rPr>
                <w:rFonts w:hint="eastAsia" w:ascii="宋体" w:hAnsi="宋体" w:eastAsia="宋体" w:cs="宋体"/>
                <w:sz w:val="24"/>
                <w:highlight w:val="none"/>
              </w:rPr>
            </w:pPr>
          </w:p>
        </w:tc>
      </w:tr>
      <w:tr w14:paraId="411C0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30C1BD2">
            <w:pPr>
              <w:jc w:val="center"/>
              <w:outlineLvl w:val="0"/>
              <w:rPr>
                <w:rFonts w:hint="eastAsia" w:ascii="宋体" w:hAnsi="宋体" w:eastAsia="宋体" w:cs="宋体"/>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4911E25">
            <w:pPr>
              <w:jc w:val="center"/>
              <w:outlineLvl w:val="0"/>
              <w:rPr>
                <w:rFonts w:hint="eastAsia" w:ascii="宋体" w:hAnsi="宋体" w:eastAsia="宋体" w:cs="宋体"/>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7F5C7C71">
            <w:pPr>
              <w:jc w:val="center"/>
              <w:outlineLvl w:val="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4D6A1702">
            <w:pPr>
              <w:jc w:val="center"/>
              <w:outlineLvl w:val="0"/>
              <w:rPr>
                <w:rFonts w:hint="eastAsia" w:ascii="宋体" w:hAnsi="宋体" w:eastAsia="宋体" w:cs="宋体"/>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21A7A79">
            <w:pPr>
              <w:jc w:val="center"/>
              <w:outlineLvl w:val="0"/>
              <w:rPr>
                <w:rFonts w:hint="eastAsia" w:ascii="宋体" w:hAnsi="宋体" w:eastAsia="宋体" w:cs="宋体"/>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ED2A1E4">
            <w:pPr>
              <w:jc w:val="center"/>
              <w:outlineLvl w:val="0"/>
              <w:rPr>
                <w:rFonts w:hint="eastAsia" w:ascii="宋体" w:hAnsi="宋体" w:eastAsia="宋体" w:cs="宋体"/>
                <w:sz w:val="24"/>
                <w:highlight w:val="none"/>
              </w:rPr>
            </w:pPr>
          </w:p>
        </w:tc>
      </w:tr>
      <w:tr w14:paraId="2ADAE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795E709">
            <w:pPr>
              <w:jc w:val="center"/>
              <w:outlineLvl w:val="0"/>
              <w:rPr>
                <w:rFonts w:hint="eastAsia" w:ascii="宋体" w:hAnsi="宋体" w:eastAsia="宋体" w:cs="宋体"/>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45CF227">
            <w:pPr>
              <w:jc w:val="center"/>
              <w:outlineLvl w:val="0"/>
              <w:rPr>
                <w:rFonts w:hint="eastAsia" w:ascii="宋体" w:hAnsi="宋体" w:eastAsia="宋体" w:cs="宋体"/>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7C8AC5B">
            <w:pPr>
              <w:jc w:val="center"/>
              <w:outlineLvl w:val="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E3D66F1">
            <w:pPr>
              <w:jc w:val="center"/>
              <w:outlineLvl w:val="0"/>
              <w:rPr>
                <w:rFonts w:hint="eastAsia" w:ascii="宋体" w:hAnsi="宋体" w:eastAsia="宋体" w:cs="宋体"/>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7B7DF1D4">
            <w:pPr>
              <w:jc w:val="center"/>
              <w:outlineLvl w:val="0"/>
              <w:rPr>
                <w:rFonts w:hint="eastAsia" w:ascii="宋体" w:hAnsi="宋体" w:eastAsia="宋体" w:cs="宋体"/>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29DDAF4">
            <w:pPr>
              <w:jc w:val="center"/>
              <w:outlineLvl w:val="0"/>
              <w:rPr>
                <w:rFonts w:hint="eastAsia" w:ascii="宋体" w:hAnsi="宋体" w:eastAsia="宋体" w:cs="宋体"/>
                <w:sz w:val="24"/>
                <w:highlight w:val="none"/>
              </w:rPr>
            </w:pPr>
          </w:p>
        </w:tc>
      </w:tr>
      <w:tr w14:paraId="3AA6F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F89966F">
            <w:pPr>
              <w:jc w:val="center"/>
              <w:outlineLvl w:val="0"/>
              <w:rPr>
                <w:rFonts w:hint="eastAsia" w:ascii="宋体" w:hAnsi="宋体" w:eastAsia="宋体" w:cs="宋体"/>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A4B9BA8">
            <w:pPr>
              <w:jc w:val="center"/>
              <w:outlineLvl w:val="0"/>
              <w:rPr>
                <w:rFonts w:hint="eastAsia" w:ascii="宋体" w:hAnsi="宋体" w:eastAsia="宋体" w:cs="宋体"/>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4EB42F24">
            <w:pPr>
              <w:jc w:val="center"/>
              <w:outlineLvl w:val="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72E28FE">
            <w:pPr>
              <w:jc w:val="center"/>
              <w:outlineLvl w:val="0"/>
              <w:rPr>
                <w:rFonts w:hint="eastAsia" w:ascii="宋体" w:hAnsi="宋体" w:eastAsia="宋体" w:cs="宋体"/>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0B9CC47F">
            <w:pPr>
              <w:jc w:val="center"/>
              <w:outlineLvl w:val="0"/>
              <w:rPr>
                <w:rFonts w:hint="eastAsia" w:ascii="宋体" w:hAnsi="宋体" w:eastAsia="宋体" w:cs="宋体"/>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57B7C28D">
            <w:pPr>
              <w:jc w:val="center"/>
              <w:outlineLvl w:val="0"/>
              <w:rPr>
                <w:rFonts w:hint="eastAsia" w:ascii="宋体" w:hAnsi="宋体" w:eastAsia="宋体" w:cs="宋体"/>
                <w:sz w:val="24"/>
                <w:highlight w:val="none"/>
              </w:rPr>
            </w:pPr>
          </w:p>
        </w:tc>
      </w:tr>
      <w:tr w14:paraId="30524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71DAC4D">
            <w:pPr>
              <w:jc w:val="center"/>
              <w:outlineLvl w:val="0"/>
              <w:rPr>
                <w:rFonts w:hint="eastAsia" w:ascii="宋体" w:hAnsi="宋体" w:eastAsia="宋体" w:cs="宋体"/>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52B8BC8">
            <w:pPr>
              <w:jc w:val="center"/>
              <w:outlineLvl w:val="0"/>
              <w:rPr>
                <w:rFonts w:hint="eastAsia" w:ascii="宋体" w:hAnsi="宋体" w:eastAsia="宋体" w:cs="宋体"/>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46149342">
            <w:pPr>
              <w:jc w:val="center"/>
              <w:outlineLvl w:val="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C125F50">
            <w:pPr>
              <w:jc w:val="center"/>
              <w:outlineLvl w:val="0"/>
              <w:rPr>
                <w:rFonts w:hint="eastAsia" w:ascii="宋体" w:hAnsi="宋体" w:eastAsia="宋体" w:cs="宋体"/>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5F8E422">
            <w:pPr>
              <w:jc w:val="center"/>
              <w:outlineLvl w:val="0"/>
              <w:rPr>
                <w:rFonts w:hint="eastAsia" w:ascii="宋体" w:hAnsi="宋体" w:eastAsia="宋体" w:cs="宋体"/>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3BFAD747">
            <w:pPr>
              <w:jc w:val="center"/>
              <w:outlineLvl w:val="0"/>
              <w:rPr>
                <w:rFonts w:hint="eastAsia" w:ascii="宋体" w:hAnsi="宋体" w:eastAsia="宋体" w:cs="宋体"/>
                <w:sz w:val="24"/>
                <w:highlight w:val="none"/>
              </w:rPr>
            </w:pPr>
          </w:p>
        </w:tc>
      </w:tr>
      <w:tr w14:paraId="6DC4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0262D3">
            <w:pPr>
              <w:jc w:val="center"/>
              <w:outlineLvl w:val="0"/>
              <w:rPr>
                <w:rFonts w:hint="eastAsia" w:ascii="宋体" w:hAnsi="宋体" w:eastAsia="宋体" w:cs="宋体"/>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6621DD4">
            <w:pPr>
              <w:jc w:val="center"/>
              <w:outlineLvl w:val="0"/>
              <w:rPr>
                <w:rFonts w:hint="eastAsia" w:ascii="宋体" w:hAnsi="宋体" w:eastAsia="宋体" w:cs="宋体"/>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199BFD8">
            <w:pPr>
              <w:jc w:val="center"/>
              <w:outlineLvl w:val="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854F71C">
            <w:pPr>
              <w:jc w:val="center"/>
              <w:outlineLvl w:val="0"/>
              <w:rPr>
                <w:rFonts w:hint="eastAsia" w:ascii="宋体" w:hAnsi="宋体" w:eastAsia="宋体" w:cs="宋体"/>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F4B7702">
            <w:pPr>
              <w:jc w:val="center"/>
              <w:outlineLvl w:val="0"/>
              <w:rPr>
                <w:rFonts w:hint="eastAsia" w:ascii="宋体" w:hAnsi="宋体" w:eastAsia="宋体" w:cs="宋体"/>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D40A5E6">
            <w:pPr>
              <w:jc w:val="center"/>
              <w:outlineLvl w:val="0"/>
              <w:rPr>
                <w:rFonts w:hint="eastAsia" w:ascii="宋体" w:hAnsi="宋体" w:eastAsia="宋体" w:cs="宋体"/>
                <w:sz w:val="24"/>
                <w:highlight w:val="none"/>
              </w:rPr>
            </w:pPr>
          </w:p>
        </w:tc>
      </w:tr>
      <w:tr w14:paraId="36E51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CF765BB">
            <w:pPr>
              <w:jc w:val="center"/>
              <w:outlineLvl w:val="0"/>
              <w:rPr>
                <w:rFonts w:hint="eastAsia" w:ascii="宋体" w:hAnsi="宋体" w:eastAsia="宋体" w:cs="宋体"/>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0A4F97B">
            <w:pPr>
              <w:jc w:val="center"/>
              <w:outlineLvl w:val="0"/>
              <w:rPr>
                <w:rFonts w:hint="eastAsia" w:ascii="宋体" w:hAnsi="宋体" w:eastAsia="宋体" w:cs="宋体"/>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4750826A">
            <w:pPr>
              <w:jc w:val="center"/>
              <w:outlineLvl w:val="0"/>
              <w:rPr>
                <w:rFonts w:hint="eastAsia" w:ascii="宋体" w:hAnsi="宋体" w:eastAsia="宋体" w:cs="宋体"/>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358C4B1">
            <w:pPr>
              <w:jc w:val="center"/>
              <w:outlineLvl w:val="0"/>
              <w:rPr>
                <w:rFonts w:hint="eastAsia" w:ascii="宋体" w:hAnsi="宋体" w:eastAsia="宋体" w:cs="宋体"/>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FBA57D7">
            <w:pPr>
              <w:jc w:val="center"/>
              <w:outlineLvl w:val="0"/>
              <w:rPr>
                <w:rFonts w:hint="eastAsia" w:ascii="宋体" w:hAnsi="宋体" w:eastAsia="宋体" w:cs="宋体"/>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57CBEDE">
            <w:pPr>
              <w:jc w:val="center"/>
              <w:outlineLvl w:val="0"/>
              <w:rPr>
                <w:rFonts w:hint="eastAsia" w:ascii="宋体" w:hAnsi="宋体" w:eastAsia="宋体" w:cs="宋体"/>
                <w:sz w:val="24"/>
                <w:highlight w:val="none"/>
              </w:rPr>
            </w:pPr>
          </w:p>
        </w:tc>
      </w:tr>
    </w:tbl>
    <w:p w14:paraId="497FF80B">
      <w:pPr>
        <w:rPr>
          <w:rFonts w:hint="eastAsia" w:ascii="宋体" w:hAnsi="宋体" w:eastAsia="宋体" w:cs="宋体"/>
          <w:sz w:val="24"/>
          <w:highlight w:val="none"/>
        </w:rPr>
      </w:pPr>
    </w:p>
    <w:p w14:paraId="1B598654">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注：</w:t>
      </w:r>
    </w:p>
    <w:p w14:paraId="6FDB38FB">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1、偏离项中填写“正”、“负”或“无”，备注项中填写原因。</w:t>
      </w:r>
    </w:p>
    <w:p w14:paraId="2F9EF3D0">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2、供应商应对照</w:t>
      </w:r>
      <w:r>
        <w:rPr>
          <w:rFonts w:hint="eastAsia" w:ascii="宋体" w:hAnsi="宋体" w:cs="宋体"/>
          <w:sz w:val="24"/>
          <w:highlight w:val="none"/>
          <w:lang w:eastAsia="zh-CN"/>
        </w:rPr>
        <w:t>竞争性磋商文件</w:t>
      </w:r>
      <w:r>
        <w:rPr>
          <w:rFonts w:hint="eastAsia" w:ascii="宋体" w:hAnsi="宋体" w:eastAsia="宋体" w:cs="宋体"/>
          <w:sz w:val="24"/>
          <w:highlight w:val="none"/>
        </w:rPr>
        <w:t>技术规格，逐条说明所提供</w:t>
      </w:r>
      <w:r>
        <w:rPr>
          <w:rFonts w:hint="eastAsia" w:ascii="宋体" w:hAnsi="宋体" w:cs="宋体"/>
          <w:sz w:val="24"/>
          <w:highlight w:val="none"/>
          <w:lang w:eastAsia="zh-CN"/>
        </w:rPr>
        <w:t>服务</w:t>
      </w:r>
      <w:r>
        <w:rPr>
          <w:rFonts w:hint="eastAsia" w:ascii="宋体" w:hAnsi="宋体" w:eastAsia="宋体" w:cs="宋体"/>
          <w:sz w:val="24"/>
          <w:highlight w:val="none"/>
        </w:rPr>
        <w:t>技术已对</w:t>
      </w:r>
      <w:r>
        <w:rPr>
          <w:rFonts w:hint="eastAsia" w:ascii="宋体" w:hAnsi="宋体" w:cs="宋体"/>
          <w:sz w:val="24"/>
          <w:highlight w:val="none"/>
          <w:lang w:eastAsia="zh-CN"/>
        </w:rPr>
        <w:t>竞争性磋商文件</w:t>
      </w:r>
      <w:r>
        <w:rPr>
          <w:rFonts w:hint="eastAsia" w:ascii="宋体" w:hAnsi="宋体" w:eastAsia="宋体" w:cs="宋体"/>
          <w:sz w:val="24"/>
          <w:highlight w:val="none"/>
        </w:rPr>
        <w:t>的技术</w:t>
      </w:r>
      <w:r>
        <w:rPr>
          <w:rFonts w:hint="eastAsia" w:ascii="宋体" w:hAnsi="宋体" w:cs="宋体"/>
          <w:sz w:val="24"/>
          <w:highlight w:val="none"/>
          <w:lang w:eastAsia="zh-CN"/>
        </w:rPr>
        <w:t>需求</w:t>
      </w:r>
      <w:r>
        <w:rPr>
          <w:rFonts w:hint="eastAsia" w:ascii="宋体" w:hAnsi="宋体" w:eastAsia="宋体" w:cs="宋体"/>
          <w:sz w:val="24"/>
          <w:highlight w:val="none"/>
        </w:rPr>
        <w:t>做出了实质性的响应，并申明与技术</w:t>
      </w:r>
      <w:r>
        <w:rPr>
          <w:rFonts w:hint="eastAsia" w:ascii="宋体" w:hAnsi="宋体" w:cs="宋体"/>
          <w:sz w:val="24"/>
          <w:highlight w:val="none"/>
          <w:lang w:eastAsia="zh-CN"/>
        </w:rPr>
        <w:t>需求</w:t>
      </w:r>
      <w:r>
        <w:rPr>
          <w:rFonts w:hint="eastAsia" w:ascii="宋体" w:hAnsi="宋体" w:eastAsia="宋体" w:cs="宋体"/>
          <w:sz w:val="24"/>
          <w:highlight w:val="none"/>
        </w:rPr>
        <w:t>条文的偏差和例外。特别对有具体参数要求的指标，供应商必须提供所投的具体参数值。如有偏离情况应在“技术服务响应及偏离表”中写出，并附证明材料（或证明文件），未按照要求提供证明材料（或证明文件）的按照不实质响应处理，如提供证明材料（或证明文件）与“技术服务响应及偏离表”不一致，严重的按照否决投标处理。</w:t>
      </w:r>
    </w:p>
    <w:p w14:paraId="66C66245">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 xml:space="preserve">3.表内如果填列不全，可另外附页说明并按规定签字和加盖公章。             </w:t>
      </w:r>
    </w:p>
    <w:p w14:paraId="5A86B613">
      <w:pPr>
        <w:spacing w:line="360" w:lineRule="auto"/>
        <w:ind w:firstLine="600" w:firstLineChars="250"/>
        <w:rPr>
          <w:rFonts w:hint="eastAsia" w:ascii="宋体" w:hAnsi="宋体" w:eastAsia="宋体" w:cs="宋体"/>
          <w:sz w:val="24"/>
          <w:highlight w:val="none"/>
        </w:rPr>
      </w:pPr>
      <w:bookmarkStart w:id="81" w:name="_Toc492451853"/>
      <w:bookmarkStart w:id="82" w:name="_Toc22204"/>
      <w:bookmarkStart w:id="83" w:name="_Toc420593298"/>
      <w:r>
        <w:rPr>
          <w:rFonts w:hint="eastAsia" w:ascii="宋体" w:hAnsi="宋体" w:eastAsia="宋体" w:cs="宋体"/>
          <w:sz w:val="24"/>
          <w:highlight w:val="none"/>
        </w:rPr>
        <w:t>4.此表可根据需要自行拉长加宽（或格式自拟）。</w:t>
      </w:r>
      <w:bookmarkEnd w:id="81"/>
      <w:bookmarkEnd w:id="82"/>
      <w:bookmarkEnd w:id="83"/>
    </w:p>
    <w:p w14:paraId="56F9F281">
      <w:pPr>
        <w:spacing w:line="360" w:lineRule="auto"/>
        <w:ind w:firstLine="480" w:firstLineChars="200"/>
        <w:outlineLvl w:val="0"/>
        <w:rPr>
          <w:rFonts w:hint="eastAsia" w:ascii="宋体" w:hAnsi="宋体" w:eastAsia="宋体" w:cs="宋体"/>
          <w:sz w:val="24"/>
          <w:highlight w:val="none"/>
        </w:rPr>
      </w:pPr>
    </w:p>
    <w:p w14:paraId="30FD9A90">
      <w:pPr>
        <w:autoSpaceDE w:val="0"/>
        <w:autoSpaceDN w:val="0"/>
        <w:adjustRightInd w:val="0"/>
        <w:spacing w:line="360" w:lineRule="auto"/>
        <w:ind w:right="480" w:firstLine="4920" w:firstLineChars="205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供应商名称（盖章）：</w:t>
      </w:r>
    </w:p>
    <w:p w14:paraId="094364AE">
      <w:pPr>
        <w:autoSpaceDE w:val="0"/>
        <w:autoSpaceDN w:val="0"/>
        <w:adjustRightInd w:val="0"/>
        <w:spacing w:line="360" w:lineRule="auto"/>
        <w:ind w:right="480" w:firstLine="4920" w:firstLineChars="2050"/>
        <w:rPr>
          <w:rFonts w:hint="eastAsia" w:ascii="宋体" w:hAnsi="宋体" w:eastAsia="宋体" w:cs="宋体"/>
          <w:sz w:val="24"/>
          <w:highlight w:val="none"/>
          <w:lang w:val="zh-CN"/>
        </w:rPr>
      </w:pPr>
    </w:p>
    <w:p w14:paraId="78B1C631">
      <w:pPr>
        <w:autoSpaceDE w:val="0"/>
        <w:autoSpaceDN w:val="0"/>
        <w:adjustRightInd w:val="0"/>
        <w:spacing w:line="360" w:lineRule="auto"/>
        <w:ind w:firstLine="480"/>
        <w:jc w:val="center"/>
        <w:rPr>
          <w:rFonts w:hint="eastAsia" w:ascii="宋体" w:hAnsi="宋体" w:eastAsia="宋体" w:cs="宋体"/>
          <w:sz w:val="24"/>
          <w:highlight w:val="none"/>
          <w:lang w:val="zh-CN"/>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zh-CN"/>
        </w:rPr>
        <w:t>法定代表人或</w:t>
      </w:r>
    </w:p>
    <w:p w14:paraId="5C4D71A1">
      <w:pPr>
        <w:autoSpaceDE w:val="0"/>
        <w:autoSpaceDN w:val="0"/>
        <w:adjustRightInd w:val="0"/>
        <w:spacing w:line="360" w:lineRule="auto"/>
        <w:ind w:firstLine="480"/>
        <w:jc w:val="center"/>
        <w:rPr>
          <w:rFonts w:hint="eastAsia" w:ascii="宋体" w:hAnsi="宋体" w:eastAsia="宋体" w:cs="宋体"/>
          <w:sz w:val="24"/>
          <w:highlight w:val="none"/>
          <w:lang w:val="zh-CN"/>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zh-CN"/>
        </w:rPr>
        <w:t>其委托代理人（签字）：</w:t>
      </w:r>
    </w:p>
    <w:p w14:paraId="13276C13">
      <w:pPr>
        <w:autoSpaceDE w:val="0"/>
        <w:autoSpaceDN w:val="0"/>
        <w:adjustRightInd w:val="0"/>
        <w:spacing w:line="360" w:lineRule="auto"/>
        <w:ind w:firstLine="480"/>
        <w:jc w:val="right"/>
        <w:rPr>
          <w:rFonts w:hint="eastAsia" w:ascii="宋体" w:hAnsi="宋体" w:eastAsia="宋体" w:cs="宋体"/>
          <w:sz w:val="24"/>
          <w:highlight w:val="none"/>
          <w:lang w:val="zh-CN"/>
        </w:rPr>
      </w:pPr>
    </w:p>
    <w:p w14:paraId="037D797F">
      <w:pPr>
        <w:autoSpaceDE w:val="0"/>
        <w:autoSpaceDN w:val="0"/>
        <w:adjustRightInd w:val="0"/>
        <w:ind w:right="480" w:firstLine="4920" w:firstLineChars="2050"/>
        <w:rPr>
          <w:rFonts w:hint="eastAsia" w:ascii="宋体" w:hAnsi="宋体" w:eastAsia="宋体" w:cs="宋体"/>
          <w:sz w:val="24"/>
          <w:highlight w:val="none"/>
          <w:lang w:val="zh-CN"/>
        </w:rPr>
      </w:pPr>
      <w:r>
        <w:rPr>
          <w:rFonts w:hint="eastAsia" w:ascii="宋体" w:hAnsi="宋体" w:eastAsia="宋体" w:cs="宋体"/>
          <w:sz w:val="24"/>
          <w:highlight w:val="none"/>
          <w:lang w:val="zh-CN"/>
        </w:rPr>
        <w:t>日期：年</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zh-CN"/>
        </w:rPr>
        <w:t>月</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zh-CN"/>
        </w:rPr>
        <w:t>日</w:t>
      </w:r>
    </w:p>
    <w:p w14:paraId="11E847A2">
      <w:pPr>
        <w:autoSpaceDE w:val="0"/>
        <w:autoSpaceDN w:val="0"/>
        <w:adjustRightInd w:val="0"/>
        <w:ind w:right="480"/>
        <w:rPr>
          <w:rFonts w:hint="eastAsia" w:ascii="宋体" w:hAnsi="宋体" w:eastAsia="宋体" w:cs="宋体"/>
          <w:szCs w:val="21"/>
          <w:highlight w:val="none"/>
          <w:lang w:val="zh-CN"/>
        </w:rPr>
      </w:pPr>
    </w:p>
    <w:p w14:paraId="578B5C44">
      <w:pPr>
        <w:tabs>
          <w:tab w:val="left" w:pos="0"/>
        </w:tabs>
        <w:spacing w:line="360" w:lineRule="auto"/>
        <w:jc w:val="center"/>
        <w:rPr>
          <w:rFonts w:hint="eastAsia" w:ascii="宋体" w:hAnsi="宋体" w:eastAsia="宋体" w:cs="宋体"/>
          <w:b/>
          <w:szCs w:val="21"/>
          <w:highlight w:val="none"/>
        </w:rPr>
      </w:pPr>
    </w:p>
    <w:p w14:paraId="1247161B">
      <w:pPr>
        <w:autoSpaceDE w:val="0"/>
        <w:autoSpaceDN w:val="0"/>
        <w:adjustRightInd w:val="0"/>
        <w:ind w:right="480" w:firstLine="321" w:firstLineChars="100"/>
        <w:jc w:val="center"/>
        <w:rPr>
          <w:rFonts w:hint="eastAsia" w:ascii="宋体" w:hAnsi="宋体" w:eastAsia="宋体" w:cs="宋体"/>
          <w:b/>
          <w:highlight w:val="none"/>
        </w:rPr>
      </w:pPr>
      <w:r>
        <w:rPr>
          <w:rFonts w:hint="eastAsia" w:ascii="宋体" w:hAnsi="宋体" w:eastAsia="宋体" w:cs="宋体"/>
          <w:b/>
          <w:sz w:val="32"/>
          <w:szCs w:val="32"/>
          <w:highlight w:val="none"/>
          <w:lang w:val="en-US" w:eastAsia="zh-CN"/>
        </w:rPr>
        <w:t>7</w:t>
      </w:r>
      <w:r>
        <w:rPr>
          <w:rFonts w:hint="eastAsia" w:ascii="宋体" w:hAnsi="宋体" w:eastAsia="宋体" w:cs="宋体"/>
          <w:b/>
          <w:sz w:val="32"/>
          <w:szCs w:val="32"/>
          <w:highlight w:val="none"/>
        </w:rPr>
        <w:t>、供应商基本情况</w:t>
      </w:r>
    </w:p>
    <w:p w14:paraId="4BDCF02B">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单位名称：(公章）</w:t>
      </w:r>
    </w:p>
    <w:tbl>
      <w:tblPr>
        <w:tblStyle w:val="26"/>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2056"/>
        <w:gridCol w:w="1236"/>
      </w:tblGrid>
      <w:tr w14:paraId="2E918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113998AD">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6FEE49ED">
            <w:pPr>
              <w:autoSpaceDE w:val="0"/>
              <w:autoSpaceDN w:val="0"/>
              <w:adjustRightInd w:val="0"/>
              <w:spacing w:line="360" w:lineRule="auto"/>
              <w:jc w:val="center"/>
              <w:rPr>
                <w:rFonts w:hint="eastAsia" w:ascii="宋体" w:hAnsi="宋体" w:eastAsia="宋体" w:cs="宋体"/>
                <w:sz w:val="24"/>
                <w:szCs w:val="24"/>
                <w:highlight w:val="none"/>
              </w:rPr>
            </w:pPr>
          </w:p>
        </w:tc>
      </w:tr>
      <w:tr w14:paraId="57BBA8E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23E6725D">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w:t>
            </w:r>
          </w:p>
        </w:tc>
        <w:tc>
          <w:tcPr>
            <w:tcW w:w="2153" w:type="dxa"/>
            <w:tcBorders>
              <w:top w:val="single" w:color="auto" w:sz="6" w:space="0"/>
              <w:left w:val="single" w:color="auto" w:sz="6" w:space="0"/>
              <w:bottom w:val="single" w:color="auto" w:sz="6" w:space="0"/>
              <w:right w:val="single" w:color="auto" w:sz="6" w:space="0"/>
            </w:tcBorders>
            <w:noWrap w:val="0"/>
            <w:vAlign w:val="center"/>
          </w:tcPr>
          <w:p w14:paraId="1B541527">
            <w:pPr>
              <w:autoSpaceDE w:val="0"/>
              <w:autoSpaceDN w:val="0"/>
              <w:adjustRightInd w:val="0"/>
              <w:spacing w:line="360" w:lineRule="auto"/>
              <w:jc w:val="center"/>
              <w:rPr>
                <w:rFonts w:hint="eastAsia" w:ascii="宋体" w:hAnsi="宋体" w:eastAsia="宋体" w:cs="宋体"/>
                <w:sz w:val="24"/>
                <w:szCs w:val="24"/>
                <w:highlight w:val="none"/>
              </w:rPr>
            </w:pPr>
          </w:p>
        </w:tc>
        <w:tc>
          <w:tcPr>
            <w:tcW w:w="1313" w:type="dxa"/>
            <w:tcBorders>
              <w:top w:val="single" w:color="auto" w:sz="6" w:space="0"/>
              <w:left w:val="single" w:color="auto" w:sz="6" w:space="0"/>
              <w:bottom w:val="single" w:color="auto" w:sz="6" w:space="0"/>
              <w:right w:val="single" w:color="auto" w:sz="6" w:space="0"/>
            </w:tcBorders>
            <w:noWrap w:val="0"/>
            <w:vAlign w:val="center"/>
          </w:tcPr>
          <w:p w14:paraId="47B1D794">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noWrap w:val="0"/>
            <w:vAlign w:val="center"/>
          </w:tcPr>
          <w:p w14:paraId="1160C59B">
            <w:pPr>
              <w:autoSpaceDE w:val="0"/>
              <w:autoSpaceDN w:val="0"/>
              <w:adjustRightInd w:val="0"/>
              <w:spacing w:line="360" w:lineRule="auto"/>
              <w:jc w:val="center"/>
              <w:rPr>
                <w:rFonts w:hint="eastAsia" w:ascii="宋体" w:hAnsi="宋体" w:eastAsia="宋体" w:cs="宋体"/>
                <w:sz w:val="24"/>
                <w:szCs w:val="24"/>
                <w:highlight w:val="none"/>
              </w:rPr>
            </w:pPr>
          </w:p>
        </w:tc>
      </w:tr>
      <w:tr w14:paraId="4AE48B8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7B58258F">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企业地址</w:t>
            </w:r>
          </w:p>
        </w:tc>
        <w:tc>
          <w:tcPr>
            <w:tcW w:w="2153" w:type="dxa"/>
            <w:tcBorders>
              <w:top w:val="single" w:color="auto" w:sz="6" w:space="0"/>
              <w:left w:val="single" w:color="auto" w:sz="6" w:space="0"/>
              <w:bottom w:val="single" w:color="auto" w:sz="6" w:space="0"/>
              <w:right w:val="single" w:color="auto" w:sz="6" w:space="0"/>
            </w:tcBorders>
            <w:noWrap w:val="0"/>
            <w:vAlign w:val="center"/>
          </w:tcPr>
          <w:p w14:paraId="5D40FA4E">
            <w:pPr>
              <w:autoSpaceDE w:val="0"/>
              <w:autoSpaceDN w:val="0"/>
              <w:adjustRightInd w:val="0"/>
              <w:spacing w:line="360" w:lineRule="auto"/>
              <w:jc w:val="center"/>
              <w:rPr>
                <w:rFonts w:hint="eastAsia" w:ascii="宋体" w:hAnsi="宋体" w:eastAsia="宋体" w:cs="宋体"/>
                <w:sz w:val="24"/>
                <w:szCs w:val="24"/>
                <w:highlight w:val="none"/>
              </w:rPr>
            </w:pPr>
          </w:p>
        </w:tc>
        <w:tc>
          <w:tcPr>
            <w:tcW w:w="1313" w:type="dxa"/>
            <w:tcBorders>
              <w:top w:val="single" w:color="auto" w:sz="6" w:space="0"/>
              <w:left w:val="single" w:color="auto" w:sz="6" w:space="0"/>
              <w:bottom w:val="single" w:color="auto" w:sz="6" w:space="0"/>
              <w:right w:val="single" w:color="auto" w:sz="6" w:space="0"/>
            </w:tcBorders>
            <w:noWrap w:val="0"/>
            <w:vAlign w:val="center"/>
          </w:tcPr>
          <w:p w14:paraId="1FC88329">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noWrap w:val="0"/>
            <w:vAlign w:val="center"/>
          </w:tcPr>
          <w:p w14:paraId="28E34B1E">
            <w:pPr>
              <w:autoSpaceDE w:val="0"/>
              <w:autoSpaceDN w:val="0"/>
              <w:adjustRightInd w:val="0"/>
              <w:spacing w:line="360" w:lineRule="auto"/>
              <w:ind w:firstLine="216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万元</w:t>
            </w:r>
          </w:p>
        </w:tc>
      </w:tr>
      <w:tr w14:paraId="6B002B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2FDA1E27">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31B085B4">
            <w:pPr>
              <w:autoSpaceDE w:val="0"/>
              <w:autoSpaceDN w:val="0"/>
              <w:adjustRightInd w:val="0"/>
              <w:spacing w:line="360" w:lineRule="auto"/>
              <w:jc w:val="center"/>
              <w:rPr>
                <w:rFonts w:hint="eastAsia" w:ascii="宋体" w:hAnsi="宋体" w:eastAsia="宋体" w:cs="宋体"/>
                <w:sz w:val="24"/>
                <w:szCs w:val="24"/>
                <w:highlight w:val="none"/>
              </w:rPr>
            </w:pPr>
          </w:p>
        </w:tc>
      </w:tr>
      <w:tr w14:paraId="1117FAF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1BABACE0">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职工人数</w:t>
            </w:r>
          </w:p>
        </w:tc>
        <w:tc>
          <w:tcPr>
            <w:tcW w:w="2153" w:type="dxa"/>
            <w:tcBorders>
              <w:top w:val="single" w:color="auto" w:sz="6" w:space="0"/>
              <w:left w:val="single" w:color="auto" w:sz="6" w:space="0"/>
              <w:bottom w:val="single" w:color="auto" w:sz="6" w:space="0"/>
              <w:right w:val="single" w:color="auto" w:sz="6" w:space="0"/>
            </w:tcBorders>
            <w:noWrap w:val="0"/>
            <w:vAlign w:val="center"/>
          </w:tcPr>
          <w:p w14:paraId="7B3F6DF3">
            <w:pPr>
              <w:autoSpaceDE w:val="0"/>
              <w:autoSpaceDN w:val="0"/>
              <w:adjustRightInd w:val="0"/>
              <w:spacing w:line="360" w:lineRule="auto"/>
              <w:jc w:val="center"/>
              <w:rPr>
                <w:rFonts w:hint="eastAsia" w:ascii="宋体" w:hAnsi="宋体" w:eastAsia="宋体" w:cs="宋体"/>
                <w:sz w:val="24"/>
                <w:szCs w:val="24"/>
                <w:highlight w:val="none"/>
              </w:rPr>
            </w:pPr>
          </w:p>
        </w:tc>
        <w:tc>
          <w:tcPr>
            <w:tcW w:w="3369" w:type="dxa"/>
            <w:gridSpan w:val="2"/>
            <w:tcBorders>
              <w:top w:val="single" w:color="auto" w:sz="6" w:space="0"/>
              <w:left w:val="single" w:color="auto" w:sz="6" w:space="0"/>
              <w:bottom w:val="single" w:color="auto" w:sz="6" w:space="0"/>
              <w:right w:val="single" w:color="auto" w:sz="6" w:space="0"/>
            </w:tcBorders>
            <w:noWrap w:val="0"/>
            <w:vAlign w:val="center"/>
          </w:tcPr>
          <w:p w14:paraId="0DF25021">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noWrap w:val="0"/>
            <w:vAlign w:val="center"/>
          </w:tcPr>
          <w:p w14:paraId="3808DED8">
            <w:pPr>
              <w:autoSpaceDE w:val="0"/>
              <w:autoSpaceDN w:val="0"/>
              <w:adjustRightInd w:val="0"/>
              <w:spacing w:line="360" w:lineRule="auto"/>
              <w:jc w:val="center"/>
              <w:rPr>
                <w:rFonts w:hint="eastAsia" w:ascii="宋体" w:hAnsi="宋体" w:eastAsia="宋体" w:cs="宋体"/>
                <w:sz w:val="24"/>
                <w:szCs w:val="24"/>
                <w:highlight w:val="none"/>
              </w:rPr>
            </w:pPr>
          </w:p>
        </w:tc>
      </w:tr>
      <w:tr w14:paraId="06EB65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66E46D80">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资产总计</w:t>
            </w:r>
          </w:p>
        </w:tc>
        <w:tc>
          <w:tcPr>
            <w:tcW w:w="2153" w:type="dxa"/>
            <w:tcBorders>
              <w:top w:val="single" w:color="auto" w:sz="6" w:space="0"/>
              <w:left w:val="single" w:color="auto" w:sz="6" w:space="0"/>
              <w:bottom w:val="single" w:color="auto" w:sz="6" w:space="0"/>
              <w:right w:val="single" w:color="auto" w:sz="6" w:space="0"/>
            </w:tcBorders>
            <w:noWrap w:val="0"/>
            <w:vAlign w:val="center"/>
          </w:tcPr>
          <w:p w14:paraId="2E7503B2">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万元</w:t>
            </w:r>
          </w:p>
        </w:tc>
        <w:tc>
          <w:tcPr>
            <w:tcW w:w="1313" w:type="dxa"/>
            <w:tcBorders>
              <w:top w:val="single" w:color="auto" w:sz="6" w:space="0"/>
              <w:left w:val="single" w:color="auto" w:sz="6" w:space="0"/>
              <w:bottom w:val="single" w:color="auto" w:sz="6" w:space="0"/>
              <w:right w:val="single" w:color="auto" w:sz="6" w:space="0"/>
            </w:tcBorders>
            <w:noWrap w:val="0"/>
            <w:vAlign w:val="center"/>
          </w:tcPr>
          <w:p w14:paraId="6B34ADE0">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noWrap w:val="0"/>
            <w:vAlign w:val="center"/>
          </w:tcPr>
          <w:p w14:paraId="0F87FFBB">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万元</w:t>
            </w:r>
          </w:p>
        </w:tc>
      </w:tr>
      <w:tr w14:paraId="0EACD8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4261D5B7">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股东权益</w:t>
            </w:r>
          </w:p>
        </w:tc>
        <w:tc>
          <w:tcPr>
            <w:tcW w:w="2153" w:type="dxa"/>
            <w:tcBorders>
              <w:top w:val="single" w:color="auto" w:sz="6" w:space="0"/>
              <w:left w:val="single" w:color="auto" w:sz="6" w:space="0"/>
              <w:bottom w:val="single" w:color="auto" w:sz="6" w:space="0"/>
              <w:right w:val="single" w:color="auto" w:sz="6" w:space="0"/>
            </w:tcBorders>
            <w:noWrap w:val="0"/>
            <w:vAlign w:val="center"/>
          </w:tcPr>
          <w:p w14:paraId="2124C44F">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万元</w:t>
            </w:r>
          </w:p>
        </w:tc>
        <w:tc>
          <w:tcPr>
            <w:tcW w:w="1313" w:type="dxa"/>
            <w:tcBorders>
              <w:top w:val="single" w:color="auto" w:sz="6" w:space="0"/>
              <w:left w:val="single" w:color="auto" w:sz="6" w:space="0"/>
              <w:bottom w:val="single" w:color="auto" w:sz="6" w:space="0"/>
              <w:right w:val="single" w:color="auto" w:sz="6" w:space="0"/>
            </w:tcBorders>
            <w:noWrap w:val="0"/>
            <w:vAlign w:val="center"/>
          </w:tcPr>
          <w:p w14:paraId="41893741">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noWrap w:val="0"/>
            <w:vAlign w:val="center"/>
          </w:tcPr>
          <w:p w14:paraId="305CB611">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万元</w:t>
            </w:r>
          </w:p>
        </w:tc>
      </w:tr>
      <w:tr w14:paraId="090FF8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2A9AAB95">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实现利润</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04E8AC9F">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万元</w:t>
            </w:r>
          </w:p>
        </w:tc>
      </w:tr>
      <w:tr w14:paraId="0782C99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2DE49057">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773F40C7">
            <w:pPr>
              <w:autoSpaceDE w:val="0"/>
              <w:autoSpaceDN w:val="0"/>
              <w:adjustRightInd w:val="0"/>
              <w:spacing w:line="360" w:lineRule="auto"/>
              <w:jc w:val="center"/>
              <w:rPr>
                <w:rFonts w:hint="eastAsia" w:ascii="宋体" w:hAnsi="宋体" w:eastAsia="宋体" w:cs="宋体"/>
                <w:sz w:val="24"/>
                <w:szCs w:val="24"/>
                <w:highlight w:val="none"/>
              </w:rPr>
            </w:pPr>
          </w:p>
        </w:tc>
      </w:tr>
      <w:tr w14:paraId="5555E1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748BDEF2">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044005BC">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（包括财政、工商、税务、物价、技监部门稽查情况和结果）</w:t>
            </w:r>
          </w:p>
        </w:tc>
      </w:tr>
      <w:tr w14:paraId="6B10095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3DB9A523">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5C956AD8">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（包括解决方式和结果）</w:t>
            </w:r>
          </w:p>
        </w:tc>
      </w:tr>
      <w:tr w14:paraId="0385DD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4570CB54">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1C15E4A2">
            <w:pPr>
              <w:autoSpaceDE w:val="0"/>
              <w:autoSpaceDN w:val="0"/>
              <w:adjustRightInd w:val="0"/>
              <w:spacing w:line="360" w:lineRule="auto"/>
              <w:jc w:val="center"/>
              <w:rPr>
                <w:rFonts w:hint="eastAsia" w:ascii="宋体" w:hAnsi="宋体" w:eastAsia="宋体" w:cs="宋体"/>
                <w:sz w:val="24"/>
                <w:szCs w:val="24"/>
                <w:highlight w:val="none"/>
              </w:rPr>
            </w:pPr>
          </w:p>
        </w:tc>
      </w:tr>
      <w:tr w14:paraId="55EA9EF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0"/>
            <w:vAlign w:val="center"/>
          </w:tcPr>
          <w:p w14:paraId="381EBA78">
            <w:pPr>
              <w:autoSpaceDE w:val="0"/>
              <w:autoSpaceDN w:val="0"/>
              <w:adjustRightInd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c>
          <w:tcPr>
            <w:tcW w:w="6758" w:type="dxa"/>
            <w:gridSpan w:val="4"/>
            <w:tcBorders>
              <w:top w:val="single" w:color="auto" w:sz="6" w:space="0"/>
              <w:left w:val="single" w:color="auto" w:sz="6" w:space="0"/>
              <w:bottom w:val="single" w:color="auto" w:sz="6" w:space="0"/>
              <w:right w:val="single" w:color="auto" w:sz="6" w:space="0"/>
            </w:tcBorders>
            <w:noWrap w:val="0"/>
            <w:vAlign w:val="center"/>
          </w:tcPr>
          <w:p w14:paraId="39BF9EE3">
            <w:pPr>
              <w:autoSpaceDE w:val="0"/>
              <w:autoSpaceDN w:val="0"/>
              <w:adjustRightInd w:val="0"/>
              <w:spacing w:line="360" w:lineRule="auto"/>
              <w:jc w:val="center"/>
              <w:rPr>
                <w:rFonts w:hint="eastAsia" w:ascii="宋体" w:hAnsi="宋体" w:eastAsia="宋体" w:cs="宋体"/>
                <w:sz w:val="24"/>
                <w:szCs w:val="24"/>
                <w:highlight w:val="none"/>
              </w:rPr>
            </w:pPr>
          </w:p>
        </w:tc>
      </w:tr>
    </w:tbl>
    <w:p w14:paraId="7400A5E8">
      <w:pPr>
        <w:autoSpaceDE w:val="0"/>
        <w:autoSpaceDN w:val="0"/>
        <w:adjustRightInd w:val="0"/>
        <w:spacing w:line="400" w:lineRule="exac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rPr>
        <w:t>附：</w:t>
      </w:r>
      <w:r>
        <w:rPr>
          <w:rFonts w:hint="eastAsia" w:ascii="宋体" w:hAnsi="宋体" w:cs="宋体"/>
          <w:b/>
          <w:bCs/>
          <w:sz w:val="21"/>
          <w:szCs w:val="21"/>
          <w:highlight w:val="none"/>
          <w:lang w:eastAsia="zh-CN"/>
        </w:rPr>
        <w:t>本表后须附</w:t>
      </w:r>
      <w:r>
        <w:rPr>
          <w:rFonts w:hint="eastAsia" w:ascii="宋体" w:hAnsi="宋体" w:eastAsia="宋体" w:cs="宋体"/>
          <w:b/>
          <w:bCs/>
          <w:sz w:val="21"/>
          <w:szCs w:val="21"/>
          <w:highlight w:val="none"/>
          <w:lang w:val="zh-CN"/>
        </w:rPr>
        <w:t>企业营业执照副本</w:t>
      </w:r>
      <w:r>
        <w:rPr>
          <w:rFonts w:hint="eastAsia" w:ascii="宋体" w:hAnsi="宋体" w:cs="宋体"/>
          <w:b/>
          <w:bCs/>
          <w:sz w:val="21"/>
          <w:szCs w:val="21"/>
          <w:highlight w:val="none"/>
          <w:lang w:val="en-US" w:eastAsia="zh-CN"/>
        </w:rPr>
        <w:t>等资料，</w:t>
      </w:r>
      <w:r>
        <w:rPr>
          <w:rFonts w:hint="eastAsia" w:ascii="宋体" w:hAnsi="宋体" w:cs="宋体"/>
          <w:b/>
          <w:bCs/>
          <w:sz w:val="21"/>
          <w:szCs w:val="21"/>
          <w:highlight w:val="none"/>
          <w:lang w:val="zh-CN"/>
        </w:rPr>
        <w:t>财务状况良好证明资料、依法缴纳税后和社会保障资金证明材料</w:t>
      </w:r>
      <w:r>
        <w:rPr>
          <w:rFonts w:hint="eastAsia" w:ascii="宋体" w:hAnsi="宋体" w:cs="宋体"/>
          <w:b/>
          <w:bCs/>
          <w:sz w:val="21"/>
          <w:szCs w:val="21"/>
          <w:highlight w:val="none"/>
          <w:lang w:val="en-US" w:eastAsia="zh-CN"/>
        </w:rPr>
        <w:t>提供资格条件承诺函</w:t>
      </w:r>
      <w:r>
        <w:rPr>
          <w:rFonts w:hint="eastAsia" w:ascii="宋体" w:hAnsi="宋体" w:eastAsia="宋体" w:cs="宋体"/>
          <w:b/>
          <w:bCs/>
          <w:sz w:val="21"/>
          <w:szCs w:val="21"/>
          <w:highlight w:val="none"/>
          <w:lang w:val="zh-CN"/>
        </w:rPr>
        <w:t>；</w:t>
      </w:r>
    </w:p>
    <w:p w14:paraId="2832FD21">
      <w:pPr>
        <w:tabs>
          <w:tab w:val="left" w:pos="1365"/>
        </w:tabs>
        <w:rPr>
          <w:rFonts w:hint="eastAsia" w:ascii="宋体" w:hAnsi="宋体" w:eastAsia="宋体" w:cs="宋体"/>
          <w:b/>
          <w:sz w:val="24"/>
          <w:szCs w:val="24"/>
          <w:highlight w:val="none"/>
        </w:rPr>
      </w:pPr>
    </w:p>
    <w:p w14:paraId="59E9ADB6">
      <w:pPr>
        <w:spacing w:before="140" w:line="219" w:lineRule="auto"/>
        <w:ind w:left="2656"/>
        <w:rPr>
          <w:rFonts w:hint="eastAsia" w:ascii="宋体" w:hAnsi="宋体" w:eastAsia="宋体" w:cs="宋体"/>
          <w:b/>
          <w:sz w:val="32"/>
          <w:szCs w:val="32"/>
          <w:highlight w:val="none"/>
          <w:lang w:val="en-US" w:eastAsia="zh-CN"/>
        </w:rPr>
      </w:pPr>
    </w:p>
    <w:p w14:paraId="73BE46C2">
      <w:pPr>
        <w:spacing w:before="140" w:line="219" w:lineRule="auto"/>
        <w:jc w:val="center"/>
        <w:rPr>
          <w:rFonts w:ascii="宋体" w:hAnsi="宋体" w:eastAsia="宋体" w:cs="宋体"/>
          <w:sz w:val="43"/>
          <w:szCs w:val="43"/>
          <w:highlight w:val="none"/>
        </w:rPr>
      </w:pPr>
      <w:r>
        <w:rPr>
          <w:rFonts w:hint="eastAsia" w:ascii="宋体" w:hAnsi="宋体" w:eastAsia="宋体" w:cs="宋体"/>
          <w:b/>
          <w:sz w:val="32"/>
          <w:szCs w:val="32"/>
          <w:highlight w:val="none"/>
          <w:lang w:val="en-US" w:eastAsia="zh-CN"/>
        </w:rPr>
        <w:t>资格条件承诺函</w:t>
      </w:r>
    </w:p>
    <w:p w14:paraId="2896DA7B">
      <w:pPr>
        <w:spacing w:line="290" w:lineRule="auto"/>
        <w:rPr>
          <w:rFonts w:ascii="Arial"/>
          <w:sz w:val="21"/>
          <w:highlight w:val="none"/>
        </w:rPr>
      </w:pPr>
    </w:p>
    <w:p w14:paraId="176CE251">
      <w:pPr>
        <w:spacing w:line="291" w:lineRule="auto"/>
        <w:rPr>
          <w:rFonts w:ascii="Arial"/>
          <w:sz w:val="21"/>
          <w:highlight w:val="none"/>
        </w:rPr>
      </w:pPr>
    </w:p>
    <w:p w14:paraId="00FB4525">
      <w:pPr>
        <w:spacing w:line="291" w:lineRule="auto"/>
        <w:rPr>
          <w:rFonts w:ascii="Arial"/>
          <w:sz w:val="21"/>
          <w:highlight w:val="none"/>
        </w:rPr>
      </w:pPr>
    </w:p>
    <w:p w14:paraId="36EE02E2">
      <w:pPr>
        <w:spacing w:before="101" w:line="219" w:lineRule="auto"/>
        <w:rPr>
          <w:rFonts w:ascii="宋体" w:hAnsi="宋体" w:eastAsia="宋体" w:cs="宋体"/>
          <w:sz w:val="24"/>
          <w:szCs w:val="24"/>
          <w:highlight w:val="none"/>
        </w:rPr>
      </w:pPr>
      <w:r>
        <w:rPr>
          <w:rFonts w:ascii="宋体" w:hAnsi="宋体" w:eastAsia="宋体" w:cs="宋体"/>
          <w:spacing w:val="-19"/>
          <w:sz w:val="24"/>
          <w:szCs w:val="24"/>
          <w:highlight w:val="none"/>
        </w:rPr>
        <w:t>致</w:t>
      </w:r>
      <w:r>
        <w:rPr>
          <w:rFonts w:ascii="宋体" w:hAnsi="宋体" w:eastAsia="宋体" w:cs="宋体"/>
          <w:spacing w:val="132"/>
          <w:sz w:val="24"/>
          <w:szCs w:val="24"/>
          <w:highlight w:val="none"/>
        </w:rPr>
        <w:t xml:space="preserve"> </w:t>
      </w:r>
      <w:r>
        <w:rPr>
          <w:rFonts w:ascii="宋体" w:hAnsi="宋体" w:eastAsia="宋体" w:cs="宋体"/>
          <w:spacing w:val="-19"/>
          <w:sz w:val="24"/>
          <w:szCs w:val="24"/>
          <w:highlight w:val="none"/>
        </w:rPr>
        <w:t>：</w:t>
      </w:r>
      <w:r>
        <w:rPr>
          <w:rFonts w:ascii="宋体" w:hAnsi="宋体" w:eastAsia="宋体" w:cs="宋体"/>
          <w:spacing w:val="-85"/>
          <w:sz w:val="24"/>
          <w:szCs w:val="24"/>
          <w:highlight w:val="none"/>
          <w:u w:val="single" w:color="auto"/>
        </w:rPr>
        <w:t xml:space="preserve"> </w:t>
      </w:r>
      <w:r>
        <w:rPr>
          <w:rFonts w:ascii="宋体" w:hAnsi="宋体" w:eastAsia="宋体" w:cs="宋体"/>
          <w:spacing w:val="-19"/>
          <w:sz w:val="24"/>
          <w:szCs w:val="24"/>
          <w:highlight w:val="none"/>
          <w:u w:val="single" w:color="auto"/>
        </w:rPr>
        <w:t>(</w:t>
      </w:r>
      <w:r>
        <w:rPr>
          <w:rFonts w:ascii="宋体" w:hAnsi="宋体" w:eastAsia="宋体" w:cs="宋体"/>
          <w:spacing w:val="-70"/>
          <w:sz w:val="24"/>
          <w:szCs w:val="24"/>
          <w:highlight w:val="none"/>
          <w:u w:val="single" w:color="auto"/>
        </w:rPr>
        <w:t xml:space="preserve"> </w:t>
      </w:r>
      <w:r>
        <w:rPr>
          <w:rFonts w:ascii="宋体" w:hAnsi="宋体" w:eastAsia="宋体" w:cs="宋体"/>
          <w:spacing w:val="-19"/>
          <w:sz w:val="24"/>
          <w:szCs w:val="24"/>
          <w:highlight w:val="none"/>
          <w:u w:val="single" w:color="auto"/>
        </w:rPr>
        <w:t>采</w:t>
      </w:r>
      <w:r>
        <w:rPr>
          <w:rFonts w:ascii="宋体" w:hAnsi="宋体" w:eastAsia="宋体" w:cs="宋体"/>
          <w:spacing w:val="-70"/>
          <w:sz w:val="24"/>
          <w:szCs w:val="24"/>
          <w:highlight w:val="none"/>
          <w:u w:val="single" w:color="auto"/>
        </w:rPr>
        <w:t xml:space="preserve"> </w:t>
      </w:r>
      <w:r>
        <w:rPr>
          <w:rFonts w:ascii="宋体" w:hAnsi="宋体" w:eastAsia="宋体" w:cs="宋体"/>
          <w:spacing w:val="-19"/>
          <w:sz w:val="24"/>
          <w:szCs w:val="24"/>
          <w:highlight w:val="none"/>
          <w:u w:val="single" w:color="auto"/>
        </w:rPr>
        <w:t>购</w:t>
      </w:r>
      <w:r>
        <w:rPr>
          <w:rFonts w:ascii="宋体" w:hAnsi="宋体" w:eastAsia="宋体" w:cs="宋体"/>
          <w:spacing w:val="-66"/>
          <w:sz w:val="24"/>
          <w:szCs w:val="24"/>
          <w:highlight w:val="none"/>
          <w:u w:val="single" w:color="auto"/>
        </w:rPr>
        <w:t xml:space="preserve"> </w:t>
      </w:r>
      <w:r>
        <w:rPr>
          <w:rFonts w:ascii="宋体" w:hAnsi="宋体" w:eastAsia="宋体" w:cs="宋体"/>
          <w:spacing w:val="-19"/>
          <w:sz w:val="24"/>
          <w:szCs w:val="24"/>
          <w:highlight w:val="none"/>
          <w:u w:val="single" w:color="auto"/>
        </w:rPr>
        <w:t>人</w:t>
      </w:r>
      <w:r>
        <w:rPr>
          <w:rFonts w:ascii="宋体" w:hAnsi="宋体" w:eastAsia="宋体" w:cs="宋体"/>
          <w:spacing w:val="-47"/>
          <w:sz w:val="24"/>
          <w:szCs w:val="24"/>
          <w:highlight w:val="none"/>
          <w:u w:val="single" w:color="auto"/>
        </w:rPr>
        <w:t xml:space="preserve"> </w:t>
      </w:r>
      <w:r>
        <w:rPr>
          <w:rFonts w:ascii="宋体" w:hAnsi="宋体" w:eastAsia="宋体" w:cs="宋体"/>
          <w:spacing w:val="-19"/>
          <w:sz w:val="24"/>
          <w:szCs w:val="24"/>
          <w:highlight w:val="none"/>
          <w:u w:val="single" w:color="auto"/>
        </w:rPr>
        <w:t>、</w:t>
      </w:r>
      <w:r>
        <w:rPr>
          <w:rFonts w:ascii="宋体" w:hAnsi="宋体" w:eastAsia="宋体" w:cs="宋体"/>
          <w:spacing w:val="-69"/>
          <w:sz w:val="24"/>
          <w:szCs w:val="24"/>
          <w:highlight w:val="none"/>
          <w:u w:val="single" w:color="auto"/>
        </w:rPr>
        <w:t xml:space="preserve"> </w:t>
      </w:r>
      <w:r>
        <w:rPr>
          <w:rFonts w:ascii="宋体" w:hAnsi="宋体" w:eastAsia="宋体" w:cs="宋体"/>
          <w:spacing w:val="-19"/>
          <w:sz w:val="24"/>
          <w:szCs w:val="24"/>
          <w:highlight w:val="none"/>
          <w:u w:val="single" w:color="auto"/>
        </w:rPr>
        <w:t>采</w:t>
      </w:r>
      <w:r>
        <w:rPr>
          <w:rFonts w:ascii="宋体" w:hAnsi="宋体" w:eastAsia="宋体" w:cs="宋体"/>
          <w:spacing w:val="-71"/>
          <w:sz w:val="24"/>
          <w:szCs w:val="24"/>
          <w:highlight w:val="none"/>
          <w:u w:val="single" w:color="auto"/>
        </w:rPr>
        <w:t xml:space="preserve"> </w:t>
      </w:r>
      <w:r>
        <w:rPr>
          <w:rFonts w:ascii="宋体" w:hAnsi="宋体" w:eastAsia="宋体" w:cs="宋体"/>
          <w:spacing w:val="-19"/>
          <w:sz w:val="24"/>
          <w:szCs w:val="24"/>
          <w:highlight w:val="none"/>
          <w:u w:val="single" w:color="auto"/>
        </w:rPr>
        <w:t>购</w:t>
      </w:r>
      <w:r>
        <w:rPr>
          <w:rFonts w:ascii="宋体" w:hAnsi="宋体" w:eastAsia="宋体" w:cs="宋体"/>
          <w:spacing w:val="-69"/>
          <w:sz w:val="24"/>
          <w:szCs w:val="24"/>
          <w:highlight w:val="none"/>
          <w:u w:val="single" w:color="auto"/>
        </w:rPr>
        <w:t xml:space="preserve"> </w:t>
      </w:r>
      <w:r>
        <w:rPr>
          <w:rFonts w:ascii="宋体" w:hAnsi="宋体" w:eastAsia="宋体" w:cs="宋体"/>
          <w:spacing w:val="-19"/>
          <w:sz w:val="24"/>
          <w:szCs w:val="24"/>
          <w:highlight w:val="none"/>
          <w:u w:val="single" w:color="auto"/>
        </w:rPr>
        <w:t>代</w:t>
      </w:r>
      <w:r>
        <w:rPr>
          <w:rFonts w:ascii="宋体" w:hAnsi="宋体" w:eastAsia="宋体" w:cs="宋体"/>
          <w:spacing w:val="-65"/>
          <w:sz w:val="24"/>
          <w:szCs w:val="24"/>
          <w:highlight w:val="none"/>
          <w:u w:val="single" w:color="auto"/>
        </w:rPr>
        <w:t xml:space="preserve"> </w:t>
      </w:r>
      <w:r>
        <w:rPr>
          <w:rFonts w:ascii="宋体" w:hAnsi="宋体" w:eastAsia="宋体" w:cs="宋体"/>
          <w:spacing w:val="-19"/>
          <w:sz w:val="24"/>
          <w:szCs w:val="24"/>
          <w:highlight w:val="none"/>
          <w:u w:val="single" w:color="auto"/>
        </w:rPr>
        <w:t>理</w:t>
      </w:r>
      <w:r>
        <w:rPr>
          <w:rFonts w:ascii="宋体" w:hAnsi="宋体" w:eastAsia="宋体" w:cs="宋体"/>
          <w:spacing w:val="-69"/>
          <w:sz w:val="24"/>
          <w:szCs w:val="24"/>
          <w:highlight w:val="none"/>
          <w:u w:val="single" w:color="auto"/>
        </w:rPr>
        <w:t xml:space="preserve"> </w:t>
      </w:r>
      <w:r>
        <w:rPr>
          <w:rFonts w:ascii="宋体" w:hAnsi="宋体" w:eastAsia="宋体" w:cs="宋体"/>
          <w:spacing w:val="-19"/>
          <w:sz w:val="24"/>
          <w:szCs w:val="24"/>
          <w:highlight w:val="none"/>
          <w:u w:val="single" w:color="auto"/>
        </w:rPr>
        <w:t>机</w:t>
      </w:r>
      <w:r>
        <w:rPr>
          <w:rFonts w:ascii="宋体" w:hAnsi="宋体" w:eastAsia="宋体" w:cs="宋体"/>
          <w:spacing w:val="-65"/>
          <w:sz w:val="24"/>
          <w:szCs w:val="24"/>
          <w:highlight w:val="none"/>
          <w:u w:val="single" w:color="auto"/>
        </w:rPr>
        <w:t xml:space="preserve"> </w:t>
      </w:r>
      <w:r>
        <w:rPr>
          <w:rFonts w:ascii="宋体" w:hAnsi="宋体" w:eastAsia="宋体" w:cs="宋体"/>
          <w:spacing w:val="-19"/>
          <w:sz w:val="24"/>
          <w:szCs w:val="24"/>
          <w:highlight w:val="none"/>
          <w:u w:val="single" w:color="auto"/>
        </w:rPr>
        <w:t>构</w:t>
      </w:r>
      <w:r>
        <w:rPr>
          <w:rFonts w:ascii="宋体" w:hAnsi="宋体" w:eastAsia="宋体" w:cs="宋体"/>
          <w:spacing w:val="-67"/>
          <w:sz w:val="24"/>
          <w:szCs w:val="24"/>
          <w:highlight w:val="none"/>
          <w:u w:val="single" w:color="auto"/>
        </w:rPr>
        <w:t xml:space="preserve"> </w:t>
      </w:r>
      <w:r>
        <w:rPr>
          <w:rFonts w:ascii="宋体" w:hAnsi="宋体" w:eastAsia="宋体" w:cs="宋体"/>
          <w:spacing w:val="-19"/>
          <w:sz w:val="24"/>
          <w:szCs w:val="24"/>
          <w:highlight w:val="none"/>
          <w:u w:val="single" w:color="auto"/>
        </w:rPr>
        <w:t>)</w:t>
      </w:r>
      <w:r>
        <w:rPr>
          <w:rFonts w:ascii="宋体" w:hAnsi="宋体" w:eastAsia="宋体" w:cs="宋体"/>
          <w:spacing w:val="74"/>
          <w:sz w:val="24"/>
          <w:szCs w:val="24"/>
          <w:highlight w:val="none"/>
          <w:u w:val="single" w:color="auto"/>
        </w:rPr>
        <w:t xml:space="preserve">  </w:t>
      </w:r>
      <w:r>
        <w:rPr>
          <w:rFonts w:ascii="宋体" w:hAnsi="宋体" w:eastAsia="宋体" w:cs="宋体"/>
          <w:spacing w:val="-74"/>
          <w:sz w:val="24"/>
          <w:szCs w:val="24"/>
          <w:highlight w:val="none"/>
        </w:rPr>
        <w:t xml:space="preserve"> </w:t>
      </w:r>
      <w:r>
        <w:rPr>
          <w:rFonts w:ascii="宋体" w:hAnsi="宋体" w:eastAsia="宋体" w:cs="宋体"/>
          <w:spacing w:val="-19"/>
          <w:sz w:val="24"/>
          <w:szCs w:val="24"/>
          <w:highlight w:val="none"/>
        </w:rPr>
        <w:t>:</w:t>
      </w:r>
    </w:p>
    <w:p w14:paraId="2E59FBBA">
      <w:pPr>
        <w:spacing w:before="243" w:line="387" w:lineRule="auto"/>
        <w:ind w:left="619"/>
        <w:rPr>
          <w:rFonts w:ascii="宋体" w:hAnsi="宋体" w:eastAsia="宋体" w:cs="宋体"/>
          <w:sz w:val="24"/>
          <w:szCs w:val="24"/>
          <w:highlight w:val="none"/>
        </w:rPr>
      </w:pPr>
      <w:r>
        <w:rPr>
          <w:rFonts w:ascii="宋体" w:hAnsi="宋体" w:eastAsia="宋体" w:cs="宋体"/>
          <w:spacing w:val="-1"/>
          <w:sz w:val="24"/>
          <w:szCs w:val="24"/>
          <w:highlight w:val="none"/>
        </w:rPr>
        <w:t>我单位(公司)参与</w:t>
      </w:r>
      <w:r>
        <w:rPr>
          <w:rFonts w:ascii="宋体" w:hAnsi="宋体" w:eastAsia="宋体" w:cs="宋体"/>
          <w:spacing w:val="-30"/>
          <w:sz w:val="24"/>
          <w:szCs w:val="24"/>
          <w:highlight w:val="none"/>
        </w:rPr>
        <w:t xml:space="preserve"> </w:t>
      </w:r>
      <w:r>
        <w:rPr>
          <w:rFonts w:ascii="宋体" w:hAnsi="宋体" w:eastAsia="宋体" w:cs="宋体"/>
          <w:spacing w:val="26"/>
          <w:sz w:val="24"/>
          <w:szCs w:val="24"/>
          <w:highlight w:val="none"/>
          <w:u w:val="single" w:color="auto"/>
        </w:rPr>
        <w:t xml:space="preserve">   </w:t>
      </w:r>
      <w:r>
        <w:rPr>
          <w:rFonts w:ascii="宋体" w:hAnsi="宋体" w:eastAsia="宋体" w:cs="宋体"/>
          <w:spacing w:val="-1"/>
          <w:sz w:val="24"/>
          <w:szCs w:val="24"/>
          <w:highlight w:val="none"/>
          <w:u w:val="single" w:color="auto"/>
        </w:rPr>
        <w:t>(</w:t>
      </w:r>
      <w:r>
        <w:rPr>
          <w:rFonts w:ascii="宋体" w:hAnsi="宋体" w:eastAsia="宋体" w:cs="宋体"/>
          <w:spacing w:val="-60"/>
          <w:sz w:val="24"/>
          <w:szCs w:val="24"/>
          <w:highlight w:val="none"/>
          <w:u w:val="single" w:color="auto"/>
        </w:rPr>
        <w:t xml:space="preserve"> </w:t>
      </w:r>
      <w:r>
        <w:rPr>
          <w:rFonts w:ascii="宋体" w:hAnsi="宋体" w:eastAsia="宋体" w:cs="宋体"/>
          <w:spacing w:val="-1"/>
          <w:sz w:val="24"/>
          <w:szCs w:val="24"/>
          <w:highlight w:val="none"/>
          <w:u w:val="single" w:color="auto"/>
        </w:rPr>
        <w:t>采</w:t>
      </w:r>
      <w:r>
        <w:rPr>
          <w:rFonts w:ascii="宋体" w:hAnsi="宋体" w:eastAsia="宋体" w:cs="宋体"/>
          <w:spacing w:val="-61"/>
          <w:sz w:val="24"/>
          <w:szCs w:val="24"/>
          <w:highlight w:val="none"/>
          <w:u w:val="single" w:color="auto"/>
        </w:rPr>
        <w:t xml:space="preserve"> </w:t>
      </w:r>
      <w:r>
        <w:rPr>
          <w:rFonts w:ascii="宋体" w:hAnsi="宋体" w:eastAsia="宋体" w:cs="宋体"/>
          <w:spacing w:val="-1"/>
          <w:sz w:val="24"/>
          <w:szCs w:val="24"/>
          <w:highlight w:val="none"/>
          <w:u w:val="single" w:color="auto"/>
        </w:rPr>
        <w:t>购</w:t>
      </w:r>
      <w:r>
        <w:rPr>
          <w:rFonts w:ascii="宋体" w:hAnsi="宋体" w:eastAsia="宋体" w:cs="宋体"/>
          <w:spacing w:val="-55"/>
          <w:sz w:val="24"/>
          <w:szCs w:val="24"/>
          <w:highlight w:val="none"/>
          <w:u w:val="single" w:color="auto"/>
        </w:rPr>
        <w:t xml:space="preserve"> </w:t>
      </w:r>
      <w:r>
        <w:rPr>
          <w:rFonts w:ascii="宋体" w:hAnsi="宋体" w:eastAsia="宋体" w:cs="宋体"/>
          <w:spacing w:val="-1"/>
          <w:sz w:val="24"/>
          <w:szCs w:val="24"/>
          <w:highlight w:val="none"/>
          <w:u w:val="single" w:color="auto"/>
        </w:rPr>
        <w:t>项目</w:t>
      </w:r>
      <w:r>
        <w:rPr>
          <w:rFonts w:ascii="宋体" w:hAnsi="宋体" w:eastAsia="宋体" w:cs="宋体"/>
          <w:spacing w:val="-55"/>
          <w:sz w:val="24"/>
          <w:szCs w:val="24"/>
          <w:highlight w:val="none"/>
          <w:u w:val="single" w:color="auto"/>
        </w:rPr>
        <w:t xml:space="preserve"> </w:t>
      </w:r>
      <w:r>
        <w:rPr>
          <w:rFonts w:ascii="宋体" w:hAnsi="宋体" w:eastAsia="宋体" w:cs="宋体"/>
          <w:spacing w:val="-1"/>
          <w:sz w:val="24"/>
          <w:szCs w:val="24"/>
          <w:highlight w:val="none"/>
          <w:u w:val="single" w:color="auto"/>
        </w:rPr>
        <w:t>名</w:t>
      </w:r>
      <w:r>
        <w:rPr>
          <w:rFonts w:ascii="宋体" w:hAnsi="宋体" w:eastAsia="宋体" w:cs="宋体"/>
          <w:spacing w:val="-61"/>
          <w:sz w:val="24"/>
          <w:szCs w:val="24"/>
          <w:highlight w:val="none"/>
          <w:u w:val="single" w:color="auto"/>
        </w:rPr>
        <w:t xml:space="preserve"> </w:t>
      </w:r>
      <w:r>
        <w:rPr>
          <w:rFonts w:ascii="宋体" w:hAnsi="宋体" w:eastAsia="宋体" w:cs="宋体"/>
          <w:spacing w:val="-1"/>
          <w:sz w:val="24"/>
          <w:szCs w:val="24"/>
          <w:highlight w:val="none"/>
          <w:u w:val="single" w:color="auto"/>
        </w:rPr>
        <w:t>称</w:t>
      </w:r>
      <w:r>
        <w:rPr>
          <w:rFonts w:ascii="宋体" w:hAnsi="宋体" w:eastAsia="宋体" w:cs="宋体"/>
          <w:spacing w:val="-54"/>
          <w:sz w:val="24"/>
          <w:szCs w:val="24"/>
          <w:highlight w:val="none"/>
          <w:u w:val="single" w:color="auto"/>
        </w:rPr>
        <w:t xml:space="preserve"> </w:t>
      </w:r>
      <w:r>
        <w:rPr>
          <w:rFonts w:ascii="宋体" w:hAnsi="宋体" w:eastAsia="宋体" w:cs="宋体"/>
          <w:spacing w:val="-1"/>
          <w:sz w:val="24"/>
          <w:szCs w:val="24"/>
          <w:highlight w:val="none"/>
          <w:u w:val="single" w:color="auto"/>
        </w:rPr>
        <w:t>项目</w:t>
      </w:r>
      <w:r>
        <w:rPr>
          <w:rFonts w:ascii="宋体" w:hAnsi="宋体" w:eastAsia="宋体" w:cs="宋体"/>
          <w:spacing w:val="-57"/>
          <w:sz w:val="24"/>
          <w:szCs w:val="24"/>
          <w:highlight w:val="none"/>
          <w:u w:val="single" w:color="auto"/>
        </w:rPr>
        <w:t xml:space="preserve"> </w:t>
      </w:r>
      <w:r>
        <w:rPr>
          <w:rFonts w:ascii="宋体" w:hAnsi="宋体" w:eastAsia="宋体" w:cs="宋体"/>
          <w:spacing w:val="-1"/>
          <w:sz w:val="24"/>
          <w:szCs w:val="24"/>
          <w:highlight w:val="none"/>
          <w:u w:val="single" w:color="auto"/>
        </w:rPr>
        <w:t>编</w:t>
      </w:r>
      <w:r>
        <w:rPr>
          <w:rFonts w:ascii="宋体" w:hAnsi="宋体" w:eastAsia="宋体" w:cs="宋体"/>
          <w:spacing w:val="-51"/>
          <w:sz w:val="24"/>
          <w:szCs w:val="24"/>
          <w:highlight w:val="none"/>
          <w:u w:val="single" w:color="auto"/>
        </w:rPr>
        <w:t xml:space="preserve"> </w:t>
      </w:r>
      <w:r>
        <w:rPr>
          <w:rFonts w:ascii="宋体" w:hAnsi="宋体" w:eastAsia="宋体" w:cs="宋体"/>
          <w:spacing w:val="-1"/>
          <w:sz w:val="24"/>
          <w:szCs w:val="24"/>
          <w:highlight w:val="none"/>
          <w:u w:val="single" w:color="auto"/>
        </w:rPr>
        <w:t>号</w:t>
      </w:r>
      <w:r>
        <w:rPr>
          <w:rFonts w:ascii="宋体" w:hAnsi="宋体" w:eastAsia="宋体" w:cs="宋体"/>
          <w:spacing w:val="-58"/>
          <w:sz w:val="24"/>
          <w:szCs w:val="24"/>
          <w:highlight w:val="none"/>
          <w:u w:val="single" w:color="auto"/>
        </w:rPr>
        <w:t xml:space="preserve"> </w:t>
      </w:r>
      <w:r>
        <w:rPr>
          <w:rFonts w:ascii="宋体" w:hAnsi="宋体" w:eastAsia="宋体" w:cs="宋体"/>
          <w:spacing w:val="-1"/>
          <w:sz w:val="24"/>
          <w:szCs w:val="24"/>
          <w:highlight w:val="none"/>
          <w:u w:val="single" w:color="auto"/>
        </w:rPr>
        <w:t>)</w:t>
      </w:r>
    </w:p>
    <w:p w14:paraId="26E1B61A">
      <w:pPr>
        <w:spacing w:before="1" w:line="218" w:lineRule="auto"/>
        <w:rPr>
          <w:rFonts w:ascii="宋体" w:hAnsi="宋体" w:eastAsia="宋体" w:cs="宋体"/>
          <w:sz w:val="24"/>
          <w:szCs w:val="24"/>
          <w:highlight w:val="none"/>
        </w:rPr>
      </w:pPr>
      <w:r>
        <w:rPr>
          <w:rFonts w:ascii="宋体" w:hAnsi="宋体" w:eastAsia="宋体" w:cs="宋体"/>
          <w:spacing w:val="1"/>
          <w:sz w:val="24"/>
          <w:szCs w:val="24"/>
          <w:highlight w:val="none"/>
        </w:rPr>
        <w:t>采购项目的政府采购活动，现承诺如下：</w:t>
      </w:r>
    </w:p>
    <w:p w14:paraId="4D5428ED">
      <w:pPr>
        <w:spacing w:before="252" w:line="219" w:lineRule="auto"/>
        <w:ind w:left="619"/>
        <w:rPr>
          <w:rFonts w:ascii="宋体" w:hAnsi="宋体" w:eastAsia="宋体" w:cs="宋体"/>
          <w:sz w:val="24"/>
          <w:szCs w:val="24"/>
          <w:highlight w:val="none"/>
        </w:rPr>
      </w:pPr>
      <w:r>
        <w:rPr>
          <w:rFonts w:ascii="宋体" w:hAnsi="宋体" w:eastAsia="宋体" w:cs="宋体"/>
          <w:spacing w:val="1"/>
          <w:sz w:val="24"/>
          <w:szCs w:val="24"/>
          <w:highlight w:val="none"/>
        </w:rPr>
        <w:t>1.</w:t>
      </w:r>
      <w:r>
        <w:rPr>
          <w:rFonts w:ascii="宋体" w:hAnsi="宋体" w:eastAsia="宋体" w:cs="宋体"/>
          <w:spacing w:val="-43"/>
          <w:sz w:val="24"/>
          <w:szCs w:val="24"/>
          <w:highlight w:val="none"/>
        </w:rPr>
        <w:t xml:space="preserve"> </w:t>
      </w:r>
      <w:r>
        <w:rPr>
          <w:rFonts w:ascii="宋体" w:hAnsi="宋体" w:eastAsia="宋体" w:cs="宋体"/>
          <w:spacing w:val="1"/>
          <w:sz w:val="24"/>
          <w:szCs w:val="24"/>
          <w:highlight w:val="none"/>
        </w:rPr>
        <w:t>具有良好的商业信誉和健全的财务会计制度；</w:t>
      </w:r>
    </w:p>
    <w:p w14:paraId="70406E89">
      <w:pPr>
        <w:spacing w:before="252" w:line="219" w:lineRule="auto"/>
        <w:ind w:left="619"/>
        <w:rPr>
          <w:rFonts w:ascii="宋体" w:hAnsi="宋体" w:eastAsia="宋体" w:cs="宋体"/>
          <w:sz w:val="24"/>
          <w:szCs w:val="24"/>
          <w:highlight w:val="none"/>
        </w:rPr>
      </w:pPr>
      <w:r>
        <w:rPr>
          <w:rFonts w:ascii="宋体" w:hAnsi="宋体" w:eastAsia="宋体" w:cs="宋体"/>
          <w:spacing w:val="1"/>
          <w:sz w:val="24"/>
          <w:szCs w:val="24"/>
          <w:highlight w:val="none"/>
        </w:rPr>
        <w:t>2.</w:t>
      </w:r>
      <w:r>
        <w:rPr>
          <w:rFonts w:ascii="宋体" w:hAnsi="宋体" w:eastAsia="宋体" w:cs="宋体"/>
          <w:spacing w:val="-57"/>
          <w:sz w:val="24"/>
          <w:szCs w:val="24"/>
          <w:highlight w:val="none"/>
        </w:rPr>
        <w:t xml:space="preserve"> </w:t>
      </w:r>
      <w:r>
        <w:rPr>
          <w:rFonts w:ascii="宋体" w:hAnsi="宋体" w:eastAsia="宋体" w:cs="宋体"/>
          <w:spacing w:val="1"/>
          <w:sz w:val="24"/>
          <w:szCs w:val="24"/>
          <w:highlight w:val="none"/>
        </w:rPr>
        <w:t>具有依法缴纳税收的良好记录；</w:t>
      </w:r>
    </w:p>
    <w:p w14:paraId="07C5E228">
      <w:pPr>
        <w:spacing w:before="252" w:line="219" w:lineRule="auto"/>
        <w:ind w:left="619"/>
        <w:rPr>
          <w:rFonts w:ascii="宋体" w:hAnsi="宋体" w:eastAsia="宋体" w:cs="宋体"/>
          <w:sz w:val="24"/>
          <w:szCs w:val="24"/>
          <w:highlight w:val="none"/>
        </w:rPr>
      </w:pPr>
      <w:r>
        <w:rPr>
          <w:rFonts w:ascii="宋体" w:hAnsi="宋体" w:eastAsia="宋体" w:cs="宋体"/>
          <w:spacing w:val="3"/>
          <w:sz w:val="24"/>
          <w:szCs w:val="24"/>
          <w:highlight w:val="none"/>
        </w:rPr>
        <w:t>3.具有依法缴纳社会保障</w:t>
      </w:r>
      <w:r>
        <w:rPr>
          <w:rFonts w:hint="eastAsia" w:ascii="宋体" w:hAnsi="宋体" w:eastAsia="宋体" w:cs="宋体"/>
          <w:spacing w:val="3"/>
          <w:sz w:val="24"/>
          <w:szCs w:val="24"/>
          <w:highlight w:val="none"/>
          <w:lang w:val="en-US" w:eastAsia="zh-CN"/>
        </w:rPr>
        <w:t>资</w:t>
      </w:r>
      <w:r>
        <w:rPr>
          <w:rFonts w:ascii="宋体" w:hAnsi="宋体" w:eastAsia="宋体" w:cs="宋体"/>
          <w:spacing w:val="3"/>
          <w:sz w:val="24"/>
          <w:szCs w:val="24"/>
          <w:highlight w:val="none"/>
        </w:rPr>
        <w:t>金的良好记录。</w:t>
      </w:r>
    </w:p>
    <w:p w14:paraId="3A1F895E">
      <w:pPr>
        <w:spacing w:before="244" w:line="369" w:lineRule="auto"/>
        <w:ind w:right="149" w:firstLine="619"/>
        <w:rPr>
          <w:rFonts w:ascii="宋体" w:hAnsi="宋体" w:eastAsia="宋体" w:cs="宋体"/>
          <w:sz w:val="24"/>
          <w:szCs w:val="24"/>
          <w:highlight w:val="none"/>
        </w:rPr>
      </w:pPr>
      <w:r>
        <w:rPr>
          <w:rFonts w:ascii="宋体" w:hAnsi="宋体" w:eastAsia="宋体" w:cs="宋体"/>
          <w:spacing w:val="17"/>
          <w:sz w:val="24"/>
          <w:szCs w:val="24"/>
          <w:highlight w:val="none"/>
        </w:rPr>
        <w:t>我方在采购项目评审(评标)环节结束后，随时接受采</w:t>
      </w:r>
      <w:r>
        <w:rPr>
          <w:rFonts w:ascii="宋体" w:hAnsi="宋体" w:eastAsia="宋体" w:cs="宋体"/>
          <w:spacing w:val="4"/>
          <w:sz w:val="24"/>
          <w:szCs w:val="24"/>
          <w:highlight w:val="none"/>
        </w:rPr>
        <w:t>购人、采购代理机构的检查验证，配合提供相关证明材料，</w:t>
      </w:r>
      <w:r>
        <w:rPr>
          <w:rFonts w:ascii="宋体" w:hAnsi="宋体" w:eastAsia="宋体" w:cs="宋体"/>
          <w:spacing w:val="6"/>
          <w:sz w:val="24"/>
          <w:szCs w:val="24"/>
          <w:highlight w:val="none"/>
        </w:rPr>
        <w:t>证明符合《中华人民共和国政府采购法》规定的供应商基本</w:t>
      </w:r>
      <w:r>
        <w:rPr>
          <w:rFonts w:ascii="宋体" w:hAnsi="宋体" w:eastAsia="宋体" w:cs="宋体"/>
          <w:spacing w:val="-5"/>
          <w:sz w:val="24"/>
          <w:szCs w:val="24"/>
          <w:highlight w:val="none"/>
        </w:rPr>
        <w:t>资格条件。</w:t>
      </w:r>
    </w:p>
    <w:p w14:paraId="0C362404">
      <w:pPr>
        <w:spacing w:before="244" w:line="369" w:lineRule="auto"/>
        <w:ind w:right="149" w:firstLine="619"/>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我单位(公司)对上述承诺的真实性负责。如有虚假，将依法承担相应责任。</w:t>
      </w:r>
    </w:p>
    <w:p w14:paraId="42448FFA">
      <w:pPr>
        <w:spacing w:before="244" w:line="369" w:lineRule="auto"/>
        <w:ind w:right="149" w:firstLine="619"/>
        <w:rPr>
          <w:rFonts w:ascii="宋体" w:hAnsi="宋体" w:eastAsia="宋体" w:cs="宋体"/>
          <w:spacing w:val="4"/>
          <w:sz w:val="24"/>
          <w:szCs w:val="24"/>
          <w:highlight w:val="none"/>
        </w:rPr>
      </w:pPr>
      <w:r>
        <w:rPr>
          <w:rFonts w:ascii="宋体" w:hAnsi="宋体" w:eastAsia="宋体" w:cs="宋体"/>
          <w:spacing w:val="4"/>
          <w:sz w:val="24"/>
          <w:szCs w:val="24"/>
          <w:highlight w:val="none"/>
        </w:rPr>
        <w:t>特此承诺。</w:t>
      </w:r>
    </w:p>
    <w:p w14:paraId="624E09E2">
      <w:pPr>
        <w:spacing w:line="258" w:lineRule="auto"/>
        <w:rPr>
          <w:rFonts w:ascii="Arial"/>
          <w:sz w:val="18"/>
          <w:szCs w:val="21"/>
          <w:highlight w:val="none"/>
        </w:rPr>
      </w:pPr>
    </w:p>
    <w:p w14:paraId="11B7FCB0">
      <w:pPr>
        <w:spacing w:line="258" w:lineRule="auto"/>
        <w:rPr>
          <w:rFonts w:ascii="Arial"/>
          <w:sz w:val="18"/>
          <w:szCs w:val="21"/>
          <w:highlight w:val="none"/>
        </w:rPr>
      </w:pPr>
    </w:p>
    <w:p w14:paraId="218CE919">
      <w:pPr>
        <w:spacing w:line="259" w:lineRule="auto"/>
        <w:rPr>
          <w:rFonts w:ascii="Arial"/>
          <w:sz w:val="18"/>
          <w:szCs w:val="21"/>
          <w:highlight w:val="none"/>
        </w:rPr>
      </w:pPr>
    </w:p>
    <w:p w14:paraId="7E0430C5">
      <w:pPr>
        <w:spacing w:before="101" w:line="621" w:lineRule="exact"/>
        <w:ind w:left="4889"/>
        <w:rPr>
          <w:rFonts w:ascii="宋体" w:hAnsi="宋体" w:eastAsia="宋体" w:cs="宋体"/>
          <w:sz w:val="24"/>
          <w:szCs w:val="24"/>
          <w:highlight w:val="none"/>
        </w:rPr>
      </w:pPr>
      <w:r>
        <w:rPr>
          <w:rFonts w:ascii="宋体" w:hAnsi="宋体" w:eastAsia="宋体" w:cs="宋体"/>
          <w:spacing w:val="-13"/>
          <w:position w:val="23"/>
          <w:sz w:val="24"/>
          <w:szCs w:val="24"/>
          <w:highlight w:val="none"/>
        </w:rPr>
        <w:t>盖章：</w:t>
      </w:r>
    </w:p>
    <w:p w14:paraId="6DBDBCFB">
      <w:pPr>
        <w:spacing w:line="219" w:lineRule="auto"/>
        <w:ind w:left="4889"/>
        <w:rPr>
          <w:rFonts w:ascii="宋体" w:hAnsi="宋体" w:eastAsia="宋体" w:cs="宋体"/>
          <w:sz w:val="24"/>
          <w:szCs w:val="24"/>
          <w:highlight w:val="none"/>
        </w:rPr>
      </w:pPr>
      <w:r>
        <w:rPr>
          <w:rFonts w:ascii="宋体" w:hAnsi="宋体" w:eastAsia="宋体" w:cs="宋体"/>
          <w:spacing w:val="-13"/>
          <w:sz w:val="24"/>
          <w:szCs w:val="24"/>
          <w:highlight w:val="none"/>
        </w:rPr>
        <w:t>签字：</w:t>
      </w:r>
    </w:p>
    <w:p w14:paraId="6268AA84">
      <w:pPr>
        <w:numPr>
          <w:ilvl w:val="0"/>
          <w:numId w:val="0"/>
        </w:numPr>
        <w:spacing w:line="360" w:lineRule="auto"/>
        <w:jc w:val="center"/>
        <w:rPr>
          <w:rFonts w:hint="eastAsia" w:ascii="宋体" w:hAnsi="宋体" w:cs="宋体"/>
          <w:b/>
          <w:sz w:val="32"/>
          <w:szCs w:val="32"/>
          <w:highlight w:val="none"/>
          <w:lang w:val="en-US" w:eastAsia="zh-CN"/>
        </w:rPr>
      </w:pPr>
      <w:r>
        <w:rPr>
          <w:rFonts w:hint="eastAsia" w:ascii="宋体" w:hAnsi="宋体" w:eastAsia="宋体" w:cs="宋体"/>
          <w:sz w:val="28"/>
          <w:highlight w:val="none"/>
        </w:rPr>
        <w:br w:type="page"/>
      </w:r>
      <w:r>
        <w:rPr>
          <w:rFonts w:hint="eastAsia" w:ascii="宋体" w:hAnsi="宋体" w:eastAsia="宋体" w:cs="宋体"/>
          <w:b/>
          <w:sz w:val="32"/>
          <w:szCs w:val="32"/>
          <w:highlight w:val="none"/>
          <w:lang w:val="en-US" w:eastAsia="zh-CN"/>
        </w:rPr>
        <w:t>8、供应商类似项目业绩一览表</w:t>
      </w:r>
    </w:p>
    <w:p w14:paraId="75B7FCDB">
      <w:pPr>
        <w:pStyle w:val="11"/>
        <w:rPr>
          <w:rFonts w:hint="eastAsia"/>
          <w:highlight w:val="none"/>
          <w:lang w:val="en-US" w:eastAsia="zh-CN"/>
        </w:rPr>
      </w:pPr>
    </w:p>
    <w:tbl>
      <w:tblPr>
        <w:tblStyle w:val="2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0CCD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noWrap w:val="0"/>
            <w:vAlign w:val="top"/>
          </w:tcPr>
          <w:p w14:paraId="43C6103E">
            <w:pPr>
              <w:autoSpaceDE w:val="0"/>
              <w:autoSpaceDN w:val="0"/>
              <w:adjustRightIn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序号</w:t>
            </w:r>
          </w:p>
        </w:tc>
        <w:tc>
          <w:tcPr>
            <w:tcW w:w="1613" w:type="dxa"/>
            <w:noWrap w:val="0"/>
            <w:vAlign w:val="top"/>
          </w:tcPr>
          <w:p w14:paraId="683C3715">
            <w:pPr>
              <w:autoSpaceDE w:val="0"/>
              <w:autoSpaceDN w:val="0"/>
              <w:adjustRightIn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项目名称</w:t>
            </w:r>
          </w:p>
        </w:tc>
        <w:tc>
          <w:tcPr>
            <w:tcW w:w="1630" w:type="dxa"/>
            <w:noWrap w:val="0"/>
            <w:vAlign w:val="top"/>
          </w:tcPr>
          <w:p w14:paraId="53EF742D">
            <w:pPr>
              <w:autoSpaceDE w:val="0"/>
              <w:autoSpaceDN w:val="0"/>
              <w:adjustRightIn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采购人名称</w:t>
            </w:r>
          </w:p>
        </w:tc>
        <w:tc>
          <w:tcPr>
            <w:tcW w:w="1564" w:type="dxa"/>
            <w:noWrap w:val="0"/>
            <w:vAlign w:val="top"/>
          </w:tcPr>
          <w:p w14:paraId="2FA7E1B0">
            <w:pPr>
              <w:autoSpaceDE w:val="0"/>
              <w:autoSpaceDN w:val="0"/>
              <w:adjustRightIn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采购</w:t>
            </w:r>
            <w:r>
              <w:rPr>
                <w:rFonts w:hint="eastAsia" w:ascii="宋体" w:hAnsi="宋体" w:eastAsia="宋体" w:cs="宋体"/>
                <w:sz w:val="24"/>
                <w:highlight w:val="none"/>
                <w:lang w:val="en-US" w:eastAsia="zh-CN"/>
              </w:rPr>
              <w:t>内容</w:t>
            </w:r>
          </w:p>
        </w:tc>
        <w:tc>
          <w:tcPr>
            <w:tcW w:w="1339" w:type="dxa"/>
            <w:noWrap w:val="0"/>
            <w:vAlign w:val="top"/>
          </w:tcPr>
          <w:p w14:paraId="5DABFB45">
            <w:pPr>
              <w:autoSpaceDE w:val="0"/>
              <w:autoSpaceDN w:val="0"/>
              <w:adjustRightIn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项目金额</w:t>
            </w:r>
          </w:p>
        </w:tc>
        <w:tc>
          <w:tcPr>
            <w:tcW w:w="1564" w:type="dxa"/>
            <w:noWrap w:val="0"/>
            <w:vAlign w:val="top"/>
          </w:tcPr>
          <w:p w14:paraId="59546206">
            <w:pPr>
              <w:autoSpaceDE w:val="0"/>
              <w:autoSpaceDN w:val="0"/>
              <w:adjustRightIn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完成时间</w:t>
            </w:r>
          </w:p>
        </w:tc>
        <w:tc>
          <w:tcPr>
            <w:tcW w:w="1009" w:type="dxa"/>
            <w:noWrap w:val="0"/>
            <w:vAlign w:val="top"/>
          </w:tcPr>
          <w:p w14:paraId="5BFF6B04">
            <w:pPr>
              <w:autoSpaceDE w:val="0"/>
              <w:autoSpaceDN w:val="0"/>
              <w:adjustRightIn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备注</w:t>
            </w:r>
          </w:p>
        </w:tc>
      </w:tr>
      <w:tr w14:paraId="79EC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noWrap w:val="0"/>
            <w:vAlign w:val="top"/>
          </w:tcPr>
          <w:p w14:paraId="50E45F40">
            <w:pPr>
              <w:pStyle w:val="11"/>
              <w:numPr>
                <w:ilvl w:val="0"/>
                <w:numId w:val="0"/>
              </w:numPr>
              <w:rPr>
                <w:rFonts w:hint="eastAsia" w:ascii="宋体" w:hAnsi="宋体" w:eastAsia="宋体" w:cs="宋体"/>
                <w:highlight w:val="none"/>
                <w:vertAlign w:val="baseline"/>
                <w:lang w:val="en-US" w:eastAsia="zh-CN"/>
              </w:rPr>
            </w:pPr>
          </w:p>
        </w:tc>
        <w:tc>
          <w:tcPr>
            <w:tcW w:w="1613" w:type="dxa"/>
            <w:noWrap w:val="0"/>
            <w:vAlign w:val="top"/>
          </w:tcPr>
          <w:p w14:paraId="06951970">
            <w:pPr>
              <w:pStyle w:val="11"/>
              <w:numPr>
                <w:ilvl w:val="0"/>
                <w:numId w:val="0"/>
              </w:numPr>
              <w:rPr>
                <w:rFonts w:hint="eastAsia" w:ascii="宋体" w:hAnsi="宋体" w:eastAsia="宋体" w:cs="宋体"/>
                <w:highlight w:val="none"/>
                <w:vertAlign w:val="baseline"/>
                <w:lang w:val="en-US" w:eastAsia="zh-CN"/>
              </w:rPr>
            </w:pPr>
          </w:p>
        </w:tc>
        <w:tc>
          <w:tcPr>
            <w:tcW w:w="1630" w:type="dxa"/>
            <w:noWrap w:val="0"/>
            <w:vAlign w:val="top"/>
          </w:tcPr>
          <w:p w14:paraId="52FAE634">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32F6C38F">
            <w:pPr>
              <w:pStyle w:val="11"/>
              <w:numPr>
                <w:ilvl w:val="0"/>
                <w:numId w:val="0"/>
              </w:numPr>
              <w:ind w:left="0" w:leftChars="0" w:firstLine="0" w:firstLineChars="0"/>
              <w:rPr>
                <w:rFonts w:hint="eastAsia" w:ascii="宋体" w:hAnsi="宋体" w:eastAsia="宋体" w:cs="宋体"/>
                <w:highlight w:val="none"/>
                <w:vertAlign w:val="baseline"/>
                <w:lang w:val="en-US" w:eastAsia="zh-CN"/>
              </w:rPr>
            </w:pPr>
          </w:p>
        </w:tc>
        <w:tc>
          <w:tcPr>
            <w:tcW w:w="1339" w:type="dxa"/>
            <w:noWrap w:val="0"/>
            <w:vAlign w:val="top"/>
          </w:tcPr>
          <w:p w14:paraId="2F7F61FF">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454DA862">
            <w:pPr>
              <w:pStyle w:val="11"/>
              <w:numPr>
                <w:ilvl w:val="0"/>
                <w:numId w:val="0"/>
              </w:numPr>
              <w:rPr>
                <w:rFonts w:hint="eastAsia" w:ascii="宋体" w:hAnsi="宋体" w:eastAsia="宋体" w:cs="宋体"/>
                <w:highlight w:val="none"/>
                <w:vertAlign w:val="baseline"/>
                <w:lang w:val="en-US" w:eastAsia="zh-CN"/>
              </w:rPr>
            </w:pPr>
          </w:p>
        </w:tc>
        <w:tc>
          <w:tcPr>
            <w:tcW w:w="1009" w:type="dxa"/>
            <w:noWrap w:val="0"/>
            <w:vAlign w:val="top"/>
          </w:tcPr>
          <w:p w14:paraId="7DB1026B">
            <w:pPr>
              <w:pStyle w:val="11"/>
              <w:numPr>
                <w:ilvl w:val="0"/>
                <w:numId w:val="0"/>
              </w:numPr>
              <w:rPr>
                <w:rFonts w:hint="eastAsia" w:ascii="宋体" w:hAnsi="宋体" w:eastAsia="宋体" w:cs="宋体"/>
                <w:highlight w:val="none"/>
                <w:vertAlign w:val="baseline"/>
                <w:lang w:val="en-US" w:eastAsia="zh-CN"/>
              </w:rPr>
            </w:pPr>
          </w:p>
        </w:tc>
      </w:tr>
      <w:tr w14:paraId="050F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noWrap w:val="0"/>
            <w:vAlign w:val="top"/>
          </w:tcPr>
          <w:p w14:paraId="79B6FC1F">
            <w:pPr>
              <w:pStyle w:val="11"/>
              <w:numPr>
                <w:ilvl w:val="0"/>
                <w:numId w:val="0"/>
              </w:numPr>
              <w:rPr>
                <w:rFonts w:hint="eastAsia" w:ascii="宋体" w:hAnsi="宋体" w:eastAsia="宋体" w:cs="宋体"/>
                <w:highlight w:val="none"/>
                <w:vertAlign w:val="baseline"/>
                <w:lang w:val="en-US" w:eastAsia="zh-CN"/>
              </w:rPr>
            </w:pPr>
          </w:p>
        </w:tc>
        <w:tc>
          <w:tcPr>
            <w:tcW w:w="1613" w:type="dxa"/>
            <w:noWrap w:val="0"/>
            <w:vAlign w:val="top"/>
          </w:tcPr>
          <w:p w14:paraId="5F5BBFF5">
            <w:pPr>
              <w:pStyle w:val="11"/>
              <w:numPr>
                <w:ilvl w:val="0"/>
                <w:numId w:val="0"/>
              </w:numPr>
              <w:rPr>
                <w:rFonts w:hint="eastAsia" w:ascii="宋体" w:hAnsi="宋体" w:eastAsia="宋体" w:cs="宋体"/>
                <w:highlight w:val="none"/>
                <w:vertAlign w:val="baseline"/>
                <w:lang w:val="en-US" w:eastAsia="zh-CN"/>
              </w:rPr>
            </w:pPr>
          </w:p>
        </w:tc>
        <w:tc>
          <w:tcPr>
            <w:tcW w:w="1630" w:type="dxa"/>
            <w:noWrap w:val="0"/>
            <w:vAlign w:val="top"/>
          </w:tcPr>
          <w:p w14:paraId="46FB88CA">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0462360B">
            <w:pPr>
              <w:pStyle w:val="11"/>
              <w:numPr>
                <w:ilvl w:val="0"/>
                <w:numId w:val="0"/>
              </w:numPr>
              <w:rPr>
                <w:rFonts w:hint="eastAsia" w:ascii="宋体" w:hAnsi="宋体" w:eastAsia="宋体" w:cs="宋体"/>
                <w:highlight w:val="none"/>
                <w:vertAlign w:val="baseline"/>
                <w:lang w:val="en-US" w:eastAsia="zh-CN"/>
              </w:rPr>
            </w:pPr>
          </w:p>
        </w:tc>
        <w:tc>
          <w:tcPr>
            <w:tcW w:w="1339" w:type="dxa"/>
            <w:noWrap w:val="0"/>
            <w:vAlign w:val="top"/>
          </w:tcPr>
          <w:p w14:paraId="2FBC4688">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7CCB8C35">
            <w:pPr>
              <w:pStyle w:val="11"/>
              <w:numPr>
                <w:ilvl w:val="0"/>
                <w:numId w:val="0"/>
              </w:numPr>
              <w:rPr>
                <w:rFonts w:hint="eastAsia" w:ascii="宋体" w:hAnsi="宋体" w:eastAsia="宋体" w:cs="宋体"/>
                <w:highlight w:val="none"/>
                <w:vertAlign w:val="baseline"/>
                <w:lang w:val="en-US" w:eastAsia="zh-CN"/>
              </w:rPr>
            </w:pPr>
          </w:p>
        </w:tc>
        <w:tc>
          <w:tcPr>
            <w:tcW w:w="1009" w:type="dxa"/>
            <w:noWrap w:val="0"/>
            <w:vAlign w:val="top"/>
          </w:tcPr>
          <w:p w14:paraId="527B9E0A">
            <w:pPr>
              <w:pStyle w:val="11"/>
              <w:numPr>
                <w:ilvl w:val="0"/>
                <w:numId w:val="0"/>
              </w:numPr>
              <w:rPr>
                <w:rFonts w:hint="eastAsia" w:ascii="宋体" w:hAnsi="宋体" w:eastAsia="宋体" w:cs="宋体"/>
                <w:highlight w:val="none"/>
                <w:vertAlign w:val="baseline"/>
                <w:lang w:val="en-US" w:eastAsia="zh-CN"/>
              </w:rPr>
            </w:pPr>
          </w:p>
        </w:tc>
      </w:tr>
      <w:tr w14:paraId="1D54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noWrap w:val="0"/>
            <w:vAlign w:val="top"/>
          </w:tcPr>
          <w:p w14:paraId="4565AEDC">
            <w:pPr>
              <w:pStyle w:val="11"/>
              <w:numPr>
                <w:ilvl w:val="0"/>
                <w:numId w:val="0"/>
              </w:numPr>
              <w:rPr>
                <w:rFonts w:hint="eastAsia" w:ascii="宋体" w:hAnsi="宋体" w:eastAsia="宋体" w:cs="宋体"/>
                <w:highlight w:val="none"/>
                <w:vertAlign w:val="baseline"/>
                <w:lang w:val="en-US" w:eastAsia="zh-CN"/>
              </w:rPr>
            </w:pPr>
          </w:p>
        </w:tc>
        <w:tc>
          <w:tcPr>
            <w:tcW w:w="1613" w:type="dxa"/>
            <w:noWrap w:val="0"/>
            <w:vAlign w:val="top"/>
          </w:tcPr>
          <w:p w14:paraId="3E3E2C9B">
            <w:pPr>
              <w:pStyle w:val="11"/>
              <w:numPr>
                <w:ilvl w:val="0"/>
                <w:numId w:val="0"/>
              </w:numPr>
              <w:rPr>
                <w:rFonts w:hint="eastAsia" w:ascii="宋体" w:hAnsi="宋体" w:eastAsia="宋体" w:cs="宋体"/>
                <w:highlight w:val="none"/>
                <w:vertAlign w:val="baseline"/>
                <w:lang w:val="en-US" w:eastAsia="zh-CN"/>
              </w:rPr>
            </w:pPr>
          </w:p>
        </w:tc>
        <w:tc>
          <w:tcPr>
            <w:tcW w:w="1630" w:type="dxa"/>
            <w:noWrap w:val="0"/>
            <w:vAlign w:val="top"/>
          </w:tcPr>
          <w:p w14:paraId="39A7A362">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6F8C9986">
            <w:pPr>
              <w:pStyle w:val="11"/>
              <w:numPr>
                <w:ilvl w:val="0"/>
                <w:numId w:val="0"/>
              </w:numPr>
              <w:rPr>
                <w:rFonts w:hint="eastAsia" w:ascii="宋体" w:hAnsi="宋体" w:eastAsia="宋体" w:cs="宋体"/>
                <w:highlight w:val="none"/>
                <w:vertAlign w:val="baseline"/>
                <w:lang w:val="en-US" w:eastAsia="zh-CN"/>
              </w:rPr>
            </w:pPr>
          </w:p>
        </w:tc>
        <w:tc>
          <w:tcPr>
            <w:tcW w:w="1339" w:type="dxa"/>
            <w:noWrap w:val="0"/>
            <w:vAlign w:val="top"/>
          </w:tcPr>
          <w:p w14:paraId="4A7E322C">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70EBF9D1">
            <w:pPr>
              <w:pStyle w:val="11"/>
              <w:numPr>
                <w:ilvl w:val="0"/>
                <w:numId w:val="0"/>
              </w:numPr>
              <w:rPr>
                <w:rFonts w:hint="eastAsia" w:ascii="宋体" w:hAnsi="宋体" w:eastAsia="宋体" w:cs="宋体"/>
                <w:highlight w:val="none"/>
                <w:vertAlign w:val="baseline"/>
                <w:lang w:val="en-US" w:eastAsia="zh-CN"/>
              </w:rPr>
            </w:pPr>
          </w:p>
        </w:tc>
        <w:tc>
          <w:tcPr>
            <w:tcW w:w="1009" w:type="dxa"/>
            <w:noWrap w:val="0"/>
            <w:vAlign w:val="top"/>
          </w:tcPr>
          <w:p w14:paraId="3E925430">
            <w:pPr>
              <w:pStyle w:val="11"/>
              <w:numPr>
                <w:ilvl w:val="0"/>
                <w:numId w:val="0"/>
              </w:numPr>
              <w:rPr>
                <w:rFonts w:hint="eastAsia" w:ascii="宋体" w:hAnsi="宋体" w:eastAsia="宋体" w:cs="宋体"/>
                <w:highlight w:val="none"/>
                <w:vertAlign w:val="baseline"/>
                <w:lang w:val="en-US" w:eastAsia="zh-CN"/>
              </w:rPr>
            </w:pPr>
          </w:p>
        </w:tc>
      </w:tr>
      <w:tr w14:paraId="1A1F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noWrap w:val="0"/>
            <w:vAlign w:val="top"/>
          </w:tcPr>
          <w:p w14:paraId="3ABCA8CF">
            <w:pPr>
              <w:pStyle w:val="11"/>
              <w:numPr>
                <w:ilvl w:val="0"/>
                <w:numId w:val="0"/>
              </w:numPr>
              <w:rPr>
                <w:rFonts w:hint="eastAsia" w:ascii="宋体" w:hAnsi="宋体" w:eastAsia="宋体" w:cs="宋体"/>
                <w:highlight w:val="none"/>
                <w:vertAlign w:val="baseline"/>
                <w:lang w:val="en-US" w:eastAsia="zh-CN"/>
              </w:rPr>
            </w:pPr>
          </w:p>
        </w:tc>
        <w:tc>
          <w:tcPr>
            <w:tcW w:w="1613" w:type="dxa"/>
            <w:noWrap w:val="0"/>
            <w:vAlign w:val="top"/>
          </w:tcPr>
          <w:p w14:paraId="5A728BBD">
            <w:pPr>
              <w:pStyle w:val="11"/>
              <w:numPr>
                <w:ilvl w:val="0"/>
                <w:numId w:val="0"/>
              </w:numPr>
              <w:rPr>
                <w:rFonts w:hint="eastAsia" w:ascii="宋体" w:hAnsi="宋体" w:eastAsia="宋体" w:cs="宋体"/>
                <w:highlight w:val="none"/>
                <w:vertAlign w:val="baseline"/>
                <w:lang w:val="en-US" w:eastAsia="zh-CN"/>
              </w:rPr>
            </w:pPr>
          </w:p>
        </w:tc>
        <w:tc>
          <w:tcPr>
            <w:tcW w:w="1630" w:type="dxa"/>
            <w:noWrap w:val="0"/>
            <w:vAlign w:val="top"/>
          </w:tcPr>
          <w:p w14:paraId="3C1890F6">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6DBF2523">
            <w:pPr>
              <w:pStyle w:val="11"/>
              <w:numPr>
                <w:ilvl w:val="0"/>
                <w:numId w:val="0"/>
              </w:numPr>
              <w:rPr>
                <w:rFonts w:hint="eastAsia" w:ascii="宋体" w:hAnsi="宋体" w:eastAsia="宋体" w:cs="宋体"/>
                <w:highlight w:val="none"/>
                <w:vertAlign w:val="baseline"/>
                <w:lang w:val="en-US" w:eastAsia="zh-CN"/>
              </w:rPr>
            </w:pPr>
          </w:p>
        </w:tc>
        <w:tc>
          <w:tcPr>
            <w:tcW w:w="1339" w:type="dxa"/>
            <w:noWrap w:val="0"/>
            <w:vAlign w:val="top"/>
          </w:tcPr>
          <w:p w14:paraId="34014B6A">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12A36567">
            <w:pPr>
              <w:pStyle w:val="11"/>
              <w:numPr>
                <w:ilvl w:val="0"/>
                <w:numId w:val="0"/>
              </w:numPr>
              <w:rPr>
                <w:rFonts w:hint="eastAsia" w:ascii="宋体" w:hAnsi="宋体" w:eastAsia="宋体" w:cs="宋体"/>
                <w:highlight w:val="none"/>
                <w:vertAlign w:val="baseline"/>
                <w:lang w:val="en-US" w:eastAsia="zh-CN"/>
              </w:rPr>
            </w:pPr>
          </w:p>
        </w:tc>
        <w:tc>
          <w:tcPr>
            <w:tcW w:w="1009" w:type="dxa"/>
            <w:noWrap w:val="0"/>
            <w:vAlign w:val="top"/>
          </w:tcPr>
          <w:p w14:paraId="71651AA2">
            <w:pPr>
              <w:pStyle w:val="11"/>
              <w:numPr>
                <w:ilvl w:val="0"/>
                <w:numId w:val="0"/>
              </w:numPr>
              <w:rPr>
                <w:rFonts w:hint="eastAsia" w:ascii="宋体" w:hAnsi="宋体" w:eastAsia="宋体" w:cs="宋体"/>
                <w:highlight w:val="none"/>
                <w:vertAlign w:val="baseline"/>
                <w:lang w:val="en-US" w:eastAsia="zh-CN"/>
              </w:rPr>
            </w:pPr>
          </w:p>
        </w:tc>
      </w:tr>
      <w:tr w14:paraId="76F0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noWrap w:val="0"/>
            <w:vAlign w:val="top"/>
          </w:tcPr>
          <w:p w14:paraId="7D935662">
            <w:pPr>
              <w:pStyle w:val="11"/>
              <w:numPr>
                <w:ilvl w:val="0"/>
                <w:numId w:val="0"/>
              </w:numPr>
              <w:rPr>
                <w:rFonts w:hint="eastAsia" w:ascii="宋体" w:hAnsi="宋体" w:eastAsia="宋体" w:cs="宋体"/>
                <w:highlight w:val="none"/>
                <w:vertAlign w:val="baseline"/>
                <w:lang w:val="en-US" w:eastAsia="zh-CN"/>
              </w:rPr>
            </w:pPr>
          </w:p>
        </w:tc>
        <w:tc>
          <w:tcPr>
            <w:tcW w:w="1613" w:type="dxa"/>
            <w:noWrap w:val="0"/>
            <w:vAlign w:val="top"/>
          </w:tcPr>
          <w:p w14:paraId="17F8D8D9">
            <w:pPr>
              <w:pStyle w:val="11"/>
              <w:numPr>
                <w:ilvl w:val="0"/>
                <w:numId w:val="0"/>
              </w:numPr>
              <w:rPr>
                <w:rFonts w:hint="eastAsia" w:ascii="宋体" w:hAnsi="宋体" w:eastAsia="宋体" w:cs="宋体"/>
                <w:highlight w:val="none"/>
                <w:vertAlign w:val="baseline"/>
                <w:lang w:val="en-US" w:eastAsia="zh-CN"/>
              </w:rPr>
            </w:pPr>
          </w:p>
        </w:tc>
        <w:tc>
          <w:tcPr>
            <w:tcW w:w="1630" w:type="dxa"/>
            <w:noWrap w:val="0"/>
            <w:vAlign w:val="top"/>
          </w:tcPr>
          <w:p w14:paraId="15FF40C6">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6F3895E1">
            <w:pPr>
              <w:pStyle w:val="11"/>
              <w:numPr>
                <w:ilvl w:val="0"/>
                <w:numId w:val="0"/>
              </w:numPr>
              <w:rPr>
                <w:rFonts w:hint="eastAsia" w:ascii="宋体" w:hAnsi="宋体" w:eastAsia="宋体" w:cs="宋体"/>
                <w:highlight w:val="none"/>
                <w:vertAlign w:val="baseline"/>
                <w:lang w:val="en-US" w:eastAsia="zh-CN"/>
              </w:rPr>
            </w:pPr>
          </w:p>
        </w:tc>
        <w:tc>
          <w:tcPr>
            <w:tcW w:w="1339" w:type="dxa"/>
            <w:noWrap w:val="0"/>
            <w:vAlign w:val="top"/>
          </w:tcPr>
          <w:p w14:paraId="77CF725E">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647A71FB">
            <w:pPr>
              <w:pStyle w:val="11"/>
              <w:numPr>
                <w:ilvl w:val="0"/>
                <w:numId w:val="0"/>
              </w:numPr>
              <w:rPr>
                <w:rFonts w:hint="eastAsia" w:ascii="宋体" w:hAnsi="宋体" w:eastAsia="宋体" w:cs="宋体"/>
                <w:highlight w:val="none"/>
                <w:vertAlign w:val="baseline"/>
                <w:lang w:val="en-US" w:eastAsia="zh-CN"/>
              </w:rPr>
            </w:pPr>
          </w:p>
        </w:tc>
        <w:tc>
          <w:tcPr>
            <w:tcW w:w="1009" w:type="dxa"/>
            <w:noWrap w:val="0"/>
            <w:vAlign w:val="top"/>
          </w:tcPr>
          <w:p w14:paraId="684AC77A">
            <w:pPr>
              <w:pStyle w:val="11"/>
              <w:numPr>
                <w:ilvl w:val="0"/>
                <w:numId w:val="0"/>
              </w:numPr>
              <w:rPr>
                <w:rFonts w:hint="eastAsia" w:ascii="宋体" w:hAnsi="宋体" w:eastAsia="宋体" w:cs="宋体"/>
                <w:highlight w:val="none"/>
                <w:vertAlign w:val="baseline"/>
                <w:lang w:val="en-US" w:eastAsia="zh-CN"/>
              </w:rPr>
            </w:pPr>
          </w:p>
        </w:tc>
      </w:tr>
      <w:tr w14:paraId="780C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noWrap w:val="0"/>
            <w:vAlign w:val="top"/>
          </w:tcPr>
          <w:p w14:paraId="0B94D8B8">
            <w:pPr>
              <w:pStyle w:val="11"/>
              <w:numPr>
                <w:ilvl w:val="0"/>
                <w:numId w:val="0"/>
              </w:numPr>
              <w:rPr>
                <w:rFonts w:hint="eastAsia" w:ascii="宋体" w:hAnsi="宋体" w:eastAsia="宋体" w:cs="宋体"/>
                <w:highlight w:val="none"/>
                <w:vertAlign w:val="baseline"/>
                <w:lang w:val="en-US" w:eastAsia="zh-CN"/>
              </w:rPr>
            </w:pPr>
          </w:p>
        </w:tc>
        <w:tc>
          <w:tcPr>
            <w:tcW w:w="1613" w:type="dxa"/>
            <w:noWrap w:val="0"/>
            <w:vAlign w:val="top"/>
          </w:tcPr>
          <w:p w14:paraId="0BBFE09F">
            <w:pPr>
              <w:pStyle w:val="11"/>
              <w:numPr>
                <w:ilvl w:val="0"/>
                <w:numId w:val="0"/>
              </w:numPr>
              <w:rPr>
                <w:rFonts w:hint="eastAsia" w:ascii="宋体" w:hAnsi="宋体" w:eastAsia="宋体" w:cs="宋体"/>
                <w:highlight w:val="none"/>
                <w:vertAlign w:val="baseline"/>
                <w:lang w:val="en-US" w:eastAsia="zh-CN"/>
              </w:rPr>
            </w:pPr>
          </w:p>
        </w:tc>
        <w:tc>
          <w:tcPr>
            <w:tcW w:w="1630" w:type="dxa"/>
            <w:noWrap w:val="0"/>
            <w:vAlign w:val="top"/>
          </w:tcPr>
          <w:p w14:paraId="4BA3A9D3">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5560C8B2">
            <w:pPr>
              <w:pStyle w:val="11"/>
              <w:numPr>
                <w:ilvl w:val="0"/>
                <w:numId w:val="0"/>
              </w:numPr>
              <w:rPr>
                <w:rFonts w:hint="eastAsia" w:ascii="宋体" w:hAnsi="宋体" w:eastAsia="宋体" w:cs="宋体"/>
                <w:highlight w:val="none"/>
                <w:vertAlign w:val="baseline"/>
                <w:lang w:val="en-US" w:eastAsia="zh-CN"/>
              </w:rPr>
            </w:pPr>
          </w:p>
        </w:tc>
        <w:tc>
          <w:tcPr>
            <w:tcW w:w="1339" w:type="dxa"/>
            <w:noWrap w:val="0"/>
            <w:vAlign w:val="top"/>
          </w:tcPr>
          <w:p w14:paraId="59A503B9">
            <w:pPr>
              <w:pStyle w:val="11"/>
              <w:numPr>
                <w:ilvl w:val="0"/>
                <w:numId w:val="0"/>
              </w:numPr>
              <w:rPr>
                <w:rFonts w:hint="eastAsia" w:ascii="宋体" w:hAnsi="宋体" w:eastAsia="宋体" w:cs="宋体"/>
                <w:highlight w:val="none"/>
                <w:vertAlign w:val="baseline"/>
                <w:lang w:val="en-US" w:eastAsia="zh-CN"/>
              </w:rPr>
            </w:pPr>
          </w:p>
        </w:tc>
        <w:tc>
          <w:tcPr>
            <w:tcW w:w="1564" w:type="dxa"/>
            <w:noWrap w:val="0"/>
            <w:vAlign w:val="top"/>
          </w:tcPr>
          <w:p w14:paraId="76428B15">
            <w:pPr>
              <w:pStyle w:val="11"/>
              <w:numPr>
                <w:ilvl w:val="0"/>
                <w:numId w:val="0"/>
              </w:numPr>
              <w:rPr>
                <w:rFonts w:hint="eastAsia" w:ascii="宋体" w:hAnsi="宋体" w:eastAsia="宋体" w:cs="宋体"/>
                <w:highlight w:val="none"/>
                <w:vertAlign w:val="baseline"/>
                <w:lang w:val="en-US" w:eastAsia="zh-CN"/>
              </w:rPr>
            </w:pPr>
          </w:p>
        </w:tc>
        <w:tc>
          <w:tcPr>
            <w:tcW w:w="1009" w:type="dxa"/>
            <w:noWrap w:val="0"/>
            <w:vAlign w:val="top"/>
          </w:tcPr>
          <w:p w14:paraId="476033D1">
            <w:pPr>
              <w:pStyle w:val="11"/>
              <w:numPr>
                <w:ilvl w:val="0"/>
                <w:numId w:val="0"/>
              </w:numPr>
              <w:rPr>
                <w:rFonts w:hint="eastAsia" w:ascii="宋体" w:hAnsi="宋体" w:eastAsia="宋体" w:cs="宋体"/>
                <w:highlight w:val="none"/>
                <w:vertAlign w:val="baseline"/>
                <w:lang w:val="en-US" w:eastAsia="zh-CN"/>
              </w:rPr>
            </w:pPr>
          </w:p>
        </w:tc>
      </w:tr>
    </w:tbl>
    <w:p w14:paraId="6ECAFD9C">
      <w:pPr>
        <w:pStyle w:val="11"/>
        <w:numPr>
          <w:ilvl w:val="0"/>
          <w:numId w:val="0"/>
        </w:num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注：本表后附业绩合同或中标通知书复印件加盖企业公章。</w:t>
      </w:r>
    </w:p>
    <w:p w14:paraId="0D43C008">
      <w:pP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br w:type="page"/>
      </w:r>
    </w:p>
    <w:p w14:paraId="46AAFC51">
      <w:pPr>
        <w:spacing w:line="360" w:lineRule="auto"/>
        <w:jc w:val="cente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9、供应商拟派于本项目服务人员情况表</w:t>
      </w:r>
    </w:p>
    <w:p w14:paraId="582E60A0">
      <w:pPr>
        <w:spacing w:line="360" w:lineRule="auto"/>
        <w:jc w:val="center"/>
        <w:rPr>
          <w:rFonts w:hint="eastAsia" w:ascii="宋体" w:hAnsi="宋体" w:eastAsia="宋体" w:cs="宋体"/>
          <w:b/>
          <w:sz w:val="32"/>
          <w:szCs w:val="32"/>
          <w:highlight w:val="none"/>
        </w:rPr>
      </w:pPr>
    </w:p>
    <w:tbl>
      <w:tblPr>
        <w:tblStyle w:val="27"/>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4"/>
        <w:gridCol w:w="1121"/>
        <w:gridCol w:w="1155"/>
        <w:gridCol w:w="1155"/>
        <w:gridCol w:w="1155"/>
        <w:gridCol w:w="1419"/>
        <w:gridCol w:w="890"/>
      </w:tblGrid>
      <w:tr w14:paraId="7F8C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noWrap w:val="0"/>
            <w:vAlign w:val="center"/>
          </w:tcPr>
          <w:p w14:paraId="55A9FD5C">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序号</w:t>
            </w:r>
          </w:p>
        </w:tc>
        <w:tc>
          <w:tcPr>
            <w:tcW w:w="1634" w:type="dxa"/>
            <w:noWrap w:val="0"/>
            <w:vAlign w:val="center"/>
          </w:tcPr>
          <w:p w14:paraId="42D6F062">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职务</w:t>
            </w:r>
          </w:p>
        </w:tc>
        <w:tc>
          <w:tcPr>
            <w:tcW w:w="1121" w:type="dxa"/>
            <w:noWrap w:val="0"/>
            <w:vAlign w:val="center"/>
          </w:tcPr>
          <w:p w14:paraId="45A0E151">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姓名</w:t>
            </w:r>
          </w:p>
        </w:tc>
        <w:tc>
          <w:tcPr>
            <w:tcW w:w="1155" w:type="dxa"/>
            <w:noWrap w:val="0"/>
            <w:vAlign w:val="center"/>
          </w:tcPr>
          <w:p w14:paraId="46B6D04D">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学历</w:t>
            </w:r>
          </w:p>
        </w:tc>
        <w:tc>
          <w:tcPr>
            <w:tcW w:w="1155" w:type="dxa"/>
            <w:noWrap w:val="0"/>
            <w:vAlign w:val="center"/>
          </w:tcPr>
          <w:p w14:paraId="7ABD8E02">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职称</w:t>
            </w:r>
          </w:p>
        </w:tc>
        <w:tc>
          <w:tcPr>
            <w:tcW w:w="1155" w:type="dxa"/>
            <w:noWrap w:val="0"/>
            <w:vAlign w:val="center"/>
          </w:tcPr>
          <w:p w14:paraId="0EFC4EC0">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专业</w:t>
            </w:r>
          </w:p>
        </w:tc>
        <w:tc>
          <w:tcPr>
            <w:tcW w:w="1419" w:type="dxa"/>
            <w:noWrap w:val="0"/>
            <w:vAlign w:val="center"/>
          </w:tcPr>
          <w:p w14:paraId="10594B7C">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工作年限</w:t>
            </w:r>
          </w:p>
        </w:tc>
        <w:tc>
          <w:tcPr>
            <w:tcW w:w="890" w:type="dxa"/>
            <w:noWrap w:val="0"/>
            <w:vAlign w:val="center"/>
          </w:tcPr>
          <w:p w14:paraId="609BB64E">
            <w:pPr>
              <w:spacing w:line="240" w:lineRule="auto"/>
              <w:jc w:val="center"/>
              <w:rPr>
                <w:rFonts w:hint="eastAsia" w:ascii="宋体" w:hAnsi="宋体" w:eastAsia="宋体" w:cs="宋体"/>
                <w:b w:val="0"/>
                <w:bCs/>
                <w:sz w:val="24"/>
                <w:szCs w:val="24"/>
                <w:highlight w:val="none"/>
                <w:vertAlign w:val="baseline"/>
                <w:lang w:eastAsia="zh-CN"/>
              </w:rPr>
            </w:pPr>
            <w:r>
              <w:rPr>
                <w:rFonts w:hint="eastAsia" w:ascii="宋体" w:hAnsi="宋体" w:cs="宋体"/>
                <w:b w:val="0"/>
                <w:bCs/>
                <w:sz w:val="24"/>
                <w:szCs w:val="24"/>
                <w:highlight w:val="none"/>
                <w:vertAlign w:val="baseline"/>
                <w:lang w:eastAsia="zh-CN"/>
              </w:rPr>
              <w:t>备注</w:t>
            </w:r>
          </w:p>
        </w:tc>
      </w:tr>
      <w:tr w14:paraId="2FC4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noWrap w:val="0"/>
            <w:vAlign w:val="top"/>
          </w:tcPr>
          <w:p w14:paraId="2EFA0F49">
            <w:pPr>
              <w:spacing w:line="240" w:lineRule="auto"/>
              <w:jc w:val="center"/>
              <w:rPr>
                <w:rFonts w:hint="eastAsia" w:ascii="宋体" w:hAnsi="宋体" w:cs="宋体"/>
                <w:b w:val="0"/>
                <w:bCs/>
                <w:sz w:val="24"/>
                <w:szCs w:val="24"/>
                <w:highlight w:val="none"/>
                <w:vertAlign w:val="baseline"/>
                <w:lang w:eastAsia="zh-CN"/>
              </w:rPr>
            </w:pPr>
          </w:p>
        </w:tc>
        <w:tc>
          <w:tcPr>
            <w:tcW w:w="1634" w:type="dxa"/>
            <w:noWrap w:val="0"/>
            <w:vAlign w:val="top"/>
          </w:tcPr>
          <w:p w14:paraId="239255A6">
            <w:pPr>
              <w:spacing w:line="240" w:lineRule="auto"/>
              <w:jc w:val="center"/>
              <w:rPr>
                <w:rFonts w:hint="eastAsia" w:ascii="宋体" w:hAnsi="宋体" w:cs="宋体"/>
                <w:b w:val="0"/>
                <w:bCs/>
                <w:sz w:val="24"/>
                <w:szCs w:val="24"/>
                <w:highlight w:val="none"/>
                <w:vertAlign w:val="baseline"/>
                <w:lang w:eastAsia="zh-CN"/>
              </w:rPr>
            </w:pPr>
          </w:p>
        </w:tc>
        <w:tc>
          <w:tcPr>
            <w:tcW w:w="1121" w:type="dxa"/>
            <w:noWrap w:val="0"/>
            <w:vAlign w:val="top"/>
          </w:tcPr>
          <w:p w14:paraId="15954050">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21157479">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07467DE3">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2215FC85">
            <w:pPr>
              <w:spacing w:line="240" w:lineRule="auto"/>
              <w:jc w:val="center"/>
              <w:rPr>
                <w:rFonts w:hint="eastAsia" w:ascii="宋体" w:hAnsi="宋体" w:cs="宋体"/>
                <w:b w:val="0"/>
                <w:bCs/>
                <w:sz w:val="24"/>
                <w:szCs w:val="24"/>
                <w:highlight w:val="none"/>
                <w:vertAlign w:val="baseline"/>
                <w:lang w:eastAsia="zh-CN"/>
              </w:rPr>
            </w:pPr>
          </w:p>
        </w:tc>
        <w:tc>
          <w:tcPr>
            <w:tcW w:w="1419" w:type="dxa"/>
            <w:noWrap w:val="0"/>
            <w:vAlign w:val="top"/>
          </w:tcPr>
          <w:p w14:paraId="6B744506">
            <w:pPr>
              <w:spacing w:line="240" w:lineRule="auto"/>
              <w:jc w:val="center"/>
              <w:rPr>
                <w:rFonts w:hint="eastAsia" w:ascii="宋体" w:hAnsi="宋体" w:cs="宋体"/>
                <w:b w:val="0"/>
                <w:bCs/>
                <w:sz w:val="24"/>
                <w:szCs w:val="24"/>
                <w:highlight w:val="none"/>
                <w:vertAlign w:val="baseline"/>
                <w:lang w:eastAsia="zh-CN"/>
              </w:rPr>
            </w:pPr>
          </w:p>
        </w:tc>
        <w:tc>
          <w:tcPr>
            <w:tcW w:w="890" w:type="dxa"/>
            <w:noWrap w:val="0"/>
            <w:vAlign w:val="top"/>
          </w:tcPr>
          <w:p w14:paraId="02FACEA5">
            <w:pPr>
              <w:spacing w:line="240" w:lineRule="auto"/>
              <w:jc w:val="center"/>
              <w:rPr>
                <w:rFonts w:hint="eastAsia" w:ascii="宋体" w:hAnsi="宋体" w:cs="宋体"/>
                <w:b w:val="0"/>
                <w:bCs/>
                <w:sz w:val="24"/>
                <w:szCs w:val="24"/>
                <w:highlight w:val="none"/>
                <w:vertAlign w:val="baseline"/>
                <w:lang w:eastAsia="zh-CN"/>
              </w:rPr>
            </w:pPr>
          </w:p>
        </w:tc>
      </w:tr>
      <w:tr w14:paraId="764F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noWrap w:val="0"/>
            <w:vAlign w:val="top"/>
          </w:tcPr>
          <w:p w14:paraId="4A6D064D">
            <w:pPr>
              <w:spacing w:line="240" w:lineRule="auto"/>
              <w:jc w:val="center"/>
              <w:rPr>
                <w:rFonts w:hint="eastAsia" w:ascii="宋体" w:hAnsi="宋体" w:cs="宋体"/>
                <w:b w:val="0"/>
                <w:bCs/>
                <w:sz w:val="24"/>
                <w:szCs w:val="24"/>
                <w:highlight w:val="none"/>
                <w:vertAlign w:val="baseline"/>
                <w:lang w:eastAsia="zh-CN"/>
              </w:rPr>
            </w:pPr>
          </w:p>
        </w:tc>
        <w:tc>
          <w:tcPr>
            <w:tcW w:w="1634" w:type="dxa"/>
            <w:noWrap w:val="0"/>
            <w:vAlign w:val="top"/>
          </w:tcPr>
          <w:p w14:paraId="17FD32EB">
            <w:pPr>
              <w:spacing w:line="240" w:lineRule="auto"/>
              <w:jc w:val="center"/>
              <w:rPr>
                <w:rFonts w:hint="eastAsia" w:ascii="宋体" w:hAnsi="宋体" w:cs="宋体"/>
                <w:b w:val="0"/>
                <w:bCs/>
                <w:sz w:val="24"/>
                <w:szCs w:val="24"/>
                <w:highlight w:val="none"/>
                <w:vertAlign w:val="baseline"/>
                <w:lang w:eastAsia="zh-CN"/>
              </w:rPr>
            </w:pPr>
          </w:p>
        </w:tc>
        <w:tc>
          <w:tcPr>
            <w:tcW w:w="1121" w:type="dxa"/>
            <w:noWrap w:val="0"/>
            <w:vAlign w:val="top"/>
          </w:tcPr>
          <w:p w14:paraId="59A9B01A">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79C45418">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5A255DF1">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2C96F04A">
            <w:pPr>
              <w:spacing w:line="240" w:lineRule="auto"/>
              <w:jc w:val="center"/>
              <w:rPr>
                <w:rFonts w:hint="eastAsia" w:ascii="宋体" w:hAnsi="宋体" w:cs="宋体"/>
                <w:b w:val="0"/>
                <w:bCs/>
                <w:sz w:val="24"/>
                <w:szCs w:val="24"/>
                <w:highlight w:val="none"/>
                <w:vertAlign w:val="baseline"/>
                <w:lang w:eastAsia="zh-CN"/>
              </w:rPr>
            </w:pPr>
          </w:p>
        </w:tc>
        <w:tc>
          <w:tcPr>
            <w:tcW w:w="1419" w:type="dxa"/>
            <w:noWrap w:val="0"/>
            <w:vAlign w:val="top"/>
          </w:tcPr>
          <w:p w14:paraId="3D282781">
            <w:pPr>
              <w:spacing w:line="240" w:lineRule="auto"/>
              <w:jc w:val="center"/>
              <w:rPr>
                <w:rFonts w:hint="eastAsia" w:ascii="宋体" w:hAnsi="宋体" w:cs="宋体"/>
                <w:b w:val="0"/>
                <w:bCs/>
                <w:sz w:val="24"/>
                <w:szCs w:val="24"/>
                <w:highlight w:val="none"/>
                <w:vertAlign w:val="baseline"/>
                <w:lang w:eastAsia="zh-CN"/>
              </w:rPr>
            </w:pPr>
          </w:p>
        </w:tc>
        <w:tc>
          <w:tcPr>
            <w:tcW w:w="890" w:type="dxa"/>
            <w:noWrap w:val="0"/>
            <w:vAlign w:val="top"/>
          </w:tcPr>
          <w:p w14:paraId="05A99F2F">
            <w:pPr>
              <w:spacing w:line="240" w:lineRule="auto"/>
              <w:jc w:val="center"/>
              <w:rPr>
                <w:rFonts w:hint="eastAsia" w:ascii="宋体" w:hAnsi="宋体" w:cs="宋体"/>
                <w:b w:val="0"/>
                <w:bCs/>
                <w:sz w:val="24"/>
                <w:szCs w:val="24"/>
                <w:highlight w:val="none"/>
                <w:vertAlign w:val="baseline"/>
                <w:lang w:eastAsia="zh-CN"/>
              </w:rPr>
            </w:pPr>
          </w:p>
        </w:tc>
      </w:tr>
      <w:tr w14:paraId="0DBF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noWrap w:val="0"/>
            <w:vAlign w:val="top"/>
          </w:tcPr>
          <w:p w14:paraId="03CAD7B1">
            <w:pPr>
              <w:spacing w:line="240" w:lineRule="auto"/>
              <w:jc w:val="center"/>
              <w:rPr>
                <w:rFonts w:hint="eastAsia" w:ascii="宋体" w:hAnsi="宋体" w:cs="宋体"/>
                <w:b w:val="0"/>
                <w:bCs/>
                <w:sz w:val="24"/>
                <w:szCs w:val="24"/>
                <w:highlight w:val="none"/>
                <w:vertAlign w:val="baseline"/>
                <w:lang w:eastAsia="zh-CN"/>
              </w:rPr>
            </w:pPr>
          </w:p>
        </w:tc>
        <w:tc>
          <w:tcPr>
            <w:tcW w:w="1634" w:type="dxa"/>
            <w:noWrap w:val="0"/>
            <w:vAlign w:val="top"/>
          </w:tcPr>
          <w:p w14:paraId="17034839">
            <w:pPr>
              <w:spacing w:line="240" w:lineRule="auto"/>
              <w:jc w:val="center"/>
              <w:rPr>
                <w:rFonts w:hint="eastAsia" w:ascii="宋体" w:hAnsi="宋体" w:cs="宋体"/>
                <w:b w:val="0"/>
                <w:bCs/>
                <w:sz w:val="24"/>
                <w:szCs w:val="24"/>
                <w:highlight w:val="none"/>
                <w:vertAlign w:val="baseline"/>
                <w:lang w:eastAsia="zh-CN"/>
              </w:rPr>
            </w:pPr>
          </w:p>
        </w:tc>
        <w:tc>
          <w:tcPr>
            <w:tcW w:w="1121" w:type="dxa"/>
            <w:noWrap w:val="0"/>
            <w:vAlign w:val="top"/>
          </w:tcPr>
          <w:p w14:paraId="34F68625">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76DD64BC">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4FAF55E3">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13816D6D">
            <w:pPr>
              <w:spacing w:line="240" w:lineRule="auto"/>
              <w:jc w:val="center"/>
              <w:rPr>
                <w:rFonts w:hint="eastAsia" w:ascii="宋体" w:hAnsi="宋体" w:cs="宋体"/>
                <w:b w:val="0"/>
                <w:bCs/>
                <w:sz w:val="24"/>
                <w:szCs w:val="24"/>
                <w:highlight w:val="none"/>
                <w:vertAlign w:val="baseline"/>
                <w:lang w:eastAsia="zh-CN"/>
              </w:rPr>
            </w:pPr>
          </w:p>
        </w:tc>
        <w:tc>
          <w:tcPr>
            <w:tcW w:w="1419" w:type="dxa"/>
            <w:noWrap w:val="0"/>
            <w:vAlign w:val="top"/>
          </w:tcPr>
          <w:p w14:paraId="3AD79582">
            <w:pPr>
              <w:spacing w:line="240" w:lineRule="auto"/>
              <w:jc w:val="center"/>
              <w:rPr>
                <w:rFonts w:hint="eastAsia" w:ascii="宋体" w:hAnsi="宋体" w:cs="宋体"/>
                <w:b w:val="0"/>
                <w:bCs/>
                <w:sz w:val="24"/>
                <w:szCs w:val="24"/>
                <w:highlight w:val="none"/>
                <w:vertAlign w:val="baseline"/>
                <w:lang w:eastAsia="zh-CN"/>
              </w:rPr>
            </w:pPr>
          </w:p>
        </w:tc>
        <w:tc>
          <w:tcPr>
            <w:tcW w:w="890" w:type="dxa"/>
            <w:noWrap w:val="0"/>
            <w:vAlign w:val="top"/>
          </w:tcPr>
          <w:p w14:paraId="2D201A09">
            <w:pPr>
              <w:spacing w:line="240" w:lineRule="auto"/>
              <w:jc w:val="center"/>
              <w:rPr>
                <w:rFonts w:hint="eastAsia" w:ascii="宋体" w:hAnsi="宋体" w:cs="宋体"/>
                <w:b w:val="0"/>
                <w:bCs/>
                <w:sz w:val="24"/>
                <w:szCs w:val="24"/>
                <w:highlight w:val="none"/>
                <w:vertAlign w:val="baseline"/>
                <w:lang w:eastAsia="zh-CN"/>
              </w:rPr>
            </w:pPr>
          </w:p>
        </w:tc>
      </w:tr>
      <w:tr w14:paraId="299D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noWrap w:val="0"/>
            <w:vAlign w:val="top"/>
          </w:tcPr>
          <w:p w14:paraId="4671DE08">
            <w:pPr>
              <w:spacing w:line="240" w:lineRule="auto"/>
              <w:jc w:val="center"/>
              <w:rPr>
                <w:rFonts w:hint="eastAsia" w:ascii="宋体" w:hAnsi="宋体" w:cs="宋体"/>
                <w:b w:val="0"/>
                <w:bCs/>
                <w:sz w:val="24"/>
                <w:szCs w:val="24"/>
                <w:highlight w:val="none"/>
                <w:vertAlign w:val="baseline"/>
                <w:lang w:eastAsia="zh-CN"/>
              </w:rPr>
            </w:pPr>
          </w:p>
        </w:tc>
        <w:tc>
          <w:tcPr>
            <w:tcW w:w="1634" w:type="dxa"/>
            <w:noWrap w:val="0"/>
            <w:vAlign w:val="top"/>
          </w:tcPr>
          <w:p w14:paraId="0F66599C">
            <w:pPr>
              <w:spacing w:line="240" w:lineRule="auto"/>
              <w:jc w:val="center"/>
              <w:rPr>
                <w:rFonts w:hint="eastAsia" w:ascii="宋体" w:hAnsi="宋体" w:cs="宋体"/>
                <w:b w:val="0"/>
                <w:bCs/>
                <w:sz w:val="24"/>
                <w:szCs w:val="24"/>
                <w:highlight w:val="none"/>
                <w:vertAlign w:val="baseline"/>
                <w:lang w:eastAsia="zh-CN"/>
              </w:rPr>
            </w:pPr>
          </w:p>
        </w:tc>
        <w:tc>
          <w:tcPr>
            <w:tcW w:w="1121" w:type="dxa"/>
            <w:noWrap w:val="0"/>
            <w:vAlign w:val="top"/>
          </w:tcPr>
          <w:p w14:paraId="28947DDD">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0EE6A846">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2CA3618C">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6186687E">
            <w:pPr>
              <w:spacing w:line="240" w:lineRule="auto"/>
              <w:jc w:val="center"/>
              <w:rPr>
                <w:rFonts w:hint="eastAsia" w:ascii="宋体" w:hAnsi="宋体" w:cs="宋体"/>
                <w:b w:val="0"/>
                <w:bCs/>
                <w:sz w:val="24"/>
                <w:szCs w:val="24"/>
                <w:highlight w:val="none"/>
                <w:vertAlign w:val="baseline"/>
                <w:lang w:eastAsia="zh-CN"/>
              </w:rPr>
            </w:pPr>
          </w:p>
        </w:tc>
        <w:tc>
          <w:tcPr>
            <w:tcW w:w="1419" w:type="dxa"/>
            <w:noWrap w:val="0"/>
            <w:vAlign w:val="top"/>
          </w:tcPr>
          <w:p w14:paraId="7EF13D6E">
            <w:pPr>
              <w:spacing w:line="240" w:lineRule="auto"/>
              <w:jc w:val="center"/>
              <w:rPr>
                <w:rFonts w:hint="eastAsia" w:ascii="宋体" w:hAnsi="宋体" w:cs="宋体"/>
                <w:b w:val="0"/>
                <w:bCs/>
                <w:sz w:val="24"/>
                <w:szCs w:val="24"/>
                <w:highlight w:val="none"/>
                <w:vertAlign w:val="baseline"/>
                <w:lang w:eastAsia="zh-CN"/>
              </w:rPr>
            </w:pPr>
          </w:p>
        </w:tc>
        <w:tc>
          <w:tcPr>
            <w:tcW w:w="890" w:type="dxa"/>
            <w:noWrap w:val="0"/>
            <w:vAlign w:val="top"/>
          </w:tcPr>
          <w:p w14:paraId="64018F51">
            <w:pPr>
              <w:spacing w:line="240" w:lineRule="auto"/>
              <w:jc w:val="center"/>
              <w:rPr>
                <w:rFonts w:hint="eastAsia" w:ascii="宋体" w:hAnsi="宋体" w:cs="宋体"/>
                <w:b w:val="0"/>
                <w:bCs/>
                <w:sz w:val="24"/>
                <w:szCs w:val="24"/>
                <w:highlight w:val="none"/>
                <w:vertAlign w:val="baseline"/>
                <w:lang w:eastAsia="zh-CN"/>
              </w:rPr>
            </w:pPr>
          </w:p>
        </w:tc>
      </w:tr>
      <w:tr w14:paraId="63CD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8" w:type="dxa"/>
            <w:noWrap w:val="0"/>
            <w:vAlign w:val="top"/>
          </w:tcPr>
          <w:p w14:paraId="7570C5AD">
            <w:pPr>
              <w:spacing w:line="240" w:lineRule="auto"/>
              <w:jc w:val="center"/>
              <w:rPr>
                <w:rFonts w:hint="eastAsia" w:ascii="宋体" w:hAnsi="宋体" w:cs="宋体"/>
                <w:b w:val="0"/>
                <w:bCs/>
                <w:sz w:val="24"/>
                <w:szCs w:val="24"/>
                <w:highlight w:val="none"/>
                <w:vertAlign w:val="baseline"/>
                <w:lang w:eastAsia="zh-CN"/>
              </w:rPr>
            </w:pPr>
          </w:p>
        </w:tc>
        <w:tc>
          <w:tcPr>
            <w:tcW w:w="1634" w:type="dxa"/>
            <w:noWrap w:val="0"/>
            <w:vAlign w:val="top"/>
          </w:tcPr>
          <w:p w14:paraId="393F1890">
            <w:pPr>
              <w:spacing w:line="240" w:lineRule="auto"/>
              <w:jc w:val="center"/>
              <w:rPr>
                <w:rFonts w:hint="eastAsia" w:ascii="宋体" w:hAnsi="宋体" w:cs="宋体"/>
                <w:b w:val="0"/>
                <w:bCs/>
                <w:sz w:val="24"/>
                <w:szCs w:val="24"/>
                <w:highlight w:val="none"/>
                <w:vertAlign w:val="baseline"/>
                <w:lang w:eastAsia="zh-CN"/>
              </w:rPr>
            </w:pPr>
          </w:p>
        </w:tc>
        <w:tc>
          <w:tcPr>
            <w:tcW w:w="1121" w:type="dxa"/>
            <w:noWrap w:val="0"/>
            <w:vAlign w:val="top"/>
          </w:tcPr>
          <w:p w14:paraId="751367E3">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72141061">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0D3672E4">
            <w:pPr>
              <w:spacing w:line="240" w:lineRule="auto"/>
              <w:jc w:val="center"/>
              <w:rPr>
                <w:rFonts w:hint="eastAsia" w:ascii="宋体" w:hAnsi="宋体" w:cs="宋体"/>
                <w:b w:val="0"/>
                <w:bCs/>
                <w:sz w:val="24"/>
                <w:szCs w:val="24"/>
                <w:highlight w:val="none"/>
                <w:vertAlign w:val="baseline"/>
                <w:lang w:eastAsia="zh-CN"/>
              </w:rPr>
            </w:pPr>
          </w:p>
        </w:tc>
        <w:tc>
          <w:tcPr>
            <w:tcW w:w="1155" w:type="dxa"/>
            <w:noWrap w:val="0"/>
            <w:vAlign w:val="top"/>
          </w:tcPr>
          <w:p w14:paraId="2697FF20">
            <w:pPr>
              <w:spacing w:line="240" w:lineRule="auto"/>
              <w:jc w:val="center"/>
              <w:rPr>
                <w:rFonts w:hint="eastAsia" w:ascii="宋体" w:hAnsi="宋体" w:cs="宋体"/>
                <w:b w:val="0"/>
                <w:bCs/>
                <w:sz w:val="24"/>
                <w:szCs w:val="24"/>
                <w:highlight w:val="none"/>
                <w:vertAlign w:val="baseline"/>
                <w:lang w:eastAsia="zh-CN"/>
              </w:rPr>
            </w:pPr>
          </w:p>
        </w:tc>
        <w:tc>
          <w:tcPr>
            <w:tcW w:w="1419" w:type="dxa"/>
            <w:noWrap w:val="0"/>
            <w:vAlign w:val="top"/>
          </w:tcPr>
          <w:p w14:paraId="73901415">
            <w:pPr>
              <w:spacing w:line="240" w:lineRule="auto"/>
              <w:jc w:val="center"/>
              <w:rPr>
                <w:rFonts w:hint="eastAsia" w:ascii="宋体" w:hAnsi="宋体" w:cs="宋体"/>
                <w:b w:val="0"/>
                <w:bCs/>
                <w:sz w:val="24"/>
                <w:szCs w:val="24"/>
                <w:highlight w:val="none"/>
                <w:vertAlign w:val="baseline"/>
                <w:lang w:eastAsia="zh-CN"/>
              </w:rPr>
            </w:pPr>
          </w:p>
        </w:tc>
        <w:tc>
          <w:tcPr>
            <w:tcW w:w="890" w:type="dxa"/>
            <w:noWrap w:val="0"/>
            <w:vAlign w:val="top"/>
          </w:tcPr>
          <w:p w14:paraId="1635693E">
            <w:pPr>
              <w:spacing w:line="240" w:lineRule="auto"/>
              <w:jc w:val="center"/>
              <w:rPr>
                <w:rFonts w:hint="eastAsia" w:ascii="宋体" w:hAnsi="宋体" w:cs="宋体"/>
                <w:b w:val="0"/>
                <w:bCs/>
                <w:sz w:val="24"/>
                <w:szCs w:val="24"/>
                <w:highlight w:val="none"/>
                <w:vertAlign w:val="baseline"/>
                <w:lang w:eastAsia="zh-CN"/>
              </w:rPr>
            </w:pPr>
          </w:p>
        </w:tc>
      </w:tr>
    </w:tbl>
    <w:p w14:paraId="42D4A3CA">
      <w:pPr>
        <w:spacing w:line="360" w:lineRule="auto"/>
        <w:jc w:val="center"/>
        <w:rPr>
          <w:rFonts w:hint="eastAsia" w:ascii="宋体" w:hAnsi="宋体" w:eastAsia="宋体" w:cs="宋体"/>
          <w:b/>
          <w:sz w:val="32"/>
          <w:szCs w:val="32"/>
          <w:highlight w:val="none"/>
        </w:rPr>
      </w:pPr>
    </w:p>
    <w:p w14:paraId="7D494C7D">
      <w:pPr>
        <w:rPr>
          <w:rFonts w:hint="eastAsia" w:ascii="宋体" w:hAnsi="宋体" w:eastAsia="宋体" w:cs="宋体"/>
          <w:b/>
          <w:sz w:val="32"/>
          <w:szCs w:val="32"/>
          <w:highlight w:val="none"/>
        </w:rPr>
      </w:pPr>
      <w:r>
        <w:rPr>
          <w:rFonts w:hint="eastAsia" w:ascii="宋体" w:hAnsi="宋体" w:cs="宋体"/>
          <w:b/>
          <w:sz w:val="21"/>
          <w:szCs w:val="21"/>
          <w:highlight w:val="none"/>
          <w:lang w:eastAsia="zh-CN"/>
        </w:rPr>
        <w:t>注：本表须后附从业人员有效健康证</w:t>
      </w:r>
      <w:r>
        <w:rPr>
          <w:rFonts w:hint="eastAsia" w:ascii="宋体" w:hAnsi="宋体" w:cs="宋体"/>
          <w:b/>
          <w:sz w:val="21"/>
          <w:szCs w:val="21"/>
          <w:highlight w:val="none"/>
          <w:lang w:val="en-US" w:eastAsia="zh-CN"/>
        </w:rPr>
        <w:t>等</w:t>
      </w:r>
      <w:r>
        <w:rPr>
          <w:rFonts w:hint="eastAsia" w:ascii="宋体" w:hAnsi="宋体" w:cs="宋体"/>
          <w:b/>
          <w:sz w:val="21"/>
          <w:szCs w:val="21"/>
          <w:highlight w:val="none"/>
          <w:lang w:eastAsia="zh-CN"/>
        </w:rPr>
        <w:t>证明材料</w:t>
      </w:r>
      <w:r>
        <w:rPr>
          <w:rFonts w:hint="eastAsia" w:ascii="宋体" w:hAnsi="宋体" w:eastAsia="宋体" w:cs="宋体"/>
          <w:b/>
          <w:sz w:val="32"/>
          <w:szCs w:val="32"/>
          <w:highlight w:val="none"/>
        </w:rPr>
        <w:br w:type="page"/>
      </w:r>
    </w:p>
    <w:p w14:paraId="2AAAE748">
      <w:pPr>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val="en-US" w:eastAsia="zh-CN"/>
        </w:rPr>
        <w:t>10</w:t>
      </w:r>
      <w:r>
        <w:rPr>
          <w:rFonts w:hint="eastAsia" w:ascii="宋体" w:hAnsi="宋体" w:eastAsia="宋体" w:cs="宋体"/>
          <w:b/>
          <w:sz w:val="32"/>
          <w:szCs w:val="32"/>
          <w:highlight w:val="none"/>
        </w:rPr>
        <w:t>、</w:t>
      </w:r>
      <w:r>
        <w:rPr>
          <w:rFonts w:hint="eastAsia" w:ascii="宋体" w:hAnsi="宋体" w:eastAsia="宋体" w:cs="宋体"/>
          <w:b/>
          <w:sz w:val="32"/>
          <w:szCs w:val="32"/>
          <w:highlight w:val="none"/>
          <w:lang w:val="en-US" w:eastAsia="zh-CN"/>
        </w:rPr>
        <w:t>磋商</w:t>
      </w:r>
      <w:r>
        <w:rPr>
          <w:rFonts w:hint="eastAsia" w:ascii="宋体" w:hAnsi="宋体" w:eastAsia="宋体" w:cs="宋体"/>
          <w:b/>
          <w:sz w:val="32"/>
          <w:szCs w:val="32"/>
          <w:highlight w:val="none"/>
          <w:lang w:eastAsia="zh-CN"/>
        </w:rPr>
        <w:t>保证金</w:t>
      </w:r>
    </w:p>
    <w:p w14:paraId="1F5DDD4A">
      <w:pPr>
        <w:spacing w:line="48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采购</w:t>
      </w:r>
      <w:r>
        <w:rPr>
          <w:rFonts w:hint="eastAsia" w:ascii="宋体" w:hAnsi="宋体" w:eastAsia="宋体" w:cs="宋体"/>
          <w:sz w:val="24"/>
          <w:highlight w:val="none"/>
          <w:u w:val="single"/>
        </w:rPr>
        <w:t>人名称）</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14:paraId="4AB3BF5A">
      <w:pPr>
        <w:spacing w:line="48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u w:val="single"/>
        </w:rPr>
        <w:t xml:space="preserve">        （供应商名称）    </w:t>
      </w:r>
      <w:r>
        <w:rPr>
          <w:rFonts w:hint="eastAsia" w:ascii="宋体" w:hAnsi="宋体" w:eastAsia="宋体" w:cs="宋体"/>
          <w:sz w:val="24"/>
          <w:highlight w:val="none"/>
        </w:rPr>
        <w:t>（以下称“供应商”）于</w:t>
      </w:r>
      <w:r>
        <w:rPr>
          <w:rFonts w:hint="eastAsia" w:ascii="宋体" w:hAnsi="宋体" w:eastAsia="宋体" w:cs="宋体"/>
          <w:sz w:val="24"/>
          <w:highlight w:val="none"/>
          <w:u w:val="single"/>
        </w:rPr>
        <w:t xml:space="preserve">    年   月   日</w:t>
      </w:r>
      <w:r>
        <w:rPr>
          <w:rFonts w:hint="eastAsia" w:ascii="宋体" w:hAnsi="宋体" w:cs="宋体"/>
          <w:sz w:val="24"/>
          <w:highlight w:val="none"/>
          <w:lang w:eastAsia="zh-CN"/>
        </w:rPr>
        <w:t>提交</w:t>
      </w:r>
      <w:r>
        <w:rPr>
          <w:rFonts w:hint="eastAsia" w:ascii="宋体" w:hAnsi="宋体" w:eastAsia="宋体" w:cs="宋体"/>
          <w:sz w:val="24"/>
          <w:highlight w:val="none"/>
        </w:rPr>
        <w:t>了</w:t>
      </w:r>
      <w:r>
        <w:rPr>
          <w:rFonts w:hint="eastAsia" w:ascii="宋体" w:hAnsi="宋体" w:eastAsia="宋体" w:cs="宋体"/>
          <w:sz w:val="24"/>
          <w:highlight w:val="none"/>
          <w:u w:val="single"/>
        </w:rPr>
        <w:t xml:space="preserve">    （项目名称、项目编号）    </w:t>
      </w:r>
      <w:r>
        <w:rPr>
          <w:rFonts w:hint="eastAsia" w:ascii="宋体" w:hAnsi="宋体" w:eastAsia="宋体" w:cs="宋体"/>
          <w:sz w:val="24"/>
          <w:highlight w:val="none"/>
        </w:rPr>
        <w:t>的</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人民币</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元；</w:t>
      </w:r>
    </w:p>
    <w:p w14:paraId="3D809D76">
      <w:pPr>
        <w:spacing w:line="48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如果我方在</w:t>
      </w:r>
      <w:r>
        <w:rPr>
          <w:rFonts w:hint="eastAsia" w:ascii="宋体" w:hAnsi="宋体" w:eastAsia="宋体" w:cs="宋体"/>
          <w:sz w:val="24"/>
          <w:highlight w:val="none"/>
          <w:lang w:eastAsia="zh-CN"/>
        </w:rPr>
        <w:t>投标</w:t>
      </w:r>
      <w:r>
        <w:rPr>
          <w:rFonts w:hint="eastAsia" w:ascii="宋体" w:hAnsi="宋体" w:eastAsia="宋体" w:cs="宋体"/>
          <w:sz w:val="24"/>
          <w:highlight w:val="none"/>
        </w:rPr>
        <w:t>有效期内收到你方的</w:t>
      </w:r>
      <w:r>
        <w:rPr>
          <w:rFonts w:hint="eastAsia" w:ascii="宋体" w:hAnsi="宋体" w:eastAsia="宋体" w:cs="宋体"/>
          <w:sz w:val="24"/>
          <w:highlight w:val="none"/>
          <w:lang w:eastAsia="zh-CN"/>
        </w:rPr>
        <w:t>成交</w:t>
      </w:r>
      <w:r>
        <w:rPr>
          <w:rFonts w:hint="eastAsia" w:ascii="宋体" w:hAnsi="宋体" w:eastAsia="宋体" w:cs="宋体"/>
          <w:sz w:val="24"/>
          <w:highlight w:val="none"/>
        </w:rPr>
        <w:t>通知书后</w:t>
      </w:r>
    </w:p>
    <w:p w14:paraId="29B6ECA0">
      <w:pPr>
        <w:spacing w:line="48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1、不能或拒绝按</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须知的要求签署合同协议书；</w:t>
      </w:r>
    </w:p>
    <w:p w14:paraId="6DF07C67">
      <w:pPr>
        <w:spacing w:line="48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ascii="宋体" w:hAnsi="宋体" w:eastAsia="宋体" w:cs="宋体"/>
          <w:sz w:val="24"/>
          <w:highlight w:val="none"/>
          <w:lang w:eastAsia="zh-CN"/>
        </w:rPr>
        <w:t>投标</w:t>
      </w:r>
      <w:r>
        <w:rPr>
          <w:rFonts w:hint="eastAsia" w:ascii="宋体" w:hAnsi="宋体" w:eastAsia="宋体" w:cs="宋体"/>
          <w:sz w:val="24"/>
          <w:highlight w:val="none"/>
        </w:rPr>
        <w:t>有效期内撤回</w:t>
      </w:r>
      <w:r>
        <w:rPr>
          <w:rFonts w:hint="eastAsia" w:ascii="宋体" w:hAnsi="宋体" w:cs="宋体"/>
          <w:sz w:val="24"/>
          <w:highlight w:val="none"/>
          <w:lang w:eastAsia="zh-CN"/>
        </w:rPr>
        <w:t>响应文件</w:t>
      </w:r>
      <w:r>
        <w:rPr>
          <w:rFonts w:hint="eastAsia" w:ascii="宋体" w:hAnsi="宋体" w:eastAsia="宋体" w:cs="宋体"/>
          <w:sz w:val="24"/>
          <w:highlight w:val="none"/>
        </w:rPr>
        <w:t>。</w:t>
      </w:r>
    </w:p>
    <w:p w14:paraId="2D9D8D28">
      <w:pPr>
        <w:spacing w:line="48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否则你方有权没收我方的</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w:t>
      </w:r>
    </w:p>
    <w:p w14:paraId="61F965FE">
      <w:pPr>
        <w:spacing w:line="48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我方同意</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文件有关</w:t>
      </w:r>
      <w:r>
        <w:rPr>
          <w:rFonts w:hint="eastAsia" w:ascii="宋体" w:hAnsi="宋体" w:eastAsia="宋体" w:cs="宋体"/>
          <w:sz w:val="24"/>
          <w:highlight w:val="none"/>
          <w:lang w:eastAsia="zh-CN"/>
        </w:rPr>
        <w:t>磋商保证金</w:t>
      </w:r>
      <w:r>
        <w:rPr>
          <w:rFonts w:hint="eastAsia" w:ascii="宋体" w:hAnsi="宋体" w:eastAsia="宋体" w:cs="宋体"/>
          <w:sz w:val="24"/>
          <w:highlight w:val="none"/>
        </w:rPr>
        <w:t>规定，并对我方有约束力。</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2A9D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vAlign w:val="top"/>
          </w:tcPr>
          <w:p w14:paraId="01C9CD72">
            <w:pPr>
              <w:rPr>
                <w:rFonts w:hint="eastAsia" w:ascii="宋体" w:hAnsi="宋体" w:eastAsia="宋体" w:cs="宋体"/>
                <w:b/>
                <w:sz w:val="24"/>
                <w:highlight w:val="none"/>
              </w:rPr>
            </w:pPr>
          </w:p>
          <w:p w14:paraId="7CB5FA41">
            <w:pPr>
              <w:ind w:firstLine="361" w:firstLineChars="150"/>
              <w:rPr>
                <w:rFonts w:hint="eastAsia" w:ascii="宋体" w:hAnsi="宋体" w:eastAsia="宋体" w:cs="宋体"/>
                <w:b/>
                <w:sz w:val="24"/>
                <w:highlight w:val="none"/>
              </w:rPr>
            </w:pPr>
            <w:r>
              <w:rPr>
                <w:rFonts w:hint="eastAsia" w:ascii="宋体" w:hAnsi="宋体" w:eastAsia="宋体" w:cs="宋体"/>
                <w:b/>
                <w:sz w:val="24"/>
                <w:highlight w:val="none"/>
              </w:rPr>
              <w:t>附:银行进账回单</w:t>
            </w:r>
          </w:p>
          <w:p w14:paraId="173BC6FC">
            <w:pPr>
              <w:ind w:firstLine="361" w:firstLineChars="150"/>
              <w:rPr>
                <w:rFonts w:hint="eastAsia" w:ascii="宋体" w:hAnsi="宋体" w:eastAsia="宋体" w:cs="宋体"/>
                <w:b/>
                <w:sz w:val="24"/>
                <w:highlight w:val="none"/>
              </w:rPr>
            </w:pPr>
          </w:p>
          <w:p w14:paraId="2C9193C3">
            <w:pPr>
              <w:ind w:firstLine="361" w:firstLineChars="150"/>
              <w:rPr>
                <w:rFonts w:hint="eastAsia" w:ascii="宋体" w:hAnsi="宋体" w:eastAsia="宋体" w:cs="宋体"/>
                <w:b/>
                <w:sz w:val="24"/>
                <w:highlight w:val="none"/>
              </w:rPr>
            </w:pPr>
          </w:p>
          <w:p w14:paraId="099D16BE">
            <w:pPr>
              <w:ind w:firstLine="361" w:firstLineChars="150"/>
              <w:rPr>
                <w:rFonts w:hint="eastAsia" w:ascii="宋体" w:hAnsi="宋体" w:eastAsia="宋体" w:cs="宋体"/>
                <w:b/>
                <w:sz w:val="24"/>
                <w:highlight w:val="none"/>
              </w:rPr>
            </w:pPr>
          </w:p>
          <w:p w14:paraId="65A090C2">
            <w:pPr>
              <w:rPr>
                <w:rFonts w:hint="eastAsia" w:ascii="宋体" w:hAnsi="宋体" w:eastAsia="宋体" w:cs="宋体"/>
                <w:sz w:val="24"/>
                <w:highlight w:val="none"/>
              </w:rPr>
            </w:pPr>
          </w:p>
          <w:p w14:paraId="37AF4B32">
            <w:pPr>
              <w:rPr>
                <w:rFonts w:hint="eastAsia" w:ascii="宋体" w:hAnsi="宋体" w:eastAsia="宋体" w:cs="宋体"/>
                <w:sz w:val="24"/>
                <w:highlight w:val="none"/>
              </w:rPr>
            </w:pPr>
          </w:p>
          <w:p w14:paraId="3C7EB83D">
            <w:pPr>
              <w:rPr>
                <w:rFonts w:hint="eastAsia" w:ascii="宋体" w:hAnsi="宋体" w:eastAsia="宋体" w:cs="宋体"/>
                <w:sz w:val="24"/>
                <w:highlight w:val="none"/>
              </w:rPr>
            </w:pPr>
          </w:p>
        </w:tc>
      </w:tr>
    </w:tbl>
    <w:p w14:paraId="7BE78F7E">
      <w:pPr>
        <w:rPr>
          <w:rFonts w:hint="eastAsia" w:ascii="宋体" w:hAnsi="宋体" w:eastAsia="宋体" w:cs="宋体"/>
          <w:sz w:val="24"/>
          <w:highlight w:val="none"/>
        </w:rPr>
      </w:pPr>
    </w:p>
    <w:p w14:paraId="337CB154">
      <w:pPr>
        <w:rPr>
          <w:rFonts w:hint="eastAsia" w:ascii="宋体" w:hAnsi="宋体" w:eastAsia="宋体" w:cs="宋体"/>
          <w:sz w:val="24"/>
          <w:highlight w:val="none"/>
        </w:rPr>
      </w:pPr>
    </w:p>
    <w:p w14:paraId="06387C93">
      <w:pPr>
        <w:autoSpaceDE w:val="0"/>
        <w:autoSpaceDN w:val="0"/>
        <w:adjustRightInd w:val="0"/>
        <w:spacing w:line="360" w:lineRule="auto"/>
        <w:ind w:right="480" w:firstLine="6120" w:firstLineChars="255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供应商名称（盖章）：</w:t>
      </w:r>
    </w:p>
    <w:p w14:paraId="29E0C8A8">
      <w:pPr>
        <w:autoSpaceDE w:val="0"/>
        <w:autoSpaceDN w:val="0"/>
        <w:adjustRightInd w:val="0"/>
        <w:spacing w:line="360" w:lineRule="auto"/>
        <w:ind w:right="480" w:firstLine="4920" w:firstLineChars="2050"/>
        <w:rPr>
          <w:rFonts w:hint="eastAsia" w:ascii="宋体" w:hAnsi="宋体" w:eastAsia="宋体" w:cs="宋体"/>
          <w:sz w:val="24"/>
          <w:highlight w:val="none"/>
          <w:lang w:val="zh-CN"/>
        </w:rPr>
      </w:pPr>
    </w:p>
    <w:p w14:paraId="1F8BB678">
      <w:pPr>
        <w:autoSpaceDE w:val="0"/>
        <w:autoSpaceDN w:val="0"/>
        <w:adjustRightInd w:val="0"/>
        <w:spacing w:line="360" w:lineRule="auto"/>
        <w:ind w:firstLine="48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法定代表人或其委托代理人（签字）：</w:t>
      </w:r>
    </w:p>
    <w:p w14:paraId="4F45FCAD">
      <w:pPr>
        <w:autoSpaceDE w:val="0"/>
        <w:autoSpaceDN w:val="0"/>
        <w:adjustRightInd w:val="0"/>
        <w:spacing w:line="360" w:lineRule="auto"/>
        <w:ind w:firstLine="480"/>
        <w:jc w:val="right"/>
        <w:rPr>
          <w:rFonts w:hint="eastAsia" w:ascii="宋体" w:hAnsi="宋体" w:eastAsia="宋体" w:cs="宋体"/>
          <w:sz w:val="24"/>
          <w:highlight w:val="none"/>
          <w:lang w:val="zh-CN"/>
        </w:rPr>
      </w:pPr>
    </w:p>
    <w:p w14:paraId="56D74CB2">
      <w:pPr>
        <w:autoSpaceDE w:val="0"/>
        <w:autoSpaceDN w:val="0"/>
        <w:adjustRightInd w:val="0"/>
        <w:ind w:right="48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日期：年月日</w:t>
      </w:r>
    </w:p>
    <w:p w14:paraId="76EE061D">
      <w:pPr>
        <w:rPr>
          <w:rFonts w:hint="eastAsia" w:ascii="宋体" w:hAnsi="宋体" w:eastAsia="宋体" w:cs="宋体"/>
          <w:sz w:val="24"/>
          <w:highlight w:val="none"/>
          <w:lang w:val="zh-CN" w:eastAsia="zh-CN"/>
        </w:rPr>
      </w:pPr>
    </w:p>
    <w:p w14:paraId="4CB32D6B">
      <w:pPr>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注：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51A81925">
      <w:pPr>
        <w:ind w:firstLine="643"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E5AE238">
      <w:pPr>
        <w:spacing w:line="360" w:lineRule="auto"/>
        <w:rPr>
          <w:rFonts w:hint="eastAsia" w:ascii="宋体" w:hAnsi="宋体" w:eastAsia="宋体" w:cs="宋体"/>
          <w:b/>
          <w:sz w:val="24"/>
          <w:highlight w:val="none"/>
        </w:rPr>
        <w:sectPr>
          <w:footerReference r:id="rId8" w:type="first"/>
          <w:footerReference r:id="rId7" w:type="default"/>
          <w:pgSz w:w="11907" w:h="16840"/>
          <w:pgMar w:top="1162" w:right="1418" w:bottom="1418" w:left="1474" w:header="851" w:footer="573" w:gutter="0"/>
          <w:pgNumType w:fmt="decimal"/>
          <w:cols w:space="720" w:num="1"/>
          <w:titlePg/>
          <w:docGrid w:type="lines" w:linePitch="312" w:charSpace="0"/>
        </w:sectPr>
      </w:pPr>
    </w:p>
    <w:p w14:paraId="5A189D22">
      <w:pPr>
        <w:spacing w:line="360" w:lineRule="auto"/>
        <w:jc w:val="center"/>
        <w:outlineLvl w:val="1"/>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11</w:t>
      </w:r>
      <w:r>
        <w:rPr>
          <w:rFonts w:hint="eastAsia" w:ascii="宋体" w:hAnsi="宋体" w:eastAsia="宋体" w:cs="宋体"/>
          <w:b/>
          <w:sz w:val="32"/>
          <w:szCs w:val="32"/>
          <w:highlight w:val="none"/>
        </w:rPr>
        <w:t>、</w:t>
      </w:r>
      <w:r>
        <w:rPr>
          <w:rFonts w:hint="eastAsia" w:ascii="宋体" w:hAnsi="宋体" w:eastAsia="宋体" w:cs="宋体"/>
          <w:b/>
          <w:sz w:val="32"/>
          <w:szCs w:val="32"/>
          <w:highlight w:val="none"/>
          <w:lang w:eastAsia="zh-CN"/>
        </w:rPr>
        <w:t>实施</w:t>
      </w:r>
      <w:r>
        <w:rPr>
          <w:rFonts w:hint="eastAsia" w:ascii="宋体" w:hAnsi="宋体" w:eastAsia="宋体" w:cs="宋体"/>
          <w:b/>
          <w:sz w:val="32"/>
          <w:szCs w:val="32"/>
          <w:highlight w:val="none"/>
        </w:rPr>
        <w:t>方案</w:t>
      </w:r>
    </w:p>
    <w:p w14:paraId="466BF769">
      <w:pPr>
        <w:tabs>
          <w:tab w:val="left" w:pos="0"/>
        </w:tabs>
        <w:spacing w:line="360" w:lineRule="auto"/>
        <w:ind w:left="360" w:hanging="360" w:hangingChars="150"/>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（格式内容自拟）</w:t>
      </w:r>
    </w:p>
    <w:p w14:paraId="6EF0D324">
      <w:pPr>
        <w:tabs>
          <w:tab w:val="left" w:pos="0"/>
        </w:tabs>
        <w:spacing w:line="360" w:lineRule="auto"/>
        <w:ind w:left="360" w:hanging="360" w:hangingChars="150"/>
        <w:jc w:val="center"/>
        <w:rPr>
          <w:rFonts w:hint="eastAsia" w:ascii="宋体" w:hAnsi="宋体" w:eastAsia="宋体" w:cs="宋体"/>
          <w:sz w:val="24"/>
          <w:highlight w:val="none"/>
        </w:rPr>
      </w:pPr>
    </w:p>
    <w:p w14:paraId="71C4793A">
      <w:pPr>
        <w:tabs>
          <w:tab w:val="left" w:pos="0"/>
        </w:tabs>
        <w:spacing w:line="360" w:lineRule="auto"/>
        <w:ind w:left="360" w:hanging="360" w:hangingChars="150"/>
        <w:jc w:val="center"/>
        <w:rPr>
          <w:rFonts w:hint="eastAsia" w:ascii="宋体" w:hAnsi="宋体" w:eastAsia="宋体" w:cs="宋体"/>
          <w:sz w:val="24"/>
          <w:highlight w:val="none"/>
        </w:rPr>
      </w:pPr>
    </w:p>
    <w:p w14:paraId="1EEA1818">
      <w:pPr>
        <w:tabs>
          <w:tab w:val="left" w:pos="0"/>
        </w:tabs>
        <w:spacing w:line="360" w:lineRule="auto"/>
        <w:ind w:left="360" w:hanging="360" w:hangingChars="150"/>
        <w:jc w:val="center"/>
        <w:rPr>
          <w:rFonts w:hint="eastAsia" w:ascii="宋体" w:hAnsi="宋体" w:eastAsia="宋体" w:cs="宋体"/>
          <w:sz w:val="24"/>
          <w:highlight w:val="none"/>
        </w:rPr>
      </w:pPr>
    </w:p>
    <w:p w14:paraId="465D55E5">
      <w:pPr>
        <w:spacing w:line="360" w:lineRule="auto"/>
        <w:outlineLvl w:val="1"/>
        <w:rPr>
          <w:rFonts w:hint="eastAsia" w:ascii="宋体" w:hAnsi="宋体" w:eastAsia="宋体" w:cs="宋体"/>
          <w:b/>
          <w:sz w:val="32"/>
          <w:szCs w:val="32"/>
          <w:highlight w:val="none"/>
        </w:rPr>
      </w:pPr>
    </w:p>
    <w:p w14:paraId="5D251980">
      <w:pPr>
        <w:spacing w:line="360" w:lineRule="auto"/>
        <w:outlineLvl w:val="1"/>
        <w:rPr>
          <w:rFonts w:hint="eastAsia" w:ascii="宋体" w:hAnsi="宋体" w:eastAsia="宋体" w:cs="宋体"/>
          <w:b/>
          <w:sz w:val="32"/>
          <w:szCs w:val="32"/>
          <w:highlight w:val="none"/>
        </w:rPr>
      </w:pPr>
    </w:p>
    <w:p w14:paraId="70221223">
      <w:pPr>
        <w:spacing w:line="360" w:lineRule="auto"/>
        <w:outlineLvl w:val="1"/>
        <w:rPr>
          <w:rFonts w:hint="eastAsia" w:ascii="宋体" w:hAnsi="宋体" w:eastAsia="宋体" w:cs="宋体"/>
          <w:b/>
          <w:sz w:val="32"/>
          <w:szCs w:val="32"/>
          <w:highlight w:val="none"/>
        </w:rPr>
      </w:pPr>
    </w:p>
    <w:p w14:paraId="68F467C8">
      <w:pPr>
        <w:spacing w:line="360" w:lineRule="auto"/>
        <w:outlineLvl w:val="1"/>
        <w:rPr>
          <w:rFonts w:hint="eastAsia" w:ascii="宋体" w:hAnsi="宋体" w:eastAsia="宋体" w:cs="宋体"/>
          <w:b/>
          <w:sz w:val="32"/>
          <w:szCs w:val="32"/>
          <w:highlight w:val="none"/>
        </w:rPr>
      </w:pPr>
    </w:p>
    <w:p w14:paraId="31D87625">
      <w:pPr>
        <w:jc w:val="center"/>
        <w:rPr>
          <w:rFonts w:hint="eastAsia" w:ascii="宋体" w:hAnsi="宋体" w:eastAsia="宋体" w:cs="宋体"/>
          <w:b/>
          <w:sz w:val="32"/>
          <w:szCs w:val="32"/>
          <w:highlight w:val="none"/>
        </w:rPr>
      </w:pPr>
      <w:bookmarkStart w:id="84" w:name="_Toc17971"/>
      <w:r>
        <w:rPr>
          <w:rFonts w:hint="eastAsia" w:ascii="宋体" w:hAnsi="宋体" w:eastAsia="宋体" w:cs="宋体"/>
          <w:b/>
          <w:sz w:val="32"/>
          <w:szCs w:val="32"/>
          <w:highlight w:val="none"/>
        </w:rPr>
        <w:br w:type="page"/>
      </w:r>
      <w:bookmarkEnd w:id="84"/>
      <w:bookmarkStart w:id="85" w:name="_Toc424468861"/>
      <w:r>
        <w:rPr>
          <w:rFonts w:hint="eastAsia" w:ascii="宋体" w:hAnsi="宋体" w:cs="宋体"/>
          <w:b/>
          <w:sz w:val="32"/>
          <w:szCs w:val="32"/>
          <w:highlight w:val="none"/>
          <w:lang w:val="en-US" w:eastAsia="zh-CN"/>
        </w:rPr>
        <w:t>12</w:t>
      </w:r>
      <w:r>
        <w:rPr>
          <w:rFonts w:hint="eastAsia" w:ascii="宋体" w:hAnsi="宋体" w:eastAsia="宋体" w:cs="宋体"/>
          <w:b/>
          <w:sz w:val="32"/>
          <w:szCs w:val="32"/>
          <w:highlight w:val="none"/>
        </w:rPr>
        <w:t>、供应商认为需要提供的其他材料</w:t>
      </w:r>
      <w:bookmarkEnd w:id="85"/>
    </w:p>
    <w:p w14:paraId="346913BB">
      <w:pPr>
        <w:spacing w:line="360" w:lineRule="auto"/>
        <w:jc w:val="left"/>
        <w:rPr>
          <w:rFonts w:hint="eastAsia" w:ascii="宋体" w:hAnsi="宋体" w:eastAsia="宋体" w:cs="宋体"/>
          <w:sz w:val="28"/>
          <w:szCs w:val="28"/>
          <w:highlight w:val="none"/>
        </w:rPr>
      </w:pPr>
    </w:p>
    <w:p w14:paraId="0C738002">
      <w:pPr>
        <w:spacing w:line="360" w:lineRule="auto"/>
        <w:jc w:val="center"/>
        <w:rPr>
          <w:rFonts w:hint="eastAsia" w:ascii="宋体" w:hAnsi="宋体" w:eastAsia="宋体" w:cs="宋体"/>
          <w:sz w:val="28"/>
          <w:highlight w:val="none"/>
        </w:rPr>
      </w:pPr>
      <w:r>
        <w:rPr>
          <w:rFonts w:hint="eastAsia" w:ascii="宋体" w:hAnsi="宋体" w:eastAsia="宋体" w:cs="宋体"/>
          <w:sz w:val="28"/>
          <w:highlight w:val="none"/>
        </w:rPr>
        <w:t>格式自拟</w:t>
      </w:r>
    </w:p>
    <w:p w14:paraId="63DFB698">
      <w:pPr>
        <w:rPr>
          <w:rFonts w:hint="eastAsia" w:ascii="宋体" w:hAnsi="宋体" w:eastAsia="宋体" w:cs="宋体"/>
          <w:b/>
          <w:bCs/>
          <w:sz w:val="32"/>
          <w:szCs w:val="32"/>
          <w:highlight w:val="none"/>
          <w:lang w:val="zh-CN"/>
        </w:rPr>
      </w:pPr>
      <w:r>
        <w:rPr>
          <w:rFonts w:hint="eastAsia" w:ascii="宋体" w:hAnsi="宋体" w:eastAsia="宋体" w:cs="宋体"/>
          <w:b/>
          <w:sz w:val="32"/>
          <w:szCs w:val="32"/>
          <w:highlight w:val="none"/>
        </w:rPr>
        <w:br w:type="page"/>
      </w:r>
      <w:r>
        <w:rPr>
          <w:rFonts w:hint="eastAsia" w:ascii="宋体" w:hAnsi="宋体" w:eastAsia="宋体" w:cs="宋体"/>
          <w:b/>
          <w:bCs/>
          <w:sz w:val="32"/>
          <w:szCs w:val="32"/>
          <w:highlight w:val="none"/>
          <w:lang w:val="zh-CN"/>
        </w:rPr>
        <w:t>附件：</w:t>
      </w:r>
    </w:p>
    <w:p w14:paraId="7C9F4F6E">
      <w:pPr>
        <w:pStyle w:val="4"/>
        <w:spacing w:after="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r>
        <w:rPr>
          <w:rFonts w:hint="eastAsia" w:ascii="宋体" w:hAnsi="宋体" w:eastAsia="宋体" w:cs="宋体"/>
          <w:color w:val="auto"/>
          <w:highlight w:val="none"/>
          <w:lang w:eastAsia="zh-CN"/>
        </w:rPr>
        <w:t>工程、服务</w:t>
      </w:r>
      <w:r>
        <w:rPr>
          <w:rFonts w:hint="eastAsia" w:ascii="宋体" w:hAnsi="宋体" w:eastAsia="宋体" w:cs="宋体"/>
          <w:color w:val="auto"/>
          <w:highlight w:val="none"/>
        </w:rPr>
        <w:t>)</w:t>
      </w:r>
    </w:p>
    <w:p w14:paraId="4D1A5EDB">
      <w:pPr>
        <w:spacing w:line="500" w:lineRule="exact"/>
        <w:ind w:firstLine="420" w:firstLineChars="200"/>
        <w:jc w:val="left"/>
        <w:rPr>
          <w:rFonts w:hint="eastAsia" w:ascii="宋体" w:hAnsi="宋体" w:eastAsia="宋体" w:cs="宋体"/>
          <w:color w:val="auto"/>
          <w:szCs w:val="21"/>
          <w:highlight w:val="none"/>
        </w:rPr>
      </w:pPr>
    </w:p>
    <w:p w14:paraId="014D55FB">
      <w:pPr>
        <w:spacing w:line="500" w:lineRule="exact"/>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eastAsia="zh-CN"/>
        </w:rPr>
        <w:t>（联合体）参加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（单位名称）的（项目名称）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8E2C0CF">
      <w:pPr>
        <w:numPr>
          <w:ilvl w:val="0"/>
          <w:numId w:val="6"/>
        </w:num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479B986A">
      <w:pPr>
        <w:numPr>
          <w:ilvl w:val="0"/>
          <w:numId w:val="6"/>
        </w:numPr>
        <w:spacing w:line="500" w:lineRule="exact"/>
        <w:ind w:left="0" w:leftChars="0"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none"/>
          <w:lang w:val="en-US" w:eastAsia="zh-CN"/>
        </w:rPr>
        <w:t xml:space="preserve">属于 </w:t>
      </w:r>
      <w:r>
        <w:rPr>
          <w:rFonts w:hint="eastAsia" w:ascii="宋体" w:hAnsi="宋体" w:eastAsia="宋体" w:cs="宋体"/>
          <w:color w:val="auto"/>
          <w:sz w:val="24"/>
          <w:szCs w:val="24"/>
          <w:highlight w:val="none"/>
          <w:u w:val="single"/>
          <w:lang w:val="en-US" w:eastAsia="zh-CN"/>
        </w:rPr>
        <w:t>（采购文件内明确的所属行业）</w:t>
      </w:r>
      <w:r>
        <w:rPr>
          <w:rFonts w:hint="eastAsia" w:ascii="宋体" w:hAnsi="宋体" w:eastAsia="宋体" w:cs="宋体"/>
          <w:color w:val="auto"/>
          <w:sz w:val="24"/>
          <w:szCs w:val="24"/>
          <w:highlight w:val="none"/>
          <w:u w:val="none"/>
          <w:lang w:val="en-US" w:eastAsia="zh-CN"/>
        </w:rPr>
        <w:t>；承建（承接）企业为</w:t>
      </w:r>
      <w:r>
        <w:rPr>
          <w:rFonts w:hint="eastAsia" w:ascii="宋体" w:hAnsi="宋体" w:eastAsia="宋体" w:cs="宋体"/>
          <w:color w:val="auto"/>
          <w:sz w:val="24"/>
          <w:szCs w:val="24"/>
          <w:highlight w:val="none"/>
          <w:u w:val="single"/>
          <w:lang w:val="en-US" w:eastAsia="zh-CN"/>
        </w:rPr>
        <w:t xml:space="preserve">    （企业名称），</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人</w:t>
      </w:r>
      <w:r>
        <w:rPr>
          <w:rFonts w:hint="eastAsia" w:ascii="宋体" w:hAnsi="宋体" w:eastAsia="宋体" w:cs="宋体"/>
          <w:color w:val="auto"/>
          <w:sz w:val="24"/>
          <w:szCs w:val="24"/>
          <w:highlight w:val="none"/>
          <w:u w:val="none"/>
          <w:lang w:val="en-US" w:eastAsia="zh-CN"/>
        </w:rPr>
        <w:t>，营业收入为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43DA9549">
      <w:pPr>
        <w:numPr>
          <w:ilvl w:val="0"/>
          <w:numId w:val="0"/>
        </w:numPr>
        <w:spacing w:line="500" w:lineRule="exact"/>
        <w:ind w:left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p w14:paraId="1C7C56D0">
      <w:pPr>
        <w:spacing w:line="500" w:lineRule="exact"/>
        <w:ind w:firstLine="360" w:firstLineChars="1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以上企业不属于大企业的分支机构，不存在控股股东为大企业的情形，也不存在与大企业责任人为同一人的情形。</w:t>
      </w:r>
    </w:p>
    <w:p w14:paraId="7B89F6AA">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对上述声明</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的真实性负责。如有虚假，将</w:t>
      </w:r>
      <w:r>
        <w:rPr>
          <w:rFonts w:hint="eastAsia" w:ascii="宋体" w:hAnsi="宋体" w:eastAsia="宋体" w:cs="宋体"/>
          <w:color w:val="auto"/>
          <w:sz w:val="24"/>
          <w:szCs w:val="24"/>
          <w:highlight w:val="none"/>
          <w:lang w:eastAsia="zh-CN"/>
        </w:rPr>
        <w:t>依法</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eastAsia="zh-CN"/>
        </w:rPr>
        <w:t>担</w:t>
      </w:r>
      <w:r>
        <w:rPr>
          <w:rFonts w:hint="eastAsia" w:ascii="宋体" w:hAnsi="宋体" w:eastAsia="宋体" w:cs="宋体"/>
          <w:color w:val="auto"/>
          <w:sz w:val="24"/>
          <w:szCs w:val="24"/>
          <w:highlight w:val="none"/>
        </w:rPr>
        <w:t>相应责任。</w:t>
      </w:r>
    </w:p>
    <w:p w14:paraId="0BF28F04">
      <w:pPr>
        <w:spacing w:line="500" w:lineRule="exact"/>
        <w:ind w:firstLine="360" w:firstLineChars="150"/>
        <w:jc w:val="left"/>
        <w:rPr>
          <w:rFonts w:hint="eastAsia" w:ascii="宋体" w:hAnsi="宋体" w:eastAsia="宋体" w:cs="宋体"/>
          <w:color w:val="auto"/>
          <w:sz w:val="24"/>
          <w:szCs w:val="24"/>
          <w:highlight w:val="none"/>
        </w:rPr>
      </w:pPr>
    </w:p>
    <w:p w14:paraId="4D73C474">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名称（加盖公章）：</w:t>
      </w:r>
    </w:p>
    <w:p w14:paraId="29682B5E">
      <w:pPr>
        <w:spacing w:line="50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5ECC1F27">
      <w:pPr>
        <w:rPr>
          <w:rFonts w:hint="eastAsia" w:ascii="宋体" w:hAnsi="宋体" w:eastAsia="宋体" w:cs="宋体"/>
          <w:color w:val="auto"/>
          <w:sz w:val="28"/>
          <w:szCs w:val="28"/>
          <w:highlight w:val="none"/>
        </w:rPr>
      </w:pPr>
    </w:p>
    <w:p w14:paraId="502456E2">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w:t>
      </w:r>
    </w:p>
    <w:p w14:paraId="5599053D">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1、从业人员、营业收入、资产总额填报上一年度数据，无上一年度数据的新成立企业可不填报。 </w:t>
      </w:r>
    </w:p>
    <w:p w14:paraId="40E280CA">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2、填写前请认真阅读《关于印发中小企业划型标准规定的通知》（工信部联企业[2011]300 号）和《关于 印发＜政府采购促进中小企业发展管理办法＞的通知》 (财库﹝2020﹞46 号)相关规定。 </w:t>
      </w:r>
    </w:p>
    <w:p w14:paraId="3FA593AD">
      <w:pPr>
        <w:spacing w:line="500" w:lineRule="exact"/>
        <w:ind w:firstLine="316" w:firstLineChars="15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3、未按上述要求提供、填写的，评审时不予以考虑。</w:t>
      </w:r>
    </w:p>
    <w:p w14:paraId="2FF261EA">
      <w:pPr>
        <w:rPr>
          <w:rFonts w:hint="eastAsia" w:ascii="宋体" w:hAnsi="宋体" w:eastAsia="宋体" w:cs="宋体"/>
          <w:b/>
          <w:sz w:val="32"/>
          <w:szCs w:val="32"/>
          <w:highlight w:val="none"/>
          <w:lang w:val="en-US" w:eastAsia="zh-CN"/>
        </w:rPr>
      </w:pPr>
    </w:p>
    <w:p w14:paraId="72923494">
      <w:pPr>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 xml:space="preserve">残疾人福利性单位声明函（如是） </w:t>
      </w:r>
    </w:p>
    <w:p w14:paraId="180440D5">
      <w:pPr>
        <w:spacing w:line="500" w:lineRule="exact"/>
        <w:ind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eastAsia="宋体" w:cs="宋体"/>
          <w:sz w:val="24"/>
          <w:szCs w:val="24"/>
          <w:highlight w:val="none"/>
          <w:u w:val="single"/>
          <w:lang w:val="en-US" w:eastAsia="zh-CN"/>
        </w:rPr>
        <w:t xml:space="preserve">    （采购人名称）      </w:t>
      </w:r>
      <w:r>
        <w:rPr>
          <w:rFonts w:hint="eastAsia" w:ascii="宋体" w:hAnsi="宋体" w:eastAsia="宋体" w:cs="宋体"/>
          <w:sz w:val="24"/>
          <w:szCs w:val="24"/>
          <w:highlight w:val="none"/>
          <w:u w:val="none"/>
          <w:lang w:val="en-US" w:eastAsia="zh-CN"/>
        </w:rPr>
        <w:t>单位的</w:t>
      </w:r>
      <w:r>
        <w:rPr>
          <w:rFonts w:hint="eastAsia" w:ascii="宋体" w:hAnsi="宋体" w:eastAsia="宋体" w:cs="宋体"/>
          <w:sz w:val="24"/>
          <w:szCs w:val="24"/>
          <w:highlight w:val="none"/>
          <w:u w:val="single"/>
          <w:lang w:val="en-US" w:eastAsia="zh-CN"/>
        </w:rPr>
        <w:t xml:space="preserve">   （采购项目名称）    </w:t>
      </w:r>
      <w:r>
        <w:rPr>
          <w:rFonts w:hint="eastAsia" w:ascii="宋体" w:hAnsi="宋体" w:eastAsia="宋体" w:cs="宋体"/>
          <w:sz w:val="24"/>
          <w:szCs w:val="24"/>
          <w:highlight w:val="none"/>
          <w:u w:val="none"/>
          <w:lang w:val="en-US" w:eastAsia="zh-CN"/>
        </w:rPr>
        <w:t xml:space="preserve">项目采购活动提供本单位制造的货物（由本单位承担工程/提供服务），或者提供其他残疾人福利性单位制造的货物（不包括使用非残疾人福利性单位注册商标的货物）。 </w:t>
      </w:r>
    </w:p>
    <w:p w14:paraId="27979D23">
      <w:pPr>
        <w:spacing w:line="500" w:lineRule="exact"/>
        <w:ind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本单位对上述声明的真实性负责。如有虚假，将依法承担相应责任。 </w:t>
      </w:r>
    </w:p>
    <w:p w14:paraId="6D96A932">
      <w:pPr>
        <w:spacing w:line="500" w:lineRule="exact"/>
        <w:ind w:firstLine="480" w:firstLineChars="200"/>
        <w:jc w:val="right"/>
        <w:rPr>
          <w:rFonts w:hint="eastAsia" w:ascii="宋体" w:hAnsi="宋体" w:eastAsia="宋体" w:cs="宋体"/>
          <w:sz w:val="24"/>
          <w:szCs w:val="24"/>
          <w:highlight w:val="none"/>
          <w:u w:val="none"/>
          <w:lang w:val="en-US" w:eastAsia="zh-CN"/>
        </w:rPr>
      </w:pPr>
    </w:p>
    <w:p w14:paraId="3636B7BF">
      <w:pPr>
        <w:spacing w:line="500" w:lineRule="exact"/>
        <w:ind w:firstLine="480" w:firstLineChars="200"/>
        <w:jc w:val="righ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单位名称（盖章）： </w:t>
      </w:r>
    </w:p>
    <w:p w14:paraId="3667635E">
      <w:pPr>
        <w:spacing w:line="500" w:lineRule="exact"/>
        <w:ind w:firstLine="480" w:firstLineChars="200"/>
        <w:jc w:val="center"/>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                                              日期</w:t>
      </w:r>
    </w:p>
    <w:p w14:paraId="2156B3C1">
      <w:pPr>
        <w:pStyle w:val="11"/>
        <w:rPr>
          <w:rFonts w:hint="eastAsia" w:ascii="宋体" w:hAnsi="宋体" w:eastAsia="宋体" w:cs="宋体"/>
          <w:highlight w:val="none"/>
        </w:rPr>
      </w:pPr>
    </w:p>
    <w:p w14:paraId="1339BA1E">
      <w:pPr>
        <w:spacing w:line="360" w:lineRule="auto"/>
        <w:jc w:val="left"/>
        <w:rPr>
          <w:rFonts w:hint="eastAsia" w:ascii="宋体" w:hAnsi="宋体" w:eastAsia="宋体" w:cs="宋体"/>
          <w:sz w:val="28"/>
          <w:szCs w:val="28"/>
          <w:highlight w:val="none"/>
        </w:rPr>
      </w:pPr>
    </w:p>
    <w:p w14:paraId="582CAA08">
      <w:pPr>
        <w:spacing w:line="360" w:lineRule="auto"/>
        <w:jc w:val="left"/>
        <w:rPr>
          <w:rFonts w:hint="eastAsia" w:ascii="宋体" w:hAnsi="宋体" w:eastAsia="宋体" w:cs="宋体"/>
          <w:sz w:val="24"/>
          <w:szCs w:val="24"/>
          <w:highlight w:val="none"/>
          <w:lang w:eastAsia="zh-CN"/>
        </w:rPr>
      </w:pPr>
    </w:p>
    <w:p w14:paraId="5200E50D">
      <w:pPr>
        <w:spacing w:line="360"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注：</w:t>
      </w:r>
    </w:p>
    <w:p w14:paraId="45CA6DF6">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1、残疾人福利性单位视同小型、微型企业，享受预留份额、评审中价格扣除等促进中小企业发展的政府采购政策。残疾人福利性单位属于小型、微型企业的，不重复享受政策。</w:t>
      </w:r>
    </w:p>
    <w:p w14:paraId="62DE36DA">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2、供应商为非残疾人福利性单位的，可不提供此声明。</w:t>
      </w:r>
    </w:p>
    <w:p w14:paraId="4B6287D2">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1B346FA1">
      <w:pPr>
        <w:spacing w:line="360" w:lineRule="auto"/>
        <w:jc w:val="center"/>
        <w:outlineLvl w:val="1"/>
        <w:rPr>
          <w:rFonts w:hint="eastAsia" w:ascii="宋体" w:hAnsi="宋体" w:eastAsia="宋体" w:cs="宋体"/>
          <w:b/>
          <w:sz w:val="32"/>
          <w:szCs w:val="32"/>
          <w:highlight w:val="none"/>
          <w:lang w:val="en-US" w:eastAsia="zh-CN"/>
        </w:rPr>
      </w:pPr>
    </w:p>
    <w:p w14:paraId="5E4E0477">
      <w:pPr>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监狱企业证明文件（如是）</w:t>
      </w:r>
    </w:p>
    <w:p w14:paraId="3F1CD0B4">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27BEEA4A">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32B40BCD">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72FC589D">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省级以上监狱管理局、戒毒管理局（含新疆生产建设兵团）出具的属于监狱企业的证明文件。 </w:t>
      </w:r>
    </w:p>
    <w:p w14:paraId="04DD2253">
      <w:pPr>
        <w:rPr>
          <w:rFonts w:hint="eastAsia" w:ascii="宋体" w:hAnsi="宋体" w:eastAsia="宋体" w:cs="宋体"/>
          <w:b/>
          <w:szCs w:val="21"/>
          <w:highlight w:val="none"/>
        </w:rPr>
      </w:pPr>
    </w:p>
    <w:p w14:paraId="6F0D74C8">
      <w:pPr>
        <w:rPr>
          <w:rFonts w:hint="eastAsia" w:ascii="宋体" w:hAnsi="宋体" w:eastAsia="宋体" w:cs="宋体"/>
          <w:b/>
          <w:szCs w:val="21"/>
          <w:highlight w:val="none"/>
        </w:rPr>
      </w:pPr>
    </w:p>
    <w:p w14:paraId="0E792AFD">
      <w:pPr>
        <w:rPr>
          <w:rFonts w:hint="eastAsia" w:ascii="宋体" w:hAnsi="宋体" w:eastAsia="宋体" w:cs="宋体"/>
          <w:b/>
          <w:szCs w:val="21"/>
          <w:highlight w:val="none"/>
        </w:rPr>
      </w:pPr>
    </w:p>
    <w:p w14:paraId="34763A7F">
      <w:pPr>
        <w:spacing w:line="360" w:lineRule="auto"/>
        <w:jc w:val="left"/>
        <w:rPr>
          <w:rFonts w:hint="eastAsia" w:ascii="宋体" w:hAnsi="宋体" w:eastAsia="宋体" w:cs="宋体"/>
          <w:sz w:val="24"/>
          <w:szCs w:val="24"/>
          <w:highlight w:val="none"/>
          <w:lang w:eastAsia="zh-CN"/>
        </w:rPr>
      </w:pPr>
    </w:p>
    <w:p w14:paraId="60C2F893">
      <w:pPr>
        <w:spacing w:line="360" w:lineRule="auto"/>
        <w:jc w:val="left"/>
        <w:rPr>
          <w:rFonts w:hint="eastAsia" w:ascii="宋体" w:hAnsi="宋体" w:eastAsia="宋体" w:cs="宋体"/>
          <w:sz w:val="24"/>
          <w:szCs w:val="24"/>
          <w:highlight w:val="none"/>
          <w:lang w:eastAsia="zh-CN"/>
        </w:rPr>
      </w:pPr>
    </w:p>
    <w:p w14:paraId="471D3BF2">
      <w:pPr>
        <w:spacing w:line="360" w:lineRule="auto"/>
        <w:jc w:val="left"/>
        <w:rPr>
          <w:rFonts w:hint="eastAsia" w:ascii="宋体" w:hAnsi="宋体" w:eastAsia="宋体" w:cs="宋体"/>
          <w:sz w:val="24"/>
          <w:szCs w:val="24"/>
          <w:highlight w:val="none"/>
          <w:lang w:eastAsia="zh-CN"/>
        </w:rPr>
      </w:pPr>
    </w:p>
    <w:p w14:paraId="2817A2CA">
      <w:pPr>
        <w:spacing w:line="360"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注：</w:t>
      </w:r>
    </w:p>
    <w:p w14:paraId="79B31FD5">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1</w:t>
      </w:r>
      <w:r>
        <w:rPr>
          <w:rFonts w:hint="eastAsia" w:ascii="宋体" w:hAnsi="宋体" w:cs="宋体"/>
          <w:b/>
          <w:bCs/>
          <w:sz w:val="21"/>
          <w:szCs w:val="21"/>
          <w:highlight w:val="none"/>
          <w:u w:val="none"/>
          <w:lang w:val="en-US" w:eastAsia="zh-CN"/>
        </w:rPr>
        <w:t>、</w:t>
      </w:r>
      <w:r>
        <w:rPr>
          <w:rFonts w:hint="eastAsia" w:ascii="宋体" w:hAnsi="宋体" w:eastAsia="宋体" w:cs="宋体"/>
          <w:b/>
          <w:bCs/>
          <w:sz w:val="21"/>
          <w:szCs w:val="21"/>
          <w:highlight w:val="none"/>
          <w:u w:val="none"/>
          <w:lang w:val="en-US" w:eastAsia="zh-CN"/>
        </w:rPr>
        <w:t>监狱企业视同小型、微型企业，享受预留份额、评审中价格扣除等促进中小企业发展的政府采购政策。监狱企业属于小型、微型企业的，不重复享受政策。</w:t>
      </w:r>
    </w:p>
    <w:p w14:paraId="2D207289">
      <w:pPr>
        <w:spacing w:line="500" w:lineRule="exact"/>
        <w:ind w:firstLine="422" w:firstLineChars="200"/>
        <w:jc w:val="left"/>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u w:val="none"/>
          <w:lang w:val="en-US" w:eastAsia="zh-CN"/>
        </w:rPr>
        <w:t>2、供应商为非监狱企业的，可不提供此证明。</w:t>
      </w:r>
    </w:p>
    <w:p w14:paraId="6A084833">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149D0F8C">
      <w:pPr>
        <w:spacing w:line="31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政府采购促进中小企业发展管理办法</w:t>
      </w:r>
    </w:p>
    <w:p w14:paraId="55A6EC24">
      <w:pPr>
        <w:spacing w:line="312" w:lineRule="auto"/>
        <w:rPr>
          <w:rFonts w:hint="eastAsia" w:ascii="宋体" w:hAnsi="宋体" w:eastAsia="宋体" w:cs="宋体"/>
          <w:sz w:val="24"/>
          <w:szCs w:val="24"/>
          <w:highlight w:val="none"/>
        </w:rPr>
      </w:pPr>
    </w:p>
    <w:p w14:paraId="0306D3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第一条　为了发挥政府采购的政策功能，促进中小企业健康发展，根据《中华人民共和国政府采购法》、《中华人民共和国中小企业促进法》等有关法律法规，制定本办法。</w:t>
      </w:r>
    </w:p>
    <w:p w14:paraId="4D2FC4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E7443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4C9D765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0F818DA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第四条　在政府采购活动中，供应商提供的货物、工程或者服务符合下列情形的，享受本办法规定的中小企业扶持政策：</w:t>
      </w:r>
    </w:p>
    <w:p w14:paraId="0E33BE6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（一）在货物采购项目中，货物由中小企业制造，即货物由中小企业生产且使用该中小企业商号或者注册商标；</w:t>
      </w:r>
    </w:p>
    <w:p w14:paraId="690203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（二）在工程采购项目中，工程由中小企业承建，即工程施工单位为中小企业；</w:t>
      </w:r>
    </w:p>
    <w:p w14:paraId="29B47D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（三）在服务采购项目中，服务由中小企业承接，即提供服务的人员为中小企业依照《中华人民共和国劳动合同法》订立劳动合同的从业人员。</w:t>
      </w:r>
    </w:p>
    <w:p w14:paraId="322F7F0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14:paraId="3245247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14:paraId="55DFA4C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FE4202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4567E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符合下列情形之一的，可不专门面向中小企业预留采购份额：</w:t>
      </w:r>
    </w:p>
    <w:p w14:paraId="6681BC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（一）法律法规和国家有关政策明确规定优先或者应当面向事业单位、社会组织等非企业主体采购的；</w:t>
      </w:r>
    </w:p>
    <w:p w14:paraId="38662E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（二）因确需使用不可替代的专利、专有技术，基础设施限制，或者提供特定公共服务等原因，只能从中小企业之外的供应商处采购的；</w:t>
      </w:r>
    </w:p>
    <w:p w14:paraId="4CC7792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（三）按照本办法规定预留采购份额无法确保充分供应、充分竞争，或者存在可能影响政府采购目标实现的情形；</w:t>
      </w:r>
    </w:p>
    <w:p w14:paraId="1CB37CD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（四）框架协议采购项目；</w:t>
      </w:r>
    </w:p>
    <w:p w14:paraId="5CC55D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（五）省级以上人民政府财政部门规定的其他情形。</w:t>
      </w:r>
    </w:p>
    <w:p w14:paraId="1168D59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除上述情形外，其他均为适宜由中小企业提供的情形。</w:t>
      </w:r>
    </w:p>
    <w:p w14:paraId="0C063C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第七条　采购限额标准以上，200万元以下的货物和服务采购项目、400万元以下的工程采购项目，适宜由中小企业提供的，采购人应当专门面向中小企业采购。</w:t>
      </w:r>
    </w:p>
    <w:p w14:paraId="326AF40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BF716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（一）将采购项目整体或者设置采购包专门面向中小企业采购；</w:t>
      </w:r>
    </w:p>
    <w:p w14:paraId="0110D8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（二）要求供应商以联合体形式参加采购活动，且联合体中中小企业承担的部分达到一定比例；</w:t>
      </w:r>
    </w:p>
    <w:p w14:paraId="52883C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（三）要求获得采购合同的供应商将采购项目中的一定比例分包给一家或者多家中小企业。</w:t>
      </w:r>
    </w:p>
    <w:p w14:paraId="424F022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组成联合体或者接受分包合同的中小企业与联合体内其他企业、分包企业之间不得存在直接控股、管理关系。</w:t>
      </w:r>
    </w:p>
    <w:p w14:paraId="76ACF96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F910F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5FEE6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CBFCD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113B6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7D9CC6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采购项目涉及中小企业采购的，</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应当明确以下内容：</w:t>
      </w:r>
    </w:p>
    <w:p w14:paraId="65318D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（一）预留份额的采购项目或者采购包，明确该项目或相关采购包专门面向中小企业采购，以及相关标的及预算金额；</w:t>
      </w:r>
    </w:p>
    <w:p w14:paraId="71FDA1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（二）要求以联合体形式参加或者合同分包的，明确联合协议或者分包意向协议中中小企业合同金额应当达到的比例，并作为供应商资格条件；</w:t>
      </w:r>
    </w:p>
    <w:p w14:paraId="36AF0A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（三）非预留份额的采购项目或者采购包，明确有关价格扣除比例或者价格分加分比例；</w:t>
      </w:r>
    </w:p>
    <w:p w14:paraId="628D15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（四）规定依据本办法规定享受扶持政策获得政府采购合同的，小微企业不得将合同分包给大中型企业，中型企业不得将合同分包给大型企业；</w:t>
      </w:r>
    </w:p>
    <w:p w14:paraId="231EA1A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（五）采购人认为具备相关条件的，明确对中小企业在资金支付期限、预付款比例等方面的优惠措施；</w:t>
      </w:r>
    </w:p>
    <w:p w14:paraId="6A5283A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（六）明确采购标的对应的中小企业划分标准所属行业；</w:t>
      </w:r>
    </w:p>
    <w:p w14:paraId="30AE9D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（七）法律法规和省级以上人民政府财政部门规定的其他事项。</w:t>
      </w:r>
    </w:p>
    <w:p w14:paraId="19861E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中标、成交供应商享受本办法规定的中小企业扶持政策的，采购人、采购代理机构应当随中标、成交结果公开中标、成交供应商的《中小企业声明函》。</w:t>
      </w:r>
    </w:p>
    <w:p w14:paraId="6416B86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适用招标投标法的政府采购工程建设项目，应当在公示中标候选人时公开中标候选人的《中小企业声明函》。</w:t>
      </w:r>
    </w:p>
    <w:p w14:paraId="5CD474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45CAF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F27541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第十六条　政府采购监督检查、投诉处理及政府采购行政处罚中对中小企业的认定，由货物制造商或者工程、服务供应商注册登记所在地的县级以上人民政府中小企业主管部门负责。</w:t>
      </w:r>
    </w:p>
    <w:p w14:paraId="56C31A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中小企业主管部门应当在收到财政部门或者有关招标投标行政监督部门关于协助开展中小企业认定函后10个工作日内做出书面答复。</w:t>
      </w:r>
    </w:p>
    <w:p w14:paraId="1811B15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3932E6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177B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3F6C92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第二十条　供应商按照本办法规定提供声明函内容不实的，属于提供虚假材料谋取中标、成交，依照《中华人民共和国政府采购法》等国家有关规定追究相应责任。</w:t>
      </w:r>
    </w:p>
    <w:p w14:paraId="7132F2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适用招标投标法的政府采购工程建设项目，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按照本办法规定提供声明函内容不实的，属于弄虚作假骗取中标，依照《中华人民共和国招标投标法》等国家有关规定追究相应责任。</w:t>
      </w:r>
    </w:p>
    <w:p w14:paraId="72FFCF0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991D6F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第二十二条　对外援助项目、国家相关资格或者资质管理制度另有规定的项目，不适用本办法。</w:t>
      </w:r>
    </w:p>
    <w:p w14:paraId="456F8E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第二十三条　关于视同中小企业的其他主体的政府采购扶持政策，由财政部会同有关部门另行规定。</w:t>
      </w:r>
    </w:p>
    <w:p w14:paraId="6E23EC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第二十四条　省级财政部门可以会同中小企业主管部门根据本办法的规定制定具体实施办法。</w:t>
      </w:r>
    </w:p>
    <w:p w14:paraId="331209B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第二十五条　本办法自2021年1月1日起施行。《财政部工业和信息化部关于印发〈政府采购促进中小企业发展暂行办法〉的通知》（财库﹝2011﹞181号）同时废止。</w:t>
      </w:r>
    </w:p>
    <w:p w14:paraId="31C09063">
      <w:pPr>
        <w:spacing w:line="312" w:lineRule="auto"/>
        <w:rPr>
          <w:rFonts w:hint="eastAsia" w:ascii="宋体" w:hAnsi="宋体" w:eastAsia="宋体" w:cs="宋体"/>
          <w:sz w:val="24"/>
          <w:szCs w:val="24"/>
          <w:highlight w:val="none"/>
        </w:rPr>
      </w:pPr>
    </w:p>
    <w:p w14:paraId="15519243">
      <w:pPr>
        <w:rPr>
          <w:rFonts w:hint="eastAsia" w:ascii="宋体" w:hAnsi="宋体" w:eastAsia="宋体" w:cs="宋体"/>
          <w:sz w:val="24"/>
          <w:szCs w:val="24"/>
          <w:highlight w:val="none"/>
          <w:lang w:eastAsia="zh-CN"/>
        </w:rPr>
      </w:pPr>
    </w:p>
    <w:p w14:paraId="2DC3FFDD">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24633ED4">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关于进一步加大政府采购支持中小企业力度的通知</w:t>
      </w:r>
    </w:p>
    <w:p w14:paraId="1D424B55">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财库〔2022〕19号</w:t>
      </w:r>
    </w:p>
    <w:p w14:paraId="21EB1BC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各中央预算单位，各省、自治区、直辖市、计划单列市财政厅（局），新疆生产建设兵团财政局：</w:t>
      </w:r>
    </w:p>
    <w:p w14:paraId="25A142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45A60D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F4234F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438AFD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A963AF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四、认真做好组织实施。各地区、各部门应当加强组织领导，明确工作责任，细化执行要求，强化监督检查，确保国务院部署落实到位，对通知执行中出现的问题要及时向财政部报告。</w:t>
      </w:r>
    </w:p>
    <w:p w14:paraId="1129C6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本通知自2022年7月1日起执行。</w:t>
      </w:r>
    </w:p>
    <w:p w14:paraId="6163FC7D">
      <w:pPr>
        <w:pStyle w:val="22"/>
        <w:rPr>
          <w:rFonts w:hint="eastAsia"/>
          <w:highlight w:val="none"/>
          <w:lang w:eastAsia="zh-CN"/>
        </w:rPr>
      </w:pPr>
    </w:p>
    <w:p w14:paraId="416F230A">
      <w:pPr>
        <w:pStyle w:val="22"/>
        <w:rPr>
          <w:rFonts w:hint="eastAsia"/>
          <w:highlight w:val="none"/>
          <w:lang w:eastAsia="zh-CN"/>
        </w:rPr>
      </w:pPr>
    </w:p>
    <w:p w14:paraId="2178AE1C">
      <w:pPr>
        <w:pStyle w:val="22"/>
        <w:rPr>
          <w:rFonts w:hint="eastAsia"/>
          <w:highlight w:val="none"/>
          <w:lang w:eastAsia="zh-CN"/>
        </w:rPr>
      </w:pPr>
    </w:p>
    <w:p w14:paraId="7D30040C">
      <w:pPr>
        <w:pStyle w:val="22"/>
        <w:rPr>
          <w:rFonts w:hint="eastAsia"/>
          <w:highlight w:val="none"/>
          <w:lang w:eastAsia="zh-CN"/>
        </w:rPr>
      </w:pPr>
    </w:p>
    <w:p w14:paraId="2A5489FE">
      <w:pPr>
        <w:pStyle w:val="22"/>
        <w:rPr>
          <w:rFonts w:hint="eastAsia"/>
          <w:highlight w:val="none"/>
          <w:lang w:eastAsia="zh-CN"/>
        </w:rPr>
      </w:pPr>
    </w:p>
    <w:p w14:paraId="710B508B">
      <w:pPr>
        <w:pStyle w:val="22"/>
        <w:rPr>
          <w:rFonts w:hint="eastAsia"/>
          <w:highlight w:val="none"/>
          <w:lang w:eastAsia="zh-CN"/>
        </w:rPr>
      </w:pPr>
    </w:p>
    <w:p w14:paraId="2A1CC4A9">
      <w:pPr>
        <w:pStyle w:val="22"/>
        <w:rPr>
          <w:rFonts w:hint="eastAsia"/>
          <w:highlight w:val="none"/>
          <w:lang w:eastAsia="zh-CN"/>
        </w:rPr>
      </w:pPr>
    </w:p>
    <w:p w14:paraId="793C1EE9">
      <w:pPr>
        <w:pStyle w:val="22"/>
        <w:rPr>
          <w:rFonts w:hint="eastAsia"/>
          <w:highlight w:val="none"/>
          <w:lang w:eastAsia="zh-CN"/>
        </w:rPr>
      </w:pPr>
    </w:p>
    <w:p w14:paraId="1C50D85A">
      <w:pPr>
        <w:pStyle w:val="22"/>
        <w:rPr>
          <w:rFonts w:hint="eastAsia"/>
          <w:highlight w:val="none"/>
          <w:lang w:eastAsia="zh-CN"/>
        </w:rPr>
      </w:pPr>
    </w:p>
    <w:p w14:paraId="1BB41909">
      <w:pPr>
        <w:pStyle w:val="22"/>
        <w:rPr>
          <w:rFonts w:hint="eastAsia"/>
          <w:highlight w:val="none"/>
          <w:lang w:eastAsia="zh-CN"/>
        </w:rPr>
      </w:pPr>
    </w:p>
    <w:p w14:paraId="7CFDC840">
      <w:pPr>
        <w:pStyle w:val="22"/>
        <w:rPr>
          <w:rFonts w:hint="eastAsia"/>
          <w:highlight w:val="none"/>
          <w:lang w:eastAsia="zh-CN"/>
        </w:rPr>
      </w:pPr>
    </w:p>
    <w:p w14:paraId="5C527E69">
      <w:pPr>
        <w:pStyle w:val="22"/>
        <w:rPr>
          <w:rFonts w:hint="eastAsia"/>
          <w:highlight w:val="none"/>
          <w:lang w:eastAsia="zh-CN"/>
        </w:rPr>
      </w:pPr>
    </w:p>
    <w:p w14:paraId="29821D73">
      <w:pPr>
        <w:pStyle w:val="22"/>
        <w:rPr>
          <w:rFonts w:hint="eastAsia"/>
          <w:highlight w:val="none"/>
          <w:lang w:eastAsia="zh-CN"/>
        </w:rPr>
      </w:pPr>
    </w:p>
    <w:p w14:paraId="75EBE028">
      <w:pPr>
        <w:pStyle w:val="22"/>
        <w:rPr>
          <w:rFonts w:hint="eastAsia"/>
          <w:highlight w:val="none"/>
          <w:lang w:eastAsia="zh-CN"/>
        </w:rPr>
      </w:pPr>
    </w:p>
    <w:p w14:paraId="784856FA">
      <w:pPr>
        <w:pStyle w:val="22"/>
        <w:rPr>
          <w:rFonts w:hint="eastAsia"/>
          <w:highlight w:val="none"/>
          <w:lang w:eastAsia="zh-CN"/>
        </w:rPr>
      </w:pPr>
    </w:p>
    <w:p w14:paraId="6E7140C7">
      <w:pPr>
        <w:pStyle w:val="22"/>
        <w:rPr>
          <w:rFonts w:hint="eastAsia"/>
          <w:highlight w:val="none"/>
          <w:lang w:eastAsia="zh-CN"/>
        </w:rPr>
      </w:pPr>
    </w:p>
    <w:p w14:paraId="0AFB2A95">
      <w:pPr>
        <w:pStyle w:val="22"/>
        <w:rPr>
          <w:rFonts w:hint="eastAsia"/>
          <w:highlight w:val="none"/>
          <w:lang w:eastAsia="zh-CN"/>
        </w:rPr>
      </w:pPr>
    </w:p>
    <w:p w14:paraId="2EC2A16A">
      <w:pPr>
        <w:pStyle w:val="22"/>
        <w:rPr>
          <w:rFonts w:hint="eastAsia"/>
          <w:highlight w:val="none"/>
          <w:lang w:eastAsia="zh-CN"/>
        </w:rPr>
      </w:pPr>
    </w:p>
    <w:p w14:paraId="02EC2F75">
      <w:pPr>
        <w:pStyle w:val="22"/>
        <w:rPr>
          <w:rFonts w:hint="eastAsia"/>
          <w:highlight w:val="none"/>
          <w:lang w:eastAsia="zh-CN"/>
        </w:rPr>
      </w:pPr>
    </w:p>
    <w:p w14:paraId="3E9FD975">
      <w:pPr>
        <w:pStyle w:val="22"/>
        <w:rPr>
          <w:rFonts w:hint="eastAsia"/>
          <w:highlight w:val="none"/>
          <w:lang w:eastAsia="zh-CN"/>
        </w:rPr>
      </w:pPr>
    </w:p>
    <w:p w14:paraId="589028D5">
      <w:pPr>
        <w:pStyle w:val="22"/>
        <w:rPr>
          <w:rFonts w:hint="eastAsia"/>
          <w:highlight w:val="none"/>
          <w:lang w:eastAsia="zh-CN"/>
        </w:rPr>
      </w:pPr>
    </w:p>
    <w:p w14:paraId="75B5331B">
      <w:pPr>
        <w:pStyle w:val="22"/>
        <w:rPr>
          <w:rFonts w:hint="eastAsia"/>
          <w:highlight w:val="none"/>
          <w:lang w:eastAsia="zh-CN"/>
        </w:rPr>
      </w:pPr>
    </w:p>
    <w:p w14:paraId="31FA6CD2">
      <w:pPr>
        <w:pStyle w:val="22"/>
        <w:rPr>
          <w:rFonts w:hint="eastAsia"/>
          <w:highlight w:val="none"/>
          <w:lang w:eastAsia="zh-CN"/>
        </w:rPr>
      </w:pPr>
    </w:p>
    <w:p w14:paraId="26FDD444">
      <w:pPr>
        <w:pStyle w:val="22"/>
        <w:rPr>
          <w:rFonts w:hint="eastAsia"/>
          <w:highlight w:val="none"/>
          <w:lang w:eastAsia="zh-CN"/>
        </w:rPr>
      </w:pPr>
    </w:p>
    <w:p w14:paraId="130EA87D">
      <w:pPr>
        <w:pStyle w:val="22"/>
        <w:rPr>
          <w:rFonts w:hint="eastAsia"/>
          <w:highlight w:val="none"/>
          <w:lang w:eastAsia="zh-CN"/>
        </w:rPr>
      </w:pPr>
    </w:p>
    <w:p w14:paraId="2FEC4051">
      <w:pPr>
        <w:pStyle w:val="22"/>
        <w:rPr>
          <w:rFonts w:hint="eastAsia"/>
          <w:highlight w:val="none"/>
          <w:lang w:eastAsia="zh-CN"/>
        </w:rPr>
      </w:pPr>
    </w:p>
    <w:p w14:paraId="16C22A16">
      <w:pPr>
        <w:pStyle w:val="22"/>
        <w:rPr>
          <w:rFonts w:hint="eastAsia"/>
          <w:highlight w:val="none"/>
          <w:lang w:eastAsia="zh-CN"/>
        </w:rPr>
      </w:pPr>
    </w:p>
    <w:p w14:paraId="72EDFE0C">
      <w:pPr>
        <w:pStyle w:val="22"/>
        <w:rPr>
          <w:rFonts w:hint="eastAsia"/>
          <w:highlight w:val="none"/>
          <w:lang w:eastAsia="zh-CN"/>
        </w:rPr>
      </w:pPr>
    </w:p>
    <w:p w14:paraId="405F588D">
      <w:pPr>
        <w:pStyle w:val="22"/>
        <w:rPr>
          <w:rFonts w:hint="eastAsia"/>
          <w:highlight w:val="none"/>
          <w:lang w:eastAsia="zh-CN"/>
        </w:rPr>
      </w:pPr>
    </w:p>
    <w:p w14:paraId="2D083F22">
      <w:pPr>
        <w:pStyle w:val="22"/>
        <w:rPr>
          <w:rFonts w:hint="eastAsia"/>
          <w:highlight w:val="none"/>
          <w:lang w:eastAsia="zh-CN"/>
        </w:rPr>
      </w:pPr>
    </w:p>
    <w:p w14:paraId="6BBF7271">
      <w:pPr>
        <w:pStyle w:val="22"/>
        <w:rPr>
          <w:rFonts w:hint="eastAsia"/>
          <w:highlight w:val="none"/>
          <w:lang w:eastAsia="zh-CN"/>
        </w:rPr>
      </w:pPr>
    </w:p>
    <w:p w14:paraId="76D22FD0">
      <w:pPr>
        <w:pStyle w:val="22"/>
        <w:rPr>
          <w:rFonts w:hint="eastAsia"/>
          <w:highlight w:val="none"/>
          <w:lang w:eastAsia="zh-CN"/>
        </w:rPr>
      </w:pPr>
    </w:p>
    <w:p w14:paraId="6F998523">
      <w:pPr>
        <w:pStyle w:val="22"/>
        <w:rPr>
          <w:rFonts w:hint="eastAsia"/>
          <w:highlight w:val="none"/>
          <w:lang w:eastAsia="zh-CN"/>
        </w:rPr>
      </w:pPr>
    </w:p>
    <w:p w14:paraId="1FE2491E">
      <w:pPr>
        <w:pStyle w:val="22"/>
        <w:rPr>
          <w:rFonts w:hint="eastAsia"/>
          <w:highlight w:val="none"/>
          <w:lang w:eastAsia="zh-CN"/>
        </w:rPr>
      </w:pPr>
    </w:p>
    <w:p w14:paraId="43904FB7">
      <w:pPr>
        <w:pStyle w:val="22"/>
        <w:rPr>
          <w:rFonts w:hint="eastAsia"/>
          <w:highlight w:val="none"/>
          <w:lang w:eastAsia="zh-CN"/>
        </w:rPr>
      </w:pPr>
    </w:p>
    <w:p w14:paraId="5FA771D0">
      <w:pPr>
        <w:pStyle w:val="22"/>
        <w:rPr>
          <w:rFonts w:hint="eastAsia"/>
          <w:highlight w:val="none"/>
          <w:lang w:eastAsia="zh-CN"/>
        </w:rPr>
      </w:pPr>
    </w:p>
    <w:p w14:paraId="00E2A380">
      <w:pPr>
        <w:pStyle w:val="22"/>
        <w:rPr>
          <w:rFonts w:hint="eastAsia"/>
          <w:highlight w:val="none"/>
          <w:lang w:eastAsia="zh-CN"/>
        </w:rPr>
      </w:pPr>
    </w:p>
    <w:p w14:paraId="7CA31712">
      <w:pPr>
        <w:pStyle w:val="22"/>
        <w:rPr>
          <w:rFonts w:hint="eastAsia"/>
          <w:highlight w:val="none"/>
          <w:lang w:eastAsia="zh-CN"/>
        </w:rPr>
      </w:pPr>
    </w:p>
    <w:p w14:paraId="3420AA81">
      <w:pPr>
        <w:pStyle w:val="22"/>
        <w:rPr>
          <w:rFonts w:hint="eastAsia"/>
          <w:highlight w:val="none"/>
          <w:lang w:eastAsia="zh-CN"/>
        </w:rPr>
      </w:pPr>
    </w:p>
    <w:p w14:paraId="6CACE961">
      <w:pPr>
        <w:pStyle w:val="22"/>
        <w:rPr>
          <w:rFonts w:hint="eastAsia"/>
          <w:highlight w:val="none"/>
          <w:lang w:eastAsia="zh-CN"/>
        </w:rPr>
      </w:pPr>
    </w:p>
    <w:p w14:paraId="1AE118D2">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国家统计局关于印发《统计上大中小微型企业划分办法（2017）》的通知</w:t>
      </w:r>
    </w:p>
    <w:p w14:paraId="478A6467">
      <w:pPr>
        <w:pStyle w:val="25"/>
        <w:rPr>
          <w:rFonts w:hint="eastAsia" w:ascii="宋体" w:hAnsi="宋体" w:eastAsia="宋体" w:cs="宋体"/>
          <w:sz w:val="24"/>
          <w:szCs w:val="24"/>
          <w:highlight w:val="none"/>
          <w:lang w:eastAsia="zh-CN"/>
        </w:rPr>
      </w:pPr>
    </w:p>
    <w:p w14:paraId="17164383">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各省、自治区、直辖市统计局，新疆生产建设兵团统计局，国务院各有关部门，国家统计局</w:t>
      </w:r>
    </w:p>
    <w:p w14:paraId="3CFE5CFC">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各调查总队： </w:t>
      </w:r>
    </w:p>
    <w:p w14:paraId="451D3961">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3E2051F3">
      <w:pPr>
        <w:rPr>
          <w:rFonts w:hint="eastAsia" w:ascii="宋体" w:hAnsi="宋体" w:eastAsia="宋体" w:cs="宋体"/>
          <w:sz w:val="24"/>
          <w:szCs w:val="24"/>
          <w:highlight w:val="none"/>
          <w:lang w:eastAsia="zh-CN"/>
        </w:rPr>
      </w:pPr>
    </w:p>
    <w:p w14:paraId="1CF618B4">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统计上大中小微型企业划分办法（2017）</w:t>
      </w:r>
    </w:p>
    <w:p w14:paraId="0AC0459E">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614AB497">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二、本办法适用对象为在中华人民共和国境内依法设立的各种组织形式的法人企业或单位。个体工商户参照本办法进行划分。 </w:t>
      </w:r>
    </w:p>
    <w:p w14:paraId="29AD7435">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6AC29D11">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四、本办法按照行业门类、大类、中类和组合类别，依据从业人员、营业收入、资产总额等指标或替代指标，将我国的企业划分为大型、中型、小型、微型等四种类型。具体划分标准见附表。 </w:t>
      </w:r>
    </w:p>
    <w:p w14:paraId="50EE62FA">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五、企业划分由政府综合统计部门根据统计年报每年确定一次，定报统计原则上不进行调整。</w:t>
      </w:r>
    </w:p>
    <w:p w14:paraId="5852DBE2">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六、本办法自印发之日起执行，国家统计局 2011 年印发的《统计上大中小微型企业划分办法》（国统字〔2011〕75 号）同时废止。 </w:t>
      </w:r>
    </w:p>
    <w:p w14:paraId="1D70B8CC">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附表：统计上大中小微型企业划分标准 </w:t>
      </w:r>
    </w:p>
    <w:p w14:paraId="52413C46">
      <w:pPr>
        <w:widowControl/>
        <w:spacing w:line="330" w:lineRule="atLeas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统计上大中小微型企业划分标准</w:t>
      </w:r>
    </w:p>
    <w:tbl>
      <w:tblPr>
        <w:tblStyle w:val="26"/>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3E98E67">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53D18897">
            <w:pPr>
              <w:widowControl/>
              <w:spacing w:line="24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3CFE6B3B">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56DA529A">
            <w:pPr>
              <w:widowControl/>
              <w:jc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计量</w:t>
            </w:r>
          </w:p>
          <w:p w14:paraId="41A0CD10">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69BD258B">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4E2CBF81">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23B36FF4">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小型</w:t>
            </w:r>
          </w:p>
        </w:tc>
        <w:tc>
          <w:tcPr>
            <w:tcW w:w="992" w:type="dxa"/>
            <w:tcBorders>
              <w:top w:val="single" w:color="auto" w:sz="4" w:space="0"/>
              <w:left w:val="nil"/>
              <w:bottom w:val="single" w:color="auto" w:sz="4" w:space="0"/>
              <w:right w:val="nil"/>
            </w:tcBorders>
            <w:noWrap w:val="0"/>
            <w:vAlign w:val="center"/>
          </w:tcPr>
          <w:p w14:paraId="7D403E71">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微型</w:t>
            </w:r>
          </w:p>
        </w:tc>
      </w:tr>
      <w:tr w14:paraId="2283816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10617C4F">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农、林、牧、渔业</w:t>
            </w:r>
          </w:p>
        </w:tc>
        <w:tc>
          <w:tcPr>
            <w:tcW w:w="1369" w:type="dxa"/>
            <w:tcBorders>
              <w:top w:val="nil"/>
              <w:left w:val="nil"/>
              <w:bottom w:val="single" w:color="auto" w:sz="4" w:space="0"/>
              <w:right w:val="single" w:color="auto" w:sz="4" w:space="0"/>
            </w:tcBorders>
            <w:noWrap w:val="0"/>
            <w:vAlign w:val="center"/>
          </w:tcPr>
          <w:p w14:paraId="08C842C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57211B4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6E8589B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Y≥20000</w:t>
            </w:r>
          </w:p>
        </w:tc>
        <w:tc>
          <w:tcPr>
            <w:tcW w:w="1701" w:type="dxa"/>
            <w:tcBorders>
              <w:top w:val="nil"/>
              <w:left w:val="nil"/>
              <w:bottom w:val="single" w:color="auto" w:sz="4" w:space="0"/>
              <w:right w:val="single" w:color="auto" w:sz="4" w:space="0"/>
            </w:tcBorders>
            <w:noWrap w:val="0"/>
            <w:vAlign w:val="center"/>
          </w:tcPr>
          <w:p w14:paraId="5B81D9A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7FF884A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50≤Y＜500</w:t>
            </w:r>
          </w:p>
        </w:tc>
        <w:tc>
          <w:tcPr>
            <w:tcW w:w="992" w:type="dxa"/>
            <w:tcBorders>
              <w:top w:val="nil"/>
              <w:left w:val="nil"/>
              <w:bottom w:val="single" w:color="auto" w:sz="4" w:space="0"/>
              <w:right w:val="nil"/>
            </w:tcBorders>
            <w:noWrap w:val="0"/>
            <w:vAlign w:val="center"/>
          </w:tcPr>
          <w:p w14:paraId="19AB60AA">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Y＜50</w:t>
            </w:r>
          </w:p>
        </w:tc>
      </w:tr>
      <w:tr w14:paraId="237F80D2">
        <w:tblPrEx>
          <w:tblCellMar>
            <w:top w:w="0" w:type="dxa"/>
            <w:left w:w="108" w:type="dxa"/>
            <w:bottom w:w="0" w:type="dxa"/>
            <w:right w:w="108" w:type="dxa"/>
          </w:tblCellMar>
        </w:tblPrEx>
        <w:trPr>
          <w:trHeight w:val="667" w:hRule="exact"/>
          <w:jc w:val="center"/>
        </w:trPr>
        <w:tc>
          <w:tcPr>
            <w:tcW w:w="2113" w:type="dxa"/>
            <w:vMerge w:val="restart"/>
            <w:tcBorders>
              <w:top w:val="nil"/>
              <w:left w:val="nil"/>
              <w:bottom w:val="single" w:color="auto" w:sz="4" w:space="0"/>
              <w:right w:val="single" w:color="auto" w:sz="4" w:space="0"/>
            </w:tcBorders>
            <w:noWrap w:val="0"/>
            <w:vAlign w:val="center"/>
          </w:tcPr>
          <w:p w14:paraId="62285D8D">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工业 *</w:t>
            </w:r>
          </w:p>
        </w:tc>
        <w:tc>
          <w:tcPr>
            <w:tcW w:w="1369" w:type="dxa"/>
            <w:tcBorders>
              <w:top w:val="nil"/>
              <w:left w:val="nil"/>
              <w:bottom w:val="nil"/>
              <w:right w:val="single" w:color="auto" w:sz="4" w:space="0"/>
            </w:tcBorders>
            <w:noWrap w:val="0"/>
            <w:vAlign w:val="center"/>
          </w:tcPr>
          <w:p w14:paraId="6E201A5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223FCF5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087D411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X≥1000</w:t>
            </w:r>
          </w:p>
        </w:tc>
        <w:tc>
          <w:tcPr>
            <w:tcW w:w="1701" w:type="dxa"/>
            <w:tcBorders>
              <w:top w:val="nil"/>
              <w:left w:val="nil"/>
              <w:bottom w:val="nil"/>
              <w:right w:val="single" w:color="auto" w:sz="4" w:space="0"/>
            </w:tcBorders>
            <w:noWrap w:val="0"/>
            <w:vAlign w:val="center"/>
          </w:tcPr>
          <w:p w14:paraId="537364E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300≤X＜1000</w:t>
            </w:r>
          </w:p>
        </w:tc>
        <w:tc>
          <w:tcPr>
            <w:tcW w:w="1426" w:type="dxa"/>
            <w:tcBorders>
              <w:top w:val="nil"/>
              <w:left w:val="nil"/>
              <w:bottom w:val="nil"/>
              <w:right w:val="single" w:color="auto" w:sz="4" w:space="0"/>
            </w:tcBorders>
            <w:noWrap w:val="0"/>
            <w:vAlign w:val="center"/>
          </w:tcPr>
          <w:p w14:paraId="54EB7B84">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20≤X＜300</w:t>
            </w:r>
          </w:p>
        </w:tc>
        <w:tc>
          <w:tcPr>
            <w:tcW w:w="992" w:type="dxa"/>
            <w:tcBorders>
              <w:top w:val="nil"/>
              <w:left w:val="nil"/>
              <w:bottom w:val="nil"/>
              <w:right w:val="nil"/>
            </w:tcBorders>
            <w:noWrap w:val="0"/>
            <w:vAlign w:val="center"/>
          </w:tcPr>
          <w:p w14:paraId="62AAC75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X＜20</w:t>
            </w:r>
          </w:p>
        </w:tc>
      </w:tr>
      <w:tr w14:paraId="22A4B77B">
        <w:tblPrEx>
          <w:tblCellMar>
            <w:top w:w="0" w:type="dxa"/>
            <w:left w:w="108" w:type="dxa"/>
            <w:bottom w:w="0" w:type="dxa"/>
            <w:right w:w="108" w:type="dxa"/>
          </w:tblCellMar>
        </w:tblPrEx>
        <w:trPr>
          <w:trHeight w:val="642" w:hRule="exact"/>
          <w:jc w:val="center"/>
        </w:trPr>
        <w:tc>
          <w:tcPr>
            <w:tcW w:w="2113" w:type="dxa"/>
            <w:vMerge w:val="continue"/>
            <w:tcBorders>
              <w:top w:val="nil"/>
              <w:left w:val="nil"/>
              <w:bottom w:val="single" w:color="auto" w:sz="4" w:space="0"/>
              <w:right w:val="single" w:color="auto" w:sz="4" w:space="0"/>
            </w:tcBorders>
            <w:noWrap w:val="0"/>
            <w:vAlign w:val="center"/>
          </w:tcPr>
          <w:p w14:paraId="44F99FB4">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5A3A3136">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111DB952">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40E6F7F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Y≥40000</w:t>
            </w:r>
          </w:p>
        </w:tc>
        <w:tc>
          <w:tcPr>
            <w:tcW w:w="1701" w:type="dxa"/>
            <w:tcBorders>
              <w:top w:val="nil"/>
              <w:left w:val="nil"/>
              <w:bottom w:val="single" w:color="auto" w:sz="4" w:space="0"/>
              <w:right w:val="single" w:color="auto" w:sz="4" w:space="0"/>
            </w:tcBorders>
            <w:noWrap w:val="0"/>
            <w:vAlign w:val="center"/>
          </w:tcPr>
          <w:p w14:paraId="2FAC12B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2000≤Y＜40000</w:t>
            </w:r>
          </w:p>
        </w:tc>
        <w:tc>
          <w:tcPr>
            <w:tcW w:w="1426" w:type="dxa"/>
            <w:tcBorders>
              <w:top w:val="nil"/>
              <w:left w:val="nil"/>
              <w:bottom w:val="single" w:color="auto" w:sz="4" w:space="0"/>
              <w:right w:val="single" w:color="auto" w:sz="4" w:space="0"/>
            </w:tcBorders>
            <w:noWrap w:val="0"/>
            <w:vAlign w:val="center"/>
          </w:tcPr>
          <w:p w14:paraId="606E82E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300≤Y＜2000</w:t>
            </w:r>
          </w:p>
        </w:tc>
        <w:tc>
          <w:tcPr>
            <w:tcW w:w="992" w:type="dxa"/>
            <w:tcBorders>
              <w:top w:val="nil"/>
              <w:left w:val="nil"/>
              <w:bottom w:val="single" w:color="auto" w:sz="4" w:space="0"/>
              <w:right w:val="nil"/>
            </w:tcBorders>
            <w:noWrap w:val="0"/>
            <w:vAlign w:val="center"/>
          </w:tcPr>
          <w:p w14:paraId="6DC6BEC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Y＜300</w:t>
            </w:r>
          </w:p>
        </w:tc>
      </w:tr>
      <w:tr w14:paraId="6E26E3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6814150">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建筑业</w:t>
            </w:r>
          </w:p>
        </w:tc>
        <w:tc>
          <w:tcPr>
            <w:tcW w:w="1369" w:type="dxa"/>
            <w:tcBorders>
              <w:top w:val="nil"/>
              <w:left w:val="nil"/>
              <w:bottom w:val="nil"/>
              <w:right w:val="single" w:color="auto" w:sz="4" w:space="0"/>
            </w:tcBorders>
            <w:noWrap w:val="0"/>
            <w:vAlign w:val="center"/>
          </w:tcPr>
          <w:p w14:paraId="08DC09A4">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nil"/>
              <w:right w:val="single" w:color="auto" w:sz="4" w:space="0"/>
            </w:tcBorders>
            <w:noWrap w:val="0"/>
            <w:vAlign w:val="center"/>
          </w:tcPr>
          <w:p w14:paraId="76E3CE50">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nil"/>
              <w:right w:val="single" w:color="auto" w:sz="4" w:space="0"/>
            </w:tcBorders>
            <w:noWrap w:val="0"/>
            <w:vAlign w:val="center"/>
          </w:tcPr>
          <w:p w14:paraId="024900C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Y≥80000</w:t>
            </w:r>
          </w:p>
        </w:tc>
        <w:tc>
          <w:tcPr>
            <w:tcW w:w="1701" w:type="dxa"/>
            <w:tcBorders>
              <w:top w:val="nil"/>
              <w:left w:val="nil"/>
              <w:bottom w:val="nil"/>
              <w:right w:val="single" w:color="auto" w:sz="4" w:space="0"/>
            </w:tcBorders>
            <w:noWrap w:val="0"/>
            <w:vAlign w:val="center"/>
          </w:tcPr>
          <w:p w14:paraId="3AF93DA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6000≤Y＜80000</w:t>
            </w:r>
          </w:p>
        </w:tc>
        <w:tc>
          <w:tcPr>
            <w:tcW w:w="1426" w:type="dxa"/>
            <w:tcBorders>
              <w:top w:val="nil"/>
              <w:left w:val="nil"/>
              <w:bottom w:val="nil"/>
              <w:right w:val="single" w:color="auto" w:sz="4" w:space="0"/>
            </w:tcBorders>
            <w:noWrap w:val="0"/>
            <w:vAlign w:val="center"/>
          </w:tcPr>
          <w:p w14:paraId="44C7026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300≤Y＜6000</w:t>
            </w:r>
          </w:p>
        </w:tc>
        <w:tc>
          <w:tcPr>
            <w:tcW w:w="992" w:type="dxa"/>
            <w:tcBorders>
              <w:top w:val="nil"/>
              <w:left w:val="nil"/>
              <w:bottom w:val="nil"/>
              <w:right w:val="nil"/>
            </w:tcBorders>
            <w:noWrap w:val="0"/>
            <w:vAlign w:val="center"/>
          </w:tcPr>
          <w:p w14:paraId="0578595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Y＜300</w:t>
            </w:r>
          </w:p>
        </w:tc>
      </w:tr>
      <w:tr w14:paraId="1B59AB6D">
        <w:tblPrEx>
          <w:tblCellMar>
            <w:top w:w="0" w:type="dxa"/>
            <w:left w:w="108" w:type="dxa"/>
            <w:bottom w:w="0" w:type="dxa"/>
            <w:right w:w="108" w:type="dxa"/>
          </w:tblCellMar>
        </w:tblPrEx>
        <w:trPr>
          <w:trHeight w:val="747" w:hRule="exact"/>
          <w:jc w:val="center"/>
        </w:trPr>
        <w:tc>
          <w:tcPr>
            <w:tcW w:w="2113" w:type="dxa"/>
            <w:vMerge w:val="continue"/>
            <w:tcBorders>
              <w:top w:val="nil"/>
              <w:left w:val="nil"/>
              <w:bottom w:val="single" w:color="auto" w:sz="4" w:space="0"/>
              <w:right w:val="single" w:color="auto" w:sz="4" w:space="0"/>
            </w:tcBorders>
            <w:noWrap w:val="0"/>
            <w:vAlign w:val="center"/>
          </w:tcPr>
          <w:p w14:paraId="2A9124E7">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58314385">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资产总额(Z)</w:t>
            </w:r>
          </w:p>
        </w:tc>
        <w:tc>
          <w:tcPr>
            <w:tcW w:w="709" w:type="dxa"/>
            <w:tcBorders>
              <w:top w:val="nil"/>
              <w:left w:val="nil"/>
              <w:bottom w:val="single" w:color="auto" w:sz="4" w:space="0"/>
              <w:right w:val="single" w:color="auto" w:sz="4" w:space="0"/>
            </w:tcBorders>
            <w:noWrap w:val="0"/>
            <w:vAlign w:val="center"/>
          </w:tcPr>
          <w:p w14:paraId="39C1A65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3DD231BA">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Z≥80000</w:t>
            </w:r>
          </w:p>
        </w:tc>
        <w:tc>
          <w:tcPr>
            <w:tcW w:w="1701" w:type="dxa"/>
            <w:tcBorders>
              <w:top w:val="nil"/>
              <w:left w:val="nil"/>
              <w:bottom w:val="single" w:color="auto" w:sz="4" w:space="0"/>
              <w:right w:val="single" w:color="auto" w:sz="4" w:space="0"/>
            </w:tcBorders>
            <w:noWrap w:val="0"/>
            <w:vAlign w:val="center"/>
          </w:tcPr>
          <w:p w14:paraId="557CFB5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5000≤Z＜80000</w:t>
            </w:r>
          </w:p>
        </w:tc>
        <w:tc>
          <w:tcPr>
            <w:tcW w:w="1426" w:type="dxa"/>
            <w:tcBorders>
              <w:top w:val="nil"/>
              <w:left w:val="nil"/>
              <w:bottom w:val="single" w:color="auto" w:sz="4" w:space="0"/>
              <w:right w:val="single" w:color="auto" w:sz="4" w:space="0"/>
            </w:tcBorders>
            <w:noWrap w:val="0"/>
            <w:vAlign w:val="center"/>
          </w:tcPr>
          <w:p w14:paraId="73CD1D6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300≤Z＜5000</w:t>
            </w:r>
          </w:p>
        </w:tc>
        <w:tc>
          <w:tcPr>
            <w:tcW w:w="992" w:type="dxa"/>
            <w:tcBorders>
              <w:top w:val="nil"/>
              <w:left w:val="nil"/>
              <w:bottom w:val="single" w:color="auto" w:sz="4" w:space="0"/>
              <w:right w:val="nil"/>
            </w:tcBorders>
            <w:noWrap w:val="0"/>
            <w:vAlign w:val="center"/>
          </w:tcPr>
          <w:p w14:paraId="6E74D1C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Z＜300</w:t>
            </w:r>
          </w:p>
        </w:tc>
      </w:tr>
      <w:tr w14:paraId="66FF6F02">
        <w:tblPrEx>
          <w:tblCellMar>
            <w:top w:w="0" w:type="dxa"/>
            <w:left w:w="108" w:type="dxa"/>
            <w:bottom w:w="0" w:type="dxa"/>
            <w:right w:w="108" w:type="dxa"/>
          </w:tblCellMar>
        </w:tblPrEx>
        <w:trPr>
          <w:trHeight w:val="555" w:hRule="exact"/>
          <w:jc w:val="center"/>
        </w:trPr>
        <w:tc>
          <w:tcPr>
            <w:tcW w:w="2113" w:type="dxa"/>
            <w:vMerge w:val="restart"/>
            <w:tcBorders>
              <w:top w:val="nil"/>
              <w:left w:val="nil"/>
              <w:bottom w:val="single" w:color="auto" w:sz="4" w:space="0"/>
              <w:right w:val="single" w:color="auto" w:sz="4" w:space="0"/>
            </w:tcBorders>
            <w:noWrap w:val="0"/>
            <w:vAlign w:val="center"/>
          </w:tcPr>
          <w:p w14:paraId="3AA42047">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批发业</w:t>
            </w:r>
          </w:p>
        </w:tc>
        <w:tc>
          <w:tcPr>
            <w:tcW w:w="1369" w:type="dxa"/>
            <w:tcBorders>
              <w:top w:val="nil"/>
              <w:left w:val="nil"/>
              <w:bottom w:val="nil"/>
              <w:right w:val="single" w:color="auto" w:sz="4" w:space="0"/>
            </w:tcBorders>
            <w:noWrap w:val="0"/>
            <w:vAlign w:val="center"/>
          </w:tcPr>
          <w:p w14:paraId="5A3960B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7D552AA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46F247F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X≥200</w:t>
            </w:r>
          </w:p>
        </w:tc>
        <w:tc>
          <w:tcPr>
            <w:tcW w:w="1701" w:type="dxa"/>
            <w:tcBorders>
              <w:top w:val="nil"/>
              <w:left w:val="nil"/>
              <w:bottom w:val="nil"/>
              <w:right w:val="single" w:color="auto" w:sz="4" w:space="0"/>
            </w:tcBorders>
            <w:noWrap w:val="0"/>
            <w:vAlign w:val="center"/>
          </w:tcPr>
          <w:p w14:paraId="46E1A452">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20≤X＜200</w:t>
            </w:r>
          </w:p>
        </w:tc>
        <w:tc>
          <w:tcPr>
            <w:tcW w:w="1426" w:type="dxa"/>
            <w:tcBorders>
              <w:top w:val="nil"/>
              <w:left w:val="nil"/>
              <w:bottom w:val="nil"/>
              <w:right w:val="single" w:color="auto" w:sz="4" w:space="0"/>
            </w:tcBorders>
            <w:noWrap w:val="0"/>
            <w:vAlign w:val="center"/>
          </w:tcPr>
          <w:p w14:paraId="666E2676">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5≤X＜20</w:t>
            </w:r>
          </w:p>
        </w:tc>
        <w:tc>
          <w:tcPr>
            <w:tcW w:w="992" w:type="dxa"/>
            <w:tcBorders>
              <w:top w:val="nil"/>
              <w:left w:val="nil"/>
              <w:bottom w:val="nil"/>
              <w:right w:val="nil"/>
            </w:tcBorders>
            <w:noWrap w:val="0"/>
            <w:vAlign w:val="center"/>
          </w:tcPr>
          <w:p w14:paraId="608795D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X＜5</w:t>
            </w:r>
          </w:p>
        </w:tc>
      </w:tr>
      <w:tr w14:paraId="5C534FB2">
        <w:tblPrEx>
          <w:tblCellMar>
            <w:top w:w="0" w:type="dxa"/>
            <w:left w:w="108" w:type="dxa"/>
            <w:bottom w:w="0" w:type="dxa"/>
            <w:right w:w="108" w:type="dxa"/>
          </w:tblCellMar>
        </w:tblPrEx>
        <w:trPr>
          <w:trHeight w:val="632" w:hRule="exact"/>
          <w:jc w:val="center"/>
        </w:trPr>
        <w:tc>
          <w:tcPr>
            <w:tcW w:w="2113" w:type="dxa"/>
            <w:vMerge w:val="continue"/>
            <w:tcBorders>
              <w:top w:val="nil"/>
              <w:left w:val="nil"/>
              <w:bottom w:val="single" w:color="auto" w:sz="4" w:space="0"/>
              <w:right w:val="single" w:color="auto" w:sz="4" w:space="0"/>
            </w:tcBorders>
            <w:noWrap w:val="0"/>
            <w:vAlign w:val="center"/>
          </w:tcPr>
          <w:p w14:paraId="3F5A4C74">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0D4A579E">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30FA6C8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437FD01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Y≥40000</w:t>
            </w:r>
          </w:p>
        </w:tc>
        <w:tc>
          <w:tcPr>
            <w:tcW w:w="1701" w:type="dxa"/>
            <w:tcBorders>
              <w:top w:val="nil"/>
              <w:left w:val="nil"/>
              <w:bottom w:val="single" w:color="auto" w:sz="4" w:space="0"/>
              <w:right w:val="single" w:color="auto" w:sz="4" w:space="0"/>
            </w:tcBorders>
            <w:noWrap w:val="0"/>
            <w:vAlign w:val="center"/>
          </w:tcPr>
          <w:p w14:paraId="74B3C8E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5000≤Y＜40000</w:t>
            </w:r>
          </w:p>
        </w:tc>
        <w:tc>
          <w:tcPr>
            <w:tcW w:w="1426" w:type="dxa"/>
            <w:tcBorders>
              <w:top w:val="nil"/>
              <w:left w:val="nil"/>
              <w:bottom w:val="single" w:color="auto" w:sz="4" w:space="0"/>
              <w:right w:val="single" w:color="auto" w:sz="4" w:space="0"/>
            </w:tcBorders>
            <w:noWrap w:val="0"/>
            <w:vAlign w:val="center"/>
          </w:tcPr>
          <w:p w14:paraId="4C0189FC">
            <w:pPr>
              <w:widowControl/>
              <w:ind w:left="-1" w:leftChars="-1" w:hanging="1"/>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1000≤Y＜5000</w:t>
            </w:r>
          </w:p>
        </w:tc>
        <w:tc>
          <w:tcPr>
            <w:tcW w:w="992" w:type="dxa"/>
            <w:tcBorders>
              <w:top w:val="nil"/>
              <w:left w:val="nil"/>
              <w:bottom w:val="single" w:color="auto" w:sz="4" w:space="0"/>
              <w:right w:val="nil"/>
            </w:tcBorders>
            <w:noWrap w:val="0"/>
            <w:vAlign w:val="center"/>
          </w:tcPr>
          <w:p w14:paraId="42C8885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Y＜1000</w:t>
            </w:r>
          </w:p>
        </w:tc>
      </w:tr>
      <w:tr w14:paraId="63C8D21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693B9B7">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零售业</w:t>
            </w:r>
          </w:p>
        </w:tc>
        <w:tc>
          <w:tcPr>
            <w:tcW w:w="1369" w:type="dxa"/>
            <w:tcBorders>
              <w:top w:val="nil"/>
              <w:left w:val="nil"/>
              <w:bottom w:val="nil"/>
              <w:right w:val="single" w:color="auto" w:sz="4" w:space="0"/>
            </w:tcBorders>
            <w:noWrap w:val="0"/>
            <w:vAlign w:val="center"/>
          </w:tcPr>
          <w:p w14:paraId="44A2A8F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06F6C09A">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34C1F95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X≥300</w:t>
            </w:r>
          </w:p>
        </w:tc>
        <w:tc>
          <w:tcPr>
            <w:tcW w:w="1701" w:type="dxa"/>
            <w:tcBorders>
              <w:top w:val="nil"/>
              <w:left w:val="nil"/>
              <w:bottom w:val="nil"/>
              <w:right w:val="single" w:color="auto" w:sz="4" w:space="0"/>
            </w:tcBorders>
            <w:noWrap w:val="0"/>
            <w:vAlign w:val="center"/>
          </w:tcPr>
          <w:p w14:paraId="55431ED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50≤X＜300</w:t>
            </w:r>
          </w:p>
        </w:tc>
        <w:tc>
          <w:tcPr>
            <w:tcW w:w="1426" w:type="dxa"/>
            <w:tcBorders>
              <w:top w:val="nil"/>
              <w:left w:val="nil"/>
              <w:bottom w:val="nil"/>
              <w:right w:val="single" w:color="auto" w:sz="4" w:space="0"/>
            </w:tcBorders>
            <w:noWrap w:val="0"/>
            <w:vAlign w:val="center"/>
          </w:tcPr>
          <w:p w14:paraId="4BFDD203">
            <w:pPr>
              <w:widowControl/>
              <w:ind w:left="-1" w:leftChars="-1" w:hanging="1"/>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10≤X＜50 </w:t>
            </w:r>
          </w:p>
        </w:tc>
        <w:tc>
          <w:tcPr>
            <w:tcW w:w="992" w:type="dxa"/>
            <w:tcBorders>
              <w:top w:val="nil"/>
              <w:left w:val="nil"/>
              <w:bottom w:val="nil"/>
              <w:right w:val="nil"/>
            </w:tcBorders>
            <w:noWrap w:val="0"/>
            <w:vAlign w:val="center"/>
          </w:tcPr>
          <w:p w14:paraId="3CC7B32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w:t>
            </w:r>
          </w:p>
        </w:tc>
      </w:tr>
      <w:tr w14:paraId="22481CA6">
        <w:tblPrEx>
          <w:tblCellMar>
            <w:top w:w="0" w:type="dxa"/>
            <w:left w:w="108" w:type="dxa"/>
            <w:bottom w:w="0" w:type="dxa"/>
            <w:right w:w="108" w:type="dxa"/>
          </w:tblCellMar>
        </w:tblPrEx>
        <w:trPr>
          <w:trHeight w:val="732" w:hRule="exact"/>
          <w:jc w:val="center"/>
        </w:trPr>
        <w:tc>
          <w:tcPr>
            <w:tcW w:w="2113" w:type="dxa"/>
            <w:vMerge w:val="continue"/>
            <w:tcBorders>
              <w:top w:val="nil"/>
              <w:left w:val="nil"/>
              <w:bottom w:val="single" w:color="auto" w:sz="4" w:space="0"/>
              <w:right w:val="single" w:color="auto" w:sz="4" w:space="0"/>
            </w:tcBorders>
            <w:noWrap w:val="0"/>
            <w:vAlign w:val="center"/>
          </w:tcPr>
          <w:p w14:paraId="7C028270">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38D8A092">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36BE2BA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24FBF04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Y≥20000</w:t>
            </w:r>
          </w:p>
        </w:tc>
        <w:tc>
          <w:tcPr>
            <w:tcW w:w="1701" w:type="dxa"/>
            <w:tcBorders>
              <w:top w:val="nil"/>
              <w:left w:val="nil"/>
              <w:bottom w:val="single" w:color="auto" w:sz="4" w:space="0"/>
              <w:right w:val="single" w:color="auto" w:sz="4" w:space="0"/>
            </w:tcBorders>
            <w:noWrap w:val="0"/>
            <w:vAlign w:val="center"/>
          </w:tcPr>
          <w:p w14:paraId="5BC430B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5BBAB676">
            <w:pPr>
              <w:widowControl/>
              <w:ind w:left="-1" w:leftChars="-1" w:hanging="1"/>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100≤Y＜500 </w:t>
            </w:r>
          </w:p>
        </w:tc>
        <w:tc>
          <w:tcPr>
            <w:tcW w:w="992" w:type="dxa"/>
            <w:tcBorders>
              <w:top w:val="nil"/>
              <w:left w:val="nil"/>
              <w:bottom w:val="single" w:color="auto" w:sz="4" w:space="0"/>
              <w:right w:val="nil"/>
            </w:tcBorders>
            <w:noWrap w:val="0"/>
            <w:vAlign w:val="center"/>
          </w:tcPr>
          <w:p w14:paraId="7E1275C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w:t>
            </w:r>
          </w:p>
        </w:tc>
      </w:tr>
      <w:tr w14:paraId="2796EE7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550AB7E">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交通运输业 *</w:t>
            </w:r>
          </w:p>
        </w:tc>
        <w:tc>
          <w:tcPr>
            <w:tcW w:w="1369" w:type="dxa"/>
            <w:tcBorders>
              <w:top w:val="nil"/>
              <w:left w:val="nil"/>
              <w:bottom w:val="nil"/>
              <w:right w:val="single" w:color="auto" w:sz="4" w:space="0"/>
            </w:tcBorders>
            <w:noWrap w:val="0"/>
            <w:vAlign w:val="center"/>
          </w:tcPr>
          <w:p w14:paraId="0357D96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0BD4F77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02445D1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X≥1000</w:t>
            </w:r>
          </w:p>
        </w:tc>
        <w:tc>
          <w:tcPr>
            <w:tcW w:w="1701" w:type="dxa"/>
            <w:tcBorders>
              <w:top w:val="nil"/>
              <w:left w:val="nil"/>
              <w:bottom w:val="nil"/>
              <w:right w:val="single" w:color="auto" w:sz="4" w:space="0"/>
            </w:tcBorders>
            <w:noWrap w:val="0"/>
            <w:vAlign w:val="center"/>
          </w:tcPr>
          <w:p w14:paraId="0CB4DAE0">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300≤X＜1000</w:t>
            </w:r>
          </w:p>
        </w:tc>
        <w:tc>
          <w:tcPr>
            <w:tcW w:w="1426" w:type="dxa"/>
            <w:tcBorders>
              <w:top w:val="nil"/>
              <w:left w:val="nil"/>
              <w:bottom w:val="nil"/>
              <w:right w:val="single" w:color="auto" w:sz="4" w:space="0"/>
            </w:tcBorders>
            <w:noWrap w:val="0"/>
            <w:vAlign w:val="center"/>
          </w:tcPr>
          <w:p w14:paraId="33FE140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20≤X＜300</w:t>
            </w:r>
          </w:p>
        </w:tc>
        <w:tc>
          <w:tcPr>
            <w:tcW w:w="992" w:type="dxa"/>
            <w:tcBorders>
              <w:top w:val="nil"/>
              <w:left w:val="nil"/>
              <w:bottom w:val="nil"/>
              <w:right w:val="nil"/>
            </w:tcBorders>
            <w:noWrap w:val="0"/>
            <w:vAlign w:val="center"/>
          </w:tcPr>
          <w:p w14:paraId="5B7C48A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X＜20</w:t>
            </w:r>
          </w:p>
        </w:tc>
      </w:tr>
      <w:tr w14:paraId="67FDEBBE">
        <w:tblPrEx>
          <w:tblCellMar>
            <w:top w:w="0" w:type="dxa"/>
            <w:left w:w="108" w:type="dxa"/>
            <w:bottom w:w="0" w:type="dxa"/>
            <w:right w:w="108" w:type="dxa"/>
          </w:tblCellMar>
        </w:tblPrEx>
        <w:trPr>
          <w:trHeight w:val="792" w:hRule="exact"/>
          <w:jc w:val="center"/>
        </w:trPr>
        <w:tc>
          <w:tcPr>
            <w:tcW w:w="2113" w:type="dxa"/>
            <w:vMerge w:val="continue"/>
            <w:tcBorders>
              <w:top w:val="nil"/>
              <w:left w:val="nil"/>
              <w:bottom w:val="single" w:color="auto" w:sz="4" w:space="0"/>
              <w:right w:val="single" w:color="auto" w:sz="4" w:space="0"/>
            </w:tcBorders>
            <w:noWrap w:val="0"/>
            <w:vAlign w:val="center"/>
          </w:tcPr>
          <w:p w14:paraId="2A33AE97">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2EB62077">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373CC0F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4790298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Y≥30000</w:t>
            </w:r>
          </w:p>
        </w:tc>
        <w:tc>
          <w:tcPr>
            <w:tcW w:w="1701" w:type="dxa"/>
            <w:tcBorders>
              <w:top w:val="nil"/>
              <w:left w:val="nil"/>
              <w:bottom w:val="single" w:color="auto" w:sz="4" w:space="0"/>
              <w:right w:val="single" w:color="auto" w:sz="4" w:space="0"/>
            </w:tcBorders>
            <w:noWrap w:val="0"/>
            <w:vAlign w:val="center"/>
          </w:tcPr>
          <w:p w14:paraId="6CA9F0F4">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3000≤Y＜30000</w:t>
            </w:r>
          </w:p>
        </w:tc>
        <w:tc>
          <w:tcPr>
            <w:tcW w:w="1426" w:type="dxa"/>
            <w:tcBorders>
              <w:top w:val="nil"/>
              <w:left w:val="nil"/>
              <w:bottom w:val="single" w:color="auto" w:sz="4" w:space="0"/>
              <w:right w:val="single" w:color="auto" w:sz="4" w:space="0"/>
            </w:tcBorders>
            <w:noWrap w:val="0"/>
            <w:vAlign w:val="center"/>
          </w:tcPr>
          <w:p w14:paraId="22F3FEE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200≤Y＜3000</w:t>
            </w:r>
          </w:p>
        </w:tc>
        <w:tc>
          <w:tcPr>
            <w:tcW w:w="992" w:type="dxa"/>
            <w:tcBorders>
              <w:top w:val="nil"/>
              <w:left w:val="nil"/>
              <w:bottom w:val="single" w:color="auto" w:sz="4" w:space="0"/>
              <w:right w:val="nil"/>
            </w:tcBorders>
            <w:noWrap w:val="0"/>
            <w:vAlign w:val="center"/>
          </w:tcPr>
          <w:p w14:paraId="5C90F65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Y＜200</w:t>
            </w:r>
          </w:p>
        </w:tc>
      </w:tr>
      <w:tr w14:paraId="06821E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E11DC52">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仓储业*</w:t>
            </w:r>
          </w:p>
        </w:tc>
        <w:tc>
          <w:tcPr>
            <w:tcW w:w="1369" w:type="dxa"/>
            <w:tcBorders>
              <w:top w:val="nil"/>
              <w:left w:val="nil"/>
              <w:bottom w:val="nil"/>
              <w:right w:val="single" w:color="auto" w:sz="4" w:space="0"/>
            </w:tcBorders>
            <w:noWrap w:val="0"/>
            <w:vAlign w:val="center"/>
          </w:tcPr>
          <w:p w14:paraId="15384A3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7AAF1FD6">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166A01C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X≥200</w:t>
            </w:r>
          </w:p>
        </w:tc>
        <w:tc>
          <w:tcPr>
            <w:tcW w:w="1701" w:type="dxa"/>
            <w:tcBorders>
              <w:top w:val="nil"/>
              <w:left w:val="nil"/>
              <w:bottom w:val="nil"/>
              <w:right w:val="single" w:color="auto" w:sz="4" w:space="0"/>
            </w:tcBorders>
            <w:noWrap w:val="0"/>
            <w:vAlign w:val="center"/>
          </w:tcPr>
          <w:p w14:paraId="5888BB6B">
            <w:pPr>
              <w:widowControl/>
              <w:ind w:left="37" w:leftChars="-51" w:hanging="144" w:hangingChars="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100≤X＜200</w:t>
            </w:r>
          </w:p>
        </w:tc>
        <w:tc>
          <w:tcPr>
            <w:tcW w:w="1426" w:type="dxa"/>
            <w:tcBorders>
              <w:top w:val="nil"/>
              <w:left w:val="nil"/>
              <w:bottom w:val="nil"/>
              <w:right w:val="single" w:color="auto" w:sz="4" w:space="0"/>
            </w:tcBorders>
            <w:noWrap w:val="0"/>
            <w:vAlign w:val="center"/>
          </w:tcPr>
          <w:p w14:paraId="79D8973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20≤X＜100</w:t>
            </w:r>
          </w:p>
        </w:tc>
        <w:tc>
          <w:tcPr>
            <w:tcW w:w="992" w:type="dxa"/>
            <w:tcBorders>
              <w:top w:val="nil"/>
              <w:left w:val="nil"/>
              <w:bottom w:val="nil"/>
              <w:right w:val="nil"/>
            </w:tcBorders>
            <w:noWrap w:val="0"/>
            <w:vAlign w:val="center"/>
          </w:tcPr>
          <w:p w14:paraId="2E8B34B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X＜20</w:t>
            </w:r>
          </w:p>
        </w:tc>
      </w:tr>
      <w:tr w14:paraId="1693E148">
        <w:tblPrEx>
          <w:tblCellMar>
            <w:top w:w="0" w:type="dxa"/>
            <w:left w:w="108" w:type="dxa"/>
            <w:bottom w:w="0" w:type="dxa"/>
            <w:right w:w="108" w:type="dxa"/>
          </w:tblCellMar>
        </w:tblPrEx>
        <w:trPr>
          <w:trHeight w:val="747" w:hRule="exact"/>
          <w:jc w:val="center"/>
        </w:trPr>
        <w:tc>
          <w:tcPr>
            <w:tcW w:w="2113" w:type="dxa"/>
            <w:vMerge w:val="continue"/>
            <w:tcBorders>
              <w:top w:val="nil"/>
              <w:left w:val="nil"/>
              <w:bottom w:val="single" w:color="auto" w:sz="4" w:space="0"/>
              <w:right w:val="single" w:color="auto" w:sz="4" w:space="0"/>
            </w:tcBorders>
            <w:noWrap w:val="0"/>
            <w:vAlign w:val="center"/>
          </w:tcPr>
          <w:p w14:paraId="723D333E">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51B962D6">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53DB589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5F043E8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Y≥30000</w:t>
            </w:r>
          </w:p>
        </w:tc>
        <w:tc>
          <w:tcPr>
            <w:tcW w:w="1701" w:type="dxa"/>
            <w:tcBorders>
              <w:top w:val="nil"/>
              <w:left w:val="nil"/>
              <w:bottom w:val="single" w:color="auto" w:sz="4" w:space="0"/>
              <w:right w:val="single" w:color="auto" w:sz="4" w:space="0"/>
            </w:tcBorders>
            <w:noWrap w:val="0"/>
            <w:vAlign w:val="center"/>
          </w:tcPr>
          <w:p w14:paraId="1F182E9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1000≤Y＜30000</w:t>
            </w:r>
          </w:p>
        </w:tc>
        <w:tc>
          <w:tcPr>
            <w:tcW w:w="1426" w:type="dxa"/>
            <w:tcBorders>
              <w:top w:val="nil"/>
              <w:left w:val="nil"/>
              <w:bottom w:val="single" w:color="auto" w:sz="4" w:space="0"/>
              <w:right w:val="single" w:color="auto" w:sz="4" w:space="0"/>
            </w:tcBorders>
            <w:noWrap w:val="0"/>
            <w:vAlign w:val="center"/>
          </w:tcPr>
          <w:p w14:paraId="5DE5471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100≤Y＜1000</w:t>
            </w:r>
          </w:p>
        </w:tc>
        <w:tc>
          <w:tcPr>
            <w:tcW w:w="992" w:type="dxa"/>
            <w:tcBorders>
              <w:top w:val="nil"/>
              <w:left w:val="nil"/>
              <w:bottom w:val="single" w:color="auto" w:sz="4" w:space="0"/>
              <w:right w:val="nil"/>
            </w:tcBorders>
            <w:noWrap w:val="0"/>
            <w:vAlign w:val="center"/>
          </w:tcPr>
          <w:p w14:paraId="55EE441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w:t>
            </w:r>
          </w:p>
        </w:tc>
      </w:tr>
      <w:tr w14:paraId="630F6B4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6B77FBE">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邮政业</w:t>
            </w:r>
          </w:p>
        </w:tc>
        <w:tc>
          <w:tcPr>
            <w:tcW w:w="1369" w:type="dxa"/>
            <w:tcBorders>
              <w:top w:val="nil"/>
              <w:left w:val="nil"/>
              <w:bottom w:val="nil"/>
              <w:right w:val="single" w:color="auto" w:sz="4" w:space="0"/>
            </w:tcBorders>
            <w:noWrap w:val="0"/>
            <w:vAlign w:val="center"/>
          </w:tcPr>
          <w:p w14:paraId="4230082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0057CA1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7A878FA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X≥1000</w:t>
            </w:r>
          </w:p>
        </w:tc>
        <w:tc>
          <w:tcPr>
            <w:tcW w:w="1701" w:type="dxa"/>
            <w:tcBorders>
              <w:top w:val="nil"/>
              <w:left w:val="nil"/>
              <w:bottom w:val="nil"/>
              <w:right w:val="single" w:color="auto" w:sz="4" w:space="0"/>
            </w:tcBorders>
            <w:noWrap w:val="0"/>
            <w:vAlign w:val="center"/>
          </w:tcPr>
          <w:p w14:paraId="79564F96">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300≤X＜1000</w:t>
            </w:r>
          </w:p>
        </w:tc>
        <w:tc>
          <w:tcPr>
            <w:tcW w:w="1426" w:type="dxa"/>
            <w:tcBorders>
              <w:top w:val="nil"/>
              <w:left w:val="nil"/>
              <w:bottom w:val="nil"/>
              <w:right w:val="single" w:color="auto" w:sz="4" w:space="0"/>
            </w:tcBorders>
            <w:noWrap w:val="0"/>
            <w:vAlign w:val="center"/>
          </w:tcPr>
          <w:p w14:paraId="426DAEA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20≤X＜300</w:t>
            </w:r>
          </w:p>
        </w:tc>
        <w:tc>
          <w:tcPr>
            <w:tcW w:w="992" w:type="dxa"/>
            <w:tcBorders>
              <w:top w:val="nil"/>
              <w:left w:val="nil"/>
              <w:bottom w:val="nil"/>
              <w:right w:val="nil"/>
            </w:tcBorders>
            <w:noWrap w:val="0"/>
            <w:vAlign w:val="center"/>
          </w:tcPr>
          <w:p w14:paraId="0B2DA4BA">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X＜20</w:t>
            </w:r>
          </w:p>
        </w:tc>
      </w:tr>
      <w:tr w14:paraId="60628EEC">
        <w:tblPrEx>
          <w:tblCellMar>
            <w:top w:w="0" w:type="dxa"/>
            <w:left w:w="108" w:type="dxa"/>
            <w:bottom w:w="0" w:type="dxa"/>
            <w:right w:w="108" w:type="dxa"/>
          </w:tblCellMar>
        </w:tblPrEx>
        <w:trPr>
          <w:trHeight w:val="762" w:hRule="exact"/>
          <w:jc w:val="center"/>
        </w:trPr>
        <w:tc>
          <w:tcPr>
            <w:tcW w:w="2113" w:type="dxa"/>
            <w:vMerge w:val="continue"/>
            <w:tcBorders>
              <w:top w:val="nil"/>
              <w:left w:val="nil"/>
              <w:bottom w:val="single" w:color="auto" w:sz="4" w:space="0"/>
              <w:right w:val="single" w:color="auto" w:sz="4" w:space="0"/>
            </w:tcBorders>
            <w:noWrap w:val="0"/>
            <w:vAlign w:val="center"/>
          </w:tcPr>
          <w:p w14:paraId="50E573D0">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14489B49">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7DFFCEA2">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678E8F1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Y≥30000</w:t>
            </w:r>
          </w:p>
        </w:tc>
        <w:tc>
          <w:tcPr>
            <w:tcW w:w="1701" w:type="dxa"/>
            <w:tcBorders>
              <w:top w:val="nil"/>
              <w:left w:val="nil"/>
              <w:bottom w:val="single" w:color="auto" w:sz="4" w:space="0"/>
              <w:right w:val="single" w:color="auto" w:sz="4" w:space="0"/>
            </w:tcBorders>
            <w:noWrap w:val="0"/>
            <w:vAlign w:val="center"/>
          </w:tcPr>
          <w:p w14:paraId="1A5EB3C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2000≤Y＜30000</w:t>
            </w:r>
          </w:p>
        </w:tc>
        <w:tc>
          <w:tcPr>
            <w:tcW w:w="1426" w:type="dxa"/>
            <w:tcBorders>
              <w:top w:val="nil"/>
              <w:left w:val="nil"/>
              <w:bottom w:val="single" w:color="auto" w:sz="4" w:space="0"/>
              <w:right w:val="single" w:color="auto" w:sz="4" w:space="0"/>
            </w:tcBorders>
            <w:noWrap w:val="0"/>
            <w:vAlign w:val="center"/>
          </w:tcPr>
          <w:p w14:paraId="0313EAE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100≤Y＜2000</w:t>
            </w:r>
          </w:p>
        </w:tc>
        <w:tc>
          <w:tcPr>
            <w:tcW w:w="992" w:type="dxa"/>
            <w:tcBorders>
              <w:top w:val="nil"/>
              <w:left w:val="nil"/>
              <w:bottom w:val="single" w:color="auto" w:sz="4" w:space="0"/>
              <w:right w:val="nil"/>
            </w:tcBorders>
            <w:noWrap w:val="0"/>
            <w:vAlign w:val="center"/>
          </w:tcPr>
          <w:p w14:paraId="1B4A8ED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w:t>
            </w:r>
          </w:p>
        </w:tc>
      </w:tr>
      <w:tr w14:paraId="113990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DCAC135">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住宿业</w:t>
            </w:r>
          </w:p>
        </w:tc>
        <w:tc>
          <w:tcPr>
            <w:tcW w:w="1369" w:type="dxa"/>
            <w:tcBorders>
              <w:top w:val="nil"/>
              <w:left w:val="nil"/>
              <w:bottom w:val="nil"/>
              <w:right w:val="single" w:color="auto" w:sz="4" w:space="0"/>
            </w:tcBorders>
            <w:noWrap w:val="0"/>
            <w:vAlign w:val="center"/>
          </w:tcPr>
          <w:p w14:paraId="700E2B6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096EB66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10B03AE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X≥300</w:t>
            </w:r>
          </w:p>
        </w:tc>
        <w:tc>
          <w:tcPr>
            <w:tcW w:w="1701" w:type="dxa"/>
            <w:tcBorders>
              <w:top w:val="nil"/>
              <w:left w:val="nil"/>
              <w:bottom w:val="nil"/>
              <w:right w:val="single" w:color="auto" w:sz="4" w:space="0"/>
            </w:tcBorders>
            <w:noWrap w:val="0"/>
            <w:vAlign w:val="center"/>
          </w:tcPr>
          <w:p w14:paraId="30EEE59E">
            <w:pPr>
              <w:widowControl/>
              <w:ind w:left="37" w:leftChars="-51" w:hanging="144" w:hangingChars="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100≤X＜300 </w:t>
            </w:r>
          </w:p>
        </w:tc>
        <w:tc>
          <w:tcPr>
            <w:tcW w:w="1426" w:type="dxa"/>
            <w:tcBorders>
              <w:top w:val="nil"/>
              <w:left w:val="nil"/>
              <w:bottom w:val="nil"/>
              <w:right w:val="single" w:color="auto" w:sz="4" w:space="0"/>
            </w:tcBorders>
            <w:noWrap w:val="0"/>
            <w:vAlign w:val="center"/>
          </w:tcPr>
          <w:p w14:paraId="2A57D24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10≤X＜100</w:t>
            </w:r>
          </w:p>
        </w:tc>
        <w:tc>
          <w:tcPr>
            <w:tcW w:w="992" w:type="dxa"/>
            <w:tcBorders>
              <w:top w:val="nil"/>
              <w:left w:val="nil"/>
              <w:bottom w:val="nil"/>
              <w:right w:val="nil"/>
            </w:tcBorders>
            <w:noWrap w:val="0"/>
            <w:vAlign w:val="center"/>
          </w:tcPr>
          <w:p w14:paraId="426FE8C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w:t>
            </w:r>
          </w:p>
        </w:tc>
      </w:tr>
      <w:tr w14:paraId="6A7E6701">
        <w:tblPrEx>
          <w:tblCellMar>
            <w:top w:w="0" w:type="dxa"/>
            <w:left w:w="108" w:type="dxa"/>
            <w:bottom w:w="0" w:type="dxa"/>
            <w:right w:w="108" w:type="dxa"/>
          </w:tblCellMar>
        </w:tblPrEx>
        <w:trPr>
          <w:trHeight w:val="807" w:hRule="exact"/>
          <w:jc w:val="center"/>
        </w:trPr>
        <w:tc>
          <w:tcPr>
            <w:tcW w:w="2113" w:type="dxa"/>
            <w:vMerge w:val="continue"/>
            <w:tcBorders>
              <w:top w:val="nil"/>
              <w:left w:val="nil"/>
              <w:bottom w:val="single" w:color="auto" w:sz="4" w:space="0"/>
              <w:right w:val="single" w:color="auto" w:sz="4" w:space="0"/>
            </w:tcBorders>
            <w:noWrap w:val="0"/>
            <w:vAlign w:val="center"/>
          </w:tcPr>
          <w:p w14:paraId="3DC5C183">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419C1837">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4615D76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5DCBEE66">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Y≥10000</w:t>
            </w:r>
          </w:p>
        </w:tc>
        <w:tc>
          <w:tcPr>
            <w:tcW w:w="1701" w:type="dxa"/>
            <w:tcBorders>
              <w:top w:val="nil"/>
              <w:left w:val="nil"/>
              <w:bottom w:val="single" w:color="auto" w:sz="4" w:space="0"/>
              <w:right w:val="single" w:color="auto" w:sz="4" w:space="0"/>
            </w:tcBorders>
            <w:noWrap w:val="0"/>
            <w:vAlign w:val="center"/>
          </w:tcPr>
          <w:p w14:paraId="3E558C2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2000≤Y＜10000</w:t>
            </w:r>
          </w:p>
        </w:tc>
        <w:tc>
          <w:tcPr>
            <w:tcW w:w="1426" w:type="dxa"/>
            <w:tcBorders>
              <w:top w:val="nil"/>
              <w:left w:val="nil"/>
              <w:bottom w:val="single" w:color="auto" w:sz="4" w:space="0"/>
              <w:right w:val="single" w:color="auto" w:sz="4" w:space="0"/>
            </w:tcBorders>
            <w:noWrap w:val="0"/>
            <w:vAlign w:val="center"/>
          </w:tcPr>
          <w:p w14:paraId="6B32E57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100≤Y＜2000</w:t>
            </w:r>
          </w:p>
        </w:tc>
        <w:tc>
          <w:tcPr>
            <w:tcW w:w="992" w:type="dxa"/>
            <w:tcBorders>
              <w:top w:val="nil"/>
              <w:left w:val="nil"/>
              <w:bottom w:val="single" w:color="auto" w:sz="4" w:space="0"/>
              <w:right w:val="nil"/>
            </w:tcBorders>
            <w:noWrap w:val="0"/>
            <w:vAlign w:val="center"/>
          </w:tcPr>
          <w:p w14:paraId="736E99D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w:t>
            </w:r>
          </w:p>
        </w:tc>
      </w:tr>
      <w:tr w14:paraId="6F2173C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CCEBFB5">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餐饮业</w:t>
            </w:r>
          </w:p>
        </w:tc>
        <w:tc>
          <w:tcPr>
            <w:tcW w:w="1369" w:type="dxa"/>
            <w:tcBorders>
              <w:top w:val="nil"/>
              <w:left w:val="nil"/>
              <w:bottom w:val="nil"/>
              <w:right w:val="single" w:color="auto" w:sz="4" w:space="0"/>
            </w:tcBorders>
            <w:noWrap w:val="0"/>
            <w:vAlign w:val="center"/>
          </w:tcPr>
          <w:p w14:paraId="5653108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30BC296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45889E16">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X≥300</w:t>
            </w:r>
          </w:p>
        </w:tc>
        <w:tc>
          <w:tcPr>
            <w:tcW w:w="1701" w:type="dxa"/>
            <w:tcBorders>
              <w:top w:val="nil"/>
              <w:left w:val="nil"/>
              <w:bottom w:val="nil"/>
              <w:right w:val="single" w:color="auto" w:sz="4" w:space="0"/>
            </w:tcBorders>
            <w:noWrap w:val="0"/>
            <w:vAlign w:val="center"/>
          </w:tcPr>
          <w:p w14:paraId="13E562DB">
            <w:pPr>
              <w:widowControl/>
              <w:ind w:left="37" w:leftChars="-51" w:hanging="144" w:hangingChars="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100≤X＜300 </w:t>
            </w:r>
          </w:p>
        </w:tc>
        <w:tc>
          <w:tcPr>
            <w:tcW w:w="1426" w:type="dxa"/>
            <w:tcBorders>
              <w:top w:val="nil"/>
              <w:left w:val="nil"/>
              <w:bottom w:val="nil"/>
              <w:right w:val="single" w:color="auto" w:sz="4" w:space="0"/>
            </w:tcBorders>
            <w:noWrap w:val="0"/>
            <w:vAlign w:val="center"/>
          </w:tcPr>
          <w:p w14:paraId="5E66C8B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10≤X＜100</w:t>
            </w:r>
          </w:p>
        </w:tc>
        <w:tc>
          <w:tcPr>
            <w:tcW w:w="992" w:type="dxa"/>
            <w:tcBorders>
              <w:top w:val="nil"/>
              <w:left w:val="nil"/>
              <w:bottom w:val="nil"/>
              <w:right w:val="nil"/>
            </w:tcBorders>
            <w:noWrap w:val="0"/>
            <w:vAlign w:val="center"/>
          </w:tcPr>
          <w:p w14:paraId="3C1B6B8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w:t>
            </w:r>
          </w:p>
        </w:tc>
      </w:tr>
      <w:tr w14:paraId="5684C582">
        <w:tblPrEx>
          <w:tblCellMar>
            <w:top w:w="0" w:type="dxa"/>
            <w:left w:w="108" w:type="dxa"/>
            <w:bottom w:w="0" w:type="dxa"/>
            <w:right w:w="108" w:type="dxa"/>
          </w:tblCellMar>
        </w:tblPrEx>
        <w:trPr>
          <w:trHeight w:val="702" w:hRule="exact"/>
          <w:jc w:val="center"/>
        </w:trPr>
        <w:tc>
          <w:tcPr>
            <w:tcW w:w="2113" w:type="dxa"/>
            <w:vMerge w:val="continue"/>
            <w:tcBorders>
              <w:top w:val="nil"/>
              <w:left w:val="nil"/>
              <w:bottom w:val="single" w:color="auto" w:sz="4" w:space="0"/>
              <w:right w:val="single" w:color="auto" w:sz="4" w:space="0"/>
            </w:tcBorders>
            <w:noWrap w:val="0"/>
            <w:vAlign w:val="center"/>
          </w:tcPr>
          <w:p w14:paraId="55FA83F2">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56E96B64">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49FD7B3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4D40A3C6">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Y≥10000</w:t>
            </w:r>
          </w:p>
        </w:tc>
        <w:tc>
          <w:tcPr>
            <w:tcW w:w="1701" w:type="dxa"/>
            <w:tcBorders>
              <w:top w:val="nil"/>
              <w:left w:val="nil"/>
              <w:bottom w:val="single" w:color="auto" w:sz="4" w:space="0"/>
              <w:right w:val="single" w:color="auto" w:sz="4" w:space="0"/>
            </w:tcBorders>
            <w:noWrap w:val="0"/>
            <w:vAlign w:val="center"/>
          </w:tcPr>
          <w:p w14:paraId="2840CE46">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2000≤Y＜10000</w:t>
            </w:r>
          </w:p>
        </w:tc>
        <w:tc>
          <w:tcPr>
            <w:tcW w:w="1426" w:type="dxa"/>
            <w:tcBorders>
              <w:top w:val="nil"/>
              <w:left w:val="nil"/>
              <w:bottom w:val="single" w:color="auto" w:sz="4" w:space="0"/>
              <w:right w:val="single" w:color="auto" w:sz="4" w:space="0"/>
            </w:tcBorders>
            <w:noWrap w:val="0"/>
            <w:vAlign w:val="center"/>
          </w:tcPr>
          <w:p w14:paraId="6BD4BC8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100≤Y＜2000</w:t>
            </w:r>
          </w:p>
        </w:tc>
        <w:tc>
          <w:tcPr>
            <w:tcW w:w="992" w:type="dxa"/>
            <w:tcBorders>
              <w:top w:val="nil"/>
              <w:left w:val="nil"/>
              <w:bottom w:val="single" w:color="auto" w:sz="4" w:space="0"/>
              <w:right w:val="nil"/>
            </w:tcBorders>
            <w:noWrap w:val="0"/>
            <w:vAlign w:val="center"/>
          </w:tcPr>
          <w:p w14:paraId="56808C52">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w:t>
            </w:r>
          </w:p>
        </w:tc>
      </w:tr>
      <w:tr w14:paraId="363C05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F83F191">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信息传输业 *</w:t>
            </w:r>
          </w:p>
        </w:tc>
        <w:tc>
          <w:tcPr>
            <w:tcW w:w="1369" w:type="dxa"/>
            <w:tcBorders>
              <w:top w:val="nil"/>
              <w:left w:val="nil"/>
              <w:bottom w:val="nil"/>
              <w:right w:val="single" w:color="auto" w:sz="4" w:space="0"/>
            </w:tcBorders>
            <w:noWrap w:val="0"/>
            <w:vAlign w:val="center"/>
          </w:tcPr>
          <w:p w14:paraId="6BDF830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66FEC5E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3C749F4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X≥2000</w:t>
            </w:r>
          </w:p>
        </w:tc>
        <w:tc>
          <w:tcPr>
            <w:tcW w:w="1701" w:type="dxa"/>
            <w:tcBorders>
              <w:top w:val="nil"/>
              <w:left w:val="nil"/>
              <w:bottom w:val="nil"/>
              <w:right w:val="single" w:color="auto" w:sz="4" w:space="0"/>
            </w:tcBorders>
            <w:noWrap w:val="0"/>
            <w:vAlign w:val="center"/>
          </w:tcPr>
          <w:p w14:paraId="0E4D890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100≤X＜2000</w:t>
            </w:r>
          </w:p>
        </w:tc>
        <w:tc>
          <w:tcPr>
            <w:tcW w:w="1426" w:type="dxa"/>
            <w:tcBorders>
              <w:top w:val="nil"/>
              <w:left w:val="nil"/>
              <w:bottom w:val="nil"/>
              <w:right w:val="single" w:color="auto" w:sz="4" w:space="0"/>
            </w:tcBorders>
            <w:noWrap w:val="0"/>
            <w:vAlign w:val="center"/>
          </w:tcPr>
          <w:p w14:paraId="32DC6BB2">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10≤X＜100</w:t>
            </w:r>
          </w:p>
        </w:tc>
        <w:tc>
          <w:tcPr>
            <w:tcW w:w="992" w:type="dxa"/>
            <w:tcBorders>
              <w:top w:val="nil"/>
              <w:left w:val="nil"/>
              <w:bottom w:val="nil"/>
              <w:right w:val="nil"/>
            </w:tcBorders>
            <w:noWrap w:val="0"/>
            <w:vAlign w:val="center"/>
          </w:tcPr>
          <w:p w14:paraId="78F7E0A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w:t>
            </w:r>
          </w:p>
        </w:tc>
      </w:tr>
      <w:tr w14:paraId="05D74E4C">
        <w:tblPrEx>
          <w:tblCellMar>
            <w:top w:w="0" w:type="dxa"/>
            <w:left w:w="108" w:type="dxa"/>
            <w:bottom w:w="0" w:type="dxa"/>
            <w:right w:w="108" w:type="dxa"/>
          </w:tblCellMar>
        </w:tblPrEx>
        <w:trPr>
          <w:trHeight w:val="702" w:hRule="exact"/>
          <w:jc w:val="center"/>
        </w:trPr>
        <w:tc>
          <w:tcPr>
            <w:tcW w:w="2113" w:type="dxa"/>
            <w:vMerge w:val="continue"/>
            <w:tcBorders>
              <w:top w:val="nil"/>
              <w:left w:val="nil"/>
              <w:bottom w:val="single" w:color="auto" w:sz="4" w:space="0"/>
              <w:right w:val="single" w:color="auto" w:sz="4" w:space="0"/>
            </w:tcBorders>
            <w:noWrap w:val="0"/>
            <w:vAlign w:val="center"/>
          </w:tcPr>
          <w:p w14:paraId="1DDFD6F6">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1C076EA8">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60BF3FB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0031831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Y≥100000</w:t>
            </w:r>
          </w:p>
        </w:tc>
        <w:tc>
          <w:tcPr>
            <w:tcW w:w="1701" w:type="dxa"/>
            <w:tcBorders>
              <w:top w:val="nil"/>
              <w:left w:val="nil"/>
              <w:bottom w:val="single" w:color="auto" w:sz="4" w:space="0"/>
              <w:right w:val="single" w:color="auto" w:sz="4" w:space="0"/>
            </w:tcBorders>
            <w:noWrap w:val="0"/>
            <w:vAlign w:val="center"/>
          </w:tcPr>
          <w:p w14:paraId="4CA9750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4A0E9F2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100≤Y＜1000</w:t>
            </w:r>
          </w:p>
        </w:tc>
        <w:tc>
          <w:tcPr>
            <w:tcW w:w="992" w:type="dxa"/>
            <w:tcBorders>
              <w:top w:val="nil"/>
              <w:left w:val="nil"/>
              <w:bottom w:val="single" w:color="auto" w:sz="4" w:space="0"/>
              <w:right w:val="nil"/>
            </w:tcBorders>
            <w:noWrap w:val="0"/>
            <w:vAlign w:val="center"/>
          </w:tcPr>
          <w:p w14:paraId="6DF4900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w:t>
            </w:r>
          </w:p>
        </w:tc>
      </w:tr>
      <w:tr w14:paraId="09DC52AA">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3E2EAD01">
            <w:pPr>
              <w:widowControl/>
              <w:spacing w:line="240" w:lineRule="exact"/>
              <w:rPr>
                <w:rFonts w:hint="eastAsia" w:ascii="宋体" w:hAnsi="宋体" w:eastAsia="宋体" w:cs="宋体"/>
                <w:color w:val="000000"/>
                <w:spacing w:val="-12"/>
                <w:sz w:val="24"/>
                <w:szCs w:val="24"/>
                <w:highlight w:val="none"/>
                <w:lang w:eastAsia="zh-CN"/>
              </w:rPr>
            </w:pPr>
            <w:r>
              <w:rPr>
                <w:rFonts w:hint="eastAsia" w:ascii="宋体" w:hAnsi="宋体" w:eastAsia="宋体" w:cs="宋体"/>
                <w:color w:val="000000"/>
                <w:spacing w:val="-12"/>
                <w:sz w:val="24"/>
                <w:szCs w:val="24"/>
                <w:highlight w:val="none"/>
                <w:lang w:eastAsia="zh-CN"/>
              </w:rPr>
              <w:t>软件和信息技术服</w:t>
            </w:r>
            <w:r>
              <w:rPr>
                <w:rFonts w:hint="eastAsia" w:ascii="宋体" w:hAnsi="宋体" w:eastAsia="宋体" w:cs="宋体"/>
                <w:color w:val="000000"/>
                <w:sz w:val="24"/>
                <w:szCs w:val="24"/>
                <w:highlight w:val="none"/>
                <w:lang w:eastAsia="zh-CN"/>
              </w:rPr>
              <w:t>务业</w:t>
            </w:r>
          </w:p>
        </w:tc>
        <w:tc>
          <w:tcPr>
            <w:tcW w:w="1369" w:type="dxa"/>
            <w:tcBorders>
              <w:top w:val="nil"/>
              <w:left w:val="nil"/>
              <w:bottom w:val="nil"/>
              <w:right w:val="single" w:color="auto" w:sz="4" w:space="0"/>
            </w:tcBorders>
            <w:noWrap w:val="0"/>
            <w:vAlign w:val="center"/>
          </w:tcPr>
          <w:p w14:paraId="1A67330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1408C3D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5E1D009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X≥300</w:t>
            </w:r>
          </w:p>
        </w:tc>
        <w:tc>
          <w:tcPr>
            <w:tcW w:w="1701" w:type="dxa"/>
            <w:tcBorders>
              <w:top w:val="nil"/>
              <w:left w:val="nil"/>
              <w:bottom w:val="nil"/>
              <w:right w:val="single" w:color="auto" w:sz="4" w:space="0"/>
            </w:tcBorders>
            <w:noWrap w:val="0"/>
            <w:vAlign w:val="center"/>
          </w:tcPr>
          <w:p w14:paraId="65639652">
            <w:pPr>
              <w:widowControl/>
              <w:ind w:left="37" w:leftChars="-51" w:hanging="144" w:hangingChars="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100≤X＜300 </w:t>
            </w:r>
          </w:p>
        </w:tc>
        <w:tc>
          <w:tcPr>
            <w:tcW w:w="1426" w:type="dxa"/>
            <w:tcBorders>
              <w:top w:val="nil"/>
              <w:left w:val="nil"/>
              <w:bottom w:val="nil"/>
              <w:right w:val="single" w:color="auto" w:sz="4" w:space="0"/>
            </w:tcBorders>
            <w:noWrap w:val="0"/>
            <w:vAlign w:val="center"/>
          </w:tcPr>
          <w:p w14:paraId="18C7010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10≤X＜100</w:t>
            </w:r>
          </w:p>
        </w:tc>
        <w:tc>
          <w:tcPr>
            <w:tcW w:w="992" w:type="dxa"/>
            <w:tcBorders>
              <w:top w:val="nil"/>
              <w:left w:val="nil"/>
              <w:bottom w:val="nil"/>
              <w:right w:val="nil"/>
            </w:tcBorders>
            <w:noWrap w:val="0"/>
            <w:vAlign w:val="center"/>
          </w:tcPr>
          <w:p w14:paraId="5A7B325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w:t>
            </w:r>
          </w:p>
        </w:tc>
      </w:tr>
      <w:tr w14:paraId="6E85F683">
        <w:tblPrEx>
          <w:tblCellMar>
            <w:top w:w="0" w:type="dxa"/>
            <w:left w:w="108" w:type="dxa"/>
            <w:bottom w:w="0" w:type="dxa"/>
            <w:right w:w="108" w:type="dxa"/>
          </w:tblCellMar>
        </w:tblPrEx>
        <w:trPr>
          <w:trHeight w:val="795"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2F52E894">
            <w:pPr>
              <w:widowControl/>
              <w:rPr>
                <w:rFonts w:hint="eastAsia" w:ascii="宋体" w:hAnsi="宋体" w:eastAsia="宋体" w:cs="宋体"/>
                <w:color w:val="000000"/>
                <w:spacing w:val="-12"/>
                <w:sz w:val="24"/>
                <w:szCs w:val="24"/>
                <w:highlight w:val="none"/>
              </w:rPr>
            </w:pPr>
          </w:p>
        </w:tc>
        <w:tc>
          <w:tcPr>
            <w:tcW w:w="1369" w:type="dxa"/>
            <w:tcBorders>
              <w:top w:val="nil"/>
              <w:left w:val="nil"/>
              <w:bottom w:val="single" w:color="auto" w:sz="4" w:space="0"/>
              <w:right w:val="single" w:color="auto" w:sz="4" w:space="0"/>
            </w:tcBorders>
            <w:noWrap w:val="0"/>
            <w:vAlign w:val="center"/>
          </w:tcPr>
          <w:p w14:paraId="5C07714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213D6C7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26AE855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Y≥10000</w:t>
            </w:r>
          </w:p>
        </w:tc>
        <w:tc>
          <w:tcPr>
            <w:tcW w:w="1701" w:type="dxa"/>
            <w:tcBorders>
              <w:top w:val="nil"/>
              <w:left w:val="nil"/>
              <w:bottom w:val="single" w:color="auto" w:sz="4" w:space="0"/>
              <w:right w:val="single" w:color="auto" w:sz="4" w:space="0"/>
            </w:tcBorders>
            <w:noWrap w:val="0"/>
            <w:vAlign w:val="center"/>
          </w:tcPr>
          <w:p w14:paraId="1B02E66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1000≤Y＜10000</w:t>
            </w:r>
          </w:p>
        </w:tc>
        <w:tc>
          <w:tcPr>
            <w:tcW w:w="1426" w:type="dxa"/>
            <w:tcBorders>
              <w:top w:val="nil"/>
              <w:left w:val="nil"/>
              <w:bottom w:val="single" w:color="auto" w:sz="4" w:space="0"/>
              <w:right w:val="single" w:color="auto" w:sz="4" w:space="0"/>
            </w:tcBorders>
            <w:noWrap w:val="0"/>
            <w:vAlign w:val="center"/>
          </w:tcPr>
          <w:p w14:paraId="1EC01E9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50≤Y＜1000</w:t>
            </w:r>
          </w:p>
        </w:tc>
        <w:tc>
          <w:tcPr>
            <w:tcW w:w="992" w:type="dxa"/>
            <w:tcBorders>
              <w:top w:val="nil"/>
              <w:left w:val="nil"/>
              <w:bottom w:val="single" w:color="auto" w:sz="4" w:space="0"/>
              <w:right w:val="nil"/>
            </w:tcBorders>
            <w:noWrap w:val="0"/>
            <w:vAlign w:val="center"/>
          </w:tcPr>
          <w:p w14:paraId="2E710E0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Y＜50</w:t>
            </w:r>
          </w:p>
        </w:tc>
      </w:tr>
      <w:tr w14:paraId="6D0FB488">
        <w:tblPrEx>
          <w:tblCellMar>
            <w:top w:w="0" w:type="dxa"/>
            <w:left w:w="108" w:type="dxa"/>
            <w:bottom w:w="0" w:type="dxa"/>
            <w:right w:w="108" w:type="dxa"/>
          </w:tblCellMar>
        </w:tblPrEx>
        <w:trPr>
          <w:trHeight w:val="655" w:hRule="exact"/>
          <w:jc w:val="center"/>
        </w:trPr>
        <w:tc>
          <w:tcPr>
            <w:tcW w:w="2113" w:type="dxa"/>
            <w:vMerge w:val="restart"/>
            <w:tcBorders>
              <w:top w:val="nil"/>
              <w:left w:val="nil"/>
              <w:bottom w:val="single" w:color="auto" w:sz="4" w:space="0"/>
              <w:right w:val="single" w:color="auto" w:sz="4" w:space="0"/>
            </w:tcBorders>
            <w:noWrap w:val="0"/>
            <w:vAlign w:val="center"/>
          </w:tcPr>
          <w:p w14:paraId="304DF5C6">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房地产开发经营</w:t>
            </w:r>
          </w:p>
        </w:tc>
        <w:tc>
          <w:tcPr>
            <w:tcW w:w="1369" w:type="dxa"/>
            <w:tcBorders>
              <w:top w:val="nil"/>
              <w:left w:val="nil"/>
              <w:bottom w:val="nil"/>
              <w:right w:val="single" w:color="auto" w:sz="4" w:space="0"/>
            </w:tcBorders>
            <w:noWrap w:val="0"/>
            <w:vAlign w:val="center"/>
          </w:tcPr>
          <w:p w14:paraId="312E10F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nil"/>
              <w:right w:val="single" w:color="auto" w:sz="4" w:space="0"/>
            </w:tcBorders>
            <w:noWrap w:val="0"/>
            <w:vAlign w:val="center"/>
          </w:tcPr>
          <w:p w14:paraId="50B3A522">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nil"/>
              <w:right w:val="single" w:color="auto" w:sz="4" w:space="0"/>
            </w:tcBorders>
            <w:noWrap w:val="0"/>
            <w:vAlign w:val="center"/>
          </w:tcPr>
          <w:p w14:paraId="3374942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Y≥200000</w:t>
            </w:r>
          </w:p>
        </w:tc>
        <w:tc>
          <w:tcPr>
            <w:tcW w:w="1701" w:type="dxa"/>
            <w:tcBorders>
              <w:top w:val="nil"/>
              <w:left w:val="nil"/>
              <w:bottom w:val="nil"/>
              <w:right w:val="single" w:color="auto" w:sz="4" w:space="0"/>
            </w:tcBorders>
            <w:noWrap w:val="0"/>
            <w:vAlign w:val="center"/>
          </w:tcPr>
          <w:p w14:paraId="2623E47A">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1000≤Y＜200000</w:t>
            </w:r>
          </w:p>
        </w:tc>
        <w:tc>
          <w:tcPr>
            <w:tcW w:w="1426" w:type="dxa"/>
            <w:tcBorders>
              <w:top w:val="nil"/>
              <w:left w:val="nil"/>
              <w:bottom w:val="nil"/>
              <w:right w:val="single" w:color="auto" w:sz="4" w:space="0"/>
            </w:tcBorders>
            <w:noWrap w:val="0"/>
            <w:vAlign w:val="center"/>
          </w:tcPr>
          <w:p w14:paraId="42F291D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100≤Y＜1000</w:t>
            </w:r>
          </w:p>
        </w:tc>
        <w:tc>
          <w:tcPr>
            <w:tcW w:w="992" w:type="dxa"/>
            <w:tcBorders>
              <w:top w:val="nil"/>
              <w:left w:val="nil"/>
              <w:bottom w:val="nil"/>
              <w:right w:val="nil"/>
            </w:tcBorders>
            <w:noWrap w:val="0"/>
            <w:vAlign w:val="center"/>
          </w:tcPr>
          <w:p w14:paraId="53C0F0D4">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Y＜100</w:t>
            </w:r>
          </w:p>
        </w:tc>
      </w:tr>
      <w:tr w14:paraId="5B692F65">
        <w:tblPrEx>
          <w:tblCellMar>
            <w:top w:w="0" w:type="dxa"/>
            <w:left w:w="108" w:type="dxa"/>
            <w:bottom w:w="0" w:type="dxa"/>
            <w:right w:w="108" w:type="dxa"/>
          </w:tblCellMar>
        </w:tblPrEx>
        <w:trPr>
          <w:trHeight w:val="660" w:hRule="exact"/>
          <w:jc w:val="center"/>
        </w:trPr>
        <w:tc>
          <w:tcPr>
            <w:tcW w:w="2113" w:type="dxa"/>
            <w:vMerge w:val="continue"/>
            <w:tcBorders>
              <w:top w:val="nil"/>
              <w:left w:val="nil"/>
              <w:bottom w:val="single" w:color="auto" w:sz="4" w:space="0"/>
              <w:right w:val="single" w:color="auto" w:sz="4" w:space="0"/>
            </w:tcBorders>
            <w:noWrap w:val="0"/>
            <w:vAlign w:val="center"/>
          </w:tcPr>
          <w:p w14:paraId="10F3A9AF">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5912861E">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资产总额(Z)</w:t>
            </w:r>
          </w:p>
        </w:tc>
        <w:tc>
          <w:tcPr>
            <w:tcW w:w="709" w:type="dxa"/>
            <w:tcBorders>
              <w:top w:val="nil"/>
              <w:left w:val="nil"/>
              <w:bottom w:val="single" w:color="auto" w:sz="4" w:space="0"/>
              <w:right w:val="single" w:color="auto" w:sz="4" w:space="0"/>
            </w:tcBorders>
            <w:noWrap w:val="0"/>
            <w:vAlign w:val="center"/>
          </w:tcPr>
          <w:p w14:paraId="07782B0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1DF21FD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Z≥10000</w:t>
            </w:r>
          </w:p>
        </w:tc>
        <w:tc>
          <w:tcPr>
            <w:tcW w:w="1701" w:type="dxa"/>
            <w:tcBorders>
              <w:top w:val="nil"/>
              <w:left w:val="nil"/>
              <w:bottom w:val="single" w:color="auto" w:sz="4" w:space="0"/>
              <w:right w:val="single" w:color="auto" w:sz="4" w:space="0"/>
            </w:tcBorders>
            <w:noWrap w:val="0"/>
            <w:vAlign w:val="center"/>
          </w:tcPr>
          <w:p w14:paraId="3A7DC40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5000≤Z＜10000</w:t>
            </w:r>
          </w:p>
        </w:tc>
        <w:tc>
          <w:tcPr>
            <w:tcW w:w="1426" w:type="dxa"/>
            <w:tcBorders>
              <w:top w:val="nil"/>
              <w:left w:val="nil"/>
              <w:bottom w:val="single" w:color="auto" w:sz="4" w:space="0"/>
              <w:right w:val="single" w:color="auto" w:sz="4" w:space="0"/>
            </w:tcBorders>
            <w:noWrap w:val="0"/>
            <w:vAlign w:val="center"/>
          </w:tcPr>
          <w:p w14:paraId="443DD2D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2000≤Z＜5000   </w:t>
            </w:r>
          </w:p>
        </w:tc>
        <w:tc>
          <w:tcPr>
            <w:tcW w:w="992" w:type="dxa"/>
            <w:tcBorders>
              <w:top w:val="nil"/>
              <w:left w:val="nil"/>
              <w:bottom w:val="single" w:color="auto" w:sz="4" w:space="0"/>
              <w:right w:val="nil"/>
            </w:tcBorders>
            <w:noWrap w:val="0"/>
            <w:vAlign w:val="center"/>
          </w:tcPr>
          <w:p w14:paraId="63CAEAD7">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Z＜2000</w:t>
            </w:r>
          </w:p>
        </w:tc>
      </w:tr>
      <w:tr w14:paraId="6B3B7C91">
        <w:tblPrEx>
          <w:tblCellMar>
            <w:top w:w="0" w:type="dxa"/>
            <w:left w:w="108" w:type="dxa"/>
            <w:bottom w:w="0" w:type="dxa"/>
            <w:right w:w="108" w:type="dxa"/>
          </w:tblCellMar>
        </w:tblPrEx>
        <w:trPr>
          <w:trHeight w:val="745" w:hRule="exact"/>
          <w:jc w:val="center"/>
        </w:trPr>
        <w:tc>
          <w:tcPr>
            <w:tcW w:w="2113" w:type="dxa"/>
            <w:vMerge w:val="restart"/>
            <w:tcBorders>
              <w:top w:val="nil"/>
              <w:left w:val="nil"/>
              <w:bottom w:val="single" w:color="auto" w:sz="4" w:space="0"/>
              <w:right w:val="single" w:color="auto" w:sz="4" w:space="0"/>
            </w:tcBorders>
            <w:noWrap w:val="0"/>
            <w:vAlign w:val="center"/>
          </w:tcPr>
          <w:p w14:paraId="7AD0C91E">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物业管理</w:t>
            </w:r>
          </w:p>
        </w:tc>
        <w:tc>
          <w:tcPr>
            <w:tcW w:w="1369" w:type="dxa"/>
            <w:tcBorders>
              <w:top w:val="nil"/>
              <w:left w:val="nil"/>
              <w:bottom w:val="nil"/>
              <w:right w:val="single" w:color="auto" w:sz="4" w:space="0"/>
            </w:tcBorders>
            <w:noWrap w:val="0"/>
            <w:vAlign w:val="center"/>
          </w:tcPr>
          <w:p w14:paraId="6C26B26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1A0AEDB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30F938A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X≥1000</w:t>
            </w:r>
          </w:p>
        </w:tc>
        <w:tc>
          <w:tcPr>
            <w:tcW w:w="1701" w:type="dxa"/>
            <w:tcBorders>
              <w:top w:val="nil"/>
              <w:left w:val="nil"/>
              <w:bottom w:val="nil"/>
              <w:right w:val="single" w:color="auto" w:sz="4" w:space="0"/>
            </w:tcBorders>
            <w:noWrap w:val="0"/>
            <w:vAlign w:val="center"/>
          </w:tcPr>
          <w:p w14:paraId="114CFCEA">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300≤X＜1000</w:t>
            </w:r>
          </w:p>
        </w:tc>
        <w:tc>
          <w:tcPr>
            <w:tcW w:w="1426" w:type="dxa"/>
            <w:tcBorders>
              <w:top w:val="nil"/>
              <w:left w:val="nil"/>
              <w:bottom w:val="nil"/>
              <w:right w:val="single" w:color="auto" w:sz="4" w:space="0"/>
            </w:tcBorders>
            <w:noWrap w:val="0"/>
            <w:vAlign w:val="center"/>
          </w:tcPr>
          <w:p w14:paraId="1D8B43F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100≤X＜300 </w:t>
            </w:r>
          </w:p>
        </w:tc>
        <w:tc>
          <w:tcPr>
            <w:tcW w:w="992" w:type="dxa"/>
            <w:tcBorders>
              <w:top w:val="nil"/>
              <w:left w:val="nil"/>
              <w:bottom w:val="nil"/>
              <w:right w:val="nil"/>
            </w:tcBorders>
            <w:noWrap w:val="0"/>
            <w:vAlign w:val="center"/>
          </w:tcPr>
          <w:p w14:paraId="65C0AA9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X＜100</w:t>
            </w:r>
          </w:p>
        </w:tc>
      </w:tr>
      <w:tr w14:paraId="4A8874BA">
        <w:tblPrEx>
          <w:tblCellMar>
            <w:top w:w="0" w:type="dxa"/>
            <w:left w:w="108" w:type="dxa"/>
            <w:bottom w:w="0" w:type="dxa"/>
            <w:right w:w="108" w:type="dxa"/>
          </w:tblCellMar>
        </w:tblPrEx>
        <w:trPr>
          <w:trHeight w:val="615" w:hRule="exact"/>
          <w:jc w:val="center"/>
        </w:trPr>
        <w:tc>
          <w:tcPr>
            <w:tcW w:w="2113" w:type="dxa"/>
            <w:vMerge w:val="continue"/>
            <w:tcBorders>
              <w:top w:val="nil"/>
              <w:left w:val="nil"/>
              <w:bottom w:val="single" w:color="auto" w:sz="4" w:space="0"/>
              <w:right w:val="single" w:color="auto" w:sz="4" w:space="0"/>
            </w:tcBorders>
            <w:noWrap w:val="0"/>
            <w:vAlign w:val="center"/>
          </w:tcPr>
          <w:p w14:paraId="506B3BD8">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3B2328AF">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营业收入(Y)</w:t>
            </w:r>
          </w:p>
        </w:tc>
        <w:tc>
          <w:tcPr>
            <w:tcW w:w="709" w:type="dxa"/>
            <w:tcBorders>
              <w:top w:val="nil"/>
              <w:left w:val="nil"/>
              <w:bottom w:val="single" w:color="auto" w:sz="4" w:space="0"/>
              <w:right w:val="single" w:color="auto" w:sz="4" w:space="0"/>
            </w:tcBorders>
            <w:noWrap w:val="0"/>
            <w:vAlign w:val="center"/>
          </w:tcPr>
          <w:p w14:paraId="18DC24A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55E224E0">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Y≥5000</w:t>
            </w:r>
          </w:p>
        </w:tc>
        <w:tc>
          <w:tcPr>
            <w:tcW w:w="1701" w:type="dxa"/>
            <w:tcBorders>
              <w:top w:val="nil"/>
              <w:left w:val="nil"/>
              <w:bottom w:val="single" w:color="auto" w:sz="4" w:space="0"/>
              <w:right w:val="single" w:color="auto" w:sz="4" w:space="0"/>
            </w:tcBorders>
            <w:noWrap w:val="0"/>
            <w:vAlign w:val="center"/>
          </w:tcPr>
          <w:p w14:paraId="64381376">
            <w:pPr>
              <w:widowControl/>
              <w:ind w:left="37" w:leftChars="-51" w:hanging="144" w:hangingChars="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1000≤Y＜5000 </w:t>
            </w:r>
          </w:p>
        </w:tc>
        <w:tc>
          <w:tcPr>
            <w:tcW w:w="1426" w:type="dxa"/>
            <w:tcBorders>
              <w:top w:val="nil"/>
              <w:left w:val="nil"/>
              <w:bottom w:val="single" w:color="auto" w:sz="4" w:space="0"/>
              <w:right w:val="single" w:color="auto" w:sz="4" w:space="0"/>
            </w:tcBorders>
            <w:noWrap w:val="0"/>
            <w:vAlign w:val="center"/>
          </w:tcPr>
          <w:p w14:paraId="64BC89B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500≤Y＜1000</w:t>
            </w:r>
          </w:p>
        </w:tc>
        <w:tc>
          <w:tcPr>
            <w:tcW w:w="992" w:type="dxa"/>
            <w:tcBorders>
              <w:top w:val="nil"/>
              <w:left w:val="nil"/>
              <w:bottom w:val="single" w:color="auto" w:sz="4" w:space="0"/>
              <w:right w:val="nil"/>
            </w:tcBorders>
            <w:noWrap w:val="0"/>
            <w:vAlign w:val="center"/>
          </w:tcPr>
          <w:p w14:paraId="2EF250E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Y＜500</w:t>
            </w:r>
          </w:p>
        </w:tc>
      </w:tr>
      <w:tr w14:paraId="08AB10B5">
        <w:tblPrEx>
          <w:tblCellMar>
            <w:top w:w="0" w:type="dxa"/>
            <w:left w:w="108" w:type="dxa"/>
            <w:bottom w:w="0" w:type="dxa"/>
            <w:right w:w="108" w:type="dxa"/>
          </w:tblCellMar>
        </w:tblPrEx>
        <w:trPr>
          <w:trHeight w:val="580" w:hRule="exact"/>
          <w:jc w:val="center"/>
        </w:trPr>
        <w:tc>
          <w:tcPr>
            <w:tcW w:w="2113" w:type="dxa"/>
            <w:vMerge w:val="restart"/>
            <w:tcBorders>
              <w:top w:val="nil"/>
              <w:left w:val="nil"/>
              <w:bottom w:val="single" w:color="auto" w:sz="4" w:space="0"/>
              <w:right w:val="single" w:color="auto" w:sz="4" w:space="0"/>
            </w:tcBorders>
            <w:noWrap w:val="0"/>
            <w:vAlign w:val="center"/>
          </w:tcPr>
          <w:p w14:paraId="1F383A9C">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租赁和商务服务业</w:t>
            </w:r>
          </w:p>
        </w:tc>
        <w:tc>
          <w:tcPr>
            <w:tcW w:w="1369" w:type="dxa"/>
            <w:tcBorders>
              <w:top w:val="nil"/>
              <w:left w:val="nil"/>
              <w:bottom w:val="nil"/>
              <w:right w:val="single" w:color="auto" w:sz="4" w:space="0"/>
            </w:tcBorders>
            <w:noWrap w:val="0"/>
            <w:vAlign w:val="center"/>
          </w:tcPr>
          <w:p w14:paraId="100FAA9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nil"/>
              <w:right w:val="single" w:color="auto" w:sz="4" w:space="0"/>
            </w:tcBorders>
            <w:noWrap w:val="0"/>
            <w:vAlign w:val="center"/>
          </w:tcPr>
          <w:p w14:paraId="63B82D6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nil"/>
              <w:right w:val="single" w:color="auto" w:sz="4" w:space="0"/>
            </w:tcBorders>
            <w:noWrap w:val="0"/>
            <w:vAlign w:val="center"/>
          </w:tcPr>
          <w:p w14:paraId="1756512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X≥300</w:t>
            </w:r>
          </w:p>
        </w:tc>
        <w:tc>
          <w:tcPr>
            <w:tcW w:w="1701" w:type="dxa"/>
            <w:tcBorders>
              <w:top w:val="nil"/>
              <w:left w:val="nil"/>
              <w:bottom w:val="nil"/>
              <w:right w:val="single" w:color="auto" w:sz="4" w:space="0"/>
            </w:tcBorders>
            <w:noWrap w:val="0"/>
            <w:vAlign w:val="center"/>
          </w:tcPr>
          <w:p w14:paraId="5848355A">
            <w:pPr>
              <w:widowControl/>
              <w:ind w:left="37" w:leftChars="-51" w:hanging="144" w:hangingChars="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100≤X＜300 </w:t>
            </w:r>
          </w:p>
        </w:tc>
        <w:tc>
          <w:tcPr>
            <w:tcW w:w="1426" w:type="dxa"/>
            <w:tcBorders>
              <w:top w:val="nil"/>
              <w:left w:val="nil"/>
              <w:bottom w:val="nil"/>
              <w:right w:val="single" w:color="auto" w:sz="4" w:space="0"/>
            </w:tcBorders>
            <w:noWrap w:val="0"/>
            <w:vAlign w:val="center"/>
          </w:tcPr>
          <w:p w14:paraId="0E76BD9B">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10≤X＜100</w:t>
            </w:r>
          </w:p>
        </w:tc>
        <w:tc>
          <w:tcPr>
            <w:tcW w:w="992" w:type="dxa"/>
            <w:tcBorders>
              <w:top w:val="nil"/>
              <w:left w:val="nil"/>
              <w:bottom w:val="nil"/>
              <w:right w:val="nil"/>
            </w:tcBorders>
            <w:noWrap w:val="0"/>
            <w:vAlign w:val="center"/>
          </w:tcPr>
          <w:p w14:paraId="358AD08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w:t>
            </w:r>
          </w:p>
        </w:tc>
      </w:tr>
      <w:tr w14:paraId="45FEC1FE">
        <w:tblPrEx>
          <w:tblCellMar>
            <w:top w:w="0" w:type="dxa"/>
            <w:left w:w="108" w:type="dxa"/>
            <w:bottom w:w="0" w:type="dxa"/>
            <w:right w:w="108" w:type="dxa"/>
          </w:tblCellMar>
        </w:tblPrEx>
        <w:trPr>
          <w:trHeight w:val="645" w:hRule="exact"/>
          <w:jc w:val="center"/>
        </w:trPr>
        <w:tc>
          <w:tcPr>
            <w:tcW w:w="2113" w:type="dxa"/>
            <w:vMerge w:val="continue"/>
            <w:tcBorders>
              <w:top w:val="nil"/>
              <w:left w:val="nil"/>
              <w:bottom w:val="single" w:color="auto" w:sz="4" w:space="0"/>
              <w:right w:val="single" w:color="auto" w:sz="4" w:space="0"/>
            </w:tcBorders>
            <w:noWrap w:val="0"/>
            <w:vAlign w:val="center"/>
          </w:tcPr>
          <w:p w14:paraId="21A122E0">
            <w:pPr>
              <w:widowControl/>
              <w:rPr>
                <w:rFonts w:hint="eastAsia" w:ascii="宋体" w:hAnsi="宋体" w:eastAsia="宋体" w:cs="宋体"/>
                <w:color w:val="000000"/>
                <w:sz w:val="24"/>
                <w:szCs w:val="24"/>
                <w:highlight w:val="none"/>
              </w:rPr>
            </w:pPr>
          </w:p>
        </w:tc>
        <w:tc>
          <w:tcPr>
            <w:tcW w:w="1369" w:type="dxa"/>
            <w:tcBorders>
              <w:top w:val="nil"/>
              <w:left w:val="nil"/>
              <w:bottom w:val="single" w:color="auto" w:sz="4" w:space="0"/>
              <w:right w:val="single" w:color="auto" w:sz="4" w:space="0"/>
            </w:tcBorders>
            <w:noWrap w:val="0"/>
            <w:vAlign w:val="center"/>
          </w:tcPr>
          <w:p w14:paraId="2E8BF426">
            <w:pPr>
              <w:widowControl/>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资产总额(Z)</w:t>
            </w:r>
          </w:p>
        </w:tc>
        <w:tc>
          <w:tcPr>
            <w:tcW w:w="709" w:type="dxa"/>
            <w:tcBorders>
              <w:top w:val="nil"/>
              <w:left w:val="nil"/>
              <w:bottom w:val="single" w:color="auto" w:sz="4" w:space="0"/>
              <w:right w:val="single" w:color="auto" w:sz="4" w:space="0"/>
            </w:tcBorders>
            <w:noWrap w:val="0"/>
            <w:vAlign w:val="center"/>
          </w:tcPr>
          <w:p w14:paraId="3B51C54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1125" w:type="dxa"/>
            <w:tcBorders>
              <w:top w:val="nil"/>
              <w:left w:val="nil"/>
              <w:bottom w:val="single" w:color="auto" w:sz="4" w:space="0"/>
              <w:right w:val="single" w:color="auto" w:sz="4" w:space="0"/>
            </w:tcBorders>
            <w:noWrap w:val="0"/>
            <w:vAlign w:val="center"/>
          </w:tcPr>
          <w:p w14:paraId="2540DB3F">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Z≥120000</w:t>
            </w:r>
          </w:p>
        </w:tc>
        <w:tc>
          <w:tcPr>
            <w:tcW w:w="1701" w:type="dxa"/>
            <w:tcBorders>
              <w:top w:val="nil"/>
              <w:left w:val="nil"/>
              <w:bottom w:val="single" w:color="auto" w:sz="4" w:space="0"/>
              <w:right w:val="single" w:color="auto" w:sz="4" w:space="0"/>
            </w:tcBorders>
            <w:noWrap w:val="0"/>
            <w:vAlign w:val="center"/>
          </w:tcPr>
          <w:p w14:paraId="663C9FC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642EF0D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100≤Z＜8000</w:t>
            </w:r>
          </w:p>
        </w:tc>
        <w:tc>
          <w:tcPr>
            <w:tcW w:w="992" w:type="dxa"/>
            <w:tcBorders>
              <w:top w:val="nil"/>
              <w:left w:val="nil"/>
              <w:bottom w:val="single" w:color="auto" w:sz="4" w:space="0"/>
              <w:right w:val="nil"/>
            </w:tcBorders>
            <w:noWrap w:val="0"/>
            <w:vAlign w:val="center"/>
          </w:tcPr>
          <w:p w14:paraId="5954ECE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Z＜100</w:t>
            </w:r>
          </w:p>
        </w:tc>
      </w:tr>
      <w:tr w14:paraId="09B2342C">
        <w:tblPrEx>
          <w:tblCellMar>
            <w:top w:w="0" w:type="dxa"/>
            <w:left w:w="108" w:type="dxa"/>
            <w:bottom w:w="0" w:type="dxa"/>
            <w:right w:w="108" w:type="dxa"/>
          </w:tblCellMar>
        </w:tblPrEx>
        <w:trPr>
          <w:trHeight w:val="802" w:hRule="exact"/>
          <w:jc w:val="center"/>
        </w:trPr>
        <w:tc>
          <w:tcPr>
            <w:tcW w:w="2113" w:type="dxa"/>
            <w:tcBorders>
              <w:top w:val="nil"/>
              <w:left w:val="nil"/>
              <w:bottom w:val="single" w:color="auto" w:sz="4" w:space="0"/>
              <w:right w:val="single" w:color="auto" w:sz="4" w:space="0"/>
            </w:tcBorders>
            <w:noWrap w:val="0"/>
            <w:vAlign w:val="center"/>
          </w:tcPr>
          <w:p w14:paraId="7C550DBB">
            <w:pPr>
              <w:widowControl/>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其他未列明行业 *</w:t>
            </w:r>
          </w:p>
        </w:tc>
        <w:tc>
          <w:tcPr>
            <w:tcW w:w="1369" w:type="dxa"/>
            <w:tcBorders>
              <w:top w:val="nil"/>
              <w:left w:val="nil"/>
              <w:bottom w:val="single" w:color="auto" w:sz="4" w:space="0"/>
              <w:right w:val="single" w:color="auto" w:sz="4" w:space="0"/>
            </w:tcBorders>
            <w:noWrap w:val="0"/>
            <w:vAlign w:val="center"/>
          </w:tcPr>
          <w:p w14:paraId="1FEA89B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从业人员(X)</w:t>
            </w:r>
          </w:p>
        </w:tc>
        <w:tc>
          <w:tcPr>
            <w:tcW w:w="709" w:type="dxa"/>
            <w:tcBorders>
              <w:top w:val="nil"/>
              <w:left w:val="nil"/>
              <w:bottom w:val="single" w:color="auto" w:sz="4" w:space="0"/>
              <w:right w:val="single" w:color="auto" w:sz="4" w:space="0"/>
            </w:tcBorders>
            <w:noWrap w:val="0"/>
            <w:vAlign w:val="center"/>
          </w:tcPr>
          <w:p w14:paraId="66FA6A3C">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tc>
        <w:tc>
          <w:tcPr>
            <w:tcW w:w="1125" w:type="dxa"/>
            <w:tcBorders>
              <w:top w:val="nil"/>
              <w:left w:val="nil"/>
              <w:bottom w:val="single" w:color="auto" w:sz="4" w:space="0"/>
              <w:right w:val="single" w:color="auto" w:sz="4" w:space="0"/>
            </w:tcBorders>
            <w:noWrap w:val="0"/>
            <w:vAlign w:val="center"/>
          </w:tcPr>
          <w:p w14:paraId="2885C5F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X≥300</w:t>
            </w:r>
          </w:p>
        </w:tc>
        <w:tc>
          <w:tcPr>
            <w:tcW w:w="1701" w:type="dxa"/>
            <w:tcBorders>
              <w:top w:val="nil"/>
              <w:left w:val="nil"/>
              <w:bottom w:val="single" w:color="auto" w:sz="4" w:space="0"/>
              <w:right w:val="single" w:color="auto" w:sz="4" w:space="0"/>
            </w:tcBorders>
            <w:noWrap w:val="0"/>
            <w:vAlign w:val="center"/>
          </w:tcPr>
          <w:p w14:paraId="05F3831E">
            <w:pPr>
              <w:widowControl/>
              <w:ind w:left="37" w:leftChars="-51" w:hanging="144" w:hangingChars="6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3ADC3079">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10≤X＜100</w:t>
            </w:r>
          </w:p>
        </w:tc>
        <w:tc>
          <w:tcPr>
            <w:tcW w:w="992" w:type="dxa"/>
            <w:tcBorders>
              <w:top w:val="nil"/>
              <w:left w:val="nil"/>
              <w:bottom w:val="single" w:color="auto" w:sz="4" w:space="0"/>
              <w:right w:val="nil"/>
            </w:tcBorders>
            <w:noWrap w:val="0"/>
            <w:vAlign w:val="center"/>
          </w:tcPr>
          <w:p w14:paraId="4C629DC1">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X＜10</w:t>
            </w:r>
          </w:p>
        </w:tc>
      </w:tr>
    </w:tbl>
    <w:p w14:paraId="00926828">
      <w:pP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6B24D0C7">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1.大型、中型和小型企业须同时满足所列指标的下限，否则下划一档；微型企业只须满足所列指标中的一项即可。</w:t>
      </w:r>
    </w:p>
    <w:p w14:paraId="146096C8">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1439389">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44A4F56">
      <w:pPr>
        <w:widowControl/>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p>
    <w:p w14:paraId="56C3E6A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《统计上大中小微型企业划分办法（2017）》修订说明</w:t>
      </w:r>
    </w:p>
    <w:p w14:paraId="28660F26">
      <w:pPr>
        <w:rPr>
          <w:rFonts w:hint="eastAsia" w:ascii="宋体" w:hAnsi="宋体" w:eastAsia="宋体" w:cs="宋体"/>
          <w:sz w:val="24"/>
          <w:szCs w:val="24"/>
          <w:highlight w:val="none"/>
          <w:lang w:eastAsia="zh-CN"/>
        </w:rPr>
      </w:pPr>
    </w:p>
    <w:p w14:paraId="474532CB">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一、修订背景</w:t>
      </w:r>
    </w:p>
    <w:p w14:paraId="3AA211EC">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BEE274C">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F503F55">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二、修订主要内容</w:t>
      </w:r>
    </w:p>
    <w:p w14:paraId="507DB944">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5091C70">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将交通运输业中包括的“装卸搬运和运输代理业”修改为“多式联运和运输代理业、装卸搬运”。</w:t>
      </w:r>
    </w:p>
    <w:p w14:paraId="355FB0C9">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仓储业所包括的行业中类，根据《国民经济行业分类》（GB/T 4754—2017）调整为“通用仓储，低温仓储，危险品仓储，谷物、棉花等农产品仓储，中药材仓储和其他仓储业”。</w:t>
      </w:r>
    </w:p>
    <w:p w14:paraId="25EF7200">
      <w:pPr>
        <w:widowControl/>
        <w:rPr>
          <w:rFonts w:hint="eastAsia" w:ascii="宋体" w:hAnsi="宋体" w:eastAsia="宋体" w:cs="宋体"/>
          <w:highlight w:val="none"/>
        </w:rPr>
      </w:pPr>
    </w:p>
    <w:sectPr>
      <w:footerReference r:id="rId9" w:type="default"/>
      <w:pgSz w:w="11906" w:h="16838"/>
      <w:pgMar w:top="1440" w:right="1191" w:bottom="1440"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E480">
    <w:pPr>
      <w:pStyle w:val="18"/>
      <w:framePr w:wrap="around" w:vAnchor="text" w:hAnchor="margin" w:xAlign="center" w:y="1"/>
      <w:rPr>
        <w:rStyle w:val="30"/>
        <w:rFonts w:hint="default"/>
      </w:rPr>
    </w:pPr>
    <w:r>
      <w:fldChar w:fldCharType="begin"/>
    </w:r>
    <w:r>
      <w:rPr>
        <w:rStyle w:val="30"/>
      </w:rPr>
      <w:instrText xml:space="preserve">PAGE  </w:instrText>
    </w:r>
    <w:r>
      <w:fldChar w:fldCharType="separate"/>
    </w:r>
    <w:r>
      <w:rPr>
        <w:rStyle w:val="30"/>
      </w:rPr>
      <w:t>33</w:t>
    </w:r>
    <w:r>
      <w:fldChar w:fldCharType="end"/>
    </w:r>
  </w:p>
  <w:p w14:paraId="4188C4B0">
    <w:pPr>
      <w:pStyle w:val="1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8C4D">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52D7">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348D">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3025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83025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17A7">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91976">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091976">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6740">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F7757">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DF7757">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EE5D">
    <w:pPr>
      <w:pStyle w:val="18"/>
      <w:jc w:val="center"/>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62024">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062024">
                    <w:pPr>
                      <w:pStyle w:val="18"/>
                    </w:pPr>
                    <w:r>
                      <w:fldChar w:fldCharType="begin"/>
                    </w:r>
                    <w:r>
                      <w:instrText xml:space="preserve"> PAGE  \* MERGEFORMAT </w:instrText>
                    </w:r>
                    <w:r>
                      <w:fldChar w:fldCharType="separate"/>
                    </w:r>
                    <w:r>
                      <w:t>51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9001EB">
                          <w:pPr>
                            <w:pStyle w:val="18"/>
                            <w:jc w:val="center"/>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asoZvgAQAAugMAAA4AAAAA&#10;AAAAAQAgAAAAHgEAAGRycy9lMm9Eb2MueG1sUEsFBgAAAAAGAAYAWQEAAHAFAAAAAA==&#10;">
              <v:fill on="f" focussize="0,0"/>
              <v:stroke on="f"/>
              <v:imagedata o:title=""/>
              <o:lock v:ext="edit" aspectratio="f"/>
              <v:textbox inset="0mm,0mm,0mm,0mm" style="mso-fit-shape-to-text:t;">
                <w:txbxContent>
                  <w:p w14:paraId="209001EB">
                    <w:pPr>
                      <w:pStyle w:val="18"/>
                      <w:jc w:val="center"/>
                    </w:pPr>
                  </w:p>
                </w:txbxContent>
              </v:textbox>
            </v:shape>
          </w:pict>
        </mc:Fallback>
      </mc:AlternateContent>
    </w:r>
  </w:p>
  <w:p w14:paraId="770A1D8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C1CCE870"/>
    <w:multiLevelType w:val="singleLevel"/>
    <w:tmpl w:val="C1CCE870"/>
    <w:lvl w:ilvl="0" w:tentative="0">
      <w:start w:val="1"/>
      <w:numFmt w:val="chineseCounting"/>
      <w:suff w:val="space"/>
      <w:lvlText w:val="第%1章"/>
      <w:lvlJc w:val="left"/>
      <w:rPr>
        <w:rFonts w:hint="eastAsia"/>
      </w:rPr>
    </w:lvl>
  </w:abstractNum>
  <w:abstractNum w:abstractNumId="2">
    <w:nsid w:val="0000000E"/>
    <w:multiLevelType w:val="multilevel"/>
    <w:tmpl w:val="0000000E"/>
    <w:lvl w:ilvl="0" w:tentative="0">
      <w:start w:val="1"/>
      <w:numFmt w:val="bullet"/>
      <w:pStyle w:val="6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086B9E35"/>
    <w:multiLevelType w:val="singleLevel"/>
    <w:tmpl w:val="086B9E35"/>
    <w:lvl w:ilvl="0" w:tentative="0">
      <w:start w:val="1"/>
      <w:numFmt w:val="chineseCounting"/>
      <w:suff w:val="nothing"/>
      <w:lvlText w:val="%1、"/>
      <w:lvlJc w:val="left"/>
      <w:rPr>
        <w:rFonts w:hint="eastAsia"/>
      </w:rPr>
    </w:lvl>
  </w:abstractNum>
  <w:abstractNum w:abstractNumId="4">
    <w:nsid w:val="33C551F5"/>
    <w:multiLevelType w:val="singleLevel"/>
    <w:tmpl w:val="33C551F5"/>
    <w:lvl w:ilvl="0" w:tentative="0">
      <w:start w:val="1"/>
      <w:numFmt w:val="chineseCounting"/>
      <w:suff w:val="nothing"/>
      <w:lvlText w:val="（%1）"/>
      <w:lvlJc w:val="left"/>
      <w:rPr>
        <w:rFonts w:hint="eastAsia"/>
      </w:rPr>
    </w:lvl>
  </w:abstractNum>
  <w:abstractNum w:abstractNumId="5">
    <w:nsid w:val="59E98370"/>
    <w:multiLevelType w:val="singleLevel"/>
    <w:tmpl w:val="59E98370"/>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ZDIyNzJkMDdjOWIxNmY3YjI0NTAzM2UzNzM0MTgifQ=="/>
  </w:docVars>
  <w:rsids>
    <w:rsidRoot w:val="00172A27"/>
    <w:rsid w:val="000013E1"/>
    <w:rsid w:val="000A799E"/>
    <w:rsid w:val="000C1F89"/>
    <w:rsid w:val="00116993"/>
    <w:rsid w:val="00134B5B"/>
    <w:rsid w:val="001431BE"/>
    <w:rsid w:val="00192C91"/>
    <w:rsid w:val="00215CF8"/>
    <w:rsid w:val="002D2C00"/>
    <w:rsid w:val="002F4EDD"/>
    <w:rsid w:val="0039123F"/>
    <w:rsid w:val="00396C06"/>
    <w:rsid w:val="005202A1"/>
    <w:rsid w:val="00562213"/>
    <w:rsid w:val="005B56AB"/>
    <w:rsid w:val="006233B6"/>
    <w:rsid w:val="006501D1"/>
    <w:rsid w:val="00670097"/>
    <w:rsid w:val="006B6F0D"/>
    <w:rsid w:val="007012D7"/>
    <w:rsid w:val="007F2688"/>
    <w:rsid w:val="008016FF"/>
    <w:rsid w:val="009215DC"/>
    <w:rsid w:val="00921631"/>
    <w:rsid w:val="00A251AA"/>
    <w:rsid w:val="00A4768C"/>
    <w:rsid w:val="00AD291C"/>
    <w:rsid w:val="00C00849"/>
    <w:rsid w:val="00C330FF"/>
    <w:rsid w:val="00C765C4"/>
    <w:rsid w:val="00CC3664"/>
    <w:rsid w:val="00D808D1"/>
    <w:rsid w:val="00E11814"/>
    <w:rsid w:val="00E83D4C"/>
    <w:rsid w:val="00EA0FF5"/>
    <w:rsid w:val="00EB0A9A"/>
    <w:rsid w:val="00EE38DC"/>
    <w:rsid w:val="00F52946"/>
    <w:rsid w:val="00F54DFD"/>
    <w:rsid w:val="00F86C56"/>
    <w:rsid w:val="01A67F71"/>
    <w:rsid w:val="01D36A9E"/>
    <w:rsid w:val="01DD18AB"/>
    <w:rsid w:val="023E077F"/>
    <w:rsid w:val="02DA7650"/>
    <w:rsid w:val="02F7224D"/>
    <w:rsid w:val="03313E50"/>
    <w:rsid w:val="033E63D4"/>
    <w:rsid w:val="034B30E4"/>
    <w:rsid w:val="03A91B5A"/>
    <w:rsid w:val="04566D25"/>
    <w:rsid w:val="04C72C73"/>
    <w:rsid w:val="059E04D1"/>
    <w:rsid w:val="05A5085F"/>
    <w:rsid w:val="05AE7418"/>
    <w:rsid w:val="067803E8"/>
    <w:rsid w:val="06B54DDA"/>
    <w:rsid w:val="0739579F"/>
    <w:rsid w:val="07CE08D6"/>
    <w:rsid w:val="0AC675FF"/>
    <w:rsid w:val="0AC706ED"/>
    <w:rsid w:val="0B107548"/>
    <w:rsid w:val="0B210DAA"/>
    <w:rsid w:val="0B3A4C0E"/>
    <w:rsid w:val="0B745622"/>
    <w:rsid w:val="0B985F07"/>
    <w:rsid w:val="0BC8121C"/>
    <w:rsid w:val="0C8162A8"/>
    <w:rsid w:val="0D5C768C"/>
    <w:rsid w:val="0D6D14B8"/>
    <w:rsid w:val="0EEE4384"/>
    <w:rsid w:val="0FCC52D0"/>
    <w:rsid w:val="100D7DF3"/>
    <w:rsid w:val="123F41B1"/>
    <w:rsid w:val="125E384C"/>
    <w:rsid w:val="128966A0"/>
    <w:rsid w:val="128C60EC"/>
    <w:rsid w:val="12D90922"/>
    <w:rsid w:val="12F01ABA"/>
    <w:rsid w:val="130B34BC"/>
    <w:rsid w:val="13756762"/>
    <w:rsid w:val="14186A56"/>
    <w:rsid w:val="14196449"/>
    <w:rsid w:val="14656DB0"/>
    <w:rsid w:val="148E350E"/>
    <w:rsid w:val="15465BF3"/>
    <w:rsid w:val="1551535E"/>
    <w:rsid w:val="15850EEE"/>
    <w:rsid w:val="159B4929"/>
    <w:rsid w:val="16D024B6"/>
    <w:rsid w:val="17150D91"/>
    <w:rsid w:val="178D7942"/>
    <w:rsid w:val="17C060F1"/>
    <w:rsid w:val="18097DA0"/>
    <w:rsid w:val="180B3A79"/>
    <w:rsid w:val="18AD64B4"/>
    <w:rsid w:val="19481234"/>
    <w:rsid w:val="19563D40"/>
    <w:rsid w:val="196558BB"/>
    <w:rsid w:val="197F6420"/>
    <w:rsid w:val="19A27E0F"/>
    <w:rsid w:val="19C321F5"/>
    <w:rsid w:val="19D751C2"/>
    <w:rsid w:val="19E14076"/>
    <w:rsid w:val="19F73994"/>
    <w:rsid w:val="1A113A55"/>
    <w:rsid w:val="1A5F4F34"/>
    <w:rsid w:val="1A724159"/>
    <w:rsid w:val="1A7767C6"/>
    <w:rsid w:val="1A797DC7"/>
    <w:rsid w:val="1A9C5498"/>
    <w:rsid w:val="1AB823B9"/>
    <w:rsid w:val="1C1831CF"/>
    <w:rsid w:val="1C337CBA"/>
    <w:rsid w:val="1C541538"/>
    <w:rsid w:val="1CE00E22"/>
    <w:rsid w:val="1D134744"/>
    <w:rsid w:val="1D17417A"/>
    <w:rsid w:val="1D531643"/>
    <w:rsid w:val="1D5721FB"/>
    <w:rsid w:val="1D847BCC"/>
    <w:rsid w:val="1D8D32D0"/>
    <w:rsid w:val="1DC9452D"/>
    <w:rsid w:val="1DE17FD1"/>
    <w:rsid w:val="1E1953EA"/>
    <w:rsid w:val="1E917D81"/>
    <w:rsid w:val="1ED73609"/>
    <w:rsid w:val="1EEA4995"/>
    <w:rsid w:val="1F353096"/>
    <w:rsid w:val="1F3E4B9C"/>
    <w:rsid w:val="21205651"/>
    <w:rsid w:val="213123AC"/>
    <w:rsid w:val="21C65542"/>
    <w:rsid w:val="227F5DC2"/>
    <w:rsid w:val="23430D5C"/>
    <w:rsid w:val="234A36D1"/>
    <w:rsid w:val="23882E49"/>
    <w:rsid w:val="23CB1C4A"/>
    <w:rsid w:val="23D26F32"/>
    <w:rsid w:val="23EC5F2E"/>
    <w:rsid w:val="24502708"/>
    <w:rsid w:val="26943F86"/>
    <w:rsid w:val="26AE34F8"/>
    <w:rsid w:val="26B12219"/>
    <w:rsid w:val="26BC2A6B"/>
    <w:rsid w:val="27941FBD"/>
    <w:rsid w:val="27F11132"/>
    <w:rsid w:val="280B1C80"/>
    <w:rsid w:val="28225767"/>
    <w:rsid w:val="2826644C"/>
    <w:rsid w:val="28655E97"/>
    <w:rsid w:val="29253226"/>
    <w:rsid w:val="2A1165CC"/>
    <w:rsid w:val="2A173C8B"/>
    <w:rsid w:val="2A23560F"/>
    <w:rsid w:val="2A270F69"/>
    <w:rsid w:val="2B4B4A1E"/>
    <w:rsid w:val="2B5269F6"/>
    <w:rsid w:val="2B81400C"/>
    <w:rsid w:val="2CA5514B"/>
    <w:rsid w:val="2CD24C94"/>
    <w:rsid w:val="2CE35E9E"/>
    <w:rsid w:val="2CF52B9F"/>
    <w:rsid w:val="2D225A23"/>
    <w:rsid w:val="2D2C38F7"/>
    <w:rsid w:val="2D2D7AAC"/>
    <w:rsid w:val="2D5E7D0C"/>
    <w:rsid w:val="2D657ECB"/>
    <w:rsid w:val="2E037521"/>
    <w:rsid w:val="2E227ED8"/>
    <w:rsid w:val="2ED37DE6"/>
    <w:rsid w:val="2EF21424"/>
    <w:rsid w:val="2F7630E9"/>
    <w:rsid w:val="3040604B"/>
    <w:rsid w:val="31CB18DD"/>
    <w:rsid w:val="31E22A3B"/>
    <w:rsid w:val="31EE0D24"/>
    <w:rsid w:val="324D41ED"/>
    <w:rsid w:val="329C164B"/>
    <w:rsid w:val="32FE1D6F"/>
    <w:rsid w:val="33B420B5"/>
    <w:rsid w:val="33C439CF"/>
    <w:rsid w:val="3433492D"/>
    <w:rsid w:val="349415D3"/>
    <w:rsid w:val="3569103A"/>
    <w:rsid w:val="361C7AAC"/>
    <w:rsid w:val="36E322AB"/>
    <w:rsid w:val="36F25AA0"/>
    <w:rsid w:val="374A285A"/>
    <w:rsid w:val="37F417DB"/>
    <w:rsid w:val="385F5DF5"/>
    <w:rsid w:val="386B6FF5"/>
    <w:rsid w:val="393F15E1"/>
    <w:rsid w:val="399A60D1"/>
    <w:rsid w:val="39A2300B"/>
    <w:rsid w:val="39EF1501"/>
    <w:rsid w:val="3A910ADF"/>
    <w:rsid w:val="3B2513F0"/>
    <w:rsid w:val="3B493B43"/>
    <w:rsid w:val="3C0C41F8"/>
    <w:rsid w:val="3C1B4849"/>
    <w:rsid w:val="3C377978"/>
    <w:rsid w:val="3D231369"/>
    <w:rsid w:val="3DBC4416"/>
    <w:rsid w:val="3E16102B"/>
    <w:rsid w:val="3E313745"/>
    <w:rsid w:val="3E3F37F6"/>
    <w:rsid w:val="3E566392"/>
    <w:rsid w:val="3E58436D"/>
    <w:rsid w:val="3E962274"/>
    <w:rsid w:val="3F7647BE"/>
    <w:rsid w:val="3FB535D7"/>
    <w:rsid w:val="3FB56F96"/>
    <w:rsid w:val="4061593B"/>
    <w:rsid w:val="444B0B9A"/>
    <w:rsid w:val="4468162B"/>
    <w:rsid w:val="448052A2"/>
    <w:rsid w:val="44A606E0"/>
    <w:rsid w:val="4516397A"/>
    <w:rsid w:val="45986BDA"/>
    <w:rsid w:val="45A0242D"/>
    <w:rsid w:val="45E87C4D"/>
    <w:rsid w:val="464E50B4"/>
    <w:rsid w:val="46AA7B28"/>
    <w:rsid w:val="46C155FF"/>
    <w:rsid w:val="47236594"/>
    <w:rsid w:val="472E5F53"/>
    <w:rsid w:val="47781A72"/>
    <w:rsid w:val="47CC39C0"/>
    <w:rsid w:val="47CF4628"/>
    <w:rsid w:val="48DF6800"/>
    <w:rsid w:val="494A0F95"/>
    <w:rsid w:val="4A0210BC"/>
    <w:rsid w:val="4A435BE4"/>
    <w:rsid w:val="4B756A3A"/>
    <w:rsid w:val="4BBF7035"/>
    <w:rsid w:val="4BDA47D1"/>
    <w:rsid w:val="4C142FC7"/>
    <w:rsid w:val="4C48598B"/>
    <w:rsid w:val="4DEF0DBF"/>
    <w:rsid w:val="4E0E3E05"/>
    <w:rsid w:val="4E9D314E"/>
    <w:rsid w:val="4EB300F7"/>
    <w:rsid w:val="4F6E6506"/>
    <w:rsid w:val="507A2636"/>
    <w:rsid w:val="51135A81"/>
    <w:rsid w:val="51B805AB"/>
    <w:rsid w:val="51F64118"/>
    <w:rsid w:val="5281509A"/>
    <w:rsid w:val="52DC59FD"/>
    <w:rsid w:val="53337225"/>
    <w:rsid w:val="53367078"/>
    <w:rsid w:val="538F2D19"/>
    <w:rsid w:val="5451550A"/>
    <w:rsid w:val="54760486"/>
    <w:rsid w:val="551F46BB"/>
    <w:rsid w:val="558D75CC"/>
    <w:rsid w:val="55D37895"/>
    <w:rsid w:val="55D944B8"/>
    <w:rsid w:val="567E1675"/>
    <w:rsid w:val="56957D37"/>
    <w:rsid w:val="57303F81"/>
    <w:rsid w:val="57B91C0D"/>
    <w:rsid w:val="584C5C50"/>
    <w:rsid w:val="585600E6"/>
    <w:rsid w:val="587F4DA8"/>
    <w:rsid w:val="5967392B"/>
    <w:rsid w:val="5AAE776F"/>
    <w:rsid w:val="5B096BBA"/>
    <w:rsid w:val="5C5C3818"/>
    <w:rsid w:val="5CF612FE"/>
    <w:rsid w:val="5CFE219B"/>
    <w:rsid w:val="5D482577"/>
    <w:rsid w:val="5D4C175D"/>
    <w:rsid w:val="5DD771DB"/>
    <w:rsid w:val="5DDB432B"/>
    <w:rsid w:val="5DF74D4D"/>
    <w:rsid w:val="5E5F0CB2"/>
    <w:rsid w:val="5F5F65F7"/>
    <w:rsid w:val="5F6E4556"/>
    <w:rsid w:val="5F735159"/>
    <w:rsid w:val="601A422B"/>
    <w:rsid w:val="613102EC"/>
    <w:rsid w:val="61A1529B"/>
    <w:rsid w:val="61CA5A41"/>
    <w:rsid w:val="61E44729"/>
    <w:rsid w:val="62240B7A"/>
    <w:rsid w:val="62392FB0"/>
    <w:rsid w:val="62997EC7"/>
    <w:rsid w:val="64515A2C"/>
    <w:rsid w:val="64897A1F"/>
    <w:rsid w:val="663D4DFF"/>
    <w:rsid w:val="66732D2A"/>
    <w:rsid w:val="66DE0D17"/>
    <w:rsid w:val="66F07A3F"/>
    <w:rsid w:val="670E0356"/>
    <w:rsid w:val="671C2E7D"/>
    <w:rsid w:val="6881634E"/>
    <w:rsid w:val="6A743A4E"/>
    <w:rsid w:val="6ACE05C0"/>
    <w:rsid w:val="6B1C56A5"/>
    <w:rsid w:val="6B5443C1"/>
    <w:rsid w:val="6C222193"/>
    <w:rsid w:val="6CB940D7"/>
    <w:rsid w:val="6E584D75"/>
    <w:rsid w:val="6F5D017B"/>
    <w:rsid w:val="6F875CF8"/>
    <w:rsid w:val="6FC915CF"/>
    <w:rsid w:val="6FE81BFF"/>
    <w:rsid w:val="70431BB5"/>
    <w:rsid w:val="70614ACB"/>
    <w:rsid w:val="70627418"/>
    <w:rsid w:val="70E0503B"/>
    <w:rsid w:val="70E81B34"/>
    <w:rsid w:val="70FA7DE8"/>
    <w:rsid w:val="711A64A5"/>
    <w:rsid w:val="7203365A"/>
    <w:rsid w:val="722B08C3"/>
    <w:rsid w:val="723605B9"/>
    <w:rsid w:val="72CB0FF3"/>
    <w:rsid w:val="72D57833"/>
    <w:rsid w:val="731954DC"/>
    <w:rsid w:val="741C2D86"/>
    <w:rsid w:val="74CA523B"/>
    <w:rsid w:val="74DE4704"/>
    <w:rsid w:val="75116A6C"/>
    <w:rsid w:val="75DB1CA1"/>
    <w:rsid w:val="75FF78BD"/>
    <w:rsid w:val="760C0520"/>
    <w:rsid w:val="769C3E9C"/>
    <w:rsid w:val="76BE0ADC"/>
    <w:rsid w:val="77363F36"/>
    <w:rsid w:val="77E67517"/>
    <w:rsid w:val="78104001"/>
    <w:rsid w:val="782C2311"/>
    <w:rsid w:val="78904B46"/>
    <w:rsid w:val="78BF7E16"/>
    <w:rsid w:val="78ED67E9"/>
    <w:rsid w:val="7911000B"/>
    <w:rsid w:val="79166785"/>
    <w:rsid w:val="792133B5"/>
    <w:rsid w:val="79365B0A"/>
    <w:rsid w:val="799A79A5"/>
    <w:rsid w:val="79B8373C"/>
    <w:rsid w:val="79E71069"/>
    <w:rsid w:val="79F2544C"/>
    <w:rsid w:val="79F429A4"/>
    <w:rsid w:val="79F91C98"/>
    <w:rsid w:val="7A321F47"/>
    <w:rsid w:val="7A776CD1"/>
    <w:rsid w:val="7B875266"/>
    <w:rsid w:val="7BFFA4AC"/>
    <w:rsid w:val="7C325FF9"/>
    <w:rsid w:val="7C754A66"/>
    <w:rsid w:val="7D017C21"/>
    <w:rsid w:val="7D860421"/>
    <w:rsid w:val="7DD37BC8"/>
    <w:rsid w:val="7E361E3E"/>
    <w:rsid w:val="7E503625"/>
    <w:rsid w:val="7E8D2022"/>
    <w:rsid w:val="7EEB59E9"/>
    <w:rsid w:val="7EEF0727"/>
    <w:rsid w:val="7F5E04F7"/>
    <w:rsid w:val="7FC406E3"/>
    <w:rsid w:val="7FC53058"/>
    <w:rsid w:val="EF571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2"/>
    <w:autoRedefine/>
    <w:qFormat/>
    <w:uiPriority w:val="0"/>
    <w:pPr>
      <w:keepNext/>
      <w:keepLines/>
      <w:spacing w:line="360" w:lineRule="auto"/>
      <w:jc w:val="center"/>
      <w:outlineLvl w:val="0"/>
    </w:pPr>
    <w:rPr>
      <w:b/>
      <w:kern w:val="44"/>
      <w:sz w:val="44"/>
    </w:rPr>
  </w:style>
  <w:style w:type="paragraph" w:styleId="4">
    <w:name w:val="heading 2"/>
    <w:basedOn w:val="1"/>
    <w:next w:val="1"/>
    <w:autoRedefine/>
    <w:qFormat/>
    <w:uiPriority w:val="0"/>
    <w:pPr>
      <w:keepNext/>
      <w:keepLines/>
      <w:spacing w:line="416" w:lineRule="auto"/>
      <w:outlineLvl w:val="1"/>
    </w:pPr>
    <w:rPr>
      <w:rFonts w:hint="eastAsia" w:ascii="Arial" w:hAnsi="Arial" w:eastAsia="黑体" w:cs="Verdana"/>
      <w:b/>
      <w:bCs/>
      <w:sz w:val="32"/>
      <w:szCs w:val="32"/>
    </w:rPr>
  </w:style>
  <w:style w:type="paragraph" w:styleId="5">
    <w:name w:val="heading 3"/>
    <w:basedOn w:val="1"/>
    <w:next w:val="6"/>
    <w:autoRedefine/>
    <w:qFormat/>
    <w:uiPriority w:val="0"/>
    <w:pPr>
      <w:keepNext/>
      <w:keepLines/>
      <w:spacing w:line="416" w:lineRule="auto"/>
      <w:outlineLvl w:val="2"/>
    </w:pPr>
    <w:rPr>
      <w:b/>
      <w:bCs/>
      <w:sz w:val="32"/>
      <w:szCs w:val="32"/>
    </w:rPr>
  </w:style>
  <w:style w:type="paragraph" w:styleId="7">
    <w:name w:val="heading 4"/>
    <w:basedOn w:val="1"/>
    <w:next w:val="1"/>
    <w:autoRedefine/>
    <w:qFormat/>
    <w:uiPriority w:val="0"/>
    <w:pPr>
      <w:keepNext/>
      <w:keepLines/>
      <w:spacing w:line="376" w:lineRule="atLeast"/>
      <w:outlineLvl w:val="3"/>
    </w:pPr>
    <w:rPr>
      <w:rFonts w:ascii="Arial" w:hAnsi="Arial" w:eastAsia="黑体"/>
      <w:b/>
      <w:bCs/>
      <w:sz w:val="28"/>
      <w:szCs w:val="28"/>
    </w:rPr>
  </w:style>
  <w:style w:type="character" w:default="1" w:styleId="28">
    <w:name w:val="Default Paragraph Font"/>
    <w:autoRedefine/>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style>
  <w:style w:type="paragraph" w:styleId="6">
    <w:name w:val="Normal Indent"/>
    <w:basedOn w:val="1"/>
    <w:autoRedefine/>
    <w:qFormat/>
    <w:uiPriority w:val="0"/>
    <w:pPr>
      <w:ind w:firstLine="420" w:firstLineChars="200"/>
    </w:pPr>
  </w:style>
  <w:style w:type="paragraph" w:styleId="8">
    <w:name w:val="toa heading"/>
    <w:basedOn w:val="1"/>
    <w:next w:val="1"/>
    <w:autoRedefine/>
    <w:semiHidden/>
    <w:qFormat/>
    <w:uiPriority w:val="0"/>
    <w:pPr>
      <w:spacing w:before="120"/>
    </w:pPr>
    <w:rPr>
      <w:rFonts w:ascii="Arial" w:hAnsi="Arial" w:cs="Arial"/>
    </w:rPr>
  </w:style>
  <w:style w:type="paragraph" w:styleId="9">
    <w:name w:val="annotation text"/>
    <w:basedOn w:val="1"/>
    <w:autoRedefine/>
    <w:qFormat/>
    <w:uiPriority w:val="0"/>
    <w:pPr>
      <w:adjustRightInd w:val="0"/>
      <w:spacing w:line="360" w:lineRule="atLeast"/>
      <w:jc w:val="left"/>
    </w:pPr>
    <w:rPr>
      <w:kern w:val="0"/>
      <w:sz w:val="24"/>
    </w:rPr>
  </w:style>
  <w:style w:type="paragraph" w:styleId="10">
    <w:name w:val="Body Text 3"/>
    <w:basedOn w:val="1"/>
    <w:autoRedefine/>
    <w:qFormat/>
    <w:uiPriority w:val="0"/>
    <w:pPr>
      <w:spacing w:line="80" w:lineRule="atLeast"/>
    </w:pPr>
    <w:rPr>
      <w:rFonts w:ascii="楷体_GB2312" w:eastAsia="楷体_GB2312"/>
      <w:sz w:val="28"/>
    </w:rPr>
  </w:style>
  <w:style w:type="paragraph" w:styleId="11">
    <w:name w:val="Body Text"/>
    <w:basedOn w:val="1"/>
    <w:next w:val="1"/>
    <w:autoRedefine/>
    <w:qFormat/>
    <w:uiPriority w:val="0"/>
    <w:rPr>
      <w:rFonts w:eastAsia="楷体_GB2312"/>
      <w:sz w:val="30"/>
      <w:szCs w:val="20"/>
    </w:rPr>
  </w:style>
  <w:style w:type="paragraph" w:styleId="12">
    <w:name w:val="Body Text Indent"/>
    <w:basedOn w:val="1"/>
    <w:next w:val="1"/>
    <w:autoRedefine/>
    <w:qFormat/>
    <w:uiPriority w:val="0"/>
    <w:pPr>
      <w:ind w:firstLine="630"/>
    </w:pPr>
    <w:rPr>
      <w:rFonts w:ascii="长城楷体" w:eastAsia="长城楷体"/>
      <w:kern w:val="0"/>
      <w:sz w:val="32"/>
    </w:rPr>
  </w:style>
  <w:style w:type="paragraph" w:styleId="13">
    <w:name w:val="toc 3"/>
    <w:basedOn w:val="1"/>
    <w:next w:val="1"/>
    <w:autoRedefine/>
    <w:qFormat/>
    <w:uiPriority w:val="0"/>
    <w:pPr>
      <w:ind w:left="840" w:leftChars="400"/>
    </w:pPr>
  </w:style>
  <w:style w:type="paragraph" w:styleId="14">
    <w:name w:val="Plain Text"/>
    <w:basedOn w:val="1"/>
    <w:link w:val="52"/>
    <w:autoRedefine/>
    <w:qFormat/>
    <w:uiPriority w:val="0"/>
    <w:rPr>
      <w:rFonts w:hint="eastAsia" w:ascii="宋体" w:hAnsi="Courier New"/>
      <w:szCs w:val="20"/>
    </w:rPr>
  </w:style>
  <w:style w:type="paragraph" w:styleId="15">
    <w:name w:val="Date"/>
    <w:basedOn w:val="1"/>
    <w:next w:val="1"/>
    <w:autoRedefine/>
    <w:qFormat/>
    <w:uiPriority w:val="0"/>
    <w:rPr>
      <w:sz w:val="24"/>
      <w:szCs w:val="20"/>
    </w:rPr>
  </w:style>
  <w:style w:type="paragraph" w:styleId="16">
    <w:name w:val="Body Text Indent 2"/>
    <w:basedOn w:val="1"/>
    <w:autoRedefine/>
    <w:qFormat/>
    <w:uiPriority w:val="0"/>
    <w:pPr>
      <w:spacing w:line="480" w:lineRule="auto"/>
      <w:ind w:left="420" w:leftChars="200"/>
    </w:pPr>
  </w:style>
  <w:style w:type="paragraph" w:styleId="17">
    <w:name w:val="Balloon Text"/>
    <w:basedOn w:val="1"/>
    <w:link w:val="5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rFonts w:hint="eastAsia"/>
      <w:sz w:val="18"/>
      <w:szCs w:val="18"/>
    </w:rPr>
  </w:style>
  <w:style w:type="paragraph" w:styleId="19">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spacing w:line="360" w:lineRule="exact"/>
    </w:pPr>
    <w:rPr>
      <w:rFonts w:ascii="仿宋_GB2312" w:hAnsi="宋体" w:eastAsia="仿宋_GB2312"/>
      <w:b/>
      <w:bCs/>
      <w:sz w:val="28"/>
      <w:szCs w:val="28"/>
    </w:rPr>
  </w:style>
  <w:style w:type="paragraph" w:styleId="21">
    <w:name w:val="toc 2"/>
    <w:basedOn w:val="1"/>
    <w:next w:val="1"/>
    <w:autoRedefine/>
    <w:qFormat/>
    <w:uiPriority w:val="0"/>
    <w:pPr>
      <w:ind w:left="420" w:leftChars="200"/>
    </w:pPr>
  </w:style>
  <w:style w:type="paragraph" w:styleId="22">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autoRedefine/>
    <w:qFormat/>
    <w:uiPriority w:val="99"/>
    <w:pPr>
      <w:widowControl/>
      <w:spacing w:beforeAutospacing="1" w:afterAutospacing="1"/>
      <w:jc w:val="left"/>
    </w:pPr>
    <w:rPr>
      <w:rFonts w:ascii="宋体" w:hAnsi="宋体" w:cs="宋体"/>
      <w:kern w:val="0"/>
      <w:sz w:val="24"/>
    </w:rPr>
  </w:style>
  <w:style w:type="paragraph" w:styleId="24">
    <w:name w:val="Title"/>
    <w:basedOn w:val="1"/>
    <w:next w:val="1"/>
    <w:autoRedefine/>
    <w:qFormat/>
    <w:uiPriority w:val="0"/>
    <w:pPr>
      <w:spacing w:before="240" w:beforeLines="0" w:after="60" w:afterLines="0"/>
      <w:jc w:val="center"/>
      <w:outlineLvl w:val="0"/>
    </w:pPr>
    <w:rPr>
      <w:rFonts w:ascii="Arial" w:hAnsi="Arial" w:cs="Arial"/>
      <w:b/>
      <w:bCs/>
      <w:sz w:val="44"/>
      <w:szCs w:val="32"/>
    </w:rPr>
  </w:style>
  <w:style w:type="paragraph" w:styleId="25">
    <w:name w:val="Body Text First Indent 2"/>
    <w:basedOn w:val="12"/>
    <w:next w:val="1"/>
    <w:autoRedefine/>
    <w:unhideWhenUsed/>
    <w:qFormat/>
    <w:uiPriority w:val="99"/>
    <w:pPr>
      <w:tabs>
        <w:tab w:val="left" w:pos="360"/>
      </w:tabs>
      <w:ind w:firstLine="420"/>
    </w:pPr>
    <w:rPr>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FollowedHyperlink"/>
    <w:basedOn w:val="28"/>
    <w:autoRedefine/>
    <w:qFormat/>
    <w:uiPriority w:val="0"/>
    <w:rPr>
      <w:color w:val="333333"/>
      <w:u w:val="none"/>
    </w:rPr>
  </w:style>
  <w:style w:type="character" w:styleId="32">
    <w:name w:val="Emphasis"/>
    <w:basedOn w:val="28"/>
    <w:autoRedefine/>
    <w:qFormat/>
    <w:uiPriority w:val="0"/>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qFormat/>
    <w:uiPriority w:val="0"/>
    <w:rPr>
      <w:color w:val="333333"/>
      <w:u w:val="non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rPr>
  </w:style>
  <w:style w:type="character" w:customStyle="1" w:styleId="42">
    <w:name w:val="标题 1 Char"/>
    <w:link w:val="3"/>
    <w:autoRedefine/>
    <w:qFormat/>
    <w:uiPriority w:val="0"/>
    <w:rPr>
      <w:rFonts w:ascii="Calibri" w:hAnsi="Calibri"/>
      <w:b/>
      <w:kern w:val="44"/>
      <w:sz w:val="44"/>
    </w:rPr>
  </w:style>
  <w:style w:type="paragraph" w:customStyle="1" w:styleId="43">
    <w:name w:val="Default"/>
    <w:next w:val="15"/>
    <w:autoRedefin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styleId="44">
    <w:name w:val="List Paragraph"/>
    <w:basedOn w:val="1"/>
    <w:autoRedefine/>
    <w:qFormat/>
    <w:uiPriority w:val="0"/>
    <w:pPr>
      <w:ind w:firstLine="420" w:firstLineChars="200"/>
    </w:pPr>
    <w:rPr>
      <w:szCs w:val="22"/>
    </w:rPr>
  </w:style>
  <w:style w:type="paragraph" w:customStyle="1" w:styleId="45">
    <w:name w:val="正文（首行缩进）"/>
    <w:basedOn w:val="1"/>
    <w:autoRedefine/>
    <w:qFormat/>
    <w:uiPriority w:val="0"/>
    <w:pPr>
      <w:spacing w:line="360" w:lineRule="auto"/>
      <w:ind w:firstLine="200" w:firstLineChars="200"/>
    </w:pPr>
  </w:style>
  <w:style w:type="paragraph" w:customStyle="1" w:styleId="46">
    <w:name w:val="Table Paragraph"/>
    <w:basedOn w:val="1"/>
    <w:autoRedefine/>
    <w:qFormat/>
    <w:uiPriority w:val="1"/>
  </w:style>
  <w:style w:type="paragraph" w:customStyle="1" w:styleId="47">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4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表 靠左"/>
    <w:basedOn w:val="1"/>
    <w:autoRedefine/>
    <w:qFormat/>
    <w:uiPriority w:val="0"/>
    <w:pPr>
      <w:widowControl/>
      <w:adjustRightInd w:val="0"/>
      <w:snapToGrid w:val="0"/>
      <w:spacing w:after="200"/>
      <w:jc w:val="left"/>
    </w:pPr>
    <w:rPr>
      <w:rFonts w:eastAsia="微软雅黑"/>
      <w:kern w:val="0"/>
      <w:sz w:val="22"/>
      <w:szCs w:val="21"/>
    </w:rPr>
  </w:style>
  <w:style w:type="character" w:customStyle="1" w:styleId="50">
    <w:name w:val="页眉 Char"/>
    <w:basedOn w:val="28"/>
    <w:link w:val="19"/>
    <w:autoRedefine/>
    <w:qFormat/>
    <w:uiPriority w:val="0"/>
    <w:rPr>
      <w:rFonts w:ascii="Calibri" w:hAnsi="Calibri"/>
      <w:kern w:val="2"/>
      <w:sz w:val="18"/>
      <w:szCs w:val="18"/>
    </w:rPr>
  </w:style>
  <w:style w:type="character" w:customStyle="1" w:styleId="51">
    <w:name w:val="批注框文本 Char"/>
    <w:basedOn w:val="28"/>
    <w:link w:val="17"/>
    <w:autoRedefine/>
    <w:qFormat/>
    <w:uiPriority w:val="0"/>
    <w:rPr>
      <w:rFonts w:ascii="Calibri" w:hAnsi="Calibri"/>
      <w:kern w:val="2"/>
      <w:sz w:val="18"/>
      <w:szCs w:val="18"/>
    </w:rPr>
  </w:style>
  <w:style w:type="character" w:customStyle="1" w:styleId="52">
    <w:name w:val="纯文本 字符"/>
    <w:link w:val="14"/>
    <w:autoRedefine/>
    <w:qFormat/>
    <w:uiPriority w:val="99"/>
    <w:rPr>
      <w:rFonts w:hint="eastAsia" w:ascii="宋体" w:hAnsi="Courier New"/>
      <w:szCs w:val="20"/>
    </w:rPr>
  </w:style>
  <w:style w:type="paragraph" w:customStyle="1" w:styleId="5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0"/>
    <w:next w:val="4"/>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55">
    <w:name w:val="displayarti"/>
    <w:basedOn w:val="28"/>
    <w:autoRedefine/>
    <w:qFormat/>
    <w:uiPriority w:val="0"/>
    <w:rPr>
      <w:color w:val="FFFFFF"/>
      <w:shd w:val="clear" w:fill="A00000"/>
    </w:rPr>
  </w:style>
  <w:style w:type="character" w:customStyle="1" w:styleId="56">
    <w:name w:val="prev"/>
    <w:basedOn w:val="28"/>
    <w:autoRedefine/>
    <w:qFormat/>
    <w:uiPriority w:val="0"/>
    <w:rPr>
      <w:rFonts w:ascii="微软雅黑" w:hAnsi="微软雅黑" w:eastAsia="微软雅黑" w:cs="微软雅黑"/>
      <w:sz w:val="21"/>
      <w:szCs w:val="21"/>
    </w:rPr>
  </w:style>
  <w:style w:type="character" w:customStyle="1" w:styleId="57">
    <w:name w:val="prev1"/>
    <w:basedOn w:val="28"/>
    <w:autoRedefine/>
    <w:qFormat/>
    <w:uiPriority w:val="0"/>
    <w:rPr>
      <w:color w:val="888888"/>
    </w:rPr>
  </w:style>
  <w:style w:type="character" w:customStyle="1" w:styleId="58">
    <w:name w:val="redfilefwwh"/>
    <w:basedOn w:val="28"/>
    <w:autoRedefine/>
    <w:qFormat/>
    <w:uiPriority w:val="0"/>
    <w:rPr>
      <w:color w:val="BA2636"/>
      <w:sz w:val="18"/>
      <w:szCs w:val="18"/>
    </w:rPr>
  </w:style>
  <w:style w:type="character" w:customStyle="1" w:styleId="59">
    <w:name w:val="next"/>
    <w:basedOn w:val="28"/>
    <w:autoRedefine/>
    <w:qFormat/>
    <w:uiPriority w:val="0"/>
    <w:rPr>
      <w:rFonts w:hint="eastAsia" w:ascii="微软雅黑" w:hAnsi="微软雅黑" w:eastAsia="微软雅黑" w:cs="微软雅黑"/>
      <w:sz w:val="21"/>
      <w:szCs w:val="21"/>
    </w:rPr>
  </w:style>
  <w:style w:type="character" w:customStyle="1" w:styleId="60">
    <w:name w:val="next1"/>
    <w:basedOn w:val="28"/>
    <w:autoRedefine/>
    <w:qFormat/>
    <w:uiPriority w:val="0"/>
    <w:rPr>
      <w:color w:val="888888"/>
    </w:rPr>
  </w:style>
  <w:style w:type="character" w:customStyle="1" w:styleId="61">
    <w:name w:val="gjfg"/>
    <w:basedOn w:val="28"/>
    <w:autoRedefine/>
    <w:qFormat/>
    <w:uiPriority w:val="0"/>
  </w:style>
  <w:style w:type="character" w:customStyle="1" w:styleId="62">
    <w:name w:val="redfilenumber"/>
    <w:basedOn w:val="28"/>
    <w:autoRedefine/>
    <w:qFormat/>
    <w:uiPriority w:val="0"/>
    <w:rPr>
      <w:color w:val="BA2636"/>
      <w:sz w:val="18"/>
      <w:szCs w:val="18"/>
    </w:rPr>
  </w:style>
  <w:style w:type="character" w:customStyle="1" w:styleId="63">
    <w:name w:val="cfdate"/>
    <w:basedOn w:val="28"/>
    <w:autoRedefine/>
    <w:qFormat/>
    <w:uiPriority w:val="0"/>
    <w:rPr>
      <w:color w:val="333333"/>
      <w:sz w:val="18"/>
      <w:szCs w:val="18"/>
    </w:rPr>
  </w:style>
  <w:style w:type="character" w:customStyle="1" w:styleId="64">
    <w:name w:val="qxdate"/>
    <w:basedOn w:val="28"/>
    <w:autoRedefine/>
    <w:qFormat/>
    <w:uiPriority w:val="0"/>
    <w:rPr>
      <w:color w:val="333333"/>
      <w:sz w:val="18"/>
      <w:szCs w:val="18"/>
    </w:rPr>
  </w:style>
  <w:style w:type="paragraph" w:customStyle="1" w:styleId="65">
    <w:name w:val="首行缩进"/>
    <w:basedOn w:val="1"/>
    <w:autoRedefine/>
    <w:qFormat/>
    <w:uiPriority w:val="0"/>
    <w:pPr>
      <w:numPr>
        <w:ilvl w:val="0"/>
        <w:numId w:val="1"/>
      </w:numPr>
      <w:spacing w:line="360" w:lineRule="auto"/>
    </w:pPr>
    <w:rPr>
      <w:rFonts w:eastAsia="仿宋_GB2312"/>
    </w:rPr>
  </w:style>
  <w:style w:type="paragraph" w:customStyle="1" w:styleId="66">
    <w:name w:val="无间隔1"/>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67">
    <w:name w:val="NormalCharacter"/>
    <w:autoRedefine/>
    <w:semiHidden/>
    <w:qFormat/>
    <w:uiPriority w:val="0"/>
  </w:style>
  <w:style w:type="paragraph" w:customStyle="1" w:styleId="68">
    <w:name w:val="列出段落1"/>
    <w:basedOn w:val="1"/>
    <w:autoRedefine/>
    <w:qFormat/>
    <w:uiPriority w:val="0"/>
    <w:pPr>
      <w:widowControl w:val="0"/>
      <w:ind w:firstLine="420" w:firstLineChars="200"/>
      <w:jc w:val="both"/>
    </w:pPr>
    <w:rPr>
      <w:rFonts w:ascii="Calibri" w:hAnsi="Calibri" w:cs="宋体"/>
      <w:szCs w:val="24"/>
    </w:rPr>
  </w:style>
  <w:style w:type="character" w:customStyle="1" w:styleId="69">
    <w:name w:val="font01"/>
    <w:basedOn w:val="28"/>
    <w:autoRedefine/>
    <w:qFormat/>
    <w:uiPriority w:val="0"/>
    <w:rPr>
      <w:rFonts w:hint="eastAsia" w:ascii="宋体" w:hAnsi="宋体" w:eastAsia="宋体" w:cs="宋体"/>
      <w:color w:val="000000"/>
      <w:sz w:val="24"/>
      <w:szCs w:val="24"/>
      <w:u w:val="none"/>
    </w:rPr>
  </w:style>
  <w:style w:type="character" w:customStyle="1" w:styleId="70">
    <w:name w:val="font31"/>
    <w:basedOn w:val="28"/>
    <w:autoRedefine/>
    <w:qFormat/>
    <w:uiPriority w:val="0"/>
    <w:rPr>
      <w:rFonts w:hint="eastAsia" w:ascii="宋体" w:hAnsi="宋体" w:eastAsia="宋体" w:cs="宋体"/>
      <w:color w:val="000000"/>
      <w:sz w:val="24"/>
      <w:szCs w:val="24"/>
      <w:u w:val="none"/>
    </w:rPr>
  </w:style>
  <w:style w:type="paragraph" w:customStyle="1" w:styleId="71">
    <w:name w:val="WPSOffice手动目录 1"/>
    <w:autoRedefine/>
    <w:qFormat/>
    <w:uiPriority w:val="0"/>
    <w:pPr>
      <w:ind w:leftChars="0"/>
    </w:pPr>
    <w:rPr>
      <w:rFonts w:ascii="Times New Roman" w:hAnsi="Times New Roman" w:eastAsia="宋体" w:cs="Times New Roman"/>
      <w:sz w:val="20"/>
      <w:szCs w:val="20"/>
    </w:rPr>
  </w:style>
  <w:style w:type="paragraph" w:customStyle="1" w:styleId="72">
    <w:name w:val="_Style 72"/>
    <w:basedOn w:val="1"/>
    <w:next w:val="44"/>
    <w:autoRedefine/>
    <w:qFormat/>
    <w:uiPriority w:val="34"/>
    <w:pPr>
      <w:spacing w:line="360" w:lineRule="auto"/>
      <w:ind w:firstLine="420" w:firstLineChars="200"/>
    </w:pPr>
    <w:rPr>
      <w:sz w:val="24"/>
      <w:szCs w:val="20"/>
    </w:rPr>
  </w:style>
  <w:style w:type="paragraph" w:customStyle="1" w:styleId="73">
    <w:name w:val="Body text|1"/>
    <w:basedOn w:val="1"/>
    <w:autoRedefine/>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16184</Words>
  <Characters>17735</Characters>
  <Lines>788</Lines>
  <Paragraphs>221</Paragraphs>
  <TotalTime>21</TotalTime>
  <ScaleCrop>false</ScaleCrop>
  <LinksUpToDate>false</LinksUpToDate>
  <CharactersWithSpaces>17924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2020-10-15T21:05:00Z</dcterms:created>
  <dc:creator>WPS_1565666140</dc:creator>
  <cp:lastModifiedBy>刘宇</cp:lastModifiedBy>
  <cp:lastPrinted>2023-11-08T01:57:00Z</cp:lastPrinted>
  <dcterms:modified xsi:type="dcterms:W3CDTF">2025-02-08T07:00:35Z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A6F1E4CBB018411D98C359FA2A354E85_13</vt:lpwstr>
  </property>
  <property fmtid="{D5CDD505-2E9C-101B-9397-08002B2CF9AE}" pid="4" name="KSOTemplateDocerSaveRecord">
    <vt:lpwstr>eyJoZGlkIjoiZGQ2NTNiOTg4MmNmMGE4NzI3ODY5NGY5MWRjOGY2MGYiLCJ1c2VySWQiOiIyNTUxODE1NzUifQ==</vt:lpwstr>
  </property>
</Properties>
</file>