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77E1F">
      <w:pPr>
        <w:spacing w:line="353" w:lineRule="auto"/>
        <w:outlineLvl w:val="9"/>
        <w:rPr>
          <w:rFonts w:ascii="Arial"/>
          <w:color w:val="auto"/>
          <w:highlight w:val="none"/>
        </w:rPr>
      </w:pPr>
    </w:p>
    <w:p w14:paraId="1DBB7ACD">
      <w:pPr>
        <w:spacing w:line="354" w:lineRule="auto"/>
        <w:outlineLvl w:val="9"/>
        <w:rPr>
          <w:rFonts w:ascii="Arial"/>
          <w:color w:val="auto"/>
          <w:highlight w:val="none"/>
        </w:rPr>
      </w:pPr>
    </w:p>
    <w:p w14:paraId="34B528E9">
      <w:pPr>
        <w:spacing w:line="354" w:lineRule="auto"/>
        <w:outlineLvl w:val="9"/>
        <w:rPr>
          <w:rFonts w:ascii="Arial"/>
          <w:color w:val="auto"/>
          <w:highlight w:val="none"/>
        </w:rPr>
      </w:pPr>
    </w:p>
    <w:p w14:paraId="10B71CB2">
      <w:pPr>
        <w:spacing w:line="354" w:lineRule="auto"/>
        <w:outlineLvl w:val="9"/>
        <w:rPr>
          <w:rFonts w:ascii="Arial"/>
          <w:color w:val="auto"/>
          <w:highlight w:val="none"/>
        </w:rPr>
      </w:pPr>
    </w:p>
    <w:p w14:paraId="490C830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b/>
          <w:bCs/>
          <w:color w:val="auto"/>
          <w:sz w:val="48"/>
          <w:szCs w:val="48"/>
          <w:highlight w:val="none"/>
          <w:lang w:val="en-US" w:eastAsia="zh-CN"/>
        </w:rPr>
      </w:pPr>
      <w:r>
        <w:rPr>
          <w:rFonts w:hint="eastAsia" w:ascii="宋体"/>
          <w:b/>
          <w:bCs/>
          <w:color w:val="auto"/>
          <w:sz w:val="48"/>
          <w:szCs w:val="48"/>
          <w:highlight w:val="none"/>
          <w:lang w:val="en-US" w:eastAsia="zh-CN"/>
        </w:rPr>
        <w:t>朝阳区视频监控系统（一二三期）</w:t>
      </w:r>
    </w:p>
    <w:p w14:paraId="53DEDAF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b/>
          <w:bCs/>
          <w:color w:val="auto"/>
          <w:sz w:val="30"/>
          <w:szCs w:val="30"/>
          <w:lang w:val="en-US" w:eastAsia="zh-CN"/>
        </w:rPr>
      </w:pPr>
      <w:r>
        <w:rPr>
          <w:rFonts w:hint="eastAsia" w:ascii="宋体"/>
          <w:b/>
          <w:bCs/>
          <w:color w:val="auto"/>
          <w:sz w:val="48"/>
          <w:szCs w:val="48"/>
          <w:highlight w:val="none"/>
          <w:lang w:val="en-US" w:eastAsia="zh-CN"/>
        </w:rPr>
        <w:t>光纤租赁项目</w:t>
      </w:r>
    </w:p>
    <w:p w14:paraId="09F90DB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79CC96E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74C31E94">
      <w:pPr>
        <w:pStyle w:val="19"/>
        <w:outlineLvl w:val="9"/>
        <w:rPr>
          <w:rFonts w:hint="eastAsia"/>
          <w:color w:val="auto"/>
          <w:lang w:val="en-US" w:eastAsia="zh-CN"/>
        </w:rPr>
      </w:pPr>
    </w:p>
    <w:p w14:paraId="4AD453D9">
      <w:pPr>
        <w:pStyle w:val="7"/>
        <w:rPr>
          <w:rFonts w:hint="eastAsia"/>
          <w:lang w:val="en-US" w:eastAsia="zh-CN"/>
        </w:rPr>
      </w:pPr>
    </w:p>
    <w:p w14:paraId="1133305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eastAsia="zh-CN"/>
        </w:rPr>
      </w:pPr>
    </w:p>
    <w:p w14:paraId="7F1E22EC">
      <w:pPr>
        <w:spacing w:before="231" w:line="223" w:lineRule="auto"/>
        <w:jc w:val="center"/>
        <w:outlineLvl w:val="0"/>
        <w:rPr>
          <w:rFonts w:ascii="宋体" w:hAnsi="宋体" w:cs="宋体"/>
          <w:b/>
          <w:bCs/>
          <w:color w:val="auto"/>
          <w:sz w:val="71"/>
          <w:szCs w:val="71"/>
          <w:highlight w:val="none"/>
        </w:rPr>
      </w:pPr>
      <w:bookmarkStart w:id="0" w:name="_Toc14568"/>
      <w:bookmarkStart w:id="1" w:name="_Toc22249"/>
      <w:bookmarkStart w:id="2" w:name="_Toc2252"/>
      <w:bookmarkStart w:id="3" w:name="_Toc17122"/>
      <w:bookmarkStart w:id="4" w:name="_Toc17134"/>
      <w:bookmarkStart w:id="5" w:name="_Toc30689"/>
      <w:bookmarkStart w:id="6" w:name="_Toc4675"/>
      <w:r>
        <w:rPr>
          <w:rFonts w:hint="eastAsia" w:ascii="宋体" w:hAnsi="宋体" w:eastAsia="宋体" w:cs="宋体"/>
          <w:b/>
          <w:bCs/>
          <w:color w:val="auto"/>
          <w:spacing w:val="7"/>
          <w:sz w:val="71"/>
          <w:szCs w:val="71"/>
          <w:highlight w:val="none"/>
          <w:lang w:eastAsia="zh-CN"/>
        </w:rPr>
        <w:t>招标</w:t>
      </w:r>
      <w:r>
        <w:rPr>
          <w:rFonts w:ascii="宋体" w:hAnsi="宋体" w:cs="宋体"/>
          <w:b/>
          <w:bCs/>
          <w:color w:val="auto"/>
          <w:spacing w:val="7"/>
          <w:sz w:val="71"/>
          <w:szCs w:val="71"/>
          <w:highlight w:val="none"/>
        </w:rPr>
        <w:t>文</w:t>
      </w:r>
      <w:r>
        <w:rPr>
          <w:rFonts w:ascii="宋体" w:hAnsi="宋体" w:cs="宋体"/>
          <w:b/>
          <w:bCs/>
          <w:color w:val="auto"/>
          <w:spacing w:val="5"/>
          <w:sz w:val="71"/>
          <w:szCs w:val="71"/>
          <w:highlight w:val="none"/>
        </w:rPr>
        <w:t>件</w:t>
      </w:r>
      <w:bookmarkEnd w:id="0"/>
      <w:bookmarkEnd w:id="1"/>
      <w:bookmarkEnd w:id="2"/>
      <w:bookmarkEnd w:id="3"/>
      <w:bookmarkEnd w:id="4"/>
      <w:bookmarkEnd w:id="5"/>
      <w:bookmarkEnd w:id="6"/>
    </w:p>
    <w:p w14:paraId="50908699">
      <w:pPr>
        <w:keepNext w:val="0"/>
        <w:keepLines w:val="0"/>
        <w:pageBreakBefore w:val="0"/>
        <w:widowControl w:val="0"/>
        <w:kinsoku/>
        <w:wordWrap/>
        <w:overflowPunct/>
        <w:topLinePunct w:val="0"/>
        <w:autoSpaceDE/>
        <w:autoSpaceDN/>
        <w:bidi w:val="0"/>
        <w:adjustRightInd/>
        <w:snapToGrid/>
        <w:spacing w:before="0" w:beforeLines="50"/>
        <w:jc w:val="center"/>
        <w:textAlignment w:val="auto"/>
        <w:outlineLvl w:val="9"/>
        <w:rPr>
          <w:rFonts w:hint="default" w:ascii="宋体" w:hAnsi="宋体" w:eastAsia="宋体" w:cs="宋体"/>
          <w:b/>
          <w:bCs/>
          <w:color w:val="auto"/>
          <w:sz w:val="28"/>
          <w:szCs w:val="28"/>
          <w:highlight w:val="none"/>
          <w:lang w:val="en-US" w:eastAsia="zh-CN"/>
        </w:rPr>
      </w:pPr>
      <w:bookmarkStart w:id="7" w:name="_Toc31309"/>
      <w:bookmarkStart w:id="8" w:name="_Toc13447"/>
      <w:bookmarkStart w:id="9" w:name="_Toc17955"/>
      <w:bookmarkStart w:id="10" w:name="_Toc1303"/>
      <w:r>
        <w:rPr>
          <w:rFonts w:hint="eastAsia" w:ascii="宋体" w:hAnsi="宋体" w:eastAsia="宋体" w:cs="宋体"/>
          <w:b/>
          <w:bCs/>
          <w:color w:val="auto"/>
          <w:sz w:val="28"/>
          <w:szCs w:val="28"/>
          <w:highlight w:val="none"/>
        </w:rPr>
        <w:t>项目编号：</w:t>
      </w:r>
      <w:bookmarkEnd w:id="7"/>
      <w:bookmarkEnd w:id="8"/>
      <w:bookmarkEnd w:id="9"/>
      <w:bookmarkEnd w:id="10"/>
      <w:r>
        <w:rPr>
          <w:rFonts w:hint="eastAsia" w:ascii="宋体" w:hAnsi="宋体" w:eastAsia="宋体" w:cs="宋体"/>
          <w:b/>
          <w:bCs/>
          <w:color w:val="auto"/>
          <w:sz w:val="28"/>
          <w:szCs w:val="28"/>
          <w:highlight w:val="none"/>
        </w:rPr>
        <w:t>采购计划-[2025]-00036号-JCZXW2025-001</w:t>
      </w:r>
    </w:p>
    <w:p w14:paraId="1CA20AC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bookmarkStart w:id="11" w:name="_Toc20466"/>
    </w:p>
    <w:p w14:paraId="384DB50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2C5B904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3D078DC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67F7CB3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0A13D9F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149BFCCC">
      <w:pPr>
        <w:pStyle w:val="19"/>
        <w:outlineLvl w:val="9"/>
        <w:rPr>
          <w:rFonts w:hint="eastAsia"/>
          <w:color w:val="auto"/>
          <w:lang w:val="en-US" w:eastAsia="zh-CN"/>
        </w:rPr>
      </w:pPr>
    </w:p>
    <w:p w14:paraId="2B6628EA">
      <w:pPr>
        <w:keepNext w:val="0"/>
        <w:keepLines w:val="0"/>
        <w:pageBreakBefore w:val="0"/>
        <w:widowControl w:val="0"/>
        <w:kinsoku/>
        <w:wordWrap/>
        <w:overflowPunct/>
        <w:topLinePunct w:val="0"/>
        <w:autoSpaceDE/>
        <w:autoSpaceDN/>
        <w:bidi w:val="0"/>
        <w:adjustRightInd/>
        <w:snapToGrid/>
        <w:spacing w:line="360" w:lineRule="auto"/>
        <w:ind w:firstLine="900" w:firstLineChars="300"/>
        <w:textAlignment w:val="auto"/>
        <w:outlineLvl w:val="0"/>
        <w:rPr>
          <w:rFonts w:hint="eastAsia"/>
          <w:b/>
          <w:bCs/>
          <w:color w:val="auto"/>
          <w:sz w:val="30"/>
          <w:szCs w:val="30"/>
        </w:rPr>
      </w:pPr>
      <w:bookmarkStart w:id="12" w:name="_Toc19489"/>
      <w:bookmarkStart w:id="13" w:name="_Toc26824"/>
      <w:bookmarkStart w:id="14" w:name="_Toc17357"/>
      <w:bookmarkStart w:id="15" w:name="_Toc18741"/>
      <w:bookmarkStart w:id="16" w:name="_Toc10370"/>
      <w:r>
        <w:rPr>
          <w:rFonts w:hint="eastAsia"/>
          <w:b/>
          <w:bCs/>
          <w:color w:val="auto"/>
          <w:sz w:val="30"/>
          <w:szCs w:val="30"/>
        </w:rPr>
        <w:t>采   购   人：</w:t>
      </w:r>
      <w:bookmarkEnd w:id="11"/>
      <w:bookmarkEnd w:id="12"/>
      <w:bookmarkEnd w:id="13"/>
      <w:bookmarkEnd w:id="14"/>
      <w:bookmarkEnd w:id="15"/>
      <w:bookmarkEnd w:id="16"/>
      <w:r>
        <w:rPr>
          <w:rFonts w:hint="eastAsia"/>
          <w:b/>
          <w:bCs/>
          <w:color w:val="auto"/>
          <w:sz w:val="30"/>
          <w:szCs w:val="30"/>
        </w:rPr>
        <w:t>长春市朝阳区政务服务和数字化建设管理局（长春市朝阳区营商环境建设局）</w:t>
      </w:r>
    </w:p>
    <w:p w14:paraId="195FB26E">
      <w:pPr>
        <w:keepNext w:val="0"/>
        <w:keepLines w:val="0"/>
        <w:pageBreakBefore w:val="0"/>
        <w:widowControl w:val="0"/>
        <w:kinsoku/>
        <w:wordWrap/>
        <w:overflowPunct/>
        <w:topLinePunct w:val="0"/>
        <w:autoSpaceDE/>
        <w:autoSpaceDN/>
        <w:bidi w:val="0"/>
        <w:adjustRightInd/>
        <w:snapToGrid/>
        <w:spacing w:line="360" w:lineRule="auto"/>
        <w:ind w:firstLine="900" w:firstLineChars="300"/>
        <w:textAlignment w:val="auto"/>
        <w:outlineLvl w:val="9"/>
        <w:rPr>
          <w:rFonts w:hint="eastAsia"/>
          <w:b/>
          <w:bCs/>
          <w:color w:val="auto"/>
          <w:sz w:val="30"/>
          <w:szCs w:val="30"/>
        </w:rPr>
      </w:pPr>
      <w:r>
        <w:rPr>
          <w:rFonts w:hint="eastAsia"/>
          <w:b/>
          <w:bCs/>
          <w:color w:val="auto"/>
          <w:sz w:val="30"/>
          <w:szCs w:val="30"/>
        </w:rPr>
        <w:t>采购代理机构：吉林省吉诚工程咨询有限公司</w:t>
      </w:r>
    </w:p>
    <w:p w14:paraId="6288814B">
      <w:pPr>
        <w:keepNext w:val="0"/>
        <w:keepLines w:val="0"/>
        <w:pageBreakBefore w:val="0"/>
        <w:widowControl w:val="0"/>
        <w:kinsoku/>
        <w:wordWrap/>
        <w:overflowPunct/>
        <w:topLinePunct w:val="0"/>
        <w:autoSpaceDE/>
        <w:autoSpaceDN/>
        <w:bidi w:val="0"/>
        <w:adjustRightInd/>
        <w:snapToGrid/>
        <w:spacing w:line="360" w:lineRule="auto"/>
        <w:ind w:firstLine="900" w:firstLineChars="300"/>
        <w:textAlignment w:val="auto"/>
        <w:outlineLvl w:val="0"/>
        <w:rPr>
          <w:rFonts w:hint="eastAsia"/>
          <w:b/>
          <w:bCs/>
          <w:color w:val="auto"/>
          <w:sz w:val="30"/>
          <w:szCs w:val="30"/>
        </w:rPr>
      </w:pPr>
      <w:bookmarkStart w:id="17" w:name="_Toc17061"/>
      <w:bookmarkStart w:id="18" w:name="_Toc1588"/>
      <w:bookmarkStart w:id="19" w:name="_Toc2467"/>
      <w:bookmarkStart w:id="20" w:name="_Toc8956"/>
      <w:bookmarkStart w:id="21" w:name="_Toc7538"/>
      <w:bookmarkStart w:id="22" w:name="_Toc10255"/>
      <w:r>
        <w:rPr>
          <w:rFonts w:hint="eastAsia"/>
          <w:b/>
          <w:bCs/>
          <w:color w:val="auto"/>
          <w:sz w:val="30"/>
          <w:szCs w:val="30"/>
          <w:lang w:eastAsia="zh-CN"/>
        </w:rPr>
        <w:t>日</w:t>
      </w:r>
      <w:r>
        <w:rPr>
          <w:rFonts w:hint="eastAsia"/>
          <w:b/>
          <w:bCs/>
          <w:color w:val="auto"/>
          <w:sz w:val="30"/>
          <w:szCs w:val="30"/>
          <w:lang w:val="en-US" w:eastAsia="zh-CN"/>
        </w:rPr>
        <w:t xml:space="preserve">        </w:t>
      </w:r>
      <w:r>
        <w:rPr>
          <w:rFonts w:hint="eastAsia"/>
          <w:b/>
          <w:bCs/>
          <w:color w:val="auto"/>
          <w:sz w:val="30"/>
          <w:szCs w:val="30"/>
          <w:lang w:eastAsia="zh-CN"/>
        </w:rPr>
        <w:t>期：</w:t>
      </w:r>
      <w:r>
        <w:rPr>
          <w:rFonts w:hint="eastAsia"/>
          <w:b/>
          <w:bCs/>
          <w:color w:val="auto"/>
          <w:sz w:val="30"/>
          <w:szCs w:val="30"/>
        </w:rPr>
        <w:t>二〇</w:t>
      </w:r>
      <w:r>
        <w:rPr>
          <w:rFonts w:hint="eastAsia"/>
          <w:b/>
          <w:bCs/>
          <w:color w:val="auto"/>
          <w:sz w:val="30"/>
          <w:szCs w:val="30"/>
          <w:lang w:eastAsia="zh-CN"/>
        </w:rPr>
        <w:t>二五</w:t>
      </w:r>
      <w:r>
        <w:rPr>
          <w:rFonts w:hint="eastAsia"/>
          <w:b/>
          <w:bCs/>
          <w:color w:val="auto"/>
          <w:sz w:val="30"/>
          <w:szCs w:val="30"/>
        </w:rPr>
        <w:t>年</w:t>
      </w:r>
      <w:r>
        <w:rPr>
          <w:rFonts w:hint="eastAsia" w:eastAsia="宋体"/>
          <w:b/>
          <w:bCs/>
          <w:color w:val="auto"/>
          <w:sz w:val="30"/>
          <w:szCs w:val="30"/>
          <w:lang w:eastAsia="zh-CN"/>
        </w:rPr>
        <w:t>三</w:t>
      </w:r>
      <w:r>
        <w:rPr>
          <w:rFonts w:hint="eastAsia"/>
          <w:b/>
          <w:bCs/>
          <w:color w:val="auto"/>
          <w:sz w:val="30"/>
          <w:szCs w:val="30"/>
        </w:rPr>
        <w:t>月</w:t>
      </w:r>
      <w:bookmarkEnd w:id="17"/>
      <w:bookmarkEnd w:id="18"/>
      <w:bookmarkEnd w:id="19"/>
      <w:bookmarkEnd w:id="20"/>
      <w:bookmarkEnd w:id="21"/>
      <w:bookmarkEnd w:id="22"/>
    </w:p>
    <w:p w14:paraId="5246973A">
      <w:pPr>
        <w:keepNext w:val="0"/>
        <w:keepLines w:val="0"/>
        <w:pageBreakBefore w:val="0"/>
        <w:widowControl w:val="0"/>
        <w:kinsoku/>
        <w:wordWrap/>
        <w:overflowPunct/>
        <w:topLinePunct w:val="0"/>
        <w:autoSpaceDE/>
        <w:autoSpaceDN/>
        <w:bidi w:val="0"/>
        <w:adjustRightInd/>
        <w:snapToGrid/>
        <w:spacing w:line="360" w:lineRule="auto"/>
        <w:ind w:firstLine="900" w:firstLineChars="300"/>
        <w:textAlignment w:val="auto"/>
        <w:outlineLvl w:val="0"/>
        <w:rPr>
          <w:rFonts w:hint="eastAsia"/>
          <w:b/>
          <w:bCs/>
          <w:color w:val="auto"/>
          <w:sz w:val="30"/>
          <w:szCs w:val="30"/>
        </w:rPr>
      </w:pPr>
    </w:p>
    <w:p w14:paraId="1E633DD7">
      <w:pPr>
        <w:keepNext w:val="0"/>
        <w:keepLines w:val="0"/>
        <w:pageBreakBefore w:val="0"/>
        <w:widowControl/>
        <w:wordWrap/>
        <w:overflowPunct/>
        <w:topLinePunct w:val="0"/>
        <w:bidi w:val="0"/>
        <w:spacing w:line="360" w:lineRule="auto"/>
        <w:ind w:left="0" w:leftChars="0" w:right="0" w:rightChars="0" w:firstLine="0" w:firstLineChars="0"/>
        <w:jc w:val="center"/>
        <w:rPr>
          <w:rFonts w:hint="eastAsia" w:ascii="宋体" w:hAnsi="宋体" w:eastAsia="宋体" w:cs="宋体"/>
          <w:b/>
          <w:bCs/>
          <w:snapToGrid w:val="0"/>
          <w:color w:val="auto"/>
          <w:kern w:val="0"/>
          <w:sz w:val="28"/>
          <w:szCs w:val="28"/>
          <w:lang w:val="en-US" w:eastAsia="en-US" w:bidi="ar-SA"/>
        </w:rPr>
        <w:sectPr>
          <w:footerReference r:id="rId5" w:type="default"/>
          <w:pgSz w:w="11906" w:h="16839"/>
          <w:pgMar w:top="1440" w:right="1080" w:bottom="1440" w:left="1366" w:header="0" w:footer="886" w:gutter="0"/>
          <w:pgNumType w:fmt="decimal"/>
          <w:cols w:space="720" w:num="1"/>
        </w:sectPr>
      </w:pPr>
    </w:p>
    <w:sdt>
      <w:sdtPr>
        <w:rPr>
          <w:rFonts w:hint="eastAsia" w:ascii="宋体" w:hAnsi="宋体" w:eastAsia="宋体" w:cs="宋体"/>
          <w:b/>
          <w:bCs/>
          <w:snapToGrid w:val="0"/>
          <w:color w:val="auto"/>
          <w:kern w:val="0"/>
          <w:sz w:val="28"/>
          <w:szCs w:val="28"/>
          <w:lang w:val="en-US" w:eastAsia="en-US" w:bidi="ar-SA"/>
        </w:rPr>
        <w:id w:val="147481105"/>
        <w15:color w:val="DBDBDB"/>
        <w:docPartObj>
          <w:docPartGallery w:val="Table of Contents"/>
          <w:docPartUnique/>
        </w:docPartObj>
      </w:sdtPr>
      <w:sdtEndPr>
        <w:rPr>
          <w:rFonts w:hint="eastAsia" w:ascii="宋体" w:hAnsi="宋体" w:eastAsia="宋体" w:cs="宋体"/>
          <w:b/>
          <w:bCs/>
          <w:snapToGrid w:val="0"/>
          <w:color w:val="auto"/>
          <w:kern w:val="0"/>
          <w:sz w:val="28"/>
          <w:szCs w:val="28"/>
          <w:lang w:val="en-US" w:eastAsia="en-US" w:bidi="ar-SA"/>
        </w:rPr>
      </w:sdtEndPr>
      <w:sdtContent>
        <w:p w14:paraId="70A0D2D0">
          <w:pPr>
            <w:keepNext w:val="0"/>
            <w:keepLines w:val="0"/>
            <w:pageBreakBefore w:val="0"/>
            <w:widowControl/>
            <w:wordWrap/>
            <w:overflowPunct/>
            <w:topLinePunct w:val="0"/>
            <w:bidi w:val="0"/>
            <w:spacing w:line="360" w:lineRule="auto"/>
            <w:ind w:left="0" w:leftChars="0" w:right="0" w:rightChars="0" w:firstLine="0" w:firstLineChars="0"/>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目</w:t>
          </w:r>
          <w:r>
            <w:rPr>
              <w:rFonts w:hint="eastAsia" w:ascii="宋体" w:hAnsi="宋体" w:eastAsia="宋体" w:cs="宋体"/>
              <w:b/>
              <w:bCs/>
              <w:color w:val="auto"/>
              <w:sz w:val="40"/>
              <w:szCs w:val="40"/>
              <w:lang w:val="en-US" w:eastAsia="zh-CN"/>
            </w:rPr>
            <w:t xml:space="preserve">   </w:t>
          </w:r>
          <w:r>
            <w:rPr>
              <w:rFonts w:hint="eastAsia" w:ascii="宋体" w:hAnsi="宋体" w:eastAsia="宋体" w:cs="宋体"/>
              <w:b/>
              <w:bCs/>
              <w:color w:val="auto"/>
              <w:sz w:val="40"/>
              <w:szCs w:val="40"/>
            </w:rPr>
            <w:t>录</w:t>
          </w:r>
        </w:p>
        <w:p w14:paraId="37F27091">
          <w:pPr>
            <w:pStyle w:val="10"/>
            <w:tabs>
              <w:tab w:val="right" w:leader="dot" w:pos="9286"/>
            </w:tabs>
            <w:rPr>
              <w:color w:val="auto"/>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TOC \o "1-1" \h \u </w:instrText>
          </w:r>
          <w:r>
            <w:rPr>
              <w:rFonts w:hint="eastAsia" w:ascii="宋体" w:hAnsi="宋体" w:eastAsia="宋体" w:cs="宋体"/>
              <w:b/>
              <w:bCs/>
              <w:color w:val="auto"/>
              <w:sz w:val="28"/>
              <w:szCs w:val="28"/>
            </w:rPr>
            <w:fldChar w:fldCharType="separate"/>
          </w:r>
        </w:p>
        <w:p w14:paraId="65AA60FA">
          <w:pPr>
            <w:pStyle w:val="10"/>
            <w:keepNext w:val="0"/>
            <w:keepLines w:val="0"/>
            <w:pageBreakBefore w:val="0"/>
            <w:widowControl/>
            <w:tabs>
              <w:tab w:val="right" w:leader="dot" w:pos="928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_Toc27731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 xml:space="preserve">第一章 </w:t>
          </w:r>
          <w:r>
            <w:rPr>
              <w:rFonts w:hint="eastAsia" w:ascii="宋体" w:hAnsi="宋体" w:eastAsia="宋体" w:cs="宋体"/>
              <w:b/>
              <w:bCs/>
              <w:color w:val="auto"/>
              <w:sz w:val="28"/>
              <w:szCs w:val="28"/>
              <w:highlight w:val="none"/>
              <w:lang w:eastAsia="zh-CN"/>
            </w:rPr>
            <w:t>招标公告</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_Toc27731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255D3055">
          <w:pPr>
            <w:pStyle w:val="10"/>
            <w:keepNext w:val="0"/>
            <w:keepLines w:val="0"/>
            <w:pageBreakBefore w:val="0"/>
            <w:widowControl/>
            <w:tabs>
              <w:tab w:val="right" w:leader="dot" w:pos="928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_Toc23171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第二章</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投标人须知</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_Toc23171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6</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6B8F5A9E">
          <w:pPr>
            <w:pStyle w:val="10"/>
            <w:keepNext w:val="0"/>
            <w:keepLines w:val="0"/>
            <w:pageBreakBefore w:val="0"/>
            <w:widowControl/>
            <w:tabs>
              <w:tab w:val="right" w:leader="dot" w:pos="928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_Toc1701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第三章</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评标办法</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_Toc1701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19</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09576A11">
          <w:pPr>
            <w:pStyle w:val="10"/>
            <w:keepNext w:val="0"/>
            <w:keepLines w:val="0"/>
            <w:pageBreakBefore w:val="0"/>
            <w:widowControl/>
            <w:tabs>
              <w:tab w:val="right" w:leader="dot" w:pos="928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_Toc12764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第四章 合同条款（参考格式）</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_Toc12764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26</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1365218B">
          <w:pPr>
            <w:pStyle w:val="10"/>
            <w:keepNext w:val="0"/>
            <w:keepLines w:val="0"/>
            <w:pageBreakBefore w:val="0"/>
            <w:widowControl/>
            <w:tabs>
              <w:tab w:val="right" w:leader="dot" w:pos="928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_Toc9810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第五章 采购需求</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_Toc9810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30</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5BEA49CB">
          <w:pPr>
            <w:pStyle w:val="10"/>
            <w:keepNext w:val="0"/>
            <w:keepLines w:val="0"/>
            <w:pageBreakBefore w:val="0"/>
            <w:widowControl/>
            <w:tabs>
              <w:tab w:val="right" w:leader="dot" w:pos="9286"/>
            </w:tabs>
            <w:kinsoku w:val="0"/>
            <w:wordWrap/>
            <w:overflowPunct/>
            <w:topLinePunct w:val="0"/>
            <w:autoSpaceDE w:val="0"/>
            <w:autoSpaceDN w:val="0"/>
            <w:bidi w:val="0"/>
            <w:adjustRightInd w:val="0"/>
            <w:snapToGrid w:val="0"/>
            <w:spacing w:line="360" w:lineRule="auto"/>
            <w:textAlignment w:val="baseline"/>
            <w:rPr>
              <w:color w:val="auto"/>
              <w:sz w:val="28"/>
              <w:szCs w:val="28"/>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_Toc6096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第六章 投标文件构成及格式</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_Toc6096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31</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02D93FF0">
          <w:pPr>
            <w:pStyle w:val="10"/>
            <w:tabs>
              <w:tab w:val="right" w:leader="dot" w:pos="9286"/>
            </w:tabs>
            <w:rPr>
              <w:color w:val="auto"/>
            </w:rPr>
          </w:pPr>
        </w:p>
        <w:p w14:paraId="01D95D43">
          <w:pPr>
            <w:keepNext w:val="0"/>
            <w:keepLines w:val="0"/>
            <w:pageBreakBefore w:val="0"/>
            <w:widowControl/>
            <w:wordWrap/>
            <w:overflowPunct/>
            <w:topLinePunct w:val="0"/>
            <w:bidi w:val="0"/>
            <w:spacing w:before="0" w:beforeLines="0" w:after="0" w:afterLines="0" w:line="360" w:lineRule="auto"/>
            <w:rPr>
              <w:color w:val="auto"/>
            </w:rPr>
          </w:pPr>
          <w:r>
            <w:rPr>
              <w:rFonts w:hint="eastAsia" w:ascii="宋体" w:hAnsi="宋体" w:eastAsia="宋体" w:cs="宋体"/>
              <w:bCs/>
              <w:color w:val="auto"/>
              <w:szCs w:val="28"/>
            </w:rPr>
            <w:fldChar w:fldCharType="end"/>
          </w:r>
        </w:p>
      </w:sdtContent>
    </w:sdt>
    <w:p w14:paraId="2DAE4CDE">
      <w:pPr>
        <w:outlineLvl w:val="9"/>
        <w:rPr>
          <w:rFonts w:hint="eastAsia" w:ascii="宋体" w:hAnsi="宋体" w:eastAsia="宋体" w:cs="宋体"/>
          <w:color w:val="auto"/>
          <w:spacing w:val="8"/>
          <w:sz w:val="35"/>
          <w:szCs w:val="35"/>
          <w14:textOutline w14:w="6537" w14:cap="sq" w14:cmpd="sng">
            <w14:solidFill>
              <w14:srgbClr w14:val="000000"/>
            </w14:solidFill>
            <w14:prstDash w14:val="solid"/>
            <w14:bevel/>
          </w14:textOutline>
        </w:rPr>
      </w:pPr>
      <w:r>
        <w:rPr>
          <w:rFonts w:hint="eastAsia" w:ascii="宋体" w:hAnsi="宋体" w:eastAsia="宋体" w:cs="宋体"/>
          <w:color w:val="auto"/>
          <w:spacing w:val="8"/>
          <w:sz w:val="35"/>
          <w:szCs w:val="35"/>
          <w14:textOutline w14:w="6537" w14:cap="sq" w14:cmpd="sng">
            <w14:solidFill>
              <w14:srgbClr w14:val="000000"/>
            </w14:solidFill>
            <w14:prstDash w14:val="solid"/>
            <w14:bevel/>
          </w14:textOutline>
        </w:rPr>
        <w:br w:type="page"/>
      </w:r>
    </w:p>
    <w:p w14:paraId="54D54729">
      <w:pPr>
        <w:pStyle w:val="2"/>
        <w:keepNext/>
        <w:keepLines/>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eastAsia="宋体"/>
          <w:color w:val="auto"/>
          <w:sz w:val="32"/>
          <w:szCs w:val="32"/>
          <w:lang w:eastAsia="zh-CN"/>
        </w:rPr>
      </w:pPr>
      <w:bookmarkStart w:id="23" w:name="_Toc4225"/>
      <w:bookmarkStart w:id="24" w:name="_Toc27731"/>
      <w:r>
        <w:rPr>
          <w:rFonts w:hint="eastAsia"/>
          <w:color w:val="auto"/>
          <w:sz w:val="32"/>
          <w:szCs w:val="32"/>
        </w:rPr>
        <w:t xml:space="preserve">第一章   </w:t>
      </w:r>
      <w:bookmarkEnd w:id="23"/>
      <w:bookmarkEnd w:id="24"/>
      <w:r>
        <w:rPr>
          <w:rFonts w:hint="eastAsia"/>
          <w:color w:val="auto"/>
          <w:sz w:val="32"/>
          <w:szCs w:val="32"/>
          <w:lang w:eastAsia="zh-CN"/>
        </w:rPr>
        <w:t>招标公告</w:t>
      </w:r>
    </w:p>
    <w:p w14:paraId="45CDED63">
      <w:pPr>
        <w:outlineLvl w:val="9"/>
        <w:rPr>
          <w:rFonts w:hint="eastAsia" w:ascii="宋体" w:hAnsi="宋体" w:eastAsia="宋体" w:cs="宋体"/>
          <w:color w:val="auto"/>
          <w:spacing w:val="8"/>
          <w:sz w:val="35"/>
          <w:szCs w:val="35"/>
          <w14:textOutline w14:w="6537" w14:cap="sq" w14:cmpd="sng">
            <w14:solidFill>
              <w14:srgbClr w14:val="000000"/>
            </w14:solidFill>
            <w14:prstDash w14:val="solid"/>
            <w14:bevel/>
          </w14:textOutline>
        </w:rPr>
      </w:pPr>
      <w:r>
        <w:rPr>
          <w:rFonts w:hint="eastAsia" w:ascii="宋体" w:hAnsi="宋体" w:eastAsia="宋体" w:cs="宋体"/>
          <w:color w:val="auto"/>
          <w:spacing w:val="8"/>
          <w:sz w:val="35"/>
          <w:szCs w:val="35"/>
          <w14:textOutline w14:w="6537" w14:cap="sq" w14:cmpd="sng">
            <w14:solidFill>
              <w14:srgbClr w14:val="000000"/>
            </w14:solidFill>
            <w14:prstDash w14:val="solid"/>
            <w14:bevel/>
          </w14:textOutline>
        </w:rPr>
        <w:br w:type="page"/>
      </w:r>
    </w:p>
    <w:p w14:paraId="72B4D06C">
      <w:pPr>
        <w:spacing w:before="72" w:line="227" w:lineRule="auto"/>
        <w:jc w:val="center"/>
        <w:outlineLvl w:val="9"/>
        <w:rPr>
          <w:rFonts w:hint="eastAsia" w:ascii="宋体" w:hAnsi="宋体" w:eastAsia="宋体" w:cs="宋体"/>
          <w:color w:val="auto"/>
          <w:spacing w:val="8"/>
          <w:sz w:val="28"/>
          <w:szCs w:val="28"/>
          <w:lang w:eastAsia="zh-CN"/>
          <w14:textOutline w14:w="6537" w14:cap="sq" w14:cmpd="sng">
            <w14:solidFill>
              <w14:srgbClr w14:val="000000"/>
            </w14:solidFill>
            <w14:prstDash w14:val="solid"/>
            <w14:bevel/>
          </w14:textOutline>
        </w:rPr>
      </w:pPr>
      <w:r>
        <w:rPr>
          <w:rFonts w:hint="eastAsia" w:ascii="宋体" w:hAnsi="宋体" w:eastAsia="宋体" w:cs="宋体"/>
          <w:color w:val="auto"/>
          <w:spacing w:val="8"/>
          <w:sz w:val="28"/>
          <w:szCs w:val="28"/>
          <w14:textOutline w14:w="6537" w14:cap="sq" w14:cmpd="sng">
            <w14:solidFill>
              <w14:srgbClr w14:val="000000"/>
            </w14:solidFill>
            <w14:prstDash w14:val="solid"/>
            <w14:bevel/>
          </w14:textOutline>
        </w:rPr>
        <w:t>朝阳区视频监控系统（一二三期）光纤租赁项目</w:t>
      </w:r>
    </w:p>
    <w:p w14:paraId="004514C9">
      <w:pPr>
        <w:spacing w:before="72" w:line="227" w:lineRule="auto"/>
        <w:jc w:val="center"/>
        <w:outlineLvl w:val="9"/>
        <w:rPr>
          <w:rFonts w:hint="eastAsia" w:ascii="宋体" w:hAnsi="宋体" w:eastAsia="宋体" w:cs="宋体"/>
          <w:color w:val="auto"/>
          <w:spacing w:val="8"/>
          <w:sz w:val="28"/>
          <w:szCs w:val="28"/>
          <w:lang w:eastAsia="zh-CN"/>
          <w14:textOutline w14:w="6537" w14:cap="sq" w14:cmpd="sng">
            <w14:solidFill>
              <w14:srgbClr w14:val="000000"/>
            </w14:solidFill>
            <w14:prstDash w14:val="solid"/>
            <w14:bevel/>
          </w14:textOutline>
        </w:rPr>
      </w:pPr>
      <w:r>
        <w:rPr>
          <w:rFonts w:hint="eastAsia" w:ascii="宋体" w:hAnsi="宋体" w:eastAsia="宋体" w:cs="宋体"/>
          <w:color w:val="auto"/>
          <w:spacing w:val="8"/>
          <w:sz w:val="28"/>
          <w:szCs w:val="28"/>
          <w:lang w:eastAsia="zh-CN"/>
          <w14:textOutline w14:w="6537" w14:cap="sq" w14:cmpd="sng">
            <w14:solidFill>
              <w14:srgbClr w14:val="000000"/>
            </w14:solidFill>
            <w14:prstDash w14:val="solid"/>
            <w14:bevel/>
          </w14:textOutline>
        </w:rPr>
        <w:t>招标公告</w:t>
      </w:r>
    </w:p>
    <w:tbl>
      <w:tblPr>
        <w:tblStyle w:val="17"/>
        <w:tblW w:w="9471" w:type="dxa"/>
        <w:tblInd w:w="2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71"/>
      </w:tblGrid>
      <w:tr w14:paraId="3A7417D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009" w:hRule="atLeast"/>
        </w:trPr>
        <w:tc>
          <w:tcPr>
            <w:tcW w:w="9471" w:type="dxa"/>
            <w:vAlign w:val="top"/>
          </w:tcPr>
          <w:p w14:paraId="72DD268B">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14:paraId="541AD678">
            <w:pPr>
              <w:bidi w:val="0"/>
              <w:ind w:firstLine="480" w:firstLineChars="200"/>
              <w:outlineLvl w:val="9"/>
              <w:rPr>
                <w:rFonts w:hint="eastAsia" w:ascii="宋体" w:hAnsi="宋体" w:eastAsia="宋体" w:cs="宋体"/>
                <w:color w:val="auto"/>
              </w:rPr>
            </w:pPr>
            <w:r>
              <w:rPr>
                <w:rFonts w:hint="eastAsia" w:ascii="宋体" w:hAnsi="宋体" w:eastAsia="宋体" w:cs="宋体"/>
                <w:color w:val="auto"/>
                <w:sz w:val="24"/>
                <w:szCs w:val="24"/>
              </w:rPr>
              <w:t>朝阳区视频监控系统（一二三期）光纤租赁项目的潜在投标人应在政采云平台（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"https://www.zcygov.cn/"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https://www.zcygov.cn/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）获取招标文件，并于</w:t>
            </w:r>
            <w:r>
              <w:rPr>
                <w:rFonts w:hint="eastAsia" w:ascii="宋体" w:hAnsi="宋体" w:eastAsia="宋体" w:cs="宋体"/>
                <w:color w:val="0000FF"/>
                <w:sz w:val="24"/>
                <w:szCs w:val="24"/>
              </w:rPr>
              <w:t>202</w:t>
            </w:r>
            <w:r>
              <w:rPr>
                <w:rFonts w:hint="eastAsia" w:ascii="宋体" w:hAnsi="宋体" w:eastAsia="宋体" w:cs="宋体"/>
                <w:color w:val="0000FF"/>
                <w:sz w:val="24"/>
                <w:szCs w:val="24"/>
                <w:lang w:val="en-US" w:eastAsia="zh-CN"/>
              </w:rPr>
              <w:t>5</w:t>
            </w:r>
            <w:r>
              <w:rPr>
                <w:rFonts w:hint="eastAsia" w:ascii="宋体" w:hAnsi="宋体" w:eastAsia="宋体" w:cs="宋体"/>
                <w:color w:val="0000FF"/>
                <w:sz w:val="24"/>
                <w:szCs w:val="24"/>
              </w:rPr>
              <w:t>年</w:t>
            </w:r>
            <w:r>
              <w:rPr>
                <w:rFonts w:hint="eastAsia" w:ascii="宋体" w:hAnsi="宋体" w:eastAsia="宋体" w:cs="宋体"/>
                <w:color w:val="0000FF"/>
                <w:sz w:val="24"/>
                <w:szCs w:val="24"/>
                <w:lang w:val="en-US" w:eastAsia="zh-CN"/>
              </w:rPr>
              <w:t>04</w:t>
            </w:r>
            <w:r>
              <w:rPr>
                <w:rFonts w:hint="eastAsia" w:ascii="宋体" w:hAnsi="宋体" w:eastAsia="宋体" w:cs="宋体"/>
                <w:color w:val="0000FF"/>
                <w:sz w:val="24"/>
                <w:szCs w:val="24"/>
              </w:rPr>
              <w:t>月</w:t>
            </w:r>
            <w:r>
              <w:rPr>
                <w:rFonts w:hint="eastAsia" w:ascii="宋体" w:hAnsi="宋体" w:eastAsia="宋体" w:cs="宋体"/>
                <w:color w:val="0000FF"/>
                <w:sz w:val="24"/>
                <w:szCs w:val="24"/>
                <w:lang w:val="en-US" w:eastAsia="zh-CN"/>
              </w:rPr>
              <w:t>02</w:t>
            </w:r>
            <w:r>
              <w:rPr>
                <w:rFonts w:hint="eastAsia" w:ascii="宋体" w:hAnsi="宋体" w:eastAsia="宋体" w:cs="宋体"/>
                <w:color w:val="0000FF"/>
                <w:sz w:val="24"/>
                <w:szCs w:val="24"/>
              </w:rPr>
              <w:t>日</w:t>
            </w:r>
            <w:r>
              <w:rPr>
                <w:rFonts w:hint="eastAsia" w:ascii="宋体" w:hAnsi="宋体" w:eastAsia="宋体" w:cs="宋体"/>
                <w:color w:val="0000FF"/>
                <w:sz w:val="24"/>
                <w:szCs w:val="24"/>
                <w:lang w:val="en-US" w:eastAsia="zh-CN"/>
              </w:rPr>
              <w:t>14</w:t>
            </w:r>
            <w:r>
              <w:rPr>
                <w:rFonts w:hint="eastAsia" w:ascii="宋体" w:hAnsi="宋体" w:eastAsia="宋体" w:cs="宋体"/>
                <w:color w:val="0000FF"/>
                <w:sz w:val="24"/>
                <w:szCs w:val="24"/>
              </w:rPr>
              <w:t>点</w:t>
            </w:r>
            <w:r>
              <w:rPr>
                <w:rFonts w:hint="eastAsia" w:ascii="宋体" w:hAnsi="宋体" w:eastAsia="宋体" w:cs="宋体"/>
                <w:color w:val="0000FF"/>
                <w:sz w:val="24"/>
                <w:szCs w:val="24"/>
                <w:lang w:val="en-US" w:eastAsia="zh-CN"/>
              </w:rPr>
              <w:t>00</w:t>
            </w:r>
            <w:r>
              <w:rPr>
                <w:rFonts w:hint="eastAsia" w:ascii="宋体" w:hAnsi="宋体" w:eastAsia="宋体" w:cs="宋体"/>
                <w:color w:val="0000FF"/>
                <w:sz w:val="24"/>
                <w:szCs w:val="24"/>
              </w:rPr>
              <w:t>分</w:t>
            </w:r>
            <w:r>
              <w:rPr>
                <w:rFonts w:hint="eastAsia" w:ascii="宋体" w:hAnsi="宋体" w:eastAsia="宋体" w:cs="宋体"/>
                <w:color w:val="auto"/>
                <w:sz w:val="24"/>
                <w:szCs w:val="24"/>
              </w:rPr>
              <w:t>（北京时间）前递交投标文件。</w:t>
            </w:r>
          </w:p>
        </w:tc>
      </w:tr>
    </w:tbl>
    <w:p w14:paraId="2F60AF67">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一、项目基本情况</w:t>
      </w:r>
    </w:p>
    <w:p w14:paraId="5CBA90F3">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1.1项目编号：采购计划-[2025]-00036号-JCZXW2025-001</w:t>
      </w:r>
    </w:p>
    <w:p w14:paraId="15A11A3C">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1.2采购项目编号：采购计划-[2025]-00036号</w:t>
      </w:r>
    </w:p>
    <w:p w14:paraId="7E1518BB">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1.3项目名称：朝阳区视频监控系统（一二三期）光纤租赁项目</w:t>
      </w:r>
    </w:p>
    <w:p w14:paraId="5A4A475A">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eastAsia="zh-CN"/>
        </w:rPr>
        <w:t>项目预算（</w:t>
      </w:r>
      <w:r>
        <w:rPr>
          <w:rFonts w:hint="eastAsia" w:ascii="宋体" w:hAnsi="宋体" w:eastAsia="宋体" w:cs="宋体"/>
          <w:color w:val="auto"/>
          <w:sz w:val="24"/>
          <w:szCs w:val="24"/>
          <w:highlight w:val="none"/>
        </w:rPr>
        <w:t>最高限价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471.47万元</w:t>
      </w:r>
    </w:p>
    <w:p w14:paraId="673B2B73">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采购需求：朝阳区视频监控系统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一二三期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光纤租赁及维护费用，共租用926条20M光纤，20条100M光纤，1条1000M光纤</w:t>
      </w:r>
      <w:r>
        <w:rPr>
          <w:rFonts w:hint="eastAsia" w:ascii="宋体" w:hAnsi="宋体" w:eastAsia="宋体" w:cs="宋体"/>
          <w:color w:val="auto"/>
          <w:sz w:val="24"/>
          <w:highlight w:val="none"/>
        </w:rPr>
        <w:t>（具体内容详见采购文件）</w:t>
      </w:r>
    </w:p>
    <w:p w14:paraId="421364D5">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合同履行期限：合同签订之日起</w:t>
      </w:r>
      <w:r>
        <w:rPr>
          <w:rFonts w:hint="eastAsia" w:ascii="宋体" w:hAnsi="宋体" w:eastAsia="宋体" w:cs="宋体"/>
          <w:color w:val="auto"/>
          <w:sz w:val="24"/>
          <w:szCs w:val="24"/>
          <w:highlight w:val="none"/>
          <w:lang w:val="en-US" w:eastAsia="zh-CN"/>
        </w:rPr>
        <w:t>2年</w:t>
      </w:r>
      <w:r>
        <w:rPr>
          <w:rFonts w:hint="eastAsia" w:ascii="宋体" w:hAnsi="宋体" w:eastAsia="宋体" w:cs="宋体"/>
          <w:color w:val="auto"/>
          <w:sz w:val="24"/>
          <w:szCs w:val="24"/>
          <w:highlight w:val="none"/>
        </w:rPr>
        <w:t>内</w:t>
      </w:r>
      <w:r>
        <w:rPr>
          <w:rFonts w:hint="eastAsia" w:ascii="宋体" w:hAnsi="宋体" w:eastAsia="宋体" w:cs="宋体"/>
          <w:color w:val="auto"/>
          <w:sz w:val="24"/>
          <w:szCs w:val="24"/>
          <w:highlight w:val="none"/>
          <w:lang w:val="en-US" w:eastAsia="zh-CN"/>
        </w:rPr>
        <w:t>。</w:t>
      </w:r>
    </w:p>
    <w:p w14:paraId="3E3E96C2">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1.7质量标准：符合国家现行质量验收标准要求达到合格标准</w:t>
      </w:r>
    </w:p>
    <w:p w14:paraId="0CDBDD98">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本项目不接受联合体投标。</w:t>
      </w:r>
    </w:p>
    <w:p w14:paraId="236F918D">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textAlignment w:val="baseline"/>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二、申请人的资格要求</w:t>
      </w:r>
    </w:p>
    <w:p w14:paraId="35BFFEEF">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满足《中华人民共和国政府采购法》第二十二条规定</w:t>
      </w:r>
      <w:r>
        <w:rPr>
          <w:rFonts w:hint="eastAsia" w:ascii="宋体" w:hAnsi="宋体" w:eastAsia="宋体" w:cs="宋体"/>
          <w:color w:val="auto"/>
          <w:sz w:val="24"/>
          <w:szCs w:val="24"/>
          <w:highlight w:val="none"/>
          <w:lang w:eastAsia="zh-CN"/>
        </w:rPr>
        <w:t>。</w:t>
      </w:r>
    </w:p>
    <w:p w14:paraId="0815597A">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2.落实政府采购政策需满足的资格要求：本项目</w:t>
      </w:r>
      <w:r>
        <w:rPr>
          <w:rFonts w:hint="eastAsia" w:ascii="宋体" w:hAnsi="宋体" w:eastAsia="宋体" w:cs="宋体"/>
          <w:b/>
          <w:bCs/>
          <w:color w:val="auto"/>
          <w:sz w:val="24"/>
          <w:szCs w:val="24"/>
          <w:highlight w:val="none"/>
          <w:lang w:eastAsia="zh-CN"/>
        </w:rPr>
        <w:t>非</w:t>
      </w:r>
      <w:r>
        <w:rPr>
          <w:rFonts w:hint="eastAsia" w:ascii="宋体" w:hAnsi="宋体" w:eastAsia="宋体" w:cs="宋体"/>
          <w:color w:val="auto"/>
          <w:sz w:val="24"/>
          <w:szCs w:val="24"/>
          <w:highlight w:val="none"/>
        </w:rPr>
        <w:t>专门面向中小企业采购</w:t>
      </w:r>
      <w:r>
        <w:rPr>
          <w:rFonts w:hint="eastAsia" w:ascii="宋体" w:hAnsi="宋体" w:eastAsia="宋体" w:cs="宋体"/>
          <w:color w:val="auto"/>
          <w:sz w:val="24"/>
          <w:szCs w:val="24"/>
          <w:highlight w:val="none"/>
          <w:lang w:eastAsia="zh-CN"/>
        </w:rPr>
        <w:t>。</w:t>
      </w:r>
    </w:p>
    <w:p w14:paraId="7E3158BE">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14:paraId="31909AB2">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3.1投标申请人须在中华人民共和国境内注册，能够独立承担民事责任的法人、其他组织或者自然人，具有有效的营业执照，并在人员、设备、资金等方面具有相应的能力</w:t>
      </w:r>
      <w:r>
        <w:rPr>
          <w:rFonts w:hint="eastAsia" w:ascii="宋体" w:hAnsi="宋体" w:eastAsia="宋体" w:cs="宋体"/>
          <w:color w:val="auto"/>
          <w:sz w:val="24"/>
          <w:szCs w:val="24"/>
          <w:highlight w:val="none"/>
          <w:lang w:eastAsia="zh-CN"/>
        </w:rPr>
        <w:t>。</w:t>
      </w:r>
    </w:p>
    <w:p w14:paraId="3DC8ECCF">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3.2具有《中华人民共和国基础电信业务经营许可证》和《中华人民共和国增值电信业务经营许可证》</w:t>
      </w:r>
      <w:r>
        <w:rPr>
          <w:rFonts w:hint="eastAsia" w:ascii="宋体" w:hAnsi="宋体" w:eastAsia="宋体" w:cs="宋体"/>
          <w:color w:val="auto"/>
          <w:sz w:val="24"/>
          <w:szCs w:val="24"/>
          <w:highlight w:val="none"/>
          <w:lang w:eastAsia="zh-CN"/>
        </w:rPr>
        <w:t>。</w:t>
      </w:r>
    </w:p>
    <w:p w14:paraId="44150DC4">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3.3具有良好的商业信誉和健全的财务会计制度</w:t>
      </w:r>
      <w:r>
        <w:rPr>
          <w:rFonts w:hint="eastAsia" w:ascii="宋体" w:hAnsi="宋体" w:eastAsia="宋体" w:cs="宋体"/>
          <w:color w:val="auto"/>
          <w:sz w:val="24"/>
          <w:szCs w:val="24"/>
          <w:highlight w:val="none"/>
          <w:lang w:eastAsia="zh-CN"/>
        </w:rPr>
        <w:t>，供应商应按照《长春市财政局关于加强政府采购信用体系建设简化投标人资格条件有关事项的通知》（长财采购[2022]2066号）文件要求在投标文件中提交反映其财务状况、依法缴纳税收和社会保障资金情况的资格条件承诺函，并对资格条件承诺函有关内容的真实性、有效性、合法性负责。</w:t>
      </w:r>
    </w:p>
    <w:p w14:paraId="3D6F665A">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信誉要求：（1）拒绝列入政府取消投标资格记录期间的企业或个人投标。</w:t>
      </w:r>
    </w:p>
    <w:p w14:paraId="5FEAA806">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不得为“信用中国”网站（www.creditchina.gov.cn）中列入失信被执行人和重大税收违法失信主体的供应商，不得为中国政府采购网（www.ccgp.gov.cn）政府采购严重违法失信行为记录名单中被财政部门禁止参加政府采购活动的供应商（在处罚决定规定的时间和地域范围内）（详见财库【2016】125号文）。</w:t>
      </w:r>
    </w:p>
    <w:p w14:paraId="2CF0D300">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与采购人存在利害关系可能影响采购公正性的法人、其它组织或者个人，不得参加投标；单位负责人为同一人或者存在直接控股、管理关系的不同供应商，不得参加同一合同项下的政府采购活动。否则相关投标无效。</w:t>
      </w:r>
    </w:p>
    <w:p w14:paraId="36D280AD">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3.6除单一来源采购项目外，为采购项目提供整体设计、规范编制或者项目管理、监理、检测等服务的供应商，不再参加该采购项目的其他采购活动。</w:t>
      </w:r>
    </w:p>
    <w:p w14:paraId="642B384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三、获取招标文件</w:t>
      </w:r>
    </w:p>
    <w:p w14:paraId="2B2112E2">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3.1时间：</w:t>
      </w:r>
      <w:r>
        <w:rPr>
          <w:rFonts w:hint="eastAsia" w:ascii="宋体" w:hAnsi="宋体" w:eastAsia="宋体" w:cs="宋体"/>
          <w:color w:val="0000FF"/>
          <w:sz w:val="24"/>
          <w:szCs w:val="24"/>
        </w:rPr>
        <w:t>202</w:t>
      </w:r>
      <w:r>
        <w:rPr>
          <w:rFonts w:hint="eastAsia" w:ascii="宋体" w:hAnsi="宋体" w:eastAsia="宋体" w:cs="宋体"/>
          <w:color w:val="0000FF"/>
          <w:sz w:val="24"/>
          <w:szCs w:val="24"/>
          <w:lang w:val="en-US" w:eastAsia="zh-CN"/>
        </w:rPr>
        <w:t>5</w:t>
      </w:r>
      <w:r>
        <w:rPr>
          <w:rFonts w:hint="eastAsia" w:ascii="宋体" w:hAnsi="宋体" w:eastAsia="宋体" w:cs="宋体"/>
          <w:color w:val="0000FF"/>
          <w:sz w:val="24"/>
          <w:szCs w:val="24"/>
        </w:rPr>
        <w:t>年</w:t>
      </w:r>
      <w:r>
        <w:rPr>
          <w:rFonts w:hint="eastAsia" w:ascii="宋体" w:hAnsi="宋体" w:eastAsia="宋体" w:cs="宋体"/>
          <w:color w:val="0000FF"/>
          <w:sz w:val="24"/>
          <w:szCs w:val="24"/>
          <w:lang w:val="en-US" w:eastAsia="zh-CN"/>
        </w:rPr>
        <w:t>03</w:t>
      </w:r>
      <w:r>
        <w:rPr>
          <w:rFonts w:hint="eastAsia" w:ascii="宋体" w:hAnsi="宋体" w:eastAsia="宋体" w:cs="宋体"/>
          <w:color w:val="0000FF"/>
          <w:sz w:val="24"/>
          <w:szCs w:val="24"/>
        </w:rPr>
        <w:t>月</w:t>
      </w:r>
      <w:r>
        <w:rPr>
          <w:rFonts w:hint="eastAsia" w:ascii="宋体" w:hAnsi="宋体" w:eastAsia="宋体" w:cs="宋体"/>
          <w:color w:val="0000FF"/>
          <w:sz w:val="24"/>
          <w:szCs w:val="24"/>
          <w:lang w:val="en-US" w:eastAsia="zh-CN"/>
        </w:rPr>
        <w:t>12</w:t>
      </w:r>
      <w:r>
        <w:rPr>
          <w:rFonts w:hint="eastAsia" w:ascii="宋体" w:hAnsi="宋体" w:eastAsia="宋体" w:cs="宋体"/>
          <w:color w:val="0000FF"/>
          <w:sz w:val="24"/>
          <w:szCs w:val="24"/>
        </w:rPr>
        <w:t>日</w:t>
      </w:r>
      <w:r>
        <w:rPr>
          <w:rFonts w:hint="eastAsia" w:ascii="宋体" w:hAnsi="宋体" w:eastAsia="宋体" w:cs="宋体"/>
          <w:color w:val="auto"/>
          <w:sz w:val="24"/>
          <w:szCs w:val="24"/>
        </w:rPr>
        <w:t>至</w:t>
      </w:r>
      <w:r>
        <w:rPr>
          <w:rFonts w:hint="eastAsia" w:ascii="宋体" w:hAnsi="宋体" w:eastAsia="宋体" w:cs="宋体"/>
          <w:color w:val="0000FF"/>
          <w:sz w:val="24"/>
          <w:szCs w:val="24"/>
        </w:rPr>
        <w:t>202</w:t>
      </w:r>
      <w:r>
        <w:rPr>
          <w:rFonts w:hint="eastAsia" w:ascii="宋体" w:hAnsi="宋体" w:eastAsia="宋体" w:cs="宋体"/>
          <w:color w:val="0000FF"/>
          <w:sz w:val="24"/>
          <w:szCs w:val="24"/>
          <w:lang w:val="en-US" w:eastAsia="zh-CN"/>
        </w:rPr>
        <w:t>5</w:t>
      </w:r>
      <w:r>
        <w:rPr>
          <w:rFonts w:hint="eastAsia" w:ascii="宋体" w:hAnsi="宋体" w:eastAsia="宋体" w:cs="宋体"/>
          <w:color w:val="0000FF"/>
          <w:sz w:val="24"/>
          <w:szCs w:val="24"/>
        </w:rPr>
        <w:t>年</w:t>
      </w:r>
      <w:r>
        <w:rPr>
          <w:rFonts w:hint="eastAsia" w:ascii="宋体" w:hAnsi="宋体" w:eastAsia="宋体" w:cs="宋体"/>
          <w:color w:val="0000FF"/>
          <w:sz w:val="24"/>
          <w:szCs w:val="24"/>
          <w:lang w:val="en-US" w:eastAsia="zh-CN"/>
        </w:rPr>
        <w:t>03</w:t>
      </w:r>
      <w:r>
        <w:rPr>
          <w:rFonts w:hint="eastAsia" w:ascii="宋体" w:hAnsi="宋体" w:eastAsia="宋体" w:cs="宋体"/>
          <w:color w:val="0000FF"/>
          <w:sz w:val="24"/>
          <w:szCs w:val="24"/>
        </w:rPr>
        <w:t>月</w:t>
      </w:r>
      <w:r>
        <w:rPr>
          <w:rFonts w:hint="eastAsia" w:ascii="宋体" w:hAnsi="宋体" w:eastAsia="宋体" w:cs="宋体"/>
          <w:color w:val="0000FF"/>
          <w:sz w:val="24"/>
          <w:szCs w:val="24"/>
          <w:lang w:val="en-US" w:eastAsia="zh-CN"/>
        </w:rPr>
        <w:t>19</w:t>
      </w:r>
      <w:r>
        <w:rPr>
          <w:rFonts w:hint="eastAsia" w:ascii="宋体" w:hAnsi="宋体" w:eastAsia="宋体" w:cs="宋体"/>
          <w:color w:val="0000FF"/>
          <w:sz w:val="24"/>
          <w:szCs w:val="24"/>
        </w:rPr>
        <w:t>日</w:t>
      </w:r>
      <w:r>
        <w:rPr>
          <w:rFonts w:hint="eastAsia" w:ascii="宋体" w:hAnsi="宋体" w:eastAsia="宋体" w:cs="宋体"/>
          <w:color w:val="auto"/>
          <w:sz w:val="24"/>
          <w:szCs w:val="24"/>
        </w:rPr>
        <w:t>（每天08时30分至16时00分止）</w:t>
      </w:r>
    </w:p>
    <w:p w14:paraId="329F2BCC">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3.2地点：政采云平台（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"https://www.zcygov.cn/"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https://www.zcygov.cn/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p>
    <w:p w14:paraId="22AE40A3">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3.3方式：网上免费获取</w:t>
      </w:r>
      <w:r>
        <w:rPr>
          <w:rFonts w:hint="eastAsia" w:ascii="宋体" w:hAnsi="宋体" w:eastAsia="宋体" w:cs="宋体"/>
          <w:color w:val="auto"/>
          <w:sz w:val="24"/>
          <w:szCs w:val="24"/>
          <w:lang w:eastAsia="zh-CN"/>
        </w:rPr>
        <w:t>；</w:t>
      </w:r>
    </w:p>
    <w:p w14:paraId="017CC67A">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潜在供应商自行登录政府采购云平台（网址：http://www.zcygov.cn）注册（https://middle.zcygov.cn/v-settle-front/registry）并下载</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文件（操作路径：登录“政采云”平台-项目采购-获取</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文件-找到本项目-点击“申请获取</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文件”），电子</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文件制作需要基于“政采云”平台获取的</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文件采购需求编制，其他途径获取的</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文件开标时一律按无效投标处理。</w:t>
      </w:r>
    </w:p>
    <w:p w14:paraId="6582AC7D">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3.4售价：0元。</w:t>
      </w:r>
    </w:p>
    <w:p w14:paraId="2268986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四、提交投标文件截止时间、开标时间和地点</w:t>
      </w:r>
    </w:p>
    <w:p w14:paraId="370EE6A0">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4.1提交投标文件截止时间、开标时间：</w:t>
      </w:r>
      <w:r>
        <w:rPr>
          <w:rFonts w:hint="eastAsia" w:ascii="宋体" w:hAnsi="宋体" w:eastAsia="宋体" w:cs="宋体"/>
          <w:color w:val="0000FF"/>
          <w:sz w:val="24"/>
          <w:szCs w:val="24"/>
        </w:rPr>
        <w:t>202</w:t>
      </w:r>
      <w:r>
        <w:rPr>
          <w:rFonts w:hint="eastAsia" w:ascii="宋体" w:hAnsi="宋体" w:eastAsia="宋体" w:cs="宋体"/>
          <w:color w:val="0000FF"/>
          <w:sz w:val="24"/>
          <w:szCs w:val="24"/>
          <w:lang w:val="en-US" w:eastAsia="zh-CN"/>
        </w:rPr>
        <w:t>5</w:t>
      </w:r>
      <w:r>
        <w:rPr>
          <w:rFonts w:hint="eastAsia" w:ascii="宋体" w:hAnsi="宋体" w:eastAsia="宋体" w:cs="宋体"/>
          <w:color w:val="0000FF"/>
          <w:sz w:val="24"/>
          <w:szCs w:val="24"/>
        </w:rPr>
        <w:t>年</w:t>
      </w:r>
      <w:r>
        <w:rPr>
          <w:rFonts w:hint="eastAsia" w:ascii="宋体" w:hAnsi="宋体" w:eastAsia="宋体" w:cs="宋体"/>
          <w:color w:val="0000FF"/>
          <w:sz w:val="24"/>
          <w:szCs w:val="24"/>
          <w:lang w:val="en-US" w:eastAsia="zh-CN"/>
        </w:rPr>
        <w:t>04</w:t>
      </w:r>
      <w:r>
        <w:rPr>
          <w:rFonts w:hint="eastAsia" w:ascii="宋体" w:hAnsi="宋体" w:eastAsia="宋体" w:cs="宋体"/>
          <w:color w:val="0000FF"/>
          <w:sz w:val="24"/>
          <w:szCs w:val="24"/>
        </w:rPr>
        <w:t>月</w:t>
      </w:r>
      <w:r>
        <w:rPr>
          <w:rFonts w:hint="eastAsia" w:ascii="宋体" w:hAnsi="宋体" w:eastAsia="宋体" w:cs="宋体"/>
          <w:color w:val="0000FF"/>
          <w:sz w:val="24"/>
          <w:szCs w:val="24"/>
          <w:lang w:val="en-US" w:eastAsia="zh-CN"/>
        </w:rPr>
        <w:t>02</w:t>
      </w:r>
      <w:r>
        <w:rPr>
          <w:rFonts w:hint="eastAsia" w:ascii="宋体" w:hAnsi="宋体" w:eastAsia="宋体" w:cs="宋体"/>
          <w:color w:val="0000FF"/>
          <w:sz w:val="24"/>
          <w:szCs w:val="24"/>
        </w:rPr>
        <w:t>日</w:t>
      </w:r>
      <w:r>
        <w:rPr>
          <w:rFonts w:hint="eastAsia" w:ascii="宋体" w:hAnsi="宋体" w:eastAsia="宋体" w:cs="宋体"/>
          <w:color w:val="0000FF"/>
          <w:sz w:val="24"/>
          <w:szCs w:val="24"/>
          <w:lang w:val="en-US" w:eastAsia="zh-CN"/>
        </w:rPr>
        <w:t>14</w:t>
      </w:r>
      <w:r>
        <w:rPr>
          <w:rFonts w:hint="eastAsia" w:ascii="宋体" w:hAnsi="宋体" w:eastAsia="宋体" w:cs="宋体"/>
          <w:color w:val="0000FF"/>
          <w:sz w:val="24"/>
          <w:szCs w:val="24"/>
        </w:rPr>
        <w:t>点</w:t>
      </w:r>
      <w:r>
        <w:rPr>
          <w:rFonts w:hint="eastAsia" w:ascii="宋体" w:hAnsi="宋体" w:eastAsia="宋体" w:cs="宋体"/>
          <w:color w:val="0000FF"/>
          <w:sz w:val="24"/>
          <w:szCs w:val="24"/>
          <w:lang w:val="en-US" w:eastAsia="zh-CN"/>
        </w:rPr>
        <w:t>00</w:t>
      </w:r>
      <w:r>
        <w:rPr>
          <w:rFonts w:hint="eastAsia" w:ascii="宋体" w:hAnsi="宋体" w:eastAsia="宋体" w:cs="宋体"/>
          <w:color w:val="0000FF"/>
          <w:sz w:val="24"/>
          <w:szCs w:val="24"/>
        </w:rPr>
        <w:t>分</w:t>
      </w:r>
      <w:r>
        <w:rPr>
          <w:rFonts w:hint="eastAsia" w:ascii="宋体" w:hAnsi="宋体" w:eastAsia="宋体" w:cs="宋体"/>
          <w:color w:val="auto"/>
          <w:sz w:val="24"/>
          <w:szCs w:val="24"/>
        </w:rPr>
        <w:t>（北京时间）</w:t>
      </w:r>
    </w:p>
    <w:p w14:paraId="0EEE1128">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4.2地点：政采云平台（https://www.zcygov.cn/）。</w:t>
      </w:r>
    </w:p>
    <w:p w14:paraId="2A80BD88">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4.3投标文件的提交方式：本项目为全流程电子化项目，通过政采云平台（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"https://www.zcygov.cn/"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https://www.zcygov.cn/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实行在线电子投标，投标人应先安装“政采云投标客户端”（请自行前往政采云平台进行下载），并按照本项目招标文件和政采云平台的要求编制、加密后在提交投标文件截止时间、开标时间前通过网络上传至政采云平台，投标人在政采云平台提交电子投标文件时，请填写参加开标活动经办人联系方式；在制作投标文件前，投标人需申领CA，领取CA后与政采云平台的账号进行绑定，使用CA对投标文件进行签章，否则，有可能导致无法在线编制投标文件和参与投标，其后果由投标人自行承担。</w:t>
      </w:r>
    </w:p>
    <w:p w14:paraId="75A3DD0A">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rPr>
        <w:t>4.4开标地点：长春市高新区鸿达街248号吉林日报副楼4楼吉利招</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第</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开标室）导航至吉林日报社东门，从此门进入后向右前方（吉利招标识方向）行驶</w:t>
      </w:r>
      <w:r>
        <w:rPr>
          <w:rFonts w:hint="eastAsia" w:ascii="宋体" w:hAnsi="宋体" w:eastAsia="宋体" w:cs="宋体"/>
          <w:color w:val="auto"/>
          <w:sz w:val="24"/>
          <w:szCs w:val="24"/>
          <w:highlight w:val="none"/>
        </w:rPr>
        <w:t>。</w:t>
      </w:r>
    </w:p>
    <w:p w14:paraId="7835C80E">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五、公告期限</w:t>
      </w:r>
    </w:p>
    <w:p w14:paraId="3E7D9BC2">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自本公告发布之日起5个工作日。</w:t>
      </w:r>
    </w:p>
    <w:p w14:paraId="1A323520">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六、其他补充事宜</w:t>
      </w:r>
    </w:p>
    <w:p w14:paraId="41399805">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6.1</w:t>
      </w:r>
      <w:r>
        <w:rPr>
          <w:rFonts w:hint="eastAsia" w:ascii="宋体" w:hAnsi="宋体" w:eastAsia="宋体" w:cs="宋体"/>
          <w:color w:val="auto"/>
          <w:sz w:val="24"/>
          <w:szCs w:val="24"/>
        </w:rPr>
        <w:t>公</w:t>
      </w:r>
      <w:r>
        <w:rPr>
          <w:rFonts w:hint="eastAsia" w:ascii="宋体" w:hAnsi="宋体" w:eastAsia="宋体" w:cs="宋体"/>
          <w:color w:val="auto"/>
          <w:sz w:val="24"/>
          <w:szCs w:val="24"/>
          <w:lang w:eastAsia="zh-CN"/>
        </w:rPr>
        <w:t>告</w:t>
      </w:r>
      <w:r>
        <w:rPr>
          <w:rFonts w:hint="eastAsia" w:ascii="宋体" w:hAnsi="宋体" w:eastAsia="宋体" w:cs="宋体"/>
          <w:color w:val="auto"/>
          <w:sz w:val="24"/>
          <w:szCs w:val="24"/>
        </w:rPr>
        <w:t>媒介</w:t>
      </w:r>
      <w:r>
        <w:rPr>
          <w:rFonts w:hint="eastAsia" w:ascii="宋体" w:hAnsi="宋体" w:eastAsia="宋体" w:cs="宋体"/>
          <w:color w:val="auto"/>
          <w:sz w:val="24"/>
          <w:szCs w:val="24"/>
          <w:lang w:eastAsia="zh-CN"/>
        </w:rPr>
        <w:t>：本次招标公告同时在中国政府采购网、“政采云”平台（http://www.zcygov.cn）（同步推送到吉林省政府采购网、长春市公共资源交易网、吉林省公共资源交易公共服务平台）上发布。</w:t>
      </w:r>
    </w:p>
    <w:p w14:paraId="381A09FC">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6.2</w:t>
      </w:r>
      <w:r>
        <w:rPr>
          <w:rFonts w:hint="eastAsia" w:ascii="宋体" w:hAnsi="宋体" w:eastAsia="宋体" w:cs="宋体"/>
          <w:color w:val="auto"/>
          <w:sz w:val="24"/>
          <w:szCs w:val="24"/>
        </w:rPr>
        <w:t>采购项目需要落实的政府采购政策：《政府采购促进中小企业发展管理办法》（财库〔2020〕46号）、《关于进一步加大政府采购支持中小企业力度的通知》（财库〔2022〕19号）、《关于政府采购支持监狱企业发展有关问题的通知》(财库〔2014〕68号)、《关于促进残疾人就业政府采购政策的通知》(财库〔2017〕141号)、《关于调整优化节能产品、环境标志产品政府采购执行机制的通知》(财库〔2019〕9号)等</w:t>
      </w:r>
      <w:r>
        <w:rPr>
          <w:rFonts w:hint="eastAsia" w:ascii="宋体" w:hAnsi="宋体" w:eastAsia="宋体" w:cs="宋体"/>
          <w:color w:val="auto"/>
          <w:sz w:val="24"/>
          <w:szCs w:val="24"/>
          <w:lang w:eastAsia="zh-CN"/>
        </w:rPr>
        <w:t>最新政策</w:t>
      </w:r>
      <w:r>
        <w:rPr>
          <w:rFonts w:hint="eastAsia" w:ascii="宋体" w:hAnsi="宋体" w:eastAsia="宋体" w:cs="宋体"/>
          <w:color w:val="auto"/>
          <w:sz w:val="24"/>
          <w:szCs w:val="24"/>
        </w:rPr>
        <w:t>。</w:t>
      </w:r>
    </w:p>
    <w:p w14:paraId="7762F08E">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3政采云平台相关流程：</w:t>
      </w:r>
    </w:p>
    <w:p w14:paraId="237DC9D6">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（1）投标人在电子化平台参与政府采购项目前，应在电子化平台完成信息注册（如已注册长春市政府采购电子商城则无需重复注册），注册链接：</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"https://middle.zcygov.cn/v-settle-front/registry"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https://middle.zcygov.cn/v-settle-front/registry</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，政采云平台客服热线：95763；</w:t>
      </w:r>
    </w:p>
    <w:p w14:paraId="282AA84B">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（2）政采云投标客户端及CA驱动下载地址：</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"https://customer.zcygov.cn/CA-driver-download?utm=web-login-front.52cebfa2.0"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https://customer.zcygov.cn/CA-driver-download?utm=web-login-front.52cebfa2.0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.0.04df4040034511edaac705fda12edb43；</w:t>
      </w:r>
    </w:p>
    <w:p w14:paraId="29EDC780">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（3）CA数字证书申请流程链接：</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"http://www.anxinca.com/kehu/zcy/kh-zcy-zsshenqing.html"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http://www.anxinca.com/kehu/zcy/kh-zcy-zsshenqing.html</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，未进行政采云注册并办理数字证书（CA认证）的投标人将无法参与本项目政府采购活动，潜在投标人应当在投标 截止时间前，完成政采云平台上的CA数字证书办理及投标文件的提交。投标人须自行考虑办理时间，由于投标人自身原因导致无法完成办理的，后果自负；</w:t>
      </w:r>
    </w:p>
    <w:p w14:paraId="634E3735">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（4）为确保网上操作合法、有效和安全，请投标人确保在电子响应过程中能够对相 关数据电文进行加密和使用电子签章，妥善保管CA数字证书并使用有效的CA数字证书参与整个采购活动；</w:t>
      </w:r>
    </w:p>
    <w:p w14:paraId="41CCEF99">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（5）若对项目采购电子交易系统操作有疑问，可登录政采云平台，点击右侧咨询小采获取采小蜜智能服务管家帮助或点击右侧帮助文档查看投标人指南或拨打政采云服务热线95763获取热线服务帮助。</w:t>
      </w:r>
    </w:p>
    <w:p w14:paraId="0B6D8A3D">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七、对本次招标提出询问，请按以下方式联系。</w:t>
      </w:r>
    </w:p>
    <w:p w14:paraId="49B5B290">
      <w:pPr>
        <w:widowControl/>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采购人信息</w:t>
      </w:r>
    </w:p>
    <w:p w14:paraId="20EF7839">
      <w:pPr>
        <w:spacing w:line="360" w:lineRule="auto"/>
        <w:ind w:firstLine="240" w:firstLineChars="100"/>
        <w:jc w:val="left"/>
        <w:rPr>
          <w:rFonts w:hint="eastAsia" w:ascii="宋体" w:hAnsi="宋体" w:eastAsia="宋体" w:cs="宋体"/>
          <w:sz w:val="24"/>
          <w:highlight w:val="none"/>
        </w:rPr>
      </w:pPr>
      <w:r>
        <w:rPr>
          <w:rFonts w:hint="eastAsia" w:ascii="宋体" w:hAnsi="宋体" w:eastAsia="宋体" w:cs="宋体"/>
          <w:sz w:val="24"/>
          <w:highlight w:val="none"/>
        </w:rPr>
        <w:t>名称：长春市朝阳区政务服务和数字化建设管理局（长春市朝阳区营商环境建设局）</w:t>
      </w:r>
    </w:p>
    <w:p w14:paraId="1543BA7D">
      <w:pPr>
        <w:spacing w:line="360" w:lineRule="auto"/>
        <w:ind w:firstLine="240" w:firstLineChars="100"/>
        <w:jc w:val="left"/>
        <w:rPr>
          <w:rFonts w:hint="eastAsia" w:ascii="宋体" w:hAnsi="宋体" w:eastAsia="宋体" w:cs="宋体"/>
          <w:sz w:val="24"/>
          <w:highlight w:val="none"/>
        </w:rPr>
      </w:pPr>
      <w:r>
        <w:rPr>
          <w:rFonts w:hint="eastAsia" w:ascii="宋体" w:hAnsi="宋体" w:eastAsia="宋体" w:cs="宋体"/>
          <w:sz w:val="24"/>
          <w:highlight w:val="none"/>
        </w:rPr>
        <w:t>地址：长春市朝阳区前进大街1855号</w:t>
      </w:r>
    </w:p>
    <w:p w14:paraId="6E223706">
      <w:pPr>
        <w:spacing w:line="360" w:lineRule="auto"/>
        <w:ind w:firstLine="240" w:firstLineChars="100"/>
        <w:jc w:val="left"/>
        <w:rPr>
          <w:rFonts w:hint="eastAsia" w:ascii="宋体" w:hAnsi="宋体" w:eastAsia="宋体" w:cs="宋体"/>
          <w:sz w:val="24"/>
          <w:highlight w:val="none"/>
        </w:rPr>
      </w:pPr>
      <w:r>
        <w:rPr>
          <w:rFonts w:hint="eastAsia" w:ascii="宋体" w:hAnsi="宋体" w:eastAsia="宋体" w:cs="宋体"/>
          <w:sz w:val="24"/>
          <w:highlight w:val="none"/>
        </w:rPr>
        <w:t>联系方式：</w:t>
      </w:r>
      <w:bookmarkStart w:id="25" w:name="_Toc28359009"/>
      <w:bookmarkStart w:id="26" w:name="_Toc28359086"/>
      <w:r>
        <w:rPr>
          <w:rFonts w:hint="eastAsia" w:ascii="宋体" w:hAnsi="宋体" w:eastAsia="宋体" w:cs="宋体"/>
          <w:sz w:val="24"/>
          <w:highlight w:val="none"/>
        </w:rPr>
        <w:t>0431-81308123</w:t>
      </w:r>
    </w:p>
    <w:p w14:paraId="044B6B42">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采购代理机构信息</w:t>
      </w:r>
      <w:bookmarkEnd w:id="25"/>
      <w:bookmarkEnd w:id="26"/>
    </w:p>
    <w:p w14:paraId="6E938E8C">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名称：吉林省吉诚工程咨询有限公司</w:t>
      </w:r>
    </w:p>
    <w:p w14:paraId="204B6FEB">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地址：长春市绿园区吾悦广场B座15楼1536室</w:t>
      </w:r>
    </w:p>
    <w:p w14:paraId="7B1BDEA7">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联系方式：</w:t>
      </w:r>
      <w:bookmarkStart w:id="27" w:name="_Toc28359087"/>
      <w:bookmarkStart w:id="28" w:name="_Toc28359010"/>
      <w:r>
        <w:rPr>
          <w:rFonts w:hint="eastAsia" w:ascii="宋体" w:hAnsi="宋体" w:eastAsia="宋体" w:cs="宋体"/>
          <w:sz w:val="24"/>
          <w:highlight w:val="none"/>
          <w:lang w:val="en-US" w:eastAsia="zh-CN"/>
        </w:rPr>
        <w:t>0431-81336999</w:t>
      </w:r>
    </w:p>
    <w:p w14:paraId="300426BE">
      <w:pPr>
        <w:spacing w:line="360" w:lineRule="auto"/>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项目联系方式</w:t>
      </w:r>
      <w:bookmarkEnd w:id="27"/>
      <w:bookmarkEnd w:id="28"/>
    </w:p>
    <w:p w14:paraId="1A540BFD">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项目联系人：曹帅</w:t>
      </w:r>
    </w:p>
    <w:p w14:paraId="3D9BFDD5">
      <w:pPr>
        <w:spacing w:line="360" w:lineRule="auto"/>
        <w:ind w:firstLine="240" w:firstLineChars="100"/>
        <w:rPr>
          <w:rFonts w:hint="default" w:ascii="宋体" w:hAnsi="宋体" w:eastAsia="宋体" w:cs="宋体"/>
          <w:sz w:val="24"/>
          <w:highlight w:val="none"/>
          <w:lang w:val="en-US" w:eastAsia="zh-CN"/>
        </w:rPr>
      </w:pPr>
      <w:r>
        <w:rPr>
          <w:rFonts w:hint="eastAsia" w:ascii="宋体" w:hAnsi="宋体" w:eastAsia="宋体" w:cs="宋体"/>
          <w:sz w:val="24"/>
          <w:highlight w:val="none"/>
        </w:rPr>
        <w:t>电话：</w:t>
      </w:r>
      <w:r>
        <w:rPr>
          <w:rFonts w:hint="eastAsia" w:ascii="宋体" w:hAnsi="宋体" w:eastAsia="宋体" w:cs="宋体"/>
          <w:sz w:val="24"/>
          <w:highlight w:val="none"/>
          <w:lang w:val="en-US" w:eastAsia="zh-CN"/>
        </w:rPr>
        <w:t>0431-81336999</w:t>
      </w:r>
    </w:p>
    <w:p w14:paraId="0355E203">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监督部门：长春市朝阳区财政局政府采购管理办公室</w:t>
      </w:r>
    </w:p>
    <w:p w14:paraId="18674405">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电话：0431-89230402</w:t>
      </w:r>
    </w:p>
    <w:p w14:paraId="3F49C6A2">
      <w:pPr>
        <w:rPr>
          <w:rFonts w:hint="eastAsia" w:ascii="宋体" w:hAnsi="宋体" w:eastAsia="宋体" w:cs="宋体"/>
          <w:sz w:val="24"/>
          <w:highlight w:val="none"/>
        </w:rPr>
      </w:pPr>
      <w:r>
        <w:rPr>
          <w:rFonts w:hint="eastAsia" w:ascii="宋体" w:hAnsi="宋体" w:eastAsia="宋体" w:cs="宋体"/>
          <w:sz w:val="24"/>
          <w:highlight w:val="none"/>
        </w:rPr>
        <w:br w:type="page"/>
      </w:r>
    </w:p>
    <w:p w14:paraId="716A58CE">
      <w:pPr>
        <w:pStyle w:val="2"/>
        <w:keepNext/>
        <w:keepLines/>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color w:val="auto"/>
          <w:sz w:val="32"/>
          <w:szCs w:val="22"/>
        </w:rPr>
      </w:pPr>
      <w:bookmarkStart w:id="29" w:name="_Toc4106"/>
      <w:bookmarkStart w:id="30" w:name="_Toc23171"/>
      <w:r>
        <w:rPr>
          <w:rFonts w:hint="eastAsia"/>
          <w:color w:val="auto"/>
          <w:sz w:val="32"/>
          <w:szCs w:val="22"/>
        </w:rPr>
        <w:t>第二章</w:t>
      </w:r>
      <w:r>
        <w:rPr>
          <w:rFonts w:hint="eastAsia"/>
          <w:color w:val="auto"/>
          <w:sz w:val="32"/>
          <w:szCs w:val="22"/>
          <w:lang w:val="en-US" w:eastAsia="zh-CN"/>
        </w:rPr>
        <w:t xml:space="preserve">  </w:t>
      </w:r>
      <w:r>
        <w:rPr>
          <w:rFonts w:hint="eastAsia"/>
          <w:color w:val="auto"/>
          <w:sz w:val="32"/>
          <w:szCs w:val="22"/>
        </w:rPr>
        <w:t xml:space="preserve"> 投标人须知</w:t>
      </w:r>
      <w:bookmarkEnd w:id="29"/>
      <w:bookmarkEnd w:id="30"/>
    </w:p>
    <w:p w14:paraId="295A2AB1">
      <w:pPr>
        <w:spacing w:before="254" w:line="221" w:lineRule="auto"/>
        <w:ind w:left="4050"/>
        <w:outlineLvl w:val="9"/>
        <w:rPr>
          <w:rFonts w:hint="eastAsia" w:ascii="宋体" w:hAnsi="宋体" w:eastAsia="宋体" w:cs="宋体"/>
          <w:color w:val="auto"/>
          <w:sz w:val="24"/>
          <w:szCs w:val="24"/>
        </w:rPr>
      </w:pPr>
      <w:bookmarkStart w:id="31" w:name="_Toc15682"/>
      <w:r>
        <w:rPr>
          <w:rFonts w:hint="eastAsia" w:ascii="宋体" w:hAnsi="宋体" w:eastAsia="宋体" w:cs="宋体"/>
          <w:color w:val="auto"/>
          <w:spacing w:val="-10"/>
          <w:sz w:val="24"/>
          <w:szCs w:val="24"/>
          <w14:textOutline w14:w="4358" w14:cap="sq" w14:cmpd="sng">
            <w14:solidFill>
              <w14:srgbClr w14:val="000000"/>
            </w14:solidFill>
            <w14:prstDash w14:val="solid"/>
            <w14:bevel/>
          </w14:textOutline>
        </w:rPr>
        <w:t>一</w:t>
      </w:r>
      <w:r>
        <w:rPr>
          <w:rFonts w:hint="eastAsia" w:ascii="宋体" w:hAnsi="宋体" w:eastAsia="宋体" w:cs="宋体"/>
          <w:color w:val="auto"/>
          <w:spacing w:val="-10"/>
          <w:sz w:val="24"/>
          <w:szCs w:val="24"/>
          <w:lang w:eastAsia="zh-CN"/>
          <w14:textOutline w14:w="4358" w14:cap="sq" w14:cmpd="sng">
            <w14:solidFill>
              <w14:srgbClr w14:val="000000"/>
            </w14:solidFill>
            <w14:prstDash w14:val="solid"/>
            <w14:bevel/>
          </w14:textOutline>
        </w:rPr>
        <w:t>、</w:t>
      </w:r>
      <w:r>
        <w:rPr>
          <w:rFonts w:hint="eastAsia" w:ascii="宋体" w:hAnsi="宋体" w:eastAsia="宋体" w:cs="宋体"/>
          <w:color w:val="auto"/>
          <w:spacing w:val="-10"/>
          <w:sz w:val="24"/>
          <w:szCs w:val="24"/>
          <w14:textOutline w14:w="4358" w14:cap="sq" w14:cmpd="sng">
            <w14:solidFill>
              <w14:srgbClr w14:val="000000"/>
            </w14:solidFill>
            <w14:prstDash w14:val="solid"/>
            <w14:bevel/>
          </w14:textOutline>
        </w:rPr>
        <w:t>总</w:t>
      </w:r>
      <w:r>
        <w:rPr>
          <w:rFonts w:hint="eastAsia" w:ascii="宋体" w:hAnsi="宋体" w:eastAsia="宋体" w:cs="宋体"/>
          <w:color w:val="auto"/>
          <w:spacing w:val="7"/>
          <w:sz w:val="24"/>
          <w:szCs w:val="24"/>
        </w:rPr>
        <w:t xml:space="preserve">  </w:t>
      </w:r>
      <w:r>
        <w:rPr>
          <w:rFonts w:hint="eastAsia" w:ascii="宋体" w:hAnsi="宋体" w:eastAsia="宋体" w:cs="宋体"/>
          <w:color w:val="auto"/>
          <w:spacing w:val="-10"/>
          <w:sz w:val="24"/>
          <w:szCs w:val="24"/>
          <w14:textOutline w14:w="4358" w14:cap="sq" w14:cmpd="sng">
            <w14:solidFill>
              <w14:srgbClr w14:val="000000"/>
            </w14:solidFill>
            <w14:prstDash w14:val="solid"/>
            <w14:bevel/>
          </w14:textOutline>
        </w:rPr>
        <w:t>则</w:t>
      </w:r>
      <w:bookmarkEnd w:id="31"/>
    </w:p>
    <w:p w14:paraId="2EB3A073">
      <w:pPr>
        <w:spacing w:before="181" w:line="220" w:lineRule="auto"/>
        <w:outlineLvl w:val="9"/>
        <w:rPr>
          <w:rFonts w:hint="eastAsia" w:ascii="宋体" w:hAnsi="宋体" w:eastAsia="宋体" w:cs="宋体"/>
          <w:color w:val="auto"/>
          <w:sz w:val="24"/>
          <w:szCs w:val="24"/>
          <w:highlight w:val="none"/>
        </w:rPr>
      </w:pPr>
      <w:bookmarkStart w:id="32" w:name="_Toc20563"/>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1、资金来源：财政资金</w:t>
      </w:r>
      <w:r>
        <w:rPr>
          <w:rFonts w:hint="eastAsia" w:ascii="宋体" w:hAnsi="宋体" w:eastAsia="宋体" w:cs="宋体"/>
          <w:b/>
          <w:bCs/>
          <w:color w:val="auto"/>
          <w:spacing w:val="-2"/>
          <w:sz w:val="24"/>
          <w:szCs w:val="24"/>
          <w:highlight w:val="none"/>
          <w14:textOutline w14:w="4358" w14:cap="sq" w14:cmpd="sng">
            <w14:solidFill>
              <w14:srgbClr w14:val="000000"/>
            </w14:solidFill>
            <w14:prstDash w14:val="solid"/>
            <w14:bevel/>
          </w14:textOutline>
        </w:rPr>
        <w:t>。</w:t>
      </w:r>
      <w:bookmarkEnd w:id="32"/>
    </w:p>
    <w:p w14:paraId="06FEBDC7">
      <w:pPr>
        <w:spacing w:before="179" w:line="219" w:lineRule="auto"/>
        <w:outlineLvl w:val="9"/>
        <w:rPr>
          <w:rFonts w:hint="eastAsia" w:ascii="宋体" w:hAnsi="宋体" w:eastAsia="宋体" w:cs="宋体"/>
          <w:color w:val="auto"/>
          <w:sz w:val="24"/>
          <w:szCs w:val="24"/>
        </w:rPr>
      </w:pPr>
      <w:bookmarkStart w:id="33" w:name="_Toc11362"/>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2、采购人、采购代理机构、投标人</w:t>
      </w:r>
      <w:bookmarkEnd w:id="33"/>
    </w:p>
    <w:p w14:paraId="4D1217E6">
      <w:pPr>
        <w:spacing w:before="181" w:line="219" w:lineRule="auto"/>
        <w:ind w:firstLine="236" w:firstLineChars="10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2.1“采购人”是指：长春市朝阳区政务服务和数字化建设管理局（长春市朝阳区营商环境建设局）</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rPr>
        <w:t>项目采购单位，合同的需方。</w:t>
      </w:r>
    </w:p>
    <w:p w14:paraId="0D0DD404">
      <w:pPr>
        <w:spacing w:before="183" w:line="219" w:lineRule="auto"/>
        <w:ind w:firstLine="236" w:firstLineChars="10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2.2“采购代理机构”是指：吉林省吉诚工程咨询有限公司。</w:t>
      </w:r>
    </w:p>
    <w:p w14:paraId="4169D42D">
      <w:pPr>
        <w:tabs>
          <w:tab w:val="left" w:pos="201"/>
        </w:tabs>
        <w:spacing w:before="183" w:line="219" w:lineRule="auto"/>
        <w:ind w:firstLine="234" w:firstLineChars="100"/>
        <w:outlineLvl w:val="9"/>
        <w:rPr>
          <w:rFonts w:hint="eastAsia" w:ascii="宋体" w:hAnsi="宋体" w:eastAsia="宋体" w:cs="宋体"/>
          <w:color w:val="auto"/>
          <w:sz w:val="24"/>
          <w:szCs w:val="24"/>
        </w:rPr>
      </w:pPr>
      <w:bookmarkStart w:id="34" w:name="_Toc26658"/>
      <w:r>
        <w:rPr>
          <w:rFonts w:hint="eastAsia" w:ascii="宋体" w:hAnsi="宋体" w:eastAsia="宋体" w:cs="宋体"/>
          <w:color w:val="auto"/>
          <w:spacing w:val="-3"/>
          <w:sz w:val="24"/>
          <w:szCs w:val="24"/>
        </w:rPr>
        <w:t>2.3“投标人（也称“供应商”、</w:t>
      </w:r>
      <w:r>
        <w:rPr>
          <w:rFonts w:hint="eastAsia" w:ascii="宋体" w:hAnsi="宋体" w:eastAsia="宋体" w:cs="宋体"/>
          <w:color w:val="auto"/>
          <w:spacing w:val="-3"/>
          <w:sz w:val="24"/>
          <w:szCs w:val="24"/>
          <w:lang w:eastAsia="zh-CN"/>
        </w:rPr>
        <w:t>“申请人”</w:t>
      </w:r>
      <w:r>
        <w:rPr>
          <w:rFonts w:hint="eastAsia" w:ascii="宋体" w:hAnsi="宋体" w:eastAsia="宋体" w:cs="宋体"/>
          <w:color w:val="auto"/>
          <w:spacing w:val="-3"/>
          <w:sz w:val="24"/>
          <w:szCs w:val="24"/>
        </w:rPr>
        <w:t>）</w:t>
      </w:r>
      <w:r>
        <w:rPr>
          <w:rFonts w:hint="eastAsia" w:ascii="宋体" w:hAnsi="宋体" w:eastAsia="宋体" w:cs="宋体"/>
          <w:color w:val="auto"/>
          <w:spacing w:val="-86"/>
          <w:sz w:val="24"/>
          <w:szCs w:val="24"/>
          <w:lang w:eastAsia="zh-CN"/>
        </w:rPr>
        <w:t>”</w:t>
      </w:r>
      <w:r>
        <w:rPr>
          <w:rFonts w:hint="eastAsia" w:ascii="宋体" w:hAnsi="宋体" w:eastAsia="宋体" w:cs="宋体"/>
          <w:color w:val="auto"/>
          <w:spacing w:val="-3"/>
          <w:sz w:val="24"/>
          <w:szCs w:val="24"/>
        </w:rPr>
        <w:t>是指响应招标、参加投标竞争的法</w:t>
      </w:r>
      <w:bookmarkEnd w:id="34"/>
    </w:p>
    <w:p w14:paraId="0AB00616">
      <w:pPr>
        <w:spacing w:before="180" w:line="221" w:lineRule="auto"/>
        <w:ind w:left="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人、其他组织或者自然人。</w:t>
      </w:r>
    </w:p>
    <w:p w14:paraId="23A16443">
      <w:pPr>
        <w:spacing w:before="181" w:line="220" w:lineRule="auto"/>
        <w:outlineLvl w:val="9"/>
        <w:rPr>
          <w:rFonts w:hint="eastAsia" w:ascii="宋体" w:hAnsi="宋体" w:eastAsia="宋体" w:cs="宋体"/>
          <w:color w:val="auto"/>
          <w:sz w:val="24"/>
          <w:szCs w:val="24"/>
          <w:highlight w:val="none"/>
        </w:rPr>
      </w:pPr>
      <w:bookmarkStart w:id="35" w:name="_Toc22020"/>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3、合格投标人</w:t>
      </w:r>
      <w:bookmarkEnd w:id="35"/>
    </w:p>
    <w:p w14:paraId="054BA909">
      <w:pPr>
        <w:spacing w:before="183" w:line="219" w:lineRule="auto"/>
        <w:ind w:left="482"/>
        <w:outlineLvl w:val="9"/>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详见招标公告“二、申请人的资格要求”</w:t>
      </w:r>
    </w:p>
    <w:p w14:paraId="7E656A6D">
      <w:pPr>
        <w:spacing w:before="181" w:line="221"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4、投标费用</w:t>
      </w:r>
    </w:p>
    <w:p w14:paraId="6CE2F720">
      <w:pPr>
        <w:keepNext w:val="0"/>
        <w:keepLines w:val="0"/>
        <w:pageBreakBefore w:val="0"/>
        <w:widowControl/>
        <w:kinsoku w:val="0"/>
        <w:wordWrap/>
        <w:overflowPunct/>
        <w:topLinePunct w:val="0"/>
        <w:autoSpaceDE w:val="0"/>
        <w:autoSpaceDN w:val="0"/>
        <w:bidi w:val="0"/>
        <w:adjustRightInd w:val="0"/>
        <w:snapToGrid w:val="0"/>
        <w:spacing w:before="181" w:line="240" w:lineRule="auto"/>
        <w:ind w:left="0" w:firstLine="476" w:firstLineChars="200"/>
        <w:textAlignment w:val="baseline"/>
        <w:outlineLvl w:val="9"/>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投标人应承担所有与编写和提交投标文件有关的费用，无论投标的结果如何，采购人和采购代理机构在任何情况下均无义务和责任承担这些费用。</w:t>
      </w:r>
    </w:p>
    <w:p w14:paraId="66A179ED">
      <w:pPr>
        <w:spacing w:before="183" w:line="219"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14:textOutline w14:w="4358" w14:cap="sq" w14:cmpd="sng">
            <w14:solidFill>
              <w14:srgbClr w14:val="000000"/>
            </w14:solidFill>
            <w14:prstDash w14:val="solid"/>
            <w14:bevel/>
          </w14:textOutline>
        </w:rPr>
        <w:t>5、政府采购政策（包括但不限于下列具体政策要求）</w:t>
      </w:r>
    </w:p>
    <w:p w14:paraId="3F349D56">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5.1 采购本国货物、工程和服务</w:t>
      </w:r>
    </w:p>
    <w:p w14:paraId="5CF767C1">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5.1.1 政府采购应当采购本国货物、工程和服务。但有《中华人民共和国政府采购法》第十条规定情形的除外。</w:t>
      </w:r>
    </w:p>
    <w:p w14:paraId="6E7D9C67">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5.1.2 本项目如接受非本国货物、工程、服务参与投标，则具体要求见第五章《采购需求》。采购标的中标注“接受进口产品”的已经财政部门审核同意购买进口产品，参加进口产品采购的投标人仅限于国内投标人，国内投标人可以提供进口产品来参加。优先采购向我国企业转让技术、与我国企业签订消化吸收再创新方案的投标人的进口产品。</w:t>
      </w:r>
    </w:p>
    <w:p w14:paraId="05E74068">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5.1.3 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投标人必须投标本国产品，</w:t>
      </w:r>
      <w:r>
        <w:rPr>
          <w:rFonts w:hint="eastAsia" w:ascii="宋体" w:hAnsi="宋体" w:eastAsia="宋体" w:cs="宋体"/>
          <w:b w:val="0"/>
          <w:bCs w:val="0"/>
          <w:color w:val="auto"/>
          <w:sz w:val="24"/>
          <w:szCs w:val="24"/>
        </w:rPr>
        <w:t>投标进口产品的为无效投标</w:t>
      </w:r>
      <w:r>
        <w:rPr>
          <w:rFonts w:hint="eastAsia" w:ascii="宋体" w:hAnsi="宋体" w:eastAsia="宋体" w:cs="宋体"/>
          <w:color w:val="auto"/>
          <w:sz w:val="24"/>
          <w:szCs w:val="24"/>
        </w:rPr>
        <w:t>。在中国境内生产或组装的外国品牌产品须标明该产品在中国国内制造厂商名称。否则，按进口产品对待。</w:t>
      </w:r>
    </w:p>
    <w:p w14:paraId="6BDB2056">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5.2 政府采购节能产品、环境标志产品</w:t>
      </w:r>
    </w:p>
    <w:p w14:paraId="51056A0F">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5.2.1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B3F6B48">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5.2.2 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2607743A">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5.2.3 如本项目采购产品属于实施政府强制采购品目清单范围的节能产品，则投标人所报产品必须获得国家确定的认证机构出具的、处于有效期之内的节能产品认证证书，否则</w:t>
      </w:r>
      <w:r>
        <w:rPr>
          <w:rFonts w:hint="eastAsia" w:ascii="宋体" w:hAnsi="宋体" w:eastAsia="宋体" w:cs="宋体"/>
          <w:b/>
          <w:bCs/>
          <w:color w:val="auto"/>
          <w:sz w:val="24"/>
          <w:szCs w:val="24"/>
        </w:rPr>
        <w:t>投标无效</w:t>
      </w:r>
      <w:r>
        <w:rPr>
          <w:rFonts w:hint="eastAsia" w:ascii="宋体" w:hAnsi="宋体" w:eastAsia="宋体" w:cs="宋体"/>
          <w:color w:val="auto"/>
          <w:sz w:val="24"/>
          <w:szCs w:val="24"/>
        </w:rPr>
        <w:t>；</w:t>
      </w:r>
    </w:p>
    <w:p w14:paraId="44F1553D">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5.2.4 非政府强制采购的节能产品或环境标志产品，依据品目清单和认证证书实施政府优先采购。优先采购的具体规定见第三章《评标办法》。</w:t>
      </w:r>
    </w:p>
    <w:p w14:paraId="451E1FB5">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5.3 正版软件</w:t>
      </w:r>
    </w:p>
    <w:p w14:paraId="3AA126A4">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5.3.1 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宋体" w:hAnsi="宋体" w:eastAsia="宋体" w:cs="宋体"/>
          <w:b/>
          <w:bCs/>
          <w:color w:val="auto"/>
          <w:sz w:val="24"/>
          <w:szCs w:val="24"/>
        </w:rPr>
        <w:t>投标无效</w:t>
      </w:r>
      <w:r>
        <w:rPr>
          <w:rFonts w:hint="eastAsia" w:ascii="宋体" w:hAnsi="宋体" w:eastAsia="宋体" w:cs="宋体"/>
          <w:color w:val="auto"/>
          <w:sz w:val="24"/>
          <w:szCs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3C8FC49E">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5.3.2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0921CA80">
      <w:pPr>
        <w:spacing w:before="178" w:line="220" w:lineRule="auto"/>
        <w:ind w:left="3931"/>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二、招标文件</w:t>
      </w:r>
    </w:p>
    <w:p w14:paraId="75E23A6B">
      <w:pPr>
        <w:spacing w:before="182"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6、招标文件</w:t>
      </w:r>
    </w:p>
    <w:p w14:paraId="31DE4760">
      <w:pPr>
        <w:spacing w:before="179" w:line="220" w:lineRule="auto"/>
        <w:ind w:firstLine="234" w:firstLineChars="100"/>
        <w:outlineLvl w:val="9"/>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6.1</w:t>
      </w:r>
      <w:r>
        <w:rPr>
          <w:rFonts w:hint="eastAsia" w:ascii="宋体" w:hAnsi="宋体" w:eastAsia="宋体" w:cs="宋体"/>
          <w:color w:val="auto"/>
          <w:spacing w:val="-43"/>
          <w:sz w:val="24"/>
          <w:szCs w:val="24"/>
        </w:rPr>
        <w:t xml:space="preserve"> </w:t>
      </w:r>
      <w:r>
        <w:rPr>
          <w:rFonts w:hint="eastAsia" w:ascii="宋体" w:hAnsi="宋体" w:eastAsia="宋体" w:cs="宋体"/>
          <w:color w:val="auto"/>
          <w:spacing w:val="-3"/>
          <w:sz w:val="24"/>
          <w:szCs w:val="24"/>
        </w:rPr>
        <w:t>招标文件的构成</w:t>
      </w:r>
    </w:p>
    <w:p w14:paraId="3CB3EE3E">
      <w:pPr>
        <w:spacing w:before="179" w:line="220" w:lineRule="auto"/>
        <w:ind w:left="482" w:firstLine="234" w:firstLineChars="100"/>
        <w:outlineLvl w:val="9"/>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rPr>
        <w:t>第一章</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lang w:eastAsia="zh-CN"/>
        </w:rPr>
        <w:t>招标公告</w:t>
      </w:r>
    </w:p>
    <w:p w14:paraId="2C1C8617">
      <w:pPr>
        <w:spacing w:before="179" w:line="220" w:lineRule="auto"/>
        <w:ind w:left="482" w:firstLine="234" w:firstLineChars="100"/>
        <w:outlineLvl w:val="9"/>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第二章</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rPr>
        <w:t>投标人须知</w:t>
      </w:r>
    </w:p>
    <w:p w14:paraId="0229C2B8">
      <w:pPr>
        <w:spacing w:before="179" w:line="220" w:lineRule="auto"/>
        <w:ind w:left="482" w:firstLine="234" w:firstLineChars="100"/>
        <w:outlineLvl w:val="9"/>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第三章</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rPr>
        <w:t>评标办法</w:t>
      </w:r>
    </w:p>
    <w:p w14:paraId="664CFAB3">
      <w:pPr>
        <w:spacing w:before="179" w:line="220" w:lineRule="auto"/>
        <w:ind w:left="482" w:firstLine="234" w:firstLineChars="100"/>
        <w:outlineLvl w:val="9"/>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第四章</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rPr>
        <w:t>合同条款(参考格式)</w:t>
      </w:r>
    </w:p>
    <w:p w14:paraId="7AD8B46D">
      <w:pPr>
        <w:spacing w:before="179" w:line="220" w:lineRule="auto"/>
        <w:ind w:left="482" w:firstLine="234" w:firstLineChars="100"/>
        <w:outlineLvl w:val="9"/>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第五章</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rPr>
        <w:t>采购需求</w:t>
      </w:r>
    </w:p>
    <w:p w14:paraId="66DE2111">
      <w:pPr>
        <w:spacing w:before="179" w:line="220" w:lineRule="auto"/>
        <w:ind w:left="482" w:firstLine="234" w:firstLineChars="100"/>
        <w:outlineLvl w:val="9"/>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第六章</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rPr>
        <w:t>投标文件构成及格式</w:t>
      </w:r>
    </w:p>
    <w:p w14:paraId="3013E8D4">
      <w:pPr>
        <w:spacing w:before="227" w:line="468" w:lineRule="exact"/>
        <w:ind w:right="63" w:firstLine="238" w:firstLineChars="100"/>
        <w:jc w:val="both"/>
        <w:outlineLvl w:val="9"/>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6.2</w:t>
      </w:r>
      <w:r>
        <w:rPr>
          <w:rFonts w:hint="eastAsia" w:ascii="宋体" w:hAnsi="宋体" w:eastAsia="宋体" w:cs="宋体"/>
          <w:color w:val="auto"/>
          <w:spacing w:val="-37"/>
          <w:position w:val="17"/>
          <w:sz w:val="24"/>
          <w:szCs w:val="24"/>
        </w:rPr>
        <w:t xml:space="preserve"> </w:t>
      </w:r>
      <w:r>
        <w:rPr>
          <w:rFonts w:hint="eastAsia" w:ascii="宋体" w:hAnsi="宋体" w:eastAsia="宋体" w:cs="宋体"/>
          <w:color w:val="auto"/>
          <w:spacing w:val="-1"/>
          <w:position w:val="17"/>
          <w:sz w:val="24"/>
          <w:szCs w:val="24"/>
        </w:rPr>
        <w:t>投标人应认真阅读招标文件的全部内容。投标人应按照招标文件要求提交投标文</w:t>
      </w:r>
    </w:p>
    <w:p w14:paraId="4BE9586A">
      <w:pPr>
        <w:spacing w:before="1" w:line="219"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件并保证所提供的全部资料的真实性，并对招标文件做出实质性响应</w:t>
      </w:r>
      <w:r>
        <w:rPr>
          <w:rFonts w:hint="eastAsia" w:ascii="宋体" w:hAnsi="宋体" w:eastAsia="宋体" w:cs="宋体"/>
          <w:color w:val="auto"/>
          <w:spacing w:val="-1"/>
          <w:sz w:val="24"/>
          <w:szCs w:val="24"/>
        </w:rPr>
        <w:t>，否则</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投标无效。</w:t>
      </w:r>
    </w:p>
    <w:p w14:paraId="44376E7A">
      <w:pPr>
        <w:spacing w:before="180"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7、招标文件的澄清和修改</w:t>
      </w:r>
    </w:p>
    <w:p w14:paraId="537E7A2D">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7.1 任何要求对招标文件进行澄清或对招标文件质疑的潜在投标人，均应在获取招标文件或者招标文件公告期限届满之日起7个工作日内以书面形式（须加盖公章）通知采购代理机构（如投标人所参与项目须要在网上提交质疑程序，投标人须将纸质版质疑材料与网上提交质疑程序在同一工作日内进行，如出现日期不一致时，以两者中最后日期为准），超过这个规定期限提出的澄清要求或质疑将不予受理。采购代理机构对收到的澄清要求将视所提问题的具体情况以书面形式予以答复，同时传真给每个购买招标文件的潜在投标人或由潜在投标人直接到采购代理机构领取。潜在投标人应在1日内确认已收到该答复，未回复的潜在投标人视为已经收到该答复。答复中包括所提的问题，但不包括问题的来源。</w:t>
      </w:r>
    </w:p>
    <w:p w14:paraId="035DDF41">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7.2 采购人或者采购代理机构可以对已发出的招标文件、招标公告进行必要的澄清或 者修改，但不得改变采购标的和资格条件。澄清或者修改将在原公告发布媒体上发布澄清公告。澄清或者修改的内容为招标文件、招标公告的组成部分。澄清或者修改的内容可能影响投标文件编制的，采购人或者采购代理机构将在投标截止时间 15 日前，以书面形式通知所有获取招标文件的潜在投标人；不足 15 日的，采购人或者采购代理机构将顺延提交投标文件的截止时间。在这种情况下，采购人、采购代理机构和投标人受投标截止时间制约的所有权利和义务均相应顺延至新的投标截止时间。</w:t>
      </w:r>
    </w:p>
    <w:p w14:paraId="2735A52B">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7.3 本项目不召开答疑会。</w:t>
      </w:r>
    </w:p>
    <w:p w14:paraId="6ABCBD36">
      <w:pPr>
        <w:spacing w:before="48" w:line="220" w:lineRule="auto"/>
        <w:ind w:left="3925"/>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三、投标文件</w:t>
      </w:r>
    </w:p>
    <w:p w14:paraId="1DF88742">
      <w:pPr>
        <w:spacing w:before="182" w:line="220"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14:textOutline w14:w="4358" w14:cap="sq" w14:cmpd="sng">
            <w14:solidFill>
              <w14:srgbClr w14:val="000000"/>
            </w14:solidFill>
            <w14:prstDash w14:val="solid"/>
            <w14:bevel/>
          </w14:textOutline>
        </w:rPr>
        <w:t>8、投标范围、投标语言及投标文件中计量单位的使用</w:t>
      </w:r>
    </w:p>
    <w:p w14:paraId="3FC13038">
      <w:pPr>
        <w:keepNext w:val="0"/>
        <w:keepLines w:val="0"/>
        <w:pageBreakBefore w:val="0"/>
        <w:widowControl/>
        <w:kinsoku w:val="0"/>
        <w:wordWrap/>
        <w:overflowPunct/>
        <w:topLinePunct w:val="0"/>
        <w:autoSpaceDE w:val="0"/>
        <w:autoSpaceDN w:val="0"/>
        <w:bidi w:val="0"/>
        <w:adjustRightInd w:val="0"/>
        <w:snapToGrid w:val="0"/>
        <w:spacing w:before="181" w:line="240" w:lineRule="auto"/>
        <w:ind w:firstLine="238" w:firstLineChars="100"/>
        <w:jc w:val="both"/>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8.1</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1"/>
          <w:sz w:val="24"/>
          <w:szCs w:val="24"/>
        </w:rPr>
        <w:t>本项目如划分采购包，投标人可以对本项目的其中一个采购包进行投标，也可同</w:t>
      </w:r>
      <w:r>
        <w:rPr>
          <w:rFonts w:hint="eastAsia" w:ascii="宋体" w:hAnsi="宋体" w:eastAsia="宋体" w:cs="宋体"/>
          <w:color w:val="auto"/>
          <w:spacing w:val="-2"/>
          <w:sz w:val="24"/>
          <w:szCs w:val="24"/>
        </w:rPr>
        <w:t>时对多个采购包进行投标。</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投标人应当对所投采购包对应第五章《采购需</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求》所列的全部</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内容进行投标，不得将一个采购包中的内容拆分投标，否则其对该采</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购包的投标将被认定</w:t>
      </w:r>
    </w:p>
    <w:p w14:paraId="42844B69">
      <w:pPr>
        <w:keepNext w:val="0"/>
        <w:keepLines w:val="0"/>
        <w:pageBreakBefore w:val="0"/>
        <w:widowControl/>
        <w:kinsoku w:val="0"/>
        <w:wordWrap/>
        <w:overflowPunct/>
        <w:topLinePunct w:val="0"/>
        <w:autoSpaceDE w:val="0"/>
        <w:autoSpaceDN w:val="0"/>
        <w:bidi w:val="0"/>
        <w:adjustRightInd w:val="0"/>
        <w:snapToGrid w:val="0"/>
        <w:spacing w:before="1" w:line="240" w:lineRule="auto"/>
        <w:ind w:left="1"/>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为无效投标</w:t>
      </w:r>
      <w:r>
        <w:rPr>
          <w:rFonts w:hint="eastAsia" w:ascii="宋体" w:hAnsi="宋体" w:eastAsia="宋体" w:cs="宋体"/>
          <w:color w:val="auto"/>
          <w:spacing w:val="-2"/>
          <w:sz w:val="24"/>
          <w:szCs w:val="24"/>
        </w:rPr>
        <w:t>。</w:t>
      </w:r>
    </w:p>
    <w:p w14:paraId="5D3513CF">
      <w:pPr>
        <w:keepNext w:val="0"/>
        <w:keepLines w:val="0"/>
        <w:pageBreakBefore w:val="0"/>
        <w:widowControl/>
        <w:kinsoku w:val="0"/>
        <w:wordWrap/>
        <w:overflowPunct/>
        <w:topLinePunct w:val="0"/>
        <w:autoSpaceDE w:val="0"/>
        <w:autoSpaceDN w:val="0"/>
        <w:bidi w:val="0"/>
        <w:adjustRightInd w:val="0"/>
        <w:snapToGrid w:val="0"/>
        <w:spacing w:before="181" w:line="240" w:lineRule="auto"/>
        <w:ind w:firstLine="238" w:firstLineChars="100"/>
        <w:jc w:val="both"/>
        <w:textAlignment w:val="baseline"/>
        <w:outlineLvl w:val="9"/>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8.2 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5F6343D">
      <w:pPr>
        <w:keepNext w:val="0"/>
        <w:keepLines w:val="0"/>
        <w:pageBreakBefore w:val="0"/>
        <w:widowControl/>
        <w:kinsoku w:val="0"/>
        <w:wordWrap/>
        <w:overflowPunct/>
        <w:topLinePunct w:val="0"/>
        <w:autoSpaceDE w:val="0"/>
        <w:autoSpaceDN w:val="0"/>
        <w:bidi w:val="0"/>
        <w:adjustRightInd w:val="0"/>
        <w:snapToGrid w:val="0"/>
        <w:spacing w:before="181" w:line="240" w:lineRule="auto"/>
        <w:ind w:firstLine="238" w:firstLineChars="100"/>
        <w:jc w:val="both"/>
        <w:textAlignment w:val="baseline"/>
        <w:outlineLvl w:val="9"/>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8.3 除招标文件有特殊要求外，本项目投标所使用的计量单位，应采用中华人民共和国法定计量单位。</w:t>
      </w:r>
    </w:p>
    <w:p w14:paraId="7D328B20">
      <w:pPr>
        <w:spacing w:before="181" w:line="220" w:lineRule="auto"/>
        <w:outlineLvl w:val="9"/>
        <w:rPr>
          <w:rFonts w:hint="eastAsia" w:ascii="宋体" w:hAnsi="宋体" w:eastAsia="宋体" w:cs="宋体"/>
          <w:color w:val="auto"/>
          <w:sz w:val="24"/>
          <w:szCs w:val="24"/>
        </w:rPr>
      </w:pPr>
      <w:bookmarkStart w:id="36" w:name="_Toc13866"/>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9、投标文件构成</w:t>
      </w:r>
      <w:bookmarkEnd w:id="36"/>
    </w:p>
    <w:p w14:paraId="3EEC6EF0">
      <w:pPr>
        <w:spacing w:before="179" w:line="468" w:lineRule="exact"/>
        <w:ind w:firstLine="238" w:firstLineChars="100"/>
        <w:jc w:val="both"/>
        <w:outlineLvl w:val="9"/>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9.1</w:t>
      </w:r>
      <w:r>
        <w:rPr>
          <w:rFonts w:hint="eastAsia" w:ascii="宋体" w:hAnsi="宋体" w:eastAsia="宋体" w:cs="宋体"/>
          <w:color w:val="auto"/>
          <w:spacing w:val="-36"/>
          <w:position w:val="17"/>
          <w:sz w:val="24"/>
          <w:szCs w:val="24"/>
        </w:rPr>
        <w:t xml:space="preserve"> </w:t>
      </w:r>
      <w:r>
        <w:rPr>
          <w:rFonts w:hint="eastAsia" w:ascii="宋体" w:hAnsi="宋体" w:eastAsia="宋体" w:cs="宋体"/>
          <w:color w:val="auto"/>
          <w:spacing w:val="-1"/>
          <w:position w:val="17"/>
          <w:sz w:val="24"/>
          <w:szCs w:val="24"/>
        </w:rPr>
        <w:t>投标人应当按照招标文件的要求编制投标文件。投标文件的部分格式要求，见第</w:t>
      </w:r>
    </w:p>
    <w:p w14:paraId="522DF492">
      <w:pPr>
        <w:spacing w:line="219"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六章《投标文件构成及格式》。</w:t>
      </w:r>
    </w:p>
    <w:p w14:paraId="647D8717">
      <w:pPr>
        <w:spacing w:before="180" w:line="220" w:lineRule="auto"/>
        <w:ind w:firstLine="238" w:firstLineChars="100"/>
        <w:jc w:val="both"/>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9.2</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1"/>
          <w:sz w:val="24"/>
          <w:szCs w:val="24"/>
        </w:rPr>
        <w:t>投标文件应编制文件目录，准确标明文件内容所在位置。投标文件应包含但不限</w:t>
      </w:r>
    </w:p>
    <w:p w14:paraId="177688A1">
      <w:pPr>
        <w:spacing w:before="182" w:line="224" w:lineRule="auto"/>
        <w:ind w:left="2"/>
        <w:outlineLvl w:val="9"/>
        <w:rPr>
          <w:rFonts w:hint="eastAsia" w:ascii="宋体" w:hAnsi="宋体" w:eastAsia="宋体" w:cs="宋体"/>
          <w:color w:val="auto"/>
          <w:sz w:val="24"/>
          <w:szCs w:val="24"/>
        </w:rPr>
      </w:pPr>
      <w:r>
        <w:rPr>
          <w:rFonts w:hint="eastAsia" w:ascii="宋体" w:hAnsi="宋体" w:eastAsia="宋体" w:cs="宋体"/>
          <w:color w:val="auto"/>
          <w:spacing w:val="-7"/>
          <w:sz w:val="24"/>
          <w:szCs w:val="24"/>
        </w:rPr>
        <w:t>于：</w:t>
      </w:r>
    </w:p>
    <w:p w14:paraId="53506FC8">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格式一：开标一览表</w:t>
      </w:r>
    </w:p>
    <w:p w14:paraId="191ED0B3">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格式二：投标函</w:t>
      </w:r>
    </w:p>
    <w:p w14:paraId="19BE3CF4">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格式三：投标报价明细表</w:t>
      </w:r>
    </w:p>
    <w:p w14:paraId="7D846328">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格式四：采购需求偏离表</w:t>
      </w:r>
    </w:p>
    <w:p w14:paraId="782937D4">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格式五：售后服务承诺书</w:t>
      </w:r>
    </w:p>
    <w:p w14:paraId="4EE4EAEB">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格式六：法定代表人（单位负责人）身份证明</w:t>
      </w:r>
    </w:p>
    <w:p w14:paraId="2E57034B">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格式七：授权委托书</w:t>
      </w:r>
    </w:p>
    <w:p w14:paraId="01630934">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格式八：中标服务费承诺书</w:t>
      </w:r>
    </w:p>
    <w:p w14:paraId="669041BE">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格式九：中小企业声明函</w:t>
      </w:r>
    </w:p>
    <w:p w14:paraId="065F6E99">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格式十：类似业绩一览表</w:t>
      </w:r>
    </w:p>
    <w:p w14:paraId="4C933559">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格式十一：资格条件承诺函</w:t>
      </w:r>
    </w:p>
    <w:p w14:paraId="10187DC8">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格式十</w:t>
      </w: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：制造商（境内总代理商）授权书</w:t>
      </w:r>
    </w:p>
    <w:p w14:paraId="2EE9740A">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格式十</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招标文件要求提供或供应商认为需要提供的其它材料</w:t>
      </w:r>
    </w:p>
    <w:p w14:paraId="5A8A8BD3">
      <w:pPr>
        <w:spacing w:before="180" w:line="220" w:lineRule="auto"/>
        <w:ind w:firstLine="238" w:firstLineChars="100"/>
        <w:jc w:val="both"/>
        <w:outlineLvl w:val="9"/>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9.3 第三章《评标办法》中涉及的证明文件。</w:t>
      </w:r>
    </w:p>
    <w:p w14:paraId="3D0BD85D">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9.4 对照第五章《采购需求》，说明所供货物和服务已对第五章《采购需求》做出了响应，或申明与第五章《采购需求》的偏差和例外。如第五章《采购需求》中要求提供证明文件的，投标人应当按具体要求提供证明文件。</w:t>
      </w:r>
    </w:p>
    <w:p w14:paraId="52DC7B6E">
      <w:pPr>
        <w:spacing w:before="183" w:line="219" w:lineRule="auto"/>
        <w:ind w:firstLine="236" w:firstLineChars="10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9.5</w:t>
      </w:r>
      <w:r>
        <w:rPr>
          <w:rFonts w:hint="eastAsia" w:ascii="宋体" w:hAnsi="宋体" w:eastAsia="宋体" w:cs="宋体"/>
          <w:color w:val="auto"/>
          <w:spacing w:val="-40"/>
          <w:sz w:val="24"/>
          <w:szCs w:val="24"/>
        </w:rPr>
        <w:t xml:space="preserve"> </w:t>
      </w:r>
      <w:r>
        <w:rPr>
          <w:rFonts w:hint="eastAsia" w:ascii="宋体" w:hAnsi="宋体" w:eastAsia="宋体" w:cs="宋体"/>
          <w:color w:val="auto"/>
          <w:spacing w:val="-2"/>
          <w:sz w:val="24"/>
          <w:szCs w:val="24"/>
        </w:rPr>
        <w:t>投标人认为应附的其他材料。</w:t>
      </w:r>
    </w:p>
    <w:p w14:paraId="05AE73E2">
      <w:pPr>
        <w:spacing w:before="179" w:line="219" w:lineRule="auto"/>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10、投标报价</w:t>
      </w:r>
    </w:p>
    <w:p w14:paraId="34F1779A">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10.1 报价原则：所有投标均以人民币报价。</w:t>
      </w:r>
    </w:p>
    <w:p w14:paraId="4C009E5A">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10.2 投标人的报价应包括为完成本项目所发生的一切费用和税费，采购人将不再支付报价以外的任何费用。</w:t>
      </w:r>
    </w:p>
    <w:p w14:paraId="5BC7172D">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10.2.1 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02C6C422">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10.2.2 按照招标文件要求完成本项目的全部相关费用。</w:t>
      </w:r>
    </w:p>
    <w:p w14:paraId="5816F3E4">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10.3 投标人所报的价格在合同执行过程中是固定不变的，不得以任何理由予以变更。以可调整的价格提交的，其</w:t>
      </w:r>
      <w:r>
        <w:rPr>
          <w:rFonts w:hint="eastAsia" w:ascii="宋体" w:hAnsi="宋体" w:eastAsia="宋体" w:cs="宋体"/>
          <w:b/>
          <w:bCs/>
          <w:color w:val="auto"/>
          <w:sz w:val="24"/>
          <w:szCs w:val="24"/>
        </w:rPr>
        <w:t>投标无效</w:t>
      </w:r>
      <w:r>
        <w:rPr>
          <w:rFonts w:hint="eastAsia" w:ascii="宋体" w:hAnsi="宋体" w:eastAsia="宋体" w:cs="宋体"/>
          <w:color w:val="auto"/>
          <w:sz w:val="24"/>
          <w:szCs w:val="24"/>
        </w:rPr>
        <w:t>。</w:t>
      </w:r>
    </w:p>
    <w:p w14:paraId="7C3FD6FA">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10.4 采购人不得向投标人索要或者接受其给予的赠品、回扣或者与采购无关的其他商品、服务。</w:t>
      </w:r>
    </w:p>
    <w:p w14:paraId="424D90A8">
      <w:pPr>
        <w:spacing w:before="182" w:line="221" w:lineRule="auto"/>
        <w:outlineLvl w:val="9"/>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11、投标保证金</w:t>
      </w:r>
    </w:p>
    <w:p w14:paraId="11698375">
      <w:pPr>
        <w:spacing w:before="179" w:line="359" w:lineRule="auto"/>
        <w:ind w:right="81" w:firstLine="476" w:firstLineChars="200"/>
        <w:outlineLvl w:val="9"/>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递交形式：以银行出具的现金支票、保兑支票、银行汇票、银行或专业担保公司或保险公司出具的保函、转账、电汇等形式提交；以支票形式提交的投标保证金须从投标单位的基本账户转出。供应商未按照文件要求提交保证金的，响应无效。</w:t>
      </w:r>
    </w:p>
    <w:p w14:paraId="4134760C">
      <w:pPr>
        <w:spacing w:before="179" w:line="359" w:lineRule="auto"/>
        <w:ind w:right="81" w:firstLine="476" w:firstLineChars="200"/>
        <w:outlineLvl w:val="9"/>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递交方式：供应商须在递交响应文件截止时间前将保证金存入指定账户，过期不予受理。逾期未缴纳保证金视为自动放弃投标资格。银行进账单或电汇凭证等凭证上应明确用途、项目名称、联系人及电话，以便核对查实。保证金的确认以最终到账日期为准。</w:t>
      </w:r>
    </w:p>
    <w:p w14:paraId="3BA575B1">
      <w:pPr>
        <w:keepNext w:val="0"/>
        <w:keepLines w:val="0"/>
        <w:pageBreakBefore w:val="0"/>
        <w:widowControl/>
        <w:kinsoku w:val="0"/>
        <w:wordWrap/>
        <w:overflowPunct/>
        <w:topLinePunct w:val="0"/>
        <w:autoSpaceDE w:val="0"/>
        <w:autoSpaceDN w:val="0"/>
        <w:bidi w:val="0"/>
        <w:adjustRightInd w:val="0"/>
        <w:snapToGrid w:val="0"/>
        <w:spacing w:line="360" w:lineRule="auto"/>
        <w:ind w:right="79" w:firstLine="476" w:firstLineChars="200"/>
        <w:textAlignment w:val="baseline"/>
        <w:outlineLvl w:val="9"/>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保证金的金额：¥</w:t>
      </w:r>
      <w:r>
        <w:rPr>
          <w:rFonts w:hint="eastAsia" w:ascii="宋体" w:hAnsi="宋体" w:eastAsia="宋体" w:cs="宋体"/>
          <w:color w:val="auto"/>
          <w:spacing w:val="-1"/>
          <w:sz w:val="24"/>
          <w:szCs w:val="24"/>
          <w:lang w:val="en-US" w:eastAsia="zh-CN"/>
          <w14:textOutline w14:w="4358" w14:cap="sq" w14:cmpd="sng">
            <w14:solidFill>
              <w14:srgbClr w14:val="000000"/>
            </w14:solidFill>
            <w14:prstDash w14:val="solid"/>
            <w14:bevel/>
          </w14:textOutline>
        </w:rPr>
        <w:t>90000</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元</w:t>
      </w:r>
    </w:p>
    <w:p w14:paraId="2CC0FE0B">
      <w:pPr>
        <w:keepNext w:val="0"/>
        <w:keepLines w:val="0"/>
        <w:pageBreakBefore w:val="0"/>
        <w:widowControl/>
        <w:kinsoku w:val="0"/>
        <w:wordWrap/>
        <w:overflowPunct/>
        <w:topLinePunct w:val="0"/>
        <w:autoSpaceDE w:val="0"/>
        <w:autoSpaceDN w:val="0"/>
        <w:bidi w:val="0"/>
        <w:adjustRightInd w:val="0"/>
        <w:snapToGrid w:val="0"/>
        <w:spacing w:line="360" w:lineRule="auto"/>
        <w:ind w:right="79" w:firstLine="476" w:firstLineChars="200"/>
        <w:textAlignment w:val="baseline"/>
        <w:outlineLvl w:val="9"/>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收款单位：吉林省吉诚工程咨询有限公司</w:t>
      </w:r>
    </w:p>
    <w:p w14:paraId="63734CB7">
      <w:pPr>
        <w:keepNext w:val="0"/>
        <w:keepLines w:val="0"/>
        <w:pageBreakBefore w:val="0"/>
        <w:widowControl/>
        <w:kinsoku w:val="0"/>
        <w:wordWrap/>
        <w:overflowPunct/>
        <w:topLinePunct w:val="0"/>
        <w:autoSpaceDE w:val="0"/>
        <w:autoSpaceDN w:val="0"/>
        <w:bidi w:val="0"/>
        <w:adjustRightInd w:val="0"/>
        <w:snapToGrid w:val="0"/>
        <w:spacing w:line="360" w:lineRule="auto"/>
        <w:ind w:right="79" w:firstLine="476" w:firstLineChars="200"/>
        <w:textAlignment w:val="baseline"/>
        <w:outlineLvl w:val="9"/>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开户行：长春农村商业银行股份有限公司人民大街支行</w:t>
      </w:r>
    </w:p>
    <w:p w14:paraId="7A0F6DF3">
      <w:pPr>
        <w:keepNext w:val="0"/>
        <w:keepLines w:val="0"/>
        <w:pageBreakBefore w:val="0"/>
        <w:widowControl/>
        <w:kinsoku w:val="0"/>
        <w:wordWrap/>
        <w:overflowPunct/>
        <w:topLinePunct w:val="0"/>
        <w:autoSpaceDE w:val="0"/>
        <w:autoSpaceDN w:val="0"/>
        <w:bidi w:val="0"/>
        <w:adjustRightInd w:val="0"/>
        <w:snapToGrid w:val="0"/>
        <w:spacing w:line="360" w:lineRule="auto"/>
        <w:ind w:right="79" w:firstLine="476" w:firstLineChars="200"/>
        <w:textAlignment w:val="baseline"/>
        <w:outlineLvl w:val="9"/>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账号：0710729011015260066666</w:t>
      </w:r>
    </w:p>
    <w:p w14:paraId="38631BE2">
      <w:pPr>
        <w:spacing w:before="179" w:line="359" w:lineRule="auto"/>
        <w:ind w:right="81" w:firstLine="476" w:firstLineChars="200"/>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注：依据长财采购【2021】695</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号文件的规定，对于满足《中华人民共和国政府采购</w:t>
      </w:r>
      <w:r>
        <w:rPr>
          <w:rFonts w:hint="eastAsia" w:ascii="宋体" w:hAnsi="宋体" w:eastAsia="宋体" w:cs="宋体"/>
          <w:color w:val="auto"/>
          <w:sz w:val="24"/>
          <w:szCs w:val="24"/>
        </w:rPr>
        <w:t xml:space="preserve"> </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法》第二十二条有关规定，经“信用中国</w:t>
      </w:r>
      <w:r>
        <w:rPr>
          <w:rFonts w:hint="eastAsia" w:ascii="宋体" w:hAnsi="宋体" w:eastAsia="宋体" w:cs="宋体"/>
          <w:color w:val="auto"/>
          <w:spacing w:val="-77"/>
          <w:sz w:val="24"/>
          <w:szCs w:val="24"/>
        </w:rPr>
        <w:t xml:space="preserve"> </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”网站查询不存在行政处罚信息的、诚信记录良</w:t>
      </w:r>
      <w:r>
        <w:rPr>
          <w:rFonts w:hint="eastAsia" w:ascii="宋体" w:hAnsi="宋体" w:eastAsia="宋体" w:cs="宋体"/>
          <w:color w:val="auto"/>
          <w:sz w:val="24"/>
          <w:szCs w:val="24"/>
          <w14:textOutline w14:w="4358" w14:cap="sq" w14:cmpd="sng">
            <w14:solidFill>
              <w14:srgbClr w14:val="000000"/>
            </w14:solidFill>
            <w14:prstDash w14:val="solid"/>
            <w14:bevel/>
          </w14:textOutline>
        </w:rPr>
        <w:t>好的投标人，无需交纳投标保证金。</w:t>
      </w:r>
    </w:p>
    <w:p w14:paraId="1A286BA4">
      <w:pPr>
        <w:spacing w:before="182" w:line="221" w:lineRule="auto"/>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12、投标有效期</w:t>
      </w:r>
    </w:p>
    <w:p w14:paraId="3A9E2D97">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12.1 投标有效期为自开标之时起 90 天，投标文件在这个规定期限内应保持有效。投标有效期少于招标文件规定期限的，其</w:t>
      </w:r>
      <w:r>
        <w:rPr>
          <w:rFonts w:hint="eastAsia" w:ascii="宋体" w:hAnsi="宋体" w:eastAsia="宋体" w:cs="宋体"/>
          <w:b/>
          <w:bCs/>
          <w:color w:val="auto"/>
          <w:sz w:val="24"/>
          <w:szCs w:val="24"/>
        </w:rPr>
        <w:t>投标无效</w:t>
      </w:r>
      <w:r>
        <w:rPr>
          <w:rFonts w:hint="eastAsia" w:ascii="宋体" w:hAnsi="宋体" w:eastAsia="宋体" w:cs="宋体"/>
          <w:color w:val="auto"/>
          <w:sz w:val="24"/>
          <w:szCs w:val="24"/>
        </w:rPr>
        <w:t>。</w:t>
      </w:r>
    </w:p>
    <w:p w14:paraId="6C36FF3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12.2 在特殊情况下，招标方可与投标人协商延长投标有效期。这种要求和答复都应以书面形式进行。投标人可以拒绝接受延期要求而不会被没收投标保证金。同意延长投标 有效期的投标人除按照招标方要求修改投标文件的有效期外，不能修改投标文件的其他内容。</w:t>
      </w:r>
    </w:p>
    <w:p w14:paraId="590002A0">
      <w:pPr>
        <w:spacing w:before="181"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13、投标文件的式样和签署</w:t>
      </w:r>
    </w:p>
    <w:p w14:paraId="2F8283B4">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13.1 投标人应按照本须知的要求编制投标文件，逐项逐条响应招标文件并使用下载</w:t>
      </w:r>
    </w:p>
    <w:p w14:paraId="573551F8">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的政采云投标客户端制作并上传</w:t>
      </w:r>
    </w:p>
    <w:p w14:paraId="51E959C5">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13.2 电子投标文件中须加盖投标人公章部分均采用CA签章，并根据“政府采购项目电子交易管理操作指南-投标人（政采云）”及本招标文件响应文件格式规定的格式和顺序编制电子投标文件并进行关联定位，以便评审小组在评审时，点击评分项可直接定位到该评分项内容。如对招标文件的某项要求，投标人的电子投标文件未能关联定位提供相应的内容与其对应，则评标委员会在评审时如做出对投标人不利的评审由投标人自行承担。电子投标文件如内容不完整、编排混乱导致响应文件被误读、漏读，或者在按招标文件规定的部位查找不到相关内容的，由投标人自行承担。</w:t>
      </w:r>
    </w:p>
    <w:p w14:paraId="6855D518">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13.3 投标人法定代表人或主要负责人或其委托代理人持有政采云个人CA签章的，应在投标文件中涉及到签字的位置使用个人CA签章，没有办理政采云个人CA签章的可在投标文件中涉及到签字的位置手写签字后扫描或者拍照做成PDF的格式上传即可。</w:t>
      </w:r>
    </w:p>
    <w:p w14:paraId="66516994">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13.4 投标文件不得涂改，若有修改错漏处，须法定代表人或主要负责人或其委托代理人签字（或个人CA签章）。文件加盖CA签章时，请勿遮挡文件中关键信息。投标文件因字迹潦草或表达不清所引起的后果由投标人负责。</w:t>
      </w:r>
    </w:p>
    <w:p w14:paraId="2366D7F6">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13.5 评标前准备</w:t>
      </w:r>
    </w:p>
    <w:p w14:paraId="428768C1">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13.5.1 本项目实行网上评审，采用电子投标文件。</w:t>
      </w:r>
    </w:p>
    <w:p w14:paraId="63FB07B8">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13.5.2 各投标人在响应文件提交截止时间前应确保成为政采云平台正式注册入库投标人，并完成CA数字证书申领。因未注册入库、未办理 CA 数字证书等原因造成无法投标或投标失败等后果由投标人自行承担。</w:t>
      </w:r>
    </w:p>
    <w:p w14:paraId="455269C8">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13.5.3 投标人将政采云电子交易客户端下载、安装完成后，可通过登录客户端进行响应文件制作。客户端请至网站下载专区查看，如有问题可拨打政采云客户服务热线95763进行咨询。</w:t>
      </w:r>
    </w:p>
    <w:p w14:paraId="6A3364B4">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13.6 其他说明</w:t>
      </w:r>
    </w:p>
    <w:p w14:paraId="47B12179">
      <w:pPr>
        <w:keepNext w:val="0"/>
        <w:keepLines w:val="0"/>
        <w:pageBreakBefore w:val="0"/>
        <w:widowControl/>
        <w:kinsoku w:val="0"/>
        <w:wordWrap/>
        <w:overflowPunct/>
        <w:topLinePunct w:val="0"/>
        <w:autoSpaceDE w:val="0"/>
        <w:autoSpaceDN w:val="0"/>
        <w:bidi w:val="0"/>
        <w:adjustRightInd w:val="0"/>
        <w:snapToGrid w:val="0"/>
        <w:spacing w:before="183" w:line="240" w:lineRule="auto"/>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13.6.1 投标人应先安装“政采云投标客户端”（请自行前往政采云平台进行下载</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"https://customer.zcygov.cn/CA-driver-download?utm=web-login-front.52cebfa2.0"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https://customer.zcygov.cn/CA-driver-download?utm=web-login-front.52cebfa2.0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.0.04df4040034511edaac705fda12edb43），通过账号密码或CA登录客户端制作投标文件。</w:t>
      </w:r>
    </w:p>
    <w:p w14:paraId="74C6C7C7">
      <w:pPr>
        <w:keepNext w:val="0"/>
        <w:keepLines w:val="0"/>
        <w:pageBreakBefore w:val="0"/>
        <w:widowControl/>
        <w:kinsoku w:val="0"/>
        <w:wordWrap/>
        <w:overflowPunct/>
        <w:topLinePunct w:val="0"/>
        <w:autoSpaceDE w:val="0"/>
        <w:autoSpaceDN w:val="0"/>
        <w:bidi w:val="0"/>
        <w:adjustRightInd w:val="0"/>
        <w:snapToGrid w:val="0"/>
        <w:spacing w:before="179" w:line="240" w:lineRule="auto"/>
        <w:ind w:firstLine="476" w:firstLineChars="200"/>
        <w:jc w:val="both"/>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 xml:space="preserve">13.6.2 </w:t>
      </w:r>
      <w:r>
        <w:rPr>
          <w:rFonts w:hint="eastAsia" w:ascii="宋体" w:hAnsi="宋体" w:eastAsia="宋体" w:cs="宋体"/>
          <w:color w:val="auto"/>
          <w:spacing w:val="-1"/>
          <w:position w:val="17"/>
          <w:sz w:val="24"/>
          <w:szCs w:val="24"/>
          <w14:textOutline w14:w="4358" w14:cap="sq" w14:cmpd="sng">
            <w14:solidFill>
              <w14:srgbClr w14:val="000000"/>
            </w14:solidFill>
            <w14:prstDash w14:val="solid"/>
            <w14:bevel/>
          </w14:textOutline>
        </w:rPr>
        <w:t>投标文件按照招标文件第六章投标文件构成及格式要求在规定位置进行签署</w:t>
      </w:r>
      <w:r>
        <w:rPr>
          <w:rFonts w:hint="eastAsia" w:ascii="宋体" w:hAnsi="宋体" w:eastAsia="宋体" w:cs="宋体"/>
          <w:color w:val="auto"/>
          <w:spacing w:val="-1"/>
          <w:position w:val="17"/>
          <w:sz w:val="24"/>
          <w:szCs w:val="24"/>
          <w:lang w:eastAsia="zh-CN"/>
          <w14:textOutline w14:w="4358" w14:cap="sq" w14:cmpd="sng">
            <w14:solidFill>
              <w14:srgbClr w14:val="000000"/>
            </w14:solidFill>
            <w14:prstDash w14:val="solid"/>
            <w14:bevel/>
          </w14:textOutline>
        </w:rPr>
        <w:t>、</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盖章。投标人的投标文件未按照招标文件要</w:t>
      </w:r>
      <w:r>
        <w:rPr>
          <w:rFonts w:hint="eastAsia" w:ascii="宋体" w:hAnsi="宋体" w:eastAsia="宋体" w:cs="宋体"/>
          <w:color w:val="auto"/>
          <w:sz w:val="24"/>
          <w:szCs w:val="24"/>
          <w14:textOutline w14:w="4358" w14:cap="sq" w14:cmpd="sng">
            <w14:solidFill>
              <w14:srgbClr w14:val="000000"/>
            </w14:solidFill>
            <w14:prstDash w14:val="solid"/>
            <w14:bevel/>
          </w14:textOutline>
        </w:rPr>
        <w:t>求签署、盖章的，其响应投标无效</w:t>
      </w:r>
      <w:r>
        <w:rPr>
          <w:rFonts w:hint="eastAsia" w:ascii="宋体" w:hAnsi="宋体" w:eastAsia="宋体" w:cs="宋体"/>
          <w:color w:val="auto"/>
          <w:sz w:val="24"/>
          <w:szCs w:val="24"/>
        </w:rPr>
        <w:t>。</w:t>
      </w:r>
    </w:p>
    <w:p w14:paraId="46CC7B3E">
      <w:pPr>
        <w:keepNext w:val="0"/>
        <w:keepLines w:val="0"/>
        <w:pageBreakBefore w:val="0"/>
        <w:widowControl/>
        <w:kinsoku w:val="0"/>
        <w:wordWrap/>
        <w:overflowPunct/>
        <w:topLinePunct w:val="0"/>
        <w:autoSpaceDE w:val="0"/>
        <w:autoSpaceDN w:val="0"/>
        <w:bidi w:val="0"/>
        <w:adjustRightInd w:val="0"/>
        <w:snapToGrid w:val="0"/>
        <w:spacing w:before="183" w:line="240" w:lineRule="auto"/>
        <w:ind w:right="170" w:firstLine="476" w:firstLineChars="200"/>
        <w:textAlignment w:val="baseline"/>
        <w:outlineLvl w:val="9"/>
        <w:rPr>
          <w:rFonts w:hint="eastAsia" w:ascii="宋体" w:hAnsi="宋体" w:eastAsia="宋体" w:cs="宋体"/>
          <w:color w:val="auto"/>
          <w:spacing w:val="-2"/>
          <w:sz w:val="24"/>
          <w:szCs w:val="24"/>
        </w:rPr>
      </w:pPr>
      <w:r>
        <w:rPr>
          <w:rFonts w:hint="eastAsia" w:ascii="宋体" w:hAnsi="宋体" w:eastAsia="宋体" w:cs="宋体"/>
          <w:color w:val="auto"/>
          <w:spacing w:val="-1"/>
          <w:sz w:val="24"/>
          <w:szCs w:val="24"/>
        </w:rPr>
        <w:t>13.6.3 为确保网上操作合法、有效和安全，投标人应当在投标文件递交截止时间前</w:t>
      </w:r>
      <w:r>
        <w:rPr>
          <w:rFonts w:hint="eastAsia" w:ascii="宋体" w:hAnsi="宋体" w:eastAsia="宋体" w:cs="宋体"/>
          <w:color w:val="auto"/>
          <w:spacing w:val="11"/>
          <w:sz w:val="24"/>
          <w:szCs w:val="24"/>
        </w:rPr>
        <w:t xml:space="preserve"> </w:t>
      </w:r>
      <w:r>
        <w:rPr>
          <w:rFonts w:hint="eastAsia" w:ascii="宋体" w:hAnsi="宋体" w:eastAsia="宋体" w:cs="宋体"/>
          <w:color w:val="auto"/>
          <w:spacing w:val="-2"/>
          <w:sz w:val="24"/>
          <w:szCs w:val="24"/>
        </w:rPr>
        <w:t>完成在政采云平台的身份认证，确保在电子投标过程中能够对相关数据电文进行加密和使用电子签名。</w:t>
      </w:r>
    </w:p>
    <w:p w14:paraId="5108D1E7">
      <w:pPr>
        <w:spacing w:before="48" w:line="359" w:lineRule="auto"/>
        <w:ind w:left="1" w:right="230" w:firstLine="495"/>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13.6.4 </w:t>
      </w:r>
      <w:r>
        <w:rPr>
          <w:rFonts w:hint="eastAsia" w:ascii="宋体" w:hAnsi="宋体" w:eastAsia="宋体" w:cs="宋体"/>
          <w:color w:val="auto"/>
          <w:sz w:val="24"/>
          <w:szCs w:val="24"/>
          <w14:textOutline w14:w="4358" w14:cap="sq" w14:cmpd="sng">
            <w14:solidFill>
              <w14:srgbClr w14:val="000000"/>
            </w14:solidFill>
            <w14:prstDash w14:val="solid"/>
            <w14:bevel/>
          </w14:textOutline>
        </w:rPr>
        <w:t>投标文件中标注的投标人名称应与主体资格证明（如营业执照、事业单位法</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人证书、执业许可证、个体工商户营业执照、</w:t>
      </w:r>
      <w:r>
        <w:rPr>
          <w:rFonts w:hint="eastAsia" w:ascii="宋体" w:hAnsi="宋体" w:eastAsia="宋体" w:cs="宋体"/>
          <w:color w:val="auto"/>
          <w:spacing w:val="-68"/>
          <w:sz w:val="24"/>
          <w:szCs w:val="24"/>
        </w:rPr>
        <w:t xml:space="preserve"> </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自然人身份证等）和公章/电子签章一</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致，</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否则作无效投标处理</w:t>
      </w:r>
      <w:r>
        <w:rPr>
          <w:rFonts w:hint="eastAsia" w:ascii="宋体" w:hAnsi="宋体" w:eastAsia="宋体" w:cs="宋体"/>
          <w:color w:val="auto"/>
          <w:spacing w:val="-1"/>
          <w:sz w:val="24"/>
          <w:szCs w:val="24"/>
        </w:rPr>
        <w:t>。</w:t>
      </w:r>
    </w:p>
    <w:p w14:paraId="4AC5629D">
      <w:pPr>
        <w:spacing w:before="181" w:line="220" w:lineRule="auto"/>
        <w:outlineLvl w:val="9"/>
        <w:rPr>
          <w:rFonts w:hint="eastAsia" w:ascii="宋体" w:hAnsi="宋体" w:eastAsia="宋体" w:cs="宋体"/>
          <w:color w:val="auto"/>
          <w:sz w:val="24"/>
          <w:szCs w:val="24"/>
        </w:rPr>
      </w:pPr>
      <w:bookmarkStart w:id="37" w:name="_Toc12487"/>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14、投标文件的修改和撤回</w:t>
      </w:r>
      <w:bookmarkEnd w:id="37"/>
    </w:p>
    <w:p w14:paraId="0F51FBB4">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14.1 投标人在提交投标文件后可对其投标文件进行修改或撤回，补充或者修改投标文件的，应当先行撤回原文件，补充、修改后重新传输递交。投标文件提交截止时间前未 完成传输的，视为撤回投标文件。投标文件提交截止时间后递交的投标文件，政采云平台（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"https://www.zcygov.cn/"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https://www.zcygov.cn/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）将拒收。</w:t>
      </w:r>
    </w:p>
    <w:p w14:paraId="4EF6A9D9">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14.2 在投标文件提交截止时间前，除投标人补充、修改或者撤回投标文件外，任何</w:t>
      </w:r>
    </w:p>
    <w:p w14:paraId="28454207">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单位和个人不得解密或提取投标文件。</w:t>
      </w:r>
    </w:p>
    <w:p w14:paraId="5F8C1C61">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14.3 在投标截止时间（开标时间）之后，投标人不得对其投标文件做任何修改。</w:t>
      </w:r>
    </w:p>
    <w:p w14:paraId="4AB3009D">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14.4 从开标之时起，至投标有效期期满之间的这段时间内，投标人不得撤回其投标，否则根据投标人须知第</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0.6条的规定，其投标保证金将被没收。与其他投标人恶意串通而撤回投标的，按照《中华人民共和国政府采购法》第七十七条的规定处理。</w:t>
      </w:r>
    </w:p>
    <w:p w14:paraId="612F0E7C">
      <w:pPr>
        <w:spacing w:before="182" w:line="221" w:lineRule="auto"/>
        <w:outlineLvl w:val="9"/>
        <w:rPr>
          <w:rFonts w:hint="eastAsia" w:ascii="宋体" w:hAnsi="宋体" w:eastAsia="宋体" w:cs="宋体"/>
          <w:color w:val="auto"/>
          <w:sz w:val="24"/>
          <w:szCs w:val="24"/>
        </w:rPr>
      </w:pPr>
      <w:r>
        <w:rPr>
          <w:rFonts w:hint="eastAsia" w:ascii="宋体" w:hAnsi="宋体" w:eastAsia="宋体" w:cs="宋体"/>
          <w:color w:val="auto"/>
          <w:spacing w:val="-5"/>
          <w:sz w:val="24"/>
          <w:szCs w:val="24"/>
          <w14:textOutline w14:w="4358" w14:cap="sq" w14:cmpd="sng">
            <w14:solidFill>
              <w14:srgbClr w14:val="000000"/>
            </w14:solidFill>
            <w14:prstDash w14:val="solid"/>
            <w14:bevel/>
          </w14:textOutline>
        </w:rPr>
        <w:t>15、投标</w:t>
      </w:r>
    </w:p>
    <w:p w14:paraId="78EDB29A">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15.1</w:t>
      </w:r>
      <w:r>
        <w:rPr>
          <w:rFonts w:hint="eastAsia" w:ascii="宋体" w:hAnsi="宋体" w:eastAsia="宋体" w:cs="宋体"/>
          <w:color w:val="auto"/>
          <w:sz w:val="24"/>
          <w:szCs w:val="24"/>
        </w:rPr>
        <w:t>本项目开标方式为远程开标，供应商不到现场。供应商</w:t>
      </w:r>
      <w:r>
        <w:rPr>
          <w:rFonts w:hint="eastAsia" w:ascii="宋体" w:hAnsi="宋体" w:eastAsia="宋体" w:cs="宋体"/>
          <w:color w:val="auto"/>
          <w:sz w:val="24"/>
          <w:szCs w:val="24"/>
          <w:lang w:eastAsia="zh-CN"/>
        </w:rPr>
        <w:t>开标</w:t>
      </w:r>
      <w:r>
        <w:rPr>
          <w:rFonts w:hint="eastAsia" w:ascii="宋体" w:hAnsi="宋体" w:eastAsia="宋体" w:cs="宋体"/>
          <w:color w:val="auto"/>
          <w:sz w:val="24"/>
          <w:szCs w:val="24"/>
        </w:rPr>
        <w:t>时，需携带制作</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文件时用来加密的有效数字证书（CA认证）登录“政采云”平台电子开标大厅现场按规定时间对加密的响应文件进行解密。</w:t>
      </w:r>
    </w:p>
    <w:p w14:paraId="7CC3FB65">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15.2</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文件提交方式：本项目为全流程电子化项目，通过“政采云”平台（http：//www.zcygov.cn）实行在线电子投标，供应商应先安装“政采云电子交易客户端”（请自行前往“政采云”平台进行下载），并按照本项目</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文件和“政采云”平台的要求编制、加密后在</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文件提交截止时间前通过网络上传至“政采云”平台，供应商在“政采云”平台提交电子版</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文件时，请填写参加开标活动经办人联系方式。</w:t>
      </w:r>
    </w:p>
    <w:p w14:paraId="73949235">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15.3</w:t>
      </w:r>
      <w:r>
        <w:rPr>
          <w:rFonts w:hint="eastAsia" w:ascii="宋体" w:hAnsi="宋体" w:eastAsia="宋体" w:cs="宋体"/>
          <w:b/>
          <w:bCs/>
          <w:color w:val="auto"/>
          <w:sz w:val="24"/>
          <w:szCs w:val="24"/>
          <w:highlight w:val="none"/>
          <w:lang w:val="en-US" w:eastAsia="zh-CN"/>
        </w:rPr>
        <w:t>※开标结束后三小时内供应商须将响应文件纸质版（一正二副）、电子版U盘3份递交至吉林省吉诚工程咨询有限公司（长春市绿园区吾悦广场B座15楼1536室）用于项目存档使用（若未及时递交纸质版文件，所造成的后果自行承担）。</w:t>
      </w:r>
      <w:r>
        <w:rPr>
          <w:rFonts w:hint="eastAsia" w:ascii="宋体" w:hAnsi="宋体" w:eastAsia="宋体" w:cs="宋体"/>
          <w:color w:val="auto"/>
          <w:sz w:val="24"/>
          <w:szCs w:val="24"/>
        </w:rPr>
        <w:t>纸质版及电子版应与上传的加密文件一致。采用书册方式胶装，装订应牢固、整齐便于保管和利用，不易拆散和换页，不得采用活页装订。建议正反面打印装订。</w:t>
      </w:r>
    </w:p>
    <w:p w14:paraId="57331BC6">
      <w:pPr>
        <w:spacing w:before="189" w:line="220" w:lineRule="auto"/>
        <w:ind w:left="3106"/>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四、开标、资格性审查及评标</w:t>
      </w:r>
    </w:p>
    <w:p w14:paraId="4B970574">
      <w:pPr>
        <w:spacing w:before="179" w:line="221" w:lineRule="auto"/>
        <w:outlineLvl w:val="9"/>
        <w:rPr>
          <w:rFonts w:hint="eastAsia" w:ascii="宋体" w:hAnsi="宋体" w:eastAsia="宋体" w:cs="宋体"/>
          <w:color w:val="auto"/>
          <w:sz w:val="24"/>
          <w:szCs w:val="24"/>
        </w:rPr>
      </w:pPr>
      <w:r>
        <w:rPr>
          <w:rFonts w:hint="eastAsia" w:ascii="宋体" w:hAnsi="宋体" w:eastAsia="宋体" w:cs="宋体"/>
          <w:color w:val="auto"/>
          <w:spacing w:val="-5"/>
          <w:sz w:val="24"/>
          <w:szCs w:val="24"/>
          <w14:textOutline w14:w="4358" w14:cap="sq" w14:cmpd="sng">
            <w14:solidFill>
              <w14:srgbClr w14:val="000000"/>
            </w14:solidFill>
            <w14:prstDash w14:val="solid"/>
            <w14:bevel/>
          </w14:textOutline>
        </w:rPr>
        <w:t>16、开标</w:t>
      </w:r>
    </w:p>
    <w:p w14:paraId="0F976AF0">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16.1 采购代理机构将在</w:t>
      </w:r>
      <w:r>
        <w:rPr>
          <w:rFonts w:hint="eastAsia" w:ascii="宋体" w:hAnsi="宋体" w:eastAsia="宋体" w:cs="宋体"/>
          <w:color w:val="auto"/>
          <w:sz w:val="24"/>
          <w:szCs w:val="24"/>
          <w:lang w:eastAsia="zh-CN"/>
        </w:rPr>
        <w:t>招标公告</w:t>
      </w:r>
      <w:r>
        <w:rPr>
          <w:rFonts w:hint="eastAsia" w:ascii="宋体" w:hAnsi="宋体" w:eastAsia="宋体" w:cs="宋体"/>
          <w:color w:val="auto"/>
          <w:sz w:val="24"/>
          <w:szCs w:val="24"/>
        </w:rPr>
        <w:t>中规定的时间和地点组织公开开标，邀请投标人线</w:t>
      </w:r>
    </w:p>
    <w:p w14:paraId="3D6CEDD9">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上通过政采云平台参加。</w:t>
      </w:r>
    </w:p>
    <w:p w14:paraId="7542E0FE">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16.2 开标会由采购代理机构组织并主持。本项目开标使用政采云平台（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"https://www.zcygov.cn/"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https://www.zcygov.cn/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p>
    <w:p w14:paraId="7CE55A4E">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16.3 投标人不足3家的，不开标。</w:t>
      </w:r>
    </w:p>
    <w:p w14:paraId="639F4AB4">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16.4 开标过程将使用政采云平台（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"https://www.zcygov.cn/"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https://www.zcygov.cn/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）宣布投标人名称、投标价格和招标文件规定的需要宣布的其他内容并进行记录，并由参加开标的各投标人确认。投标人未在规定时间内确认一览表的，视同认可开标结果。</w:t>
      </w:r>
    </w:p>
    <w:p w14:paraId="34817B65">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16.5 按照规定，提交了可接受的“撤回”通知的投标将不予开封。撤回的投标文件将原封退回投标人。</w:t>
      </w:r>
    </w:p>
    <w:p w14:paraId="08C784F9">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16.6 开标过程由采购代理机构负责记录，并随采购文件一并存档。投标人代表对开标过程和开标记录有疑义，以及认为采购人、采购代理机构相关工作人员有需要回避的情形的，应当场提出询问或者回避申请。采购人、采购代理机构对投标人代表提出的询问或者回避申请将及时处理。投标人未参加开标的，视同认可开标结果。</w:t>
      </w:r>
    </w:p>
    <w:p w14:paraId="2EFBED45">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16.7 开标时有下列情形之一的，采购人有权宣布本项目废标：</w:t>
      </w:r>
    </w:p>
    <w:p w14:paraId="77BF310D">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（1）合同履行期限符合招标文件要求的投标人不足三家的；</w:t>
      </w:r>
    </w:p>
    <w:p w14:paraId="4818A6D9">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（2）所有投标人的报价均超过采购项目预算，采购人不能支付的。</w:t>
      </w:r>
    </w:p>
    <w:p w14:paraId="2DD2A900">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16.8 投标文件解密</w:t>
      </w:r>
    </w:p>
    <w:p w14:paraId="57E9A7B1">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16.8.1 投标人应当在招标文件规定的投标文件解密时间内对已上传的加密投标文件进行现场解密。如无特殊情况，解密工作须在投标截止时间后 30 分钟内完成。</w:t>
      </w:r>
    </w:p>
    <w:p w14:paraId="59DF2A1F">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16.8.2 投标人授权代表解密时应当使用制作加密电子投标文件的同一把数字证书对已上传的投标文件进行解密。</w:t>
      </w:r>
    </w:p>
    <w:p w14:paraId="27698A2C">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480" w:firstLineChars="200"/>
        <w:textAlignment w:val="baseline"/>
        <w:outlineLvl w:val="9"/>
        <w:rPr>
          <w:rFonts w:hint="eastAsia" w:ascii="宋体" w:hAnsi="宋体" w:eastAsia="宋体" w:cs="宋体"/>
          <w:b/>
          <w:bCs/>
          <w:color w:val="auto"/>
          <w:sz w:val="24"/>
          <w:szCs w:val="24"/>
        </w:rPr>
      </w:pPr>
      <w:r>
        <w:rPr>
          <w:rFonts w:hint="eastAsia" w:ascii="宋体" w:hAnsi="宋体" w:eastAsia="宋体" w:cs="宋体"/>
          <w:color w:val="auto"/>
          <w:sz w:val="24"/>
          <w:szCs w:val="24"/>
        </w:rPr>
        <w:t xml:space="preserve">16.8.3 </w:t>
      </w:r>
      <w:r>
        <w:rPr>
          <w:rFonts w:hint="eastAsia" w:ascii="宋体" w:hAnsi="宋体" w:eastAsia="宋体" w:cs="宋体"/>
          <w:b/>
          <w:bCs/>
          <w:color w:val="auto"/>
          <w:sz w:val="24"/>
          <w:szCs w:val="24"/>
        </w:rPr>
        <w:t>因投标人自身原因，逾期未能成功解密的，视为逾期未提交投标文件，其投标无效。</w:t>
      </w:r>
    </w:p>
    <w:p w14:paraId="3BB7EDAA">
      <w:pPr>
        <w:spacing w:before="181" w:line="220" w:lineRule="auto"/>
        <w:ind w:left="669"/>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17、资格性审查</w:t>
      </w:r>
    </w:p>
    <w:p w14:paraId="7A8FB960">
      <w:pPr>
        <w:spacing w:before="180" w:line="468" w:lineRule="exact"/>
        <w:ind w:firstLine="244" w:firstLineChars="100"/>
        <w:outlineLvl w:val="9"/>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17.1</w:t>
      </w:r>
      <w:r>
        <w:rPr>
          <w:rFonts w:hint="eastAsia" w:ascii="宋体" w:hAnsi="宋体" w:eastAsia="宋体" w:cs="宋体"/>
          <w:color w:val="auto"/>
          <w:spacing w:val="-45"/>
          <w:position w:val="17"/>
          <w:sz w:val="24"/>
          <w:szCs w:val="24"/>
        </w:rPr>
        <w:t xml:space="preserve"> </w:t>
      </w:r>
      <w:r>
        <w:rPr>
          <w:rFonts w:hint="eastAsia" w:ascii="宋体" w:hAnsi="宋体" w:eastAsia="宋体" w:cs="宋体"/>
          <w:color w:val="auto"/>
          <w:spacing w:val="2"/>
          <w:position w:val="17"/>
          <w:sz w:val="24"/>
          <w:szCs w:val="24"/>
        </w:rPr>
        <w:t>开标结束后，采购人将依法对投标人的资格进行审查，并详细填写下表。合格</w:t>
      </w:r>
    </w:p>
    <w:p w14:paraId="2BFF2033">
      <w:pPr>
        <w:spacing w:before="1" w:line="220" w:lineRule="auto"/>
        <w:ind w:left="174"/>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rPr>
        <w:t>投标人不足</w:t>
      </w:r>
      <w:r>
        <w:rPr>
          <w:rFonts w:hint="eastAsia" w:ascii="宋体" w:hAnsi="宋体" w:eastAsia="宋体" w:cs="宋体"/>
          <w:color w:val="auto"/>
          <w:spacing w:val="-40"/>
          <w:sz w:val="24"/>
          <w:szCs w:val="24"/>
        </w:rPr>
        <w:t xml:space="preserve"> </w:t>
      </w:r>
      <w:r>
        <w:rPr>
          <w:rFonts w:hint="eastAsia" w:ascii="宋体" w:hAnsi="宋体" w:eastAsia="宋体" w:cs="宋体"/>
          <w:color w:val="auto"/>
          <w:spacing w:val="-3"/>
          <w:sz w:val="24"/>
          <w:szCs w:val="24"/>
        </w:rPr>
        <w:t>3</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3"/>
          <w:sz w:val="24"/>
          <w:szCs w:val="24"/>
        </w:rPr>
        <w:t>家的，不进行评标。</w:t>
      </w:r>
    </w:p>
    <w:p w14:paraId="3826E405">
      <w:pPr>
        <w:outlineLvl w:val="9"/>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br w:type="page"/>
      </w:r>
    </w:p>
    <w:p w14:paraId="74584979">
      <w:pPr>
        <w:keepNext w:val="0"/>
        <w:keepLines w:val="0"/>
        <w:pageBreakBefore w:val="0"/>
        <w:widowControl/>
        <w:kinsoku w:val="0"/>
        <w:wordWrap/>
        <w:overflowPunct/>
        <w:topLinePunct w:val="0"/>
        <w:autoSpaceDE w:val="0"/>
        <w:autoSpaceDN w:val="0"/>
        <w:bidi w:val="0"/>
        <w:adjustRightInd w:val="0"/>
        <w:snapToGrid w:val="0"/>
        <w:spacing w:before="178" w:after="0" w:afterLines="50" w:line="221" w:lineRule="auto"/>
        <w:jc w:val="center"/>
        <w:textAlignment w:val="baseline"/>
        <w:outlineLvl w:val="9"/>
        <w:rPr>
          <w:rFonts w:hint="eastAsia" w:ascii="宋体" w:hAnsi="宋体" w:eastAsia="宋体" w:cs="宋体"/>
          <w:b/>
          <w:bCs/>
          <w:color w:val="auto"/>
          <w:spacing w:val="-4"/>
          <w:sz w:val="28"/>
          <w:szCs w:val="28"/>
          <w:lang w:eastAsia="zh-CN"/>
        </w:rPr>
      </w:pPr>
      <w:r>
        <w:rPr>
          <w:rFonts w:hint="eastAsia" w:ascii="宋体" w:hAnsi="宋体" w:eastAsia="宋体" w:cs="宋体"/>
          <w:b/>
          <w:bCs/>
          <w:color w:val="auto"/>
          <w:spacing w:val="-4"/>
          <w:sz w:val="28"/>
          <w:szCs w:val="28"/>
        </w:rPr>
        <w:t>资格性审查表</w:t>
      </w:r>
    </w:p>
    <w:tbl>
      <w:tblPr>
        <w:tblStyle w:val="14"/>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24"/>
        <w:gridCol w:w="3700"/>
        <w:gridCol w:w="3819"/>
      </w:tblGrid>
      <w:tr w14:paraId="25954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5" w:type="dxa"/>
            <w:vAlign w:val="center"/>
          </w:tcPr>
          <w:p w14:paraId="0B67BB0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bCs/>
                <w:color w:val="auto"/>
                <w:spacing w:val="-4"/>
                <w:sz w:val="24"/>
                <w:szCs w:val="24"/>
                <w:vertAlign w:val="baseline"/>
                <w:lang w:eastAsia="zh-CN"/>
              </w:rPr>
            </w:pPr>
            <w:r>
              <w:rPr>
                <w:rFonts w:hint="eastAsia" w:ascii="宋体" w:hAnsi="宋体" w:eastAsia="宋体" w:cs="宋体"/>
                <w:b/>
                <w:bCs/>
                <w:color w:val="auto"/>
                <w:spacing w:val="-5"/>
                <w:sz w:val="24"/>
                <w:szCs w:val="24"/>
              </w:rPr>
              <w:t>序号</w:t>
            </w:r>
          </w:p>
        </w:tc>
        <w:tc>
          <w:tcPr>
            <w:tcW w:w="1324" w:type="dxa"/>
            <w:vAlign w:val="center"/>
          </w:tcPr>
          <w:p w14:paraId="78A1E28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bCs/>
                <w:color w:val="auto"/>
                <w:spacing w:val="-4"/>
                <w:sz w:val="24"/>
                <w:szCs w:val="24"/>
                <w:vertAlign w:val="baseline"/>
                <w:lang w:eastAsia="zh-CN"/>
              </w:rPr>
            </w:pPr>
            <w:r>
              <w:rPr>
                <w:rFonts w:hint="eastAsia" w:ascii="宋体" w:hAnsi="宋体" w:eastAsia="宋体" w:cs="宋体"/>
                <w:b/>
                <w:bCs/>
                <w:color w:val="auto"/>
                <w:spacing w:val="-5"/>
                <w:sz w:val="24"/>
                <w:szCs w:val="24"/>
              </w:rPr>
              <w:t>类型</w:t>
            </w:r>
          </w:p>
        </w:tc>
        <w:tc>
          <w:tcPr>
            <w:tcW w:w="3700" w:type="dxa"/>
            <w:vAlign w:val="center"/>
          </w:tcPr>
          <w:p w14:paraId="6A47988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bCs/>
                <w:color w:val="auto"/>
                <w:spacing w:val="-4"/>
                <w:sz w:val="24"/>
                <w:szCs w:val="24"/>
                <w:vertAlign w:val="baseline"/>
                <w:lang w:eastAsia="zh-CN"/>
              </w:rPr>
            </w:pPr>
            <w:r>
              <w:rPr>
                <w:rFonts w:hint="eastAsia" w:ascii="宋体" w:hAnsi="宋体" w:eastAsia="宋体" w:cs="宋体"/>
                <w:b/>
                <w:bCs/>
                <w:color w:val="auto"/>
                <w:spacing w:val="-5"/>
                <w:sz w:val="24"/>
                <w:szCs w:val="24"/>
              </w:rPr>
              <w:t>审查内容</w:t>
            </w:r>
          </w:p>
        </w:tc>
        <w:tc>
          <w:tcPr>
            <w:tcW w:w="3819" w:type="dxa"/>
            <w:vAlign w:val="center"/>
          </w:tcPr>
          <w:p w14:paraId="017BCAA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bCs/>
                <w:color w:val="auto"/>
                <w:spacing w:val="-4"/>
                <w:sz w:val="24"/>
                <w:szCs w:val="24"/>
                <w:vertAlign w:val="baseline"/>
                <w:lang w:eastAsia="zh-CN"/>
              </w:rPr>
            </w:pPr>
            <w:r>
              <w:rPr>
                <w:rFonts w:hint="eastAsia" w:ascii="宋体" w:hAnsi="宋体" w:eastAsia="宋体" w:cs="宋体"/>
                <w:b/>
                <w:bCs/>
                <w:color w:val="auto"/>
                <w:spacing w:val="-3"/>
                <w:sz w:val="24"/>
                <w:szCs w:val="24"/>
              </w:rPr>
              <w:t>要求说明</w:t>
            </w:r>
          </w:p>
        </w:tc>
      </w:tr>
      <w:tr w14:paraId="6FFF5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4624D69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val="en-US" w:eastAsia="zh-CN"/>
              </w:rPr>
              <w:t>1</w:t>
            </w:r>
          </w:p>
        </w:tc>
        <w:tc>
          <w:tcPr>
            <w:tcW w:w="1324" w:type="dxa"/>
            <w:vAlign w:val="center"/>
          </w:tcPr>
          <w:p w14:paraId="64663CA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pacing w:val="-4"/>
                <w:sz w:val="24"/>
                <w:szCs w:val="24"/>
                <w:vertAlign w:val="baseline"/>
                <w:lang w:eastAsia="zh-CN"/>
              </w:rPr>
              <w:t>基本资质1</w:t>
            </w:r>
          </w:p>
        </w:tc>
        <w:tc>
          <w:tcPr>
            <w:tcW w:w="3700" w:type="dxa"/>
            <w:vAlign w:val="center"/>
          </w:tcPr>
          <w:p w14:paraId="3F7C471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highlight w:val="none"/>
                <w:vertAlign w:val="baseline"/>
                <w:lang w:eastAsia="zh-CN"/>
              </w:rPr>
            </w:pPr>
            <w:r>
              <w:rPr>
                <w:rFonts w:hint="eastAsia" w:ascii="宋体" w:hAnsi="宋体" w:eastAsia="宋体" w:cs="宋体"/>
                <w:color w:val="auto"/>
                <w:spacing w:val="-4"/>
                <w:sz w:val="24"/>
                <w:szCs w:val="24"/>
                <w:highlight w:val="none"/>
                <w:vertAlign w:val="baseline"/>
                <w:lang w:eastAsia="zh-CN"/>
              </w:rPr>
              <w:t>具有独立承担民事责任的能力。</w:t>
            </w:r>
          </w:p>
        </w:tc>
        <w:tc>
          <w:tcPr>
            <w:tcW w:w="3819" w:type="dxa"/>
            <w:vAlign w:val="center"/>
          </w:tcPr>
          <w:p w14:paraId="5E465F93">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highlight w:val="none"/>
                <w:vertAlign w:val="baseline"/>
                <w:lang w:eastAsia="zh-CN"/>
              </w:rPr>
            </w:pPr>
            <w:r>
              <w:rPr>
                <w:rFonts w:hint="eastAsia" w:ascii="宋体" w:hAnsi="宋体" w:eastAsia="宋体" w:cs="宋体"/>
                <w:color w:val="auto"/>
                <w:spacing w:val="-4"/>
                <w:sz w:val="24"/>
                <w:szCs w:val="24"/>
                <w:highlight w:val="none"/>
                <w:vertAlign w:val="baseline"/>
                <w:lang w:eastAsia="zh-CN"/>
              </w:rPr>
              <w:t>投标人为企业（包括合伙企业）的，应提供有效的“营业执照”；</w:t>
            </w:r>
          </w:p>
          <w:p w14:paraId="7B80C0CA">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highlight w:val="none"/>
                <w:vertAlign w:val="baseline"/>
                <w:lang w:eastAsia="zh-CN"/>
              </w:rPr>
            </w:pPr>
            <w:r>
              <w:rPr>
                <w:rFonts w:hint="eastAsia" w:ascii="宋体" w:hAnsi="宋体" w:eastAsia="宋体" w:cs="宋体"/>
                <w:color w:val="auto"/>
                <w:spacing w:val="-4"/>
                <w:sz w:val="24"/>
                <w:szCs w:val="24"/>
                <w:highlight w:val="none"/>
                <w:vertAlign w:val="baseline"/>
                <w:lang w:eastAsia="zh-CN"/>
              </w:rPr>
              <w:t>投标人为事业单位的，应提供有效的“事业单位法人证书”；</w:t>
            </w:r>
          </w:p>
          <w:p w14:paraId="7F2D897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highlight w:val="none"/>
                <w:vertAlign w:val="baseline"/>
                <w:lang w:eastAsia="zh-CN"/>
              </w:rPr>
            </w:pPr>
            <w:r>
              <w:rPr>
                <w:rFonts w:hint="eastAsia" w:ascii="宋体" w:hAnsi="宋体" w:eastAsia="宋体" w:cs="宋体"/>
                <w:color w:val="auto"/>
                <w:spacing w:val="-4"/>
                <w:sz w:val="24"/>
                <w:szCs w:val="24"/>
                <w:highlight w:val="none"/>
                <w:vertAlign w:val="baseline"/>
                <w:lang w:eastAsia="zh-CN"/>
              </w:rPr>
              <w:t>投标人是非企业机构的，应提供有效的“执业许可证”、“登记证书”等证明文件；</w:t>
            </w:r>
          </w:p>
          <w:p w14:paraId="41B1E4B3">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highlight w:val="none"/>
                <w:vertAlign w:val="baseline"/>
                <w:lang w:eastAsia="zh-CN"/>
              </w:rPr>
            </w:pPr>
            <w:r>
              <w:rPr>
                <w:rFonts w:hint="eastAsia" w:ascii="宋体" w:hAnsi="宋体" w:eastAsia="宋体" w:cs="宋体"/>
                <w:color w:val="auto"/>
                <w:spacing w:val="-4"/>
                <w:sz w:val="24"/>
                <w:szCs w:val="24"/>
                <w:highlight w:val="none"/>
                <w:vertAlign w:val="baseline"/>
                <w:lang w:eastAsia="zh-CN"/>
              </w:rPr>
              <w:t>投标人是个体工商户的，应提供有效的“个体工商户营业执照”；</w:t>
            </w:r>
          </w:p>
          <w:p w14:paraId="4EB48596">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highlight w:val="none"/>
                <w:vertAlign w:val="baseline"/>
                <w:lang w:eastAsia="zh-CN"/>
              </w:rPr>
            </w:pPr>
            <w:r>
              <w:rPr>
                <w:rFonts w:hint="eastAsia" w:ascii="宋体" w:hAnsi="宋体" w:eastAsia="宋体" w:cs="宋体"/>
                <w:color w:val="auto"/>
                <w:spacing w:val="-4"/>
                <w:sz w:val="24"/>
                <w:szCs w:val="24"/>
                <w:highlight w:val="none"/>
                <w:vertAlign w:val="baseline"/>
                <w:lang w:eastAsia="zh-CN"/>
              </w:rPr>
              <w:t>投标人是自然人的，应提供有效的自然人身份证明。</w:t>
            </w:r>
          </w:p>
        </w:tc>
      </w:tr>
      <w:tr w14:paraId="03ECB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60D4C45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val="en-US" w:eastAsia="zh-CN"/>
              </w:rPr>
              <w:t>2</w:t>
            </w:r>
          </w:p>
        </w:tc>
        <w:tc>
          <w:tcPr>
            <w:tcW w:w="1324" w:type="dxa"/>
            <w:vAlign w:val="center"/>
          </w:tcPr>
          <w:p w14:paraId="5592215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eastAsia="zh-CN"/>
              </w:rPr>
              <w:t>基本资质</w:t>
            </w:r>
            <w:r>
              <w:rPr>
                <w:rFonts w:hint="eastAsia" w:ascii="宋体" w:hAnsi="宋体" w:eastAsia="宋体" w:cs="宋体"/>
                <w:color w:val="auto"/>
                <w:spacing w:val="-4"/>
                <w:sz w:val="24"/>
                <w:szCs w:val="24"/>
                <w:vertAlign w:val="baseline"/>
                <w:lang w:val="en-US" w:eastAsia="zh-CN"/>
              </w:rPr>
              <w:t>2</w:t>
            </w:r>
          </w:p>
        </w:tc>
        <w:tc>
          <w:tcPr>
            <w:tcW w:w="3700" w:type="dxa"/>
            <w:vAlign w:val="center"/>
          </w:tcPr>
          <w:p w14:paraId="4B5DCA39">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highlight w:val="none"/>
                <w:vertAlign w:val="baseline"/>
                <w:lang w:eastAsia="zh-CN"/>
              </w:rPr>
            </w:pPr>
            <w:r>
              <w:rPr>
                <w:rFonts w:hint="eastAsia" w:ascii="宋体" w:hAnsi="宋体" w:eastAsia="宋体" w:cs="宋体"/>
                <w:color w:val="auto"/>
                <w:sz w:val="24"/>
                <w:szCs w:val="24"/>
                <w:highlight w:val="none"/>
                <w:lang w:val="en-US"/>
              </w:rPr>
              <w:t>具有良好的商业信誉和健全的财务会计制度</w:t>
            </w:r>
            <w:r>
              <w:rPr>
                <w:rFonts w:hint="eastAsia" w:ascii="宋体" w:hAnsi="宋体" w:eastAsia="宋体" w:cs="宋体"/>
                <w:color w:val="auto"/>
                <w:sz w:val="24"/>
                <w:szCs w:val="24"/>
                <w:highlight w:val="none"/>
                <w:lang w:val="en-US" w:eastAsia="zh-CN"/>
              </w:rPr>
              <w:t>、具有依法缴纳税收和社会保障资金的良好记录。</w:t>
            </w:r>
          </w:p>
        </w:tc>
        <w:tc>
          <w:tcPr>
            <w:tcW w:w="3819" w:type="dxa"/>
            <w:vAlign w:val="center"/>
          </w:tcPr>
          <w:p w14:paraId="346DEC65">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highlight w:val="none"/>
                <w:vertAlign w:val="baseline"/>
                <w:lang w:eastAsia="zh-CN"/>
              </w:rPr>
            </w:pPr>
            <w:r>
              <w:rPr>
                <w:rFonts w:hint="eastAsia" w:ascii="宋体" w:hAnsi="宋体" w:eastAsia="宋体" w:cs="宋体"/>
                <w:color w:val="auto"/>
                <w:spacing w:val="-4"/>
                <w:sz w:val="24"/>
                <w:szCs w:val="24"/>
                <w:highlight w:val="none"/>
                <w:vertAlign w:val="baseline"/>
                <w:lang w:eastAsia="zh-CN"/>
              </w:rPr>
              <w:t>提供资格条件承诺函</w:t>
            </w:r>
          </w:p>
        </w:tc>
      </w:tr>
      <w:tr w14:paraId="1D9A4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1A61EF2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val="en-US" w:eastAsia="zh-CN"/>
              </w:rPr>
              <w:t>3</w:t>
            </w:r>
          </w:p>
        </w:tc>
        <w:tc>
          <w:tcPr>
            <w:tcW w:w="1324" w:type="dxa"/>
            <w:vAlign w:val="center"/>
          </w:tcPr>
          <w:p w14:paraId="52E8986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eastAsia="zh-CN"/>
              </w:rPr>
              <w:t>基本资质</w:t>
            </w:r>
            <w:r>
              <w:rPr>
                <w:rFonts w:hint="eastAsia" w:ascii="宋体" w:hAnsi="宋体" w:eastAsia="宋体" w:cs="宋体"/>
                <w:color w:val="auto"/>
                <w:spacing w:val="-4"/>
                <w:sz w:val="24"/>
                <w:szCs w:val="24"/>
                <w:vertAlign w:val="baseline"/>
                <w:lang w:val="en-US" w:eastAsia="zh-CN"/>
              </w:rPr>
              <w:t>3</w:t>
            </w:r>
          </w:p>
        </w:tc>
        <w:tc>
          <w:tcPr>
            <w:tcW w:w="3700" w:type="dxa"/>
            <w:vAlign w:val="center"/>
          </w:tcPr>
          <w:p w14:paraId="20C1EDB3">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color w:val="auto"/>
                <w:spacing w:val="-4"/>
                <w:sz w:val="24"/>
                <w:szCs w:val="24"/>
                <w:vertAlign w:val="baseline"/>
                <w:lang w:eastAsia="zh-CN"/>
              </w:rPr>
              <w:t>（1）拒绝列入政府取消投标资格记录期间的企业或个人投标。（2）供应商不得为“信用中国”网站（www.creditchina.gov.cn）中列入失信被执行人和重大税收违法失信主体的供应商，不得为中国政府采购网（www.ccgp.gov.cn）政府采购严重违法失信行为记录名单中被财政部门禁止参加政府采购活动的供应商（在处罚决定规定的时间和地域范围内）（详见财库【2016】125号文）。</w:t>
            </w:r>
          </w:p>
        </w:tc>
        <w:tc>
          <w:tcPr>
            <w:tcW w:w="3819" w:type="dxa"/>
            <w:vAlign w:val="center"/>
          </w:tcPr>
          <w:p w14:paraId="1373476B">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color w:val="auto"/>
                <w:spacing w:val="-4"/>
                <w:sz w:val="24"/>
                <w:szCs w:val="24"/>
                <w:vertAlign w:val="baseline"/>
                <w:lang w:eastAsia="zh-CN"/>
              </w:rPr>
              <w:t>提供承诺书及相关网站截图，格式自拟</w:t>
            </w:r>
          </w:p>
        </w:tc>
      </w:tr>
      <w:tr w14:paraId="2B9DD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42FAA3C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val="en-US" w:eastAsia="zh-CN"/>
              </w:rPr>
              <w:t>4</w:t>
            </w:r>
          </w:p>
        </w:tc>
        <w:tc>
          <w:tcPr>
            <w:tcW w:w="1324" w:type="dxa"/>
            <w:vAlign w:val="center"/>
          </w:tcPr>
          <w:p w14:paraId="442D9C4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eastAsia="zh-CN"/>
              </w:rPr>
              <w:t>基本资质</w:t>
            </w:r>
            <w:r>
              <w:rPr>
                <w:rFonts w:hint="eastAsia" w:ascii="宋体" w:hAnsi="宋体" w:eastAsia="宋体" w:cs="宋体"/>
                <w:color w:val="auto"/>
                <w:spacing w:val="-4"/>
                <w:sz w:val="24"/>
                <w:szCs w:val="24"/>
                <w:vertAlign w:val="baseline"/>
                <w:lang w:val="en-US" w:eastAsia="zh-CN"/>
              </w:rPr>
              <w:t>4</w:t>
            </w:r>
          </w:p>
        </w:tc>
        <w:tc>
          <w:tcPr>
            <w:tcW w:w="3700" w:type="dxa"/>
            <w:vAlign w:val="center"/>
          </w:tcPr>
          <w:p w14:paraId="54B08804">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snapToGrid w:val="0"/>
                <w:color w:val="auto"/>
                <w:spacing w:val="-4"/>
                <w:kern w:val="0"/>
                <w:sz w:val="24"/>
                <w:szCs w:val="24"/>
                <w:vertAlign w:val="baseline"/>
                <w:lang w:val="en-US" w:eastAsia="zh-CN" w:bidi="ar-SA"/>
              </w:rPr>
              <w:t>与采购人存在利害关系可能影响采购公正性的法人、其它组织或者个人，不得参加投标；单位负责人为同一人或者存在直接控股、管理关系的不同供应商，不得参加同一合同项下的政府采购活动。否则相关投标无效。</w:t>
            </w:r>
          </w:p>
        </w:tc>
        <w:tc>
          <w:tcPr>
            <w:tcW w:w="3819" w:type="dxa"/>
            <w:vAlign w:val="center"/>
          </w:tcPr>
          <w:p w14:paraId="718A263E">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color w:val="auto"/>
                <w:spacing w:val="-4"/>
                <w:sz w:val="24"/>
                <w:szCs w:val="24"/>
                <w:vertAlign w:val="baseline"/>
                <w:lang w:eastAsia="zh-CN"/>
              </w:rPr>
              <w:t>提供书面声明，格式自拟</w:t>
            </w:r>
          </w:p>
        </w:tc>
      </w:tr>
      <w:tr w14:paraId="75B57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56F13BD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val="en-US" w:eastAsia="zh-CN"/>
              </w:rPr>
              <w:t>5</w:t>
            </w:r>
          </w:p>
        </w:tc>
        <w:tc>
          <w:tcPr>
            <w:tcW w:w="1324" w:type="dxa"/>
            <w:vAlign w:val="center"/>
          </w:tcPr>
          <w:p w14:paraId="00C6A00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eastAsia="zh-CN"/>
              </w:rPr>
              <w:t>基本资质</w:t>
            </w:r>
            <w:r>
              <w:rPr>
                <w:rFonts w:hint="eastAsia" w:ascii="宋体" w:hAnsi="宋体" w:eastAsia="宋体" w:cs="宋体"/>
                <w:color w:val="auto"/>
                <w:spacing w:val="-4"/>
                <w:sz w:val="24"/>
                <w:szCs w:val="24"/>
                <w:vertAlign w:val="baseline"/>
                <w:lang w:val="en-US" w:eastAsia="zh-CN"/>
              </w:rPr>
              <w:t>5</w:t>
            </w:r>
          </w:p>
        </w:tc>
        <w:tc>
          <w:tcPr>
            <w:tcW w:w="3700" w:type="dxa"/>
            <w:vAlign w:val="center"/>
          </w:tcPr>
          <w:p w14:paraId="24CFF677">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color w:val="auto"/>
                <w:spacing w:val="-4"/>
                <w:sz w:val="24"/>
                <w:szCs w:val="24"/>
                <w:vertAlign w:val="baseline"/>
                <w:lang w:eastAsia="zh-CN"/>
              </w:rPr>
              <w:t>不接受联合体投标</w:t>
            </w:r>
          </w:p>
        </w:tc>
        <w:tc>
          <w:tcPr>
            <w:tcW w:w="3819" w:type="dxa"/>
            <w:vAlign w:val="center"/>
          </w:tcPr>
          <w:p w14:paraId="2A68F5F3">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color w:val="auto"/>
                <w:spacing w:val="-4"/>
                <w:sz w:val="24"/>
                <w:szCs w:val="24"/>
                <w:vertAlign w:val="baseline"/>
                <w:lang w:eastAsia="zh-CN"/>
              </w:rPr>
              <w:t>非联合体投标</w:t>
            </w:r>
          </w:p>
        </w:tc>
      </w:tr>
      <w:tr w14:paraId="786BD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7FE0F65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val="en-US" w:eastAsia="zh-CN"/>
              </w:rPr>
              <w:t>6</w:t>
            </w:r>
          </w:p>
        </w:tc>
        <w:tc>
          <w:tcPr>
            <w:tcW w:w="1324" w:type="dxa"/>
            <w:vAlign w:val="center"/>
          </w:tcPr>
          <w:p w14:paraId="2A0BC5C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eastAsia="zh-CN"/>
              </w:rPr>
              <w:t>基本资质</w:t>
            </w:r>
            <w:r>
              <w:rPr>
                <w:rFonts w:hint="eastAsia" w:ascii="宋体" w:hAnsi="宋体" w:eastAsia="宋体" w:cs="宋体"/>
                <w:color w:val="auto"/>
                <w:spacing w:val="-4"/>
                <w:sz w:val="24"/>
                <w:szCs w:val="24"/>
                <w:vertAlign w:val="baseline"/>
                <w:lang w:val="en-US" w:eastAsia="zh-CN"/>
              </w:rPr>
              <w:t>6</w:t>
            </w:r>
          </w:p>
        </w:tc>
        <w:tc>
          <w:tcPr>
            <w:tcW w:w="3700" w:type="dxa"/>
            <w:vAlign w:val="center"/>
          </w:tcPr>
          <w:p w14:paraId="63489DF4">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highlight w:val="none"/>
                <w:vertAlign w:val="baseline"/>
                <w:lang w:val="en-US" w:eastAsia="zh-CN" w:bidi="ar-SA"/>
              </w:rPr>
            </w:pPr>
            <w:r>
              <w:rPr>
                <w:rFonts w:hint="eastAsia" w:ascii="宋体" w:hAnsi="宋体" w:eastAsia="宋体" w:cs="宋体"/>
                <w:color w:val="auto"/>
                <w:spacing w:val="-4"/>
                <w:sz w:val="24"/>
                <w:szCs w:val="24"/>
                <w:highlight w:val="none"/>
                <w:vertAlign w:val="baseline"/>
                <w:lang w:eastAsia="zh-CN"/>
              </w:rPr>
              <w:t>本项目特定的资格要求的证明材料</w:t>
            </w:r>
          </w:p>
        </w:tc>
        <w:tc>
          <w:tcPr>
            <w:tcW w:w="3819" w:type="dxa"/>
            <w:vAlign w:val="center"/>
          </w:tcPr>
          <w:p w14:paraId="12061C36">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highlight w:val="none"/>
                <w:vertAlign w:val="baseline"/>
                <w:lang w:val="en-US" w:eastAsia="zh-CN" w:bidi="ar-SA"/>
              </w:rPr>
            </w:pPr>
            <w:r>
              <w:rPr>
                <w:rFonts w:hint="eastAsia" w:ascii="宋体" w:hAnsi="宋体" w:eastAsia="宋体" w:cs="宋体"/>
                <w:snapToGrid w:val="0"/>
                <w:color w:val="auto"/>
                <w:spacing w:val="-4"/>
                <w:kern w:val="0"/>
                <w:sz w:val="24"/>
                <w:szCs w:val="24"/>
                <w:highlight w:val="none"/>
                <w:vertAlign w:val="baseline"/>
                <w:lang w:val="en-US" w:eastAsia="zh-CN" w:bidi="ar-SA"/>
              </w:rPr>
              <w:t>具有《中华人民共和国基础电信业务经营许可证》和《中华人民共和国增值电信业务经营许可证》</w:t>
            </w:r>
          </w:p>
        </w:tc>
      </w:tr>
      <w:tr w14:paraId="34CE4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613B48C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val="en-US" w:eastAsia="zh-CN"/>
              </w:rPr>
              <w:t>7</w:t>
            </w:r>
          </w:p>
        </w:tc>
        <w:tc>
          <w:tcPr>
            <w:tcW w:w="1324" w:type="dxa"/>
            <w:vAlign w:val="center"/>
          </w:tcPr>
          <w:p w14:paraId="70D0340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eastAsia="zh-CN"/>
              </w:rPr>
              <w:t>基本资质</w:t>
            </w:r>
            <w:r>
              <w:rPr>
                <w:rFonts w:hint="eastAsia" w:ascii="宋体" w:hAnsi="宋体" w:eastAsia="宋体" w:cs="宋体"/>
                <w:color w:val="auto"/>
                <w:spacing w:val="-4"/>
                <w:sz w:val="24"/>
                <w:szCs w:val="24"/>
                <w:vertAlign w:val="baseline"/>
                <w:lang w:val="en-US" w:eastAsia="zh-CN"/>
              </w:rPr>
              <w:t>7</w:t>
            </w:r>
          </w:p>
        </w:tc>
        <w:tc>
          <w:tcPr>
            <w:tcW w:w="3700" w:type="dxa"/>
            <w:vAlign w:val="center"/>
          </w:tcPr>
          <w:p w14:paraId="6A0C3EF2">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color w:val="auto"/>
                <w:spacing w:val="-4"/>
                <w:sz w:val="24"/>
                <w:szCs w:val="24"/>
                <w:vertAlign w:val="baseline"/>
                <w:lang w:eastAsia="zh-CN"/>
              </w:rPr>
              <w:t>按招标文件中的要求提交了投标保证金，保证金金额和形式符合招标文件要求</w:t>
            </w:r>
          </w:p>
        </w:tc>
        <w:tc>
          <w:tcPr>
            <w:tcW w:w="3819" w:type="dxa"/>
            <w:vAlign w:val="center"/>
          </w:tcPr>
          <w:p w14:paraId="6838EB20">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snapToGrid w:val="0"/>
                <w:color w:val="auto"/>
                <w:spacing w:val="-4"/>
                <w:kern w:val="0"/>
                <w:sz w:val="24"/>
                <w:szCs w:val="24"/>
                <w:vertAlign w:val="baseline"/>
                <w:lang w:val="en-US" w:eastAsia="zh-CN" w:bidi="ar-SA"/>
              </w:rPr>
              <w:t>注：依据长财采购【2021】695号文件的规定，对于满足《中华人民共和国政府采购法》第二十二条有关规定，经“信用中国”网站查询不存在行政处罚信息的、诚信记录良好的投标人，无需交纳投标保证金。</w:t>
            </w:r>
          </w:p>
        </w:tc>
      </w:tr>
    </w:tbl>
    <w:p w14:paraId="2935E355">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注：本表中符合评审内容要求的写“√”,不符合评审内容要求的写“×”。结论为“合格”或“不合格”。</w:t>
      </w:r>
    </w:p>
    <w:p w14:paraId="76DD9D2F">
      <w:pPr>
        <w:bidi w:val="0"/>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p>
    <w:p w14:paraId="098117BD">
      <w:pPr>
        <w:bidi w:val="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18、评标过程的保密性</w:t>
      </w:r>
    </w:p>
    <w:p w14:paraId="55CA912E">
      <w:pPr>
        <w:spacing w:before="178" w:line="360" w:lineRule="auto"/>
        <w:ind w:right="159" w:firstLine="244" w:firstLineChars="100"/>
        <w:jc w:val="both"/>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18.1</w:t>
      </w:r>
      <w:r>
        <w:rPr>
          <w:rFonts w:hint="eastAsia" w:ascii="宋体" w:hAnsi="宋体" w:eastAsia="宋体" w:cs="宋体"/>
          <w:color w:val="auto"/>
          <w:spacing w:val="-39"/>
          <w:sz w:val="24"/>
          <w:szCs w:val="24"/>
        </w:rPr>
        <w:t xml:space="preserve"> </w:t>
      </w:r>
      <w:r>
        <w:rPr>
          <w:rFonts w:hint="eastAsia" w:ascii="宋体" w:hAnsi="宋体" w:eastAsia="宋体" w:cs="宋体"/>
          <w:color w:val="auto"/>
          <w:spacing w:val="2"/>
          <w:sz w:val="24"/>
          <w:szCs w:val="24"/>
        </w:rPr>
        <w:t>公开开标后，直至向中标的投标人授予合同时止，除按招标文件</w:t>
      </w:r>
      <w:r>
        <w:rPr>
          <w:rFonts w:hint="eastAsia" w:ascii="宋体" w:hAnsi="宋体" w:eastAsia="宋体" w:cs="宋体"/>
          <w:color w:val="auto"/>
          <w:spacing w:val="1"/>
          <w:sz w:val="24"/>
          <w:szCs w:val="24"/>
        </w:rPr>
        <w:t>规定予以公开</w:t>
      </w:r>
      <w:r>
        <w:rPr>
          <w:rFonts w:hint="eastAsia" w:ascii="宋体" w:hAnsi="宋体" w:eastAsia="宋体" w:cs="宋体"/>
          <w:color w:val="auto"/>
          <w:spacing w:val="-2"/>
          <w:sz w:val="24"/>
          <w:szCs w:val="24"/>
        </w:rPr>
        <w:t>的评标结果外，凡与审查、澄清、评价和比较投标有关</w:t>
      </w:r>
      <w:r>
        <w:rPr>
          <w:rFonts w:hint="eastAsia" w:ascii="宋体" w:hAnsi="宋体" w:eastAsia="宋体" w:cs="宋体"/>
          <w:color w:val="auto"/>
          <w:spacing w:val="-3"/>
          <w:sz w:val="24"/>
          <w:szCs w:val="24"/>
        </w:rPr>
        <w:t>的资料以及授标意见等，均不得向</w:t>
      </w:r>
      <w:r>
        <w:rPr>
          <w:rFonts w:hint="eastAsia" w:ascii="宋体" w:hAnsi="宋体" w:eastAsia="宋体" w:cs="宋体"/>
          <w:color w:val="auto"/>
          <w:spacing w:val="-1"/>
          <w:sz w:val="24"/>
          <w:szCs w:val="24"/>
        </w:rPr>
        <w:t>投标人及与评标无关的其他人透露。</w:t>
      </w:r>
    </w:p>
    <w:p w14:paraId="3DED74FF">
      <w:pPr>
        <w:spacing w:before="178" w:line="221" w:lineRule="auto"/>
        <w:outlineLvl w:val="9"/>
        <w:rPr>
          <w:rFonts w:hint="eastAsia" w:ascii="宋体" w:hAnsi="宋体" w:eastAsia="宋体" w:cs="宋体"/>
          <w:color w:val="auto"/>
          <w:sz w:val="24"/>
          <w:szCs w:val="24"/>
        </w:rPr>
      </w:pPr>
      <w:r>
        <w:rPr>
          <w:rFonts w:hint="eastAsia" w:ascii="宋体" w:hAnsi="宋体" w:eastAsia="宋体" w:cs="宋体"/>
          <w:color w:val="auto"/>
          <w:spacing w:val="-5"/>
          <w:sz w:val="24"/>
          <w:szCs w:val="24"/>
          <w14:textOutline w14:w="4358" w14:cap="sq" w14:cmpd="sng">
            <w14:solidFill>
              <w14:srgbClr w14:val="000000"/>
            </w14:solidFill>
            <w14:prstDash w14:val="solid"/>
            <w14:bevel/>
          </w14:textOutline>
        </w:rPr>
        <w:t>19、评标</w:t>
      </w:r>
    </w:p>
    <w:p w14:paraId="2A892EF7">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19.1 采购代理机构负责组织评标工作，并履行下列职责：</w:t>
      </w:r>
    </w:p>
    <w:p w14:paraId="139DD0DF">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核对评审专家身份和采购人代表授权函，对评审专家在政府采购活动中的职责履行情况予以记录，并及时将有关违法违规行为向财政部门报告；</w:t>
      </w:r>
    </w:p>
    <w:p w14:paraId="31B67F5E">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宣布评标纪律；</w:t>
      </w:r>
    </w:p>
    <w:p w14:paraId="36CE6F69">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公布投标人名单，告知评审专家应当回避的情形；</w:t>
      </w:r>
    </w:p>
    <w:p w14:paraId="0FE0669D">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组织评标委员会推选评标组长，采购人代表不得担任组长；</w:t>
      </w:r>
    </w:p>
    <w:p w14:paraId="5E77DAC0">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在评标期间采取必要的通讯管理措施，保证评标活动不受外界干扰；</w:t>
      </w:r>
    </w:p>
    <w:p w14:paraId="375535B9">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根据评标委员会的要求介绍政府采购相关政策法规、招标文件；</w:t>
      </w:r>
    </w:p>
    <w:p w14:paraId="5AEB8ED0">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rPr>
        <w:t>维护评标秩序，监督评标委员会依照招标文件规定的评标程序、方法和标准进行独立评审，及时制止和纠正采购人代表、评审专家的倾向性言论或者违法违规行为；</w:t>
      </w:r>
    </w:p>
    <w:p w14:paraId="3F3522C9">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(八)</w:t>
      </w:r>
      <w:r>
        <w:rPr>
          <w:rFonts w:hint="eastAsia" w:ascii="宋体" w:hAnsi="宋体" w:eastAsia="宋体" w:cs="宋体"/>
          <w:color w:val="auto"/>
          <w:sz w:val="24"/>
          <w:szCs w:val="24"/>
        </w:rPr>
        <w:t>评标委员会根据有关法律法规和招标文件规定的方法和标准独立评标，负责完成评标的全过程直至评定预中标人。招标代理机构只负责评标组织工作，不参加评标。</w:t>
      </w:r>
    </w:p>
    <w:p w14:paraId="334CDD29">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(九)</w:t>
      </w:r>
      <w:r>
        <w:rPr>
          <w:rFonts w:hint="eastAsia" w:ascii="宋体" w:hAnsi="宋体" w:eastAsia="宋体" w:cs="宋体"/>
          <w:color w:val="auto"/>
          <w:sz w:val="24"/>
          <w:szCs w:val="24"/>
        </w:rPr>
        <w:t>核对评标结果，有《政府采购货物和服务招标投标管理办法》（中华人民共和国财政部令第87号）规定情形的，要求评标委员会复核或者书面说明理由，评标委员会拒绝的，应予记录并向本级财政部门报告；评审工作完成后，按照规定向评审专家支付劳务报酬和异地评审差旅费，不得向评审专家以外的其他人员支付评审劳务报酬；</w:t>
      </w:r>
    </w:p>
    <w:p w14:paraId="3EE6DF78">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(十)</w:t>
      </w:r>
      <w:r>
        <w:rPr>
          <w:rFonts w:hint="eastAsia" w:ascii="宋体" w:hAnsi="宋体" w:eastAsia="宋体" w:cs="宋体"/>
          <w:color w:val="auto"/>
          <w:sz w:val="24"/>
          <w:szCs w:val="24"/>
        </w:rPr>
        <w:t>处理与评标有关的其他事项。</w:t>
      </w:r>
    </w:p>
    <w:p w14:paraId="38C544D1">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19.2 采购人可以在评标前说明项目背景和采购需求，说明内容不得含有歧视性、倾向性意见，不得超出招标文件所述范围。说明应当提交书面材料，并随采购文件一并存。</w:t>
      </w:r>
    </w:p>
    <w:p w14:paraId="4FB6704F">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19.3 评标委员会由采购人代表和评审专家组成，采购人代表由采购人委派，专家成员从政采云平台专家库中随机抽取产生。评标委员会根据有关法律法规和招标文件规定的方法和标准独立评标，负责完成评标的全过程直至评定预中标人，成员人数应当为5人以上单数，其中随机抽取的评审专家不得少于成员总数的三分之二。</w:t>
      </w:r>
    </w:p>
    <w:p w14:paraId="426CCD3F">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19.4 采购项目符合下列情形之一的，评标委员会成员人数应当为 7 人以上单数：</w:t>
      </w:r>
    </w:p>
    <w:p w14:paraId="295EA56B">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（一）采购预算金额在 1000 万元以上；</w:t>
      </w:r>
    </w:p>
    <w:p w14:paraId="7035AF88">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（二）技术复杂；</w:t>
      </w:r>
    </w:p>
    <w:p w14:paraId="252DC061">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（三）社会影响较大。</w:t>
      </w:r>
    </w:p>
    <w:p w14:paraId="27B2783D">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19.5 评标委员会负责具体评标事物，并独立履行下列职责：</w:t>
      </w:r>
    </w:p>
    <w:p w14:paraId="2F34FBC4">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（一）审查、评价投标文件是否符合招标文件的商务、技术等实质性要求；</w:t>
      </w:r>
    </w:p>
    <w:p w14:paraId="6A3CD020">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（二）要求投标人对投标文件有关事项作出澄清或者说明；</w:t>
      </w:r>
    </w:p>
    <w:p w14:paraId="77F48B6A">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（三）对投标文件进行比较和评价；</w:t>
      </w:r>
    </w:p>
    <w:p w14:paraId="288D31B6">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（四）确定中标候选人名单；</w:t>
      </w:r>
    </w:p>
    <w:p w14:paraId="772E26DC">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（五）向采购人、采购代理机构或者有关部门报告评标中发现的违法行为。</w:t>
      </w:r>
    </w:p>
    <w:p w14:paraId="2FCF0116">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19.6 评标委员会对投标文件的判定，只依据投标文件内容本身，不依据任何外来证明。</w:t>
      </w:r>
    </w:p>
    <w:p w14:paraId="5A7F7970">
      <w:pPr>
        <w:spacing w:before="181" w:line="221" w:lineRule="auto"/>
        <w:ind w:left="3929"/>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五、确定中标</w:t>
      </w:r>
    </w:p>
    <w:p w14:paraId="5CA70027">
      <w:pPr>
        <w:spacing w:before="179" w:line="221"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20、中标</w:t>
      </w:r>
    </w:p>
    <w:p w14:paraId="3E70011A">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20.1 采购代理机构将在评标结束后2个工作日内将评标报告送采购人。</w:t>
      </w:r>
    </w:p>
    <w:p w14:paraId="3196B1E3">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20.2 采购人将自收到评标报告之日起5个工作日内，在评标报告确定的中标候选人名单中按顺序确定中标人。中标候选人并列的，采购人将采取随机抽取的方式确定。</w:t>
      </w:r>
    </w:p>
    <w:p w14:paraId="45C50C68">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20.3 采购人在收到评标报告 5 个工作日内未按评标报告推荐的中标候选人顺序确定中标人，又不能说明合法理由的，视同按评标报告推荐的顺序确定排名第一的中标候选人为中标人。</w:t>
      </w:r>
    </w:p>
    <w:p w14:paraId="3D56B0D7">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20.4 采购代理机构将自中标人确定之日起 2 个工作日内，在市级政府采购媒介上公告中标结果，招标文件应当随中标结果同时公告。中标公告期限为 1 个工作日。</w:t>
      </w:r>
    </w:p>
    <w:p w14:paraId="3BD5E154">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20.5 在公告中标结果的同时，采购代理机构向中标人发出中标通知书；对未通过资格审查的投标人，将告知其未通过的原因；采用综合评分法评审的，还将告知未中标人本人的评审得分与排序。</w:t>
      </w:r>
    </w:p>
    <w:p w14:paraId="2CB187A0">
      <w:pPr>
        <w:spacing w:before="182" w:line="222"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21、签订合同</w:t>
      </w:r>
    </w:p>
    <w:p w14:paraId="582A095D">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21.1 中标通知书发出后，采购人不得违法改变中标结果，中标人无正当理由不得放弃中标。</w:t>
      </w:r>
    </w:p>
    <w:p w14:paraId="66A376E3">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21.2 采购人应当自中标通知书发出之日起 30 日内，按照招标文件和中标人投标文件的规定，与中标人签订书面合同。所签订的合同不得对招标文件确定的事项和中标人投标文件作实质性修改。</w:t>
      </w:r>
    </w:p>
    <w:p w14:paraId="74FBF229">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21.3 采购人不得向中标人提出任何不合理的要求作为签订合同的条件。</w:t>
      </w:r>
    </w:p>
    <w:p w14:paraId="6E4D30B5">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21.4 中标人拒绝与采购人签订合同的，采购人可以按照评标报告推荐的中标候选人名单排序，确定下一候选人为中标人，也可以重新开展政府采购活动。</w:t>
      </w:r>
    </w:p>
    <w:p w14:paraId="0C2F4C33">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21.5 根据《中华人民共和国政府采购法实施条例》采购人应当自政府采购合同签订之日起 2 个工作日内，将政府采购合同在省级以上人民政府财政部门指定的媒体上公，但政府采购合同中涉及国家秘密、商业秘密的内容除外。</w:t>
      </w:r>
    </w:p>
    <w:p w14:paraId="7F5139DB">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21.6 按照《中华人民共和国政府采购法》的规定，在合同履行中，采购人需要追加与合同标的物相同的货物、工程或者服务的，在不改变合同其他条款的前提下，可以与中标人签订补充合同，但所有补充合同的采购金额不得超过原合同采购金额的 10%。</w:t>
      </w:r>
    </w:p>
    <w:p w14:paraId="17CBDF15">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21.7 政府采购合同不能转包。</w:t>
      </w:r>
    </w:p>
    <w:p w14:paraId="66F50B37">
      <w:pPr>
        <w:spacing w:before="180" w:line="221"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22、保密和披露</w:t>
      </w:r>
    </w:p>
    <w:p w14:paraId="6E8F54C6">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22.1 投标人自购买招标文件之日起，须承诺承担本招标项目下的保密义务，不得将因本次招标获得的信息向第三人外传。</w:t>
      </w:r>
    </w:p>
    <w:p w14:paraId="1C3C173F">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22.2采购人有权将投标人提供的所有资料向其他政府部门或有关的非政府机构负责评审标书的人员或与评标有关的人员披露。</w:t>
      </w:r>
    </w:p>
    <w:p w14:paraId="4E76337E">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22.3 在下列情形下：当发布中标公告和其它公告时，当国家机关调查、审查、审计时，以及在其他符合法律规定的情形下，采购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10E05978">
      <w:pPr>
        <w:numPr>
          <w:ilvl w:val="0"/>
          <w:numId w:val="0"/>
        </w:numPr>
        <w:spacing w:before="181" w:line="221" w:lineRule="auto"/>
        <w:outlineLvl w:val="9"/>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lang w:val="en-US" w:eastAsia="zh-CN"/>
          <w14:textOutline w14:w="4358" w14:cap="sq" w14:cmpd="sng">
            <w14:solidFill>
              <w14:srgbClr w14:val="000000"/>
            </w14:solidFill>
            <w14:prstDash w14:val="solid"/>
            <w14:bevel/>
          </w14:textOutline>
        </w:rPr>
        <w:t>23、</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质疑和投诉</w:t>
      </w:r>
    </w:p>
    <w:p w14:paraId="4A91D65A">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23.1 投标人认为招标文件、招标过程和中标结果使自己的合法权益受到损害的，应当在知道或者应知其权益受到损害之日起七个工作日内以书面形式（须加盖公章）{质疑书的具体内容详见《政府采购质疑和投诉办法》（第94号令）}通知采购代理机构向采购方提出质疑（如投标人所参与项目须要在网上提交质疑程序，须同时将纸质版质疑材料递交至采购代理机构，并附网上投标报名或下载文件截图）。投标人应在法定质疑期内一次性提出针对同一采购程序环节的质疑。（质疑联系人及联系方式：</w:t>
      </w:r>
      <w:r>
        <w:rPr>
          <w:rFonts w:hint="eastAsia" w:ascii="宋体" w:hAnsi="宋体" w:eastAsia="宋体" w:cs="宋体"/>
          <w:color w:val="auto"/>
          <w:sz w:val="24"/>
          <w:szCs w:val="24"/>
          <w:lang w:eastAsia="zh-CN"/>
        </w:rPr>
        <w:t>曹健</w:t>
      </w:r>
      <w:r>
        <w:rPr>
          <w:rFonts w:hint="eastAsia" w:ascii="宋体" w:hAnsi="宋体" w:eastAsia="宋体" w:cs="宋体"/>
          <w:color w:val="auto"/>
          <w:sz w:val="24"/>
          <w:szCs w:val="24"/>
        </w:rPr>
        <w:t>、0431-81336999）投标人对采购人的质疑答复不满意或者采购人未在规定时间内作出答复的，可以在答复期满后十五个工作日内向同级采购监管部门投诉。</w:t>
      </w:r>
    </w:p>
    <w:p w14:paraId="5B97A75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23.2 质疑书、投诉书均应明确阐述招标文件、招标过程和中标结果中使自己合法权益受到损害的实质性内容，提供相关事实、依据和证据及其来源或线索，便于有关单位调查、答复和处理。</w:t>
      </w:r>
    </w:p>
    <w:p w14:paraId="7BB72151">
      <w:pPr>
        <w:spacing w:before="181"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24、中标服务费</w:t>
      </w:r>
    </w:p>
    <w:p w14:paraId="51EF190A">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24.1 中标人在接到中标通知书后，应向采购代理机构足额交纳中标服务费，收费标准：参考招标代理服务费计费计价格〔2002〕1980号文件、代理机构按国家发改委发改办价格〔2003〕857号文件费率标准，执行国家发展计划委员会计价格〔2015〕299号文件的取费标准，由</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供应商支付</w:t>
      </w:r>
      <w:r>
        <w:rPr>
          <w:rFonts w:hint="eastAsia" w:ascii="宋体" w:hAnsi="宋体" w:eastAsia="宋体" w:cs="宋体"/>
          <w:color w:val="FF0000"/>
          <w:sz w:val="24"/>
          <w:szCs w:val="24"/>
          <w:lang w:eastAsia="zh-CN"/>
        </w:rPr>
        <w:t>中标金额的</w:t>
      </w:r>
      <w:r>
        <w:rPr>
          <w:rFonts w:hint="eastAsia" w:ascii="宋体" w:hAnsi="宋体" w:eastAsia="宋体" w:cs="宋体"/>
          <w:color w:val="FF0000"/>
          <w:sz w:val="24"/>
          <w:szCs w:val="24"/>
          <w:lang w:val="en-US" w:eastAsia="zh-CN"/>
        </w:rPr>
        <w:t>2%，90000元</w:t>
      </w:r>
      <w:r>
        <w:rPr>
          <w:rFonts w:hint="eastAsia" w:ascii="宋体" w:hAnsi="宋体" w:eastAsia="宋体" w:cs="宋体"/>
          <w:color w:val="auto"/>
          <w:sz w:val="24"/>
          <w:szCs w:val="24"/>
        </w:rPr>
        <w:t>。</w:t>
      </w:r>
    </w:p>
    <w:p w14:paraId="4DE8DD60">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收款人：吉林省吉诚工程咨询有限公司</w:t>
      </w:r>
    </w:p>
    <w:p w14:paraId="5CEB0234">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开 户 行：长春农村商业银行股份有限公司人民大街支行</w:t>
      </w:r>
    </w:p>
    <w:p w14:paraId="62B2C784">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账    号：0710729011015260066666</w:t>
      </w:r>
    </w:p>
    <w:p w14:paraId="6AC502D7">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5EF11CC8">
      <w:pPr>
        <w:pStyle w:val="2"/>
        <w:keepNext/>
        <w:keepLines/>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color w:val="auto"/>
          <w:sz w:val="32"/>
          <w:szCs w:val="32"/>
        </w:rPr>
      </w:pPr>
      <w:bookmarkStart w:id="38" w:name="_Toc1701"/>
      <w:bookmarkStart w:id="39" w:name="_Toc26230"/>
      <w:r>
        <w:rPr>
          <w:rFonts w:hint="eastAsia"/>
          <w:color w:val="auto"/>
          <w:sz w:val="32"/>
          <w:szCs w:val="32"/>
        </w:rPr>
        <w:t>第三章</w:t>
      </w:r>
      <w:r>
        <w:rPr>
          <w:rFonts w:hint="eastAsia"/>
          <w:color w:val="auto"/>
          <w:sz w:val="32"/>
          <w:szCs w:val="32"/>
          <w:lang w:val="en-US" w:eastAsia="zh-CN"/>
        </w:rPr>
        <w:t xml:space="preserve">  </w:t>
      </w:r>
      <w:r>
        <w:rPr>
          <w:rFonts w:hint="eastAsia"/>
          <w:color w:val="auto"/>
          <w:sz w:val="32"/>
          <w:szCs w:val="32"/>
        </w:rPr>
        <w:t xml:space="preserve"> 评标办法</w:t>
      </w:r>
      <w:bookmarkEnd w:id="38"/>
      <w:bookmarkEnd w:id="39"/>
    </w:p>
    <w:p w14:paraId="541E1B9B">
      <w:pPr>
        <w:spacing w:before="233" w:line="220" w:lineRule="auto"/>
        <w:ind w:left="37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评标应当遵循下列工作程序：</w:t>
      </w:r>
    </w:p>
    <w:p w14:paraId="403BFB91">
      <w:pPr>
        <w:spacing w:before="179"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3.1</w:t>
      </w:r>
      <w:r>
        <w:rPr>
          <w:rFonts w:hint="eastAsia" w:ascii="宋体" w:hAnsi="宋体" w:eastAsia="宋体" w:cs="宋体"/>
          <w:color w:val="auto"/>
          <w:spacing w:val="-41"/>
          <w:sz w:val="24"/>
          <w:szCs w:val="24"/>
        </w:rPr>
        <w:t xml:space="preserve"> </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符合性审查。</w:t>
      </w:r>
    </w:p>
    <w:p w14:paraId="081B5B04">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3.1.1 评标委员会将对符合资格的投标人的投标文件进行符合性审查，以确定其是否满足招标文件的实质性要求。</w:t>
      </w:r>
    </w:p>
    <w:p w14:paraId="5E11A068">
      <w:pPr>
        <w:spacing w:before="182" w:line="220" w:lineRule="auto"/>
        <w:jc w:val="center"/>
        <w:outlineLvl w:val="9"/>
        <w:rPr>
          <w:rFonts w:hint="eastAsia" w:ascii="宋体" w:hAnsi="宋体" w:eastAsia="宋体" w:cs="宋体"/>
          <w:b/>
          <w:bCs/>
          <w:color w:val="auto"/>
          <w:spacing w:val="-2"/>
          <w:sz w:val="28"/>
          <w:szCs w:val="28"/>
        </w:rPr>
      </w:pPr>
      <w:r>
        <w:rPr>
          <w:rFonts w:hint="eastAsia" w:ascii="宋体" w:hAnsi="宋体" w:eastAsia="宋体" w:cs="宋体"/>
          <w:b/>
          <w:bCs/>
          <w:color w:val="auto"/>
          <w:spacing w:val="-2"/>
          <w:sz w:val="28"/>
          <w:szCs w:val="28"/>
        </w:rPr>
        <w:t>符合性审查表</w:t>
      </w:r>
    </w:p>
    <w:tbl>
      <w:tblPr>
        <w:tblStyle w:val="17"/>
        <w:tblW w:w="937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825"/>
        <w:gridCol w:w="2522"/>
        <w:gridCol w:w="5301"/>
      </w:tblGrid>
      <w:tr w14:paraId="0A601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bottom w:val="single" w:color="000000" w:sz="4" w:space="0"/>
            </w:tcBorders>
            <w:vAlign w:val="center"/>
          </w:tcPr>
          <w:p w14:paraId="28E37F71">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pacing w:val="-5"/>
                <w:sz w:val="24"/>
                <w:szCs w:val="24"/>
              </w:rPr>
              <w:t>序号</w:t>
            </w:r>
          </w:p>
        </w:tc>
        <w:tc>
          <w:tcPr>
            <w:tcW w:w="825" w:type="dxa"/>
            <w:tcBorders>
              <w:top w:val="single" w:color="000000" w:sz="4" w:space="0"/>
              <w:bottom w:val="single" w:color="000000" w:sz="4" w:space="0"/>
            </w:tcBorders>
            <w:vAlign w:val="center"/>
          </w:tcPr>
          <w:p w14:paraId="612EC0C4">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pacing w:val="-5"/>
                <w:sz w:val="24"/>
                <w:szCs w:val="24"/>
              </w:rPr>
              <w:t>类型</w:t>
            </w:r>
          </w:p>
        </w:tc>
        <w:tc>
          <w:tcPr>
            <w:tcW w:w="2522" w:type="dxa"/>
            <w:tcBorders>
              <w:top w:val="single" w:color="000000" w:sz="4" w:space="0"/>
              <w:bottom w:val="single" w:color="000000" w:sz="4" w:space="0"/>
              <w:right w:val="single" w:color="000000" w:sz="4" w:space="0"/>
            </w:tcBorders>
            <w:vAlign w:val="center"/>
          </w:tcPr>
          <w:p w14:paraId="2BB1BFC6">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pacing w:val="-5"/>
                <w:sz w:val="24"/>
                <w:szCs w:val="24"/>
              </w:rPr>
              <w:t>审查内容</w:t>
            </w:r>
          </w:p>
        </w:tc>
        <w:tc>
          <w:tcPr>
            <w:tcW w:w="5301" w:type="dxa"/>
            <w:tcBorders>
              <w:top w:val="single" w:color="000000" w:sz="4" w:space="0"/>
              <w:left w:val="single" w:color="000000" w:sz="4" w:space="0"/>
              <w:bottom w:val="single" w:color="000000" w:sz="4" w:space="0"/>
            </w:tcBorders>
            <w:vAlign w:val="center"/>
          </w:tcPr>
          <w:p w14:paraId="1B5F5176">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pacing w:val="-3"/>
                <w:sz w:val="24"/>
                <w:szCs w:val="24"/>
              </w:rPr>
              <w:t>要求说明</w:t>
            </w:r>
          </w:p>
        </w:tc>
      </w:tr>
      <w:tr w14:paraId="407F4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bottom w:val="single" w:color="000000" w:sz="4" w:space="0"/>
            </w:tcBorders>
            <w:vAlign w:val="center"/>
          </w:tcPr>
          <w:p w14:paraId="1986FD10">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w:t>
            </w:r>
          </w:p>
        </w:tc>
        <w:tc>
          <w:tcPr>
            <w:tcW w:w="825" w:type="dxa"/>
            <w:tcBorders>
              <w:top w:val="single" w:color="000000" w:sz="4" w:space="0"/>
              <w:bottom w:val="single" w:color="000000" w:sz="4" w:space="0"/>
            </w:tcBorders>
            <w:vAlign w:val="center"/>
          </w:tcPr>
          <w:p w14:paraId="6037B2CB">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3"/>
                <w:sz w:val="24"/>
                <w:szCs w:val="24"/>
              </w:rPr>
              <w:t>报价1</w:t>
            </w:r>
          </w:p>
        </w:tc>
        <w:tc>
          <w:tcPr>
            <w:tcW w:w="2522" w:type="dxa"/>
            <w:tcBorders>
              <w:top w:val="single" w:color="000000" w:sz="4" w:space="0"/>
              <w:bottom w:val="single" w:color="000000" w:sz="4" w:space="0"/>
              <w:right w:val="single" w:color="000000" w:sz="4" w:space="0"/>
            </w:tcBorders>
            <w:vAlign w:val="center"/>
          </w:tcPr>
          <w:p w14:paraId="618B9A6D">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1"/>
                <w:sz w:val="24"/>
                <w:szCs w:val="24"/>
              </w:rPr>
              <w:t>投标报价</w:t>
            </w:r>
          </w:p>
        </w:tc>
        <w:tc>
          <w:tcPr>
            <w:tcW w:w="5301" w:type="dxa"/>
            <w:tcBorders>
              <w:top w:val="single" w:color="000000" w:sz="4" w:space="0"/>
              <w:left w:val="single" w:color="000000" w:sz="4" w:space="0"/>
              <w:bottom w:val="single" w:color="000000" w:sz="4" w:space="0"/>
            </w:tcBorders>
            <w:vAlign w:val="center"/>
          </w:tcPr>
          <w:p w14:paraId="0F53DFB4">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rPr>
              <w:t>投标报价未超过招标文件中规定的最高限价的</w:t>
            </w:r>
            <w:r>
              <w:rPr>
                <w:rFonts w:hint="eastAsia" w:ascii="宋体" w:hAnsi="宋体" w:eastAsia="宋体" w:cs="宋体"/>
                <w:color w:val="auto"/>
                <w:spacing w:val="-1"/>
                <w:sz w:val="24"/>
                <w:szCs w:val="24"/>
                <w:lang w:eastAsia="zh-CN"/>
              </w:rPr>
              <w:t>。</w:t>
            </w:r>
          </w:p>
        </w:tc>
      </w:tr>
      <w:tr w14:paraId="42C0D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bottom w:val="single" w:color="000000" w:sz="4" w:space="0"/>
            </w:tcBorders>
            <w:vAlign w:val="center"/>
          </w:tcPr>
          <w:p w14:paraId="7D0C2052">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color w:val="auto"/>
                <w:spacing w:val="-3"/>
                <w:sz w:val="24"/>
                <w:szCs w:val="24"/>
                <w:lang w:val="en-US" w:eastAsia="en-US"/>
              </w:rPr>
            </w:pPr>
            <w:r>
              <w:rPr>
                <w:rFonts w:hint="eastAsia" w:ascii="宋体" w:hAnsi="宋体" w:eastAsia="宋体" w:cs="宋体"/>
                <w:color w:val="auto"/>
                <w:spacing w:val="-3"/>
                <w:sz w:val="24"/>
                <w:szCs w:val="24"/>
              </w:rPr>
              <w:t>2</w:t>
            </w:r>
          </w:p>
        </w:tc>
        <w:tc>
          <w:tcPr>
            <w:tcW w:w="825" w:type="dxa"/>
            <w:tcBorders>
              <w:top w:val="single" w:color="000000" w:sz="4" w:space="0"/>
              <w:bottom w:val="single" w:color="000000" w:sz="4" w:space="0"/>
            </w:tcBorders>
            <w:vAlign w:val="center"/>
          </w:tcPr>
          <w:p w14:paraId="195108B1">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spacing w:val="-3"/>
                <w:kern w:val="0"/>
                <w:sz w:val="24"/>
                <w:szCs w:val="24"/>
                <w:lang w:val="en-US" w:eastAsia="zh-CN" w:bidi="ar-SA"/>
              </w:rPr>
            </w:pPr>
            <w:r>
              <w:rPr>
                <w:rFonts w:hint="eastAsia" w:ascii="宋体" w:hAnsi="宋体" w:eastAsia="宋体" w:cs="宋体"/>
                <w:color w:val="auto"/>
                <w:spacing w:val="-3"/>
                <w:sz w:val="24"/>
                <w:szCs w:val="24"/>
              </w:rPr>
              <w:t>报价</w:t>
            </w:r>
            <w:r>
              <w:rPr>
                <w:rFonts w:hint="eastAsia" w:ascii="宋体" w:hAnsi="宋体" w:eastAsia="宋体" w:cs="宋体"/>
                <w:color w:val="auto"/>
                <w:spacing w:val="-3"/>
                <w:sz w:val="24"/>
                <w:szCs w:val="24"/>
                <w:lang w:val="en-US" w:eastAsia="zh-CN"/>
              </w:rPr>
              <w:t>2</w:t>
            </w:r>
          </w:p>
        </w:tc>
        <w:tc>
          <w:tcPr>
            <w:tcW w:w="2522" w:type="dxa"/>
            <w:tcBorders>
              <w:top w:val="single" w:color="000000" w:sz="4" w:space="0"/>
              <w:bottom w:val="single" w:color="000000" w:sz="4" w:space="0"/>
              <w:right w:val="single" w:color="000000" w:sz="4" w:space="0"/>
            </w:tcBorders>
            <w:vAlign w:val="center"/>
          </w:tcPr>
          <w:p w14:paraId="5006770A">
            <w:pPr>
              <w:keepNext w:val="0"/>
              <w:keepLines w:val="0"/>
              <w:widowControl/>
              <w:suppressLineNumbers w:val="0"/>
              <w:jc w:val="left"/>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kern w:val="0"/>
                <w:sz w:val="24"/>
                <w:szCs w:val="24"/>
                <w:lang w:val="en-US" w:eastAsia="zh-CN" w:bidi="ar"/>
              </w:rPr>
              <w:t>报价唯一性</w:t>
            </w:r>
          </w:p>
        </w:tc>
        <w:tc>
          <w:tcPr>
            <w:tcW w:w="5301" w:type="dxa"/>
            <w:tcBorders>
              <w:top w:val="single" w:color="000000" w:sz="4" w:space="0"/>
              <w:left w:val="single" w:color="000000" w:sz="4" w:space="0"/>
              <w:bottom w:val="single" w:color="000000" w:sz="4" w:space="0"/>
            </w:tcBorders>
            <w:vAlign w:val="center"/>
          </w:tcPr>
          <w:p w14:paraId="65ED99C3">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color w:val="auto"/>
                <w:spacing w:val="-1"/>
                <w:sz w:val="24"/>
                <w:szCs w:val="24"/>
                <w:lang w:val="en-US" w:eastAsia="en-US"/>
              </w:rPr>
            </w:pPr>
            <w:r>
              <w:rPr>
                <w:rFonts w:hint="eastAsia" w:ascii="宋体" w:hAnsi="宋体" w:eastAsia="宋体" w:cs="宋体"/>
                <w:color w:val="auto"/>
                <w:spacing w:val="-1"/>
                <w:sz w:val="24"/>
                <w:szCs w:val="24"/>
                <w:lang w:val="en-US" w:eastAsia="zh-CN"/>
              </w:rPr>
              <w:t>投标文件未出现可选择性或可调整的报价（招标文件另有规定的除外）。</w:t>
            </w:r>
          </w:p>
        </w:tc>
      </w:tr>
      <w:tr w14:paraId="21EB0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bottom w:val="single" w:color="000000" w:sz="4" w:space="0"/>
            </w:tcBorders>
            <w:vAlign w:val="center"/>
          </w:tcPr>
          <w:p w14:paraId="7F1FD2E7">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color w:val="auto"/>
                <w:spacing w:val="-3"/>
                <w:sz w:val="24"/>
                <w:szCs w:val="24"/>
                <w:lang w:val="en-US" w:eastAsia="en-US"/>
              </w:rPr>
            </w:pPr>
            <w:r>
              <w:rPr>
                <w:rFonts w:hint="eastAsia" w:ascii="宋体" w:hAnsi="宋体" w:eastAsia="宋体" w:cs="宋体"/>
                <w:color w:val="auto"/>
                <w:spacing w:val="-3"/>
                <w:sz w:val="24"/>
                <w:szCs w:val="24"/>
              </w:rPr>
              <w:t>3</w:t>
            </w:r>
          </w:p>
        </w:tc>
        <w:tc>
          <w:tcPr>
            <w:tcW w:w="825" w:type="dxa"/>
            <w:tcBorders>
              <w:top w:val="single" w:color="000000" w:sz="4" w:space="0"/>
              <w:bottom w:val="single" w:color="000000" w:sz="4" w:space="0"/>
            </w:tcBorders>
            <w:vAlign w:val="center"/>
          </w:tcPr>
          <w:p w14:paraId="281C58E3">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5"/>
                <w:sz w:val="24"/>
                <w:szCs w:val="24"/>
              </w:rPr>
              <w:t>商务</w:t>
            </w:r>
            <w:r>
              <w:rPr>
                <w:rFonts w:hint="eastAsia" w:ascii="宋体" w:hAnsi="宋体" w:eastAsia="宋体" w:cs="宋体"/>
                <w:color w:val="auto"/>
                <w:spacing w:val="-5"/>
                <w:sz w:val="24"/>
                <w:szCs w:val="24"/>
                <w:lang w:val="en-US" w:eastAsia="zh-CN"/>
              </w:rPr>
              <w:t>3</w:t>
            </w:r>
          </w:p>
        </w:tc>
        <w:tc>
          <w:tcPr>
            <w:tcW w:w="2522" w:type="dxa"/>
            <w:tcBorders>
              <w:top w:val="single" w:color="000000" w:sz="4" w:space="0"/>
              <w:bottom w:val="single" w:color="000000" w:sz="4" w:space="0"/>
              <w:right w:val="single" w:color="000000" w:sz="4" w:space="0"/>
            </w:tcBorders>
            <w:vAlign w:val="center"/>
          </w:tcPr>
          <w:p w14:paraId="3FD5EFFB">
            <w:pPr>
              <w:keepNext w:val="0"/>
              <w:keepLines w:val="0"/>
              <w:widowControl/>
              <w:suppressLineNumbers w:val="0"/>
              <w:jc w:val="left"/>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投标有效期</w:t>
            </w:r>
          </w:p>
        </w:tc>
        <w:tc>
          <w:tcPr>
            <w:tcW w:w="5301" w:type="dxa"/>
            <w:tcBorders>
              <w:top w:val="single" w:color="000000" w:sz="4" w:space="0"/>
              <w:left w:val="single" w:color="000000" w:sz="4" w:space="0"/>
              <w:bottom w:val="single" w:color="000000" w:sz="4" w:space="0"/>
            </w:tcBorders>
            <w:vAlign w:val="center"/>
          </w:tcPr>
          <w:p w14:paraId="587045FD">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投标文件中承诺的投标有效期满足招标文件中载明的投标有效期的。</w:t>
            </w:r>
          </w:p>
        </w:tc>
      </w:tr>
      <w:tr w14:paraId="1CC24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bottom w:val="single" w:color="000000" w:sz="4" w:space="0"/>
            </w:tcBorders>
            <w:vAlign w:val="center"/>
          </w:tcPr>
          <w:p w14:paraId="44BD6EB2">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color w:val="auto"/>
                <w:spacing w:val="-3"/>
                <w:sz w:val="24"/>
                <w:szCs w:val="24"/>
                <w:highlight w:val="none"/>
                <w:lang w:val="en-US" w:eastAsia="en-US"/>
              </w:rPr>
            </w:pPr>
            <w:r>
              <w:rPr>
                <w:rFonts w:hint="eastAsia" w:ascii="宋体" w:hAnsi="宋体" w:eastAsia="宋体" w:cs="宋体"/>
                <w:color w:val="auto"/>
                <w:spacing w:val="-3"/>
                <w:sz w:val="24"/>
                <w:szCs w:val="24"/>
                <w:highlight w:val="none"/>
              </w:rPr>
              <w:t>4</w:t>
            </w:r>
          </w:p>
        </w:tc>
        <w:tc>
          <w:tcPr>
            <w:tcW w:w="825" w:type="dxa"/>
            <w:tcBorders>
              <w:top w:val="single" w:color="000000" w:sz="4" w:space="0"/>
              <w:bottom w:val="single" w:color="000000" w:sz="4" w:space="0"/>
            </w:tcBorders>
            <w:vAlign w:val="center"/>
          </w:tcPr>
          <w:p w14:paraId="1410678C">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5"/>
                <w:sz w:val="24"/>
                <w:szCs w:val="24"/>
                <w:highlight w:val="none"/>
              </w:rPr>
              <w:t>商务</w:t>
            </w:r>
            <w:r>
              <w:rPr>
                <w:rFonts w:hint="eastAsia" w:ascii="宋体" w:hAnsi="宋体" w:eastAsia="宋体" w:cs="宋体"/>
                <w:color w:val="auto"/>
                <w:spacing w:val="-5"/>
                <w:sz w:val="24"/>
                <w:szCs w:val="24"/>
                <w:highlight w:val="none"/>
                <w:lang w:val="en-US" w:eastAsia="zh-CN"/>
              </w:rPr>
              <w:t>4</w:t>
            </w:r>
          </w:p>
        </w:tc>
        <w:tc>
          <w:tcPr>
            <w:tcW w:w="2522" w:type="dxa"/>
            <w:tcBorders>
              <w:top w:val="single" w:color="000000" w:sz="4" w:space="0"/>
              <w:bottom w:val="single" w:color="000000" w:sz="4" w:space="0"/>
              <w:right w:val="single" w:color="000000" w:sz="4" w:space="0"/>
            </w:tcBorders>
            <w:vAlign w:val="center"/>
          </w:tcPr>
          <w:p w14:paraId="3ABD3B55">
            <w:pPr>
              <w:keepNext w:val="0"/>
              <w:keepLines w:val="0"/>
              <w:widowControl/>
              <w:suppressLineNumbers w:val="0"/>
              <w:jc w:val="left"/>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★号条款响应（如有）</w:t>
            </w:r>
          </w:p>
        </w:tc>
        <w:tc>
          <w:tcPr>
            <w:tcW w:w="5301" w:type="dxa"/>
            <w:tcBorders>
              <w:top w:val="single" w:color="000000" w:sz="4" w:space="0"/>
              <w:left w:val="single" w:color="000000" w:sz="4" w:space="0"/>
              <w:bottom w:val="single" w:color="000000" w:sz="4" w:space="0"/>
            </w:tcBorders>
            <w:vAlign w:val="center"/>
          </w:tcPr>
          <w:p w14:paraId="01ED5778">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投标文件满足招标文件第五章《采购需求》中★号条款要求</w:t>
            </w:r>
            <w:r>
              <w:rPr>
                <w:rFonts w:hint="eastAsia" w:cs="宋体"/>
                <w:color w:val="auto"/>
                <w:spacing w:val="-1"/>
                <w:sz w:val="24"/>
                <w:szCs w:val="24"/>
                <w:lang w:val="en-US" w:eastAsia="zh-CN"/>
              </w:rPr>
              <w:t>，不满足投标无效</w:t>
            </w:r>
            <w:r>
              <w:rPr>
                <w:rFonts w:hint="eastAsia" w:ascii="宋体" w:hAnsi="宋体" w:eastAsia="宋体" w:cs="宋体"/>
                <w:color w:val="auto"/>
                <w:spacing w:val="-1"/>
                <w:sz w:val="24"/>
                <w:szCs w:val="24"/>
                <w:lang w:val="en-US" w:eastAsia="zh-CN"/>
              </w:rPr>
              <w:t>。</w:t>
            </w:r>
          </w:p>
        </w:tc>
      </w:tr>
      <w:tr w14:paraId="71607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tcBorders>
            <w:vAlign w:val="center"/>
          </w:tcPr>
          <w:p w14:paraId="14C7EDBF">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val="en-US" w:eastAsia="zh-CN"/>
              </w:rPr>
              <w:t>5</w:t>
            </w:r>
          </w:p>
        </w:tc>
        <w:tc>
          <w:tcPr>
            <w:tcW w:w="825" w:type="dxa"/>
            <w:tcBorders>
              <w:top w:val="single" w:color="000000" w:sz="4" w:space="0"/>
            </w:tcBorders>
            <w:vAlign w:val="center"/>
          </w:tcPr>
          <w:p w14:paraId="4B8B37B1">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5"/>
                <w:sz w:val="24"/>
                <w:szCs w:val="24"/>
                <w:highlight w:val="none"/>
              </w:rPr>
              <w:t>商务</w:t>
            </w:r>
            <w:r>
              <w:rPr>
                <w:rFonts w:hint="eastAsia" w:ascii="宋体" w:hAnsi="宋体" w:eastAsia="宋体" w:cs="宋体"/>
                <w:color w:val="auto"/>
                <w:spacing w:val="-5"/>
                <w:sz w:val="24"/>
                <w:szCs w:val="24"/>
                <w:highlight w:val="none"/>
                <w:lang w:val="en-US" w:eastAsia="zh-CN"/>
              </w:rPr>
              <w:t>5</w:t>
            </w:r>
          </w:p>
        </w:tc>
        <w:tc>
          <w:tcPr>
            <w:tcW w:w="2522" w:type="dxa"/>
            <w:tcBorders>
              <w:top w:val="single" w:color="000000" w:sz="4" w:space="0"/>
              <w:right w:val="single" w:color="000000" w:sz="4" w:space="0"/>
            </w:tcBorders>
            <w:vAlign w:val="center"/>
          </w:tcPr>
          <w:p w14:paraId="679E71B9">
            <w:pPr>
              <w:keepNext w:val="0"/>
              <w:keepLines w:val="0"/>
              <w:widowControl/>
              <w:suppressLineNumbers w:val="0"/>
              <w:jc w:val="left"/>
              <w:rPr>
                <w:rFonts w:hint="eastAsia" w:ascii="宋体" w:hAnsi="宋体" w:eastAsia="宋体" w:cs="宋体"/>
                <w:snapToGrid w:val="0"/>
                <w:color w:val="auto"/>
                <w:kern w:val="0"/>
                <w:sz w:val="24"/>
                <w:szCs w:val="24"/>
                <w:highlight w:val="none"/>
                <w:lang w:val="en-US" w:eastAsia="en-US" w:bidi="ar"/>
              </w:rPr>
            </w:pPr>
            <w:r>
              <w:rPr>
                <w:rFonts w:hint="eastAsia" w:ascii="宋体" w:hAnsi="宋体" w:eastAsia="宋体" w:cs="宋体"/>
                <w:snapToGrid w:val="0"/>
                <w:color w:val="auto"/>
                <w:kern w:val="0"/>
                <w:sz w:val="24"/>
                <w:szCs w:val="24"/>
                <w:highlight w:val="none"/>
                <w:lang w:val="en-US" w:eastAsia="zh-CN" w:bidi="ar"/>
              </w:rPr>
              <w:t>合同履行期限</w:t>
            </w:r>
          </w:p>
        </w:tc>
        <w:tc>
          <w:tcPr>
            <w:tcW w:w="5301" w:type="dxa"/>
            <w:tcBorders>
              <w:top w:val="single" w:color="000000" w:sz="4" w:space="0"/>
              <w:left w:val="single" w:color="000000" w:sz="4" w:space="0"/>
              <w:bottom w:val="single" w:color="000000" w:sz="4" w:space="0"/>
            </w:tcBorders>
            <w:vAlign w:val="center"/>
          </w:tcPr>
          <w:p w14:paraId="58F4CDA7">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合同签订之日起</w:t>
            </w:r>
            <w:r>
              <w:rPr>
                <w:rFonts w:hint="eastAsia" w:cs="宋体"/>
                <w:color w:val="auto"/>
                <w:spacing w:val="-1"/>
                <w:sz w:val="24"/>
                <w:szCs w:val="24"/>
                <w:highlight w:val="none"/>
                <w:lang w:val="en-US" w:eastAsia="zh-CN"/>
              </w:rPr>
              <w:t>2年</w:t>
            </w:r>
            <w:r>
              <w:rPr>
                <w:rFonts w:hint="eastAsia" w:ascii="宋体" w:hAnsi="宋体" w:eastAsia="宋体" w:cs="宋体"/>
                <w:color w:val="auto"/>
                <w:spacing w:val="-1"/>
                <w:sz w:val="24"/>
                <w:szCs w:val="24"/>
                <w:highlight w:val="none"/>
                <w:lang w:val="en-US" w:eastAsia="zh-CN"/>
              </w:rPr>
              <w:t>内。</w:t>
            </w:r>
          </w:p>
        </w:tc>
      </w:tr>
      <w:tr w14:paraId="166BC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tcBorders>
            <w:vAlign w:val="center"/>
          </w:tcPr>
          <w:p w14:paraId="2A4ECBBD">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default" w:ascii="宋体" w:hAnsi="宋体" w:eastAsia="宋体" w:cs="宋体"/>
                <w:snapToGrid w:val="0"/>
                <w:color w:val="auto"/>
                <w:spacing w:val="-3"/>
                <w:kern w:val="0"/>
                <w:sz w:val="24"/>
                <w:szCs w:val="24"/>
                <w:lang w:val="en-US" w:eastAsia="zh-CN" w:bidi="ar-SA"/>
              </w:rPr>
            </w:pPr>
            <w:r>
              <w:rPr>
                <w:rFonts w:hint="eastAsia" w:cs="宋体"/>
                <w:snapToGrid w:val="0"/>
                <w:color w:val="auto"/>
                <w:spacing w:val="-3"/>
                <w:kern w:val="0"/>
                <w:sz w:val="24"/>
                <w:szCs w:val="24"/>
                <w:lang w:val="en-US" w:eastAsia="zh-CN" w:bidi="ar-SA"/>
              </w:rPr>
              <w:t>6</w:t>
            </w:r>
          </w:p>
        </w:tc>
        <w:tc>
          <w:tcPr>
            <w:tcW w:w="825" w:type="dxa"/>
            <w:tcBorders>
              <w:top w:val="single" w:color="000000" w:sz="4" w:space="0"/>
            </w:tcBorders>
            <w:vAlign w:val="center"/>
          </w:tcPr>
          <w:p w14:paraId="45AF0BDA">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5"/>
                <w:sz w:val="24"/>
                <w:szCs w:val="24"/>
              </w:rPr>
              <w:t>商务</w:t>
            </w:r>
            <w:r>
              <w:rPr>
                <w:rFonts w:hint="eastAsia" w:cs="宋体"/>
                <w:color w:val="auto"/>
                <w:spacing w:val="-5"/>
                <w:sz w:val="24"/>
                <w:szCs w:val="24"/>
                <w:lang w:val="en-US" w:eastAsia="zh-CN"/>
              </w:rPr>
              <w:t>6</w:t>
            </w:r>
          </w:p>
        </w:tc>
        <w:tc>
          <w:tcPr>
            <w:tcW w:w="2522" w:type="dxa"/>
            <w:tcBorders>
              <w:top w:val="single" w:color="000000" w:sz="4" w:space="0"/>
              <w:right w:val="single" w:color="000000" w:sz="4" w:space="0"/>
            </w:tcBorders>
            <w:vAlign w:val="center"/>
          </w:tcPr>
          <w:p w14:paraId="2D307446">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1" w:firstLineChars="0"/>
              <w:jc w:val="left"/>
              <w:textAlignment w:val="baseline"/>
              <w:outlineLvl w:val="9"/>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1"/>
                <w:sz w:val="24"/>
                <w:szCs w:val="24"/>
              </w:rPr>
              <w:t>投标文件</w:t>
            </w:r>
            <w:r>
              <w:rPr>
                <w:rFonts w:hint="eastAsia" w:cs="宋体"/>
                <w:color w:val="auto"/>
                <w:spacing w:val="-1"/>
                <w:sz w:val="24"/>
                <w:szCs w:val="24"/>
                <w:lang w:eastAsia="zh-CN"/>
              </w:rPr>
              <w:t>格式</w:t>
            </w:r>
          </w:p>
        </w:tc>
        <w:tc>
          <w:tcPr>
            <w:tcW w:w="5301" w:type="dxa"/>
            <w:tcBorders>
              <w:top w:val="single" w:color="000000" w:sz="4" w:space="0"/>
              <w:left w:val="single" w:color="000000" w:sz="4" w:space="0"/>
              <w:bottom w:val="single" w:color="000000" w:sz="4" w:space="0"/>
            </w:tcBorders>
            <w:vAlign w:val="center"/>
          </w:tcPr>
          <w:p w14:paraId="1E89F4E6">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投标文件中包括了招标文件中提供格式的文本，形式上符合招标文件规定。</w:t>
            </w:r>
          </w:p>
        </w:tc>
      </w:tr>
      <w:tr w14:paraId="05A4F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tcBorders>
            <w:vAlign w:val="center"/>
          </w:tcPr>
          <w:p w14:paraId="5EC56E57">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default" w:ascii="宋体" w:hAnsi="宋体" w:eastAsia="宋体" w:cs="宋体"/>
                <w:snapToGrid w:val="0"/>
                <w:color w:val="auto"/>
                <w:spacing w:val="-3"/>
                <w:kern w:val="0"/>
                <w:sz w:val="24"/>
                <w:szCs w:val="24"/>
                <w:lang w:val="en-US" w:eastAsia="zh-CN" w:bidi="ar-SA"/>
              </w:rPr>
            </w:pPr>
            <w:r>
              <w:rPr>
                <w:rFonts w:hint="eastAsia" w:cs="宋体"/>
                <w:snapToGrid w:val="0"/>
                <w:color w:val="auto"/>
                <w:spacing w:val="-3"/>
                <w:kern w:val="0"/>
                <w:sz w:val="24"/>
                <w:szCs w:val="24"/>
                <w:lang w:val="en-US" w:eastAsia="zh-CN" w:bidi="ar-SA"/>
              </w:rPr>
              <w:t>7</w:t>
            </w:r>
          </w:p>
        </w:tc>
        <w:tc>
          <w:tcPr>
            <w:tcW w:w="825" w:type="dxa"/>
            <w:tcBorders>
              <w:top w:val="single" w:color="000000" w:sz="4" w:space="0"/>
            </w:tcBorders>
            <w:vAlign w:val="center"/>
          </w:tcPr>
          <w:p w14:paraId="707FB136">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5"/>
                <w:sz w:val="24"/>
                <w:szCs w:val="24"/>
                <w:highlight w:val="none"/>
              </w:rPr>
              <w:t>商务</w:t>
            </w:r>
            <w:r>
              <w:rPr>
                <w:rFonts w:hint="eastAsia" w:cs="宋体"/>
                <w:color w:val="auto"/>
                <w:spacing w:val="-5"/>
                <w:sz w:val="24"/>
                <w:szCs w:val="24"/>
                <w:highlight w:val="none"/>
                <w:lang w:val="en-US" w:eastAsia="zh-CN"/>
              </w:rPr>
              <w:t>7</w:t>
            </w:r>
          </w:p>
        </w:tc>
        <w:tc>
          <w:tcPr>
            <w:tcW w:w="2522" w:type="dxa"/>
            <w:tcBorders>
              <w:top w:val="single" w:color="000000" w:sz="4" w:space="0"/>
              <w:right w:val="single" w:color="000000" w:sz="4" w:space="0"/>
            </w:tcBorders>
            <w:vAlign w:val="center"/>
          </w:tcPr>
          <w:p w14:paraId="4CF4507C">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5" w:firstLineChars="0"/>
              <w:jc w:val="left"/>
              <w:textAlignment w:val="baseline"/>
              <w:outlineLvl w:val="9"/>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8"/>
                <w:sz w:val="24"/>
                <w:szCs w:val="24"/>
              </w:rPr>
              <w:t>投标</w:t>
            </w:r>
            <w:r>
              <w:rPr>
                <w:rFonts w:hint="eastAsia" w:cs="宋体"/>
                <w:color w:val="auto"/>
                <w:spacing w:val="-8"/>
                <w:sz w:val="24"/>
                <w:szCs w:val="24"/>
                <w:lang w:eastAsia="zh-CN"/>
              </w:rPr>
              <w:t>文件签字</w:t>
            </w:r>
            <w:r>
              <w:rPr>
                <w:rFonts w:hint="eastAsia" w:ascii="宋体" w:hAnsi="宋体" w:eastAsia="宋体" w:cs="宋体"/>
                <w:color w:val="auto"/>
                <w:spacing w:val="-8"/>
                <w:sz w:val="24"/>
                <w:szCs w:val="24"/>
              </w:rPr>
              <w:t>、盖</w:t>
            </w:r>
            <w:r>
              <w:rPr>
                <w:rFonts w:hint="eastAsia" w:ascii="宋体" w:hAnsi="宋体" w:eastAsia="宋体" w:cs="宋体"/>
                <w:color w:val="auto"/>
                <w:spacing w:val="-9"/>
                <w:sz w:val="24"/>
                <w:szCs w:val="24"/>
              </w:rPr>
              <w:t>章</w:t>
            </w:r>
          </w:p>
        </w:tc>
        <w:tc>
          <w:tcPr>
            <w:tcW w:w="5301" w:type="dxa"/>
            <w:tcBorders>
              <w:top w:val="single" w:color="000000" w:sz="4" w:space="0"/>
              <w:left w:val="single" w:color="000000" w:sz="4" w:space="0"/>
              <w:bottom w:val="single" w:color="000000" w:sz="4" w:space="0"/>
            </w:tcBorders>
            <w:vAlign w:val="center"/>
          </w:tcPr>
          <w:p w14:paraId="2476F7C5">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rPr>
              <w:t>投标人按照招标文件规定要求签署、盖章</w:t>
            </w:r>
            <w:r>
              <w:rPr>
                <w:rFonts w:hint="eastAsia" w:ascii="宋体" w:hAnsi="宋体" w:eastAsia="宋体" w:cs="宋体"/>
                <w:color w:val="auto"/>
                <w:spacing w:val="-1"/>
                <w:sz w:val="24"/>
                <w:szCs w:val="24"/>
                <w:lang w:eastAsia="zh-CN"/>
              </w:rPr>
              <w:t>。</w:t>
            </w:r>
          </w:p>
        </w:tc>
      </w:tr>
      <w:tr w14:paraId="498A9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tcBorders>
            <w:vAlign w:val="center"/>
          </w:tcPr>
          <w:p w14:paraId="53D5B156">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default" w:ascii="宋体" w:hAnsi="宋体" w:eastAsia="宋体" w:cs="宋体"/>
                <w:snapToGrid w:val="0"/>
                <w:color w:val="auto"/>
                <w:spacing w:val="-3"/>
                <w:kern w:val="0"/>
                <w:sz w:val="24"/>
                <w:szCs w:val="24"/>
                <w:lang w:val="en-US" w:eastAsia="zh-CN" w:bidi="ar-SA"/>
              </w:rPr>
            </w:pPr>
            <w:r>
              <w:rPr>
                <w:rFonts w:hint="eastAsia" w:cs="宋体"/>
                <w:snapToGrid w:val="0"/>
                <w:color w:val="auto"/>
                <w:spacing w:val="-3"/>
                <w:kern w:val="0"/>
                <w:sz w:val="24"/>
                <w:szCs w:val="24"/>
                <w:lang w:val="en-US" w:eastAsia="zh-CN" w:bidi="ar-SA"/>
              </w:rPr>
              <w:t>8</w:t>
            </w:r>
          </w:p>
        </w:tc>
        <w:tc>
          <w:tcPr>
            <w:tcW w:w="825" w:type="dxa"/>
            <w:tcBorders>
              <w:top w:val="single" w:color="000000" w:sz="4" w:space="0"/>
            </w:tcBorders>
            <w:vAlign w:val="center"/>
          </w:tcPr>
          <w:p w14:paraId="13864478">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5"/>
                <w:sz w:val="24"/>
                <w:szCs w:val="24"/>
                <w:highlight w:val="none"/>
              </w:rPr>
              <w:t>商务</w:t>
            </w:r>
            <w:r>
              <w:rPr>
                <w:rFonts w:hint="eastAsia" w:cs="宋体"/>
                <w:color w:val="auto"/>
                <w:spacing w:val="-5"/>
                <w:sz w:val="24"/>
                <w:szCs w:val="24"/>
                <w:highlight w:val="none"/>
                <w:lang w:val="en-US" w:eastAsia="zh-CN"/>
              </w:rPr>
              <w:t>8</w:t>
            </w:r>
          </w:p>
        </w:tc>
        <w:tc>
          <w:tcPr>
            <w:tcW w:w="2522" w:type="dxa"/>
            <w:tcBorders>
              <w:top w:val="single" w:color="000000" w:sz="4" w:space="0"/>
              <w:right w:val="single" w:color="000000" w:sz="4" w:space="0"/>
            </w:tcBorders>
            <w:vAlign w:val="center"/>
          </w:tcPr>
          <w:p w14:paraId="65F5F32E">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2" w:firstLineChars="0"/>
              <w:jc w:val="left"/>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en-US" w:bidi="ar-SA"/>
              </w:rPr>
              <w:t>其他要求</w:t>
            </w:r>
          </w:p>
        </w:tc>
        <w:tc>
          <w:tcPr>
            <w:tcW w:w="5301" w:type="dxa"/>
            <w:tcBorders>
              <w:top w:val="single" w:color="000000" w:sz="4" w:space="0"/>
              <w:left w:val="single" w:color="000000" w:sz="4" w:space="0"/>
              <w:bottom w:val="single" w:color="000000" w:sz="4" w:space="0"/>
            </w:tcBorders>
            <w:vAlign w:val="center"/>
          </w:tcPr>
          <w:p w14:paraId="32A81A84">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1</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投标文件未含有采购人不能接受的附加条件的</w:t>
            </w:r>
            <w:r>
              <w:rPr>
                <w:rFonts w:hint="eastAsia" w:ascii="宋体" w:hAnsi="宋体" w:eastAsia="宋体" w:cs="宋体"/>
                <w:color w:val="auto"/>
                <w:spacing w:val="-1"/>
                <w:sz w:val="24"/>
                <w:szCs w:val="24"/>
                <w:lang w:eastAsia="zh-CN"/>
              </w:rPr>
              <w:t>。</w:t>
            </w:r>
          </w:p>
          <w:p w14:paraId="3F9B9FBD">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2</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对招标文件的实质性要求作出响应</w:t>
            </w:r>
            <w:r>
              <w:rPr>
                <w:rFonts w:hint="eastAsia" w:ascii="宋体" w:hAnsi="宋体" w:eastAsia="宋体" w:cs="宋体"/>
                <w:color w:val="auto"/>
                <w:spacing w:val="-1"/>
                <w:sz w:val="24"/>
                <w:szCs w:val="24"/>
                <w:lang w:eastAsia="zh-CN"/>
              </w:rPr>
              <w:t>。</w:t>
            </w:r>
          </w:p>
          <w:p w14:paraId="50E5CEB1">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3</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投标人不存在串通投标行为</w:t>
            </w:r>
            <w:r>
              <w:rPr>
                <w:rFonts w:hint="eastAsia" w:ascii="宋体" w:hAnsi="宋体" w:eastAsia="宋体" w:cs="宋体"/>
                <w:color w:val="auto"/>
                <w:spacing w:val="-1"/>
                <w:sz w:val="24"/>
                <w:szCs w:val="24"/>
                <w:lang w:eastAsia="zh-CN"/>
              </w:rPr>
              <w:t>。</w:t>
            </w:r>
          </w:p>
          <w:p w14:paraId="5DB6B3F9">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4</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投标人、投标文件不存在不符合法律、法规和招标文件规定的其他无效情形。</w:t>
            </w:r>
          </w:p>
        </w:tc>
      </w:tr>
    </w:tbl>
    <w:p w14:paraId="12D71CF8">
      <w:pPr>
        <w:keepNext w:val="0"/>
        <w:keepLines w:val="0"/>
        <w:pageBreakBefore w:val="0"/>
        <w:widowControl/>
        <w:kinsoku w:val="0"/>
        <w:wordWrap/>
        <w:overflowPunct/>
        <w:topLinePunct w:val="0"/>
        <w:autoSpaceDE w:val="0"/>
        <w:autoSpaceDN w:val="0"/>
        <w:bidi w:val="0"/>
        <w:adjustRightInd w:val="0"/>
        <w:snapToGrid w:val="0"/>
        <w:spacing w:before="183"/>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本表中符合评审内容要求的写“√”,不符合评审内容要求的写“×”。结论为“合格”或“不合格”。结论不合格的不进入综合评审阶段。审查投标人是否存在串通投标行为：评标委员会发现有下列情形之一的，视为投标人串通投标，其投标无效：</w:t>
      </w:r>
    </w:p>
    <w:p w14:paraId="7D8023DB">
      <w:pPr>
        <w:bidi w:val="0"/>
        <w:outlineLvl w:val="9"/>
        <w:rPr>
          <w:rFonts w:hint="eastAsia" w:ascii="宋体" w:hAnsi="宋体" w:eastAsia="宋体" w:cs="宋体"/>
          <w:color w:val="auto"/>
          <w:sz w:val="24"/>
          <w:szCs w:val="24"/>
        </w:rPr>
      </w:pPr>
    </w:p>
    <w:p w14:paraId="50725047">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一、有下列情形之一的，属于投标人相互串通投标：</w:t>
      </w:r>
    </w:p>
    <w:p w14:paraId="35D0C07B">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（一）投标人之间协商投标报价等投标文件的实质性内容；</w:t>
      </w:r>
    </w:p>
    <w:p w14:paraId="6BF2FD3B">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（二）投标人之间约定中标人；</w:t>
      </w:r>
    </w:p>
    <w:p w14:paraId="6E7CC8A6">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（三）投标人之间约定部分投标人放弃投标或者中标；</w:t>
      </w:r>
    </w:p>
    <w:p w14:paraId="6D3009AD">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（四）属于同一集团、协会、商会等组织成员的投标人按照该组织要求协同投标；</w:t>
      </w:r>
    </w:p>
    <w:p w14:paraId="6B6EA7DE">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（五）投标人之间为谋取中标或者排斥特定投标人而采取的其他联合行动。</w:t>
      </w:r>
    </w:p>
    <w:p w14:paraId="536B75BF">
      <w:pPr>
        <w:bidi w:val="0"/>
        <w:outlineLvl w:val="9"/>
        <w:rPr>
          <w:rFonts w:hint="eastAsia" w:ascii="宋体" w:hAnsi="宋体" w:eastAsia="宋体" w:cs="宋体"/>
          <w:color w:val="auto"/>
          <w:sz w:val="24"/>
          <w:szCs w:val="24"/>
        </w:rPr>
      </w:pPr>
    </w:p>
    <w:p w14:paraId="60387BA0">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二、有下列情形之一的，视为投标人相互串通投标：</w:t>
      </w:r>
    </w:p>
    <w:p w14:paraId="1B0A6DEA">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（一）不同投标人的投标文件由同一单位或者个人编制；</w:t>
      </w:r>
    </w:p>
    <w:p w14:paraId="3CECEA2A">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（二）不同投标人委托同一单位或者个人办理投标事宜；</w:t>
      </w:r>
    </w:p>
    <w:p w14:paraId="3E6C40E8">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（三）不同投标人的投标文件载明的项目管理成员为同一人；</w:t>
      </w:r>
    </w:p>
    <w:p w14:paraId="40CA66B3">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（四）不同投标人的投标文件异常一致或者投标报价呈规律性差异；</w:t>
      </w:r>
    </w:p>
    <w:p w14:paraId="360507E7">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（五）不同投标人的投标文件相互混装；</w:t>
      </w:r>
    </w:p>
    <w:p w14:paraId="37903599">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（六）不同投标人的投标保证金从同一单位或者个人的账户转出；</w:t>
      </w:r>
    </w:p>
    <w:p w14:paraId="77BED15C">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（七）《关于禁止串通招标投标行为的暂行规定》（国家工商行政管理局令第 82 号）第三条规定的串通投标行为；</w:t>
      </w:r>
    </w:p>
    <w:p w14:paraId="3877005E">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（八）投标人串通投标的其他情形。</w:t>
      </w:r>
    </w:p>
    <w:p w14:paraId="324D6F7A">
      <w:pPr>
        <w:bidi w:val="0"/>
        <w:outlineLvl w:val="9"/>
        <w:rPr>
          <w:rFonts w:hint="eastAsia" w:ascii="宋体" w:hAnsi="宋体" w:eastAsia="宋体" w:cs="宋体"/>
          <w:color w:val="auto"/>
          <w:sz w:val="24"/>
          <w:szCs w:val="24"/>
        </w:rPr>
      </w:pPr>
    </w:p>
    <w:p w14:paraId="4E580891">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三、有下列情形之一的，属于采购人与投标人串通投标：</w:t>
      </w:r>
    </w:p>
    <w:p w14:paraId="2D01120B">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（一）采购人在开标前开启投标文件并将有关信息泄露给其他投标人；</w:t>
      </w:r>
    </w:p>
    <w:p w14:paraId="301C867D">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（二）采购人直接或者间接向投标人泄露标底、评标委员会成员等信息；</w:t>
      </w:r>
    </w:p>
    <w:p w14:paraId="3F36E0CE">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（三）采购人明示或者暗示投标人压低或者抬高投标报价；</w:t>
      </w:r>
    </w:p>
    <w:p w14:paraId="60D40300">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（四）采购人授意投标人撤换、修改投标文件；</w:t>
      </w:r>
    </w:p>
    <w:p w14:paraId="19BD9394">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（五）采购人明示或者暗示投标人为特定投标人中标提供方便；</w:t>
      </w:r>
    </w:p>
    <w:p w14:paraId="4C95E8FF">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（六）采购人与投标人为谋求特定投标人中标而采取的其他串通行为。</w:t>
      </w:r>
    </w:p>
    <w:p w14:paraId="143B11AF">
      <w:pPr>
        <w:bidi w:val="0"/>
        <w:outlineLvl w:val="9"/>
        <w:rPr>
          <w:rFonts w:hint="eastAsia" w:ascii="宋体" w:hAnsi="宋体" w:eastAsia="宋体" w:cs="宋体"/>
          <w:color w:val="auto"/>
          <w:sz w:val="24"/>
          <w:szCs w:val="24"/>
        </w:rPr>
      </w:pPr>
    </w:p>
    <w:p w14:paraId="75DED418">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注：经评标委员会评审合格投标人的家数不足三家，该项目废标，采购人有权委托采购代理机构重新组织招标。</w:t>
      </w:r>
    </w:p>
    <w:p w14:paraId="45041724">
      <w:pPr>
        <w:bidi w:val="0"/>
        <w:outlineLvl w:val="9"/>
        <w:rPr>
          <w:rFonts w:hint="eastAsia" w:ascii="宋体" w:hAnsi="宋体" w:eastAsia="宋体" w:cs="宋体"/>
          <w:color w:val="auto"/>
          <w:sz w:val="24"/>
          <w:szCs w:val="24"/>
        </w:rPr>
      </w:pPr>
    </w:p>
    <w:p w14:paraId="33539A34">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3.2澄清有关问题。对投标文件中含义不明确、同类问题表述不一致或者有明显文字和计算错误的内容，评标委员会可以书面形式要求投标人做出必要的澄清、说明或者纠正。投标人的澄清、说明或者补正不得超出投标文件的范围或者改变投标文件的实质性内容。投标人的澄清、说明或者补正应当采用书面形式，由投标人单位负责人或其授权代理人签字 （须提交签字人身份证件并与投标文件签字人一致），并不得超出投标文件的范围或者改 变投标文件的实质性内容。投标人拒不进行澄清、说明、补正的，或者不能在规定时间内 作出书面澄清、说明、补正的，评标委员会将拒绝其投标。</w:t>
      </w:r>
    </w:p>
    <w:p w14:paraId="4E0D128A">
      <w:pPr>
        <w:bidi w:val="0"/>
        <w:ind w:firstLine="240" w:firstLineChars="1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3.2.1 评标委员会将允许修正投标文件中不构成重大偏离的细微偏离，但这些修正应不会 对实质上响应招标文件要求的投标人的竞争地位（相互排序）产生不公正的影响。</w:t>
      </w:r>
    </w:p>
    <w:p w14:paraId="7E48F7A4">
      <w:pPr>
        <w:bidi w:val="0"/>
        <w:ind w:firstLine="240" w:firstLineChars="1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3.2.2 投标文件报价出现前后不一致的，除招标文件另有规定外，按照下列规定修正：（一）投标文件中开标一览表（报价表）内容与投标文件中相应内容不一致的，以开标一览表（报价表）为准；</w:t>
      </w:r>
    </w:p>
    <w:p w14:paraId="391260E5">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（二）大写金额和小写金额不一致的，以大写金额为准；</w:t>
      </w:r>
    </w:p>
    <w:p w14:paraId="3CED0855">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（三）单价金额小数点或者百分比有明显错位的，以开标一览表的总价为准，并修改单价；</w:t>
      </w:r>
    </w:p>
    <w:p w14:paraId="643CEF16">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（四）总价金额与按单价汇总金额不一致的，以单价金额计算结果为准。同时出现两种以上不一致的，按照规定的顺序修正。修正后的报价经投标人确认后产生约束力，投标人不确认的，其投标无效。</w:t>
      </w:r>
    </w:p>
    <w:p w14:paraId="7AE10452">
      <w:pPr>
        <w:bidi w:val="0"/>
        <w:ind w:firstLine="240" w:firstLineChars="1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3.2.3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 效投标处理。</w:t>
      </w:r>
    </w:p>
    <w:p w14:paraId="7FB174E2">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3.3 评标委员会应当按照招标文件中规定的评标方法和标准，对符合性审查合格的投标文 件进行商务和技术评估，综合比较与评价。</w:t>
      </w:r>
    </w:p>
    <w:p w14:paraId="714B12EB">
      <w:pPr>
        <w:bidi w:val="0"/>
        <w:ind w:firstLine="240" w:firstLineChars="1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3.3.1 本项目采用综合评分法评标，评标委员会将按下述标准评定中标人：独立对每个投标人的投标文件进行评价，并汇总每个投标人的得分。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70D76B3">
      <w:pPr>
        <w:spacing w:before="182" w:line="219" w:lineRule="auto"/>
        <w:ind w:left="15" w:firstLine="238" w:firstLineChars="100"/>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3.3.2</w:t>
      </w:r>
      <w:r>
        <w:rPr>
          <w:rFonts w:hint="eastAsia" w:ascii="宋体" w:hAnsi="宋体" w:eastAsia="宋体" w:cs="宋体"/>
          <w:color w:val="auto"/>
          <w:spacing w:val="-48"/>
          <w:sz w:val="24"/>
          <w:szCs w:val="24"/>
        </w:rPr>
        <w:t xml:space="preserve"> </w:t>
      </w:r>
      <w:r>
        <w:rPr>
          <w:rFonts w:hint="eastAsia" w:ascii="宋体" w:hAnsi="宋体" w:eastAsia="宋体" w:cs="宋体"/>
          <w:color w:val="auto"/>
          <w:spacing w:val="-1"/>
          <w:sz w:val="24"/>
          <w:szCs w:val="24"/>
        </w:rPr>
        <w:t>综合评分法评分方法（计算结果精确到小数点后两位</w:t>
      </w:r>
      <w:r>
        <w:rPr>
          <w:rFonts w:hint="eastAsia" w:ascii="宋体" w:hAnsi="宋体" w:eastAsia="宋体" w:cs="宋体"/>
          <w:color w:val="auto"/>
          <w:sz w:val="24"/>
          <w:szCs w:val="24"/>
        </w:rPr>
        <w:t>）：</w:t>
      </w:r>
    </w:p>
    <w:tbl>
      <w:tblPr>
        <w:tblStyle w:val="17"/>
        <w:tblW w:w="964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9"/>
        <w:gridCol w:w="1104"/>
        <w:gridCol w:w="7455"/>
        <w:gridCol w:w="532"/>
      </w:tblGrid>
      <w:tr w14:paraId="65095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jc w:val="center"/>
        </w:trPr>
        <w:tc>
          <w:tcPr>
            <w:tcW w:w="549" w:type="dxa"/>
            <w:vAlign w:val="center"/>
          </w:tcPr>
          <w:p w14:paraId="27B047AC">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04" w:type="dxa"/>
            <w:vAlign w:val="center"/>
          </w:tcPr>
          <w:p w14:paraId="4A8AC285">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评审项目</w:t>
            </w:r>
          </w:p>
        </w:tc>
        <w:tc>
          <w:tcPr>
            <w:tcW w:w="7455" w:type="dxa"/>
            <w:vAlign w:val="center"/>
          </w:tcPr>
          <w:p w14:paraId="0343F709">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评审</w:t>
            </w:r>
            <w:r>
              <w:rPr>
                <w:rFonts w:hint="eastAsia" w:ascii="宋体" w:hAnsi="宋体" w:eastAsia="宋体" w:cs="宋体"/>
                <w:b/>
                <w:bCs/>
                <w:color w:val="auto"/>
                <w:sz w:val="24"/>
                <w:szCs w:val="24"/>
              </w:rPr>
              <w:t>标准</w:t>
            </w:r>
          </w:p>
        </w:tc>
        <w:tc>
          <w:tcPr>
            <w:tcW w:w="532" w:type="dxa"/>
            <w:vAlign w:val="center"/>
          </w:tcPr>
          <w:p w14:paraId="0BA6222D">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r>
      <w:tr w14:paraId="5F35D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9108" w:type="dxa"/>
            <w:gridSpan w:val="3"/>
            <w:vAlign w:val="center"/>
          </w:tcPr>
          <w:p w14:paraId="027E78DA">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一、价格因素</w:t>
            </w:r>
          </w:p>
        </w:tc>
        <w:tc>
          <w:tcPr>
            <w:tcW w:w="532" w:type="dxa"/>
            <w:vAlign w:val="center"/>
          </w:tcPr>
          <w:p w14:paraId="0C02AF9E">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r>
      <w:tr w14:paraId="13A9D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6" w:hRule="atLeast"/>
          <w:jc w:val="center"/>
        </w:trPr>
        <w:tc>
          <w:tcPr>
            <w:tcW w:w="549" w:type="dxa"/>
            <w:vAlign w:val="center"/>
          </w:tcPr>
          <w:p w14:paraId="75286730">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04" w:type="dxa"/>
            <w:vAlign w:val="center"/>
          </w:tcPr>
          <w:p w14:paraId="507225B7">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价格因素分</w:t>
            </w:r>
          </w:p>
        </w:tc>
        <w:tc>
          <w:tcPr>
            <w:tcW w:w="7455" w:type="dxa"/>
            <w:vAlign w:val="center"/>
          </w:tcPr>
          <w:p w14:paraId="71345EE5">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价格分应当采用低价优先法计算，即满足招标文件要求且投标价格最低的投标报价为评标基准价，其价格分为满分。其他投标人的价格分统一按照下列公式计算：投标报价得分(评标基准价／投标报价)×</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%×100（注：因落实政府采购政策进行价格调整的，以调整后的价格计算评标基准价和投标报价）</w:t>
            </w:r>
          </w:p>
        </w:tc>
        <w:tc>
          <w:tcPr>
            <w:tcW w:w="532" w:type="dxa"/>
            <w:vAlign w:val="center"/>
          </w:tcPr>
          <w:p w14:paraId="088C0565">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r>
      <w:tr w14:paraId="7F5FD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9108" w:type="dxa"/>
            <w:gridSpan w:val="3"/>
            <w:vAlign w:val="center"/>
          </w:tcPr>
          <w:p w14:paraId="21045143">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二、商务因素</w:t>
            </w:r>
          </w:p>
        </w:tc>
        <w:tc>
          <w:tcPr>
            <w:tcW w:w="532" w:type="dxa"/>
            <w:vAlign w:val="center"/>
          </w:tcPr>
          <w:p w14:paraId="2EBC6719">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w:t>
            </w:r>
          </w:p>
        </w:tc>
      </w:tr>
      <w:tr w14:paraId="05C5B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jc w:val="center"/>
        </w:trPr>
        <w:tc>
          <w:tcPr>
            <w:tcW w:w="549" w:type="dxa"/>
            <w:vAlign w:val="center"/>
          </w:tcPr>
          <w:p w14:paraId="40A6DCC8">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04" w:type="dxa"/>
            <w:vAlign w:val="center"/>
          </w:tcPr>
          <w:p w14:paraId="5188AB2C">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同类业绩</w:t>
            </w:r>
          </w:p>
        </w:tc>
        <w:tc>
          <w:tcPr>
            <w:tcW w:w="7455" w:type="dxa"/>
            <w:vAlign w:val="center"/>
          </w:tcPr>
          <w:p w14:paraId="3EEAA092">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投标人自2022年1月1日以来（含履约中项目）具有</w:t>
            </w:r>
            <w:r>
              <w:rPr>
                <w:rFonts w:hint="eastAsia" w:ascii="宋体" w:hAnsi="宋体" w:eastAsia="宋体" w:cs="宋体"/>
                <w:color w:val="auto"/>
                <w:sz w:val="24"/>
                <w:szCs w:val="24"/>
                <w:highlight w:val="none"/>
                <w:lang w:eastAsia="zh-CN"/>
              </w:rPr>
              <w:t>链路租赁</w:t>
            </w:r>
            <w:r>
              <w:rPr>
                <w:rFonts w:hint="eastAsia" w:ascii="宋体" w:hAnsi="宋体" w:eastAsia="宋体" w:cs="宋体"/>
                <w:color w:val="auto"/>
                <w:sz w:val="24"/>
                <w:szCs w:val="24"/>
                <w:highlight w:val="none"/>
                <w:lang w:val="en-US" w:eastAsia="zh-CN"/>
              </w:rPr>
              <w:t>类的项目业绩（以合同签订时间为准），每提供一个得2分，满分10分。</w:t>
            </w:r>
          </w:p>
          <w:p w14:paraId="322F96C5">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注：投标文件中附项目业绩合同或业主证明材料复印件并加盖投标人公章。</w:t>
            </w:r>
          </w:p>
        </w:tc>
        <w:tc>
          <w:tcPr>
            <w:tcW w:w="532" w:type="dxa"/>
            <w:vAlign w:val="center"/>
          </w:tcPr>
          <w:p w14:paraId="0D528D39">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r>
      <w:tr w14:paraId="4D7B2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jc w:val="center"/>
        </w:trPr>
        <w:tc>
          <w:tcPr>
            <w:tcW w:w="549" w:type="dxa"/>
            <w:vMerge w:val="restart"/>
            <w:vAlign w:val="center"/>
          </w:tcPr>
          <w:p w14:paraId="3E198083">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104" w:type="dxa"/>
            <w:vMerge w:val="restart"/>
            <w:vAlign w:val="center"/>
          </w:tcPr>
          <w:p w14:paraId="10824028">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outlineLvl w:val="9"/>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rPr>
              <w:t>项目管理机构</w:t>
            </w:r>
          </w:p>
        </w:tc>
        <w:tc>
          <w:tcPr>
            <w:tcW w:w="7455" w:type="dxa"/>
            <w:shd w:val="clear" w:color="auto" w:fill="auto"/>
            <w:vAlign w:val="top"/>
          </w:tcPr>
          <w:p w14:paraId="4BF18711">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outlineLvl w:val="9"/>
              <w:rPr>
                <w:rFonts w:hint="eastAsia" w:ascii="宋体" w:hAnsi="宋体" w:eastAsia="宋体" w:cs="宋体"/>
                <w:color w:val="auto"/>
                <w:sz w:val="24"/>
                <w:szCs w:val="24"/>
                <w:lang w:val="en-US" w:eastAsia="en-US"/>
              </w:rPr>
            </w:pPr>
            <w:r>
              <w:rPr>
                <w:rFonts w:hint="eastAsia" w:ascii="宋体" w:hAnsi="宋体" w:eastAsia="宋体" w:cs="宋体"/>
                <w:color w:val="000000" w:themeColor="text1"/>
                <w:sz w:val="24"/>
                <w:szCs w:val="24"/>
                <w:lang w:val="en-US" w:eastAsia="zh-CN"/>
                <w14:textFill>
                  <w14:solidFill>
                    <w14:schemeClr w14:val="tx1"/>
                  </w14:solidFill>
                </w14:textFill>
              </w:rPr>
              <w:t>投标人</w:t>
            </w:r>
            <w:r>
              <w:rPr>
                <w:rFonts w:hint="eastAsia" w:ascii="宋体" w:hAnsi="宋体" w:eastAsia="宋体" w:cs="宋体"/>
                <w:color w:val="000000" w:themeColor="text1"/>
                <w:sz w:val="24"/>
                <w:szCs w:val="24"/>
                <w:lang w:eastAsia="zh-CN"/>
                <w14:textFill>
                  <w14:solidFill>
                    <w14:schemeClr w14:val="tx1"/>
                  </w14:solidFill>
                </w14:textFill>
              </w:rPr>
              <w:t>拟派出的项目管理机构人员中每有一名相关专业高级工程师的得2分，本项满分为10分；标书内附人员职称证书、</w:t>
            </w:r>
            <w:r>
              <w:rPr>
                <w:rFonts w:hint="eastAsia" w:ascii="宋体" w:hAnsi="宋体" w:eastAsia="宋体" w:cs="宋体"/>
                <w:color w:val="000000" w:themeColor="text1"/>
                <w:sz w:val="24"/>
                <w:szCs w:val="24"/>
                <w:lang w:val="en-US" w:eastAsia="zh-CN"/>
                <w14:textFill>
                  <w14:solidFill>
                    <w14:schemeClr w14:val="tx1"/>
                  </w14:solidFill>
                </w14:textFill>
              </w:rPr>
              <w:t>近半年内任意一月</w:t>
            </w:r>
            <w:r>
              <w:rPr>
                <w:rFonts w:hint="eastAsia" w:ascii="宋体" w:hAnsi="宋体" w:eastAsia="宋体" w:cs="宋体"/>
                <w:color w:val="000000" w:themeColor="text1"/>
                <w:sz w:val="24"/>
                <w:szCs w:val="24"/>
                <w:lang w:eastAsia="zh-CN"/>
                <w14:textFill>
                  <w14:solidFill>
                    <w14:schemeClr w14:val="tx1"/>
                  </w14:solidFill>
                </w14:textFill>
              </w:rPr>
              <w:t>企业为其缴纳的社会保险证明并加盖供应商公章，未按要求提供不得分。</w:t>
            </w:r>
          </w:p>
        </w:tc>
        <w:tc>
          <w:tcPr>
            <w:tcW w:w="532" w:type="dxa"/>
            <w:vMerge w:val="restart"/>
            <w:vAlign w:val="center"/>
          </w:tcPr>
          <w:p w14:paraId="503EA3E6">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r>
      <w:tr w14:paraId="4C67F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jc w:val="center"/>
        </w:trPr>
        <w:tc>
          <w:tcPr>
            <w:tcW w:w="549" w:type="dxa"/>
            <w:vMerge w:val="continue"/>
            <w:vAlign w:val="center"/>
          </w:tcPr>
          <w:p w14:paraId="71A3FF91">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outlineLvl w:val="9"/>
              <w:rPr>
                <w:rFonts w:hint="eastAsia" w:ascii="宋体" w:hAnsi="宋体" w:eastAsia="宋体" w:cs="宋体"/>
                <w:color w:val="auto"/>
                <w:sz w:val="24"/>
                <w:szCs w:val="24"/>
                <w:lang w:val="en-US" w:eastAsia="zh-CN"/>
              </w:rPr>
            </w:pPr>
          </w:p>
        </w:tc>
        <w:tc>
          <w:tcPr>
            <w:tcW w:w="1104" w:type="dxa"/>
            <w:vMerge w:val="continue"/>
            <w:shd w:val="clear" w:color="auto" w:fill="auto"/>
            <w:vAlign w:val="center"/>
          </w:tcPr>
          <w:p w14:paraId="299286E3">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outlineLvl w:val="9"/>
              <w:rPr>
                <w:rFonts w:hint="eastAsia" w:ascii="宋体" w:hAnsi="宋体" w:eastAsia="宋体" w:cs="宋体"/>
                <w:color w:val="auto"/>
                <w:sz w:val="24"/>
                <w:szCs w:val="24"/>
                <w:lang w:val="en-US" w:eastAsia="en-US"/>
              </w:rPr>
            </w:pPr>
          </w:p>
        </w:tc>
        <w:tc>
          <w:tcPr>
            <w:tcW w:w="7455" w:type="dxa"/>
            <w:shd w:val="clear" w:color="auto" w:fill="auto"/>
            <w:vAlign w:val="top"/>
          </w:tcPr>
          <w:p w14:paraId="32F5BBC3">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outlineLvl w:val="9"/>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lang w:eastAsia="zh-CN"/>
              </w:rPr>
              <w:t>拟派出的项目管理机构人员中每有一名相关专业中级工程师的得1分，本项满分为5分；标书内附人员职称证书、</w:t>
            </w:r>
            <w:r>
              <w:rPr>
                <w:rFonts w:hint="eastAsia" w:ascii="宋体" w:hAnsi="宋体" w:eastAsia="宋体" w:cs="宋体"/>
                <w:color w:val="000000" w:themeColor="text1"/>
                <w:sz w:val="24"/>
                <w:szCs w:val="24"/>
                <w:lang w:val="en-US" w:eastAsia="zh-CN"/>
                <w14:textFill>
                  <w14:solidFill>
                    <w14:schemeClr w14:val="tx1"/>
                  </w14:solidFill>
                </w14:textFill>
              </w:rPr>
              <w:t>近半年内任意一月</w:t>
            </w:r>
            <w:r>
              <w:rPr>
                <w:rFonts w:hint="eastAsia" w:ascii="宋体" w:hAnsi="宋体" w:eastAsia="宋体" w:cs="宋体"/>
                <w:color w:val="auto"/>
                <w:sz w:val="24"/>
                <w:szCs w:val="24"/>
                <w:lang w:eastAsia="zh-CN"/>
              </w:rPr>
              <w:t>企业为其缴纳的社会保险证明并加盖供应商公章，未按要求提供不得分。</w:t>
            </w:r>
          </w:p>
        </w:tc>
        <w:tc>
          <w:tcPr>
            <w:tcW w:w="532" w:type="dxa"/>
            <w:vMerge w:val="continue"/>
            <w:vAlign w:val="center"/>
          </w:tcPr>
          <w:p w14:paraId="25BD9923">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outlineLvl w:val="9"/>
              <w:rPr>
                <w:rFonts w:hint="default" w:ascii="宋体" w:hAnsi="宋体" w:eastAsia="宋体" w:cs="宋体"/>
                <w:color w:val="auto"/>
                <w:sz w:val="24"/>
                <w:szCs w:val="24"/>
                <w:lang w:val="en-US" w:eastAsia="zh-CN"/>
              </w:rPr>
            </w:pPr>
          </w:p>
        </w:tc>
      </w:tr>
      <w:tr w14:paraId="72864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jc w:val="center"/>
        </w:trPr>
        <w:tc>
          <w:tcPr>
            <w:tcW w:w="9108" w:type="dxa"/>
            <w:gridSpan w:val="3"/>
            <w:noWrap w:val="0"/>
            <w:vAlign w:val="center"/>
          </w:tcPr>
          <w:p w14:paraId="216A62E0">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三、技术因素</w:t>
            </w:r>
          </w:p>
        </w:tc>
        <w:tc>
          <w:tcPr>
            <w:tcW w:w="532" w:type="dxa"/>
            <w:noWrap w:val="0"/>
            <w:vAlign w:val="center"/>
          </w:tcPr>
          <w:p w14:paraId="09E92733">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outlineLvl w:val="9"/>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65</w:t>
            </w:r>
          </w:p>
        </w:tc>
      </w:tr>
      <w:tr w14:paraId="2D44E4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 w:hRule="atLeast"/>
          <w:jc w:val="center"/>
        </w:trPr>
        <w:tc>
          <w:tcPr>
            <w:tcW w:w="549" w:type="dxa"/>
            <w:noWrap w:val="0"/>
            <w:vAlign w:val="center"/>
          </w:tcPr>
          <w:p w14:paraId="02E3B873">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04" w:type="dxa"/>
            <w:noWrap w:val="0"/>
            <w:vAlign w:val="center"/>
          </w:tcPr>
          <w:p w14:paraId="2BABDA90">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网络稳定性</w:t>
            </w:r>
          </w:p>
        </w:tc>
        <w:tc>
          <w:tcPr>
            <w:tcW w:w="7455" w:type="dxa"/>
            <w:shd w:val="clear" w:color="auto" w:fill="auto"/>
            <w:noWrap w:val="0"/>
            <w:vAlign w:val="top"/>
          </w:tcPr>
          <w:p w14:paraId="4BA5B8AA">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outlineLvl w:val="9"/>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rPr>
              <w:t>故障率&lt;0.001%得4分；0.001%≤故障率&lt;0.003%得2分；故障率≥0.003%得0分。</w:t>
            </w:r>
          </w:p>
        </w:tc>
        <w:tc>
          <w:tcPr>
            <w:tcW w:w="532" w:type="dxa"/>
            <w:noWrap w:val="0"/>
            <w:vAlign w:val="center"/>
          </w:tcPr>
          <w:p w14:paraId="40DB2CD5">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r>
      <w:tr w14:paraId="30807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 w:hRule="atLeast"/>
          <w:jc w:val="center"/>
        </w:trPr>
        <w:tc>
          <w:tcPr>
            <w:tcW w:w="549" w:type="dxa"/>
            <w:shd w:val="clear" w:color="auto" w:fill="auto"/>
            <w:noWrap w:val="0"/>
            <w:vAlign w:val="center"/>
          </w:tcPr>
          <w:p w14:paraId="3CE2BF6A">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1104" w:type="dxa"/>
            <w:noWrap w:val="0"/>
            <w:vAlign w:val="center"/>
          </w:tcPr>
          <w:p w14:paraId="0A5BA387">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组织协调及保证措施</w:t>
            </w:r>
          </w:p>
        </w:tc>
        <w:tc>
          <w:tcPr>
            <w:tcW w:w="7455" w:type="dxa"/>
            <w:shd w:val="clear" w:color="auto" w:fill="auto"/>
            <w:noWrap w:val="0"/>
            <w:vAlign w:val="top"/>
          </w:tcPr>
          <w:p w14:paraId="646ED974">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针对供应商提供的组织协调内容、组织协调方法、组织协调保证措施等方案。</w:t>
            </w:r>
          </w:p>
          <w:p w14:paraId="59F1757E">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outlineLvl w:val="9"/>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rPr>
              <w:t>方案完整合理、可行性强，完全满足并优于招标文件要求，得</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分；方案完整、可行性较好，符合招标文件要求，得</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分；方案基本完整、基本可行，基本符合招标文件要求，得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分；方案不够完整、可行性较差的得1分，未提供方案的不得分。</w:t>
            </w:r>
          </w:p>
        </w:tc>
        <w:tc>
          <w:tcPr>
            <w:tcW w:w="532" w:type="dxa"/>
            <w:noWrap w:val="0"/>
            <w:vAlign w:val="center"/>
          </w:tcPr>
          <w:p w14:paraId="4BB80CEA">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r>
      <w:tr w14:paraId="34DFF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 w:hRule="atLeast"/>
          <w:jc w:val="center"/>
        </w:trPr>
        <w:tc>
          <w:tcPr>
            <w:tcW w:w="549" w:type="dxa"/>
            <w:shd w:val="clear" w:color="auto" w:fill="auto"/>
            <w:noWrap w:val="0"/>
            <w:vAlign w:val="center"/>
          </w:tcPr>
          <w:p w14:paraId="5A40EDD3">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1104" w:type="dxa"/>
            <w:noWrap w:val="0"/>
            <w:vAlign w:val="center"/>
          </w:tcPr>
          <w:p w14:paraId="660E7039">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服务质量保证措施</w:t>
            </w:r>
          </w:p>
        </w:tc>
        <w:tc>
          <w:tcPr>
            <w:tcW w:w="7455" w:type="dxa"/>
            <w:shd w:val="clear" w:color="auto" w:fill="auto"/>
            <w:noWrap w:val="0"/>
            <w:vAlign w:val="top"/>
          </w:tcPr>
          <w:p w14:paraId="59039384">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供应商需提供服务质量控制内容、服务质量控制方法、服务质量控制措施等</w:t>
            </w:r>
            <w:r>
              <w:rPr>
                <w:rFonts w:hint="eastAsia" w:ascii="宋体" w:hAnsi="宋体" w:eastAsia="宋体" w:cs="宋体"/>
                <w:color w:val="auto"/>
                <w:sz w:val="24"/>
                <w:szCs w:val="24"/>
                <w:lang w:eastAsia="zh-CN"/>
              </w:rPr>
              <w:t>。</w:t>
            </w:r>
          </w:p>
          <w:p w14:paraId="67394BA8">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outlineLvl w:val="9"/>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zh-CN"/>
              </w:rPr>
              <w:t>保证措施</w:t>
            </w:r>
            <w:r>
              <w:rPr>
                <w:rFonts w:hint="eastAsia" w:ascii="宋体" w:hAnsi="宋体" w:eastAsia="宋体" w:cs="宋体"/>
                <w:color w:val="auto"/>
                <w:sz w:val="24"/>
                <w:szCs w:val="24"/>
              </w:rPr>
              <w:t>完整合理、可行性强，完全满足并优于招标文件要求，得</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保证措施</w:t>
            </w:r>
            <w:r>
              <w:rPr>
                <w:rFonts w:hint="eastAsia" w:ascii="宋体" w:hAnsi="宋体" w:eastAsia="宋体" w:cs="宋体"/>
                <w:color w:val="auto"/>
                <w:sz w:val="24"/>
                <w:szCs w:val="24"/>
              </w:rPr>
              <w:t>完整、可行性较好，符合招标文件要求，得</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保证措施</w:t>
            </w:r>
            <w:r>
              <w:rPr>
                <w:rFonts w:hint="eastAsia" w:ascii="宋体" w:hAnsi="宋体" w:eastAsia="宋体" w:cs="宋体"/>
                <w:color w:val="auto"/>
                <w:sz w:val="24"/>
                <w:szCs w:val="24"/>
              </w:rPr>
              <w:t>基本完整、基本可行，基本符合招标文件要求，得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保证措施</w:t>
            </w:r>
            <w:r>
              <w:rPr>
                <w:rFonts w:hint="eastAsia" w:ascii="宋体" w:hAnsi="宋体" w:eastAsia="宋体" w:cs="宋体"/>
                <w:color w:val="auto"/>
                <w:sz w:val="24"/>
                <w:szCs w:val="24"/>
              </w:rPr>
              <w:t>不够完整、可行性较差的得1分，未提供的不得分。</w:t>
            </w:r>
          </w:p>
        </w:tc>
        <w:tc>
          <w:tcPr>
            <w:tcW w:w="532" w:type="dxa"/>
            <w:noWrap w:val="0"/>
            <w:vAlign w:val="center"/>
          </w:tcPr>
          <w:p w14:paraId="7FAB6224">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r>
      <w:tr w14:paraId="21A11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 w:hRule="atLeast"/>
          <w:jc w:val="center"/>
        </w:trPr>
        <w:tc>
          <w:tcPr>
            <w:tcW w:w="549" w:type="dxa"/>
            <w:shd w:val="clear" w:color="auto" w:fill="auto"/>
            <w:noWrap w:val="0"/>
            <w:vAlign w:val="center"/>
          </w:tcPr>
          <w:p w14:paraId="0427A3C6">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1104" w:type="dxa"/>
            <w:noWrap w:val="0"/>
            <w:vAlign w:val="center"/>
          </w:tcPr>
          <w:p w14:paraId="14947D97">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应急处理方案</w:t>
            </w:r>
          </w:p>
        </w:tc>
        <w:tc>
          <w:tcPr>
            <w:tcW w:w="7455" w:type="dxa"/>
            <w:shd w:val="clear" w:color="auto" w:fill="auto"/>
            <w:noWrap w:val="0"/>
            <w:vAlign w:val="center"/>
          </w:tcPr>
          <w:p w14:paraId="32732D86">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供应商具备详细的应急处理方案。具备应急处理流程图，具备应急人员值班制度，具备应急及后续处理机制方案，有明确的应急处理流程</w:t>
            </w:r>
            <w:r>
              <w:rPr>
                <w:rFonts w:hint="eastAsia" w:ascii="宋体" w:hAnsi="宋体" w:eastAsia="宋体" w:cs="宋体"/>
                <w:color w:val="auto"/>
                <w:sz w:val="24"/>
                <w:szCs w:val="24"/>
                <w:lang w:eastAsia="zh-CN"/>
              </w:rPr>
              <w:t>。</w:t>
            </w:r>
          </w:p>
          <w:p w14:paraId="20110A31">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outlineLvl w:val="9"/>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rPr>
              <w:t>完整合理、可行性强，完全满足并优于招标文件要求，得</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rPr>
              <w:t>完整、可行性较好，符合招标文件要求，得</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rPr>
              <w:t>基本完整、基本可行，基本符合招标文件要求，得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rPr>
              <w:t>不够完整、可行性较差的得1分，未提供的不得分。</w:t>
            </w:r>
          </w:p>
        </w:tc>
        <w:tc>
          <w:tcPr>
            <w:tcW w:w="532" w:type="dxa"/>
            <w:noWrap w:val="0"/>
            <w:vAlign w:val="center"/>
          </w:tcPr>
          <w:p w14:paraId="42CBDAB2">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r>
      <w:tr w14:paraId="72B49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 w:hRule="atLeast"/>
          <w:jc w:val="center"/>
        </w:trPr>
        <w:tc>
          <w:tcPr>
            <w:tcW w:w="549" w:type="dxa"/>
            <w:shd w:val="clear" w:color="auto" w:fill="auto"/>
            <w:noWrap w:val="0"/>
            <w:vAlign w:val="center"/>
          </w:tcPr>
          <w:p w14:paraId="2C65B7DC">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104" w:type="dxa"/>
            <w:noWrap w:val="0"/>
            <w:vAlign w:val="center"/>
          </w:tcPr>
          <w:p w14:paraId="206E8AA1">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安全管理体系及风险防控措施</w:t>
            </w:r>
          </w:p>
        </w:tc>
        <w:tc>
          <w:tcPr>
            <w:tcW w:w="7455" w:type="dxa"/>
            <w:shd w:val="clear" w:color="auto" w:fill="auto"/>
            <w:noWrap w:val="0"/>
            <w:vAlign w:val="center"/>
          </w:tcPr>
          <w:p w14:paraId="42ECDA60">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针对供应商提供的安全管理体系、安全保证措施、保密措施、风险防控措施等</w:t>
            </w:r>
            <w:r>
              <w:rPr>
                <w:rFonts w:hint="eastAsia" w:ascii="宋体" w:hAnsi="宋体" w:eastAsia="宋体" w:cs="宋体"/>
                <w:color w:val="auto"/>
                <w:sz w:val="24"/>
                <w:szCs w:val="24"/>
                <w:lang w:eastAsia="zh-CN"/>
              </w:rPr>
              <w:t>。</w:t>
            </w:r>
          </w:p>
          <w:p w14:paraId="083247DE">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rPr>
              <w:t>完整合理、可行性强，完全满足并优于招标文件要求，得</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rPr>
              <w:t>完整、可行性较好，符合招标文件要求，得</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rPr>
              <w:t>基本完整、基本可行，基本符合招标文件要求，得</w:t>
            </w:r>
            <w:bookmarkStart w:id="88" w:name="_GoBack"/>
            <w:bookmarkEnd w:id="88"/>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rPr>
              <w:t>不够完整、可行性较差的得1分，未提供的不得分。</w:t>
            </w:r>
          </w:p>
        </w:tc>
        <w:tc>
          <w:tcPr>
            <w:tcW w:w="532" w:type="dxa"/>
            <w:noWrap w:val="0"/>
            <w:vAlign w:val="center"/>
          </w:tcPr>
          <w:p w14:paraId="21F82F0B">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r>
      <w:tr w14:paraId="53172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 w:hRule="atLeast"/>
          <w:jc w:val="center"/>
        </w:trPr>
        <w:tc>
          <w:tcPr>
            <w:tcW w:w="549" w:type="dxa"/>
            <w:shd w:val="clear" w:color="auto" w:fill="auto"/>
            <w:noWrap w:val="0"/>
            <w:vAlign w:val="center"/>
          </w:tcPr>
          <w:p w14:paraId="73A5F763">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outlineLvl w:val="9"/>
              <w:rPr>
                <w:rFonts w:hint="default"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1104" w:type="dxa"/>
            <w:noWrap w:val="0"/>
            <w:vAlign w:val="center"/>
          </w:tcPr>
          <w:p w14:paraId="452BC6C7">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售后服务方案及承诺</w:t>
            </w:r>
          </w:p>
        </w:tc>
        <w:tc>
          <w:tcPr>
            <w:tcW w:w="7455" w:type="dxa"/>
            <w:shd w:val="clear" w:color="auto" w:fill="auto"/>
            <w:noWrap w:val="0"/>
            <w:vAlign w:val="center"/>
          </w:tcPr>
          <w:p w14:paraId="65069A9E">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具有完备的服务体系，服务承诺完善，充分满足服务要求且优于其他响应磋商供应商承诺的</w:t>
            </w:r>
            <w:r>
              <w:rPr>
                <w:rFonts w:hint="eastAsia" w:ascii="宋体" w:hAnsi="宋体" w:eastAsia="宋体" w:cs="宋体"/>
                <w:color w:val="auto"/>
                <w:sz w:val="24"/>
                <w:szCs w:val="24"/>
                <w:lang w:val="en-US" w:eastAsia="zh-CN"/>
              </w:rPr>
              <w:t>得12</w:t>
            </w:r>
            <w:r>
              <w:rPr>
                <w:rFonts w:hint="eastAsia" w:ascii="宋体" w:hAnsi="宋体" w:eastAsia="宋体" w:cs="宋体"/>
                <w:color w:val="auto"/>
                <w:sz w:val="24"/>
                <w:szCs w:val="24"/>
                <w:lang w:eastAsia="zh-CN"/>
              </w:rPr>
              <w:t>分；售后服务承诺较完善，能较好地满足售后服务要求的计</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分；售后服务承诺不够完善的不得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分，</w:t>
            </w:r>
            <w:r>
              <w:rPr>
                <w:rFonts w:hint="eastAsia" w:ascii="宋体" w:hAnsi="宋体" w:eastAsia="宋体" w:cs="宋体"/>
                <w:color w:val="auto"/>
                <w:sz w:val="24"/>
                <w:szCs w:val="24"/>
                <w:lang w:val="en-US" w:eastAsia="zh-CN"/>
              </w:rPr>
              <w:t>未提供的不得分</w:t>
            </w:r>
            <w:r>
              <w:rPr>
                <w:rFonts w:hint="eastAsia" w:ascii="宋体" w:hAnsi="宋体" w:eastAsia="宋体" w:cs="宋体"/>
                <w:color w:val="auto"/>
                <w:sz w:val="24"/>
                <w:szCs w:val="24"/>
                <w:lang w:eastAsia="zh-CN"/>
              </w:rPr>
              <w:t>。</w:t>
            </w:r>
          </w:p>
        </w:tc>
        <w:tc>
          <w:tcPr>
            <w:tcW w:w="532" w:type="dxa"/>
            <w:noWrap w:val="0"/>
            <w:vAlign w:val="center"/>
          </w:tcPr>
          <w:p w14:paraId="49C86697">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r>
      <w:tr w14:paraId="455E1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9108" w:type="dxa"/>
            <w:gridSpan w:val="3"/>
            <w:vAlign w:val="center"/>
          </w:tcPr>
          <w:p w14:paraId="5D116D89">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得分合计</w:t>
            </w:r>
          </w:p>
        </w:tc>
        <w:tc>
          <w:tcPr>
            <w:tcW w:w="532" w:type="dxa"/>
            <w:vAlign w:val="center"/>
          </w:tcPr>
          <w:p w14:paraId="50155FD2">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100</w:t>
            </w:r>
          </w:p>
        </w:tc>
      </w:tr>
    </w:tbl>
    <w:p w14:paraId="6E18AE21">
      <w:pPr>
        <w:bidi w:val="0"/>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3.3.3 评标委员会在评审时，价格分扣除（如有以下任意一种情况，须在开标一览表中明确标注，否则不予扣除。）：</w:t>
      </w:r>
    </w:p>
    <w:p w14:paraId="1B3D3E84">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对于列入财政部、发展改革委、生态环境部、市场监管总局发布的《节能产品、环境标志产品政府采购品目清单》但不属于国家强制采购的产品，对其投标价格给予3%的价格扣除，并按照扣除后的价格参加评审，需提供节能产品/环境标志产品清单说明表（格式自拟）。</w:t>
      </w:r>
    </w:p>
    <w:p w14:paraId="1001E4C6">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对于列入财政部、国家发改委、信息产业部发布的《无线局域网认证产品政府采购清单》的产品，对其投标价格给予3%的价格扣除，并按扣除后的价格参加评审。采购项目或者分包中既包含清单中产品也包含非清单中产品的，只对列入清单的产品按其在总报价中所占的比例给予价格扣除，需提供无线局域网认证产品政府采购清单说明表（格式自拟）。</w:t>
      </w:r>
    </w:p>
    <w:p w14:paraId="74F5377A">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（3）投标产品同时列入上述多个清单的，将上述规定的价格扣除比例叠加后计算价格扣除。</w:t>
      </w:r>
    </w:p>
    <w:p w14:paraId="30712FCA">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b/>
          <w:bCs/>
          <w:color w:val="auto"/>
          <w:sz w:val="24"/>
          <w:szCs w:val="24"/>
        </w:rPr>
      </w:pPr>
      <w:r>
        <w:rPr>
          <w:rFonts w:hint="eastAsia" w:ascii="宋体" w:hAnsi="宋体" w:eastAsia="宋体" w:cs="宋体"/>
          <w:color w:val="auto"/>
          <w:sz w:val="24"/>
          <w:szCs w:val="24"/>
        </w:rPr>
        <w:t>（4）根据《进一步加大政府采购支持中小企业力度的通知》（财库[2022]19号）规定，</w:t>
      </w:r>
      <w:r>
        <w:rPr>
          <w:rFonts w:hint="eastAsia" w:ascii="宋体" w:hAnsi="宋体" w:eastAsia="宋体" w:cs="宋体"/>
          <w:b/>
          <w:bCs/>
          <w:color w:val="auto"/>
          <w:sz w:val="24"/>
          <w:szCs w:val="24"/>
        </w:rPr>
        <w:t>对小型和微型企业的产品给予10%的价格扣除，并按照扣除后的价格参加评审。</w:t>
      </w:r>
    </w:p>
    <w:p w14:paraId="166F7252">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（5）监狱企业视同小型、微型企业，监狱企业投标的提供省级以上监狱管理局、戒毒管理局(含新疆生产建设兵团)出具的属于监狱企业的证明文件，不再提供《中小企业声明函》；</w:t>
      </w:r>
    </w:p>
    <w:p w14:paraId="59E89323">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（6）残疾人福利性单位视同小型、微型企业，残疾人福利性单位属于小型、微型企业的，不重复享受政策。符合条件的残疾人福利性单位在参加政府采购活动时，应当提供《残疾人福利性单位声明函》。</w:t>
      </w:r>
    </w:p>
    <w:p w14:paraId="3D1CD8D7">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7）价格扣除的依据：第（1）至（2）条提供投标货物相关认证证书复印件和清单说明表（格式自拟）加盖投标人公章。第（4）条提供《中小企业声明函（货物）》、第（5）条提供由省级以上监狱管理局、戒毒管理局(含新疆生产建设兵团)出具的属于监狱企业的证明文件、第（6）条提供《残疾人福利性单位声明函》。</w:t>
      </w:r>
    </w:p>
    <w:p w14:paraId="74BC4DC1">
      <w:pPr>
        <w:spacing w:before="180" w:line="219" w:lineRule="auto"/>
        <w:ind w:left="15"/>
        <w:outlineLvl w:val="9"/>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3.4</w:t>
      </w:r>
      <w:r>
        <w:rPr>
          <w:rFonts w:hint="eastAsia" w:ascii="宋体" w:hAnsi="宋体" w:eastAsia="宋体" w:cs="宋体"/>
          <w:color w:val="auto"/>
          <w:spacing w:val="-46"/>
          <w:sz w:val="24"/>
          <w:szCs w:val="24"/>
        </w:rPr>
        <w:t xml:space="preserve"> </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编写评标报告，推荐中标候选人名单：3名。</w:t>
      </w:r>
    </w:p>
    <w:p w14:paraId="1062E3EA">
      <w:pPr>
        <w:outlineLvl w:val="9"/>
        <w:rPr>
          <w:rFonts w:hint="eastAsia" w:ascii="宋体" w:hAnsi="宋体" w:eastAsia="宋体" w:cs="宋体"/>
          <w:color w:val="auto"/>
          <w:spacing w:val="8"/>
          <w:sz w:val="31"/>
          <w:szCs w:val="31"/>
          <w14:textOutline w14:w="5793" w14:cap="sq" w14:cmpd="sng">
            <w14:solidFill>
              <w14:srgbClr w14:val="000000"/>
            </w14:solidFill>
            <w14:prstDash w14:val="solid"/>
            <w14:bevel/>
          </w14:textOutline>
        </w:rPr>
      </w:pPr>
      <w:r>
        <w:rPr>
          <w:rFonts w:hint="eastAsia" w:ascii="宋体" w:hAnsi="宋体" w:eastAsia="宋体" w:cs="宋体"/>
          <w:color w:val="auto"/>
          <w:spacing w:val="8"/>
          <w:sz w:val="31"/>
          <w:szCs w:val="31"/>
          <w14:textOutline w14:w="5793" w14:cap="sq" w14:cmpd="sng">
            <w14:solidFill>
              <w14:srgbClr w14:val="000000"/>
            </w14:solidFill>
            <w14:prstDash w14:val="solid"/>
            <w14:bevel/>
          </w14:textOutline>
        </w:rPr>
        <w:br w:type="page"/>
      </w:r>
    </w:p>
    <w:p w14:paraId="31DC3658">
      <w:pPr>
        <w:pStyle w:val="2"/>
        <w:keepNext/>
        <w:keepLines/>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b/>
          <w:bCs w:val="0"/>
          <w:color w:val="auto"/>
          <w:sz w:val="32"/>
          <w:szCs w:val="32"/>
        </w:rPr>
      </w:pPr>
      <w:bookmarkStart w:id="40" w:name="_Toc12484"/>
      <w:bookmarkStart w:id="41" w:name="_Toc12764"/>
      <w:r>
        <w:rPr>
          <w:rFonts w:hint="eastAsia"/>
          <w:b/>
          <w:bCs w:val="0"/>
          <w:color w:val="auto"/>
          <w:sz w:val="32"/>
          <w:szCs w:val="32"/>
        </w:rPr>
        <w:t>第四章 合同条款（参考格式）</w:t>
      </w:r>
      <w:bookmarkEnd w:id="40"/>
      <w:bookmarkEnd w:id="41"/>
    </w:p>
    <w:p w14:paraId="7B0CC6AC">
      <w:pPr>
        <w:spacing w:line="360" w:lineRule="auto"/>
        <w:ind w:firstLine="480" w:firstLineChars="200"/>
        <w:jc w:val="both"/>
        <w:rPr>
          <w:rFonts w:hint="eastAsia" w:ascii="宋体" w:hAnsi="宋体" w:cs="宋体"/>
          <w:b/>
          <w:color w:val="auto"/>
          <w:sz w:val="24"/>
          <w:szCs w:val="24"/>
        </w:rPr>
      </w:pPr>
      <w:r>
        <w:rPr>
          <w:rFonts w:hint="eastAsia" w:ascii="宋体" w:hAnsi="宋体" w:cs="宋体"/>
          <w:b/>
          <w:color w:val="auto"/>
          <w:sz w:val="24"/>
          <w:szCs w:val="24"/>
        </w:rPr>
        <w:t>（</w:t>
      </w:r>
      <w:r>
        <w:rPr>
          <w:rFonts w:hint="eastAsia" w:ascii="宋体" w:hAnsi="宋体" w:cs="宋体"/>
          <w:b/>
          <w:color w:val="auto"/>
          <w:sz w:val="24"/>
          <w:szCs w:val="24"/>
          <w:lang w:eastAsia="zh-CN"/>
        </w:rPr>
        <w:t>以下合同模版仅供参考，</w:t>
      </w:r>
      <w:r>
        <w:rPr>
          <w:rFonts w:hint="eastAsia" w:ascii="宋体" w:hAnsi="宋体" w:cs="宋体"/>
          <w:b/>
          <w:color w:val="auto"/>
          <w:sz w:val="24"/>
          <w:szCs w:val="24"/>
        </w:rPr>
        <w:t>实际合同以双方签订为准）</w:t>
      </w:r>
    </w:p>
    <w:p w14:paraId="0C82068A">
      <w:pPr>
        <w:spacing w:line="360" w:lineRule="auto"/>
        <w:ind w:left="426" w:hanging="419" w:hangingChars="174"/>
        <w:rPr>
          <w:rFonts w:hint="eastAsia" w:ascii="宋体" w:hAnsi="宋体" w:eastAsia="宋体" w:cs="宋体"/>
          <w:b/>
          <w:sz w:val="24"/>
          <w:highlight w:val="none"/>
        </w:rPr>
      </w:pPr>
      <w:r>
        <w:rPr>
          <w:rFonts w:hint="eastAsia" w:ascii="宋体" w:hAnsi="宋体" w:eastAsia="宋体" w:cs="宋体"/>
          <w:b/>
          <w:sz w:val="24"/>
          <w:highlight w:val="none"/>
        </w:rPr>
        <w:t>1 .定义</w:t>
      </w:r>
    </w:p>
    <w:p w14:paraId="2D48247C">
      <w:pPr>
        <w:spacing w:line="360" w:lineRule="auto"/>
        <w:ind w:left="418" w:hanging="417" w:hangingChars="174"/>
        <w:rPr>
          <w:rFonts w:hint="eastAsia" w:ascii="宋体" w:hAnsi="宋体" w:eastAsia="宋体" w:cs="宋体"/>
          <w:sz w:val="24"/>
          <w:highlight w:val="none"/>
        </w:rPr>
      </w:pPr>
      <w:r>
        <w:rPr>
          <w:rFonts w:hint="eastAsia" w:ascii="宋体" w:hAnsi="宋体" w:eastAsia="宋体" w:cs="宋体"/>
          <w:sz w:val="24"/>
          <w:highlight w:val="none"/>
        </w:rPr>
        <w:t>1.1本合同中下列术语应解释为：</w:t>
      </w:r>
    </w:p>
    <w:p w14:paraId="019608BF">
      <w:pPr>
        <w:spacing w:line="360" w:lineRule="auto"/>
        <w:ind w:left="418" w:hanging="417" w:hangingChars="174"/>
        <w:rPr>
          <w:rFonts w:hint="eastAsia" w:ascii="宋体" w:hAnsi="宋体" w:eastAsia="宋体" w:cs="宋体"/>
          <w:sz w:val="24"/>
          <w:highlight w:val="none"/>
        </w:rPr>
      </w:pPr>
      <w:r>
        <w:rPr>
          <w:rFonts w:hint="eastAsia" w:ascii="宋体" w:hAnsi="宋体" w:eastAsia="宋体" w:cs="宋体"/>
          <w:sz w:val="24"/>
          <w:highlight w:val="none"/>
        </w:rPr>
        <w:t>（1）“合同”系指买卖双方签署的、合同格式中载明的买卖双方所达成的协议，包括所有的附件、附录和构成合同的其它文件。</w:t>
      </w:r>
    </w:p>
    <w:p w14:paraId="413AA377">
      <w:pPr>
        <w:spacing w:line="360" w:lineRule="auto"/>
        <w:ind w:left="418" w:hanging="417" w:hangingChars="174"/>
        <w:rPr>
          <w:rFonts w:hint="eastAsia" w:ascii="宋体" w:hAnsi="宋体" w:eastAsia="宋体" w:cs="宋体"/>
          <w:sz w:val="24"/>
          <w:highlight w:val="none"/>
        </w:rPr>
      </w:pPr>
      <w:r>
        <w:rPr>
          <w:rFonts w:hint="eastAsia" w:ascii="宋体" w:hAnsi="宋体" w:eastAsia="宋体" w:cs="宋体"/>
          <w:sz w:val="24"/>
          <w:highlight w:val="none"/>
        </w:rPr>
        <w:t>（2）“合同价款” 系指根据合同规定，卖方在完全履行合同义务后买方应支付给卖方的价款。</w:t>
      </w:r>
    </w:p>
    <w:p w14:paraId="48269EF0">
      <w:pPr>
        <w:spacing w:line="360" w:lineRule="auto"/>
        <w:ind w:left="418" w:hanging="417" w:hangingChars="174"/>
        <w:rPr>
          <w:rFonts w:hint="eastAsia" w:ascii="宋体" w:hAnsi="宋体" w:eastAsia="宋体" w:cs="宋体"/>
          <w:sz w:val="24"/>
          <w:highlight w:val="none"/>
        </w:rPr>
      </w:pPr>
      <w:r>
        <w:rPr>
          <w:rFonts w:hint="eastAsia" w:ascii="宋体" w:hAnsi="宋体" w:eastAsia="宋体" w:cs="宋体"/>
          <w:sz w:val="24"/>
          <w:highlight w:val="none"/>
        </w:rPr>
        <w:t>（3）“货物”系指卖方根据合同规定须向买方提供的一切设备、机械、仪表、备件、手册和其它技术资料及其它材料。</w:t>
      </w:r>
    </w:p>
    <w:p w14:paraId="373926B3">
      <w:pPr>
        <w:spacing w:line="360" w:lineRule="auto"/>
        <w:ind w:left="418" w:hanging="417" w:hangingChars="174"/>
        <w:rPr>
          <w:rFonts w:hint="eastAsia" w:ascii="宋体" w:hAnsi="宋体" w:eastAsia="宋体" w:cs="宋体"/>
          <w:sz w:val="24"/>
          <w:highlight w:val="none"/>
        </w:rPr>
      </w:pPr>
      <w:r>
        <w:rPr>
          <w:rFonts w:hint="eastAsia" w:ascii="宋体" w:hAnsi="宋体" w:eastAsia="宋体" w:cs="宋体"/>
          <w:sz w:val="24"/>
          <w:highlight w:val="none"/>
        </w:rPr>
        <w:t>（4）“服务” 系指根据合同规定卖方承担与供货有关的辅助服务，如运输、保险、安装调试、技术培训及其它类似的服务。</w:t>
      </w:r>
    </w:p>
    <w:p w14:paraId="6C56DCD5">
      <w:pPr>
        <w:spacing w:line="360" w:lineRule="auto"/>
        <w:ind w:left="418" w:hanging="417" w:hangingChars="174"/>
        <w:rPr>
          <w:rFonts w:hint="eastAsia" w:ascii="宋体" w:hAnsi="宋体" w:eastAsia="宋体" w:cs="宋体"/>
          <w:sz w:val="24"/>
          <w:highlight w:val="none"/>
          <w:u w:val="single"/>
        </w:rPr>
      </w:pPr>
      <w:r>
        <w:rPr>
          <w:rFonts w:hint="eastAsia" w:ascii="宋体" w:hAnsi="宋体" w:eastAsia="宋体" w:cs="宋体"/>
          <w:sz w:val="24"/>
          <w:highlight w:val="none"/>
        </w:rPr>
        <w:t>（5）“买方”（采购人）：本合同买方系指：</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31117476">
      <w:pPr>
        <w:spacing w:line="360" w:lineRule="auto"/>
        <w:ind w:left="418" w:hanging="417" w:hangingChars="174"/>
        <w:rPr>
          <w:rFonts w:hint="eastAsia" w:ascii="宋体" w:hAnsi="宋体" w:eastAsia="宋体" w:cs="宋体"/>
          <w:sz w:val="24"/>
          <w:highlight w:val="none"/>
        </w:rPr>
      </w:pPr>
      <w:r>
        <w:rPr>
          <w:rFonts w:hint="eastAsia" w:ascii="宋体" w:hAnsi="宋体" w:eastAsia="宋体" w:cs="宋体"/>
          <w:sz w:val="24"/>
          <w:highlight w:val="none"/>
        </w:rPr>
        <w:t>（6）“卖方”（中标人）：本合同卖方系指：</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2D67E8B6">
      <w:pPr>
        <w:spacing w:line="360" w:lineRule="auto"/>
        <w:ind w:left="418" w:hanging="417" w:hangingChars="174"/>
        <w:rPr>
          <w:rFonts w:hint="eastAsia" w:ascii="宋体" w:hAnsi="宋体" w:eastAsia="宋体" w:cs="宋体"/>
          <w:sz w:val="24"/>
          <w:highlight w:val="none"/>
        </w:rPr>
      </w:pPr>
      <w:r>
        <w:rPr>
          <w:rFonts w:hint="eastAsia" w:ascii="宋体" w:hAnsi="宋体" w:eastAsia="宋体" w:cs="宋体"/>
          <w:sz w:val="24"/>
          <w:highlight w:val="none"/>
        </w:rPr>
        <w:t>（7）“现场” 系指合同项下货物要进行安装和运行的地点。</w:t>
      </w:r>
    </w:p>
    <w:p w14:paraId="68FF31F4">
      <w:pPr>
        <w:spacing w:line="360" w:lineRule="auto"/>
        <w:ind w:left="418" w:hanging="417" w:hangingChars="174"/>
        <w:rPr>
          <w:rFonts w:hint="eastAsia" w:ascii="宋体" w:hAnsi="宋体" w:eastAsia="宋体" w:cs="宋体"/>
          <w:sz w:val="24"/>
          <w:highlight w:val="none"/>
        </w:rPr>
      </w:pPr>
      <w:r>
        <w:rPr>
          <w:rFonts w:hint="eastAsia" w:ascii="宋体" w:hAnsi="宋体" w:eastAsia="宋体" w:cs="宋体"/>
          <w:sz w:val="24"/>
          <w:highlight w:val="none"/>
        </w:rPr>
        <w:t>（8）“验收” 系指根据合同双方依据规定的程序和条件确认合同项下货物符合技术规格和有关服务要求。</w:t>
      </w:r>
    </w:p>
    <w:p w14:paraId="7E924ACE">
      <w:pPr>
        <w:spacing w:line="360" w:lineRule="auto"/>
        <w:ind w:left="426" w:hanging="419" w:hangingChars="174"/>
        <w:rPr>
          <w:rFonts w:hint="eastAsia" w:ascii="宋体" w:hAnsi="宋体" w:eastAsia="宋体" w:cs="宋体"/>
          <w:b/>
          <w:sz w:val="24"/>
          <w:highlight w:val="none"/>
        </w:rPr>
      </w:pPr>
      <w:r>
        <w:rPr>
          <w:rFonts w:hint="eastAsia" w:ascii="宋体" w:hAnsi="宋体" w:eastAsia="宋体" w:cs="宋体"/>
          <w:b/>
          <w:sz w:val="24"/>
          <w:highlight w:val="none"/>
        </w:rPr>
        <w:t>2. 适用范围</w:t>
      </w:r>
    </w:p>
    <w:p w14:paraId="3541348F">
      <w:pPr>
        <w:spacing w:line="360" w:lineRule="auto"/>
        <w:ind w:left="418" w:hanging="417" w:hangingChars="174"/>
        <w:rPr>
          <w:rFonts w:hint="eastAsia" w:ascii="宋体" w:hAnsi="宋体" w:eastAsia="宋体" w:cs="宋体"/>
          <w:sz w:val="24"/>
          <w:highlight w:val="none"/>
        </w:rPr>
      </w:pPr>
      <w:r>
        <w:rPr>
          <w:rFonts w:hint="eastAsia" w:ascii="宋体" w:hAnsi="宋体" w:eastAsia="宋体" w:cs="宋体"/>
          <w:sz w:val="24"/>
          <w:highlight w:val="none"/>
        </w:rPr>
        <w:t>2.1.本合同条款适用于本次招标采购活动。</w:t>
      </w:r>
    </w:p>
    <w:p w14:paraId="51D36DD7">
      <w:pPr>
        <w:spacing w:line="360" w:lineRule="auto"/>
        <w:ind w:left="426" w:hanging="419" w:hangingChars="174"/>
        <w:rPr>
          <w:rFonts w:hint="eastAsia" w:ascii="宋体" w:hAnsi="宋体" w:eastAsia="宋体" w:cs="宋体"/>
          <w:b/>
          <w:sz w:val="24"/>
          <w:highlight w:val="none"/>
        </w:rPr>
      </w:pPr>
      <w:r>
        <w:rPr>
          <w:rFonts w:hint="eastAsia" w:ascii="宋体" w:hAnsi="宋体" w:eastAsia="宋体" w:cs="宋体"/>
          <w:b/>
          <w:sz w:val="24"/>
          <w:highlight w:val="none"/>
        </w:rPr>
        <w:t>3. 技术规范</w:t>
      </w:r>
    </w:p>
    <w:p w14:paraId="3A06E1E2">
      <w:pPr>
        <w:spacing w:line="360" w:lineRule="auto"/>
        <w:ind w:left="418" w:hanging="417" w:hangingChars="174"/>
        <w:rPr>
          <w:rFonts w:hint="eastAsia" w:ascii="宋体" w:hAnsi="宋体" w:eastAsia="宋体" w:cs="宋体"/>
          <w:sz w:val="24"/>
          <w:highlight w:val="none"/>
        </w:rPr>
      </w:pPr>
      <w:r>
        <w:rPr>
          <w:rFonts w:hint="eastAsia" w:ascii="宋体" w:hAnsi="宋体" w:eastAsia="宋体" w:cs="宋体"/>
          <w:sz w:val="24"/>
          <w:highlight w:val="none"/>
        </w:rPr>
        <w:t>3.1.提交货物的技术规范应与招标文件货物需求中规定的技术规范相一致。</w:t>
      </w:r>
    </w:p>
    <w:p w14:paraId="3DE102DB">
      <w:pPr>
        <w:spacing w:line="360" w:lineRule="auto"/>
        <w:ind w:left="418" w:hanging="417" w:hangingChars="174"/>
        <w:rPr>
          <w:rFonts w:hint="eastAsia" w:ascii="宋体" w:hAnsi="宋体" w:eastAsia="宋体" w:cs="宋体"/>
          <w:sz w:val="24"/>
          <w:highlight w:val="none"/>
        </w:rPr>
      </w:pPr>
      <w:r>
        <w:rPr>
          <w:rFonts w:hint="eastAsia" w:ascii="宋体" w:hAnsi="宋体" w:eastAsia="宋体" w:cs="宋体"/>
          <w:sz w:val="24"/>
          <w:highlight w:val="none"/>
        </w:rPr>
        <w:t>3.2.若技术规范中无相应说明，则以国家有关部门最新颁的相应标准及规范为准。</w:t>
      </w:r>
    </w:p>
    <w:p w14:paraId="7E643DD2">
      <w:pPr>
        <w:spacing w:line="360" w:lineRule="auto"/>
        <w:ind w:left="426" w:hanging="419" w:hangingChars="174"/>
        <w:rPr>
          <w:rFonts w:hint="eastAsia" w:ascii="宋体" w:hAnsi="宋体" w:eastAsia="宋体" w:cs="宋体"/>
          <w:b/>
          <w:sz w:val="24"/>
          <w:highlight w:val="none"/>
        </w:rPr>
      </w:pPr>
      <w:r>
        <w:rPr>
          <w:rFonts w:hint="eastAsia" w:ascii="宋体" w:hAnsi="宋体" w:eastAsia="宋体" w:cs="宋体"/>
          <w:b/>
          <w:sz w:val="24"/>
          <w:highlight w:val="none"/>
        </w:rPr>
        <w:t>4.计量单位</w:t>
      </w:r>
    </w:p>
    <w:p w14:paraId="6D3897E5">
      <w:pPr>
        <w:spacing w:line="360" w:lineRule="auto"/>
        <w:ind w:left="418" w:hanging="417" w:hangingChars="174"/>
        <w:rPr>
          <w:rFonts w:hint="eastAsia" w:ascii="宋体" w:hAnsi="宋体" w:eastAsia="宋体" w:cs="宋体"/>
          <w:sz w:val="24"/>
          <w:highlight w:val="none"/>
        </w:rPr>
      </w:pPr>
      <w:r>
        <w:rPr>
          <w:rFonts w:hint="eastAsia" w:ascii="宋体" w:hAnsi="宋体" w:eastAsia="宋体" w:cs="宋体"/>
          <w:sz w:val="24"/>
          <w:highlight w:val="none"/>
        </w:rPr>
        <w:t>4.1.除技术规范中另有规定外，均使用国家法定计量单位。</w:t>
      </w:r>
    </w:p>
    <w:p w14:paraId="00E01BE0">
      <w:pPr>
        <w:spacing w:line="360" w:lineRule="auto"/>
        <w:ind w:left="426" w:hanging="419" w:hangingChars="174"/>
        <w:rPr>
          <w:rFonts w:hint="eastAsia" w:ascii="宋体" w:hAnsi="宋体" w:eastAsia="宋体" w:cs="宋体"/>
          <w:b/>
          <w:sz w:val="24"/>
          <w:highlight w:val="none"/>
        </w:rPr>
      </w:pPr>
      <w:r>
        <w:rPr>
          <w:rFonts w:hint="eastAsia" w:ascii="宋体" w:hAnsi="宋体" w:eastAsia="宋体" w:cs="宋体"/>
          <w:b/>
          <w:sz w:val="24"/>
          <w:highlight w:val="none"/>
        </w:rPr>
        <w:t>5.专利权</w:t>
      </w:r>
    </w:p>
    <w:p w14:paraId="09FF34D5">
      <w:pPr>
        <w:spacing w:line="360" w:lineRule="auto"/>
        <w:ind w:left="418" w:hanging="417" w:hangingChars="174"/>
        <w:rPr>
          <w:rFonts w:hint="eastAsia" w:ascii="宋体" w:hAnsi="宋体" w:eastAsia="宋体" w:cs="宋体"/>
          <w:sz w:val="24"/>
          <w:highlight w:val="none"/>
        </w:rPr>
      </w:pPr>
      <w:r>
        <w:rPr>
          <w:rFonts w:hint="eastAsia" w:ascii="宋体" w:hAnsi="宋体" w:eastAsia="宋体" w:cs="宋体"/>
          <w:sz w:val="24"/>
          <w:highlight w:val="none"/>
        </w:rPr>
        <w:t>5.1.卖方应保证买方在使用该货物或其任何一部分时不受第三方提出侵犯专利权、商标权或工业设计权的指控。如果任何第三方提出侵权指控，卖方须与第三方交涉并承担可能发生的一切法律责任和费用。</w:t>
      </w:r>
    </w:p>
    <w:p w14:paraId="3485CA6E">
      <w:pPr>
        <w:spacing w:line="360" w:lineRule="auto"/>
        <w:ind w:left="426" w:hanging="419" w:hangingChars="174"/>
        <w:rPr>
          <w:rFonts w:hint="eastAsia" w:ascii="宋体" w:hAnsi="宋体" w:eastAsia="宋体" w:cs="宋体"/>
          <w:b/>
          <w:sz w:val="24"/>
          <w:highlight w:val="none"/>
        </w:rPr>
      </w:pPr>
      <w:r>
        <w:rPr>
          <w:rFonts w:hint="eastAsia" w:ascii="宋体" w:hAnsi="宋体" w:eastAsia="宋体" w:cs="宋体"/>
          <w:b/>
          <w:sz w:val="24"/>
          <w:highlight w:val="none"/>
        </w:rPr>
        <w:t>6. 包装和运输</w:t>
      </w:r>
    </w:p>
    <w:p w14:paraId="4A602275">
      <w:pPr>
        <w:spacing w:line="360" w:lineRule="auto"/>
        <w:ind w:left="418" w:hanging="417" w:hangingChars="174"/>
        <w:rPr>
          <w:rFonts w:hint="eastAsia" w:ascii="宋体" w:hAnsi="宋体" w:eastAsia="宋体" w:cs="宋体"/>
          <w:sz w:val="24"/>
          <w:highlight w:val="none"/>
        </w:rPr>
      </w:pPr>
      <w:r>
        <w:rPr>
          <w:rFonts w:hint="eastAsia" w:ascii="宋体" w:hAnsi="宋体" w:eastAsia="宋体" w:cs="宋体"/>
          <w:sz w:val="24"/>
          <w:highlight w:val="none"/>
        </w:rPr>
        <w:t>6.1.除本合同另有规定，卖方提供的全部货物采用相应标准的保护措施进行包装。这种包装应适于长途内陆运输，并有良好的防潮、防震、防锈和防野蛮装卸等保护措施，以确保货物安全运抵现场。卖方应承担由于包装不妥而引起货物锈蚀、损破和丢失的责任。包装应按国家有关的规范标准加写标记。</w:t>
      </w:r>
    </w:p>
    <w:p w14:paraId="3EFB8053">
      <w:pPr>
        <w:spacing w:line="360" w:lineRule="auto"/>
        <w:ind w:left="418" w:hanging="417" w:hangingChars="174"/>
        <w:rPr>
          <w:rFonts w:hint="eastAsia" w:ascii="宋体" w:hAnsi="宋体" w:eastAsia="宋体" w:cs="宋体"/>
          <w:sz w:val="24"/>
          <w:highlight w:val="none"/>
        </w:rPr>
      </w:pPr>
      <w:r>
        <w:rPr>
          <w:rFonts w:hint="eastAsia" w:ascii="宋体" w:hAnsi="宋体" w:eastAsia="宋体" w:cs="宋体"/>
          <w:sz w:val="24"/>
          <w:highlight w:val="none"/>
        </w:rPr>
        <w:t>6.2.卖方负责安排运输（除买方提出自行安排运输外），运费、保险费及途中所发生的一切费用均由卖方负责。</w:t>
      </w:r>
    </w:p>
    <w:p w14:paraId="681D1EE1">
      <w:pPr>
        <w:spacing w:line="360" w:lineRule="auto"/>
        <w:ind w:left="426" w:hanging="419" w:hangingChars="174"/>
        <w:rPr>
          <w:rFonts w:hint="eastAsia" w:ascii="宋体" w:hAnsi="宋体" w:eastAsia="宋体" w:cs="宋体"/>
          <w:b/>
          <w:sz w:val="24"/>
          <w:highlight w:val="none"/>
        </w:rPr>
      </w:pPr>
      <w:r>
        <w:rPr>
          <w:rFonts w:hint="eastAsia" w:ascii="宋体" w:hAnsi="宋体" w:eastAsia="宋体" w:cs="宋体"/>
          <w:b/>
          <w:sz w:val="24"/>
          <w:highlight w:val="none"/>
        </w:rPr>
        <w:t>7. 技术资料</w:t>
      </w:r>
    </w:p>
    <w:p w14:paraId="3AFF94C6">
      <w:pPr>
        <w:spacing w:line="360" w:lineRule="auto"/>
        <w:rPr>
          <w:rFonts w:hint="eastAsia" w:ascii="宋体" w:hAnsi="宋体" w:eastAsia="宋体" w:cs="宋体"/>
          <w:sz w:val="24"/>
          <w:highlight w:val="none"/>
        </w:rPr>
      </w:pPr>
      <w:r>
        <w:rPr>
          <w:rFonts w:hint="eastAsia" w:ascii="宋体" w:hAnsi="宋体" w:eastAsia="宋体" w:cs="宋体"/>
          <w:sz w:val="24"/>
          <w:highlight w:val="none"/>
        </w:rPr>
        <w:t>7.1.卖方应在交货后向买方提供至少一套合同项下有关货物完整的中文技术资料，如目录索引、图纸、技术说明书、操作手册、使用指南、维修指南和/或服务手册和示图等（除特殊条款规定外）。如果买方确认卖方提供的技术资料不完整，卖方应在收到买方通知后3天内将这些资料免费提供给买方。</w:t>
      </w:r>
    </w:p>
    <w:p w14:paraId="05EDDA9E">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8. 质量保证</w:t>
      </w:r>
    </w:p>
    <w:p w14:paraId="39BF3F4C">
      <w:pPr>
        <w:spacing w:line="360" w:lineRule="auto"/>
        <w:ind w:left="418" w:hanging="417" w:hangingChars="174"/>
        <w:rPr>
          <w:rFonts w:hint="eastAsia" w:ascii="宋体" w:hAnsi="宋体" w:eastAsia="宋体" w:cs="宋体"/>
          <w:sz w:val="24"/>
          <w:highlight w:val="none"/>
        </w:rPr>
      </w:pPr>
      <w:r>
        <w:rPr>
          <w:rFonts w:hint="eastAsia" w:ascii="宋体" w:hAnsi="宋体" w:eastAsia="宋体" w:cs="宋体"/>
          <w:sz w:val="24"/>
          <w:highlight w:val="none"/>
        </w:rPr>
        <w:t>8.1.卖方应保证货物是全新、未使用过的，是用一流的工艺和最佳的材料制造而成的，并完全符合合同规定的质量、规格和性能的要求。卖方应保证所提供的货物经正确安装、正常运转和保养在其使用寿命期内具有满意的性能。在货物保证期内，卖方应对由于设计、工艺或材料的缺陷而发生的任何不足或故障负责。</w:t>
      </w:r>
    </w:p>
    <w:p w14:paraId="749E6D57">
      <w:pPr>
        <w:spacing w:line="360" w:lineRule="auto"/>
        <w:ind w:left="426" w:hanging="419" w:hangingChars="174"/>
        <w:rPr>
          <w:rFonts w:hint="eastAsia" w:ascii="宋体" w:hAnsi="宋体" w:eastAsia="宋体" w:cs="宋体"/>
          <w:b/>
          <w:sz w:val="24"/>
          <w:highlight w:val="none"/>
        </w:rPr>
      </w:pPr>
      <w:r>
        <w:rPr>
          <w:rFonts w:hint="eastAsia" w:ascii="宋体" w:hAnsi="宋体" w:eastAsia="宋体" w:cs="宋体"/>
          <w:b/>
          <w:sz w:val="24"/>
          <w:highlight w:val="none"/>
        </w:rPr>
        <w:t>9.检验</w:t>
      </w:r>
    </w:p>
    <w:p w14:paraId="0EEBFC89">
      <w:pPr>
        <w:spacing w:line="360" w:lineRule="auto"/>
        <w:ind w:left="418" w:hanging="417" w:hangingChars="174"/>
        <w:rPr>
          <w:rFonts w:hint="eastAsia" w:ascii="宋体" w:hAnsi="宋体" w:eastAsia="宋体" w:cs="宋体"/>
          <w:sz w:val="24"/>
          <w:highlight w:val="none"/>
        </w:rPr>
      </w:pPr>
      <w:r>
        <w:rPr>
          <w:rFonts w:hint="eastAsia" w:ascii="宋体" w:hAnsi="宋体" w:eastAsia="宋体" w:cs="宋体"/>
          <w:sz w:val="24"/>
          <w:highlight w:val="none"/>
        </w:rPr>
        <w:t>9.1.在交货前，制造商应对货物的质量、规格、性能、数量和重量等进行全面而细致的检验，并出具一份证明货物符合合同规定的证书。该证书中应对制造商的检验结果和细节加以说明。但此检验不视为最终检验。</w:t>
      </w:r>
    </w:p>
    <w:p w14:paraId="226F47D1">
      <w:pPr>
        <w:spacing w:line="360" w:lineRule="auto"/>
        <w:ind w:left="418" w:hanging="417" w:hangingChars="174"/>
        <w:rPr>
          <w:rFonts w:hint="eastAsia" w:ascii="宋体" w:hAnsi="宋体" w:eastAsia="宋体" w:cs="宋体"/>
          <w:sz w:val="24"/>
          <w:highlight w:val="none"/>
        </w:rPr>
      </w:pPr>
      <w:r>
        <w:rPr>
          <w:rFonts w:hint="eastAsia" w:ascii="宋体" w:hAnsi="宋体" w:eastAsia="宋体" w:cs="宋体"/>
          <w:sz w:val="24"/>
          <w:highlight w:val="none"/>
        </w:rPr>
        <w:t>9.2.买方有权提出在货物制造过程中派人到制造厂进行监造，卖方有义务为买方监造提供方便。</w:t>
      </w:r>
    </w:p>
    <w:p w14:paraId="0B92CC96">
      <w:pPr>
        <w:spacing w:line="360" w:lineRule="auto"/>
        <w:ind w:left="418" w:hanging="417" w:hangingChars="174"/>
        <w:rPr>
          <w:rFonts w:hint="eastAsia" w:ascii="宋体" w:hAnsi="宋体" w:eastAsia="宋体" w:cs="宋体"/>
          <w:sz w:val="24"/>
          <w:highlight w:val="none"/>
        </w:rPr>
      </w:pPr>
      <w:r>
        <w:rPr>
          <w:rFonts w:hint="eastAsia" w:ascii="宋体" w:hAnsi="宋体" w:eastAsia="宋体" w:cs="宋体"/>
          <w:sz w:val="24"/>
          <w:highlight w:val="none"/>
        </w:rPr>
        <w:t>9.3制造厂对所提供货物进行机械性能运转试验和性能试验时，必须提前通知买方。</w:t>
      </w:r>
    </w:p>
    <w:p w14:paraId="511B11C2">
      <w:pPr>
        <w:spacing w:line="360" w:lineRule="auto"/>
        <w:ind w:left="426" w:hanging="419" w:hangingChars="174"/>
        <w:rPr>
          <w:rFonts w:hint="eastAsia" w:ascii="宋体" w:hAnsi="宋体" w:eastAsia="宋体" w:cs="宋体"/>
          <w:b/>
          <w:sz w:val="24"/>
          <w:highlight w:val="none"/>
        </w:rPr>
      </w:pPr>
      <w:r>
        <w:rPr>
          <w:rFonts w:hint="eastAsia" w:ascii="宋体" w:hAnsi="宋体" w:eastAsia="宋体" w:cs="宋体"/>
          <w:b/>
          <w:sz w:val="24"/>
          <w:highlight w:val="none"/>
        </w:rPr>
        <w:t>10.索赔</w:t>
      </w:r>
    </w:p>
    <w:p w14:paraId="1A019F90">
      <w:pPr>
        <w:spacing w:line="360" w:lineRule="auto"/>
        <w:ind w:left="418" w:hanging="417" w:hangingChars="174"/>
        <w:rPr>
          <w:rFonts w:hint="eastAsia" w:ascii="宋体" w:hAnsi="宋体" w:eastAsia="宋体" w:cs="宋体"/>
          <w:sz w:val="24"/>
          <w:highlight w:val="none"/>
        </w:rPr>
      </w:pPr>
      <w:r>
        <w:rPr>
          <w:rFonts w:hint="eastAsia" w:ascii="宋体" w:hAnsi="宋体" w:eastAsia="宋体" w:cs="宋体"/>
          <w:sz w:val="24"/>
          <w:highlight w:val="none"/>
        </w:rPr>
        <w:t>10.1.货物运抵现场后，买方将对货物进行验收并出具检验证书。如发现货物的质量、规格、数量、重量与合同不符，买方有权根据自己按检验标准进行的检验结果或当地质检部门出具的检验证书向卖方提出索赔。</w:t>
      </w:r>
    </w:p>
    <w:p w14:paraId="4D6342C0">
      <w:pPr>
        <w:spacing w:line="360" w:lineRule="auto"/>
        <w:ind w:left="418" w:hanging="417" w:hangingChars="174"/>
        <w:rPr>
          <w:rFonts w:hint="eastAsia" w:ascii="宋体" w:hAnsi="宋体" w:eastAsia="宋体" w:cs="宋体"/>
          <w:sz w:val="24"/>
          <w:highlight w:val="none"/>
        </w:rPr>
      </w:pPr>
      <w:r>
        <w:rPr>
          <w:rFonts w:hint="eastAsia" w:ascii="宋体" w:hAnsi="宋体" w:eastAsia="宋体" w:cs="宋体"/>
          <w:sz w:val="24"/>
          <w:highlight w:val="none"/>
        </w:rPr>
        <w:t>10.2.如果在质量保证期内证实货物是有缺陷的，包括潜在缺陷或使用不符合要求的材料，买方有权向卖方提出索赔。</w:t>
      </w:r>
    </w:p>
    <w:p w14:paraId="7769F008">
      <w:pPr>
        <w:spacing w:line="360" w:lineRule="auto"/>
        <w:ind w:left="418" w:hanging="417" w:hangingChars="174"/>
        <w:rPr>
          <w:rFonts w:hint="eastAsia" w:ascii="宋体" w:hAnsi="宋体" w:eastAsia="宋体" w:cs="宋体"/>
          <w:sz w:val="24"/>
          <w:highlight w:val="none"/>
        </w:rPr>
      </w:pPr>
      <w:r>
        <w:rPr>
          <w:rFonts w:hint="eastAsia" w:ascii="宋体" w:hAnsi="宋体" w:eastAsia="宋体" w:cs="宋体"/>
          <w:sz w:val="24"/>
          <w:highlight w:val="none"/>
        </w:rPr>
        <w:t>10.3.如果卖方对买方提出的索赔负有责任，卖方应按照买方同意的下列一种或几种方式解决索赔事宜：</w:t>
      </w:r>
    </w:p>
    <w:p w14:paraId="35E50557">
      <w:pPr>
        <w:spacing w:line="360" w:lineRule="auto"/>
        <w:ind w:left="418" w:hanging="417" w:hangingChars="174"/>
        <w:rPr>
          <w:rFonts w:hint="eastAsia" w:ascii="宋体" w:hAnsi="宋体" w:eastAsia="宋体" w:cs="宋体"/>
          <w:sz w:val="24"/>
          <w:highlight w:val="none"/>
        </w:rPr>
      </w:pPr>
      <w:r>
        <w:rPr>
          <w:rFonts w:hint="eastAsia" w:ascii="宋体" w:hAnsi="宋体" w:eastAsia="宋体" w:cs="宋体"/>
          <w:sz w:val="24"/>
          <w:highlight w:val="none"/>
        </w:rPr>
        <w:t>（1）卖方同意退货和退还买方货款，并承担由此发生的一切费用。</w:t>
      </w:r>
    </w:p>
    <w:p w14:paraId="228D9871">
      <w:pPr>
        <w:spacing w:line="360" w:lineRule="auto"/>
        <w:ind w:left="418" w:hanging="417" w:hangingChars="174"/>
        <w:rPr>
          <w:rFonts w:hint="eastAsia" w:ascii="宋体" w:hAnsi="宋体" w:eastAsia="宋体" w:cs="宋体"/>
          <w:sz w:val="24"/>
          <w:highlight w:val="none"/>
        </w:rPr>
      </w:pPr>
      <w:r>
        <w:rPr>
          <w:rFonts w:hint="eastAsia" w:ascii="宋体" w:hAnsi="宋体" w:eastAsia="宋体" w:cs="宋体"/>
          <w:sz w:val="24"/>
          <w:highlight w:val="none"/>
        </w:rPr>
        <w:t>（2）降低货物价格。双方根据货物低劣、损坏程度以及买方所遭受损失数额协商决定。</w:t>
      </w:r>
    </w:p>
    <w:p w14:paraId="009B2672">
      <w:pPr>
        <w:spacing w:line="360" w:lineRule="auto"/>
        <w:ind w:left="418" w:hanging="417" w:hangingChars="174"/>
        <w:rPr>
          <w:rFonts w:hint="eastAsia" w:ascii="宋体" w:hAnsi="宋体" w:eastAsia="宋体" w:cs="宋体"/>
          <w:sz w:val="24"/>
          <w:highlight w:val="none"/>
        </w:rPr>
      </w:pPr>
      <w:r>
        <w:rPr>
          <w:rFonts w:hint="eastAsia" w:ascii="宋体" w:hAnsi="宋体" w:eastAsia="宋体" w:cs="宋体"/>
          <w:sz w:val="24"/>
          <w:highlight w:val="none"/>
        </w:rPr>
        <w:t>（3）更换或/和修补缺陷部分。卖方承担一切费用和风险，并负担买方所发生的一切直接费用。同时，相应延长更换/修补件的质量保证期。</w:t>
      </w:r>
    </w:p>
    <w:p w14:paraId="4189E41D">
      <w:pPr>
        <w:spacing w:line="360" w:lineRule="auto"/>
        <w:ind w:left="418" w:hanging="417" w:hangingChars="174"/>
        <w:rPr>
          <w:rFonts w:hint="eastAsia" w:ascii="宋体" w:hAnsi="宋体" w:eastAsia="宋体" w:cs="宋体"/>
          <w:sz w:val="24"/>
          <w:highlight w:val="none"/>
        </w:rPr>
      </w:pPr>
      <w:r>
        <w:rPr>
          <w:rFonts w:hint="eastAsia" w:ascii="宋体" w:hAnsi="宋体" w:eastAsia="宋体" w:cs="宋体"/>
          <w:sz w:val="24"/>
          <w:highlight w:val="none"/>
        </w:rPr>
        <w:t>10.4.如果买方在发出索赔通知后30天内，卖方未作答复，应视为已被卖方接受。如果在通知后30天内或买方同意延长的时间内，卖方未采取上述任何一种方式解决索赔事宜，买方将从预付款或从卖方的履约保证金（或保函）中扣回索赔金额。如果不足，买方有权要求卖方对不足部分进行补偿。</w:t>
      </w:r>
    </w:p>
    <w:p w14:paraId="0EE20369">
      <w:pPr>
        <w:spacing w:line="360" w:lineRule="auto"/>
        <w:ind w:left="426" w:hanging="419" w:hangingChars="174"/>
        <w:rPr>
          <w:rFonts w:hint="eastAsia" w:ascii="宋体" w:hAnsi="宋体" w:eastAsia="宋体" w:cs="宋体"/>
          <w:b/>
          <w:sz w:val="24"/>
          <w:highlight w:val="none"/>
        </w:rPr>
      </w:pPr>
      <w:r>
        <w:rPr>
          <w:rFonts w:hint="eastAsia" w:ascii="宋体" w:hAnsi="宋体" w:eastAsia="宋体" w:cs="宋体"/>
          <w:b/>
          <w:sz w:val="24"/>
          <w:highlight w:val="none"/>
        </w:rPr>
        <w:t>11.不可抗拒力</w:t>
      </w:r>
    </w:p>
    <w:p w14:paraId="0881E17B">
      <w:pPr>
        <w:spacing w:line="360" w:lineRule="auto"/>
        <w:ind w:left="418" w:hanging="417" w:hangingChars="174"/>
        <w:rPr>
          <w:rFonts w:hint="eastAsia" w:ascii="宋体" w:hAnsi="宋体" w:eastAsia="宋体" w:cs="宋体"/>
          <w:sz w:val="24"/>
          <w:highlight w:val="none"/>
        </w:rPr>
      </w:pPr>
      <w:r>
        <w:rPr>
          <w:rFonts w:hint="eastAsia" w:ascii="宋体" w:hAnsi="宋体" w:eastAsia="宋体" w:cs="宋体"/>
          <w:sz w:val="24"/>
          <w:highlight w:val="none"/>
        </w:rPr>
        <w:t>11.1.如果双方任何一方由于战争、严重火灾、水灾、台风和地震以及其它经双方同意属于不可抗拒力的事故，致使履行合同受阻时，履行合同的期限应予延长，延长的期限应相当于事故所影响的时间。</w:t>
      </w:r>
    </w:p>
    <w:p w14:paraId="4F31ECD6">
      <w:pPr>
        <w:spacing w:line="360" w:lineRule="auto"/>
        <w:ind w:left="418" w:right="-288" w:rightChars="-137" w:hanging="417" w:hangingChars="174"/>
        <w:rPr>
          <w:rFonts w:hint="eastAsia" w:ascii="宋体" w:hAnsi="宋体" w:eastAsia="宋体" w:cs="宋体"/>
          <w:sz w:val="24"/>
          <w:highlight w:val="none"/>
        </w:rPr>
      </w:pPr>
      <w:r>
        <w:rPr>
          <w:rFonts w:hint="eastAsia" w:ascii="宋体" w:hAnsi="宋体" w:eastAsia="宋体" w:cs="宋体"/>
          <w:sz w:val="24"/>
          <w:highlight w:val="none"/>
        </w:rPr>
        <w:t>11.2.受事故影响的一方应在不可抗拒力的事故发生后尽快以电报或电传通知另一方，在事故发生后14天内，将有关部门出具的证明文件用挂号信航寄给或送给另一方。如果不可抗拒力影响时间延续120天以上的，双方应通过友好协商在合理的时间内达成进一步履行合同的协议。</w:t>
      </w:r>
    </w:p>
    <w:p w14:paraId="726379B6">
      <w:pPr>
        <w:spacing w:line="360" w:lineRule="auto"/>
        <w:ind w:left="426" w:right="-288" w:rightChars="-137" w:hanging="419" w:hangingChars="174"/>
        <w:rPr>
          <w:rFonts w:hint="eastAsia" w:ascii="宋体" w:hAnsi="宋体" w:eastAsia="宋体" w:cs="宋体"/>
          <w:b/>
          <w:sz w:val="24"/>
          <w:highlight w:val="none"/>
        </w:rPr>
      </w:pPr>
      <w:r>
        <w:rPr>
          <w:rFonts w:hint="eastAsia" w:ascii="宋体" w:hAnsi="宋体" w:eastAsia="宋体" w:cs="宋体"/>
          <w:b/>
          <w:sz w:val="24"/>
          <w:highlight w:val="none"/>
        </w:rPr>
        <w:t>12.延期交货</w:t>
      </w:r>
    </w:p>
    <w:p w14:paraId="251CFEC6">
      <w:pPr>
        <w:spacing w:line="360" w:lineRule="auto"/>
        <w:ind w:left="418" w:hanging="417" w:hangingChars="174"/>
        <w:rPr>
          <w:rFonts w:hint="eastAsia" w:ascii="宋体" w:hAnsi="宋体" w:eastAsia="宋体" w:cs="宋体"/>
          <w:sz w:val="24"/>
          <w:highlight w:val="none"/>
        </w:rPr>
      </w:pPr>
      <w:r>
        <w:rPr>
          <w:rFonts w:hint="eastAsia" w:ascii="宋体" w:hAnsi="宋体" w:eastAsia="宋体" w:cs="宋体"/>
          <w:sz w:val="24"/>
          <w:highlight w:val="none"/>
        </w:rPr>
        <w:t>12.1.在履行合同过程中，如果卖方遇到不能按时交货和提供服务的情况，应及时以书面形式将不能按时交货的理由、延误时间通知买方。买方在收到卖方通知后，应进行分析，如果同意，可通过修改合同，酌情延长交货时间。</w:t>
      </w:r>
    </w:p>
    <w:p w14:paraId="4961410F">
      <w:pPr>
        <w:spacing w:line="360" w:lineRule="auto"/>
        <w:ind w:left="426" w:hanging="419" w:hangingChars="174"/>
        <w:rPr>
          <w:rFonts w:hint="eastAsia" w:ascii="宋体" w:hAnsi="宋体" w:eastAsia="宋体" w:cs="宋体"/>
          <w:b/>
          <w:sz w:val="24"/>
          <w:highlight w:val="none"/>
        </w:rPr>
      </w:pPr>
      <w:r>
        <w:rPr>
          <w:rFonts w:hint="eastAsia" w:ascii="宋体" w:hAnsi="宋体" w:eastAsia="宋体" w:cs="宋体"/>
          <w:b/>
          <w:sz w:val="24"/>
          <w:highlight w:val="none"/>
        </w:rPr>
        <w:t>13.违约赔偿</w:t>
      </w:r>
    </w:p>
    <w:p w14:paraId="12826EB4">
      <w:pPr>
        <w:spacing w:line="360" w:lineRule="auto"/>
        <w:ind w:left="418" w:hanging="417" w:hangingChars="174"/>
        <w:rPr>
          <w:rFonts w:hint="eastAsia" w:ascii="宋体" w:hAnsi="宋体" w:eastAsia="宋体" w:cs="宋体"/>
          <w:sz w:val="24"/>
          <w:highlight w:val="none"/>
        </w:rPr>
      </w:pPr>
      <w:r>
        <w:rPr>
          <w:rFonts w:hint="eastAsia" w:ascii="宋体" w:hAnsi="宋体" w:eastAsia="宋体" w:cs="宋体"/>
          <w:sz w:val="24"/>
          <w:highlight w:val="none"/>
        </w:rPr>
        <w:t>13.1.如果卖方毫无理由地不按合同规定的时间和地点交货和提供服务，买方将没收履约保证金，并从货款中扣除违约赔偿费。赔偿费为迟交货物或服务合同价款的10—30%，并赔偿买方由此产生的直接经济损失。必要时，买方可考虑终止合同。</w:t>
      </w:r>
    </w:p>
    <w:p w14:paraId="1DF32C29">
      <w:pPr>
        <w:spacing w:line="360" w:lineRule="auto"/>
        <w:ind w:left="426" w:hanging="419" w:hangingChars="174"/>
        <w:rPr>
          <w:rFonts w:hint="eastAsia" w:ascii="宋体" w:hAnsi="宋体" w:eastAsia="宋体" w:cs="宋体"/>
          <w:b/>
          <w:sz w:val="24"/>
          <w:highlight w:val="none"/>
        </w:rPr>
      </w:pPr>
      <w:r>
        <w:rPr>
          <w:rFonts w:hint="eastAsia" w:ascii="宋体" w:hAnsi="宋体" w:eastAsia="宋体" w:cs="宋体"/>
          <w:b/>
          <w:sz w:val="24"/>
          <w:highlight w:val="none"/>
        </w:rPr>
        <w:t>14.合同终止</w:t>
      </w:r>
    </w:p>
    <w:p w14:paraId="5978CD64">
      <w:pPr>
        <w:spacing w:line="360" w:lineRule="auto"/>
        <w:ind w:left="418" w:hanging="417" w:hangingChars="174"/>
        <w:rPr>
          <w:rFonts w:hint="eastAsia" w:ascii="宋体" w:hAnsi="宋体" w:eastAsia="宋体" w:cs="宋体"/>
          <w:sz w:val="24"/>
          <w:highlight w:val="none"/>
        </w:rPr>
      </w:pPr>
      <w:r>
        <w:rPr>
          <w:rFonts w:hint="eastAsia" w:ascii="宋体" w:hAnsi="宋体" w:eastAsia="宋体" w:cs="宋体"/>
          <w:sz w:val="24"/>
          <w:highlight w:val="none"/>
        </w:rPr>
        <w:t>14.1.卖方在违约的情况下，即（1）未能按合同规定或买方同意延长的期限内提供货物（2）在收到买方发出的违约通知后30天内或买方同意延长的期限内未能纠正其过失。买方可向卖方发出书面通知，终止部分或全部合同。在此情况下，并不影响买方向卖方提出的索赔。</w:t>
      </w:r>
    </w:p>
    <w:p w14:paraId="19094BF1">
      <w:pPr>
        <w:spacing w:line="360" w:lineRule="auto"/>
        <w:ind w:left="418" w:hanging="417" w:hangingChars="174"/>
        <w:rPr>
          <w:rFonts w:hint="eastAsia" w:ascii="宋体" w:hAnsi="宋体" w:eastAsia="宋体" w:cs="宋体"/>
          <w:sz w:val="24"/>
          <w:highlight w:val="none"/>
        </w:rPr>
      </w:pPr>
      <w:r>
        <w:rPr>
          <w:rFonts w:hint="eastAsia" w:ascii="宋体" w:hAnsi="宋体" w:eastAsia="宋体" w:cs="宋体"/>
          <w:sz w:val="24"/>
          <w:highlight w:val="none"/>
        </w:rPr>
        <w:t>14.2.买方根据上述规定，终止部分或全部合同，可购买与未交货物类似的货物，卖方应对超出合同规定的费用负责，对未终止的合同应继续执行。</w:t>
      </w:r>
    </w:p>
    <w:p w14:paraId="02D518FC">
      <w:pPr>
        <w:spacing w:line="360" w:lineRule="auto"/>
        <w:ind w:left="418" w:hanging="417" w:hangingChars="174"/>
        <w:rPr>
          <w:rFonts w:hint="eastAsia" w:ascii="宋体" w:hAnsi="宋体" w:eastAsia="宋体" w:cs="宋体"/>
          <w:sz w:val="24"/>
          <w:highlight w:val="none"/>
        </w:rPr>
      </w:pPr>
      <w:r>
        <w:rPr>
          <w:rFonts w:hint="eastAsia" w:ascii="宋体" w:hAnsi="宋体" w:eastAsia="宋体" w:cs="宋体"/>
          <w:sz w:val="24"/>
          <w:highlight w:val="none"/>
        </w:rPr>
        <w:t>14.3.如果卖方破产或无清偿能力时，买方可在任何时候以书面通知卖方终止合同。该终止合同将不损害或影响买方已经采取或将要采取的补救措施的权利。</w:t>
      </w:r>
    </w:p>
    <w:p w14:paraId="4AFA8200">
      <w:pPr>
        <w:spacing w:line="360" w:lineRule="auto"/>
        <w:ind w:left="426" w:hanging="419" w:hangingChars="174"/>
        <w:rPr>
          <w:rFonts w:hint="eastAsia" w:ascii="宋体" w:hAnsi="宋体" w:eastAsia="宋体" w:cs="宋体"/>
          <w:b/>
          <w:sz w:val="24"/>
          <w:highlight w:val="none"/>
        </w:rPr>
      </w:pPr>
      <w:r>
        <w:rPr>
          <w:rFonts w:hint="eastAsia" w:ascii="宋体" w:hAnsi="宋体" w:eastAsia="宋体" w:cs="宋体"/>
          <w:b/>
          <w:sz w:val="24"/>
          <w:highlight w:val="none"/>
        </w:rPr>
        <w:t>15.税费</w:t>
      </w:r>
    </w:p>
    <w:p w14:paraId="1373BFA3">
      <w:pPr>
        <w:spacing w:line="360" w:lineRule="auto"/>
        <w:ind w:left="418" w:hanging="417" w:hangingChars="174"/>
        <w:rPr>
          <w:rFonts w:hint="eastAsia" w:ascii="宋体" w:hAnsi="宋体" w:eastAsia="宋体" w:cs="宋体"/>
          <w:sz w:val="24"/>
          <w:highlight w:val="none"/>
        </w:rPr>
      </w:pPr>
      <w:r>
        <w:rPr>
          <w:rFonts w:hint="eastAsia" w:ascii="宋体" w:hAnsi="宋体" w:eastAsia="宋体" w:cs="宋体"/>
          <w:sz w:val="24"/>
          <w:highlight w:val="none"/>
        </w:rPr>
        <w:t>15.1.根据国家现行税法对买方征收的与本合同有关的一切税费均由买方负担。</w:t>
      </w:r>
    </w:p>
    <w:p w14:paraId="4D176AFC">
      <w:pPr>
        <w:spacing w:line="360" w:lineRule="auto"/>
        <w:ind w:left="418" w:hanging="417" w:hangingChars="174"/>
        <w:rPr>
          <w:rFonts w:hint="eastAsia" w:ascii="宋体" w:hAnsi="宋体" w:eastAsia="宋体" w:cs="宋体"/>
          <w:sz w:val="24"/>
          <w:highlight w:val="none"/>
        </w:rPr>
      </w:pPr>
      <w:r>
        <w:rPr>
          <w:rFonts w:hint="eastAsia" w:ascii="宋体" w:hAnsi="宋体" w:eastAsia="宋体" w:cs="宋体"/>
          <w:sz w:val="24"/>
          <w:highlight w:val="none"/>
        </w:rPr>
        <w:t>15.2.根据国家现行税法对卖方征收的与本合同有关的一切税费均由卖方负担。</w:t>
      </w:r>
    </w:p>
    <w:p w14:paraId="3A4F6CC4">
      <w:pPr>
        <w:spacing w:line="360" w:lineRule="auto"/>
        <w:ind w:left="418" w:hanging="417" w:hangingChars="174"/>
        <w:rPr>
          <w:rFonts w:hint="eastAsia" w:ascii="宋体" w:hAnsi="宋体" w:eastAsia="宋体" w:cs="宋体"/>
          <w:sz w:val="24"/>
          <w:highlight w:val="none"/>
        </w:rPr>
      </w:pPr>
      <w:r>
        <w:rPr>
          <w:rFonts w:hint="eastAsia" w:ascii="宋体" w:hAnsi="宋体" w:eastAsia="宋体" w:cs="宋体"/>
          <w:sz w:val="24"/>
          <w:highlight w:val="none"/>
        </w:rPr>
        <w:t>15.3.在中国境外发生的与本合同执行有关的一切税费均由卖方负担。</w:t>
      </w:r>
    </w:p>
    <w:p w14:paraId="05E85A89">
      <w:pPr>
        <w:spacing w:line="360" w:lineRule="auto"/>
        <w:ind w:left="426" w:hanging="419" w:hangingChars="174"/>
        <w:rPr>
          <w:rFonts w:hint="eastAsia" w:ascii="宋体" w:hAnsi="宋体" w:eastAsia="宋体" w:cs="宋体"/>
          <w:b/>
          <w:sz w:val="24"/>
          <w:highlight w:val="none"/>
        </w:rPr>
      </w:pPr>
      <w:r>
        <w:rPr>
          <w:rFonts w:hint="eastAsia" w:ascii="宋体" w:hAnsi="宋体" w:eastAsia="宋体" w:cs="宋体"/>
          <w:b/>
          <w:sz w:val="24"/>
          <w:highlight w:val="none"/>
        </w:rPr>
        <w:t>16.仲裁</w:t>
      </w:r>
    </w:p>
    <w:p w14:paraId="1F0BF663">
      <w:pPr>
        <w:spacing w:line="360" w:lineRule="auto"/>
        <w:ind w:left="418" w:hanging="417" w:hangingChars="174"/>
        <w:rPr>
          <w:rFonts w:hint="eastAsia" w:ascii="宋体" w:hAnsi="宋体" w:eastAsia="宋体" w:cs="宋体"/>
          <w:sz w:val="24"/>
          <w:highlight w:val="none"/>
        </w:rPr>
      </w:pPr>
      <w:r>
        <w:rPr>
          <w:rFonts w:hint="eastAsia" w:ascii="宋体" w:hAnsi="宋体" w:eastAsia="宋体" w:cs="宋体"/>
          <w:sz w:val="24"/>
          <w:highlight w:val="none"/>
        </w:rPr>
        <w:t>16.1.买卖双方应通过友好协商，解决在执行合同中所发生的或与本合同有关的一切争端，如果协商仍得不到解决，任何一方均可按“中华人民共和国经济合同法”规定提交调解和仲裁。</w:t>
      </w:r>
    </w:p>
    <w:p w14:paraId="11AAA1D5">
      <w:pPr>
        <w:spacing w:line="360" w:lineRule="auto"/>
        <w:ind w:left="418" w:hanging="417" w:hangingChars="174"/>
        <w:rPr>
          <w:rFonts w:hint="eastAsia" w:ascii="宋体" w:hAnsi="宋体" w:eastAsia="宋体" w:cs="宋体"/>
          <w:sz w:val="24"/>
          <w:highlight w:val="none"/>
        </w:rPr>
      </w:pPr>
      <w:r>
        <w:rPr>
          <w:rFonts w:hint="eastAsia" w:ascii="宋体" w:hAnsi="宋体" w:eastAsia="宋体" w:cs="宋体"/>
          <w:sz w:val="24"/>
          <w:highlight w:val="none"/>
        </w:rPr>
        <w:t>16.2.仲裁裁决应为终局裁决，对双方均具有约束力。</w:t>
      </w:r>
    </w:p>
    <w:p w14:paraId="0B5AF6ED">
      <w:pPr>
        <w:spacing w:line="360" w:lineRule="auto"/>
        <w:ind w:left="418" w:hanging="417" w:hangingChars="174"/>
        <w:rPr>
          <w:rFonts w:hint="eastAsia" w:ascii="宋体" w:hAnsi="宋体" w:eastAsia="宋体" w:cs="宋体"/>
          <w:sz w:val="24"/>
          <w:highlight w:val="none"/>
        </w:rPr>
      </w:pPr>
      <w:r>
        <w:rPr>
          <w:rFonts w:hint="eastAsia" w:ascii="宋体" w:hAnsi="宋体" w:eastAsia="宋体" w:cs="宋体"/>
          <w:sz w:val="24"/>
          <w:highlight w:val="none"/>
        </w:rPr>
        <w:t>16.3.裁决费除仲裁机构另有规定外应由败诉方负担。</w:t>
      </w:r>
    </w:p>
    <w:p w14:paraId="7F331A27">
      <w:pPr>
        <w:spacing w:line="360" w:lineRule="auto"/>
        <w:ind w:left="418" w:hanging="417" w:hangingChars="174"/>
        <w:rPr>
          <w:rFonts w:hint="eastAsia" w:ascii="宋体" w:hAnsi="宋体" w:eastAsia="宋体" w:cs="宋体"/>
          <w:sz w:val="24"/>
          <w:highlight w:val="none"/>
        </w:rPr>
      </w:pPr>
      <w:r>
        <w:rPr>
          <w:rFonts w:hint="eastAsia" w:ascii="宋体" w:hAnsi="宋体" w:eastAsia="宋体" w:cs="宋体"/>
          <w:sz w:val="24"/>
          <w:highlight w:val="none"/>
        </w:rPr>
        <w:t>16.4.在仲裁期间，除正在进行仲裁的部分外，本合同其它部分应继续执行。</w:t>
      </w:r>
    </w:p>
    <w:p w14:paraId="372712A9">
      <w:pPr>
        <w:spacing w:line="360" w:lineRule="auto"/>
        <w:ind w:left="426" w:hanging="419" w:hangingChars="174"/>
        <w:rPr>
          <w:rFonts w:hint="eastAsia" w:ascii="宋体" w:hAnsi="宋体" w:eastAsia="宋体" w:cs="宋体"/>
          <w:b/>
          <w:sz w:val="24"/>
          <w:highlight w:val="none"/>
        </w:rPr>
      </w:pPr>
      <w:r>
        <w:rPr>
          <w:rFonts w:hint="eastAsia" w:ascii="宋体" w:hAnsi="宋体" w:eastAsia="宋体" w:cs="宋体"/>
          <w:b/>
          <w:sz w:val="24"/>
          <w:highlight w:val="none"/>
        </w:rPr>
        <w:t>17.转让和分包</w:t>
      </w:r>
    </w:p>
    <w:p w14:paraId="0EBE347F">
      <w:pPr>
        <w:spacing w:line="360" w:lineRule="auto"/>
        <w:ind w:left="418" w:hanging="417" w:hangingChars="174"/>
        <w:rPr>
          <w:rFonts w:hint="eastAsia" w:ascii="宋体" w:hAnsi="宋体" w:eastAsia="宋体" w:cs="宋体"/>
          <w:sz w:val="24"/>
          <w:highlight w:val="none"/>
        </w:rPr>
      </w:pPr>
      <w:r>
        <w:rPr>
          <w:rFonts w:hint="eastAsia" w:ascii="宋体" w:hAnsi="宋体" w:eastAsia="宋体" w:cs="宋体"/>
          <w:sz w:val="24"/>
          <w:highlight w:val="none"/>
        </w:rPr>
        <w:t>17.1.未经买方事先书面同意，卖方不得部分或全部转让其应履行的合同义务。</w:t>
      </w:r>
    </w:p>
    <w:p w14:paraId="30C47A76">
      <w:pPr>
        <w:spacing w:line="360" w:lineRule="auto"/>
        <w:ind w:left="426" w:hanging="419" w:hangingChars="174"/>
        <w:rPr>
          <w:rFonts w:hint="eastAsia" w:ascii="宋体" w:hAnsi="宋体" w:eastAsia="宋体" w:cs="宋体"/>
          <w:b/>
          <w:sz w:val="24"/>
          <w:highlight w:val="none"/>
        </w:rPr>
      </w:pPr>
      <w:r>
        <w:rPr>
          <w:rFonts w:hint="eastAsia" w:ascii="宋体" w:hAnsi="宋体" w:eastAsia="宋体" w:cs="宋体"/>
          <w:b/>
          <w:sz w:val="24"/>
          <w:highlight w:val="none"/>
        </w:rPr>
        <w:t>18.通知</w:t>
      </w:r>
    </w:p>
    <w:p w14:paraId="6C5C051F">
      <w:pPr>
        <w:spacing w:line="360" w:lineRule="auto"/>
        <w:ind w:left="418" w:hanging="417" w:hangingChars="174"/>
        <w:rPr>
          <w:rFonts w:hint="eastAsia" w:ascii="宋体" w:hAnsi="宋体" w:eastAsia="宋体" w:cs="宋体"/>
          <w:sz w:val="24"/>
          <w:highlight w:val="none"/>
        </w:rPr>
      </w:pPr>
      <w:r>
        <w:rPr>
          <w:rFonts w:hint="eastAsia" w:ascii="宋体" w:hAnsi="宋体" w:eastAsia="宋体" w:cs="宋体"/>
          <w:sz w:val="24"/>
          <w:highlight w:val="none"/>
        </w:rPr>
        <w:t>18.1.本合同任何一方给另一方通知，都应以书面或电传/传真/电报的形式发送，而另一方应以书面形式确认并发送到对方明确地址。</w:t>
      </w:r>
    </w:p>
    <w:p w14:paraId="49043834">
      <w:pPr>
        <w:spacing w:line="360" w:lineRule="auto"/>
        <w:ind w:left="426" w:hanging="419" w:hangingChars="174"/>
        <w:rPr>
          <w:rFonts w:hint="eastAsia" w:ascii="宋体" w:hAnsi="宋体" w:eastAsia="宋体" w:cs="宋体"/>
          <w:sz w:val="24"/>
          <w:highlight w:val="none"/>
        </w:rPr>
      </w:pPr>
      <w:r>
        <w:rPr>
          <w:rFonts w:hint="eastAsia" w:ascii="宋体" w:hAnsi="宋体" w:eastAsia="宋体" w:cs="宋体"/>
          <w:b/>
          <w:sz w:val="24"/>
          <w:highlight w:val="none"/>
        </w:rPr>
        <w:t>19.适用法律</w:t>
      </w:r>
    </w:p>
    <w:p w14:paraId="43583DD6">
      <w:pPr>
        <w:spacing w:line="360" w:lineRule="auto"/>
        <w:ind w:left="418" w:hanging="417" w:hangingChars="174"/>
        <w:rPr>
          <w:rFonts w:hint="eastAsia" w:ascii="宋体" w:hAnsi="宋体" w:eastAsia="宋体" w:cs="宋体"/>
          <w:sz w:val="24"/>
          <w:highlight w:val="none"/>
        </w:rPr>
      </w:pPr>
      <w:r>
        <w:rPr>
          <w:rFonts w:hint="eastAsia" w:ascii="宋体" w:hAnsi="宋体" w:eastAsia="宋体" w:cs="宋体"/>
          <w:sz w:val="24"/>
          <w:highlight w:val="none"/>
        </w:rPr>
        <w:t>19.1.本合同应按中华人民共和国有关的法律进行解释。</w:t>
      </w:r>
    </w:p>
    <w:p w14:paraId="347EF9A0">
      <w:pPr>
        <w:spacing w:line="360" w:lineRule="auto"/>
        <w:ind w:left="426" w:hanging="419" w:hangingChars="174"/>
        <w:rPr>
          <w:rFonts w:hint="eastAsia" w:ascii="宋体" w:hAnsi="宋体" w:eastAsia="宋体" w:cs="宋体"/>
          <w:b/>
          <w:sz w:val="24"/>
          <w:highlight w:val="none"/>
        </w:rPr>
      </w:pPr>
      <w:r>
        <w:rPr>
          <w:rFonts w:hint="eastAsia" w:ascii="宋体" w:hAnsi="宋体" w:eastAsia="宋体" w:cs="宋体"/>
          <w:b/>
          <w:sz w:val="24"/>
          <w:highlight w:val="none"/>
        </w:rPr>
        <w:t>20.合同生效及其它</w:t>
      </w:r>
    </w:p>
    <w:p w14:paraId="6CE2FD53">
      <w:pPr>
        <w:spacing w:line="360" w:lineRule="auto"/>
        <w:ind w:left="418" w:hanging="417" w:hangingChars="174"/>
        <w:rPr>
          <w:rFonts w:hint="eastAsia" w:ascii="宋体" w:hAnsi="宋体" w:eastAsia="宋体" w:cs="宋体"/>
          <w:sz w:val="24"/>
          <w:highlight w:val="none"/>
        </w:rPr>
      </w:pPr>
      <w:r>
        <w:rPr>
          <w:rFonts w:hint="eastAsia" w:ascii="宋体" w:hAnsi="宋体" w:eastAsia="宋体" w:cs="宋体"/>
          <w:sz w:val="24"/>
          <w:highlight w:val="none"/>
        </w:rPr>
        <w:t>20.1.合同应在双方签字盖章并在买方收到卖方提供的履约保证金（或保函）后开始生效。</w:t>
      </w:r>
    </w:p>
    <w:p w14:paraId="7E452D58">
      <w:pPr>
        <w:spacing w:line="360" w:lineRule="auto"/>
        <w:ind w:left="418" w:hanging="417" w:hangingChars="174"/>
        <w:rPr>
          <w:rFonts w:hint="eastAsia" w:ascii="宋体" w:hAnsi="宋体" w:eastAsia="宋体" w:cs="宋体"/>
          <w:sz w:val="24"/>
          <w:highlight w:val="none"/>
        </w:rPr>
      </w:pPr>
      <w:r>
        <w:rPr>
          <w:rFonts w:hint="eastAsia" w:ascii="宋体" w:hAnsi="宋体" w:eastAsia="宋体" w:cs="宋体"/>
          <w:sz w:val="24"/>
          <w:highlight w:val="none"/>
        </w:rPr>
        <w:t>20.2.本合同一式四份，以中文书写，双方各执一份，采购监督管理部门二份。</w:t>
      </w:r>
    </w:p>
    <w:p w14:paraId="063C2A3A">
      <w:pPr>
        <w:spacing w:line="360" w:lineRule="auto"/>
        <w:ind w:left="426" w:hanging="419" w:hangingChars="174"/>
        <w:rPr>
          <w:rFonts w:hint="eastAsia" w:ascii="宋体" w:hAnsi="宋体" w:eastAsia="宋体" w:cs="宋体"/>
          <w:b/>
          <w:sz w:val="24"/>
          <w:highlight w:val="none"/>
        </w:rPr>
      </w:pPr>
      <w:r>
        <w:rPr>
          <w:rFonts w:hint="eastAsia" w:ascii="宋体" w:hAnsi="宋体" w:eastAsia="宋体" w:cs="宋体"/>
          <w:b/>
          <w:sz w:val="24"/>
          <w:highlight w:val="none"/>
        </w:rPr>
        <w:t>21.合同的修改与补充</w:t>
      </w:r>
    </w:p>
    <w:p w14:paraId="699657A6">
      <w:pPr>
        <w:spacing w:line="360" w:lineRule="auto"/>
        <w:ind w:left="418" w:hanging="417" w:hangingChars="174"/>
        <w:rPr>
          <w:rFonts w:hint="eastAsia" w:ascii="宋体" w:hAnsi="宋体" w:eastAsia="宋体" w:cs="宋体"/>
          <w:color w:val="auto"/>
          <w:spacing w:val="8"/>
          <w:sz w:val="35"/>
          <w:szCs w:val="35"/>
          <w14:textOutline w14:w="6537" w14:cap="sq" w14:cmpd="sng">
            <w14:solidFill>
              <w14:srgbClr w14:val="000000"/>
            </w14:solidFill>
            <w14:prstDash w14:val="solid"/>
            <w14:bevel/>
          </w14:textOutline>
        </w:rPr>
      </w:pPr>
      <w:r>
        <w:rPr>
          <w:rFonts w:hint="eastAsia" w:ascii="宋体" w:hAnsi="宋体" w:eastAsia="宋体" w:cs="宋体"/>
          <w:sz w:val="24"/>
          <w:highlight w:val="none"/>
        </w:rPr>
        <w:t>21.1.如需修改合同任何条款或补充合同内容，经协商，双方应签署书面修改或补充协议，该协议将作为本合同的一个组成部分。</w:t>
      </w:r>
      <w:r>
        <w:rPr>
          <w:rFonts w:hint="eastAsia" w:ascii="宋体" w:hAnsi="宋体" w:eastAsia="宋体" w:cs="宋体"/>
          <w:color w:val="auto"/>
          <w:spacing w:val="8"/>
          <w:sz w:val="35"/>
          <w:szCs w:val="35"/>
          <w14:textOutline w14:w="6537" w14:cap="sq" w14:cmpd="sng">
            <w14:solidFill>
              <w14:srgbClr w14:val="000000"/>
            </w14:solidFill>
            <w14:prstDash w14:val="solid"/>
            <w14:bevel/>
          </w14:textOutline>
        </w:rPr>
        <w:br w:type="page"/>
      </w:r>
    </w:p>
    <w:p w14:paraId="74517DC2">
      <w:pPr>
        <w:pStyle w:val="2"/>
        <w:keepNext/>
        <w:keepLines/>
        <w:pageBreakBefore w:val="0"/>
        <w:widowControl/>
        <w:numPr>
          <w:ilvl w:val="0"/>
          <w:numId w:val="1"/>
        </w:numPr>
        <w:kinsoku w:val="0"/>
        <w:wordWrap/>
        <w:overflowPunct/>
        <w:topLinePunct w:val="0"/>
        <w:autoSpaceDE w:val="0"/>
        <w:autoSpaceDN w:val="0"/>
        <w:bidi w:val="0"/>
        <w:adjustRightInd w:val="0"/>
        <w:snapToGrid w:val="0"/>
        <w:spacing w:after="0" w:line="360" w:lineRule="auto"/>
        <w:jc w:val="center"/>
        <w:textAlignment w:val="baseline"/>
        <w:rPr>
          <w:rFonts w:hint="eastAsia"/>
          <w:color w:val="auto"/>
          <w:sz w:val="32"/>
          <w:szCs w:val="22"/>
          <w:highlight w:val="none"/>
        </w:rPr>
      </w:pPr>
      <w:bookmarkStart w:id="42" w:name="_Toc9810"/>
      <w:r>
        <w:rPr>
          <w:rFonts w:hint="eastAsia"/>
          <w:color w:val="auto"/>
          <w:sz w:val="32"/>
          <w:szCs w:val="22"/>
          <w:highlight w:val="none"/>
        </w:rPr>
        <w:t>采购需求</w:t>
      </w:r>
      <w:bookmarkEnd w:id="42"/>
    </w:p>
    <w:p w14:paraId="59664E1D">
      <w:pPr>
        <w:spacing w:line="360" w:lineRule="auto"/>
        <w:ind w:firstLine="420"/>
        <w:jc w:val="left"/>
        <w:rPr>
          <w:rFonts w:hint="eastAsia" w:ascii="宋体" w:hAnsi="宋体" w:eastAsia="宋体" w:cs="宋体"/>
          <w:kern w:val="0"/>
          <w:sz w:val="24"/>
        </w:rPr>
      </w:pPr>
      <w:r>
        <w:rPr>
          <w:rFonts w:hint="eastAsia" w:ascii="宋体" w:hAnsi="宋体" w:eastAsia="宋体" w:cs="宋体"/>
          <w:kern w:val="0"/>
          <w:sz w:val="24"/>
        </w:rPr>
        <w:t>本</w:t>
      </w:r>
      <w:r>
        <w:rPr>
          <w:rFonts w:hint="eastAsia" w:ascii="宋体" w:hAnsi="宋体" w:eastAsia="宋体" w:cs="宋体"/>
          <w:kern w:val="0"/>
          <w:sz w:val="24"/>
          <w:lang w:val="en-US" w:eastAsia="zh-CN"/>
        </w:rPr>
        <w:t>项目</w:t>
      </w:r>
      <w:r>
        <w:rPr>
          <w:rFonts w:hint="eastAsia" w:ascii="宋体" w:hAnsi="宋体" w:eastAsia="宋体" w:cs="宋体"/>
          <w:kern w:val="0"/>
          <w:sz w:val="24"/>
        </w:rPr>
        <w:t>是为</w:t>
      </w:r>
      <w:r>
        <w:rPr>
          <w:rFonts w:hint="eastAsia" w:ascii="宋体" w:hAnsi="宋体" w:eastAsia="宋体" w:cs="宋体"/>
          <w:kern w:val="0"/>
          <w:sz w:val="24"/>
          <w:lang w:val="en-US" w:eastAsia="zh-CN"/>
        </w:rPr>
        <w:t>长春市</w:t>
      </w:r>
      <w:r>
        <w:rPr>
          <w:rFonts w:hint="eastAsia" w:ascii="宋体" w:hAnsi="宋体" w:eastAsia="宋体" w:cs="宋体"/>
          <w:kern w:val="0"/>
          <w:sz w:val="24"/>
        </w:rPr>
        <w:t>公安局</w:t>
      </w:r>
      <w:r>
        <w:rPr>
          <w:rFonts w:hint="eastAsia" w:ascii="宋体" w:hAnsi="宋体" w:eastAsia="宋体" w:cs="宋体"/>
          <w:kern w:val="0"/>
          <w:sz w:val="24"/>
          <w:lang w:val="en-US" w:eastAsia="zh-CN"/>
        </w:rPr>
        <w:t>朝阳分局</w:t>
      </w:r>
      <w:r>
        <w:rPr>
          <w:rFonts w:hint="eastAsia" w:ascii="宋体" w:hAnsi="宋体" w:eastAsia="宋体" w:cs="宋体"/>
          <w:kern w:val="0"/>
          <w:sz w:val="24"/>
        </w:rPr>
        <w:t>提供线路传输服务，满足日常办公需求，保障公安工作顺利开展，保障</w:t>
      </w:r>
      <w:r>
        <w:rPr>
          <w:rFonts w:hint="eastAsia" w:ascii="宋体" w:hAnsi="宋体" w:eastAsia="宋体" w:cs="宋体"/>
          <w:kern w:val="0"/>
          <w:sz w:val="24"/>
          <w:lang w:val="en-US" w:eastAsia="zh-CN"/>
        </w:rPr>
        <w:t>朝阳分局天网</w:t>
      </w:r>
      <w:r>
        <w:rPr>
          <w:rFonts w:hint="eastAsia" w:ascii="宋体" w:hAnsi="宋体" w:eastAsia="宋体" w:cs="宋体"/>
          <w:kern w:val="0"/>
          <w:sz w:val="24"/>
        </w:rPr>
        <w:t>数据稳定传输，需</w:t>
      </w:r>
      <w:r>
        <w:rPr>
          <w:rFonts w:hint="eastAsia" w:ascii="宋体" w:hAnsi="宋体" w:eastAsia="宋体" w:cs="宋体"/>
          <w:kern w:val="0"/>
          <w:sz w:val="24"/>
          <w:lang w:val="en-US" w:eastAsia="zh-CN"/>
        </w:rPr>
        <w:t>租赁20M前端接入链路926</w:t>
      </w:r>
      <w:r>
        <w:rPr>
          <w:rFonts w:hint="eastAsia" w:ascii="宋体" w:hAnsi="宋体" w:eastAsia="宋体" w:cs="宋体"/>
          <w:kern w:val="0"/>
          <w:sz w:val="24"/>
        </w:rPr>
        <w:t>条</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100M派出所汇聚链路</w:t>
      </w:r>
      <w:r>
        <w:rPr>
          <w:rFonts w:hint="eastAsia" w:ascii="宋体" w:hAnsi="宋体" w:eastAsia="宋体" w:cs="宋体"/>
          <w:kern w:val="0"/>
          <w:sz w:val="24"/>
        </w:rPr>
        <w:t>1</w:t>
      </w:r>
      <w:r>
        <w:rPr>
          <w:rFonts w:hint="eastAsia" w:ascii="宋体" w:hAnsi="宋体" w:eastAsia="宋体" w:cs="宋体"/>
          <w:kern w:val="0"/>
          <w:sz w:val="24"/>
          <w:lang w:val="en-US" w:eastAsia="zh-CN"/>
        </w:rPr>
        <w:t>8</w:t>
      </w:r>
      <w:r>
        <w:rPr>
          <w:rFonts w:hint="eastAsia" w:ascii="宋体" w:hAnsi="宋体" w:eastAsia="宋体" w:cs="宋体"/>
          <w:kern w:val="0"/>
          <w:sz w:val="24"/>
        </w:rPr>
        <w:t>条</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100M传输链路2条至朝阳区政府，1000M汇聚核心链路1条</w:t>
      </w:r>
      <w:r>
        <w:rPr>
          <w:rFonts w:hint="eastAsia" w:ascii="宋体" w:hAnsi="宋体" w:eastAsia="宋体" w:cs="宋体"/>
          <w:kern w:val="0"/>
          <w:sz w:val="24"/>
        </w:rPr>
        <w:t>。</w:t>
      </w:r>
      <w:r>
        <w:rPr>
          <w:rFonts w:hint="eastAsia" w:ascii="宋体" w:hAnsi="宋体" w:eastAsia="宋体" w:cs="宋体"/>
          <w:kern w:val="0"/>
          <w:sz w:val="24"/>
        </w:rPr>
        <w:br w:type="textWrapping"/>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天网系统作为维护城市公共安全的核心基础设施，其持续稳定运行至关重要，本项目须在中标后24小时时限内完成线路开通工作，以确保系统功能不受影响并维持正常运作</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否</w:t>
      </w:r>
      <w:r>
        <w:rPr>
          <w:rFonts w:hint="eastAsia" w:ascii="宋体" w:hAnsi="宋体" w:eastAsia="宋体" w:cs="宋体"/>
          <w:kern w:val="0"/>
          <w:sz w:val="24"/>
        </w:rPr>
        <w:t>则投标无效</w:t>
      </w:r>
      <w:r>
        <w:rPr>
          <w:rFonts w:hint="eastAsia" w:ascii="宋体" w:hAnsi="宋体" w:eastAsia="宋体" w:cs="宋体"/>
          <w:kern w:val="0"/>
          <w:sz w:val="24"/>
          <w:lang w:eastAsia="zh-CN"/>
        </w:rPr>
        <w:t>。</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
        <w:gridCol w:w="661"/>
        <w:gridCol w:w="7199"/>
        <w:gridCol w:w="533"/>
        <w:gridCol w:w="602"/>
      </w:tblGrid>
      <w:tr w14:paraId="1E8FF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4BAEE35E">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0" w:type="auto"/>
          </w:tcPr>
          <w:p w14:paraId="7B5489FC">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名称</w:t>
            </w:r>
          </w:p>
        </w:tc>
        <w:tc>
          <w:tcPr>
            <w:tcW w:w="0" w:type="auto"/>
          </w:tcPr>
          <w:p w14:paraId="3073349A">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特征描述</w:t>
            </w:r>
          </w:p>
        </w:tc>
        <w:tc>
          <w:tcPr>
            <w:tcW w:w="0" w:type="auto"/>
          </w:tcPr>
          <w:p w14:paraId="05A03DF9">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0" w:type="auto"/>
          </w:tcPr>
          <w:p w14:paraId="5CC16509">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r>
      <w:tr w14:paraId="3499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16D6D6DC">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0" w:type="auto"/>
          </w:tcPr>
          <w:p w14:paraId="3A6C90DB">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链路租赁费</w:t>
            </w:r>
          </w:p>
        </w:tc>
        <w:tc>
          <w:tcPr>
            <w:tcW w:w="0" w:type="auto"/>
          </w:tcPr>
          <w:p w14:paraId="15DF047A">
            <w:pPr>
              <w:widowControl w:val="0"/>
              <w:numPr>
                <w:ilvl w:val="-1"/>
                <w:numId w:val="0"/>
              </w:num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为926条前端接入链路提供20M传输速率</w:t>
            </w:r>
          </w:p>
          <w:p w14:paraId="467E59D3">
            <w:pPr>
              <w:widowControl w:val="0"/>
              <w:numPr>
                <w:ilvl w:val="-1"/>
                <w:numId w:val="0"/>
              </w:num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网络租赁及维护</w:t>
            </w:r>
          </w:p>
          <w:p w14:paraId="7392040D">
            <w:pPr>
              <w:widowControl w:val="0"/>
              <w:numPr>
                <w:ilvl w:val="-1"/>
                <w:numId w:val="0"/>
              </w:numPr>
              <w:rPr>
                <w:rFonts w:hint="eastAsia" w:ascii="宋体" w:hAnsi="宋体" w:eastAsia="宋体" w:cs="宋体"/>
                <w:sz w:val="24"/>
                <w:szCs w:val="24"/>
                <w:lang w:eastAsia="zh-CN"/>
              </w:rPr>
            </w:pPr>
            <w:r>
              <w:rPr>
                <w:rFonts w:hint="eastAsia" w:ascii="宋体" w:hAnsi="宋体" w:eastAsia="宋体" w:cs="宋体"/>
                <w:sz w:val="24"/>
                <w:szCs w:val="24"/>
                <w:lang w:eastAsia="zh-CN"/>
              </w:rPr>
              <w:t>光纤链路要求 ：</w:t>
            </w:r>
          </w:p>
          <w:p w14:paraId="0D612B83">
            <w:pPr>
              <w:widowControl w:val="0"/>
              <w:numPr>
                <w:ilvl w:val="-1"/>
                <w:numId w:val="0"/>
              </w:numPr>
              <w:rPr>
                <w:rFonts w:hint="eastAsia" w:ascii="宋体" w:hAnsi="宋体" w:eastAsia="宋体" w:cs="宋体"/>
                <w:sz w:val="24"/>
                <w:szCs w:val="24"/>
                <w:lang w:eastAsia="zh-CN"/>
              </w:rPr>
            </w:pPr>
            <w:r>
              <w:rPr>
                <w:rFonts w:hint="eastAsia" w:ascii="宋体" w:hAnsi="宋体" w:eastAsia="宋体" w:cs="宋体"/>
                <w:sz w:val="24"/>
                <w:szCs w:val="24"/>
                <w:lang w:eastAsia="zh-CN"/>
              </w:rPr>
              <w:t>(1)其中以太网电路的性能指标为传输比特差错率&lt;10(7)次方，端到端的电路时延小于10+0.01*G毫秒(G为传输距离，单位为km)主干电路可用率可以达到99.999%，电路主备用电路切换时间&lt;50ms。长途网络延时≤30 ms，本地网络延时≤10ms，点对点链路之间物理隔离。</w:t>
            </w:r>
          </w:p>
          <w:p w14:paraId="1E473F45">
            <w:pPr>
              <w:widowControl w:val="0"/>
              <w:numPr>
                <w:ilvl w:val="-1"/>
                <w:numId w:val="0"/>
              </w:numPr>
              <w:rPr>
                <w:rFonts w:hint="eastAsia" w:ascii="宋体" w:hAnsi="宋体" w:eastAsia="宋体" w:cs="宋体"/>
                <w:sz w:val="24"/>
                <w:szCs w:val="24"/>
                <w:lang w:eastAsia="zh-CN"/>
              </w:rPr>
            </w:pPr>
            <w:r>
              <w:rPr>
                <w:rFonts w:hint="eastAsia" w:ascii="宋体" w:hAnsi="宋体" w:eastAsia="宋体" w:cs="宋体"/>
                <w:sz w:val="24"/>
                <w:szCs w:val="24"/>
                <w:lang w:eastAsia="zh-CN"/>
              </w:rPr>
              <w:t>(2)线路必须实际开通，可实现数据传输。</w:t>
            </w:r>
          </w:p>
          <w:p w14:paraId="004220F8">
            <w:pPr>
              <w:widowControl w:val="0"/>
              <w:numPr>
                <w:ilvl w:val="-1"/>
                <w:numId w:val="0"/>
              </w:numPr>
              <w:rPr>
                <w:rFonts w:hint="eastAsia" w:ascii="宋体" w:hAnsi="宋体" w:eastAsia="宋体" w:cs="宋体"/>
                <w:sz w:val="24"/>
                <w:szCs w:val="24"/>
                <w:lang w:eastAsia="zh-CN"/>
              </w:rPr>
            </w:pPr>
            <w:r>
              <w:rPr>
                <w:rFonts w:hint="eastAsia" w:ascii="宋体" w:hAnsi="宋体" w:eastAsia="宋体" w:cs="宋体"/>
                <w:sz w:val="24"/>
                <w:szCs w:val="24"/>
                <w:lang w:eastAsia="zh-CN"/>
              </w:rPr>
              <w:t>(3)光纤链路带宽满足相对应点位的要求。</w:t>
            </w:r>
          </w:p>
          <w:p w14:paraId="3522CB6E">
            <w:pPr>
              <w:widowControl w:val="0"/>
              <w:numPr>
                <w:ilvl w:val="-1"/>
                <w:numId w:val="0"/>
              </w:numP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其他要求：提供7X24小时电话支持,现场响应、故障诊断及排除，最佳使用环境建议、备件提供等多种方式为用户提供全面服务、提供的服务具体标准应满足《电信服务规范》，保证使用通信业务安全畅通。</w:t>
            </w:r>
          </w:p>
        </w:tc>
        <w:tc>
          <w:tcPr>
            <w:tcW w:w="0" w:type="auto"/>
          </w:tcPr>
          <w:p w14:paraId="13B96611">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年/条</w:t>
            </w:r>
          </w:p>
        </w:tc>
        <w:tc>
          <w:tcPr>
            <w:tcW w:w="0" w:type="auto"/>
          </w:tcPr>
          <w:p w14:paraId="7BD02D30">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926</w:t>
            </w:r>
          </w:p>
        </w:tc>
      </w:tr>
      <w:tr w14:paraId="2077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78A8CB6E">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0" w:type="auto"/>
          </w:tcPr>
          <w:p w14:paraId="0EEFE829">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链路租赁费</w:t>
            </w:r>
          </w:p>
        </w:tc>
        <w:tc>
          <w:tcPr>
            <w:tcW w:w="0" w:type="auto"/>
          </w:tcPr>
          <w:p w14:paraId="670801BF">
            <w:pPr>
              <w:widowControl w:val="0"/>
              <w:numPr>
                <w:ilvl w:val="0"/>
                <w:numId w:val="2"/>
              </w:num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为18条派出所汇聚链路提供100M传输速率</w:t>
            </w:r>
          </w:p>
          <w:p w14:paraId="402345AC">
            <w:pPr>
              <w:widowControl w:val="0"/>
              <w:numPr>
                <w:ilvl w:val="0"/>
                <w:numId w:val="2"/>
              </w:numPr>
              <w:rPr>
                <w:rFonts w:hint="eastAsia" w:ascii="宋体" w:hAnsi="宋体" w:eastAsia="宋体" w:cs="宋体"/>
                <w:sz w:val="24"/>
                <w:szCs w:val="24"/>
                <w:lang w:eastAsia="zh-CN"/>
              </w:rPr>
            </w:pPr>
            <w:r>
              <w:rPr>
                <w:rFonts w:hint="eastAsia" w:ascii="宋体" w:hAnsi="宋体" w:eastAsia="宋体" w:cs="宋体"/>
                <w:sz w:val="24"/>
                <w:szCs w:val="24"/>
                <w:vertAlign w:val="baseline"/>
                <w:lang w:val="en-US" w:eastAsia="zh-CN"/>
              </w:rPr>
              <w:t>网络租赁及维护</w:t>
            </w:r>
          </w:p>
          <w:p w14:paraId="1FFB9291">
            <w:pPr>
              <w:widowControl w:val="0"/>
              <w:numPr>
                <w:ilvl w:val="0"/>
                <w:numId w:val="2"/>
              </w:numPr>
              <w:rPr>
                <w:rFonts w:hint="eastAsia" w:ascii="宋体" w:hAnsi="宋体" w:eastAsia="宋体" w:cs="宋体"/>
                <w:sz w:val="24"/>
                <w:szCs w:val="24"/>
                <w:lang w:eastAsia="zh-CN"/>
              </w:rPr>
            </w:pPr>
            <w:r>
              <w:rPr>
                <w:rFonts w:hint="eastAsia" w:ascii="宋体" w:hAnsi="宋体" w:eastAsia="宋体" w:cs="宋体"/>
                <w:sz w:val="24"/>
                <w:szCs w:val="24"/>
                <w:lang w:eastAsia="zh-CN"/>
              </w:rPr>
              <w:t>光纤链路要求 ：</w:t>
            </w:r>
          </w:p>
          <w:p w14:paraId="74E4B2F8">
            <w:pPr>
              <w:widowControl w:val="0"/>
              <w:numPr>
                <w:ilvl w:val="0"/>
                <w:numId w:val="2"/>
              </w:numPr>
              <w:rPr>
                <w:rFonts w:hint="eastAsia" w:ascii="宋体" w:hAnsi="宋体" w:eastAsia="宋体" w:cs="宋体"/>
                <w:sz w:val="24"/>
                <w:szCs w:val="24"/>
                <w:lang w:eastAsia="zh-CN"/>
              </w:rPr>
            </w:pPr>
            <w:r>
              <w:rPr>
                <w:rFonts w:hint="eastAsia" w:ascii="宋体" w:hAnsi="宋体" w:eastAsia="宋体" w:cs="宋体"/>
                <w:sz w:val="24"/>
                <w:szCs w:val="24"/>
                <w:lang w:eastAsia="zh-CN"/>
              </w:rPr>
              <w:t>(1)其中以太网电路的性能指标为传输比特差错率&lt;10(7)次方，端到端的电路时延小于10+0.01*G毫秒(G为传输距离，单位为km)主干电路可用率可以达到99.999%，电路主备用电路切换时间&lt;50ms。长途网络延时≤30 ms，本地网络延时≤10ms，点对点链路之间物理隔离。</w:t>
            </w:r>
          </w:p>
          <w:p w14:paraId="1051F26F">
            <w:pPr>
              <w:widowControl w:val="0"/>
              <w:numPr>
                <w:ilvl w:val="0"/>
                <w:numId w:val="2"/>
              </w:numPr>
              <w:rPr>
                <w:rFonts w:hint="eastAsia" w:ascii="宋体" w:hAnsi="宋体" w:eastAsia="宋体" w:cs="宋体"/>
                <w:sz w:val="24"/>
                <w:szCs w:val="24"/>
                <w:lang w:eastAsia="zh-CN"/>
              </w:rPr>
            </w:pPr>
            <w:r>
              <w:rPr>
                <w:rFonts w:hint="eastAsia" w:ascii="宋体" w:hAnsi="宋体" w:eastAsia="宋体" w:cs="宋体"/>
                <w:sz w:val="24"/>
                <w:szCs w:val="24"/>
                <w:lang w:eastAsia="zh-CN"/>
              </w:rPr>
              <w:t>(2)线路必须实际开通，可实现数据传输。</w:t>
            </w:r>
          </w:p>
          <w:p w14:paraId="4217D3CF">
            <w:pPr>
              <w:widowControl w:val="0"/>
              <w:numPr>
                <w:ilvl w:val="0"/>
                <w:numId w:val="2"/>
              </w:numPr>
              <w:rPr>
                <w:rFonts w:hint="eastAsia" w:ascii="宋体" w:hAnsi="宋体" w:eastAsia="宋体" w:cs="宋体"/>
                <w:sz w:val="24"/>
                <w:szCs w:val="24"/>
                <w:lang w:eastAsia="zh-CN"/>
              </w:rPr>
            </w:pPr>
            <w:r>
              <w:rPr>
                <w:rFonts w:hint="eastAsia" w:ascii="宋体" w:hAnsi="宋体" w:eastAsia="宋体" w:cs="宋体"/>
                <w:sz w:val="24"/>
                <w:szCs w:val="24"/>
                <w:lang w:eastAsia="zh-CN"/>
              </w:rPr>
              <w:t>(3)光纤链路带宽满足相对应点位的要求。</w:t>
            </w:r>
          </w:p>
          <w:p w14:paraId="24B85AA9">
            <w:pPr>
              <w:widowControl w:val="0"/>
              <w:numPr>
                <w:ilvl w:val="0"/>
                <w:numId w:val="2"/>
              </w:numP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eastAsia="zh-CN"/>
              </w:rPr>
              <w:t>其他要求：提供7X24小时电话支持,现场响应、故障诊断及排除，最佳使用环境建议、备件提供等多种方式为用户提供全面服务、提供的服务具体标准应满足《电信服务规范》，保证使用通信业务安全畅通。</w:t>
            </w:r>
          </w:p>
        </w:tc>
        <w:tc>
          <w:tcPr>
            <w:tcW w:w="0" w:type="auto"/>
          </w:tcPr>
          <w:p w14:paraId="02CC6039">
            <w:pPr>
              <w:widowControl w:val="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年/条</w:t>
            </w:r>
          </w:p>
        </w:tc>
        <w:tc>
          <w:tcPr>
            <w:tcW w:w="0" w:type="auto"/>
          </w:tcPr>
          <w:p w14:paraId="58503935">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w:t>
            </w:r>
          </w:p>
        </w:tc>
      </w:tr>
      <w:tr w14:paraId="08896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39821345">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0" w:type="auto"/>
          </w:tcPr>
          <w:p w14:paraId="6521E569">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链路租赁费</w:t>
            </w:r>
          </w:p>
        </w:tc>
        <w:tc>
          <w:tcPr>
            <w:tcW w:w="0" w:type="auto"/>
          </w:tcPr>
          <w:p w14:paraId="4C96746C">
            <w:pPr>
              <w:widowControl w:val="0"/>
              <w:numPr>
                <w:ilvl w:val="0"/>
                <w:numId w:val="3"/>
              </w:num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为朝阳公安分局至朝阳区政府提供100M传输速率</w:t>
            </w:r>
          </w:p>
          <w:p w14:paraId="33517242">
            <w:pPr>
              <w:widowControl w:val="0"/>
              <w:numPr>
                <w:ilvl w:val="0"/>
                <w:numId w:val="3"/>
              </w:numPr>
              <w:rPr>
                <w:rFonts w:hint="eastAsia" w:ascii="宋体" w:hAnsi="宋体" w:eastAsia="宋体" w:cs="宋体"/>
                <w:sz w:val="24"/>
                <w:szCs w:val="24"/>
                <w:lang w:eastAsia="zh-CN"/>
              </w:rPr>
            </w:pPr>
            <w:r>
              <w:rPr>
                <w:rFonts w:hint="eastAsia" w:ascii="宋体" w:hAnsi="宋体" w:eastAsia="宋体" w:cs="宋体"/>
                <w:sz w:val="24"/>
                <w:szCs w:val="24"/>
                <w:vertAlign w:val="baseline"/>
                <w:lang w:val="en-US" w:eastAsia="zh-CN"/>
              </w:rPr>
              <w:t>网络租赁及维护</w:t>
            </w:r>
          </w:p>
          <w:p w14:paraId="64C9731B">
            <w:pPr>
              <w:widowControl w:val="0"/>
              <w:numPr>
                <w:ilvl w:val="0"/>
                <w:numId w:val="3"/>
              </w:numPr>
              <w:rPr>
                <w:rFonts w:hint="eastAsia" w:ascii="宋体" w:hAnsi="宋体" w:eastAsia="宋体" w:cs="宋体"/>
                <w:sz w:val="24"/>
                <w:szCs w:val="24"/>
                <w:lang w:eastAsia="zh-CN"/>
              </w:rPr>
            </w:pPr>
            <w:r>
              <w:rPr>
                <w:rFonts w:hint="eastAsia" w:ascii="宋体" w:hAnsi="宋体" w:eastAsia="宋体" w:cs="宋体"/>
                <w:sz w:val="24"/>
                <w:szCs w:val="24"/>
                <w:lang w:eastAsia="zh-CN"/>
              </w:rPr>
              <w:t>光纤链路要求 ：</w:t>
            </w:r>
          </w:p>
          <w:p w14:paraId="5C4A24A1">
            <w:pPr>
              <w:widowControl w:val="0"/>
              <w:numPr>
                <w:ilvl w:val="-1"/>
                <w:numId w:val="0"/>
              </w:numPr>
              <w:rPr>
                <w:rFonts w:hint="eastAsia" w:ascii="宋体" w:hAnsi="宋体" w:eastAsia="宋体" w:cs="宋体"/>
                <w:sz w:val="24"/>
                <w:szCs w:val="24"/>
                <w:lang w:eastAsia="zh-CN"/>
              </w:rPr>
            </w:pPr>
            <w:r>
              <w:rPr>
                <w:rFonts w:hint="eastAsia" w:ascii="宋体" w:hAnsi="宋体" w:eastAsia="宋体" w:cs="宋体"/>
                <w:sz w:val="24"/>
                <w:szCs w:val="24"/>
                <w:lang w:eastAsia="zh-CN"/>
              </w:rPr>
              <w:t>(1)其中以太网电路的性能指标为传输比特差错率&lt;10(7)次方，端到端的电路时延小于10+0.01*G毫秒(G为传输距离，单位为km)主干电路可用率可以达到99.999%，电路主备用电路切换时间&lt;50ms。长途网络延时≤30 ms，本地网络延时≤10ms，点对点链路之间物理隔离。</w:t>
            </w:r>
          </w:p>
          <w:p w14:paraId="49C525B1">
            <w:pPr>
              <w:widowControl w:val="0"/>
              <w:numPr>
                <w:ilvl w:val="-1"/>
                <w:numId w:val="0"/>
              </w:numPr>
              <w:rPr>
                <w:rFonts w:hint="eastAsia" w:ascii="宋体" w:hAnsi="宋体" w:eastAsia="宋体" w:cs="宋体"/>
                <w:sz w:val="24"/>
                <w:szCs w:val="24"/>
                <w:lang w:eastAsia="zh-CN"/>
              </w:rPr>
            </w:pPr>
            <w:r>
              <w:rPr>
                <w:rFonts w:hint="eastAsia" w:ascii="宋体" w:hAnsi="宋体" w:eastAsia="宋体" w:cs="宋体"/>
                <w:sz w:val="24"/>
                <w:szCs w:val="24"/>
                <w:lang w:eastAsia="zh-CN"/>
              </w:rPr>
              <w:t>(2)线路必须实际开通，可实现数据传输。</w:t>
            </w:r>
          </w:p>
          <w:p w14:paraId="3E958EC6">
            <w:pPr>
              <w:widowControl w:val="0"/>
              <w:numPr>
                <w:ilvl w:val="-1"/>
                <w:numId w:val="0"/>
              </w:numPr>
              <w:rPr>
                <w:rFonts w:hint="eastAsia" w:ascii="宋体" w:hAnsi="宋体" w:eastAsia="宋体" w:cs="宋体"/>
                <w:sz w:val="24"/>
                <w:szCs w:val="24"/>
                <w:lang w:eastAsia="zh-CN"/>
              </w:rPr>
            </w:pPr>
            <w:r>
              <w:rPr>
                <w:rFonts w:hint="eastAsia" w:ascii="宋体" w:hAnsi="宋体" w:eastAsia="宋体" w:cs="宋体"/>
                <w:sz w:val="24"/>
                <w:szCs w:val="24"/>
                <w:lang w:eastAsia="zh-CN"/>
              </w:rPr>
              <w:t>(3)光纤链路带宽满足相对应点位的要求。</w:t>
            </w:r>
          </w:p>
          <w:p w14:paraId="2526F9B7">
            <w:pPr>
              <w:widowControl w:val="0"/>
              <w:numPr>
                <w:ilvl w:val="0"/>
                <w:numId w:val="3"/>
              </w:numP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eastAsia="zh-CN"/>
              </w:rPr>
              <w:t>其他要求：提供7X24小时电话支持,现场响应、故障诊断及排除，最佳使用环境建议、备件提供等多种方式为用户提供全面服务、提供的服务具体标准应满足《电信服务规范》，保证使用通信业务安全畅通。</w:t>
            </w:r>
          </w:p>
        </w:tc>
        <w:tc>
          <w:tcPr>
            <w:tcW w:w="0" w:type="auto"/>
          </w:tcPr>
          <w:p w14:paraId="23C6E2F6">
            <w:pPr>
              <w:widowControl w:val="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年/条</w:t>
            </w:r>
          </w:p>
        </w:tc>
        <w:tc>
          <w:tcPr>
            <w:tcW w:w="0" w:type="auto"/>
          </w:tcPr>
          <w:p w14:paraId="34C95F15">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r>
      <w:tr w14:paraId="53708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4F20D3EB">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0" w:type="auto"/>
          </w:tcPr>
          <w:p w14:paraId="624CC6E6">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链路租赁费</w:t>
            </w:r>
          </w:p>
        </w:tc>
        <w:tc>
          <w:tcPr>
            <w:tcW w:w="0" w:type="auto"/>
          </w:tcPr>
          <w:p w14:paraId="6A94860D">
            <w:pPr>
              <w:widowControl w:val="0"/>
              <w:numPr>
                <w:ilvl w:val="0"/>
                <w:numId w:val="4"/>
              </w:num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为1条分局汇聚核心链路提供1000M传输速率</w:t>
            </w:r>
          </w:p>
          <w:p w14:paraId="1D61C9D1">
            <w:pPr>
              <w:widowControl w:val="0"/>
              <w:numPr>
                <w:ilvl w:val="0"/>
                <w:numId w:val="4"/>
              </w:numPr>
              <w:rPr>
                <w:rFonts w:hint="eastAsia" w:ascii="宋体" w:hAnsi="宋体" w:eastAsia="宋体" w:cs="宋体"/>
                <w:sz w:val="24"/>
                <w:szCs w:val="24"/>
                <w:lang w:eastAsia="zh-CN"/>
              </w:rPr>
            </w:pPr>
            <w:r>
              <w:rPr>
                <w:rFonts w:hint="eastAsia" w:ascii="宋体" w:hAnsi="宋体" w:eastAsia="宋体" w:cs="宋体"/>
                <w:sz w:val="24"/>
                <w:szCs w:val="24"/>
                <w:vertAlign w:val="baseline"/>
                <w:lang w:val="en-US" w:eastAsia="zh-CN"/>
              </w:rPr>
              <w:t>网络租赁及维护</w:t>
            </w:r>
          </w:p>
          <w:p w14:paraId="6FD384D5">
            <w:pPr>
              <w:widowControl w:val="0"/>
              <w:numPr>
                <w:ilvl w:val="0"/>
                <w:numId w:val="4"/>
              </w:numPr>
              <w:rPr>
                <w:rFonts w:hint="eastAsia" w:ascii="宋体" w:hAnsi="宋体" w:eastAsia="宋体" w:cs="宋体"/>
                <w:sz w:val="24"/>
                <w:szCs w:val="24"/>
                <w:lang w:eastAsia="zh-CN"/>
              </w:rPr>
            </w:pPr>
            <w:r>
              <w:rPr>
                <w:rFonts w:hint="eastAsia" w:ascii="宋体" w:hAnsi="宋体" w:eastAsia="宋体" w:cs="宋体"/>
                <w:sz w:val="24"/>
                <w:szCs w:val="24"/>
                <w:lang w:eastAsia="zh-CN"/>
              </w:rPr>
              <w:t>光纤链路要求 ：</w:t>
            </w:r>
          </w:p>
          <w:p w14:paraId="669EE3FF">
            <w:pPr>
              <w:widowControl w:val="0"/>
              <w:numPr>
                <w:ilvl w:val="-1"/>
                <w:numId w:val="0"/>
              </w:numPr>
              <w:rPr>
                <w:rFonts w:hint="eastAsia" w:ascii="宋体" w:hAnsi="宋体" w:eastAsia="宋体" w:cs="宋体"/>
                <w:sz w:val="24"/>
                <w:szCs w:val="24"/>
                <w:lang w:eastAsia="zh-CN"/>
              </w:rPr>
            </w:pPr>
            <w:r>
              <w:rPr>
                <w:rFonts w:hint="eastAsia" w:ascii="宋体" w:hAnsi="宋体" w:eastAsia="宋体" w:cs="宋体"/>
                <w:sz w:val="24"/>
                <w:szCs w:val="24"/>
                <w:lang w:eastAsia="zh-CN"/>
              </w:rPr>
              <w:t>(1)其中以太网电路的性能指标为传输比特差错率&lt;10(7)次方，端到端的电路时延小于10+0.01*G毫秒(G为传输距离，单位为km)主干电路可用率可以达到99.999%，电路主备用电路切换时间&lt;50ms。长途网络延时≤30 ms，本地网络延时≤10ms，点对点链路之间物理隔离。</w:t>
            </w:r>
          </w:p>
          <w:p w14:paraId="3078740B">
            <w:pPr>
              <w:widowControl w:val="0"/>
              <w:numPr>
                <w:ilvl w:val="-1"/>
                <w:numId w:val="0"/>
              </w:numPr>
              <w:rPr>
                <w:rFonts w:hint="eastAsia" w:ascii="宋体" w:hAnsi="宋体" w:eastAsia="宋体" w:cs="宋体"/>
                <w:sz w:val="24"/>
                <w:szCs w:val="24"/>
                <w:lang w:eastAsia="zh-CN"/>
              </w:rPr>
            </w:pPr>
            <w:r>
              <w:rPr>
                <w:rFonts w:hint="eastAsia" w:ascii="宋体" w:hAnsi="宋体" w:eastAsia="宋体" w:cs="宋体"/>
                <w:sz w:val="24"/>
                <w:szCs w:val="24"/>
                <w:lang w:eastAsia="zh-CN"/>
              </w:rPr>
              <w:t>(2)线路必须实际开通，可实现数据传输。</w:t>
            </w:r>
          </w:p>
          <w:p w14:paraId="5791BBA2">
            <w:pPr>
              <w:widowControl w:val="0"/>
              <w:numPr>
                <w:ilvl w:val="-1"/>
                <w:numId w:val="0"/>
              </w:numPr>
              <w:rPr>
                <w:rFonts w:hint="eastAsia" w:ascii="宋体" w:hAnsi="宋体" w:eastAsia="宋体" w:cs="宋体"/>
                <w:sz w:val="24"/>
                <w:szCs w:val="24"/>
                <w:lang w:eastAsia="zh-CN"/>
              </w:rPr>
            </w:pPr>
            <w:r>
              <w:rPr>
                <w:rFonts w:hint="eastAsia" w:ascii="宋体" w:hAnsi="宋体" w:eastAsia="宋体" w:cs="宋体"/>
                <w:sz w:val="24"/>
                <w:szCs w:val="24"/>
                <w:lang w:eastAsia="zh-CN"/>
              </w:rPr>
              <w:t>(3)光纤链路带宽满足相对应点位的要求。</w:t>
            </w:r>
          </w:p>
          <w:p w14:paraId="47A74C45">
            <w:pPr>
              <w:widowControl w:val="0"/>
              <w:numPr>
                <w:ilvl w:val="0"/>
                <w:numId w:val="4"/>
              </w:numP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eastAsia="zh-CN"/>
              </w:rPr>
              <w:t>其他要求：提供7X24小时电话支持,现场响应、故障诊断及排除，最佳使用环境建议、备件提供等多种方式为用户提供全面服务、提供的服务具体标准应满足《电信服务规范》，保证使用通信业务安全畅通。</w:t>
            </w:r>
          </w:p>
        </w:tc>
        <w:tc>
          <w:tcPr>
            <w:tcW w:w="0" w:type="auto"/>
          </w:tcPr>
          <w:p w14:paraId="0324AFD3">
            <w:pPr>
              <w:widowControl w:val="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年/条</w:t>
            </w:r>
          </w:p>
        </w:tc>
        <w:tc>
          <w:tcPr>
            <w:tcW w:w="0" w:type="auto"/>
          </w:tcPr>
          <w:p w14:paraId="2BA7D458">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r>
    </w:tbl>
    <w:p w14:paraId="0118513A">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outlineLvl w:val="9"/>
        <w:rPr>
          <w:rFonts w:hint="default" w:ascii="宋体" w:hAnsi="宋体" w:eastAsia="宋体" w:cs="宋体"/>
          <w:color w:val="auto"/>
          <w:sz w:val="22"/>
          <w:szCs w:val="22"/>
          <w:lang w:val="en-US" w:eastAsia="zh-CN"/>
        </w:rPr>
      </w:pPr>
    </w:p>
    <w:p w14:paraId="7B5F7855">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outlineLvl w:val="9"/>
        <w:rPr>
          <w:rFonts w:hint="default" w:ascii="宋体" w:hAnsi="宋体" w:eastAsia="宋体" w:cs="宋体"/>
          <w:color w:val="auto"/>
          <w:sz w:val="22"/>
          <w:szCs w:val="22"/>
          <w:lang w:val="en-US" w:eastAsia="zh-CN"/>
        </w:rPr>
      </w:pPr>
    </w:p>
    <w:p w14:paraId="0A707873">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outlineLvl w:val="9"/>
        <w:rPr>
          <w:rFonts w:hint="default" w:ascii="宋体" w:hAnsi="宋体" w:eastAsia="宋体" w:cs="宋体"/>
          <w:color w:val="auto"/>
          <w:sz w:val="22"/>
          <w:szCs w:val="22"/>
          <w:lang w:val="en-US" w:eastAsia="zh-CN"/>
        </w:rPr>
      </w:pPr>
    </w:p>
    <w:p w14:paraId="059FF2B0">
      <w:pPr>
        <w:keepNext w:val="0"/>
        <w:keepLines w:val="0"/>
        <w:pageBreakBefore w:val="0"/>
        <w:widowControl/>
        <w:kinsoku w:val="0"/>
        <w:wordWrap/>
        <w:overflowPunct/>
        <w:topLinePunct w:val="0"/>
        <w:autoSpaceDE w:val="0"/>
        <w:autoSpaceDN w:val="0"/>
        <w:bidi w:val="0"/>
        <w:adjustRightInd w:val="0"/>
        <w:snapToGrid w:val="0"/>
        <w:spacing w:line="360" w:lineRule="auto"/>
        <w:ind w:firstLine="220" w:firstLineChars="100"/>
        <w:textAlignment w:val="baseline"/>
        <w:outlineLvl w:val="9"/>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br w:type="page"/>
      </w:r>
    </w:p>
    <w:p w14:paraId="6AB602C6">
      <w:pPr>
        <w:pStyle w:val="2"/>
        <w:keepNext/>
        <w:keepLines/>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color w:val="auto"/>
          <w:sz w:val="32"/>
          <w:szCs w:val="22"/>
        </w:rPr>
      </w:pPr>
      <w:bookmarkStart w:id="43" w:name="_Toc6096"/>
      <w:r>
        <w:rPr>
          <w:rFonts w:hint="eastAsia"/>
          <w:color w:val="auto"/>
          <w:sz w:val="32"/>
          <w:szCs w:val="22"/>
        </w:rPr>
        <w:t>第六章 投标文件构成及格式</w:t>
      </w:r>
      <w:bookmarkEnd w:id="43"/>
    </w:p>
    <w:p w14:paraId="1E74EEF8">
      <w:pPr>
        <w:pStyle w:val="5"/>
        <w:spacing w:line="318" w:lineRule="auto"/>
        <w:outlineLvl w:val="9"/>
        <w:rPr>
          <w:rFonts w:hint="eastAsia" w:ascii="宋体" w:hAnsi="宋体" w:eastAsia="宋体" w:cs="宋体"/>
          <w:color w:val="auto"/>
        </w:rPr>
      </w:pPr>
    </w:p>
    <w:p w14:paraId="1576F9D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采购人特别声明：</w:t>
      </w:r>
    </w:p>
    <w:p w14:paraId="5F5BA36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投标人应提交本“投标文件格式 ”所列举和要求的全部投标文件，并且所提交的投标</w:t>
      </w:r>
    </w:p>
    <w:p w14:paraId="06A8FC0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文件都是真实有效的，否则，将是投标人的风险。</w:t>
      </w:r>
    </w:p>
    <w:p w14:paraId="2773D748">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06DB07F9">
      <w:pPr>
        <w:pStyle w:val="11"/>
        <w:rPr>
          <w:rFonts w:hint="eastAsia" w:ascii="宋体" w:hAnsi="宋体" w:eastAsia="宋体" w:cs="宋体"/>
          <w:color w:val="auto"/>
          <w:kern w:val="44"/>
          <w:sz w:val="36"/>
          <w:highlight w:val="none"/>
          <w:lang w:val="zh-CN"/>
        </w:rPr>
      </w:pPr>
    </w:p>
    <w:p w14:paraId="4808F83E">
      <w:pPr>
        <w:pStyle w:val="11"/>
        <w:keepNext w:val="0"/>
        <w:keepLines w:val="0"/>
        <w:pageBreakBefore w:val="0"/>
        <w:widowControl w:val="0"/>
        <w:kinsoku/>
        <w:wordWrap/>
        <w:overflowPunct/>
        <w:topLinePunct w:val="0"/>
        <w:autoSpaceDE/>
        <w:autoSpaceDN/>
        <w:bidi w:val="0"/>
        <w:adjustRightInd w:val="0"/>
        <w:snapToGrid/>
        <w:textAlignment w:val="baseline"/>
        <w:outlineLvl w:val="9"/>
        <w:rPr>
          <w:rFonts w:hint="eastAsia" w:ascii="宋体" w:hAnsi="宋体" w:eastAsia="宋体" w:cs="宋体"/>
          <w:color w:val="auto"/>
          <w:sz w:val="28"/>
          <w:szCs w:val="28"/>
          <w:highlight w:val="none"/>
          <w:u w:val="single"/>
        </w:rPr>
      </w:pPr>
    </w:p>
    <w:p w14:paraId="567728B6">
      <w:pPr>
        <w:pStyle w:val="11"/>
        <w:keepNext w:val="0"/>
        <w:keepLines w:val="0"/>
        <w:pageBreakBefore w:val="0"/>
        <w:widowControl w:val="0"/>
        <w:kinsoku/>
        <w:wordWrap/>
        <w:overflowPunct/>
        <w:topLinePunct w:val="0"/>
        <w:autoSpaceDE/>
        <w:autoSpaceDN/>
        <w:bidi w:val="0"/>
        <w:adjustRightInd w:val="0"/>
        <w:snapToGrid/>
        <w:textAlignment w:val="baseline"/>
        <w:outlineLvl w:val="9"/>
        <w:rPr>
          <w:rFonts w:hint="eastAsia" w:ascii="宋体" w:hAnsi="宋体" w:eastAsia="宋体" w:cs="宋体"/>
          <w:color w:val="auto"/>
          <w:kern w:val="44"/>
          <w:sz w:val="36"/>
          <w:highlight w:val="none"/>
          <w:lang w:val="zh-CN"/>
        </w:rPr>
      </w:pPr>
      <w:r>
        <w:rPr>
          <w:rFonts w:hint="eastAsia" w:ascii="宋体" w:hAnsi="宋体" w:eastAsia="宋体" w:cs="宋体"/>
          <w:color w:val="auto"/>
          <w:sz w:val="28"/>
          <w:szCs w:val="28"/>
          <w:highlight w:val="none"/>
          <w:u w:val="single"/>
        </w:rPr>
        <w:t xml:space="preserve">                                </w:t>
      </w:r>
      <w:bookmarkStart w:id="44" w:name="_Toc6030"/>
      <w:r>
        <w:rPr>
          <w:rFonts w:hint="eastAsia" w:ascii="宋体" w:hAnsi="宋体" w:eastAsia="宋体" w:cs="宋体"/>
          <w:color w:val="auto"/>
          <w:sz w:val="28"/>
          <w:szCs w:val="28"/>
          <w:highlight w:val="none"/>
        </w:rPr>
        <w:t>（项目名称）</w:t>
      </w:r>
      <w:bookmarkEnd w:id="44"/>
    </w:p>
    <w:p w14:paraId="3AECD95E">
      <w:pPr>
        <w:spacing w:line="360" w:lineRule="auto"/>
        <w:jc w:val="center"/>
        <w:rPr>
          <w:rFonts w:hint="eastAsia" w:ascii="宋体" w:hAnsi="宋体" w:eastAsia="宋体" w:cs="宋体"/>
          <w:color w:val="auto"/>
          <w:sz w:val="28"/>
          <w:szCs w:val="28"/>
          <w:highlight w:val="none"/>
        </w:rPr>
      </w:pPr>
    </w:p>
    <w:p w14:paraId="6538AD91">
      <w:pPr>
        <w:spacing w:line="360" w:lineRule="auto"/>
        <w:jc w:val="center"/>
        <w:rPr>
          <w:rFonts w:hint="eastAsia" w:ascii="宋体" w:hAnsi="宋体" w:eastAsia="宋体" w:cs="宋体"/>
          <w:color w:val="auto"/>
          <w:sz w:val="28"/>
          <w:szCs w:val="28"/>
          <w:highlight w:val="none"/>
        </w:rPr>
      </w:pPr>
    </w:p>
    <w:p w14:paraId="13E089F8">
      <w:pPr>
        <w:spacing w:line="360" w:lineRule="auto"/>
        <w:jc w:val="center"/>
        <w:rPr>
          <w:rFonts w:hint="eastAsia" w:ascii="宋体" w:hAnsi="宋体" w:eastAsia="宋体" w:cs="宋体"/>
          <w:color w:val="auto"/>
          <w:sz w:val="28"/>
          <w:szCs w:val="28"/>
          <w:highlight w:val="none"/>
        </w:rPr>
      </w:pPr>
    </w:p>
    <w:p w14:paraId="151BA6D3">
      <w:pPr>
        <w:spacing w:line="360" w:lineRule="auto"/>
        <w:jc w:val="center"/>
        <w:rPr>
          <w:rFonts w:hint="eastAsia" w:ascii="宋体" w:hAnsi="宋体" w:eastAsia="宋体" w:cs="宋体"/>
          <w:color w:val="auto"/>
          <w:sz w:val="28"/>
          <w:szCs w:val="28"/>
          <w:highlight w:val="none"/>
        </w:rPr>
      </w:pPr>
    </w:p>
    <w:p w14:paraId="1DC71C6F">
      <w:pPr>
        <w:spacing w:line="360" w:lineRule="auto"/>
        <w:jc w:val="center"/>
        <w:rPr>
          <w:rFonts w:hint="eastAsia" w:ascii="宋体" w:hAnsi="宋体" w:eastAsia="宋体" w:cs="宋体"/>
          <w:color w:val="auto"/>
          <w:sz w:val="28"/>
          <w:szCs w:val="28"/>
          <w:highlight w:val="none"/>
        </w:rPr>
      </w:pPr>
    </w:p>
    <w:p w14:paraId="4CB66387">
      <w:pPr>
        <w:spacing w:line="360" w:lineRule="auto"/>
        <w:jc w:val="center"/>
        <w:rPr>
          <w:rFonts w:hint="eastAsia" w:ascii="宋体" w:hAnsi="宋体" w:eastAsia="宋体" w:cs="宋体"/>
          <w:color w:val="auto"/>
          <w:sz w:val="72"/>
          <w:szCs w:val="72"/>
          <w:highlight w:val="none"/>
          <w:lang w:eastAsia="zh-CN"/>
        </w:rPr>
      </w:pPr>
      <w:r>
        <w:rPr>
          <w:rFonts w:hint="eastAsia" w:ascii="宋体" w:hAnsi="宋体" w:eastAsia="宋体" w:cs="宋体"/>
          <w:color w:val="auto"/>
          <w:sz w:val="72"/>
          <w:szCs w:val="72"/>
          <w:highlight w:val="none"/>
          <w:lang w:eastAsia="zh-CN"/>
        </w:rPr>
        <w:t>投</w:t>
      </w:r>
      <w:r>
        <w:rPr>
          <w:rFonts w:hint="eastAsia" w:ascii="宋体" w:hAnsi="宋体" w:eastAsia="宋体" w:cs="宋体"/>
          <w:color w:val="auto"/>
          <w:sz w:val="72"/>
          <w:szCs w:val="72"/>
          <w:highlight w:val="none"/>
          <w:lang w:val="en-US" w:eastAsia="zh-CN"/>
        </w:rPr>
        <w:t xml:space="preserve"> </w:t>
      </w:r>
      <w:r>
        <w:rPr>
          <w:rFonts w:hint="eastAsia" w:ascii="宋体" w:hAnsi="宋体" w:eastAsia="宋体" w:cs="宋体"/>
          <w:color w:val="auto"/>
          <w:sz w:val="72"/>
          <w:szCs w:val="72"/>
          <w:highlight w:val="none"/>
          <w:lang w:eastAsia="zh-CN"/>
        </w:rPr>
        <w:t>标</w:t>
      </w:r>
      <w:r>
        <w:rPr>
          <w:rFonts w:hint="eastAsia" w:ascii="宋体" w:hAnsi="宋体" w:eastAsia="宋体" w:cs="宋体"/>
          <w:color w:val="auto"/>
          <w:sz w:val="72"/>
          <w:szCs w:val="72"/>
          <w:highlight w:val="none"/>
          <w:lang w:val="en-US" w:eastAsia="zh-CN"/>
        </w:rPr>
        <w:t xml:space="preserve"> </w:t>
      </w:r>
      <w:r>
        <w:rPr>
          <w:rFonts w:hint="eastAsia" w:ascii="宋体" w:hAnsi="宋体" w:eastAsia="宋体" w:cs="宋体"/>
          <w:color w:val="auto"/>
          <w:sz w:val="72"/>
          <w:szCs w:val="72"/>
          <w:highlight w:val="none"/>
          <w:lang w:eastAsia="zh-CN"/>
        </w:rPr>
        <w:t>文</w:t>
      </w:r>
      <w:r>
        <w:rPr>
          <w:rFonts w:hint="eastAsia" w:ascii="宋体" w:hAnsi="宋体" w:eastAsia="宋体" w:cs="宋体"/>
          <w:color w:val="auto"/>
          <w:sz w:val="72"/>
          <w:szCs w:val="72"/>
          <w:highlight w:val="none"/>
          <w:lang w:val="en-US" w:eastAsia="zh-CN"/>
        </w:rPr>
        <w:t xml:space="preserve"> </w:t>
      </w:r>
      <w:r>
        <w:rPr>
          <w:rFonts w:hint="eastAsia" w:ascii="宋体" w:hAnsi="宋体" w:eastAsia="宋体" w:cs="宋体"/>
          <w:color w:val="auto"/>
          <w:sz w:val="72"/>
          <w:szCs w:val="72"/>
          <w:highlight w:val="none"/>
          <w:lang w:eastAsia="zh-CN"/>
        </w:rPr>
        <w:t>件</w:t>
      </w:r>
    </w:p>
    <w:p w14:paraId="42D2B578">
      <w:pPr>
        <w:spacing w:line="360"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项目编号：</w:t>
      </w:r>
    </w:p>
    <w:p w14:paraId="10F49EF3">
      <w:pPr>
        <w:spacing w:line="480" w:lineRule="auto"/>
        <w:ind w:firstLine="3360" w:firstLineChars="1200"/>
        <w:rPr>
          <w:rFonts w:hint="eastAsia" w:ascii="宋体" w:hAnsi="宋体" w:eastAsia="宋体" w:cs="宋体"/>
          <w:color w:val="auto"/>
          <w:sz w:val="28"/>
          <w:szCs w:val="28"/>
          <w:highlight w:val="none"/>
          <w:u w:val="single"/>
        </w:rPr>
      </w:pPr>
    </w:p>
    <w:p w14:paraId="5EBC297C">
      <w:pPr>
        <w:spacing w:line="360" w:lineRule="auto"/>
        <w:jc w:val="center"/>
        <w:rPr>
          <w:rFonts w:hint="eastAsia" w:ascii="宋体" w:hAnsi="宋体" w:eastAsia="宋体" w:cs="宋体"/>
          <w:color w:val="auto"/>
          <w:sz w:val="28"/>
          <w:szCs w:val="28"/>
          <w:highlight w:val="none"/>
        </w:rPr>
      </w:pPr>
    </w:p>
    <w:p w14:paraId="49193D11">
      <w:pPr>
        <w:spacing w:line="360" w:lineRule="auto"/>
        <w:ind w:firstLine="1260" w:firstLineChars="450"/>
        <w:rPr>
          <w:rFonts w:hint="eastAsia" w:ascii="宋体" w:hAnsi="宋体" w:eastAsia="宋体" w:cs="宋体"/>
          <w:color w:val="auto"/>
          <w:sz w:val="28"/>
          <w:szCs w:val="28"/>
          <w:highlight w:val="none"/>
        </w:rPr>
      </w:pPr>
    </w:p>
    <w:p w14:paraId="37C1A74D">
      <w:pPr>
        <w:spacing w:line="360" w:lineRule="auto"/>
        <w:ind w:firstLine="1260" w:firstLineChars="450"/>
        <w:rPr>
          <w:rFonts w:hint="eastAsia" w:ascii="宋体" w:hAnsi="宋体" w:eastAsia="宋体" w:cs="宋体"/>
          <w:color w:val="auto"/>
          <w:sz w:val="28"/>
          <w:szCs w:val="28"/>
          <w:highlight w:val="none"/>
        </w:rPr>
      </w:pPr>
    </w:p>
    <w:p w14:paraId="6C01BD2F">
      <w:pPr>
        <w:spacing w:line="360" w:lineRule="auto"/>
        <w:ind w:firstLine="1260" w:firstLineChars="450"/>
        <w:rPr>
          <w:rFonts w:hint="eastAsia" w:ascii="宋体" w:hAnsi="宋体" w:eastAsia="宋体" w:cs="宋体"/>
          <w:color w:val="auto"/>
          <w:sz w:val="28"/>
          <w:szCs w:val="28"/>
          <w:highlight w:val="none"/>
        </w:rPr>
      </w:pPr>
    </w:p>
    <w:p w14:paraId="27677149">
      <w:pPr>
        <w:spacing w:line="360" w:lineRule="auto"/>
        <w:ind w:firstLine="1260" w:firstLineChars="450"/>
        <w:rPr>
          <w:rFonts w:hint="eastAsia" w:ascii="宋体" w:hAnsi="宋体" w:eastAsia="宋体" w:cs="宋体"/>
          <w:color w:val="auto"/>
          <w:sz w:val="28"/>
          <w:szCs w:val="28"/>
          <w:highlight w:val="none"/>
        </w:rPr>
      </w:pPr>
    </w:p>
    <w:p w14:paraId="5CC890D4">
      <w:pPr>
        <w:spacing w:line="360" w:lineRule="auto"/>
        <w:ind w:firstLine="1260" w:firstLineChars="45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14:paraId="74DD5ED3">
      <w:pPr>
        <w:spacing w:line="360" w:lineRule="auto"/>
        <w:ind w:firstLine="1260" w:firstLineChars="4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w:t>
      </w:r>
    </w:p>
    <w:p w14:paraId="6A1CF03E">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52FBE0F5">
      <w:pP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50EF2B08">
      <w:pPr>
        <w:spacing w:before="182" w:line="220" w:lineRule="auto"/>
        <w:ind w:left="121"/>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格式一：</w:t>
      </w:r>
    </w:p>
    <w:p w14:paraId="46F8EF44">
      <w:pPr>
        <w:spacing w:before="182" w:line="220" w:lineRule="auto"/>
        <w:ind w:left="3688"/>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开标一览表（格式）</w:t>
      </w:r>
    </w:p>
    <w:p w14:paraId="23B3698C">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p w14:paraId="6C629164">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p w14:paraId="1C6EC123">
      <w:pPr>
        <w:keepNext w:val="0"/>
        <w:keepLines w:val="0"/>
        <w:pageBreakBefore w:val="0"/>
        <w:widowControl/>
        <w:kinsoku w:val="0"/>
        <w:wordWrap/>
        <w:overflowPunct/>
        <w:topLinePunct w:val="0"/>
        <w:autoSpaceDE w:val="0"/>
        <w:autoSpaceDN w:val="0"/>
        <w:bidi w:val="0"/>
        <w:adjustRightInd w:val="0"/>
        <w:snapToGrid w:val="0"/>
        <w:spacing w:line="288" w:lineRule="auto"/>
        <w:jc w:val="right"/>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货币单位:元</w:t>
      </w:r>
    </w:p>
    <w:tbl>
      <w:tblPr>
        <w:tblStyle w:val="13"/>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55"/>
        <w:gridCol w:w="2273"/>
        <w:gridCol w:w="2136"/>
        <w:gridCol w:w="1962"/>
        <w:gridCol w:w="1070"/>
      </w:tblGrid>
      <w:tr w14:paraId="256F3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91" w:hRule="atLeast"/>
          <w:jc w:val="center"/>
        </w:trPr>
        <w:tc>
          <w:tcPr>
            <w:tcW w:w="1081" w:type="pct"/>
            <w:noWrap w:val="0"/>
            <w:vAlign w:val="center"/>
          </w:tcPr>
          <w:p w14:paraId="6B9B9FFD">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ascii="宋体" w:hAnsi="宋体" w:eastAsia="宋体" w:cs="宋体"/>
                <w:b/>
                <w:bCs/>
                <w:snapToGrid w:val="0"/>
                <w:color w:val="auto"/>
                <w:kern w:val="0"/>
                <w:sz w:val="24"/>
                <w:szCs w:val="24"/>
                <w:lang w:eastAsia="zh-CN"/>
              </w:rPr>
            </w:pPr>
            <w:r>
              <w:rPr>
                <w:rFonts w:hint="eastAsia" w:ascii="宋体" w:hAnsi="宋体" w:eastAsia="宋体" w:cs="宋体"/>
                <w:b/>
                <w:bCs/>
                <w:snapToGrid w:val="0"/>
                <w:color w:val="auto"/>
                <w:kern w:val="0"/>
                <w:sz w:val="24"/>
                <w:szCs w:val="24"/>
                <w:lang w:eastAsia="zh-CN"/>
              </w:rPr>
              <w:t>投标人名称</w:t>
            </w:r>
          </w:p>
        </w:tc>
        <w:tc>
          <w:tcPr>
            <w:tcW w:w="1196" w:type="pct"/>
            <w:noWrap w:val="0"/>
            <w:vAlign w:val="center"/>
          </w:tcPr>
          <w:p w14:paraId="27059A26">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ascii="宋体" w:hAnsi="宋体" w:eastAsia="宋体" w:cs="宋体"/>
                <w:b/>
                <w:bCs/>
                <w:snapToGrid w:val="0"/>
                <w:color w:val="auto"/>
                <w:kern w:val="0"/>
                <w:sz w:val="24"/>
                <w:szCs w:val="24"/>
                <w:lang w:eastAsia="zh-CN"/>
              </w:rPr>
            </w:pPr>
            <w:r>
              <w:rPr>
                <w:rFonts w:hint="eastAsia" w:ascii="宋体" w:hAnsi="宋体" w:eastAsia="宋体" w:cs="宋体"/>
                <w:b/>
                <w:bCs/>
                <w:snapToGrid w:val="0"/>
                <w:color w:val="auto"/>
                <w:kern w:val="0"/>
                <w:sz w:val="24"/>
                <w:szCs w:val="24"/>
                <w:lang w:eastAsia="zh-CN"/>
              </w:rPr>
              <w:t>投标报价（元）</w:t>
            </w:r>
          </w:p>
        </w:tc>
        <w:tc>
          <w:tcPr>
            <w:tcW w:w="1124" w:type="pct"/>
            <w:noWrap w:val="0"/>
            <w:vAlign w:val="center"/>
          </w:tcPr>
          <w:p w14:paraId="71DD2EEA">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ascii="宋体" w:hAnsi="宋体" w:eastAsia="宋体" w:cs="宋体"/>
                <w:b/>
                <w:bCs/>
                <w:snapToGrid w:val="0"/>
                <w:color w:val="auto"/>
                <w:kern w:val="0"/>
                <w:sz w:val="24"/>
                <w:szCs w:val="24"/>
                <w:lang w:eastAsia="zh-CN"/>
              </w:rPr>
            </w:pPr>
            <w:r>
              <w:rPr>
                <w:rFonts w:hint="eastAsia" w:ascii="宋体" w:hAnsi="宋体" w:eastAsia="宋体" w:cs="宋体"/>
                <w:b/>
                <w:bCs/>
                <w:snapToGrid w:val="0"/>
                <w:color w:val="auto"/>
                <w:kern w:val="0"/>
                <w:sz w:val="24"/>
                <w:szCs w:val="24"/>
                <w:lang w:eastAsia="zh-CN"/>
              </w:rPr>
              <w:t>合同履行期限</w:t>
            </w:r>
          </w:p>
        </w:tc>
        <w:tc>
          <w:tcPr>
            <w:tcW w:w="1032" w:type="pct"/>
            <w:noWrap w:val="0"/>
            <w:vAlign w:val="center"/>
          </w:tcPr>
          <w:p w14:paraId="664424F0">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ascii="宋体" w:hAnsi="宋体" w:eastAsia="宋体" w:cs="宋体"/>
                <w:b/>
                <w:bCs/>
                <w:snapToGrid w:val="0"/>
                <w:color w:val="auto"/>
                <w:kern w:val="0"/>
                <w:sz w:val="24"/>
                <w:szCs w:val="24"/>
                <w:lang w:eastAsia="zh-CN"/>
              </w:rPr>
            </w:pPr>
            <w:r>
              <w:rPr>
                <w:rFonts w:hint="eastAsia" w:ascii="宋体" w:hAnsi="宋体" w:eastAsia="宋体" w:cs="宋体"/>
                <w:b/>
                <w:bCs/>
                <w:snapToGrid w:val="0"/>
                <w:color w:val="auto"/>
                <w:kern w:val="0"/>
                <w:sz w:val="24"/>
                <w:szCs w:val="24"/>
              </w:rPr>
              <w:t>质量</w:t>
            </w:r>
            <w:r>
              <w:rPr>
                <w:rFonts w:hint="eastAsia" w:ascii="宋体" w:hAnsi="宋体" w:eastAsia="宋体" w:cs="宋体"/>
                <w:b/>
                <w:bCs/>
                <w:snapToGrid w:val="0"/>
                <w:color w:val="auto"/>
                <w:kern w:val="0"/>
                <w:sz w:val="24"/>
                <w:szCs w:val="24"/>
                <w:lang w:eastAsia="zh-CN"/>
              </w:rPr>
              <w:t>标准</w:t>
            </w:r>
          </w:p>
        </w:tc>
        <w:tc>
          <w:tcPr>
            <w:tcW w:w="563" w:type="pct"/>
            <w:noWrap w:val="0"/>
            <w:vAlign w:val="center"/>
          </w:tcPr>
          <w:p w14:paraId="4700ADEA">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rPr>
              <w:t>备注</w:t>
            </w:r>
          </w:p>
        </w:tc>
      </w:tr>
      <w:tr w14:paraId="7BB1E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4" w:hRule="atLeast"/>
          <w:jc w:val="center"/>
        </w:trPr>
        <w:tc>
          <w:tcPr>
            <w:tcW w:w="1081" w:type="pct"/>
            <w:noWrap w:val="0"/>
            <w:vAlign w:val="center"/>
          </w:tcPr>
          <w:p w14:paraId="2121ED18">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jc w:val="center"/>
              <w:textAlignment w:val="baseline"/>
              <w:rPr>
                <w:rFonts w:ascii="宋体" w:hAnsi="宋体" w:eastAsia="宋体" w:cs="宋体"/>
                <w:snapToGrid w:val="0"/>
                <w:color w:val="auto"/>
                <w:kern w:val="0"/>
                <w:sz w:val="21"/>
                <w:szCs w:val="21"/>
              </w:rPr>
            </w:pPr>
          </w:p>
        </w:tc>
        <w:tc>
          <w:tcPr>
            <w:tcW w:w="1196" w:type="pct"/>
            <w:noWrap w:val="0"/>
            <w:vAlign w:val="center"/>
          </w:tcPr>
          <w:p w14:paraId="4FFB2BE6">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jc w:val="center"/>
              <w:textAlignment w:val="baseline"/>
              <w:rPr>
                <w:rFonts w:ascii="宋体" w:hAnsi="宋体" w:eastAsia="宋体" w:cs="宋体"/>
                <w:snapToGrid w:val="0"/>
                <w:color w:val="auto"/>
                <w:kern w:val="0"/>
                <w:sz w:val="21"/>
                <w:szCs w:val="21"/>
              </w:rPr>
            </w:pPr>
          </w:p>
        </w:tc>
        <w:tc>
          <w:tcPr>
            <w:tcW w:w="1124" w:type="pct"/>
            <w:noWrap w:val="0"/>
            <w:vAlign w:val="center"/>
          </w:tcPr>
          <w:p w14:paraId="5AD4DA80">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jc w:val="center"/>
              <w:textAlignment w:val="baseline"/>
              <w:rPr>
                <w:rFonts w:ascii="宋体" w:hAnsi="宋体" w:eastAsia="宋体" w:cs="宋体"/>
                <w:snapToGrid w:val="0"/>
                <w:color w:val="auto"/>
                <w:kern w:val="0"/>
                <w:sz w:val="21"/>
                <w:szCs w:val="21"/>
              </w:rPr>
            </w:pPr>
          </w:p>
        </w:tc>
        <w:tc>
          <w:tcPr>
            <w:tcW w:w="1032" w:type="pct"/>
            <w:noWrap w:val="0"/>
            <w:vAlign w:val="center"/>
          </w:tcPr>
          <w:p w14:paraId="0C344CAC">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jc w:val="center"/>
              <w:textAlignment w:val="baseline"/>
              <w:rPr>
                <w:rFonts w:ascii="宋体" w:hAnsi="宋体" w:eastAsia="宋体" w:cs="宋体"/>
                <w:snapToGrid w:val="0"/>
                <w:color w:val="auto"/>
                <w:kern w:val="0"/>
                <w:sz w:val="21"/>
                <w:szCs w:val="21"/>
              </w:rPr>
            </w:pPr>
          </w:p>
        </w:tc>
        <w:tc>
          <w:tcPr>
            <w:tcW w:w="563" w:type="pct"/>
            <w:noWrap w:val="0"/>
            <w:vAlign w:val="center"/>
          </w:tcPr>
          <w:p w14:paraId="171FB089">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jc w:val="center"/>
              <w:textAlignment w:val="baseline"/>
              <w:rPr>
                <w:rFonts w:ascii="宋体" w:hAnsi="宋体" w:eastAsia="宋体" w:cs="宋体"/>
                <w:snapToGrid w:val="0"/>
                <w:color w:val="auto"/>
                <w:kern w:val="0"/>
                <w:sz w:val="21"/>
                <w:szCs w:val="21"/>
              </w:rPr>
            </w:pPr>
          </w:p>
        </w:tc>
      </w:tr>
    </w:tbl>
    <w:p w14:paraId="474EFF99">
      <w:pPr>
        <w:spacing w:before="78"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5"/>
          <w:sz w:val="24"/>
          <w:szCs w:val="24"/>
        </w:rPr>
        <w:t>说明：</w:t>
      </w:r>
    </w:p>
    <w:p w14:paraId="7309728E">
      <w:pPr>
        <w:keepNext w:val="0"/>
        <w:keepLines w:val="0"/>
        <w:pageBreakBefore w:val="0"/>
        <w:widowControl/>
        <w:kinsoku w:val="0"/>
        <w:wordWrap/>
        <w:overflowPunct/>
        <w:topLinePunct w:val="0"/>
        <w:autoSpaceDE w:val="0"/>
        <w:autoSpaceDN w:val="0"/>
        <w:bidi w:val="0"/>
        <w:adjustRightInd w:val="0"/>
        <w:snapToGrid w:val="0"/>
        <w:spacing w:before="183"/>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1.本“开标一览表”用于开标时唱标使用。</w:t>
      </w:r>
    </w:p>
    <w:p w14:paraId="1F621458">
      <w:pPr>
        <w:keepNext w:val="0"/>
        <w:keepLines w:val="0"/>
        <w:pageBreakBefore w:val="0"/>
        <w:widowControl/>
        <w:kinsoku w:val="0"/>
        <w:wordWrap/>
        <w:overflowPunct/>
        <w:topLinePunct w:val="0"/>
        <w:autoSpaceDE w:val="0"/>
        <w:autoSpaceDN w:val="0"/>
        <w:bidi w:val="0"/>
        <w:adjustRightInd w:val="0"/>
        <w:snapToGrid w:val="0"/>
        <w:spacing w:before="183"/>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2.此表中的各项内容应与投标文件的相应内容一致。</w:t>
      </w:r>
    </w:p>
    <w:p w14:paraId="661B1B9A">
      <w:pPr>
        <w:keepNext w:val="0"/>
        <w:keepLines w:val="0"/>
        <w:pageBreakBefore w:val="0"/>
        <w:widowControl/>
        <w:kinsoku w:val="0"/>
        <w:wordWrap/>
        <w:overflowPunct/>
        <w:topLinePunct w:val="0"/>
        <w:autoSpaceDE w:val="0"/>
        <w:autoSpaceDN w:val="0"/>
        <w:bidi w:val="0"/>
        <w:adjustRightInd w:val="0"/>
        <w:snapToGrid w:val="0"/>
        <w:spacing w:before="183"/>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3.只允许有一个报价，任何有选择性的报价或者有附加条件的报价采购人将不予接受。</w:t>
      </w:r>
    </w:p>
    <w:p w14:paraId="461380B3">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p>
    <w:p w14:paraId="42E9104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投标人名称（盖章）：</w:t>
      </w:r>
    </w:p>
    <w:p w14:paraId="64159FD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法定代表人（单位负责人）或授权代表（签字）：</w:t>
      </w:r>
    </w:p>
    <w:p w14:paraId="06AD2BC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时间：   年    月   日</w:t>
      </w:r>
    </w:p>
    <w:p w14:paraId="25CFAD41">
      <w:pPr>
        <w:keepNext w:val="0"/>
        <w:keepLines w:val="0"/>
        <w:pageBreakBefore w:val="0"/>
        <w:widowControl/>
        <w:kinsoku/>
        <w:wordWrap/>
        <w:overflowPunct/>
        <w:topLinePunct w:val="0"/>
        <w:autoSpaceDE/>
        <w:autoSpaceDN/>
        <w:bidi w:val="0"/>
        <w:adjustRightInd w:val="0"/>
        <w:snapToGrid w:val="0"/>
        <w:spacing w:after="0" w:afterLines="100"/>
        <w:jc w:val="center"/>
        <w:textAlignment w:val="baseline"/>
        <w:outlineLvl w:val="9"/>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0A8F1DED">
      <w:pPr>
        <w:spacing w:before="78"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格式二：</w:t>
      </w:r>
    </w:p>
    <w:p w14:paraId="410CC7A7">
      <w:pPr>
        <w:spacing w:before="182" w:line="220" w:lineRule="auto"/>
        <w:ind w:left="3809"/>
        <w:outlineLvl w:val="9"/>
        <w:rPr>
          <w:rFonts w:hint="eastAsia" w:ascii="宋体" w:hAnsi="宋体" w:eastAsia="宋体" w:cs="宋体"/>
          <w:color w:val="auto"/>
          <w:sz w:val="24"/>
          <w:szCs w:val="24"/>
        </w:rPr>
      </w:pPr>
      <w:bookmarkStart w:id="45" w:name="_Toc15346"/>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投标函（格式）</w:t>
      </w:r>
      <w:bookmarkEnd w:id="45"/>
    </w:p>
    <w:p w14:paraId="384E02B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致：吉林省吉诚工程咨询有限公司</w:t>
      </w:r>
    </w:p>
    <w:p w14:paraId="1597992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我方参加你方就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（项目名称，项目编号/包号）组织的招标活动，并对此项目进行投标。</w:t>
      </w:r>
    </w:p>
    <w:p w14:paraId="1C97477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我方已详细审查全部招标文件，自愿参与投标并承诺如下：</w:t>
      </w:r>
    </w:p>
    <w:p w14:paraId="3A13611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)按招标文件规定提供货物及服务的投标总价为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（大写）</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人民币</w:t>
      </w:r>
      <w:r>
        <w:rPr>
          <w:rFonts w:hint="eastAsia" w:ascii="宋体" w:hAnsi="宋体" w:eastAsia="宋体" w:cs="宋体"/>
          <w:color w:val="auto"/>
          <w:sz w:val="24"/>
          <w:szCs w:val="24"/>
          <w:lang w:eastAsia="zh-CN"/>
        </w:rPr>
        <w:t>，合同履行期限</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7C243AE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(2)我方保证根据招标文件规定履行合同责任和义务。</w:t>
      </w:r>
    </w:p>
    <w:p w14:paraId="4937DE7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(3)我方已详细审核了全部招标文件，包括招标文件的修改、补充文件（如果有的话）、参考资料及有关的附件，我们知道必须放弃提出含糊不清或误解的问题的权利。</w:t>
      </w:r>
    </w:p>
    <w:p w14:paraId="10A30B9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(4)我方同意在投标人须知规定的开标日期起遵循本投标书，并在投标人须知规定的投标有效期满之前均具有约束力，并有可能中标。</w:t>
      </w:r>
    </w:p>
    <w:p w14:paraId="6019D07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(5)我方如果在规定的投标有效期内撤回投标，则我们的投标保证金可被贵方没收。</w:t>
      </w:r>
    </w:p>
    <w:p w14:paraId="0D14182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(6)我方已提供的全部文件资料是真实、准确的，并对此承担一切法律后果。</w:t>
      </w:r>
    </w:p>
    <w:p w14:paraId="72C9CC7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(7)我方完全理解贵方不一定要接受最低报价的投标或收到的任何投标。</w:t>
      </w:r>
    </w:p>
    <w:p w14:paraId="12A8EE5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(8)本投标自开标之日起 90 天内有效。</w:t>
      </w:r>
    </w:p>
    <w:p w14:paraId="2B6DE96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与本投标有关的正式通信地址为：</w:t>
      </w:r>
    </w:p>
    <w:p w14:paraId="67DAB816">
      <w:pPr>
        <w:pStyle w:val="5"/>
        <w:spacing w:line="245" w:lineRule="auto"/>
        <w:outlineLvl w:val="9"/>
        <w:rPr>
          <w:rFonts w:hint="eastAsia" w:ascii="宋体" w:hAnsi="宋体" w:eastAsia="宋体" w:cs="宋体"/>
          <w:color w:val="auto"/>
        </w:rPr>
      </w:pPr>
    </w:p>
    <w:p w14:paraId="090E482E">
      <w:pPr>
        <w:pStyle w:val="5"/>
        <w:spacing w:line="246" w:lineRule="auto"/>
        <w:outlineLvl w:val="9"/>
        <w:rPr>
          <w:rFonts w:hint="eastAsia" w:ascii="宋体" w:hAnsi="宋体" w:eastAsia="宋体" w:cs="宋体"/>
          <w:color w:val="auto"/>
        </w:rPr>
      </w:pPr>
    </w:p>
    <w:p w14:paraId="7F908C45">
      <w:pPr>
        <w:spacing w:before="78" w:line="229" w:lineRule="auto"/>
        <w:outlineLvl w:val="9"/>
        <w:rPr>
          <w:rFonts w:hint="eastAsia" w:ascii="宋体" w:hAnsi="宋体" w:eastAsia="宋体" w:cs="宋体"/>
          <w:color w:val="auto"/>
          <w:sz w:val="24"/>
          <w:szCs w:val="24"/>
        </w:rPr>
      </w:pPr>
      <w:r>
        <w:rPr>
          <w:rFonts w:hint="eastAsia" w:ascii="宋体" w:hAnsi="宋体" w:eastAsia="宋体" w:cs="宋体"/>
          <w:color w:val="auto"/>
          <w:spacing w:val="-4"/>
          <w:sz w:val="24"/>
          <w:szCs w:val="24"/>
        </w:rPr>
        <w:t>地址：</w:t>
      </w:r>
    </w:p>
    <w:p w14:paraId="3D03104C">
      <w:pPr>
        <w:spacing w:before="170" w:line="219" w:lineRule="auto"/>
        <w:ind w:left="28"/>
        <w:outlineLvl w:val="9"/>
        <w:rPr>
          <w:rFonts w:hint="eastAsia" w:ascii="宋体" w:hAnsi="宋体" w:eastAsia="宋体" w:cs="宋体"/>
          <w:color w:val="auto"/>
          <w:sz w:val="24"/>
          <w:szCs w:val="24"/>
        </w:rPr>
      </w:pPr>
      <w:r>
        <w:rPr>
          <w:rFonts w:hint="eastAsia" w:ascii="宋体" w:hAnsi="宋体" w:eastAsia="宋体" w:cs="宋体"/>
          <w:color w:val="auto"/>
          <w:spacing w:val="-5"/>
          <w:sz w:val="24"/>
          <w:szCs w:val="24"/>
        </w:rPr>
        <w:t>电话、传真或电传：</w:t>
      </w:r>
    </w:p>
    <w:p w14:paraId="16C8166A">
      <w:pPr>
        <w:spacing w:before="181" w:line="219" w:lineRule="auto"/>
        <w:ind w:left="2"/>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投标人名称（盖章</w:t>
      </w:r>
      <w:r>
        <w:rPr>
          <w:rFonts w:hint="eastAsia" w:ascii="宋体" w:hAnsi="宋体" w:eastAsia="宋体" w:cs="宋体"/>
          <w:color w:val="auto"/>
          <w:spacing w:val="1"/>
          <w:sz w:val="24"/>
          <w:szCs w:val="24"/>
        </w:rPr>
        <w:t>）：</w:t>
      </w:r>
    </w:p>
    <w:p w14:paraId="21F9440F">
      <w:pPr>
        <w:spacing w:before="181" w:line="468" w:lineRule="exact"/>
        <w:outlineLvl w:val="9"/>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法定代表人（单位负责人）</w:t>
      </w:r>
    </w:p>
    <w:p w14:paraId="3E8E1741">
      <w:pPr>
        <w:spacing w:line="220" w:lineRule="auto"/>
        <w:ind w:left="2"/>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或授权代表（签字</w:t>
      </w:r>
      <w:r>
        <w:rPr>
          <w:rFonts w:hint="eastAsia" w:ascii="宋体" w:hAnsi="宋体" w:eastAsia="宋体" w:cs="宋体"/>
          <w:color w:val="auto"/>
          <w:spacing w:val="1"/>
          <w:sz w:val="24"/>
          <w:szCs w:val="24"/>
        </w:rPr>
        <w:t>）：</w:t>
      </w:r>
    </w:p>
    <w:p w14:paraId="538C204A">
      <w:pPr>
        <w:spacing w:before="182" w:line="220" w:lineRule="auto"/>
        <w:ind w:left="41"/>
        <w:outlineLvl w:val="9"/>
        <w:rPr>
          <w:rFonts w:hint="eastAsia" w:ascii="宋体" w:hAnsi="宋体" w:eastAsia="宋体" w:cs="宋体"/>
          <w:color w:val="auto"/>
          <w:sz w:val="24"/>
          <w:szCs w:val="24"/>
        </w:rPr>
      </w:pPr>
      <w:r>
        <w:rPr>
          <w:rFonts w:hint="eastAsia" w:ascii="宋体" w:hAnsi="宋体" w:eastAsia="宋体" w:cs="宋体"/>
          <w:color w:val="auto"/>
          <w:spacing w:val="-13"/>
          <w:sz w:val="24"/>
          <w:szCs w:val="24"/>
        </w:rPr>
        <w:t>日期：</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9"/>
          <w:sz w:val="24"/>
          <w:szCs w:val="24"/>
        </w:rPr>
        <w:t xml:space="preserve"> </w:t>
      </w:r>
      <w:r>
        <w:rPr>
          <w:rFonts w:hint="eastAsia" w:ascii="宋体" w:hAnsi="宋体" w:eastAsia="宋体" w:cs="宋体"/>
          <w:color w:val="auto"/>
          <w:spacing w:val="-13"/>
          <w:sz w:val="24"/>
          <w:szCs w:val="24"/>
        </w:rPr>
        <w:t>年</w:t>
      </w:r>
      <w:r>
        <w:rPr>
          <w:rFonts w:hint="eastAsia" w:ascii="宋体" w:hAnsi="宋体" w:eastAsia="宋体" w:cs="宋体"/>
          <w:color w:val="auto"/>
          <w:spacing w:val="30"/>
          <w:sz w:val="24"/>
          <w:szCs w:val="24"/>
          <w:u w:val="single" w:color="auto"/>
        </w:rPr>
        <w:t xml:space="preserve">    </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13"/>
          <w:sz w:val="24"/>
          <w:szCs w:val="24"/>
        </w:rPr>
        <w:t>月</w:t>
      </w:r>
      <w:r>
        <w:rPr>
          <w:rFonts w:hint="eastAsia" w:ascii="宋体" w:hAnsi="宋体" w:eastAsia="宋体" w:cs="宋体"/>
          <w:color w:val="auto"/>
          <w:spacing w:val="30"/>
          <w:sz w:val="24"/>
          <w:szCs w:val="24"/>
          <w:u w:val="single" w:color="auto"/>
        </w:rPr>
        <w:t xml:space="preserve">    </w:t>
      </w:r>
      <w:r>
        <w:rPr>
          <w:rFonts w:hint="eastAsia" w:ascii="宋体" w:hAnsi="宋体" w:eastAsia="宋体" w:cs="宋体"/>
          <w:color w:val="auto"/>
          <w:spacing w:val="-69"/>
          <w:sz w:val="24"/>
          <w:szCs w:val="24"/>
        </w:rPr>
        <w:t xml:space="preserve"> </w:t>
      </w:r>
      <w:r>
        <w:rPr>
          <w:rFonts w:hint="eastAsia" w:ascii="宋体" w:hAnsi="宋体" w:eastAsia="宋体" w:cs="宋体"/>
          <w:color w:val="auto"/>
          <w:spacing w:val="-13"/>
          <w:sz w:val="24"/>
          <w:szCs w:val="24"/>
        </w:rPr>
        <w:t>日</w:t>
      </w:r>
    </w:p>
    <w:p w14:paraId="1496421D">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05B00B68">
      <w:pPr>
        <w:spacing w:before="48"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格式三：</w:t>
      </w:r>
    </w:p>
    <w:p w14:paraId="1410FBC1">
      <w:pPr>
        <w:spacing w:before="181" w:line="219" w:lineRule="auto"/>
        <w:ind w:left="3550"/>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投标报价明细表（格式）</w:t>
      </w:r>
    </w:p>
    <w:p w14:paraId="581E93DA">
      <w:pPr>
        <w:pStyle w:val="5"/>
        <w:spacing w:line="282" w:lineRule="auto"/>
        <w:outlineLvl w:val="9"/>
        <w:rPr>
          <w:rFonts w:hint="eastAsia" w:ascii="宋体" w:hAnsi="宋体" w:eastAsia="宋体" w:cs="宋体"/>
          <w:color w:val="auto"/>
        </w:rPr>
      </w:pPr>
    </w:p>
    <w:p w14:paraId="776710BE">
      <w:pPr>
        <w:pageBreakBefore w:val="0"/>
        <w:kinsoku/>
        <w:wordWrap/>
        <w:overflowPunct/>
        <w:topLinePunct w:val="0"/>
        <w:autoSpaceDE/>
        <w:autoSpaceDN/>
        <w:bidi w:val="0"/>
        <w:adjustRightInd w:val="0"/>
        <w:textAlignment w:val="baseline"/>
        <w:outlineLvl w:val="9"/>
        <w:rPr>
          <w:rFonts w:hint="eastAsia" w:ascii="宋体" w:hAnsi="宋体" w:cs="宋体"/>
          <w:color w:val="auto"/>
          <w:sz w:val="24"/>
          <w:highlight w:val="none"/>
          <w:u w:val="single"/>
        </w:rPr>
      </w:pPr>
      <w:r>
        <w:rPr>
          <w:rFonts w:hint="eastAsia" w:ascii="宋体" w:hAnsi="宋体" w:cs="宋体"/>
          <w:color w:val="auto"/>
          <w:sz w:val="24"/>
          <w:highlight w:val="none"/>
        </w:rPr>
        <w:t xml:space="preserve">项目名称： </w:t>
      </w:r>
      <w:r>
        <w:rPr>
          <w:rFonts w:hint="eastAsia" w:ascii="宋体" w:hAnsi="宋体" w:cs="宋体"/>
          <w:color w:val="auto"/>
          <w:sz w:val="24"/>
          <w:highlight w:val="none"/>
          <w:u w:val="single"/>
        </w:rPr>
        <w:t xml:space="preserve">                       </w:t>
      </w:r>
    </w:p>
    <w:p w14:paraId="11FA47AE">
      <w:pPr>
        <w:pageBreakBefore w:val="0"/>
        <w:kinsoku/>
        <w:wordWrap/>
        <w:overflowPunct/>
        <w:topLinePunct w:val="0"/>
        <w:autoSpaceDE/>
        <w:autoSpaceDN/>
        <w:bidi w:val="0"/>
        <w:adjustRightInd w:val="0"/>
        <w:textAlignment w:val="baseline"/>
        <w:outlineLvl w:val="9"/>
        <w:rPr>
          <w:rFonts w:hint="eastAsia" w:ascii="宋体" w:hAnsi="宋体" w:cs="宋体"/>
          <w:color w:val="auto"/>
          <w:sz w:val="24"/>
          <w:highlight w:val="none"/>
        </w:rPr>
      </w:pPr>
      <w:r>
        <w:rPr>
          <w:rFonts w:hint="eastAsia" w:ascii="宋体" w:hAnsi="宋体" w:cs="宋体"/>
          <w:color w:val="auto"/>
          <w:sz w:val="24"/>
          <w:highlight w:val="none"/>
        </w:rPr>
        <w:t xml:space="preserve">项目编号：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766F758E">
      <w:pPr>
        <w:pageBreakBefore w:val="0"/>
        <w:kinsoku/>
        <w:wordWrap/>
        <w:overflowPunct/>
        <w:topLinePunct w:val="0"/>
        <w:autoSpaceDE/>
        <w:autoSpaceDN/>
        <w:bidi w:val="0"/>
        <w:adjustRightInd w:val="0"/>
        <w:jc w:val="right"/>
        <w:textAlignment w:val="baseline"/>
        <w:outlineLvl w:val="9"/>
        <w:rPr>
          <w:rFonts w:hint="eastAsia" w:ascii="宋体" w:hAnsi="宋体" w:eastAsia="宋体"/>
          <w:color w:val="auto"/>
          <w:szCs w:val="30"/>
          <w:highlight w:val="none"/>
        </w:rPr>
      </w:pPr>
      <w:r>
        <w:rPr>
          <w:rFonts w:hint="eastAsia" w:ascii="宋体" w:hAnsi="宋体" w:cs="宋体"/>
          <w:color w:val="auto"/>
          <w:sz w:val="24"/>
          <w:highlight w:val="none"/>
        </w:rPr>
        <w:t>单位：元（人民币）</w:t>
      </w:r>
    </w:p>
    <w:tbl>
      <w:tblPr>
        <w:tblStyle w:val="13"/>
        <w:tblW w:w="7959" w:type="dxa"/>
        <w:jc w:val="center"/>
        <w:tblLayout w:type="fixed"/>
        <w:tblCellMar>
          <w:top w:w="0" w:type="dxa"/>
          <w:left w:w="108" w:type="dxa"/>
          <w:bottom w:w="0" w:type="dxa"/>
          <w:right w:w="108" w:type="dxa"/>
        </w:tblCellMar>
      </w:tblPr>
      <w:tblGrid>
        <w:gridCol w:w="858"/>
        <w:gridCol w:w="940"/>
        <w:gridCol w:w="1287"/>
        <w:gridCol w:w="715"/>
        <w:gridCol w:w="723"/>
        <w:gridCol w:w="1423"/>
        <w:gridCol w:w="1400"/>
        <w:gridCol w:w="613"/>
      </w:tblGrid>
      <w:tr w14:paraId="63887657">
        <w:tblPrEx>
          <w:tblCellMar>
            <w:top w:w="0" w:type="dxa"/>
            <w:left w:w="108" w:type="dxa"/>
            <w:bottom w:w="0" w:type="dxa"/>
            <w:right w:w="108" w:type="dxa"/>
          </w:tblCellMar>
        </w:tblPrEx>
        <w:trPr>
          <w:trHeight w:val="570" w:hRule="atLeast"/>
          <w:jc w:val="center"/>
        </w:trPr>
        <w:tc>
          <w:tcPr>
            <w:tcW w:w="858" w:type="dxa"/>
            <w:tcBorders>
              <w:top w:val="single" w:color="auto" w:sz="4" w:space="0"/>
              <w:left w:val="single" w:color="auto" w:sz="4" w:space="0"/>
              <w:bottom w:val="single" w:color="auto" w:sz="4" w:space="0"/>
              <w:right w:val="single" w:color="auto" w:sz="4" w:space="0"/>
            </w:tcBorders>
            <w:noWrap w:val="0"/>
            <w:vAlign w:val="center"/>
          </w:tcPr>
          <w:p w14:paraId="135DEF87">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序号</w:t>
            </w:r>
          </w:p>
        </w:tc>
        <w:tc>
          <w:tcPr>
            <w:tcW w:w="940" w:type="dxa"/>
            <w:tcBorders>
              <w:top w:val="single" w:color="auto" w:sz="4" w:space="0"/>
              <w:left w:val="nil"/>
              <w:bottom w:val="single" w:color="auto" w:sz="4" w:space="0"/>
              <w:right w:val="single" w:color="auto" w:sz="4" w:space="0"/>
            </w:tcBorders>
            <w:noWrap w:val="0"/>
            <w:vAlign w:val="center"/>
          </w:tcPr>
          <w:p w14:paraId="4EECA6CB">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内容</w:t>
            </w:r>
          </w:p>
        </w:tc>
        <w:tc>
          <w:tcPr>
            <w:tcW w:w="1287" w:type="dxa"/>
            <w:tcBorders>
              <w:top w:val="single" w:color="auto" w:sz="4" w:space="0"/>
              <w:left w:val="nil"/>
              <w:bottom w:val="single" w:color="auto" w:sz="4" w:space="0"/>
              <w:right w:val="single" w:color="auto" w:sz="4" w:space="0"/>
            </w:tcBorders>
            <w:noWrap w:val="0"/>
            <w:vAlign w:val="center"/>
          </w:tcPr>
          <w:p w14:paraId="5D80ECDA">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lang w:val="en-US" w:eastAsia="zh-CN"/>
              </w:rPr>
              <w:t>特征描述</w:t>
            </w:r>
          </w:p>
        </w:tc>
        <w:tc>
          <w:tcPr>
            <w:tcW w:w="715" w:type="dxa"/>
            <w:tcBorders>
              <w:top w:val="single" w:color="auto" w:sz="4" w:space="0"/>
              <w:left w:val="nil"/>
              <w:bottom w:val="single" w:color="auto" w:sz="4" w:space="0"/>
              <w:right w:val="single" w:color="auto" w:sz="4" w:space="0"/>
            </w:tcBorders>
            <w:noWrap w:val="0"/>
            <w:vAlign w:val="center"/>
          </w:tcPr>
          <w:p w14:paraId="686C2D92">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单位</w:t>
            </w:r>
          </w:p>
        </w:tc>
        <w:tc>
          <w:tcPr>
            <w:tcW w:w="723" w:type="dxa"/>
            <w:tcBorders>
              <w:top w:val="single" w:color="auto" w:sz="4" w:space="0"/>
              <w:left w:val="nil"/>
              <w:bottom w:val="single" w:color="auto" w:sz="4" w:space="0"/>
              <w:right w:val="single" w:color="auto" w:sz="4" w:space="0"/>
            </w:tcBorders>
            <w:noWrap w:val="0"/>
            <w:vAlign w:val="center"/>
          </w:tcPr>
          <w:p w14:paraId="7D0074C0">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数量</w:t>
            </w:r>
          </w:p>
        </w:tc>
        <w:tc>
          <w:tcPr>
            <w:tcW w:w="1423" w:type="dxa"/>
            <w:tcBorders>
              <w:top w:val="single" w:color="auto" w:sz="4" w:space="0"/>
              <w:left w:val="nil"/>
              <w:bottom w:val="single" w:color="auto" w:sz="4" w:space="0"/>
              <w:right w:val="single" w:color="auto" w:sz="4" w:space="0"/>
            </w:tcBorders>
            <w:noWrap w:val="0"/>
            <w:vAlign w:val="center"/>
          </w:tcPr>
          <w:p w14:paraId="78E289AB">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单价（元）</w:t>
            </w:r>
          </w:p>
        </w:tc>
        <w:tc>
          <w:tcPr>
            <w:tcW w:w="1400" w:type="dxa"/>
            <w:tcBorders>
              <w:top w:val="single" w:color="auto" w:sz="4" w:space="0"/>
              <w:left w:val="nil"/>
              <w:bottom w:val="single" w:color="auto" w:sz="4" w:space="0"/>
              <w:right w:val="single" w:color="auto" w:sz="4" w:space="0"/>
            </w:tcBorders>
            <w:noWrap w:val="0"/>
            <w:vAlign w:val="center"/>
          </w:tcPr>
          <w:p w14:paraId="79B2598C">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合计（元）</w:t>
            </w:r>
          </w:p>
        </w:tc>
        <w:tc>
          <w:tcPr>
            <w:tcW w:w="613" w:type="dxa"/>
            <w:tcBorders>
              <w:top w:val="single" w:color="auto" w:sz="4" w:space="0"/>
              <w:left w:val="nil"/>
              <w:bottom w:val="single" w:color="auto" w:sz="4" w:space="0"/>
              <w:right w:val="single" w:color="auto" w:sz="4" w:space="0"/>
            </w:tcBorders>
            <w:noWrap w:val="0"/>
            <w:vAlign w:val="center"/>
          </w:tcPr>
          <w:p w14:paraId="1841B27B">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备注</w:t>
            </w:r>
          </w:p>
        </w:tc>
      </w:tr>
      <w:tr w14:paraId="336DCCAA">
        <w:tblPrEx>
          <w:tblCellMar>
            <w:top w:w="0" w:type="dxa"/>
            <w:left w:w="108" w:type="dxa"/>
            <w:bottom w:w="0" w:type="dxa"/>
            <w:right w:w="108" w:type="dxa"/>
          </w:tblCellMar>
        </w:tblPrEx>
        <w:trPr>
          <w:trHeight w:val="402" w:hRule="atLeast"/>
          <w:jc w:val="center"/>
        </w:trPr>
        <w:tc>
          <w:tcPr>
            <w:tcW w:w="858" w:type="dxa"/>
            <w:tcBorders>
              <w:top w:val="single" w:color="auto" w:sz="4" w:space="0"/>
              <w:left w:val="single" w:color="auto" w:sz="4" w:space="0"/>
              <w:bottom w:val="single" w:color="auto" w:sz="4" w:space="0"/>
              <w:right w:val="single" w:color="auto" w:sz="4" w:space="0"/>
            </w:tcBorders>
            <w:noWrap w:val="0"/>
            <w:vAlign w:val="center"/>
          </w:tcPr>
          <w:p w14:paraId="25768542">
            <w:pPr>
              <w:widowControl/>
              <w:jc w:val="center"/>
              <w:rPr>
                <w:rFonts w:ascii="宋体" w:hAnsi="宋体" w:eastAsia="宋体" w:cs="宋体"/>
                <w:b/>
                <w:bCs/>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68129D24">
            <w:pPr>
              <w:widowControl/>
              <w:jc w:val="center"/>
              <w:rPr>
                <w:rFonts w:ascii="宋体" w:hAnsi="宋体" w:eastAsia="宋体" w:cs="宋体"/>
                <w:b/>
                <w:bCs/>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4B1CC186">
            <w:pPr>
              <w:widowControl/>
              <w:jc w:val="center"/>
              <w:rPr>
                <w:rFonts w:ascii="宋体" w:hAnsi="宋体" w:eastAsia="宋体" w:cs="宋体"/>
                <w:b/>
                <w:bCs/>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16703406">
            <w:pPr>
              <w:widowControl/>
              <w:jc w:val="center"/>
              <w:rPr>
                <w:rFonts w:ascii="宋体" w:hAnsi="宋体" w:eastAsia="宋体" w:cs="宋体"/>
                <w:b/>
                <w:bCs/>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3FB9C373">
            <w:pPr>
              <w:widowControl/>
              <w:jc w:val="center"/>
              <w:rPr>
                <w:rFonts w:ascii="宋体" w:hAnsi="宋体" w:eastAsia="宋体" w:cs="宋体"/>
                <w:b/>
                <w:bCs/>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78C8108A">
            <w:pPr>
              <w:widowControl/>
              <w:jc w:val="center"/>
              <w:rPr>
                <w:rFonts w:ascii="宋体" w:hAnsi="宋体" w:eastAsia="宋体" w:cs="宋体"/>
                <w:b/>
                <w:bCs/>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18DF8D3A">
            <w:pPr>
              <w:widowControl/>
              <w:jc w:val="center"/>
              <w:rPr>
                <w:rFonts w:ascii="宋体" w:hAnsi="宋体" w:eastAsia="宋体" w:cs="宋体"/>
                <w:b/>
                <w:bCs/>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318AA701">
            <w:pPr>
              <w:widowControl/>
              <w:jc w:val="center"/>
              <w:rPr>
                <w:rFonts w:ascii="宋体" w:hAnsi="宋体" w:eastAsia="宋体" w:cs="宋体"/>
                <w:color w:val="auto"/>
                <w:kern w:val="0"/>
                <w:sz w:val="20"/>
                <w:szCs w:val="20"/>
              </w:rPr>
            </w:pPr>
          </w:p>
        </w:tc>
      </w:tr>
      <w:tr w14:paraId="33CBB5F9">
        <w:tblPrEx>
          <w:tblCellMar>
            <w:top w:w="0" w:type="dxa"/>
            <w:left w:w="108" w:type="dxa"/>
            <w:bottom w:w="0" w:type="dxa"/>
            <w:right w:w="108" w:type="dxa"/>
          </w:tblCellMar>
        </w:tblPrEx>
        <w:trPr>
          <w:trHeight w:val="402" w:hRule="atLeast"/>
          <w:jc w:val="center"/>
        </w:trPr>
        <w:tc>
          <w:tcPr>
            <w:tcW w:w="858" w:type="dxa"/>
            <w:tcBorders>
              <w:top w:val="single" w:color="auto" w:sz="4" w:space="0"/>
              <w:left w:val="single" w:color="auto" w:sz="4" w:space="0"/>
              <w:bottom w:val="single" w:color="auto" w:sz="4" w:space="0"/>
              <w:right w:val="single" w:color="auto" w:sz="4" w:space="0"/>
            </w:tcBorders>
            <w:noWrap w:val="0"/>
            <w:vAlign w:val="center"/>
          </w:tcPr>
          <w:p w14:paraId="0C369020">
            <w:pPr>
              <w:widowControl/>
              <w:jc w:val="center"/>
              <w:rPr>
                <w:rFonts w:ascii="宋体" w:hAnsi="宋体" w:eastAsia="宋体" w:cs="宋体"/>
                <w:b/>
                <w:bCs/>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639A3A86">
            <w:pPr>
              <w:widowControl/>
              <w:jc w:val="center"/>
              <w:rPr>
                <w:rFonts w:ascii="宋体" w:hAnsi="宋体" w:eastAsia="宋体" w:cs="宋体"/>
                <w:b/>
                <w:bCs/>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56DB9255">
            <w:pPr>
              <w:widowControl/>
              <w:jc w:val="center"/>
              <w:rPr>
                <w:rFonts w:ascii="宋体" w:hAnsi="宋体" w:eastAsia="宋体" w:cs="宋体"/>
                <w:b/>
                <w:bCs/>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264279E2">
            <w:pPr>
              <w:widowControl/>
              <w:jc w:val="center"/>
              <w:rPr>
                <w:rFonts w:ascii="宋体" w:hAnsi="宋体" w:eastAsia="宋体" w:cs="宋体"/>
                <w:b/>
                <w:bCs/>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15AEF13E">
            <w:pPr>
              <w:widowControl/>
              <w:jc w:val="center"/>
              <w:rPr>
                <w:rFonts w:ascii="宋体" w:hAnsi="宋体" w:eastAsia="宋体" w:cs="宋体"/>
                <w:b/>
                <w:bCs/>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1719AE78">
            <w:pPr>
              <w:widowControl/>
              <w:jc w:val="center"/>
              <w:rPr>
                <w:rFonts w:ascii="宋体" w:hAnsi="宋体" w:eastAsia="宋体" w:cs="宋体"/>
                <w:b/>
                <w:bCs/>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60B5E940">
            <w:pPr>
              <w:widowControl/>
              <w:jc w:val="center"/>
              <w:rPr>
                <w:rFonts w:ascii="宋体" w:hAnsi="宋体" w:eastAsia="宋体" w:cs="宋体"/>
                <w:b/>
                <w:bCs/>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4C2EFA4A">
            <w:pPr>
              <w:widowControl/>
              <w:jc w:val="center"/>
              <w:rPr>
                <w:rFonts w:ascii="宋体" w:hAnsi="宋体" w:eastAsia="宋体" w:cs="宋体"/>
                <w:color w:val="auto"/>
                <w:kern w:val="0"/>
                <w:sz w:val="20"/>
                <w:szCs w:val="20"/>
              </w:rPr>
            </w:pPr>
          </w:p>
        </w:tc>
      </w:tr>
      <w:tr w14:paraId="35373332">
        <w:tblPrEx>
          <w:tblCellMar>
            <w:top w:w="0" w:type="dxa"/>
            <w:left w:w="108" w:type="dxa"/>
            <w:bottom w:w="0" w:type="dxa"/>
            <w:right w:w="108" w:type="dxa"/>
          </w:tblCellMar>
        </w:tblPrEx>
        <w:trPr>
          <w:trHeight w:val="402" w:hRule="atLeast"/>
          <w:jc w:val="center"/>
        </w:trPr>
        <w:tc>
          <w:tcPr>
            <w:tcW w:w="858" w:type="dxa"/>
            <w:tcBorders>
              <w:top w:val="single" w:color="auto" w:sz="4" w:space="0"/>
              <w:left w:val="single" w:color="auto" w:sz="4" w:space="0"/>
              <w:bottom w:val="single" w:color="auto" w:sz="4" w:space="0"/>
              <w:right w:val="single" w:color="auto" w:sz="4" w:space="0"/>
            </w:tcBorders>
            <w:noWrap w:val="0"/>
            <w:vAlign w:val="center"/>
          </w:tcPr>
          <w:p w14:paraId="42ECD550">
            <w:pPr>
              <w:widowControl/>
              <w:jc w:val="center"/>
              <w:rPr>
                <w:rFonts w:ascii="宋体" w:hAnsi="宋体" w:eastAsia="宋体" w:cs="宋体"/>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29BE231D">
            <w:pPr>
              <w:widowControl/>
              <w:jc w:val="center"/>
              <w:rPr>
                <w:rFonts w:ascii="宋体" w:hAnsi="宋体" w:eastAsia="宋体" w:cs="宋体"/>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686E7AA3">
            <w:pPr>
              <w:widowControl/>
              <w:jc w:val="center"/>
              <w:rPr>
                <w:rFonts w:ascii="宋体" w:hAnsi="宋体" w:eastAsia="宋体" w:cs="宋体"/>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292C101F">
            <w:pPr>
              <w:widowControl/>
              <w:jc w:val="center"/>
              <w:rPr>
                <w:rFonts w:ascii="宋体" w:hAnsi="宋体" w:eastAsia="宋体" w:cs="宋体"/>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780EC300">
            <w:pPr>
              <w:widowControl/>
              <w:jc w:val="center"/>
              <w:rPr>
                <w:rFonts w:ascii="宋体" w:hAnsi="宋体" w:eastAsia="宋体" w:cs="宋体"/>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2AC33290">
            <w:pPr>
              <w:widowControl/>
              <w:jc w:val="center"/>
              <w:rPr>
                <w:rFonts w:ascii="宋体" w:hAnsi="宋体" w:eastAsia="宋体" w:cs="宋体"/>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7895AB9E">
            <w:pPr>
              <w:widowControl/>
              <w:jc w:val="center"/>
              <w:rPr>
                <w:rFonts w:ascii="宋体" w:hAnsi="宋体" w:eastAsia="宋体" w:cs="宋体"/>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06665D2E">
            <w:pPr>
              <w:widowControl/>
              <w:jc w:val="center"/>
              <w:rPr>
                <w:rFonts w:ascii="宋体" w:hAnsi="宋体" w:eastAsia="宋体" w:cs="宋体"/>
                <w:color w:val="auto"/>
                <w:kern w:val="0"/>
                <w:sz w:val="20"/>
                <w:szCs w:val="20"/>
              </w:rPr>
            </w:pPr>
          </w:p>
        </w:tc>
      </w:tr>
      <w:tr w14:paraId="13DAA216">
        <w:tblPrEx>
          <w:tblCellMar>
            <w:top w:w="0" w:type="dxa"/>
            <w:left w:w="108" w:type="dxa"/>
            <w:bottom w:w="0" w:type="dxa"/>
            <w:right w:w="108" w:type="dxa"/>
          </w:tblCellMar>
        </w:tblPrEx>
        <w:trPr>
          <w:trHeight w:val="402" w:hRule="atLeast"/>
          <w:jc w:val="center"/>
        </w:trPr>
        <w:tc>
          <w:tcPr>
            <w:tcW w:w="858" w:type="dxa"/>
            <w:tcBorders>
              <w:top w:val="single" w:color="auto" w:sz="4" w:space="0"/>
              <w:left w:val="single" w:color="auto" w:sz="4" w:space="0"/>
              <w:bottom w:val="single" w:color="auto" w:sz="4" w:space="0"/>
              <w:right w:val="single" w:color="auto" w:sz="4" w:space="0"/>
            </w:tcBorders>
            <w:noWrap w:val="0"/>
            <w:vAlign w:val="center"/>
          </w:tcPr>
          <w:p w14:paraId="24C1F732">
            <w:pPr>
              <w:widowControl/>
              <w:jc w:val="center"/>
              <w:rPr>
                <w:rFonts w:ascii="宋体" w:hAnsi="宋体" w:eastAsia="宋体" w:cs="宋体"/>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05B0B821">
            <w:pPr>
              <w:widowControl/>
              <w:jc w:val="center"/>
              <w:rPr>
                <w:rFonts w:ascii="宋体" w:hAnsi="宋体" w:eastAsia="宋体" w:cs="宋体"/>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2FAF1922">
            <w:pPr>
              <w:widowControl/>
              <w:jc w:val="center"/>
              <w:rPr>
                <w:rFonts w:ascii="宋体" w:hAnsi="宋体" w:eastAsia="宋体" w:cs="宋体"/>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3016B2A1">
            <w:pPr>
              <w:widowControl/>
              <w:jc w:val="center"/>
              <w:rPr>
                <w:rFonts w:ascii="宋体" w:hAnsi="宋体" w:eastAsia="宋体" w:cs="宋体"/>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73FA7AD4">
            <w:pPr>
              <w:widowControl/>
              <w:jc w:val="center"/>
              <w:rPr>
                <w:rFonts w:ascii="宋体" w:hAnsi="宋体" w:eastAsia="宋体" w:cs="宋体"/>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1534D53A">
            <w:pPr>
              <w:widowControl/>
              <w:jc w:val="center"/>
              <w:rPr>
                <w:rFonts w:ascii="宋体" w:hAnsi="宋体" w:eastAsia="宋体" w:cs="宋体"/>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12FDBCBE">
            <w:pPr>
              <w:widowControl/>
              <w:jc w:val="center"/>
              <w:rPr>
                <w:rFonts w:ascii="宋体" w:hAnsi="宋体" w:eastAsia="宋体" w:cs="宋体"/>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2EDE3A39">
            <w:pPr>
              <w:widowControl/>
              <w:jc w:val="center"/>
              <w:rPr>
                <w:rFonts w:ascii="宋体" w:hAnsi="宋体" w:eastAsia="宋体" w:cs="宋体"/>
                <w:color w:val="auto"/>
                <w:kern w:val="0"/>
                <w:sz w:val="20"/>
                <w:szCs w:val="20"/>
              </w:rPr>
            </w:pPr>
          </w:p>
        </w:tc>
      </w:tr>
      <w:tr w14:paraId="1249ECE0">
        <w:tblPrEx>
          <w:tblCellMar>
            <w:top w:w="0" w:type="dxa"/>
            <w:left w:w="108" w:type="dxa"/>
            <w:bottom w:w="0" w:type="dxa"/>
            <w:right w:w="108" w:type="dxa"/>
          </w:tblCellMar>
        </w:tblPrEx>
        <w:trPr>
          <w:trHeight w:val="402" w:hRule="atLeast"/>
          <w:jc w:val="center"/>
        </w:trPr>
        <w:tc>
          <w:tcPr>
            <w:tcW w:w="858" w:type="dxa"/>
            <w:tcBorders>
              <w:top w:val="single" w:color="auto" w:sz="4" w:space="0"/>
              <w:left w:val="single" w:color="auto" w:sz="4" w:space="0"/>
              <w:bottom w:val="single" w:color="auto" w:sz="4" w:space="0"/>
              <w:right w:val="single" w:color="auto" w:sz="4" w:space="0"/>
            </w:tcBorders>
            <w:noWrap w:val="0"/>
            <w:vAlign w:val="center"/>
          </w:tcPr>
          <w:p w14:paraId="64D7B149">
            <w:pPr>
              <w:widowControl/>
              <w:jc w:val="center"/>
              <w:rPr>
                <w:rFonts w:ascii="宋体" w:hAnsi="宋体" w:eastAsia="宋体" w:cs="宋体"/>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18199D51">
            <w:pPr>
              <w:widowControl/>
              <w:jc w:val="center"/>
              <w:rPr>
                <w:rFonts w:ascii="宋体" w:hAnsi="宋体" w:eastAsia="宋体" w:cs="宋体"/>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25DAD46D">
            <w:pPr>
              <w:widowControl/>
              <w:jc w:val="center"/>
              <w:rPr>
                <w:rFonts w:ascii="宋体" w:hAnsi="宋体" w:eastAsia="宋体" w:cs="宋体"/>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2E0AE4EC">
            <w:pPr>
              <w:widowControl/>
              <w:jc w:val="center"/>
              <w:rPr>
                <w:rFonts w:ascii="宋体" w:hAnsi="宋体" w:eastAsia="宋体" w:cs="宋体"/>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31F42E16">
            <w:pPr>
              <w:widowControl/>
              <w:jc w:val="center"/>
              <w:rPr>
                <w:rFonts w:ascii="宋体" w:hAnsi="宋体" w:eastAsia="宋体" w:cs="宋体"/>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0F8D1702">
            <w:pPr>
              <w:widowControl/>
              <w:jc w:val="center"/>
              <w:rPr>
                <w:rFonts w:ascii="宋体" w:hAnsi="宋体" w:eastAsia="宋体" w:cs="宋体"/>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7E472B90">
            <w:pPr>
              <w:widowControl/>
              <w:jc w:val="center"/>
              <w:rPr>
                <w:rFonts w:ascii="宋体" w:hAnsi="宋体" w:eastAsia="宋体" w:cs="宋体"/>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35C8F192">
            <w:pPr>
              <w:widowControl/>
              <w:jc w:val="center"/>
              <w:rPr>
                <w:rFonts w:ascii="宋体" w:hAnsi="宋体" w:eastAsia="宋体" w:cs="宋体"/>
                <w:color w:val="auto"/>
                <w:kern w:val="0"/>
                <w:sz w:val="20"/>
                <w:szCs w:val="20"/>
              </w:rPr>
            </w:pPr>
          </w:p>
        </w:tc>
      </w:tr>
      <w:tr w14:paraId="7B597EA1">
        <w:tblPrEx>
          <w:tblCellMar>
            <w:top w:w="0" w:type="dxa"/>
            <w:left w:w="108" w:type="dxa"/>
            <w:bottom w:w="0" w:type="dxa"/>
            <w:right w:w="108" w:type="dxa"/>
          </w:tblCellMar>
        </w:tblPrEx>
        <w:trPr>
          <w:trHeight w:val="402" w:hRule="atLeast"/>
          <w:jc w:val="center"/>
        </w:trPr>
        <w:tc>
          <w:tcPr>
            <w:tcW w:w="858" w:type="dxa"/>
            <w:tcBorders>
              <w:top w:val="single" w:color="auto" w:sz="4" w:space="0"/>
              <w:left w:val="single" w:color="auto" w:sz="4" w:space="0"/>
              <w:bottom w:val="single" w:color="auto" w:sz="4" w:space="0"/>
              <w:right w:val="single" w:color="auto" w:sz="4" w:space="0"/>
            </w:tcBorders>
            <w:noWrap w:val="0"/>
            <w:vAlign w:val="center"/>
          </w:tcPr>
          <w:p w14:paraId="2BBF0C9C">
            <w:pPr>
              <w:widowControl/>
              <w:jc w:val="center"/>
              <w:rPr>
                <w:rFonts w:ascii="宋体" w:hAnsi="宋体" w:eastAsia="宋体" w:cs="宋体"/>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2B30ADAD">
            <w:pPr>
              <w:widowControl/>
              <w:jc w:val="center"/>
              <w:rPr>
                <w:rFonts w:ascii="宋体" w:hAnsi="宋体" w:eastAsia="宋体" w:cs="宋体"/>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010A9459">
            <w:pPr>
              <w:widowControl/>
              <w:jc w:val="center"/>
              <w:rPr>
                <w:rFonts w:ascii="宋体" w:hAnsi="宋体" w:eastAsia="宋体" w:cs="宋体"/>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1F022C6A">
            <w:pPr>
              <w:widowControl/>
              <w:jc w:val="center"/>
              <w:rPr>
                <w:rFonts w:ascii="宋体" w:hAnsi="宋体" w:eastAsia="宋体" w:cs="宋体"/>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55CAE367">
            <w:pPr>
              <w:widowControl/>
              <w:jc w:val="center"/>
              <w:rPr>
                <w:rFonts w:ascii="宋体" w:hAnsi="宋体" w:eastAsia="宋体" w:cs="宋体"/>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15993F02">
            <w:pPr>
              <w:widowControl/>
              <w:jc w:val="center"/>
              <w:rPr>
                <w:rFonts w:ascii="宋体" w:hAnsi="宋体" w:eastAsia="宋体" w:cs="宋体"/>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51D3358C">
            <w:pPr>
              <w:widowControl/>
              <w:jc w:val="center"/>
              <w:rPr>
                <w:rFonts w:ascii="宋体" w:hAnsi="宋体" w:eastAsia="宋体" w:cs="宋体"/>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234C0BD7">
            <w:pPr>
              <w:widowControl/>
              <w:jc w:val="center"/>
              <w:rPr>
                <w:rFonts w:ascii="宋体" w:hAnsi="宋体" w:eastAsia="宋体" w:cs="宋体"/>
                <w:color w:val="auto"/>
                <w:kern w:val="0"/>
                <w:sz w:val="20"/>
                <w:szCs w:val="20"/>
              </w:rPr>
            </w:pPr>
          </w:p>
        </w:tc>
      </w:tr>
      <w:tr w14:paraId="15175753">
        <w:tblPrEx>
          <w:tblCellMar>
            <w:top w:w="0" w:type="dxa"/>
            <w:left w:w="108" w:type="dxa"/>
            <w:bottom w:w="0" w:type="dxa"/>
            <w:right w:w="108" w:type="dxa"/>
          </w:tblCellMar>
        </w:tblPrEx>
        <w:trPr>
          <w:trHeight w:val="402" w:hRule="atLeast"/>
          <w:jc w:val="center"/>
        </w:trPr>
        <w:tc>
          <w:tcPr>
            <w:tcW w:w="858" w:type="dxa"/>
            <w:tcBorders>
              <w:top w:val="single" w:color="auto" w:sz="4" w:space="0"/>
              <w:left w:val="single" w:color="auto" w:sz="4" w:space="0"/>
              <w:bottom w:val="single" w:color="auto" w:sz="4" w:space="0"/>
              <w:right w:val="single" w:color="auto" w:sz="4" w:space="0"/>
            </w:tcBorders>
            <w:noWrap w:val="0"/>
            <w:vAlign w:val="center"/>
          </w:tcPr>
          <w:p w14:paraId="7CEDD345">
            <w:pPr>
              <w:widowControl/>
              <w:jc w:val="center"/>
              <w:rPr>
                <w:rFonts w:ascii="宋体" w:hAnsi="宋体" w:eastAsia="宋体" w:cs="宋体"/>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3C7CA6E6">
            <w:pPr>
              <w:widowControl/>
              <w:jc w:val="center"/>
              <w:rPr>
                <w:rFonts w:ascii="宋体" w:hAnsi="宋体" w:eastAsia="宋体" w:cs="宋体"/>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4666AB6E">
            <w:pPr>
              <w:widowControl/>
              <w:jc w:val="center"/>
              <w:rPr>
                <w:rFonts w:ascii="宋体" w:hAnsi="宋体" w:eastAsia="宋体" w:cs="宋体"/>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76521B6B">
            <w:pPr>
              <w:widowControl/>
              <w:jc w:val="center"/>
              <w:rPr>
                <w:rFonts w:ascii="宋体" w:hAnsi="宋体" w:eastAsia="宋体" w:cs="宋体"/>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27999781">
            <w:pPr>
              <w:widowControl/>
              <w:jc w:val="center"/>
              <w:rPr>
                <w:rFonts w:ascii="宋体" w:hAnsi="宋体" w:eastAsia="宋体" w:cs="宋体"/>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62B3A2C3">
            <w:pPr>
              <w:widowControl/>
              <w:jc w:val="center"/>
              <w:rPr>
                <w:rFonts w:ascii="宋体" w:hAnsi="宋体" w:eastAsia="宋体" w:cs="宋体"/>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06A6A50C">
            <w:pPr>
              <w:widowControl/>
              <w:jc w:val="center"/>
              <w:rPr>
                <w:rFonts w:ascii="宋体" w:hAnsi="宋体" w:eastAsia="宋体" w:cs="宋体"/>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650B1D06">
            <w:pPr>
              <w:widowControl/>
              <w:jc w:val="center"/>
              <w:rPr>
                <w:rFonts w:ascii="宋体" w:hAnsi="宋体" w:eastAsia="宋体" w:cs="宋体"/>
                <w:color w:val="auto"/>
                <w:kern w:val="0"/>
                <w:sz w:val="20"/>
                <w:szCs w:val="20"/>
              </w:rPr>
            </w:pPr>
          </w:p>
        </w:tc>
      </w:tr>
      <w:tr w14:paraId="53494134">
        <w:tblPrEx>
          <w:tblCellMar>
            <w:top w:w="0" w:type="dxa"/>
            <w:left w:w="108" w:type="dxa"/>
            <w:bottom w:w="0" w:type="dxa"/>
            <w:right w:w="108" w:type="dxa"/>
          </w:tblCellMar>
        </w:tblPrEx>
        <w:trPr>
          <w:trHeight w:val="402" w:hRule="atLeast"/>
          <w:jc w:val="center"/>
        </w:trPr>
        <w:tc>
          <w:tcPr>
            <w:tcW w:w="858" w:type="dxa"/>
            <w:tcBorders>
              <w:top w:val="single" w:color="auto" w:sz="4" w:space="0"/>
              <w:left w:val="single" w:color="auto" w:sz="4" w:space="0"/>
              <w:bottom w:val="single" w:color="auto" w:sz="4" w:space="0"/>
              <w:right w:val="single" w:color="auto" w:sz="4" w:space="0"/>
            </w:tcBorders>
            <w:noWrap w:val="0"/>
            <w:vAlign w:val="center"/>
          </w:tcPr>
          <w:p w14:paraId="3773FBE4">
            <w:pPr>
              <w:widowControl/>
              <w:jc w:val="center"/>
              <w:rPr>
                <w:rFonts w:ascii="宋体" w:hAnsi="宋体" w:eastAsia="宋体" w:cs="宋体"/>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64D6170C">
            <w:pPr>
              <w:widowControl/>
              <w:jc w:val="center"/>
              <w:rPr>
                <w:rFonts w:ascii="宋体" w:hAnsi="宋体" w:eastAsia="宋体" w:cs="宋体"/>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22818D2F">
            <w:pPr>
              <w:widowControl/>
              <w:jc w:val="center"/>
              <w:rPr>
                <w:rFonts w:ascii="宋体" w:hAnsi="宋体" w:eastAsia="宋体" w:cs="宋体"/>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44475B56">
            <w:pPr>
              <w:widowControl/>
              <w:jc w:val="center"/>
              <w:rPr>
                <w:rFonts w:ascii="宋体" w:hAnsi="宋体" w:eastAsia="宋体" w:cs="宋体"/>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10ACEA7C">
            <w:pPr>
              <w:widowControl/>
              <w:jc w:val="center"/>
              <w:rPr>
                <w:rFonts w:ascii="宋体" w:hAnsi="宋体" w:eastAsia="宋体" w:cs="宋体"/>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529D7C22">
            <w:pPr>
              <w:widowControl/>
              <w:jc w:val="center"/>
              <w:rPr>
                <w:rFonts w:ascii="宋体" w:hAnsi="宋体" w:eastAsia="宋体" w:cs="宋体"/>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0D0B9A4E">
            <w:pPr>
              <w:widowControl/>
              <w:jc w:val="center"/>
              <w:rPr>
                <w:rFonts w:ascii="宋体" w:hAnsi="宋体" w:eastAsia="宋体" w:cs="宋体"/>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4DBEA295">
            <w:pPr>
              <w:widowControl/>
              <w:jc w:val="center"/>
              <w:rPr>
                <w:rFonts w:ascii="宋体" w:hAnsi="宋体" w:eastAsia="宋体" w:cs="宋体"/>
                <w:color w:val="auto"/>
                <w:kern w:val="0"/>
                <w:sz w:val="20"/>
                <w:szCs w:val="20"/>
              </w:rPr>
            </w:pPr>
          </w:p>
        </w:tc>
      </w:tr>
      <w:tr w14:paraId="5C5A674A">
        <w:tblPrEx>
          <w:tblCellMar>
            <w:top w:w="0" w:type="dxa"/>
            <w:left w:w="108" w:type="dxa"/>
            <w:bottom w:w="0" w:type="dxa"/>
            <w:right w:w="108" w:type="dxa"/>
          </w:tblCellMar>
        </w:tblPrEx>
        <w:trPr>
          <w:trHeight w:val="402" w:hRule="atLeast"/>
          <w:jc w:val="center"/>
        </w:trPr>
        <w:tc>
          <w:tcPr>
            <w:tcW w:w="858" w:type="dxa"/>
            <w:tcBorders>
              <w:top w:val="single" w:color="auto" w:sz="4" w:space="0"/>
              <w:left w:val="single" w:color="auto" w:sz="4" w:space="0"/>
              <w:bottom w:val="single" w:color="auto" w:sz="4" w:space="0"/>
              <w:right w:val="single" w:color="auto" w:sz="4" w:space="0"/>
            </w:tcBorders>
            <w:noWrap w:val="0"/>
            <w:vAlign w:val="center"/>
          </w:tcPr>
          <w:p w14:paraId="4569D43C">
            <w:pPr>
              <w:widowControl/>
              <w:jc w:val="center"/>
              <w:rPr>
                <w:rFonts w:ascii="宋体" w:hAnsi="宋体" w:eastAsia="宋体" w:cs="宋体"/>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2FD72257">
            <w:pPr>
              <w:widowControl/>
              <w:jc w:val="center"/>
              <w:rPr>
                <w:rFonts w:ascii="宋体" w:hAnsi="宋体" w:eastAsia="宋体" w:cs="宋体"/>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6F50A8D1">
            <w:pPr>
              <w:widowControl/>
              <w:jc w:val="center"/>
              <w:rPr>
                <w:rFonts w:ascii="宋体" w:hAnsi="宋体" w:eastAsia="宋体" w:cs="宋体"/>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2FF2A0F7">
            <w:pPr>
              <w:widowControl/>
              <w:jc w:val="center"/>
              <w:rPr>
                <w:rFonts w:ascii="宋体" w:hAnsi="宋体" w:eastAsia="宋体" w:cs="宋体"/>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56277767">
            <w:pPr>
              <w:widowControl/>
              <w:jc w:val="center"/>
              <w:rPr>
                <w:rFonts w:ascii="宋体" w:hAnsi="宋体" w:eastAsia="宋体" w:cs="宋体"/>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45CC489F">
            <w:pPr>
              <w:widowControl/>
              <w:jc w:val="center"/>
              <w:rPr>
                <w:rFonts w:ascii="宋体" w:hAnsi="宋体" w:eastAsia="宋体" w:cs="宋体"/>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240BA34F">
            <w:pPr>
              <w:widowControl/>
              <w:jc w:val="center"/>
              <w:rPr>
                <w:rFonts w:ascii="宋体" w:hAnsi="宋体" w:eastAsia="宋体" w:cs="宋体"/>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005E33E2">
            <w:pPr>
              <w:widowControl/>
              <w:jc w:val="center"/>
              <w:rPr>
                <w:rFonts w:ascii="宋体" w:hAnsi="宋体" w:eastAsia="宋体" w:cs="宋体"/>
                <w:color w:val="auto"/>
                <w:kern w:val="0"/>
                <w:sz w:val="20"/>
                <w:szCs w:val="20"/>
              </w:rPr>
            </w:pPr>
          </w:p>
        </w:tc>
      </w:tr>
      <w:tr w14:paraId="05B6B3A1">
        <w:tblPrEx>
          <w:tblCellMar>
            <w:top w:w="0" w:type="dxa"/>
            <w:left w:w="108" w:type="dxa"/>
            <w:bottom w:w="0" w:type="dxa"/>
            <w:right w:w="108" w:type="dxa"/>
          </w:tblCellMar>
        </w:tblPrEx>
        <w:trPr>
          <w:trHeight w:val="402" w:hRule="atLeast"/>
          <w:jc w:val="center"/>
        </w:trPr>
        <w:tc>
          <w:tcPr>
            <w:tcW w:w="858" w:type="dxa"/>
            <w:tcBorders>
              <w:top w:val="single" w:color="auto" w:sz="4" w:space="0"/>
              <w:left w:val="single" w:color="auto" w:sz="4" w:space="0"/>
              <w:bottom w:val="single" w:color="auto" w:sz="4" w:space="0"/>
              <w:right w:val="single" w:color="auto" w:sz="4" w:space="0"/>
            </w:tcBorders>
            <w:noWrap w:val="0"/>
            <w:vAlign w:val="center"/>
          </w:tcPr>
          <w:p w14:paraId="6544402D">
            <w:pPr>
              <w:widowControl/>
              <w:jc w:val="center"/>
              <w:rPr>
                <w:rFonts w:ascii="宋体" w:hAnsi="宋体" w:eastAsia="宋体" w:cs="宋体"/>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74169932">
            <w:pPr>
              <w:widowControl/>
              <w:jc w:val="center"/>
              <w:rPr>
                <w:rFonts w:ascii="宋体" w:hAnsi="宋体" w:eastAsia="宋体" w:cs="宋体"/>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73EDFC13">
            <w:pPr>
              <w:widowControl/>
              <w:jc w:val="center"/>
              <w:rPr>
                <w:rFonts w:ascii="宋体" w:hAnsi="宋体" w:eastAsia="宋体" w:cs="宋体"/>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4E0A63C5">
            <w:pPr>
              <w:widowControl/>
              <w:jc w:val="center"/>
              <w:rPr>
                <w:rFonts w:ascii="宋体" w:hAnsi="宋体" w:eastAsia="宋体" w:cs="宋体"/>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4673EA9C">
            <w:pPr>
              <w:widowControl/>
              <w:jc w:val="center"/>
              <w:rPr>
                <w:rFonts w:ascii="宋体" w:hAnsi="宋体" w:eastAsia="宋体" w:cs="宋体"/>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75C36161">
            <w:pPr>
              <w:widowControl/>
              <w:jc w:val="center"/>
              <w:rPr>
                <w:rFonts w:ascii="宋体" w:hAnsi="宋体" w:eastAsia="宋体" w:cs="宋体"/>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2E2581AD">
            <w:pPr>
              <w:widowControl/>
              <w:jc w:val="center"/>
              <w:rPr>
                <w:rFonts w:ascii="宋体" w:hAnsi="宋体" w:eastAsia="宋体" w:cs="宋体"/>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2510AB03">
            <w:pPr>
              <w:widowControl/>
              <w:jc w:val="center"/>
              <w:rPr>
                <w:rFonts w:ascii="宋体" w:hAnsi="宋体" w:eastAsia="宋体" w:cs="宋体"/>
                <w:color w:val="auto"/>
                <w:kern w:val="0"/>
                <w:sz w:val="20"/>
                <w:szCs w:val="20"/>
              </w:rPr>
            </w:pPr>
          </w:p>
        </w:tc>
      </w:tr>
      <w:tr w14:paraId="13100E02">
        <w:tblPrEx>
          <w:tblCellMar>
            <w:top w:w="0" w:type="dxa"/>
            <w:left w:w="108" w:type="dxa"/>
            <w:bottom w:w="0" w:type="dxa"/>
            <w:right w:w="108" w:type="dxa"/>
          </w:tblCellMar>
        </w:tblPrEx>
        <w:trPr>
          <w:trHeight w:val="402" w:hRule="atLeast"/>
          <w:jc w:val="center"/>
        </w:trPr>
        <w:tc>
          <w:tcPr>
            <w:tcW w:w="858" w:type="dxa"/>
            <w:tcBorders>
              <w:top w:val="single" w:color="auto" w:sz="4" w:space="0"/>
              <w:left w:val="single" w:color="auto" w:sz="4" w:space="0"/>
              <w:bottom w:val="single" w:color="auto" w:sz="4" w:space="0"/>
              <w:right w:val="single" w:color="auto" w:sz="4" w:space="0"/>
            </w:tcBorders>
            <w:noWrap w:val="0"/>
            <w:vAlign w:val="center"/>
          </w:tcPr>
          <w:p w14:paraId="69DB4947">
            <w:pPr>
              <w:widowControl/>
              <w:jc w:val="center"/>
              <w:rPr>
                <w:rFonts w:ascii="宋体" w:hAnsi="宋体" w:eastAsia="宋体" w:cs="宋体"/>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2913E27C">
            <w:pPr>
              <w:widowControl/>
              <w:jc w:val="center"/>
              <w:rPr>
                <w:rFonts w:ascii="宋体" w:hAnsi="宋体" w:eastAsia="宋体" w:cs="宋体"/>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48582E64">
            <w:pPr>
              <w:widowControl/>
              <w:jc w:val="center"/>
              <w:rPr>
                <w:rFonts w:ascii="宋体" w:hAnsi="宋体" w:eastAsia="宋体" w:cs="宋体"/>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0340C18A">
            <w:pPr>
              <w:widowControl/>
              <w:jc w:val="center"/>
              <w:rPr>
                <w:rFonts w:ascii="宋体" w:hAnsi="宋体" w:eastAsia="宋体" w:cs="宋体"/>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3A4CCB1B">
            <w:pPr>
              <w:widowControl/>
              <w:jc w:val="center"/>
              <w:rPr>
                <w:rFonts w:ascii="宋体" w:hAnsi="宋体" w:eastAsia="宋体" w:cs="宋体"/>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2855DDE7">
            <w:pPr>
              <w:widowControl/>
              <w:jc w:val="center"/>
              <w:rPr>
                <w:rFonts w:ascii="宋体" w:hAnsi="宋体" w:eastAsia="宋体" w:cs="宋体"/>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77509E76">
            <w:pPr>
              <w:widowControl/>
              <w:jc w:val="center"/>
              <w:rPr>
                <w:rFonts w:ascii="宋体" w:hAnsi="宋体" w:eastAsia="宋体" w:cs="宋体"/>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50927A1E">
            <w:pPr>
              <w:widowControl/>
              <w:jc w:val="center"/>
              <w:rPr>
                <w:rFonts w:ascii="宋体" w:hAnsi="宋体" w:eastAsia="宋体" w:cs="宋体"/>
                <w:color w:val="auto"/>
                <w:kern w:val="0"/>
                <w:sz w:val="20"/>
                <w:szCs w:val="20"/>
              </w:rPr>
            </w:pPr>
          </w:p>
        </w:tc>
      </w:tr>
      <w:tr w14:paraId="53473DF8">
        <w:tblPrEx>
          <w:tblCellMar>
            <w:top w:w="0" w:type="dxa"/>
            <w:left w:w="108" w:type="dxa"/>
            <w:bottom w:w="0" w:type="dxa"/>
            <w:right w:w="108" w:type="dxa"/>
          </w:tblCellMar>
        </w:tblPrEx>
        <w:trPr>
          <w:trHeight w:val="402" w:hRule="atLeast"/>
          <w:jc w:val="center"/>
        </w:trPr>
        <w:tc>
          <w:tcPr>
            <w:tcW w:w="858" w:type="dxa"/>
            <w:tcBorders>
              <w:top w:val="single" w:color="auto" w:sz="4" w:space="0"/>
              <w:left w:val="single" w:color="auto" w:sz="4" w:space="0"/>
              <w:bottom w:val="single" w:color="auto" w:sz="4" w:space="0"/>
              <w:right w:val="single" w:color="auto" w:sz="4" w:space="0"/>
            </w:tcBorders>
            <w:noWrap w:val="0"/>
            <w:vAlign w:val="center"/>
          </w:tcPr>
          <w:p w14:paraId="5406D433">
            <w:pPr>
              <w:widowControl/>
              <w:jc w:val="center"/>
              <w:rPr>
                <w:rFonts w:ascii="宋体" w:hAnsi="宋体" w:eastAsia="宋体" w:cs="宋体"/>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0489D540">
            <w:pPr>
              <w:widowControl/>
              <w:jc w:val="center"/>
              <w:rPr>
                <w:rFonts w:ascii="宋体" w:hAnsi="宋体" w:eastAsia="宋体" w:cs="宋体"/>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5FE471E0">
            <w:pPr>
              <w:widowControl/>
              <w:jc w:val="center"/>
              <w:rPr>
                <w:rFonts w:ascii="宋体" w:hAnsi="宋体" w:eastAsia="宋体" w:cs="宋体"/>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314227D0">
            <w:pPr>
              <w:widowControl/>
              <w:jc w:val="center"/>
              <w:rPr>
                <w:rFonts w:ascii="宋体" w:hAnsi="宋体" w:eastAsia="宋体" w:cs="宋体"/>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701745EC">
            <w:pPr>
              <w:widowControl/>
              <w:jc w:val="center"/>
              <w:rPr>
                <w:rFonts w:ascii="宋体" w:hAnsi="宋体" w:eastAsia="宋体" w:cs="宋体"/>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47F48C7B">
            <w:pPr>
              <w:widowControl/>
              <w:jc w:val="center"/>
              <w:rPr>
                <w:rFonts w:ascii="宋体" w:hAnsi="宋体" w:eastAsia="宋体" w:cs="宋体"/>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236FE586">
            <w:pPr>
              <w:widowControl/>
              <w:jc w:val="center"/>
              <w:rPr>
                <w:rFonts w:ascii="宋体" w:hAnsi="宋体" w:eastAsia="宋体" w:cs="宋体"/>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06551C77">
            <w:pPr>
              <w:widowControl/>
              <w:jc w:val="center"/>
              <w:rPr>
                <w:rFonts w:ascii="宋体" w:hAnsi="宋体" w:eastAsia="宋体" w:cs="宋体"/>
                <w:color w:val="auto"/>
                <w:kern w:val="0"/>
                <w:sz w:val="20"/>
                <w:szCs w:val="20"/>
              </w:rPr>
            </w:pPr>
          </w:p>
        </w:tc>
      </w:tr>
    </w:tbl>
    <w:p w14:paraId="339DD9FE">
      <w:pPr>
        <w:bidi w:val="0"/>
        <w:rPr>
          <w:rFonts w:hint="eastAsia" w:ascii="宋体" w:hAnsi="宋体" w:eastAsia="宋体" w:cs="宋体"/>
          <w:color w:val="auto"/>
          <w:sz w:val="24"/>
          <w:szCs w:val="24"/>
        </w:rPr>
      </w:pPr>
      <w:r>
        <w:rPr>
          <w:rFonts w:hint="eastAsia" w:ascii="宋体" w:hAnsi="宋体" w:eastAsia="宋体" w:cs="宋体"/>
          <w:color w:val="auto"/>
          <w:sz w:val="24"/>
          <w:szCs w:val="24"/>
        </w:rPr>
        <w:t>注：1.以上报价含生产制作、包装、运输、保险、安装调试、利润、税金、专利技术、培训、技术支持等一切费用。</w:t>
      </w:r>
    </w:p>
    <w:p w14:paraId="05113D42">
      <w:pPr>
        <w:bidi w:val="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按采购需求逐项列示、总价不得超过采购预算，并与《</w:t>
      </w:r>
      <w:r>
        <w:rPr>
          <w:rFonts w:hint="eastAsia" w:ascii="宋体" w:hAnsi="宋体" w:eastAsia="宋体" w:cs="宋体"/>
          <w:color w:val="auto"/>
          <w:sz w:val="24"/>
          <w:szCs w:val="24"/>
          <w:lang w:eastAsia="zh-CN"/>
        </w:rPr>
        <w:t>开标一览表</w:t>
      </w:r>
      <w:r>
        <w:rPr>
          <w:rFonts w:hint="eastAsia" w:ascii="宋体" w:hAnsi="宋体" w:eastAsia="宋体" w:cs="宋体"/>
          <w:color w:val="auto"/>
          <w:sz w:val="24"/>
          <w:szCs w:val="24"/>
        </w:rPr>
        <w:t>》保持一致。</w:t>
      </w:r>
    </w:p>
    <w:p w14:paraId="561F9DE1">
      <w:pPr>
        <w:bidi w:val="0"/>
        <w:ind w:firstLine="480" w:firstLineChars="200"/>
        <w:rPr>
          <w:rFonts w:hint="eastAsia" w:ascii="宋体" w:hAnsi="宋体" w:cs="宋体"/>
          <w:color w:val="auto"/>
          <w:sz w:val="24"/>
          <w:highlight w:val="none"/>
          <w:lang w:eastAsia="zh-CN"/>
        </w:rPr>
      </w:pPr>
      <w:r>
        <w:rPr>
          <w:rFonts w:hint="eastAsia" w:ascii="宋体" w:hAnsi="宋体" w:eastAsia="宋体" w:cs="宋体"/>
          <w:color w:val="auto"/>
          <w:sz w:val="24"/>
          <w:szCs w:val="24"/>
        </w:rPr>
        <w:t>3.此表可自行扩展。</w:t>
      </w:r>
    </w:p>
    <w:p w14:paraId="7DAE0D9E">
      <w:pPr>
        <w:pageBreakBefore w:val="0"/>
        <w:kinsoku/>
        <w:wordWrap/>
        <w:overflowPunct/>
        <w:topLinePunct w:val="0"/>
        <w:autoSpaceDE/>
        <w:autoSpaceDN/>
        <w:bidi w:val="0"/>
        <w:adjustRightInd w:val="0"/>
        <w:spacing w:line="480" w:lineRule="auto"/>
        <w:jc w:val="both"/>
        <w:textAlignment w:val="baseline"/>
        <w:outlineLvl w:val="9"/>
        <w:rPr>
          <w:rFonts w:hint="eastAsia" w:ascii="宋体" w:hAnsi="宋体" w:cs="宋体"/>
          <w:color w:val="auto"/>
          <w:sz w:val="24"/>
          <w:highlight w:val="none"/>
          <w:lang w:eastAsia="zh-CN"/>
        </w:rPr>
      </w:pPr>
    </w:p>
    <w:p w14:paraId="319F7E6D">
      <w:pPr>
        <w:pageBreakBefore w:val="0"/>
        <w:kinsoku/>
        <w:wordWrap/>
        <w:overflowPunct/>
        <w:topLinePunct w:val="0"/>
        <w:autoSpaceDE/>
        <w:autoSpaceDN/>
        <w:bidi w:val="0"/>
        <w:adjustRightInd w:val="0"/>
        <w:spacing w:line="480" w:lineRule="auto"/>
        <w:jc w:val="both"/>
        <w:textAlignment w:val="baseline"/>
        <w:outlineLvl w:val="9"/>
        <w:rPr>
          <w:rFonts w:hint="eastAsia" w:ascii="宋体" w:hAnsi="宋体" w:eastAsia="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（盖单位公章）</w:t>
      </w:r>
    </w:p>
    <w:p w14:paraId="674FF93A">
      <w:pPr>
        <w:pageBreakBefore w:val="0"/>
        <w:kinsoku/>
        <w:wordWrap/>
        <w:overflowPunct/>
        <w:topLinePunct w:val="0"/>
        <w:autoSpaceDE/>
        <w:autoSpaceDN/>
        <w:bidi w:val="0"/>
        <w:adjustRightInd w:val="0"/>
        <w:spacing w:line="480" w:lineRule="auto"/>
        <w:jc w:val="both"/>
        <w:textAlignment w:val="baseline"/>
        <w:outlineLvl w:val="9"/>
        <w:rPr>
          <w:rFonts w:hint="eastAsia" w:ascii="宋体" w:hAnsi="宋体" w:cs="宋体"/>
          <w:color w:val="auto"/>
          <w:sz w:val="24"/>
          <w:highlight w:val="none"/>
        </w:rPr>
      </w:pPr>
      <w:r>
        <w:rPr>
          <w:rFonts w:hint="eastAsia" w:ascii="宋体" w:hAnsi="宋体" w:cs="宋体"/>
          <w:color w:val="auto"/>
          <w:sz w:val="24"/>
          <w:highlight w:val="none"/>
        </w:rPr>
        <w:t>法定代表人或其委托代理人（签字）</w:t>
      </w:r>
    </w:p>
    <w:p w14:paraId="29171433">
      <w:pPr>
        <w:pageBreakBefore w:val="0"/>
        <w:kinsoku/>
        <w:wordWrap/>
        <w:overflowPunct/>
        <w:topLinePunct w:val="0"/>
        <w:autoSpaceDE/>
        <w:autoSpaceDN/>
        <w:bidi w:val="0"/>
        <w:adjustRightInd w:val="0"/>
        <w:textAlignment w:val="baseline"/>
        <w:outlineLvl w:val="9"/>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6AC702B5">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363348A8">
      <w:pPr>
        <w:spacing w:before="48" w:line="220" w:lineRule="auto"/>
        <w:outlineLvl w:val="9"/>
        <w:rPr>
          <w:rFonts w:hint="eastAsia" w:ascii="宋体" w:hAnsi="宋体" w:eastAsia="宋体" w:cs="宋体"/>
          <w:color w:val="auto"/>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格式四：</w:t>
      </w:r>
      <w:r>
        <w:rPr>
          <w:rFonts w:hint="eastAsia" w:ascii="宋体" w:hAnsi="宋体" w:eastAsia="宋体" w:cs="宋体"/>
          <w:color w:val="auto"/>
          <w:sz w:val="24"/>
          <w:szCs w:val="24"/>
          <w14:textOutline w14:w="4358" w14:cap="sq" w14:cmpd="sng">
            <w14:solidFill>
              <w14:srgbClr w14:val="000000"/>
            </w14:solidFill>
            <w14:prstDash w14:val="solid"/>
            <w14:bevel/>
          </w14:textOutline>
        </w:rPr>
        <w:t>采购需求偏离表（格式）</w:t>
      </w:r>
    </w:p>
    <w:p w14:paraId="567D7CB3">
      <w:pPr>
        <w:spacing w:before="78" w:line="185" w:lineRule="auto"/>
        <w:outlineLvl w:val="9"/>
        <w:rPr>
          <w:rFonts w:hint="eastAsia" w:ascii="宋体" w:hAnsi="宋体" w:eastAsia="宋体" w:cs="宋体"/>
          <w:color w:val="auto"/>
          <w:spacing w:val="-1"/>
          <w:sz w:val="24"/>
          <w:szCs w:val="24"/>
        </w:rPr>
      </w:pPr>
    </w:p>
    <w:p w14:paraId="10142266">
      <w:pPr>
        <w:spacing w:before="78" w:line="185" w:lineRule="auto"/>
        <w:outlineLvl w:val="9"/>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项目名称：</w:t>
      </w:r>
    </w:p>
    <w:p w14:paraId="7B8BF4B1">
      <w:pPr>
        <w:spacing w:before="180" w:line="185" w:lineRule="auto"/>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rPr>
        <w:t>项目编号：</w:t>
      </w:r>
    </w:p>
    <w:tbl>
      <w:tblPr>
        <w:tblStyle w:val="13"/>
        <w:tblW w:w="9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248"/>
        <w:gridCol w:w="4063"/>
        <w:gridCol w:w="2180"/>
        <w:gridCol w:w="897"/>
        <w:gridCol w:w="756"/>
      </w:tblGrid>
      <w:tr w14:paraId="34DCE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trPr>
        <w:tc>
          <w:tcPr>
            <w:tcW w:w="473" w:type="dxa"/>
            <w:noWrap w:val="0"/>
            <w:vAlign w:val="center"/>
          </w:tcPr>
          <w:p w14:paraId="3CC985B3">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48" w:type="dxa"/>
            <w:noWrap w:val="0"/>
            <w:vAlign w:val="center"/>
          </w:tcPr>
          <w:p w14:paraId="0D3E55E8">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名称</w:t>
            </w:r>
          </w:p>
        </w:tc>
        <w:tc>
          <w:tcPr>
            <w:tcW w:w="4063" w:type="dxa"/>
            <w:noWrap w:val="0"/>
            <w:vAlign w:val="center"/>
          </w:tcPr>
          <w:p w14:paraId="7FE2BF73">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文件规定的</w:t>
            </w:r>
            <w:r>
              <w:rPr>
                <w:rFonts w:hint="eastAsia" w:ascii="宋体" w:hAnsi="宋体" w:eastAsia="宋体" w:cs="宋体"/>
                <w:color w:val="auto"/>
                <w:sz w:val="24"/>
                <w:szCs w:val="24"/>
                <w:lang w:val="en-US" w:eastAsia="zh-CN"/>
              </w:rPr>
              <w:t>服务内容</w:t>
            </w:r>
          </w:p>
        </w:tc>
        <w:tc>
          <w:tcPr>
            <w:tcW w:w="2180" w:type="dxa"/>
            <w:noWrap w:val="0"/>
            <w:vAlign w:val="center"/>
          </w:tcPr>
          <w:p w14:paraId="431172A8">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对应的</w:t>
            </w:r>
            <w:r>
              <w:rPr>
                <w:rFonts w:hint="eastAsia" w:ascii="宋体" w:hAnsi="宋体" w:eastAsia="宋体" w:cs="宋体"/>
                <w:color w:val="auto"/>
                <w:sz w:val="24"/>
                <w:szCs w:val="24"/>
                <w:lang w:val="en-US" w:eastAsia="zh-CN"/>
              </w:rPr>
              <w:t>服务内容</w:t>
            </w:r>
          </w:p>
        </w:tc>
        <w:tc>
          <w:tcPr>
            <w:tcW w:w="897" w:type="dxa"/>
            <w:noWrap w:val="0"/>
            <w:vAlign w:val="center"/>
          </w:tcPr>
          <w:p w14:paraId="59D9FE93">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是否偏离</w:t>
            </w:r>
          </w:p>
        </w:tc>
        <w:tc>
          <w:tcPr>
            <w:tcW w:w="756" w:type="dxa"/>
            <w:noWrap w:val="0"/>
            <w:vAlign w:val="center"/>
          </w:tcPr>
          <w:p w14:paraId="512E652F">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7BE0A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3" w:type="dxa"/>
            <w:noWrap w:val="0"/>
            <w:vAlign w:val="center"/>
          </w:tcPr>
          <w:p w14:paraId="467C3B9F">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248" w:type="dxa"/>
            <w:noWrap w:val="0"/>
            <w:vAlign w:val="center"/>
          </w:tcPr>
          <w:p w14:paraId="3767A34E">
            <w:pPr>
              <w:bidi w:val="0"/>
              <w:jc w:val="center"/>
              <w:rPr>
                <w:rFonts w:hint="eastAsia" w:ascii="宋体" w:hAnsi="宋体" w:eastAsia="宋体" w:cs="宋体"/>
                <w:color w:val="auto"/>
                <w:sz w:val="24"/>
                <w:szCs w:val="24"/>
              </w:rPr>
            </w:pPr>
          </w:p>
        </w:tc>
        <w:tc>
          <w:tcPr>
            <w:tcW w:w="4063" w:type="dxa"/>
            <w:noWrap w:val="0"/>
            <w:vAlign w:val="center"/>
          </w:tcPr>
          <w:p w14:paraId="50289B51">
            <w:pPr>
              <w:bidi w:val="0"/>
              <w:jc w:val="center"/>
              <w:rPr>
                <w:rFonts w:hint="eastAsia" w:ascii="宋体" w:hAnsi="宋体" w:eastAsia="宋体" w:cs="宋体"/>
                <w:color w:val="auto"/>
                <w:sz w:val="24"/>
                <w:szCs w:val="24"/>
                <w:lang w:val="en-US"/>
              </w:rPr>
            </w:pPr>
          </w:p>
        </w:tc>
        <w:tc>
          <w:tcPr>
            <w:tcW w:w="2180" w:type="dxa"/>
            <w:noWrap w:val="0"/>
            <w:vAlign w:val="center"/>
          </w:tcPr>
          <w:p w14:paraId="66E7CB0B">
            <w:pPr>
              <w:bidi w:val="0"/>
              <w:jc w:val="center"/>
              <w:rPr>
                <w:rFonts w:hint="eastAsia" w:ascii="宋体" w:hAnsi="宋体" w:eastAsia="宋体" w:cs="宋体"/>
                <w:color w:val="auto"/>
                <w:sz w:val="24"/>
                <w:szCs w:val="24"/>
              </w:rPr>
            </w:pPr>
          </w:p>
        </w:tc>
        <w:tc>
          <w:tcPr>
            <w:tcW w:w="897" w:type="dxa"/>
            <w:noWrap w:val="0"/>
            <w:vAlign w:val="center"/>
          </w:tcPr>
          <w:p w14:paraId="2FC6FB9E">
            <w:pPr>
              <w:bidi w:val="0"/>
              <w:jc w:val="center"/>
              <w:rPr>
                <w:rFonts w:hint="eastAsia" w:ascii="宋体" w:hAnsi="宋体" w:eastAsia="宋体" w:cs="宋体"/>
                <w:color w:val="auto"/>
                <w:sz w:val="24"/>
                <w:szCs w:val="24"/>
              </w:rPr>
            </w:pPr>
          </w:p>
        </w:tc>
        <w:tc>
          <w:tcPr>
            <w:tcW w:w="756" w:type="dxa"/>
            <w:noWrap w:val="0"/>
            <w:vAlign w:val="center"/>
          </w:tcPr>
          <w:p w14:paraId="23E257C3">
            <w:pPr>
              <w:bidi w:val="0"/>
              <w:jc w:val="center"/>
              <w:rPr>
                <w:rFonts w:hint="eastAsia" w:ascii="宋体" w:hAnsi="宋体" w:eastAsia="宋体" w:cs="宋体"/>
                <w:color w:val="auto"/>
                <w:sz w:val="24"/>
                <w:szCs w:val="24"/>
              </w:rPr>
            </w:pPr>
          </w:p>
        </w:tc>
      </w:tr>
      <w:tr w14:paraId="1257D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3" w:type="dxa"/>
            <w:noWrap w:val="0"/>
            <w:vAlign w:val="center"/>
          </w:tcPr>
          <w:p w14:paraId="0ABCAFF7">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248" w:type="dxa"/>
            <w:noWrap w:val="0"/>
            <w:vAlign w:val="center"/>
          </w:tcPr>
          <w:p w14:paraId="098A9222">
            <w:pPr>
              <w:bidi w:val="0"/>
              <w:jc w:val="center"/>
              <w:rPr>
                <w:rFonts w:hint="eastAsia" w:ascii="宋体" w:hAnsi="宋体" w:eastAsia="宋体" w:cs="宋体"/>
                <w:color w:val="auto"/>
                <w:sz w:val="24"/>
                <w:szCs w:val="24"/>
              </w:rPr>
            </w:pPr>
          </w:p>
        </w:tc>
        <w:tc>
          <w:tcPr>
            <w:tcW w:w="4063" w:type="dxa"/>
            <w:noWrap w:val="0"/>
            <w:vAlign w:val="center"/>
          </w:tcPr>
          <w:p w14:paraId="35743F2E">
            <w:pPr>
              <w:bidi w:val="0"/>
              <w:jc w:val="center"/>
              <w:rPr>
                <w:rFonts w:hint="eastAsia" w:ascii="宋体" w:hAnsi="宋体" w:eastAsia="宋体" w:cs="宋体"/>
                <w:color w:val="auto"/>
                <w:sz w:val="24"/>
                <w:szCs w:val="24"/>
              </w:rPr>
            </w:pPr>
          </w:p>
        </w:tc>
        <w:tc>
          <w:tcPr>
            <w:tcW w:w="2180" w:type="dxa"/>
            <w:noWrap w:val="0"/>
            <w:vAlign w:val="center"/>
          </w:tcPr>
          <w:p w14:paraId="6A56BE2A">
            <w:pPr>
              <w:bidi w:val="0"/>
              <w:jc w:val="center"/>
              <w:rPr>
                <w:rFonts w:hint="eastAsia" w:ascii="宋体" w:hAnsi="宋体" w:eastAsia="宋体" w:cs="宋体"/>
                <w:color w:val="auto"/>
                <w:sz w:val="24"/>
                <w:szCs w:val="24"/>
              </w:rPr>
            </w:pPr>
          </w:p>
        </w:tc>
        <w:tc>
          <w:tcPr>
            <w:tcW w:w="897" w:type="dxa"/>
            <w:noWrap w:val="0"/>
            <w:vAlign w:val="center"/>
          </w:tcPr>
          <w:p w14:paraId="124E7857">
            <w:pPr>
              <w:bidi w:val="0"/>
              <w:jc w:val="center"/>
              <w:rPr>
                <w:rFonts w:hint="eastAsia" w:ascii="宋体" w:hAnsi="宋体" w:eastAsia="宋体" w:cs="宋体"/>
                <w:color w:val="auto"/>
                <w:sz w:val="24"/>
                <w:szCs w:val="24"/>
              </w:rPr>
            </w:pPr>
          </w:p>
        </w:tc>
        <w:tc>
          <w:tcPr>
            <w:tcW w:w="756" w:type="dxa"/>
            <w:noWrap w:val="0"/>
            <w:vAlign w:val="center"/>
          </w:tcPr>
          <w:p w14:paraId="1FFB2C12">
            <w:pPr>
              <w:bidi w:val="0"/>
              <w:jc w:val="center"/>
              <w:rPr>
                <w:rFonts w:hint="eastAsia" w:ascii="宋体" w:hAnsi="宋体" w:eastAsia="宋体" w:cs="宋体"/>
                <w:color w:val="auto"/>
                <w:sz w:val="24"/>
                <w:szCs w:val="24"/>
              </w:rPr>
            </w:pPr>
          </w:p>
        </w:tc>
      </w:tr>
      <w:tr w14:paraId="7DB9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noWrap w:val="0"/>
            <w:vAlign w:val="center"/>
          </w:tcPr>
          <w:p w14:paraId="2FBA41DE">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248" w:type="dxa"/>
            <w:noWrap w:val="0"/>
            <w:vAlign w:val="center"/>
          </w:tcPr>
          <w:p w14:paraId="594A3EAB">
            <w:pPr>
              <w:bidi w:val="0"/>
              <w:jc w:val="center"/>
              <w:rPr>
                <w:rFonts w:hint="eastAsia" w:ascii="宋体" w:hAnsi="宋体" w:eastAsia="宋体" w:cs="宋体"/>
                <w:color w:val="auto"/>
                <w:sz w:val="24"/>
                <w:szCs w:val="24"/>
              </w:rPr>
            </w:pPr>
          </w:p>
        </w:tc>
        <w:tc>
          <w:tcPr>
            <w:tcW w:w="4063" w:type="dxa"/>
            <w:noWrap w:val="0"/>
            <w:vAlign w:val="center"/>
          </w:tcPr>
          <w:p w14:paraId="21A9F6DB">
            <w:pPr>
              <w:bidi w:val="0"/>
              <w:jc w:val="center"/>
              <w:rPr>
                <w:rFonts w:hint="eastAsia" w:ascii="宋体" w:hAnsi="宋体" w:eastAsia="宋体" w:cs="宋体"/>
                <w:color w:val="auto"/>
                <w:sz w:val="24"/>
                <w:szCs w:val="24"/>
              </w:rPr>
            </w:pPr>
          </w:p>
        </w:tc>
        <w:tc>
          <w:tcPr>
            <w:tcW w:w="2180" w:type="dxa"/>
            <w:noWrap w:val="0"/>
            <w:vAlign w:val="center"/>
          </w:tcPr>
          <w:p w14:paraId="42093819">
            <w:pPr>
              <w:bidi w:val="0"/>
              <w:jc w:val="center"/>
              <w:rPr>
                <w:rFonts w:hint="eastAsia" w:ascii="宋体" w:hAnsi="宋体" w:eastAsia="宋体" w:cs="宋体"/>
                <w:color w:val="auto"/>
                <w:sz w:val="24"/>
                <w:szCs w:val="24"/>
              </w:rPr>
            </w:pPr>
          </w:p>
        </w:tc>
        <w:tc>
          <w:tcPr>
            <w:tcW w:w="897" w:type="dxa"/>
            <w:noWrap w:val="0"/>
            <w:vAlign w:val="center"/>
          </w:tcPr>
          <w:p w14:paraId="21DF631F">
            <w:pPr>
              <w:bidi w:val="0"/>
              <w:jc w:val="center"/>
              <w:rPr>
                <w:rFonts w:hint="eastAsia" w:ascii="宋体" w:hAnsi="宋体" w:eastAsia="宋体" w:cs="宋体"/>
                <w:color w:val="auto"/>
                <w:sz w:val="24"/>
                <w:szCs w:val="24"/>
              </w:rPr>
            </w:pPr>
          </w:p>
        </w:tc>
        <w:tc>
          <w:tcPr>
            <w:tcW w:w="756" w:type="dxa"/>
            <w:noWrap w:val="0"/>
            <w:vAlign w:val="center"/>
          </w:tcPr>
          <w:p w14:paraId="507A70D5">
            <w:pPr>
              <w:bidi w:val="0"/>
              <w:jc w:val="center"/>
              <w:rPr>
                <w:rFonts w:hint="eastAsia" w:ascii="宋体" w:hAnsi="宋体" w:eastAsia="宋体" w:cs="宋体"/>
                <w:color w:val="auto"/>
                <w:sz w:val="24"/>
                <w:szCs w:val="24"/>
              </w:rPr>
            </w:pPr>
          </w:p>
        </w:tc>
      </w:tr>
      <w:tr w14:paraId="2122F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noWrap w:val="0"/>
            <w:vAlign w:val="center"/>
          </w:tcPr>
          <w:p w14:paraId="4B5237C2">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248" w:type="dxa"/>
            <w:noWrap w:val="0"/>
            <w:vAlign w:val="center"/>
          </w:tcPr>
          <w:p w14:paraId="18F2E387">
            <w:pPr>
              <w:bidi w:val="0"/>
              <w:jc w:val="center"/>
              <w:rPr>
                <w:rFonts w:hint="eastAsia" w:ascii="宋体" w:hAnsi="宋体" w:eastAsia="宋体" w:cs="宋体"/>
                <w:color w:val="auto"/>
                <w:sz w:val="24"/>
                <w:szCs w:val="24"/>
              </w:rPr>
            </w:pPr>
          </w:p>
        </w:tc>
        <w:tc>
          <w:tcPr>
            <w:tcW w:w="4063" w:type="dxa"/>
            <w:noWrap w:val="0"/>
            <w:vAlign w:val="center"/>
          </w:tcPr>
          <w:p w14:paraId="6B692B9A">
            <w:pPr>
              <w:bidi w:val="0"/>
              <w:jc w:val="center"/>
              <w:rPr>
                <w:rFonts w:hint="eastAsia" w:ascii="宋体" w:hAnsi="宋体" w:eastAsia="宋体" w:cs="宋体"/>
                <w:color w:val="auto"/>
                <w:sz w:val="24"/>
                <w:szCs w:val="24"/>
              </w:rPr>
            </w:pPr>
          </w:p>
        </w:tc>
        <w:tc>
          <w:tcPr>
            <w:tcW w:w="2180" w:type="dxa"/>
            <w:noWrap w:val="0"/>
            <w:vAlign w:val="center"/>
          </w:tcPr>
          <w:p w14:paraId="4BE57EE1">
            <w:pPr>
              <w:bidi w:val="0"/>
              <w:jc w:val="center"/>
              <w:rPr>
                <w:rFonts w:hint="eastAsia" w:ascii="宋体" w:hAnsi="宋体" w:eastAsia="宋体" w:cs="宋体"/>
                <w:color w:val="auto"/>
                <w:sz w:val="24"/>
                <w:szCs w:val="24"/>
              </w:rPr>
            </w:pPr>
          </w:p>
        </w:tc>
        <w:tc>
          <w:tcPr>
            <w:tcW w:w="897" w:type="dxa"/>
            <w:noWrap w:val="0"/>
            <w:vAlign w:val="center"/>
          </w:tcPr>
          <w:p w14:paraId="2296FA7C">
            <w:pPr>
              <w:bidi w:val="0"/>
              <w:jc w:val="center"/>
              <w:rPr>
                <w:rFonts w:hint="eastAsia" w:ascii="宋体" w:hAnsi="宋体" w:eastAsia="宋体" w:cs="宋体"/>
                <w:color w:val="auto"/>
                <w:sz w:val="24"/>
                <w:szCs w:val="24"/>
              </w:rPr>
            </w:pPr>
          </w:p>
        </w:tc>
        <w:tc>
          <w:tcPr>
            <w:tcW w:w="756" w:type="dxa"/>
            <w:noWrap w:val="0"/>
            <w:vAlign w:val="center"/>
          </w:tcPr>
          <w:p w14:paraId="26EB72CB">
            <w:pPr>
              <w:bidi w:val="0"/>
              <w:jc w:val="center"/>
              <w:rPr>
                <w:rFonts w:hint="eastAsia" w:ascii="宋体" w:hAnsi="宋体" w:eastAsia="宋体" w:cs="宋体"/>
                <w:color w:val="auto"/>
                <w:sz w:val="24"/>
                <w:szCs w:val="24"/>
              </w:rPr>
            </w:pPr>
          </w:p>
        </w:tc>
      </w:tr>
      <w:tr w14:paraId="12C27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noWrap w:val="0"/>
            <w:vAlign w:val="center"/>
          </w:tcPr>
          <w:p w14:paraId="7E4FA7FD">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248" w:type="dxa"/>
            <w:noWrap w:val="0"/>
            <w:vAlign w:val="center"/>
          </w:tcPr>
          <w:p w14:paraId="04FC6B75">
            <w:pPr>
              <w:bidi w:val="0"/>
              <w:jc w:val="center"/>
              <w:rPr>
                <w:rFonts w:hint="eastAsia" w:ascii="宋体" w:hAnsi="宋体" w:eastAsia="宋体" w:cs="宋体"/>
                <w:color w:val="auto"/>
                <w:sz w:val="24"/>
                <w:szCs w:val="24"/>
                <w:lang w:val="en-US" w:eastAsia="zh-CN"/>
              </w:rPr>
            </w:pPr>
          </w:p>
        </w:tc>
        <w:tc>
          <w:tcPr>
            <w:tcW w:w="4063" w:type="dxa"/>
            <w:noWrap w:val="0"/>
            <w:vAlign w:val="center"/>
          </w:tcPr>
          <w:p w14:paraId="69A3448C">
            <w:pPr>
              <w:bidi w:val="0"/>
              <w:jc w:val="center"/>
              <w:rPr>
                <w:rFonts w:hint="eastAsia" w:ascii="宋体" w:hAnsi="宋体" w:eastAsia="宋体" w:cs="宋体"/>
                <w:color w:val="auto"/>
                <w:sz w:val="24"/>
                <w:szCs w:val="24"/>
              </w:rPr>
            </w:pPr>
          </w:p>
        </w:tc>
        <w:tc>
          <w:tcPr>
            <w:tcW w:w="2180" w:type="dxa"/>
            <w:noWrap w:val="0"/>
            <w:vAlign w:val="center"/>
          </w:tcPr>
          <w:p w14:paraId="59E85F3F">
            <w:pPr>
              <w:bidi w:val="0"/>
              <w:jc w:val="center"/>
              <w:rPr>
                <w:rFonts w:hint="eastAsia" w:ascii="宋体" w:hAnsi="宋体" w:eastAsia="宋体" w:cs="宋体"/>
                <w:color w:val="auto"/>
                <w:sz w:val="24"/>
                <w:szCs w:val="24"/>
              </w:rPr>
            </w:pPr>
          </w:p>
        </w:tc>
        <w:tc>
          <w:tcPr>
            <w:tcW w:w="897" w:type="dxa"/>
            <w:noWrap w:val="0"/>
            <w:vAlign w:val="center"/>
          </w:tcPr>
          <w:p w14:paraId="19546D41">
            <w:pPr>
              <w:bidi w:val="0"/>
              <w:jc w:val="center"/>
              <w:rPr>
                <w:rFonts w:hint="eastAsia" w:ascii="宋体" w:hAnsi="宋体" w:eastAsia="宋体" w:cs="宋体"/>
                <w:color w:val="auto"/>
                <w:sz w:val="24"/>
                <w:szCs w:val="24"/>
              </w:rPr>
            </w:pPr>
          </w:p>
        </w:tc>
        <w:tc>
          <w:tcPr>
            <w:tcW w:w="756" w:type="dxa"/>
            <w:noWrap w:val="0"/>
            <w:vAlign w:val="center"/>
          </w:tcPr>
          <w:p w14:paraId="44A263F1">
            <w:pPr>
              <w:bidi w:val="0"/>
              <w:jc w:val="center"/>
              <w:rPr>
                <w:rFonts w:hint="eastAsia" w:ascii="宋体" w:hAnsi="宋体" w:eastAsia="宋体" w:cs="宋体"/>
                <w:color w:val="auto"/>
                <w:sz w:val="24"/>
                <w:szCs w:val="24"/>
              </w:rPr>
            </w:pPr>
          </w:p>
        </w:tc>
      </w:tr>
      <w:tr w14:paraId="4AD84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noWrap w:val="0"/>
            <w:vAlign w:val="center"/>
          </w:tcPr>
          <w:p w14:paraId="7E8CC307">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248" w:type="dxa"/>
            <w:noWrap w:val="0"/>
            <w:vAlign w:val="center"/>
          </w:tcPr>
          <w:p w14:paraId="4948158E">
            <w:pPr>
              <w:bidi w:val="0"/>
              <w:jc w:val="center"/>
              <w:rPr>
                <w:rFonts w:hint="eastAsia" w:ascii="宋体" w:hAnsi="宋体" w:eastAsia="宋体" w:cs="宋体"/>
                <w:color w:val="auto"/>
                <w:sz w:val="24"/>
                <w:szCs w:val="24"/>
                <w:lang w:val="en-US" w:eastAsia="zh-CN"/>
              </w:rPr>
            </w:pPr>
          </w:p>
        </w:tc>
        <w:tc>
          <w:tcPr>
            <w:tcW w:w="4063" w:type="dxa"/>
            <w:noWrap w:val="0"/>
            <w:vAlign w:val="center"/>
          </w:tcPr>
          <w:p w14:paraId="6FF5CB15">
            <w:pPr>
              <w:bidi w:val="0"/>
              <w:jc w:val="center"/>
              <w:rPr>
                <w:rFonts w:hint="eastAsia" w:ascii="宋体" w:hAnsi="宋体" w:eastAsia="宋体" w:cs="宋体"/>
                <w:color w:val="auto"/>
                <w:sz w:val="24"/>
                <w:szCs w:val="24"/>
                <w:lang w:val="en-US" w:eastAsia="zh-CN"/>
              </w:rPr>
            </w:pPr>
          </w:p>
        </w:tc>
        <w:tc>
          <w:tcPr>
            <w:tcW w:w="2180" w:type="dxa"/>
            <w:noWrap w:val="0"/>
            <w:vAlign w:val="center"/>
          </w:tcPr>
          <w:p w14:paraId="397EA155">
            <w:pPr>
              <w:bidi w:val="0"/>
              <w:jc w:val="center"/>
              <w:rPr>
                <w:rFonts w:hint="eastAsia" w:ascii="宋体" w:hAnsi="宋体" w:eastAsia="宋体" w:cs="宋体"/>
                <w:color w:val="auto"/>
                <w:sz w:val="24"/>
                <w:szCs w:val="24"/>
              </w:rPr>
            </w:pPr>
          </w:p>
        </w:tc>
        <w:tc>
          <w:tcPr>
            <w:tcW w:w="897" w:type="dxa"/>
            <w:noWrap w:val="0"/>
            <w:vAlign w:val="center"/>
          </w:tcPr>
          <w:p w14:paraId="704A3B7A">
            <w:pPr>
              <w:bidi w:val="0"/>
              <w:jc w:val="center"/>
              <w:rPr>
                <w:rFonts w:hint="eastAsia" w:ascii="宋体" w:hAnsi="宋体" w:eastAsia="宋体" w:cs="宋体"/>
                <w:color w:val="auto"/>
                <w:sz w:val="24"/>
                <w:szCs w:val="24"/>
              </w:rPr>
            </w:pPr>
          </w:p>
        </w:tc>
        <w:tc>
          <w:tcPr>
            <w:tcW w:w="756" w:type="dxa"/>
            <w:noWrap w:val="0"/>
            <w:vAlign w:val="center"/>
          </w:tcPr>
          <w:p w14:paraId="53B162BD">
            <w:pPr>
              <w:bidi w:val="0"/>
              <w:jc w:val="center"/>
              <w:rPr>
                <w:rFonts w:hint="eastAsia" w:ascii="宋体" w:hAnsi="宋体" w:eastAsia="宋体" w:cs="宋体"/>
                <w:color w:val="auto"/>
                <w:sz w:val="24"/>
                <w:szCs w:val="24"/>
              </w:rPr>
            </w:pPr>
          </w:p>
        </w:tc>
      </w:tr>
      <w:tr w14:paraId="3A77C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noWrap w:val="0"/>
            <w:vAlign w:val="center"/>
          </w:tcPr>
          <w:p w14:paraId="7540B2D4">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248" w:type="dxa"/>
            <w:noWrap w:val="0"/>
            <w:vAlign w:val="center"/>
          </w:tcPr>
          <w:p w14:paraId="402DAAFE">
            <w:pPr>
              <w:bidi w:val="0"/>
              <w:jc w:val="center"/>
              <w:rPr>
                <w:rFonts w:hint="eastAsia" w:ascii="宋体" w:hAnsi="宋体" w:eastAsia="宋体" w:cs="宋体"/>
                <w:color w:val="auto"/>
                <w:sz w:val="24"/>
                <w:szCs w:val="24"/>
                <w:lang w:val="en-US" w:eastAsia="zh-CN"/>
              </w:rPr>
            </w:pPr>
          </w:p>
        </w:tc>
        <w:tc>
          <w:tcPr>
            <w:tcW w:w="4063" w:type="dxa"/>
            <w:noWrap w:val="0"/>
            <w:vAlign w:val="center"/>
          </w:tcPr>
          <w:p w14:paraId="532F425A">
            <w:pPr>
              <w:bidi w:val="0"/>
              <w:jc w:val="center"/>
              <w:rPr>
                <w:rFonts w:hint="eastAsia" w:ascii="宋体" w:hAnsi="宋体" w:eastAsia="宋体" w:cs="宋体"/>
                <w:color w:val="auto"/>
                <w:sz w:val="24"/>
                <w:szCs w:val="24"/>
                <w:lang w:val="en-US" w:eastAsia="zh-CN"/>
              </w:rPr>
            </w:pPr>
          </w:p>
        </w:tc>
        <w:tc>
          <w:tcPr>
            <w:tcW w:w="2180" w:type="dxa"/>
            <w:noWrap w:val="0"/>
            <w:vAlign w:val="center"/>
          </w:tcPr>
          <w:p w14:paraId="4BFF2A37">
            <w:pPr>
              <w:bidi w:val="0"/>
              <w:jc w:val="center"/>
              <w:rPr>
                <w:rFonts w:hint="eastAsia" w:ascii="宋体" w:hAnsi="宋体" w:eastAsia="宋体" w:cs="宋体"/>
                <w:color w:val="auto"/>
                <w:sz w:val="24"/>
                <w:szCs w:val="24"/>
              </w:rPr>
            </w:pPr>
          </w:p>
        </w:tc>
        <w:tc>
          <w:tcPr>
            <w:tcW w:w="897" w:type="dxa"/>
            <w:noWrap w:val="0"/>
            <w:vAlign w:val="center"/>
          </w:tcPr>
          <w:p w14:paraId="41F12A76">
            <w:pPr>
              <w:bidi w:val="0"/>
              <w:jc w:val="center"/>
              <w:rPr>
                <w:rFonts w:hint="eastAsia" w:ascii="宋体" w:hAnsi="宋体" w:eastAsia="宋体" w:cs="宋体"/>
                <w:color w:val="auto"/>
                <w:sz w:val="24"/>
                <w:szCs w:val="24"/>
              </w:rPr>
            </w:pPr>
          </w:p>
        </w:tc>
        <w:tc>
          <w:tcPr>
            <w:tcW w:w="756" w:type="dxa"/>
            <w:noWrap w:val="0"/>
            <w:vAlign w:val="center"/>
          </w:tcPr>
          <w:p w14:paraId="68B48C2F">
            <w:pPr>
              <w:bidi w:val="0"/>
              <w:jc w:val="center"/>
              <w:rPr>
                <w:rFonts w:hint="eastAsia" w:ascii="宋体" w:hAnsi="宋体" w:eastAsia="宋体" w:cs="宋体"/>
                <w:color w:val="auto"/>
                <w:sz w:val="24"/>
                <w:szCs w:val="24"/>
              </w:rPr>
            </w:pPr>
          </w:p>
        </w:tc>
      </w:tr>
      <w:tr w14:paraId="5824C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noWrap w:val="0"/>
            <w:vAlign w:val="center"/>
          </w:tcPr>
          <w:p w14:paraId="754231D7">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1248" w:type="dxa"/>
            <w:noWrap w:val="0"/>
            <w:vAlign w:val="center"/>
          </w:tcPr>
          <w:p w14:paraId="435A698D">
            <w:pPr>
              <w:bidi w:val="0"/>
              <w:jc w:val="center"/>
              <w:rPr>
                <w:rFonts w:hint="eastAsia" w:ascii="宋体" w:hAnsi="宋体" w:eastAsia="宋体" w:cs="宋体"/>
                <w:color w:val="auto"/>
                <w:sz w:val="24"/>
                <w:szCs w:val="24"/>
                <w:lang w:val="en-US" w:eastAsia="zh-CN"/>
              </w:rPr>
            </w:pPr>
          </w:p>
        </w:tc>
        <w:tc>
          <w:tcPr>
            <w:tcW w:w="4063" w:type="dxa"/>
            <w:noWrap w:val="0"/>
            <w:vAlign w:val="center"/>
          </w:tcPr>
          <w:p w14:paraId="1CD5DCF7">
            <w:pPr>
              <w:bidi w:val="0"/>
              <w:jc w:val="center"/>
              <w:rPr>
                <w:rFonts w:hint="eastAsia" w:ascii="宋体" w:hAnsi="宋体" w:eastAsia="宋体" w:cs="宋体"/>
                <w:color w:val="auto"/>
                <w:sz w:val="24"/>
                <w:szCs w:val="24"/>
                <w:lang w:val="en-US" w:eastAsia="zh-CN"/>
              </w:rPr>
            </w:pPr>
          </w:p>
        </w:tc>
        <w:tc>
          <w:tcPr>
            <w:tcW w:w="2180" w:type="dxa"/>
            <w:noWrap w:val="0"/>
            <w:vAlign w:val="center"/>
          </w:tcPr>
          <w:p w14:paraId="7784665E">
            <w:pPr>
              <w:bidi w:val="0"/>
              <w:jc w:val="center"/>
              <w:rPr>
                <w:rFonts w:hint="eastAsia" w:ascii="宋体" w:hAnsi="宋体" w:eastAsia="宋体" w:cs="宋体"/>
                <w:color w:val="auto"/>
                <w:sz w:val="24"/>
                <w:szCs w:val="24"/>
              </w:rPr>
            </w:pPr>
          </w:p>
        </w:tc>
        <w:tc>
          <w:tcPr>
            <w:tcW w:w="897" w:type="dxa"/>
            <w:noWrap w:val="0"/>
            <w:vAlign w:val="center"/>
          </w:tcPr>
          <w:p w14:paraId="3D965E32">
            <w:pPr>
              <w:bidi w:val="0"/>
              <w:jc w:val="center"/>
              <w:rPr>
                <w:rFonts w:hint="eastAsia" w:ascii="宋体" w:hAnsi="宋体" w:eastAsia="宋体" w:cs="宋体"/>
                <w:color w:val="auto"/>
                <w:sz w:val="24"/>
                <w:szCs w:val="24"/>
              </w:rPr>
            </w:pPr>
          </w:p>
        </w:tc>
        <w:tc>
          <w:tcPr>
            <w:tcW w:w="756" w:type="dxa"/>
            <w:noWrap w:val="0"/>
            <w:vAlign w:val="center"/>
          </w:tcPr>
          <w:p w14:paraId="641F4AD5">
            <w:pPr>
              <w:bidi w:val="0"/>
              <w:jc w:val="center"/>
              <w:rPr>
                <w:rFonts w:hint="eastAsia" w:ascii="宋体" w:hAnsi="宋体" w:eastAsia="宋体" w:cs="宋体"/>
                <w:color w:val="auto"/>
                <w:sz w:val="24"/>
                <w:szCs w:val="24"/>
              </w:rPr>
            </w:pPr>
          </w:p>
        </w:tc>
      </w:tr>
      <w:tr w14:paraId="102DC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noWrap w:val="0"/>
            <w:vAlign w:val="center"/>
          </w:tcPr>
          <w:p w14:paraId="6326911F">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1248" w:type="dxa"/>
            <w:noWrap w:val="0"/>
            <w:vAlign w:val="center"/>
          </w:tcPr>
          <w:p w14:paraId="115C4ACF">
            <w:pPr>
              <w:bidi w:val="0"/>
              <w:jc w:val="center"/>
              <w:rPr>
                <w:rFonts w:hint="eastAsia" w:ascii="宋体" w:hAnsi="宋体" w:eastAsia="宋体" w:cs="宋体"/>
                <w:color w:val="auto"/>
                <w:sz w:val="24"/>
                <w:szCs w:val="24"/>
                <w:lang w:val="en-US" w:eastAsia="zh-CN"/>
              </w:rPr>
            </w:pPr>
          </w:p>
        </w:tc>
        <w:tc>
          <w:tcPr>
            <w:tcW w:w="4063" w:type="dxa"/>
            <w:noWrap w:val="0"/>
            <w:vAlign w:val="center"/>
          </w:tcPr>
          <w:p w14:paraId="406932B1">
            <w:pPr>
              <w:bidi w:val="0"/>
              <w:jc w:val="center"/>
              <w:rPr>
                <w:rFonts w:hint="eastAsia" w:ascii="宋体" w:hAnsi="宋体" w:eastAsia="宋体" w:cs="宋体"/>
                <w:color w:val="auto"/>
                <w:sz w:val="24"/>
                <w:szCs w:val="24"/>
                <w:lang w:val="en-US" w:eastAsia="zh-CN"/>
              </w:rPr>
            </w:pPr>
          </w:p>
        </w:tc>
        <w:tc>
          <w:tcPr>
            <w:tcW w:w="2180" w:type="dxa"/>
            <w:noWrap w:val="0"/>
            <w:vAlign w:val="center"/>
          </w:tcPr>
          <w:p w14:paraId="55331657">
            <w:pPr>
              <w:bidi w:val="0"/>
              <w:jc w:val="center"/>
              <w:rPr>
                <w:rFonts w:hint="eastAsia" w:ascii="宋体" w:hAnsi="宋体" w:eastAsia="宋体" w:cs="宋体"/>
                <w:color w:val="auto"/>
                <w:sz w:val="24"/>
                <w:szCs w:val="24"/>
              </w:rPr>
            </w:pPr>
          </w:p>
        </w:tc>
        <w:tc>
          <w:tcPr>
            <w:tcW w:w="897" w:type="dxa"/>
            <w:noWrap w:val="0"/>
            <w:vAlign w:val="center"/>
          </w:tcPr>
          <w:p w14:paraId="2B25ACD5">
            <w:pPr>
              <w:bidi w:val="0"/>
              <w:jc w:val="center"/>
              <w:rPr>
                <w:rFonts w:hint="eastAsia" w:ascii="宋体" w:hAnsi="宋体" w:eastAsia="宋体" w:cs="宋体"/>
                <w:color w:val="auto"/>
                <w:sz w:val="24"/>
                <w:szCs w:val="24"/>
              </w:rPr>
            </w:pPr>
          </w:p>
        </w:tc>
        <w:tc>
          <w:tcPr>
            <w:tcW w:w="756" w:type="dxa"/>
            <w:noWrap w:val="0"/>
            <w:vAlign w:val="center"/>
          </w:tcPr>
          <w:p w14:paraId="2C68B2D8">
            <w:pPr>
              <w:bidi w:val="0"/>
              <w:jc w:val="center"/>
              <w:rPr>
                <w:rFonts w:hint="eastAsia" w:ascii="宋体" w:hAnsi="宋体" w:eastAsia="宋体" w:cs="宋体"/>
                <w:color w:val="auto"/>
                <w:sz w:val="24"/>
                <w:szCs w:val="24"/>
              </w:rPr>
            </w:pPr>
          </w:p>
        </w:tc>
      </w:tr>
      <w:tr w14:paraId="3FB79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noWrap w:val="0"/>
            <w:vAlign w:val="center"/>
          </w:tcPr>
          <w:p w14:paraId="039DBA94">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1248" w:type="dxa"/>
            <w:noWrap w:val="0"/>
            <w:vAlign w:val="center"/>
          </w:tcPr>
          <w:p w14:paraId="6F851019">
            <w:pPr>
              <w:bidi w:val="0"/>
              <w:jc w:val="center"/>
              <w:rPr>
                <w:rFonts w:hint="eastAsia" w:ascii="宋体" w:hAnsi="宋体" w:eastAsia="宋体" w:cs="宋体"/>
                <w:color w:val="auto"/>
                <w:sz w:val="24"/>
                <w:szCs w:val="24"/>
                <w:lang w:val="en-US" w:eastAsia="zh-CN"/>
              </w:rPr>
            </w:pPr>
          </w:p>
        </w:tc>
        <w:tc>
          <w:tcPr>
            <w:tcW w:w="4063" w:type="dxa"/>
            <w:noWrap w:val="0"/>
            <w:vAlign w:val="center"/>
          </w:tcPr>
          <w:p w14:paraId="47D0131B">
            <w:pPr>
              <w:bidi w:val="0"/>
              <w:jc w:val="center"/>
              <w:rPr>
                <w:rFonts w:hint="eastAsia" w:ascii="宋体" w:hAnsi="宋体" w:eastAsia="宋体" w:cs="宋体"/>
                <w:color w:val="auto"/>
                <w:sz w:val="24"/>
                <w:szCs w:val="24"/>
                <w:lang w:val="en-US" w:eastAsia="zh-CN"/>
              </w:rPr>
            </w:pPr>
          </w:p>
        </w:tc>
        <w:tc>
          <w:tcPr>
            <w:tcW w:w="2180" w:type="dxa"/>
            <w:noWrap w:val="0"/>
            <w:vAlign w:val="center"/>
          </w:tcPr>
          <w:p w14:paraId="051B203B">
            <w:pPr>
              <w:bidi w:val="0"/>
              <w:jc w:val="center"/>
              <w:rPr>
                <w:rFonts w:hint="eastAsia" w:ascii="宋体" w:hAnsi="宋体" w:eastAsia="宋体" w:cs="宋体"/>
                <w:color w:val="auto"/>
                <w:sz w:val="24"/>
                <w:szCs w:val="24"/>
              </w:rPr>
            </w:pPr>
          </w:p>
        </w:tc>
        <w:tc>
          <w:tcPr>
            <w:tcW w:w="897" w:type="dxa"/>
            <w:noWrap w:val="0"/>
            <w:vAlign w:val="center"/>
          </w:tcPr>
          <w:p w14:paraId="1682488E">
            <w:pPr>
              <w:bidi w:val="0"/>
              <w:jc w:val="center"/>
              <w:rPr>
                <w:rFonts w:hint="eastAsia" w:ascii="宋体" w:hAnsi="宋体" w:eastAsia="宋体" w:cs="宋体"/>
                <w:color w:val="auto"/>
                <w:sz w:val="24"/>
                <w:szCs w:val="24"/>
              </w:rPr>
            </w:pPr>
          </w:p>
        </w:tc>
        <w:tc>
          <w:tcPr>
            <w:tcW w:w="756" w:type="dxa"/>
            <w:noWrap w:val="0"/>
            <w:vAlign w:val="center"/>
          </w:tcPr>
          <w:p w14:paraId="27E2441C">
            <w:pPr>
              <w:bidi w:val="0"/>
              <w:jc w:val="center"/>
              <w:rPr>
                <w:rFonts w:hint="eastAsia" w:ascii="宋体" w:hAnsi="宋体" w:eastAsia="宋体" w:cs="宋体"/>
                <w:color w:val="auto"/>
                <w:sz w:val="24"/>
                <w:szCs w:val="24"/>
              </w:rPr>
            </w:pPr>
          </w:p>
        </w:tc>
      </w:tr>
    </w:tbl>
    <w:p w14:paraId="0E98FC8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注：1.对招标文件中的所有商务、技术要求，除本表所列明的所有偏离外，均视作供应商已对之理解和响应。</w:t>
      </w:r>
    </w:p>
    <w:p w14:paraId="2BA157F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2.投标人应对招标文件“第五章 采购需求”中的所有条款进行点对点应答，此表中若无任何文字说明，内容为空白的，</w:t>
      </w:r>
      <w:r>
        <w:rPr>
          <w:rFonts w:hint="eastAsia" w:ascii="宋体" w:hAnsi="宋体" w:eastAsia="宋体" w:cs="宋体"/>
          <w:b/>
          <w:bCs/>
          <w:color w:val="auto"/>
          <w:sz w:val="24"/>
          <w:szCs w:val="24"/>
        </w:rPr>
        <w:t>投标无效</w:t>
      </w:r>
      <w:r>
        <w:rPr>
          <w:rFonts w:hint="eastAsia" w:ascii="宋体" w:hAnsi="宋体" w:eastAsia="宋体" w:cs="宋体"/>
          <w:color w:val="auto"/>
          <w:sz w:val="24"/>
          <w:szCs w:val="24"/>
        </w:rPr>
        <w:t>。</w:t>
      </w:r>
    </w:p>
    <w:p w14:paraId="5656E1D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3.“偏离情况”列应据实填写“无偏离”、“正偏离”或“负偏离”。</w:t>
      </w:r>
    </w:p>
    <w:p w14:paraId="4A2DAC0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投标人名称（盖章）：</w:t>
      </w:r>
    </w:p>
    <w:p w14:paraId="5E4E2AE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法定代表人（单位负责人）或授权代表（签字）：</w:t>
      </w:r>
    </w:p>
    <w:p w14:paraId="4B2C300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时间：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p>
    <w:p w14:paraId="10634F16">
      <w:pPr>
        <w:outlineLvl w:val="9"/>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5E6934A7">
      <w:pPr>
        <w:spacing w:before="48" w:line="220" w:lineRule="auto"/>
        <w:outlineLvl w:val="9"/>
        <w:rPr>
          <w:rFonts w:hint="eastAsia" w:ascii="宋体" w:hAnsi="宋体" w:eastAsia="宋体" w:cs="宋体"/>
          <w:color w:val="auto"/>
          <w:sz w:val="24"/>
          <w:szCs w:val="24"/>
        </w:rPr>
      </w:pPr>
      <w:bookmarkStart w:id="46" w:name="_Toc6032"/>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格式五：</w:t>
      </w:r>
      <w:bookmarkEnd w:id="46"/>
    </w:p>
    <w:p w14:paraId="3EE49B9B">
      <w:pPr>
        <w:spacing w:before="182" w:line="219" w:lineRule="auto"/>
        <w:ind w:left="3324"/>
        <w:outlineLvl w:val="9"/>
        <w:rPr>
          <w:rFonts w:hint="eastAsia" w:ascii="宋体" w:hAnsi="宋体" w:eastAsia="宋体" w:cs="宋体"/>
          <w:color w:val="auto"/>
          <w:sz w:val="24"/>
          <w:szCs w:val="24"/>
        </w:rPr>
      </w:pPr>
      <w:bookmarkStart w:id="47" w:name="_Toc6896"/>
      <w:r>
        <w:rPr>
          <w:rFonts w:hint="eastAsia" w:ascii="宋体" w:hAnsi="宋体" w:eastAsia="宋体" w:cs="宋体"/>
          <w:color w:val="auto"/>
          <w:sz w:val="24"/>
          <w:szCs w:val="24"/>
          <w14:textOutline w14:w="4358" w14:cap="sq" w14:cmpd="sng">
            <w14:solidFill>
              <w14:srgbClr w14:val="000000"/>
            </w14:solidFill>
            <w14:prstDash w14:val="solid"/>
            <w14:bevel/>
          </w14:textOutline>
        </w:rPr>
        <w:t>售后服务承诺书（格式）</w:t>
      </w:r>
      <w:bookmarkEnd w:id="47"/>
    </w:p>
    <w:p w14:paraId="537C51C2">
      <w:pPr>
        <w:pStyle w:val="5"/>
        <w:spacing w:line="283" w:lineRule="auto"/>
        <w:outlineLvl w:val="9"/>
        <w:rPr>
          <w:rFonts w:hint="eastAsia" w:ascii="宋体" w:hAnsi="宋体" w:eastAsia="宋体" w:cs="宋体"/>
          <w:color w:val="auto"/>
        </w:rPr>
      </w:pPr>
    </w:p>
    <w:p w14:paraId="0731F207">
      <w:pPr>
        <w:pStyle w:val="5"/>
        <w:spacing w:line="284" w:lineRule="auto"/>
        <w:outlineLvl w:val="9"/>
        <w:rPr>
          <w:rFonts w:hint="eastAsia" w:ascii="宋体" w:hAnsi="宋体" w:eastAsia="宋体" w:cs="宋体"/>
          <w:color w:val="auto"/>
        </w:rPr>
      </w:pPr>
    </w:p>
    <w:p w14:paraId="4CB58C83">
      <w:pPr>
        <w:spacing w:before="78" w:line="220" w:lineRule="auto"/>
        <w:ind w:left="22"/>
        <w:outlineLvl w:val="9"/>
        <w:rPr>
          <w:rFonts w:hint="eastAsia" w:ascii="宋体" w:hAnsi="宋体" w:eastAsia="宋体" w:cs="宋体"/>
          <w:color w:val="auto"/>
          <w:sz w:val="24"/>
          <w:szCs w:val="24"/>
        </w:rPr>
      </w:pPr>
      <w:bookmarkStart w:id="48" w:name="_Toc25879"/>
      <w:r>
        <w:rPr>
          <w:rFonts w:hint="eastAsia" w:ascii="宋体" w:hAnsi="宋体" w:eastAsia="宋体" w:cs="宋体"/>
          <w:color w:val="auto"/>
          <w:spacing w:val="-3"/>
          <w:sz w:val="24"/>
          <w:szCs w:val="24"/>
        </w:rPr>
        <w:t>吉林省吉诚工程咨询有限公司：</w:t>
      </w:r>
      <w:bookmarkEnd w:id="48"/>
    </w:p>
    <w:p w14:paraId="458479DE">
      <w:pPr>
        <w:spacing w:before="179" w:line="360" w:lineRule="auto"/>
        <w:ind w:left="2" w:firstLine="479"/>
        <w:jc w:val="both"/>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我公司自愿参加</w:t>
      </w:r>
      <w:r>
        <w:rPr>
          <w:rFonts w:hint="eastAsia" w:ascii="宋体" w:hAnsi="宋体" w:eastAsia="宋体" w:cs="宋体"/>
          <w:color w:val="auto"/>
          <w:spacing w:val="-2"/>
          <w:sz w:val="24"/>
          <w:szCs w:val="24"/>
          <w:u w:val="single" w:color="auto"/>
        </w:rPr>
        <w:t xml:space="preserve">        </w:t>
      </w:r>
      <w:r>
        <w:rPr>
          <w:rFonts w:hint="eastAsia" w:ascii="宋体" w:hAnsi="宋体" w:eastAsia="宋体" w:cs="宋体"/>
          <w:color w:val="auto"/>
          <w:spacing w:val="-106"/>
          <w:sz w:val="24"/>
          <w:szCs w:val="24"/>
        </w:rPr>
        <w:t xml:space="preserve"> </w:t>
      </w:r>
      <w:r>
        <w:rPr>
          <w:rFonts w:hint="eastAsia" w:ascii="宋体" w:hAnsi="宋体" w:eastAsia="宋体" w:cs="宋体"/>
          <w:color w:val="auto"/>
          <w:spacing w:val="-2"/>
          <w:sz w:val="24"/>
          <w:szCs w:val="24"/>
        </w:rPr>
        <w:t>项目（项目编号）的投标。我公司郑重承诺</w:t>
      </w:r>
      <w:r>
        <w:rPr>
          <w:rFonts w:hint="eastAsia" w:ascii="宋体" w:hAnsi="宋体" w:eastAsia="宋体" w:cs="宋体"/>
          <w:color w:val="auto"/>
          <w:spacing w:val="-3"/>
          <w:sz w:val="24"/>
          <w:szCs w:val="24"/>
        </w:rPr>
        <w:t>，如果我公司的</w:t>
      </w:r>
      <w:r>
        <w:rPr>
          <w:rFonts w:hint="eastAsia" w:ascii="宋体" w:hAnsi="宋体" w:eastAsia="宋体" w:cs="宋体"/>
          <w:color w:val="auto"/>
          <w:spacing w:val="-2"/>
          <w:sz w:val="24"/>
          <w:szCs w:val="24"/>
        </w:rPr>
        <w:t>投标被评定为中标，我公司对于中标货物，除完全响应招标文件合同条款对伴随服务和售</w:t>
      </w:r>
      <w:r>
        <w:rPr>
          <w:rFonts w:hint="eastAsia" w:ascii="宋体" w:hAnsi="宋体" w:eastAsia="宋体" w:cs="宋体"/>
          <w:color w:val="auto"/>
          <w:spacing w:val="-1"/>
          <w:sz w:val="24"/>
          <w:szCs w:val="24"/>
        </w:rPr>
        <w:t>后服务的所有要求外，还将按照以下条款提供优质和完善的售后服务：</w:t>
      </w:r>
    </w:p>
    <w:p w14:paraId="3AB300D6">
      <w:pPr>
        <w:spacing w:before="217" w:line="469" w:lineRule="exact"/>
        <w:ind w:left="497"/>
        <w:outlineLvl w:val="9"/>
        <w:rPr>
          <w:rFonts w:hint="eastAsia" w:ascii="宋体" w:hAnsi="宋体" w:eastAsia="宋体" w:cs="宋体"/>
          <w:color w:val="auto"/>
          <w:sz w:val="24"/>
          <w:szCs w:val="24"/>
        </w:rPr>
      </w:pPr>
      <w:r>
        <w:rPr>
          <w:rFonts w:hint="eastAsia" w:ascii="宋体" w:hAnsi="宋体" w:eastAsia="宋体" w:cs="宋体"/>
          <w:color w:val="auto"/>
          <w:spacing w:val="-14"/>
          <w:position w:val="21"/>
          <w:sz w:val="24"/>
          <w:szCs w:val="24"/>
        </w:rPr>
        <w:t>1.</w:t>
      </w:r>
    </w:p>
    <w:p w14:paraId="6BB56A00">
      <w:pPr>
        <w:spacing w:line="183" w:lineRule="auto"/>
        <w:ind w:left="482"/>
        <w:outlineLvl w:val="9"/>
        <w:rPr>
          <w:rFonts w:hint="eastAsia" w:ascii="宋体" w:hAnsi="宋体" w:eastAsia="宋体" w:cs="宋体"/>
          <w:color w:val="auto"/>
          <w:sz w:val="24"/>
          <w:szCs w:val="24"/>
        </w:rPr>
      </w:pPr>
      <w:r>
        <w:rPr>
          <w:rFonts w:hint="eastAsia" w:ascii="宋体" w:hAnsi="宋体" w:eastAsia="宋体" w:cs="宋体"/>
          <w:color w:val="auto"/>
          <w:spacing w:val="-7"/>
          <w:sz w:val="24"/>
          <w:szCs w:val="24"/>
        </w:rPr>
        <w:t>2.</w:t>
      </w:r>
    </w:p>
    <w:p w14:paraId="321A1C77">
      <w:pPr>
        <w:spacing w:before="210" w:line="99" w:lineRule="exact"/>
        <w:ind w:left="486"/>
        <w:outlineLvl w:val="9"/>
        <w:rPr>
          <w:rFonts w:hint="eastAsia" w:ascii="宋体" w:hAnsi="宋体" w:eastAsia="宋体" w:cs="宋体"/>
          <w:color w:val="auto"/>
          <w:sz w:val="24"/>
          <w:szCs w:val="24"/>
        </w:rPr>
      </w:pPr>
      <w:r>
        <w:rPr>
          <w:rFonts w:hint="eastAsia" w:ascii="宋体" w:hAnsi="宋体" w:eastAsia="宋体" w:cs="宋体"/>
          <w:color w:val="auto"/>
          <w:position w:val="1"/>
          <w:sz w:val="24"/>
          <w:szCs w:val="24"/>
        </w:rPr>
        <w:t>...</w:t>
      </w:r>
    </w:p>
    <w:p w14:paraId="03BB5BBB">
      <w:pPr>
        <w:pStyle w:val="5"/>
        <w:spacing w:line="295" w:lineRule="auto"/>
        <w:outlineLvl w:val="9"/>
        <w:rPr>
          <w:rFonts w:hint="eastAsia" w:ascii="宋体" w:hAnsi="宋体" w:eastAsia="宋体" w:cs="宋体"/>
          <w:color w:val="auto"/>
        </w:rPr>
      </w:pPr>
    </w:p>
    <w:p w14:paraId="7A1582DB">
      <w:pPr>
        <w:pStyle w:val="5"/>
        <w:spacing w:line="295" w:lineRule="auto"/>
        <w:outlineLvl w:val="9"/>
        <w:rPr>
          <w:rFonts w:hint="eastAsia" w:ascii="宋体" w:hAnsi="宋体" w:eastAsia="宋体" w:cs="宋体"/>
          <w:color w:val="auto"/>
        </w:rPr>
      </w:pPr>
    </w:p>
    <w:p w14:paraId="0659970D">
      <w:pPr>
        <w:pStyle w:val="5"/>
        <w:spacing w:line="296" w:lineRule="auto"/>
        <w:outlineLvl w:val="9"/>
        <w:rPr>
          <w:rFonts w:hint="eastAsia" w:ascii="宋体" w:hAnsi="宋体" w:eastAsia="宋体" w:cs="宋体"/>
          <w:color w:val="auto"/>
        </w:rPr>
      </w:pPr>
    </w:p>
    <w:p w14:paraId="683B3795">
      <w:pPr>
        <w:spacing w:before="79" w:line="219" w:lineRule="auto"/>
        <w:ind w:left="482"/>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投标人名称（盖章</w:t>
      </w:r>
      <w:r>
        <w:rPr>
          <w:rFonts w:hint="eastAsia" w:ascii="宋体" w:hAnsi="宋体" w:eastAsia="宋体" w:cs="宋体"/>
          <w:color w:val="auto"/>
          <w:spacing w:val="1"/>
          <w:sz w:val="24"/>
          <w:szCs w:val="24"/>
        </w:rPr>
        <w:t>）：</w:t>
      </w:r>
    </w:p>
    <w:p w14:paraId="5E4C4905">
      <w:pPr>
        <w:spacing w:before="183" w:line="465" w:lineRule="exact"/>
        <w:ind w:left="480"/>
        <w:outlineLvl w:val="9"/>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法定代表人（单位负责人）</w:t>
      </w:r>
    </w:p>
    <w:p w14:paraId="1DB936DF">
      <w:pPr>
        <w:spacing w:line="220" w:lineRule="auto"/>
        <w:ind w:left="482"/>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或授权代表（签字</w:t>
      </w:r>
      <w:r>
        <w:rPr>
          <w:rFonts w:hint="eastAsia" w:ascii="宋体" w:hAnsi="宋体" w:eastAsia="宋体" w:cs="宋体"/>
          <w:color w:val="auto"/>
          <w:spacing w:val="1"/>
          <w:sz w:val="24"/>
          <w:szCs w:val="24"/>
        </w:rPr>
        <w:t>）：</w:t>
      </w:r>
    </w:p>
    <w:p w14:paraId="7A98AB80">
      <w:pPr>
        <w:spacing w:before="180" w:line="220" w:lineRule="auto"/>
        <w:ind w:left="480"/>
        <w:outlineLvl w:val="9"/>
        <w:rPr>
          <w:rFonts w:hint="eastAsia" w:ascii="宋体" w:hAnsi="宋体" w:eastAsia="宋体" w:cs="宋体"/>
          <w:color w:val="auto"/>
          <w:sz w:val="24"/>
          <w:szCs w:val="24"/>
        </w:rPr>
      </w:pPr>
      <w:bookmarkStart w:id="49" w:name="_Toc1282"/>
      <w:r>
        <w:rPr>
          <w:rFonts w:hint="eastAsia" w:ascii="宋体" w:hAnsi="宋体" w:eastAsia="宋体" w:cs="宋体"/>
          <w:color w:val="auto"/>
          <w:spacing w:val="-9"/>
          <w:sz w:val="24"/>
          <w:szCs w:val="24"/>
        </w:rPr>
        <w:t>年</w:t>
      </w:r>
      <w:r>
        <w:rPr>
          <w:rFonts w:hint="eastAsia" w:ascii="宋体" w:hAnsi="宋体" w:eastAsia="宋体" w:cs="宋体"/>
          <w:color w:val="auto"/>
          <w:spacing w:val="7"/>
          <w:sz w:val="24"/>
          <w:szCs w:val="24"/>
        </w:rPr>
        <w:t xml:space="preserve">  </w:t>
      </w:r>
      <w:r>
        <w:rPr>
          <w:rFonts w:hint="eastAsia" w:ascii="宋体" w:hAnsi="宋体" w:eastAsia="宋体" w:cs="宋体"/>
          <w:color w:val="auto"/>
          <w:spacing w:val="-9"/>
          <w:sz w:val="24"/>
          <w:szCs w:val="24"/>
        </w:rPr>
        <w:t>月</w:t>
      </w:r>
      <w:r>
        <w:rPr>
          <w:rFonts w:hint="eastAsia" w:ascii="宋体" w:hAnsi="宋体" w:eastAsia="宋体" w:cs="宋体"/>
          <w:color w:val="auto"/>
          <w:spacing w:val="17"/>
          <w:sz w:val="24"/>
          <w:szCs w:val="24"/>
        </w:rPr>
        <w:t xml:space="preserve">   </w:t>
      </w:r>
      <w:r>
        <w:rPr>
          <w:rFonts w:hint="eastAsia" w:ascii="宋体" w:hAnsi="宋体" w:eastAsia="宋体" w:cs="宋体"/>
          <w:color w:val="auto"/>
          <w:spacing w:val="-9"/>
          <w:sz w:val="24"/>
          <w:szCs w:val="24"/>
        </w:rPr>
        <w:t>日</w:t>
      </w:r>
      <w:bookmarkEnd w:id="49"/>
    </w:p>
    <w:p w14:paraId="5F80AA9F">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1AF73EFC">
      <w:pPr>
        <w:spacing w:before="48" w:line="220" w:lineRule="auto"/>
        <w:outlineLvl w:val="9"/>
        <w:rPr>
          <w:rFonts w:hint="eastAsia" w:ascii="宋体" w:hAnsi="宋体" w:eastAsia="宋体" w:cs="宋体"/>
          <w:color w:val="auto"/>
          <w:sz w:val="24"/>
          <w:szCs w:val="24"/>
        </w:rPr>
      </w:pPr>
      <w:bookmarkStart w:id="50" w:name="_Toc30861"/>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格式六：</w:t>
      </w:r>
      <w:bookmarkEnd w:id="50"/>
    </w:p>
    <w:p w14:paraId="78F8B25E">
      <w:pPr>
        <w:spacing w:before="182" w:line="220" w:lineRule="auto"/>
        <w:ind w:left="2240"/>
        <w:outlineLvl w:val="9"/>
        <w:rPr>
          <w:rFonts w:hint="eastAsia" w:ascii="宋体" w:hAnsi="宋体" w:eastAsia="宋体" w:cs="宋体"/>
          <w:color w:val="auto"/>
          <w:sz w:val="24"/>
          <w:szCs w:val="24"/>
        </w:rPr>
      </w:pPr>
      <w:bookmarkStart w:id="51" w:name="_Toc30902"/>
      <w:r>
        <w:rPr>
          <w:rFonts w:hint="eastAsia" w:ascii="宋体" w:hAnsi="宋体" w:eastAsia="宋体" w:cs="宋体"/>
          <w:color w:val="auto"/>
          <w:sz w:val="24"/>
          <w:szCs w:val="24"/>
          <w14:textOutline w14:w="4358" w14:cap="sq" w14:cmpd="sng">
            <w14:solidFill>
              <w14:srgbClr w14:val="000000"/>
            </w14:solidFill>
            <w14:prstDash w14:val="solid"/>
            <w14:bevel/>
          </w14:textOutline>
        </w:rPr>
        <w:t>法定代表人（单位负责人）身份证明（格式）</w:t>
      </w:r>
      <w:bookmarkEnd w:id="51"/>
    </w:p>
    <w:p w14:paraId="1873ABB6">
      <w:pPr>
        <w:pStyle w:val="5"/>
        <w:spacing w:line="283" w:lineRule="auto"/>
        <w:outlineLvl w:val="9"/>
        <w:rPr>
          <w:rFonts w:hint="eastAsia" w:ascii="宋体" w:hAnsi="宋体" w:eastAsia="宋体" w:cs="宋体"/>
          <w:color w:val="auto"/>
        </w:rPr>
      </w:pPr>
    </w:p>
    <w:p w14:paraId="7AD012E4">
      <w:pPr>
        <w:pStyle w:val="5"/>
        <w:spacing w:line="283" w:lineRule="auto"/>
        <w:outlineLvl w:val="9"/>
        <w:rPr>
          <w:rFonts w:hint="eastAsia" w:ascii="宋体" w:hAnsi="宋体" w:eastAsia="宋体" w:cs="宋体"/>
          <w:color w:val="auto"/>
        </w:rPr>
      </w:pPr>
    </w:p>
    <w:p w14:paraId="1B10456F">
      <w:pPr>
        <w:spacing w:before="78" w:line="219" w:lineRule="auto"/>
        <w:outlineLvl w:val="9"/>
        <w:rPr>
          <w:rFonts w:hint="eastAsia" w:ascii="宋体" w:hAnsi="宋体" w:eastAsia="宋体" w:cs="宋体"/>
          <w:color w:val="auto"/>
          <w:sz w:val="24"/>
          <w:szCs w:val="24"/>
        </w:rPr>
      </w:pPr>
      <w:bookmarkStart w:id="52" w:name="_Toc10707"/>
      <w:r>
        <w:rPr>
          <w:rFonts w:hint="eastAsia" w:ascii="宋体" w:hAnsi="宋体" w:eastAsia="宋体" w:cs="宋体"/>
          <w:color w:val="auto"/>
          <w:spacing w:val="2"/>
          <w:sz w:val="24"/>
          <w:szCs w:val="24"/>
        </w:rPr>
        <w:t>致</w:t>
      </w:r>
      <w:r>
        <w:rPr>
          <w:rFonts w:hint="eastAsia" w:ascii="宋体" w:hAnsi="宋体" w:eastAsia="宋体" w:cs="宋体"/>
          <w:color w:val="auto"/>
          <w:spacing w:val="-18"/>
          <w:sz w:val="24"/>
          <w:szCs w:val="24"/>
        </w:rPr>
        <w:t>：（</w:t>
      </w:r>
      <w:r>
        <w:rPr>
          <w:rFonts w:hint="eastAsia" w:ascii="宋体" w:hAnsi="宋体" w:eastAsia="宋体" w:cs="宋体"/>
          <w:color w:val="auto"/>
          <w:spacing w:val="2"/>
          <w:sz w:val="24"/>
          <w:szCs w:val="24"/>
        </w:rPr>
        <w:t>采购人或采购代理机构）</w:t>
      </w:r>
      <w:bookmarkEnd w:id="52"/>
    </w:p>
    <w:p w14:paraId="667D660E">
      <w:pPr>
        <w:spacing w:before="180" w:line="360" w:lineRule="auto"/>
        <w:ind w:firstLine="468"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rPr>
        <w:t>兹证明，姓名：</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3"/>
          <w:sz w:val="24"/>
          <w:szCs w:val="24"/>
          <w:u w:val="single" w:color="auto"/>
          <w:lang w:val="en-US" w:eastAsia="zh-CN"/>
        </w:rPr>
        <w:t xml:space="preserve">   </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97"/>
          <w:sz w:val="24"/>
          <w:szCs w:val="24"/>
        </w:rPr>
        <w:t xml:space="preserve"> </w:t>
      </w:r>
      <w:r>
        <w:rPr>
          <w:rFonts w:hint="eastAsia" w:ascii="宋体" w:hAnsi="宋体" w:eastAsia="宋体" w:cs="宋体"/>
          <w:color w:val="auto"/>
          <w:spacing w:val="-3"/>
          <w:sz w:val="24"/>
          <w:szCs w:val="24"/>
        </w:rPr>
        <w:t>性别：</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3"/>
          <w:sz w:val="24"/>
          <w:szCs w:val="24"/>
          <w:u w:val="single" w:color="auto"/>
          <w:lang w:val="en-US" w:eastAsia="zh-CN"/>
        </w:rPr>
        <w:t xml:space="preserve">  </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110"/>
          <w:sz w:val="24"/>
          <w:szCs w:val="24"/>
        </w:rPr>
        <w:t xml:space="preserve"> </w:t>
      </w:r>
      <w:r>
        <w:rPr>
          <w:rFonts w:hint="eastAsia" w:ascii="宋体" w:hAnsi="宋体" w:eastAsia="宋体" w:cs="宋体"/>
          <w:color w:val="auto"/>
          <w:spacing w:val="-3"/>
          <w:sz w:val="24"/>
          <w:szCs w:val="24"/>
        </w:rPr>
        <w:t>年龄：</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3"/>
          <w:sz w:val="24"/>
          <w:szCs w:val="24"/>
          <w:u w:val="single" w:color="auto"/>
          <w:lang w:val="en-US" w:eastAsia="zh-CN"/>
        </w:rPr>
        <w:t xml:space="preserve">   </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109"/>
          <w:sz w:val="24"/>
          <w:szCs w:val="24"/>
        </w:rPr>
        <w:t xml:space="preserve"> </w:t>
      </w:r>
      <w:r>
        <w:rPr>
          <w:rFonts w:hint="eastAsia" w:ascii="宋体" w:hAnsi="宋体" w:eastAsia="宋体" w:cs="宋体"/>
          <w:color w:val="auto"/>
          <w:spacing w:val="-3"/>
          <w:sz w:val="24"/>
          <w:szCs w:val="24"/>
        </w:rPr>
        <w:t>职务：</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3"/>
          <w:sz w:val="24"/>
          <w:szCs w:val="24"/>
          <w:u w:val="single" w:color="auto"/>
          <w:lang w:val="en-US" w:eastAsia="zh-CN"/>
        </w:rPr>
        <w:t xml:space="preserve">  </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106"/>
          <w:sz w:val="24"/>
          <w:szCs w:val="24"/>
        </w:rPr>
        <w:t xml:space="preserve"> </w:t>
      </w:r>
      <w:r>
        <w:rPr>
          <w:rFonts w:hint="eastAsia" w:ascii="宋体" w:hAnsi="宋体" w:eastAsia="宋体" w:cs="宋体"/>
          <w:color w:val="auto"/>
          <w:spacing w:val="-3"/>
          <w:sz w:val="24"/>
          <w:szCs w:val="24"/>
        </w:rPr>
        <w:t>系</w:t>
      </w:r>
      <w:r>
        <w:rPr>
          <w:rFonts w:hint="eastAsia" w:ascii="宋体" w:hAnsi="宋体" w:eastAsia="宋体" w:cs="宋体"/>
          <w:color w:val="auto"/>
          <w:spacing w:val="-3"/>
          <w:sz w:val="24"/>
          <w:szCs w:val="24"/>
          <w:u w:val="single"/>
        </w:rPr>
        <w:t>（投标人名称）</w:t>
      </w:r>
      <w:r>
        <w:rPr>
          <w:rFonts w:hint="eastAsia" w:ascii="宋体" w:hAnsi="宋体" w:eastAsia="宋体" w:cs="宋体"/>
          <w:color w:val="auto"/>
          <w:spacing w:val="-3"/>
          <w:sz w:val="24"/>
          <w:szCs w:val="24"/>
          <w:u w:val="single"/>
          <w:lang w:val="en-US" w:eastAsia="zh-CN"/>
        </w:rPr>
        <w:t xml:space="preserve">  </w:t>
      </w:r>
      <w:r>
        <w:rPr>
          <w:rFonts w:hint="eastAsia" w:ascii="宋体" w:hAnsi="宋体" w:eastAsia="宋体" w:cs="宋体"/>
          <w:color w:val="auto"/>
          <w:spacing w:val="-3"/>
          <w:sz w:val="24"/>
          <w:szCs w:val="24"/>
        </w:rPr>
        <w:t>的法定代表</w:t>
      </w:r>
      <w:r>
        <w:rPr>
          <w:rFonts w:hint="eastAsia" w:ascii="宋体" w:hAnsi="宋体" w:eastAsia="宋体" w:cs="宋体"/>
          <w:color w:val="auto"/>
          <w:spacing w:val="-2"/>
          <w:sz w:val="24"/>
          <w:szCs w:val="24"/>
        </w:rPr>
        <w:t>人（单位负责人）。</w:t>
      </w:r>
    </w:p>
    <w:p w14:paraId="3471B986">
      <w:pPr>
        <w:spacing w:before="182" w:line="219" w:lineRule="auto"/>
        <w:ind w:left="18"/>
        <w:outlineLvl w:val="9"/>
        <w:rPr>
          <w:rFonts w:hint="eastAsia" w:ascii="宋体" w:hAnsi="宋体" w:eastAsia="宋体" w:cs="宋体"/>
          <w:color w:val="auto"/>
          <w:sz w:val="24"/>
          <w:szCs w:val="24"/>
        </w:rPr>
      </w:pPr>
      <w:bookmarkStart w:id="53" w:name="_Toc31712"/>
      <w:r>
        <w:rPr>
          <w:rFonts w:hint="eastAsia" w:ascii="宋体" w:hAnsi="宋体" w:eastAsia="宋体" w:cs="宋体"/>
          <w:color w:val="auto"/>
          <w:spacing w:val="-1"/>
          <w:sz w:val="24"/>
          <w:szCs w:val="24"/>
        </w:rPr>
        <w:t>附：法定代表人（单位负责人）身份证、护照等身份证明文件电子件：</w:t>
      </w:r>
      <w:bookmarkEnd w:id="53"/>
    </w:p>
    <w:p w14:paraId="25BCB702">
      <w:pPr>
        <w:pStyle w:val="5"/>
        <w:spacing w:line="283" w:lineRule="auto"/>
        <w:outlineLvl w:val="9"/>
        <w:rPr>
          <w:rFonts w:hint="eastAsia" w:ascii="宋体" w:hAnsi="宋体" w:eastAsia="宋体" w:cs="宋体"/>
          <w:color w:val="auto"/>
        </w:rPr>
      </w:pPr>
    </w:p>
    <w:p w14:paraId="67435DC3">
      <w:pPr>
        <w:pStyle w:val="5"/>
        <w:spacing w:line="284" w:lineRule="auto"/>
        <w:outlineLvl w:val="9"/>
        <w:rPr>
          <w:rFonts w:hint="eastAsia" w:ascii="宋体" w:hAnsi="宋体" w:eastAsia="宋体" w:cs="宋体"/>
          <w:color w:val="auto"/>
        </w:rPr>
      </w:pPr>
    </w:p>
    <w:p w14:paraId="72593F59">
      <w:pPr>
        <w:spacing w:before="78" w:line="219" w:lineRule="auto"/>
        <w:ind w:left="482"/>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投标人名称（盖章</w:t>
      </w:r>
      <w:r>
        <w:rPr>
          <w:rFonts w:hint="eastAsia" w:ascii="宋体" w:hAnsi="宋体" w:eastAsia="宋体" w:cs="宋体"/>
          <w:color w:val="auto"/>
          <w:spacing w:val="1"/>
          <w:sz w:val="24"/>
          <w:szCs w:val="24"/>
        </w:rPr>
        <w:t>）：</w:t>
      </w:r>
    </w:p>
    <w:p w14:paraId="45E9F663">
      <w:pPr>
        <w:spacing w:before="180" w:line="219" w:lineRule="auto"/>
        <w:ind w:left="480"/>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法定代表人（单位负责人</w:t>
      </w:r>
      <w:r>
        <w:rPr>
          <w:rFonts w:hint="eastAsia" w:ascii="宋体" w:hAnsi="宋体" w:eastAsia="宋体" w:cs="宋体"/>
          <w:color w:val="auto"/>
          <w:spacing w:val="-7"/>
          <w:sz w:val="24"/>
          <w:szCs w:val="24"/>
        </w:rPr>
        <w:t>）（</w:t>
      </w:r>
      <w:r>
        <w:rPr>
          <w:rFonts w:hint="eastAsia" w:ascii="宋体" w:hAnsi="宋体" w:eastAsia="宋体" w:cs="宋体"/>
          <w:color w:val="auto"/>
          <w:spacing w:val="1"/>
          <w:sz w:val="24"/>
          <w:szCs w:val="24"/>
        </w:rPr>
        <w:t>签字或盖章</w:t>
      </w:r>
      <w:r>
        <w:rPr>
          <w:rFonts w:hint="eastAsia" w:ascii="宋体" w:hAnsi="宋体" w:eastAsia="宋体" w:cs="宋体"/>
          <w:color w:val="auto"/>
          <w:spacing w:val="-7"/>
          <w:sz w:val="24"/>
          <w:szCs w:val="24"/>
        </w:rPr>
        <w:t>）：</w:t>
      </w:r>
    </w:p>
    <w:p w14:paraId="39535517">
      <w:pPr>
        <w:spacing w:before="181" w:line="220" w:lineRule="auto"/>
        <w:ind w:left="521"/>
        <w:outlineLvl w:val="9"/>
        <w:rPr>
          <w:rFonts w:hint="eastAsia" w:ascii="宋体" w:hAnsi="宋体" w:eastAsia="宋体" w:cs="宋体"/>
          <w:color w:val="auto"/>
          <w:sz w:val="24"/>
          <w:szCs w:val="24"/>
        </w:rPr>
      </w:pPr>
      <w:bookmarkStart w:id="54" w:name="_Toc9976"/>
      <w:r>
        <w:rPr>
          <w:rFonts w:hint="eastAsia" w:ascii="宋体" w:hAnsi="宋体" w:eastAsia="宋体" w:cs="宋体"/>
          <w:color w:val="auto"/>
          <w:spacing w:val="-13"/>
          <w:sz w:val="24"/>
          <w:szCs w:val="24"/>
        </w:rPr>
        <w:t>日期：</w:t>
      </w:r>
      <w:r>
        <w:rPr>
          <w:rFonts w:hint="eastAsia" w:ascii="宋体" w:hAnsi="宋体" w:eastAsia="宋体" w:cs="宋体"/>
          <w:color w:val="auto"/>
          <w:spacing w:val="30"/>
          <w:sz w:val="24"/>
          <w:szCs w:val="24"/>
          <w:u w:val="single" w:color="auto"/>
        </w:rPr>
        <w:t xml:space="preserve">    </w:t>
      </w:r>
      <w:r>
        <w:rPr>
          <w:rFonts w:hint="eastAsia" w:ascii="宋体" w:hAnsi="宋体" w:eastAsia="宋体" w:cs="宋体"/>
          <w:color w:val="auto"/>
          <w:spacing w:val="-109"/>
          <w:sz w:val="24"/>
          <w:szCs w:val="24"/>
        </w:rPr>
        <w:t xml:space="preserve"> </w:t>
      </w:r>
      <w:r>
        <w:rPr>
          <w:rFonts w:hint="eastAsia" w:ascii="宋体" w:hAnsi="宋体" w:eastAsia="宋体" w:cs="宋体"/>
          <w:color w:val="auto"/>
          <w:spacing w:val="-13"/>
          <w:sz w:val="24"/>
          <w:szCs w:val="24"/>
        </w:rPr>
        <w:t>年</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13"/>
          <w:sz w:val="24"/>
          <w:szCs w:val="24"/>
        </w:rPr>
        <w:t>月</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69"/>
          <w:sz w:val="24"/>
          <w:szCs w:val="24"/>
        </w:rPr>
        <w:t xml:space="preserve"> </w:t>
      </w:r>
      <w:r>
        <w:rPr>
          <w:rFonts w:hint="eastAsia" w:ascii="宋体" w:hAnsi="宋体" w:eastAsia="宋体" w:cs="宋体"/>
          <w:color w:val="auto"/>
          <w:spacing w:val="-13"/>
          <w:sz w:val="24"/>
          <w:szCs w:val="24"/>
        </w:rPr>
        <w:t>日</w:t>
      </w:r>
      <w:bookmarkEnd w:id="54"/>
    </w:p>
    <w:p w14:paraId="61B8B1D3">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0AFA84E3">
      <w:pPr>
        <w:spacing w:before="48" w:line="220" w:lineRule="auto"/>
        <w:outlineLvl w:val="9"/>
        <w:rPr>
          <w:rFonts w:hint="eastAsia" w:ascii="宋体" w:hAnsi="宋体" w:eastAsia="宋体" w:cs="宋体"/>
          <w:color w:val="auto"/>
          <w:sz w:val="24"/>
          <w:szCs w:val="24"/>
        </w:rPr>
      </w:pPr>
      <w:bookmarkStart w:id="55" w:name="_Toc3491"/>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格式七：</w:t>
      </w:r>
      <w:bookmarkEnd w:id="55"/>
    </w:p>
    <w:p w14:paraId="34AEEF44">
      <w:pPr>
        <w:spacing w:before="182" w:line="219" w:lineRule="auto"/>
        <w:ind w:left="3566"/>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授权委托书（格式）</w:t>
      </w:r>
    </w:p>
    <w:p w14:paraId="4060C465">
      <w:pPr>
        <w:pStyle w:val="5"/>
        <w:spacing w:line="284" w:lineRule="auto"/>
        <w:outlineLvl w:val="9"/>
        <w:rPr>
          <w:rFonts w:hint="eastAsia" w:ascii="宋体" w:hAnsi="宋体" w:eastAsia="宋体" w:cs="宋体"/>
          <w:color w:val="auto"/>
        </w:rPr>
      </w:pPr>
    </w:p>
    <w:p w14:paraId="67222543">
      <w:pPr>
        <w:pStyle w:val="5"/>
        <w:spacing w:line="284" w:lineRule="auto"/>
        <w:outlineLvl w:val="9"/>
        <w:rPr>
          <w:rFonts w:hint="eastAsia" w:ascii="宋体" w:hAnsi="宋体" w:eastAsia="宋体" w:cs="宋体"/>
          <w:color w:val="auto"/>
        </w:rPr>
      </w:pPr>
    </w:p>
    <w:p w14:paraId="647C30FF">
      <w:pPr>
        <w:spacing w:before="78" w:line="359" w:lineRule="auto"/>
        <w:ind w:right="21" w:firstLine="480"/>
        <w:jc w:val="both"/>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本人</w:t>
      </w:r>
      <w:r>
        <w:rPr>
          <w:rFonts w:hint="eastAsia" w:ascii="宋体" w:hAnsi="宋体" w:eastAsia="宋体" w:cs="宋体"/>
          <w:color w:val="auto"/>
          <w:spacing w:val="-118"/>
          <w:sz w:val="24"/>
          <w:szCs w:val="24"/>
        </w:rPr>
        <w:t xml:space="preserve"> </w:t>
      </w:r>
      <w:r>
        <w:rPr>
          <w:rFonts w:hint="eastAsia" w:ascii="宋体" w:hAnsi="宋体" w:eastAsia="宋体" w:cs="宋体"/>
          <w:color w:val="auto"/>
          <w:spacing w:val="20"/>
          <w:sz w:val="24"/>
          <w:szCs w:val="24"/>
          <w:u w:val="single" w:color="auto"/>
        </w:rPr>
        <w:t xml:space="preserve">      </w:t>
      </w:r>
      <w:r>
        <w:rPr>
          <w:rFonts w:hint="eastAsia" w:ascii="宋体" w:hAnsi="宋体" w:eastAsia="宋体" w:cs="宋体"/>
          <w:color w:val="auto"/>
          <w:spacing w:val="2"/>
          <w:sz w:val="24"/>
          <w:szCs w:val="24"/>
        </w:rPr>
        <w:t>（姓名）系</w:t>
      </w:r>
      <w:r>
        <w:rPr>
          <w:rFonts w:hint="eastAsia" w:ascii="宋体" w:hAnsi="宋体" w:eastAsia="宋体" w:cs="宋体"/>
          <w:color w:val="auto"/>
          <w:spacing w:val="-120"/>
          <w:sz w:val="24"/>
          <w:szCs w:val="24"/>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2"/>
          <w:sz w:val="24"/>
          <w:szCs w:val="24"/>
        </w:rPr>
        <w:t>（投标人名称）的法定代表人（</w:t>
      </w:r>
      <w:r>
        <w:rPr>
          <w:rFonts w:hint="eastAsia" w:ascii="宋体" w:hAnsi="宋体" w:eastAsia="宋体" w:cs="宋体"/>
          <w:color w:val="auto"/>
          <w:spacing w:val="1"/>
          <w:sz w:val="24"/>
          <w:szCs w:val="24"/>
        </w:rPr>
        <w:t>单位负责人</w:t>
      </w:r>
      <w:r>
        <w:rPr>
          <w:rFonts w:hint="eastAsia" w:ascii="宋体" w:hAnsi="宋体" w:eastAsia="宋体" w:cs="宋体"/>
          <w:color w:val="auto"/>
          <w:spacing w:val="8"/>
          <w:sz w:val="24"/>
          <w:szCs w:val="24"/>
        </w:rPr>
        <w:t>），</w:t>
      </w:r>
      <w:r>
        <w:rPr>
          <w:rFonts w:hint="eastAsia" w:ascii="宋体" w:hAnsi="宋体" w:eastAsia="宋体" w:cs="宋体"/>
          <w:color w:val="auto"/>
          <w:spacing w:val="1"/>
          <w:sz w:val="24"/>
          <w:szCs w:val="24"/>
        </w:rPr>
        <w:t>现委托</w:t>
      </w:r>
      <w:r>
        <w:rPr>
          <w:rFonts w:hint="eastAsia" w:ascii="宋体" w:hAnsi="宋体" w:eastAsia="宋体" w:cs="宋体"/>
          <w:color w:val="auto"/>
          <w:spacing w:val="-117"/>
          <w:sz w:val="24"/>
          <w:szCs w:val="24"/>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
          <w:sz w:val="24"/>
          <w:szCs w:val="24"/>
        </w:rPr>
        <w:t>（姓名）为我方代理人。代理人根据授权，以我方名义</w:t>
      </w:r>
      <w:r>
        <w:rPr>
          <w:rFonts w:hint="eastAsia" w:ascii="宋体" w:hAnsi="宋体" w:eastAsia="宋体" w:cs="宋体"/>
          <w:color w:val="auto"/>
          <w:sz w:val="24"/>
          <w:szCs w:val="24"/>
        </w:rPr>
        <w:t>签署、澄清</w:t>
      </w:r>
      <w:r>
        <w:rPr>
          <w:rFonts w:hint="eastAsia" w:ascii="宋体" w:hAnsi="宋体" w:eastAsia="宋体" w:cs="宋体"/>
          <w:color w:val="auto"/>
          <w:spacing w:val="-1"/>
          <w:sz w:val="24"/>
          <w:szCs w:val="24"/>
        </w:rPr>
        <w:t>确认、提交、撤回、修改</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2"/>
          <w:sz w:val="24"/>
          <w:szCs w:val="24"/>
          <w:u w:val="single" w:color="auto"/>
        </w:rPr>
        <w:t xml:space="preserve">      </w:t>
      </w:r>
      <w:r>
        <w:rPr>
          <w:rFonts w:hint="eastAsia" w:ascii="宋体" w:hAnsi="宋体" w:eastAsia="宋体" w:cs="宋体"/>
          <w:color w:val="auto"/>
          <w:spacing w:val="-2"/>
          <w:sz w:val="24"/>
          <w:szCs w:val="24"/>
        </w:rPr>
        <w:t>（项目名称）投标文件和处理有关事宜，其法</w:t>
      </w:r>
    </w:p>
    <w:p w14:paraId="238FAEFD">
      <w:pPr>
        <w:spacing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律后果由我方承担。</w:t>
      </w:r>
    </w:p>
    <w:p w14:paraId="5F143C84">
      <w:pPr>
        <w:spacing w:before="179" w:line="468" w:lineRule="exact"/>
        <w:ind w:left="480"/>
        <w:outlineLvl w:val="9"/>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委托期限：</w:t>
      </w:r>
      <w:r>
        <w:rPr>
          <w:rFonts w:hint="eastAsia" w:ascii="宋体" w:hAnsi="宋体" w:eastAsia="宋体" w:cs="宋体"/>
          <w:color w:val="auto"/>
          <w:spacing w:val="-72"/>
          <w:position w:val="17"/>
          <w:sz w:val="24"/>
          <w:szCs w:val="24"/>
        </w:rPr>
        <w:t xml:space="preserve"> </w:t>
      </w:r>
      <w:r>
        <w:rPr>
          <w:rFonts w:hint="eastAsia" w:ascii="宋体" w:hAnsi="宋体" w:eastAsia="宋体" w:cs="宋体"/>
          <w:color w:val="auto"/>
          <w:spacing w:val="-2"/>
          <w:position w:val="17"/>
          <w:sz w:val="24"/>
          <w:szCs w:val="24"/>
        </w:rPr>
        <w:t>自本授权委托书签署之日起至投标有效期届满之日止。</w:t>
      </w:r>
    </w:p>
    <w:p w14:paraId="48D62111">
      <w:pPr>
        <w:spacing w:line="220" w:lineRule="auto"/>
        <w:ind w:left="480"/>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代理人无转委托权。</w:t>
      </w:r>
    </w:p>
    <w:p w14:paraId="56D933E4">
      <w:pPr>
        <w:pStyle w:val="5"/>
        <w:spacing w:line="282" w:lineRule="auto"/>
        <w:outlineLvl w:val="9"/>
        <w:rPr>
          <w:rFonts w:hint="eastAsia" w:ascii="宋体" w:hAnsi="宋体" w:eastAsia="宋体" w:cs="宋体"/>
          <w:color w:val="auto"/>
        </w:rPr>
      </w:pPr>
    </w:p>
    <w:p w14:paraId="2D7174A2">
      <w:pPr>
        <w:pStyle w:val="5"/>
        <w:spacing w:line="282" w:lineRule="auto"/>
        <w:outlineLvl w:val="9"/>
        <w:rPr>
          <w:rFonts w:hint="eastAsia" w:ascii="宋体" w:hAnsi="宋体" w:eastAsia="宋体" w:cs="宋体"/>
          <w:color w:val="auto"/>
        </w:rPr>
      </w:pPr>
    </w:p>
    <w:p w14:paraId="2C61A2D4">
      <w:pPr>
        <w:spacing w:before="78" w:line="219" w:lineRule="auto"/>
        <w:ind w:left="3"/>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投标人名称（加盖公章</w:t>
      </w:r>
      <w:r>
        <w:rPr>
          <w:rFonts w:hint="eastAsia" w:ascii="宋体" w:hAnsi="宋体" w:eastAsia="宋体" w:cs="宋体"/>
          <w:color w:val="auto"/>
          <w:spacing w:val="3"/>
          <w:sz w:val="24"/>
          <w:szCs w:val="24"/>
        </w:rPr>
        <w:t>）：</w:t>
      </w:r>
      <w:r>
        <w:rPr>
          <w:rFonts w:hint="eastAsia" w:ascii="宋体" w:hAnsi="宋体" w:eastAsia="宋体" w:cs="宋体"/>
          <w:color w:val="auto"/>
          <w:sz w:val="24"/>
          <w:szCs w:val="24"/>
          <w:u w:val="single" w:color="auto"/>
        </w:rPr>
        <w:t xml:space="preserve">                </w:t>
      </w:r>
    </w:p>
    <w:p w14:paraId="660A8581">
      <w:pPr>
        <w:spacing w:before="182" w:line="360" w:lineRule="auto"/>
        <w:ind w:left="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法定代表人（单位负责人</w:t>
      </w:r>
      <w:r>
        <w:rPr>
          <w:rFonts w:hint="eastAsia" w:ascii="宋体" w:hAnsi="宋体" w:eastAsia="宋体" w:cs="宋体"/>
          <w:color w:val="auto"/>
          <w:spacing w:val="-7"/>
          <w:sz w:val="24"/>
          <w:szCs w:val="24"/>
        </w:rPr>
        <w:t>）（</w:t>
      </w:r>
      <w:r>
        <w:rPr>
          <w:rFonts w:hint="eastAsia" w:ascii="宋体" w:hAnsi="宋体" w:eastAsia="宋体" w:cs="宋体"/>
          <w:color w:val="auto"/>
          <w:spacing w:val="1"/>
          <w:sz w:val="24"/>
          <w:szCs w:val="24"/>
        </w:rPr>
        <w:t>签字或签章</w:t>
      </w:r>
      <w:r>
        <w:rPr>
          <w:rFonts w:hint="eastAsia" w:ascii="宋体" w:hAnsi="宋体" w:eastAsia="宋体" w:cs="宋体"/>
          <w:color w:val="auto"/>
          <w:spacing w:val="-7"/>
          <w:sz w:val="24"/>
          <w:szCs w:val="24"/>
        </w:rPr>
        <w:t>）：</w:t>
      </w:r>
      <w:r>
        <w:rPr>
          <w:rFonts w:hint="eastAsia" w:ascii="宋体" w:hAnsi="宋体" w:eastAsia="宋体" w:cs="宋体"/>
          <w:color w:val="auto"/>
          <w:sz w:val="24"/>
          <w:szCs w:val="24"/>
          <w:u w:val="single" w:color="auto"/>
        </w:rPr>
        <w:t xml:space="preserve">                </w:t>
      </w:r>
    </w:p>
    <w:p w14:paraId="118E2299">
      <w:pPr>
        <w:spacing w:before="1" w:line="219"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委托代理人（签字或签章</w:t>
      </w:r>
      <w:r>
        <w:rPr>
          <w:rFonts w:hint="eastAsia" w:ascii="宋体" w:hAnsi="宋体" w:eastAsia="宋体" w:cs="宋体"/>
          <w:color w:val="auto"/>
          <w:sz w:val="24"/>
          <w:szCs w:val="24"/>
        </w:rPr>
        <w:t>）：</w:t>
      </w:r>
      <w:r>
        <w:rPr>
          <w:rFonts w:hint="eastAsia" w:ascii="宋体" w:hAnsi="宋体" w:eastAsia="宋体" w:cs="宋体"/>
          <w:color w:val="auto"/>
          <w:sz w:val="24"/>
          <w:szCs w:val="24"/>
          <w:u w:val="single" w:color="auto"/>
        </w:rPr>
        <w:t xml:space="preserve">                </w:t>
      </w:r>
    </w:p>
    <w:p w14:paraId="62ED3AEF">
      <w:pPr>
        <w:spacing w:before="180" w:line="220" w:lineRule="auto"/>
        <w:ind w:left="42"/>
        <w:outlineLvl w:val="9"/>
        <w:rPr>
          <w:rFonts w:hint="eastAsia" w:ascii="宋体" w:hAnsi="宋体" w:eastAsia="宋体" w:cs="宋体"/>
          <w:color w:val="auto"/>
          <w:sz w:val="24"/>
          <w:szCs w:val="24"/>
        </w:rPr>
      </w:pPr>
      <w:r>
        <w:rPr>
          <w:rFonts w:hint="eastAsia" w:ascii="宋体" w:hAnsi="宋体" w:eastAsia="宋体" w:cs="宋体"/>
          <w:color w:val="auto"/>
          <w:spacing w:val="-13"/>
          <w:sz w:val="24"/>
          <w:szCs w:val="24"/>
        </w:rPr>
        <w:t>日期：</w:t>
      </w:r>
      <w:r>
        <w:rPr>
          <w:rFonts w:hint="eastAsia" w:ascii="宋体" w:hAnsi="宋体" w:eastAsia="宋体" w:cs="宋体"/>
          <w:color w:val="auto"/>
          <w:spacing w:val="30"/>
          <w:sz w:val="24"/>
          <w:szCs w:val="24"/>
          <w:u w:val="single" w:color="auto"/>
        </w:rPr>
        <w:t xml:space="preserve">    </w:t>
      </w:r>
      <w:r>
        <w:rPr>
          <w:rFonts w:hint="eastAsia" w:ascii="宋体" w:hAnsi="宋体" w:eastAsia="宋体" w:cs="宋体"/>
          <w:color w:val="auto"/>
          <w:spacing w:val="-109"/>
          <w:sz w:val="24"/>
          <w:szCs w:val="24"/>
        </w:rPr>
        <w:t xml:space="preserve"> </w:t>
      </w:r>
      <w:r>
        <w:rPr>
          <w:rFonts w:hint="eastAsia" w:ascii="宋体" w:hAnsi="宋体" w:eastAsia="宋体" w:cs="宋体"/>
          <w:color w:val="auto"/>
          <w:spacing w:val="-13"/>
          <w:sz w:val="24"/>
          <w:szCs w:val="24"/>
        </w:rPr>
        <w:t>年</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13"/>
          <w:sz w:val="24"/>
          <w:szCs w:val="24"/>
        </w:rPr>
        <w:t>月</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69"/>
          <w:sz w:val="24"/>
          <w:szCs w:val="24"/>
        </w:rPr>
        <w:t xml:space="preserve"> </w:t>
      </w:r>
      <w:r>
        <w:rPr>
          <w:rFonts w:hint="eastAsia" w:ascii="宋体" w:hAnsi="宋体" w:eastAsia="宋体" w:cs="宋体"/>
          <w:color w:val="auto"/>
          <w:spacing w:val="-13"/>
          <w:sz w:val="24"/>
          <w:szCs w:val="24"/>
        </w:rPr>
        <w:t>日</w:t>
      </w:r>
    </w:p>
    <w:p w14:paraId="0953D014">
      <w:pPr>
        <w:spacing w:before="183" w:line="219" w:lineRule="auto"/>
        <w:ind w:left="19"/>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附：法定代表人及委托代理人身份证明文件电子件：</w:t>
      </w:r>
    </w:p>
    <w:p w14:paraId="76A2FC5E">
      <w:pPr>
        <w:pStyle w:val="5"/>
        <w:spacing w:line="257" w:lineRule="auto"/>
        <w:outlineLvl w:val="9"/>
        <w:rPr>
          <w:rFonts w:hint="eastAsia" w:ascii="宋体" w:hAnsi="宋体" w:eastAsia="宋体" w:cs="宋体"/>
          <w:color w:val="auto"/>
        </w:rPr>
      </w:pPr>
    </w:p>
    <w:p w14:paraId="1B126111">
      <w:pPr>
        <w:pStyle w:val="5"/>
        <w:spacing w:line="257" w:lineRule="auto"/>
        <w:outlineLvl w:val="9"/>
        <w:rPr>
          <w:rFonts w:hint="eastAsia" w:ascii="宋体" w:hAnsi="宋体" w:eastAsia="宋体" w:cs="宋体"/>
          <w:color w:val="auto"/>
        </w:rPr>
      </w:pPr>
    </w:p>
    <w:p w14:paraId="578AB591">
      <w:pPr>
        <w:pStyle w:val="5"/>
        <w:spacing w:line="257" w:lineRule="auto"/>
        <w:outlineLvl w:val="9"/>
        <w:rPr>
          <w:rFonts w:hint="eastAsia" w:ascii="宋体" w:hAnsi="宋体" w:eastAsia="宋体" w:cs="宋体"/>
          <w:color w:val="auto"/>
        </w:rPr>
      </w:pPr>
    </w:p>
    <w:p w14:paraId="4E7868EE">
      <w:pPr>
        <w:pStyle w:val="5"/>
        <w:spacing w:line="258" w:lineRule="auto"/>
        <w:outlineLvl w:val="9"/>
        <w:rPr>
          <w:rFonts w:hint="eastAsia" w:ascii="宋体" w:hAnsi="宋体" w:eastAsia="宋体" w:cs="宋体"/>
          <w:color w:val="auto"/>
        </w:rPr>
      </w:pPr>
    </w:p>
    <w:p w14:paraId="160AB5B3">
      <w:pPr>
        <w:spacing w:before="78" w:line="220" w:lineRule="auto"/>
        <w:ind w:left="3"/>
        <w:outlineLvl w:val="9"/>
        <w:rPr>
          <w:rFonts w:hint="eastAsia" w:ascii="宋体" w:hAnsi="宋体" w:eastAsia="宋体" w:cs="宋体"/>
          <w:color w:val="auto"/>
          <w:sz w:val="24"/>
          <w:szCs w:val="24"/>
        </w:rPr>
      </w:pPr>
      <w:bookmarkStart w:id="56" w:name="_Toc32444"/>
      <w:r>
        <w:rPr>
          <w:rFonts w:hint="eastAsia" w:ascii="宋体" w:hAnsi="宋体" w:eastAsia="宋体" w:cs="宋体"/>
          <w:color w:val="auto"/>
          <w:spacing w:val="-5"/>
          <w:sz w:val="24"/>
          <w:szCs w:val="24"/>
        </w:rPr>
        <w:t>说明：</w:t>
      </w:r>
      <w:bookmarkEnd w:id="56"/>
    </w:p>
    <w:p w14:paraId="66BF75F1">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1.若供应商为事业单位或其他组织或分支机构，则法定代表人（单位负责人）处的签署人可为单位负责人。</w:t>
      </w:r>
    </w:p>
    <w:p w14:paraId="0C1D8B6D">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若投标文件中签字之处均为法定代表人（单位负责人）本人签署，则可不提供本《授权委托书》，但须提供《法定代表人（单位负责人）身份证明》；否则，不需要提供《法定代表人（单位负责人）身份证明》。</w:t>
      </w:r>
    </w:p>
    <w:p w14:paraId="1611C64E">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3.供应商为自然人的情形，可不提供本《授权委托书》。</w:t>
      </w:r>
    </w:p>
    <w:p w14:paraId="575BC923">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4.供应商应随本《授权委托书》同时提供法定代表人（单位负责人）及委托代理人的有效的身份证、护照等身份证明文件电子件。提供身份证的，应同时提供身份证双面电子。</w:t>
      </w:r>
    </w:p>
    <w:p w14:paraId="0B622A2B">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66F294BA">
      <w:pPr>
        <w:spacing w:before="48"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格式八：</w:t>
      </w:r>
    </w:p>
    <w:p w14:paraId="6AB38A85">
      <w:pPr>
        <w:spacing w:before="182" w:line="219" w:lineRule="auto"/>
        <w:ind w:left="3226"/>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中标服务费承诺书（格式）</w:t>
      </w:r>
    </w:p>
    <w:p w14:paraId="04AF0E0A">
      <w:pPr>
        <w:pStyle w:val="5"/>
        <w:spacing w:line="250" w:lineRule="auto"/>
        <w:outlineLvl w:val="9"/>
        <w:rPr>
          <w:rFonts w:hint="eastAsia" w:ascii="宋体" w:hAnsi="宋体" w:eastAsia="宋体" w:cs="宋体"/>
          <w:color w:val="auto"/>
        </w:rPr>
      </w:pPr>
    </w:p>
    <w:p w14:paraId="5BC7FEC7">
      <w:pPr>
        <w:pStyle w:val="5"/>
        <w:spacing w:line="250" w:lineRule="auto"/>
        <w:outlineLvl w:val="9"/>
        <w:rPr>
          <w:rFonts w:hint="eastAsia" w:ascii="宋体" w:hAnsi="宋体" w:eastAsia="宋体" w:cs="宋体"/>
          <w:color w:val="auto"/>
        </w:rPr>
      </w:pPr>
    </w:p>
    <w:p w14:paraId="40517F84">
      <w:pPr>
        <w:spacing w:before="78" w:line="220" w:lineRule="auto"/>
        <w:outlineLvl w:val="9"/>
        <w:rPr>
          <w:rFonts w:hint="eastAsia" w:ascii="宋体" w:hAnsi="宋体" w:eastAsia="宋体" w:cs="宋体"/>
          <w:color w:val="auto"/>
          <w:sz w:val="24"/>
          <w:szCs w:val="24"/>
          <w:highlight w:val="none"/>
        </w:rPr>
      </w:pPr>
      <w:bookmarkStart w:id="57" w:name="_Toc25943"/>
      <w:r>
        <w:rPr>
          <w:rFonts w:hint="eastAsia" w:ascii="宋体" w:hAnsi="宋体" w:eastAsia="宋体" w:cs="宋体"/>
          <w:color w:val="auto"/>
          <w:spacing w:val="-1"/>
          <w:sz w:val="24"/>
          <w:szCs w:val="24"/>
          <w:highlight w:val="none"/>
        </w:rPr>
        <w:t>致：吉林省吉诚工程咨询有限公司</w:t>
      </w:r>
      <w:bookmarkEnd w:id="57"/>
    </w:p>
    <w:p w14:paraId="69ECB19A">
      <w:pPr>
        <w:pStyle w:val="5"/>
        <w:spacing w:line="283" w:lineRule="auto"/>
        <w:outlineLvl w:val="9"/>
        <w:rPr>
          <w:rFonts w:hint="eastAsia" w:ascii="宋体" w:hAnsi="宋体" w:eastAsia="宋体" w:cs="宋体"/>
          <w:color w:val="auto"/>
        </w:rPr>
      </w:pPr>
    </w:p>
    <w:p w14:paraId="5D81E1F1">
      <w:pPr>
        <w:pStyle w:val="5"/>
        <w:spacing w:line="283" w:lineRule="auto"/>
        <w:outlineLvl w:val="9"/>
        <w:rPr>
          <w:rFonts w:hint="eastAsia" w:ascii="宋体" w:hAnsi="宋体" w:eastAsia="宋体" w:cs="宋体"/>
          <w:color w:val="auto"/>
        </w:rPr>
      </w:pPr>
    </w:p>
    <w:p w14:paraId="6340B8B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我们在贵公司代理的项目采购中若获成交（项目编号：        ），我们保证在收到中标通知后 2 个工作日内按招标文件的规定，向贵公司即吉林省吉诚工程咨询有限公司按照取费规定一次性支付中标服务费。</w:t>
      </w:r>
    </w:p>
    <w:p w14:paraId="043CDDE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14:paraId="5E268CC3">
      <w:pPr>
        <w:pStyle w:val="5"/>
        <w:spacing w:line="283" w:lineRule="auto"/>
        <w:outlineLvl w:val="9"/>
        <w:rPr>
          <w:rFonts w:hint="eastAsia" w:ascii="宋体" w:hAnsi="宋体" w:eastAsia="宋体" w:cs="宋体"/>
          <w:color w:val="auto"/>
        </w:rPr>
      </w:pPr>
    </w:p>
    <w:p w14:paraId="4394693F">
      <w:pPr>
        <w:pStyle w:val="5"/>
        <w:spacing w:line="283" w:lineRule="auto"/>
        <w:outlineLvl w:val="9"/>
        <w:rPr>
          <w:rFonts w:hint="eastAsia" w:ascii="宋体" w:hAnsi="宋体" w:eastAsia="宋体" w:cs="宋体"/>
          <w:color w:val="auto"/>
        </w:rPr>
      </w:pPr>
    </w:p>
    <w:p w14:paraId="1838311B">
      <w:pPr>
        <w:spacing w:before="78" w:line="220" w:lineRule="auto"/>
        <w:outlineLvl w:val="9"/>
        <w:rPr>
          <w:rFonts w:hint="eastAsia" w:ascii="宋体" w:hAnsi="宋体" w:eastAsia="宋体" w:cs="宋体"/>
          <w:color w:val="auto"/>
          <w:sz w:val="24"/>
          <w:szCs w:val="24"/>
        </w:rPr>
      </w:pPr>
      <w:bookmarkStart w:id="58" w:name="_Toc18499"/>
      <w:r>
        <w:rPr>
          <w:rFonts w:hint="eastAsia" w:ascii="宋体" w:hAnsi="宋体" w:eastAsia="宋体" w:cs="宋体"/>
          <w:color w:val="auto"/>
          <w:spacing w:val="-2"/>
          <w:sz w:val="24"/>
          <w:szCs w:val="24"/>
        </w:rPr>
        <w:t>承诺方法定名称：</w:t>
      </w:r>
      <w:bookmarkEnd w:id="58"/>
    </w:p>
    <w:p w14:paraId="56870862">
      <w:pPr>
        <w:spacing w:before="181" w:line="229" w:lineRule="auto"/>
        <w:outlineLvl w:val="9"/>
        <w:rPr>
          <w:rFonts w:hint="eastAsia" w:ascii="宋体" w:hAnsi="宋体" w:eastAsia="宋体" w:cs="宋体"/>
          <w:color w:val="auto"/>
          <w:sz w:val="24"/>
          <w:szCs w:val="24"/>
        </w:rPr>
      </w:pPr>
      <w:bookmarkStart w:id="59" w:name="_Toc19959"/>
      <w:r>
        <w:rPr>
          <w:rFonts w:hint="eastAsia" w:ascii="宋体" w:hAnsi="宋体" w:eastAsia="宋体" w:cs="宋体"/>
          <w:color w:val="auto"/>
          <w:spacing w:val="-4"/>
          <w:sz w:val="24"/>
          <w:szCs w:val="24"/>
        </w:rPr>
        <w:t>地址：</w:t>
      </w:r>
      <w:bookmarkEnd w:id="59"/>
    </w:p>
    <w:p w14:paraId="34D016C3">
      <w:pPr>
        <w:spacing w:before="170" w:line="219" w:lineRule="auto"/>
        <w:ind w:left="28"/>
        <w:outlineLvl w:val="9"/>
        <w:rPr>
          <w:rFonts w:hint="eastAsia" w:ascii="宋体" w:hAnsi="宋体" w:eastAsia="宋体" w:cs="宋体"/>
          <w:color w:val="auto"/>
          <w:sz w:val="24"/>
          <w:szCs w:val="24"/>
        </w:rPr>
      </w:pPr>
      <w:bookmarkStart w:id="60" w:name="_Toc6496"/>
      <w:r>
        <w:rPr>
          <w:rFonts w:hint="eastAsia" w:ascii="宋体" w:hAnsi="宋体" w:eastAsia="宋体" w:cs="宋体"/>
          <w:color w:val="auto"/>
          <w:spacing w:val="-7"/>
          <w:sz w:val="24"/>
          <w:szCs w:val="24"/>
        </w:rPr>
        <w:t>电话：传真：</w:t>
      </w:r>
      <w:bookmarkEnd w:id="60"/>
    </w:p>
    <w:p w14:paraId="4A46D5A5">
      <w:pPr>
        <w:spacing w:before="181" w:line="219" w:lineRule="auto"/>
        <w:ind w:left="28"/>
        <w:outlineLvl w:val="9"/>
        <w:rPr>
          <w:rFonts w:hint="eastAsia" w:ascii="宋体" w:hAnsi="宋体" w:eastAsia="宋体" w:cs="宋体"/>
          <w:color w:val="auto"/>
          <w:sz w:val="24"/>
          <w:szCs w:val="24"/>
        </w:rPr>
      </w:pPr>
      <w:bookmarkStart w:id="61" w:name="_Toc10697"/>
      <w:r>
        <w:rPr>
          <w:rFonts w:hint="eastAsia" w:ascii="宋体" w:hAnsi="宋体" w:eastAsia="宋体" w:cs="宋体"/>
          <w:color w:val="auto"/>
          <w:spacing w:val="-7"/>
          <w:sz w:val="24"/>
          <w:szCs w:val="24"/>
        </w:rPr>
        <w:t>电传：邮编：</w:t>
      </w:r>
      <w:bookmarkEnd w:id="61"/>
    </w:p>
    <w:p w14:paraId="79328059">
      <w:pPr>
        <w:spacing w:before="183" w:line="219" w:lineRule="auto"/>
        <w:outlineLvl w:val="9"/>
        <w:rPr>
          <w:rFonts w:hint="eastAsia" w:ascii="宋体" w:hAnsi="宋体" w:eastAsia="宋体" w:cs="宋体"/>
          <w:color w:val="auto"/>
          <w:sz w:val="24"/>
          <w:szCs w:val="24"/>
        </w:rPr>
      </w:pPr>
      <w:bookmarkStart w:id="62" w:name="_Toc18453"/>
      <w:r>
        <w:rPr>
          <w:rFonts w:hint="eastAsia" w:ascii="宋体" w:hAnsi="宋体" w:eastAsia="宋体" w:cs="宋体"/>
          <w:color w:val="auto"/>
          <w:spacing w:val="1"/>
          <w:sz w:val="24"/>
          <w:szCs w:val="24"/>
        </w:rPr>
        <w:t>承诺方授权代表签字</w:t>
      </w:r>
      <w:r>
        <w:rPr>
          <w:rFonts w:hint="eastAsia" w:ascii="宋体" w:hAnsi="宋体" w:eastAsia="宋体" w:cs="宋体"/>
          <w:color w:val="auto"/>
          <w:spacing w:val="-13"/>
          <w:sz w:val="24"/>
          <w:szCs w:val="24"/>
        </w:rPr>
        <w:t>：（</w:t>
      </w:r>
      <w:r>
        <w:rPr>
          <w:rFonts w:hint="eastAsia" w:ascii="宋体" w:hAnsi="宋体" w:eastAsia="宋体" w:cs="宋体"/>
          <w:color w:val="auto"/>
          <w:spacing w:val="1"/>
          <w:sz w:val="24"/>
          <w:szCs w:val="24"/>
        </w:rPr>
        <w:t>承诺方盖章）</w:t>
      </w:r>
      <w:bookmarkEnd w:id="62"/>
    </w:p>
    <w:p w14:paraId="2A80FD77">
      <w:pPr>
        <w:spacing w:before="180" w:line="220" w:lineRule="auto"/>
        <w:outlineLvl w:val="9"/>
        <w:rPr>
          <w:rFonts w:hint="eastAsia" w:ascii="宋体" w:hAnsi="宋体" w:eastAsia="宋体" w:cs="宋体"/>
          <w:color w:val="auto"/>
          <w:sz w:val="24"/>
          <w:szCs w:val="24"/>
        </w:rPr>
      </w:pPr>
      <w:bookmarkStart w:id="63" w:name="_Toc18509"/>
      <w:r>
        <w:rPr>
          <w:rFonts w:hint="eastAsia" w:ascii="宋体" w:hAnsi="宋体" w:eastAsia="宋体" w:cs="宋体"/>
          <w:color w:val="auto"/>
          <w:spacing w:val="-2"/>
          <w:sz w:val="24"/>
          <w:szCs w:val="24"/>
        </w:rPr>
        <w:t>承诺日期：</w:t>
      </w:r>
      <w:bookmarkEnd w:id="63"/>
    </w:p>
    <w:p w14:paraId="66A21B0B">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480A4C80">
      <w:pPr>
        <w:spacing w:before="48"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格式九：</w:t>
      </w:r>
    </w:p>
    <w:p w14:paraId="06306321">
      <w:pPr>
        <w:spacing w:before="182" w:line="219" w:lineRule="auto"/>
        <w:ind w:left="3354"/>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中小企业声明函（货物）</w:t>
      </w:r>
    </w:p>
    <w:p w14:paraId="0531DA5A">
      <w:pPr>
        <w:pStyle w:val="5"/>
        <w:spacing w:line="384" w:lineRule="auto"/>
        <w:outlineLvl w:val="9"/>
        <w:rPr>
          <w:rFonts w:hint="eastAsia" w:ascii="宋体" w:hAnsi="宋体" w:eastAsia="宋体" w:cs="宋体"/>
          <w:color w:val="auto"/>
        </w:rPr>
      </w:pPr>
    </w:p>
    <w:p w14:paraId="32ED9A2F">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7594B44D">
      <w:pPr>
        <w:keepNext w:val="0"/>
        <w:keepLines w:val="0"/>
        <w:pageBreakBefore w:val="0"/>
        <w:widowControl/>
        <w:numPr>
          <w:ilvl w:val="0"/>
          <w:numId w:val="0"/>
        </w:numPr>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u w:val="none"/>
          <w:lang w:val="en-US" w:eastAsia="zh-CN"/>
        </w:rPr>
        <w:t>1.</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b/>
          <w:bCs/>
          <w:i/>
          <w:iCs/>
          <w:color w:val="auto"/>
          <w:spacing w:val="4"/>
          <w:sz w:val="22"/>
          <w:szCs w:val="22"/>
          <w:u w:val="single" w:color="auto"/>
          <w:lang w:eastAsia="zh-CN"/>
        </w:rPr>
        <w:t>软件和信息技术服务业</w:t>
      </w:r>
      <w:r>
        <w:rPr>
          <w:rFonts w:hint="eastAsia" w:ascii="宋体" w:hAnsi="宋体" w:eastAsia="宋体" w:cs="宋体"/>
          <w:color w:val="auto"/>
          <w:sz w:val="24"/>
          <w:szCs w:val="24"/>
        </w:rPr>
        <w:t>；制造商为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7A0E5E77">
      <w:pPr>
        <w:keepNext w:val="0"/>
        <w:keepLines w:val="0"/>
        <w:pageBreakBefore w:val="0"/>
        <w:widowControl/>
        <w:numPr>
          <w:ilvl w:val="0"/>
          <w:numId w:val="0"/>
        </w:numPr>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b/>
          <w:bCs/>
          <w:i/>
          <w:iCs/>
          <w:color w:val="auto"/>
          <w:spacing w:val="4"/>
          <w:sz w:val="22"/>
          <w:szCs w:val="22"/>
          <w:u w:val="single" w:color="auto"/>
          <w:lang w:eastAsia="zh-CN"/>
        </w:rPr>
        <w:t>软件和信息技术服务业</w:t>
      </w:r>
      <w:r>
        <w:rPr>
          <w:rFonts w:hint="eastAsia" w:ascii="宋体" w:hAnsi="宋体" w:eastAsia="宋体" w:cs="宋体"/>
          <w:color w:val="auto"/>
          <w:sz w:val="24"/>
          <w:szCs w:val="24"/>
        </w:rPr>
        <w:t>；制造商为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0938BF4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2D52726A">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48C105E2">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14:paraId="62A7287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p>
    <w:p w14:paraId="24981EB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p>
    <w:p w14:paraId="704CBDA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企业名称（盖章）：</w:t>
      </w:r>
    </w:p>
    <w:p w14:paraId="208A074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日期：</w:t>
      </w:r>
    </w:p>
    <w:p w14:paraId="3D65B24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p>
    <w:p w14:paraId="2E23F49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p>
    <w:p w14:paraId="1B65682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01BC693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1.从业人员、营业收入、资产总额填报上一年度数据，无上一年度数据的新成立企业可不填报。</w:t>
      </w:r>
    </w:p>
    <w:p w14:paraId="76F1E78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2.中标人享受中小企业扶持政策的，将随中标结果一并公示，如声明函内容不实的，将视为提供虚假材料谋取中标，将追究其法律责任。</w:t>
      </w:r>
    </w:p>
    <w:p w14:paraId="0155A59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3.本项目所属行业：</w:t>
      </w:r>
      <w:r>
        <w:rPr>
          <w:rFonts w:hint="eastAsia" w:ascii="宋体" w:hAnsi="宋体" w:eastAsia="宋体" w:cs="宋体"/>
          <w:b/>
          <w:bCs/>
          <w:i/>
          <w:iCs/>
          <w:color w:val="auto"/>
          <w:spacing w:val="4"/>
          <w:sz w:val="22"/>
          <w:szCs w:val="22"/>
          <w:u w:val="single" w:color="auto"/>
          <w:lang w:eastAsia="zh-CN"/>
        </w:rPr>
        <w:t>软件和信息技术服务业</w:t>
      </w:r>
      <w:r>
        <w:rPr>
          <w:rFonts w:hint="eastAsia" w:ascii="宋体" w:hAnsi="宋体" w:eastAsia="宋体" w:cs="宋体"/>
          <w:b/>
          <w:bCs/>
          <w:color w:val="auto"/>
          <w:sz w:val="24"/>
          <w:szCs w:val="24"/>
        </w:rPr>
        <w:t>。</w:t>
      </w:r>
    </w:p>
    <w:p w14:paraId="63B4AEFA">
      <w:pPr>
        <w:spacing w:line="480" w:lineRule="auto"/>
        <w:rPr>
          <w:rFonts w:hint="eastAsia" w:ascii="宋体" w:hAnsi="宋体" w:cs="宋体"/>
          <w:color w:val="auto"/>
          <w:sz w:val="24"/>
          <w:highlight w:val="no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090C1409">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baseline"/>
        <w:outlineLvl w:val="9"/>
        <w:rPr>
          <w:rFonts w:hint="eastAsia" w:ascii="宋体" w:hAnsi="宋体"/>
          <w:b/>
          <w:color w:val="auto"/>
          <w:sz w:val="24"/>
          <w:highlight w:val="none"/>
        </w:rPr>
      </w:pPr>
      <w:bookmarkStart w:id="64" w:name="_Toc7338700"/>
      <w:bookmarkStart w:id="65" w:name="_Toc14104574"/>
      <w:bookmarkStart w:id="66" w:name="_Toc511239255"/>
      <w:bookmarkStart w:id="67" w:name="_Toc14104092"/>
      <w:bookmarkStart w:id="68" w:name="_Toc511239410"/>
      <w:r>
        <w:rPr>
          <w:rFonts w:hint="eastAsia" w:ascii="宋体" w:hAnsi="宋体"/>
          <w:b/>
          <w:color w:val="auto"/>
          <w:sz w:val="24"/>
          <w:highlight w:val="none"/>
        </w:rPr>
        <w:t>节能产品清单说明表</w:t>
      </w:r>
      <w:bookmarkEnd w:id="64"/>
      <w:bookmarkEnd w:id="65"/>
      <w:bookmarkEnd w:id="66"/>
      <w:bookmarkEnd w:id="67"/>
      <w:bookmarkEnd w:id="68"/>
    </w:p>
    <w:p w14:paraId="0C416FA5">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baseline"/>
        <w:outlineLvl w:val="9"/>
        <w:rPr>
          <w:rFonts w:hint="eastAsia" w:ascii="宋体" w:hAnsi="宋体"/>
          <w:color w:val="auto"/>
          <w:sz w:val="24"/>
          <w:highlight w:val="none"/>
        </w:rPr>
      </w:pPr>
      <w:bookmarkStart w:id="69" w:name="_Toc14104575"/>
      <w:bookmarkStart w:id="70" w:name="_Toc14104093"/>
      <w:bookmarkStart w:id="71" w:name="_Toc511239256"/>
      <w:bookmarkStart w:id="72" w:name="_Toc511239411"/>
      <w:bookmarkStart w:id="73" w:name="_Toc7338701"/>
      <w:r>
        <w:rPr>
          <w:rFonts w:hint="eastAsia" w:ascii="宋体" w:hAnsi="宋体"/>
          <w:color w:val="auto"/>
          <w:sz w:val="24"/>
          <w:highlight w:val="none"/>
        </w:rPr>
        <w:t>（</w:t>
      </w:r>
      <w:r>
        <w:rPr>
          <w:rFonts w:hint="eastAsia" w:ascii="宋体" w:hAnsi="宋体" w:cs="宋体"/>
          <w:color w:val="auto"/>
          <w:sz w:val="24"/>
          <w:highlight w:val="none"/>
        </w:rPr>
        <w:t>节能产品</w:t>
      </w:r>
      <w:r>
        <w:rPr>
          <w:rFonts w:hint="eastAsia" w:ascii="宋体" w:hAnsi="宋体"/>
          <w:color w:val="auto"/>
          <w:sz w:val="24"/>
          <w:highlight w:val="none"/>
        </w:rPr>
        <w:t>按下列格式提供）</w:t>
      </w:r>
      <w:bookmarkEnd w:id="69"/>
      <w:bookmarkEnd w:id="70"/>
      <w:bookmarkEnd w:id="71"/>
      <w:bookmarkEnd w:id="72"/>
      <w:bookmarkEnd w:id="73"/>
    </w:p>
    <w:p w14:paraId="2351DF94">
      <w:pPr>
        <w:snapToGrid w:val="0"/>
        <w:spacing w:line="300" w:lineRule="auto"/>
        <w:rPr>
          <w:rFonts w:hint="eastAsia" w:ascii="宋体" w:hAnsi="宋体"/>
          <w:color w:val="auto"/>
          <w:sz w:val="24"/>
          <w:highlight w:val="none"/>
          <w:u w:val="single"/>
        </w:rPr>
      </w:pPr>
      <w:r>
        <w:rPr>
          <w:rFonts w:hint="eastAsia" w:ascii="宋体" w:hAnsi="宋体"/>
          <w:color w:val="auto"/>
          <w:sz w:val="24"/>
          <w:highlight w:val="none"/>
        </w:rPr>
        <w:t xml:space="preserve">项目名称： </w:t>
      </w:r>
      <w:r>
        <w:rPr>
          <w:rFonts w:hint="eastAsia" w:ascii="宋体" w:hAnsi="宋体"/>
          <w:color w:val="auto"/>
          <w:sz w:val="24"/>
          <w:highlight w:val="none"/>
          <w:u w:val="single"/>
        </w:rPr>
        <w:t xml:space="preserve">                       </w:t>
      </w:r>
    </w:p>
    <w:p w14:paraId="212486C0">
      <w:pPr>
        <w:snapToGrid w:val="0"/>
        <w:spacing w:line="300" w:lineRule="auto"/>
        <w:rPr>
          <w:rFonts w:hint="eastAsia" w:ascii="宋体" w:hAnsi="宋体"/>
          <w:bCs/>
          <w:color w:val="auto"/>
          <w:sz w:val="24"/>
          <w:highlight w:val="none"/>
        </w:rPr>
      </w:pPr>
      <w:r>
        <w:rPr>
          <w:rFonts w:hint="eastAsia" w:ascii="宋体" w:hAnsi="宋体"/>
          <w:color w:val="auto"/>
          <w:sz w:val="24"/>
          <w:highlight w:val="none"/>
        </w:rPr>
        <w:t>项目编号：</w:t>
      </w:r>
      <w:r>
        <w:rPr>
          <w:rFonts w:hint="eastAsia" w:ascii="宋体" w:hAnsi="宋体"/>
          <w:i/>
          <w:iCs/>
          <w:color w:val="auto"/>
          <w:sz w:val="24"/>
          <w:highlight w:val="none"/>
        </w:rPr>
        <w:t xml:space="preserve"> </w:t>
      </w:r>
      <w:r>
        <w:rPr>
          <w:rFonts w:hint="eastAsia" w:ascii="宋体" w:hAnsi="宋体"/>
          <w:color w:val="auto"/>
          <w:sz w:val="24"/>
          <w:highlight w:val="none"/>
          <w:u w:val="single"/>
        </w:rPr>
        <w:t xml:space="preserve">                       </w:t>
      </w:r>
    </w:p>
    <w:tbl>
      <w:tblPr>
        <w:tblStyle w:val="13"/>
        <w:tblpPr w:leftFromText="180" w:rightFromText="180" w:vertAnchor="text" w:horzAnchor="page" w:tblpXSpec="center" w:tblpY="91"/>
        <w:tblOverlap w:val="never"/>
        <w:tblW w:w="951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64"/>
        <w:gridCol w:w="1061"/>
        <w:gridCol w:w="1263"/>
        <w:gridCol w:w="1990"/>
        <w:gridCol w:w="1520"/>
        <w:gridCol w:w="1591"/>
        <w:gridCol w:w="1329"/>
      </w:tblGrid>
      <w:tr w14:paraId="3305C5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6" w:hRule="atLeast"/>
          <w:jc w:val="center"/>
        </w:trPr>
        <w:tc>
          <w:tcPr>
            <w:tcW w:w="764" w:type="dxa"/>
            <w:vMerge w:val="restart"/>
            <w:noWrap w:val="0"/>
            <w:vAlign w:val="center"/>
          </w:tcPr>
          <w:p w14:paraId="43077632">
            <w:pPr>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061" w:type="dxa"/>
            <w:vMerge w:val="restart"/>
            <w:noWrap w:val="0"/>
            <w:vAlign w:val="center"/>
          </w:tcPr>
          <w:p w14:paraId="0291F3B6">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1263" w:type="dxa"/>
            <w:vMerge w:val="restart"/>
            <w:noWrap w:val="0"/>
            <w:vAlign w:val="center"/>
          </w:tcPr>
          <w:p w14:paraId="424AE78E">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6430" w:type="dxa"/>
            <w:gridSpan w:val="4"/>
            <w:noWrap w:val="0"/>
            <w:vAlign w:val="center"/>
          </w:tcPr>
          <w:p w14:paraId="7EB73828">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节能产品政府采购清单</w:t>
            </w:r>
          </w:p>
        </w:tc>
      </w:tr>
      <w:tr w14:paraId="70FFFA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6" w:hRule="atLeast"/>
          <w:jc w:val="center"/>
        </w:trPr>
        <w:tc>
          <w:tcPr>
            <w:tcW w:w="764" w:type="dxa"/>
            <w:vMerge w:val="continue"/>
            <w:noWrap w:val="0"/>
            <w:vAlign w:val="center"/>
          </w:tcPr>
          <w:p w14:paraId="2EF5E4D0">
            <w:pPr>
              <w:snapToGrid w:val="0"/>
              <w:spacing w:line="300" w:lineRule="auto"/>
              <w:rPr>
                <w:rFonts w:hint="eastAsia" w:ascii="宋体" w:hAnsi="宋体" w:eastAsia="宋体" w:cs="宋体"/>
                <w:color w:val="auto"/>
                <w:sz w:val="24"/>
                <w:szCs w:val="24"/>
                <w:highlight w:val="none"/>
              </w:rPr>
            </w:pPr>
          </w:p>
        </w:tc>
        <w:tc>
          <w:tcPr>
            <w:tcW w:w="1061" w:type="dxa"/>
            <w:vMerge w:val="continue"/>
            <w:noWrap w:val="0"/>
            <w:vAlign w:val="center"/>
          </w:tcPr>
          <w:p w14:paraId="76AA90F1">
            <w:pPr>
              <w:snapToGrid w:val="0"/>
              <w:spacing w:line="300" w:lineRule="auto"/>
              <w:rPr>
                <w:rFonts w:hint="eastAsia" w:ascii="宋体" w:hAnsi="宋体" w:eastAsia="宋体" w:cs="宋体"/>
                <w:color w:val="auto"/>
                <w:sz w:val="24"/>
                <w:szCs w:val="24"/>
                <w:highlight w:val="none"/>
              </w:rPr>
            </w:pPr>
          </w:p>
        </w:tc>
        <w:tc>
          <w:tcPr>
            <w:tcW w:w="1263" w:type="dxa"/>
            <w:vMerge w:val="continue"/>
            <w:noWrap w:val="0"/>
            <w:vAlign w:val="center"/>
          </w:tcPr>
          <w:p w14:paraId="29DADD9F">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3E9535AC">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已取得证书日期</w:t>
            </w:r>
          </w:p>
        </w:tc>
        <w:tc>
          <w:tcPr>
            <w:tcW w:w="1520" w:type="dxa"/>
            <w:noWrap w:val="0"/>
            <w:vAlign w:val="center"/>
          </w:tcPr>
          <w:p w14:paraId="29138BDD">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清单型号</w:t>
            </w:r>
          </w:p>
        </w:tc>
        <w:tc>
          <w:tcPr>
            <w:tcW w:w="1591" w:type="dxa"/>
            <w:noWrap w:val="0"/>
            <w:vAlign w:val="center"/>
          </w:tcPr>
          <w:p w14:paraId="7919EAAF">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tc>
        <w:tc>
          <w:tcPr>
            <w:tcW w:w="1329" w:type="dxa"/>
            <w:noWrap w:val="0"/>
            <w:vAlign w:val="center"/>
          </w:tcPr>
          <w:p w14:paraId="15E17D37">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发证机构</w:t>
            </w:r>
          </w:p>
        </w:tc>
      </w:tr>
      <w:tr w14:paraId="28D4B6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9" w:hRule="atLeast"/>
          <w:jc w:val="center"/>
        </w:trPr>
        <w:tc>
          <w:tcPr>
            <w:tcW w:w="764" w:type="dxa"/>
            <w:noWrap w:val="0"/>
            <w:vAlign w:val="center"/>
          </w:tcPr>
          <w:p w14:paraId="32714732">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61" w:type="dxa"/>
            <w:noWrap w:val="0"/>
            <w:vAlign w:val="center"/>
          </w:tcPr>
          <w:p w14:paraId="5A463832">
            <w:pPr>
              <w:snapToGrid w:val="0"/>
              <w:spacing w:line="300" w:lineRule="auto"/>
              <w:rPr>
                <w:rFonts w:hint="eastAsia" w:ascii="宋体" w:hAnsi="宋体" w:eastAsia="宋体" w:cs="宋体"/>
                <w:color w:val="auto"/>
                <w:sz w:val="24"/>
                <w:szCs w:val="24"/>
                <w:highlight w:val="none"/>
              </w:rPr>
            </w:pPr>
          </w:p>
        </w:tc>
        <w:tc>
          <w:tcPr>
            <w:tcW w:w="1263" w:type="dxa"/>
            <w:noWrap w:val="0"/>
            <w:vAlign w:val="center"/>
          </w:tcPr>
          <w:p w14:paraId="7A8984D4">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225A98A8">
            <w:pPr>
              <w:snapToGrid w:val="0"/>
              <w:spacing w:line="300" w:lineRule="auto"/>
              <w:rPr>
                <w:rFonts w:hint="eastAsia" w:ascii="宋体" w:hAnsi="宋体" w:eastAsia="宋体" w:cs="宋体"/>
                <w:color w:val="auto"/>
                <w:sz w:val="24"/>
                <w:szCs w:val="24"/>
                <w:highlight w:val="none"/>
              </w:rPr>
            </w:pPr>
          </w:p>
        </w:tc>
        <w:tc>
          <w:tcPr>
            <w:tcW w:w="1520" w:type="dxa"/>
            <w:noWrap w:val="0"/>
            <w:vAlign w:val="center"/>
          </w:tcPr>
          <w:p w14:paraId="63EA2FA9">
            <w:pPr>
              <w:snapToGrid w:val="0"/>
              <w:spacing w:line="300" w:lineRule="auto"/>
              <w:rPr>
                <w:rFonts w:hint="eastAsia" w:ascii="宋体" w:hAnsi="宋体" w:eastAsia="宋体" w:cs="宋体"/>
                <w:color w:val="auto"/>
                <w:sz w:val="24"/>
                <w:szCs w:val="24"/>
                <w:highlight w:val="none"/>
              </w:rPr>
            </w:pPr>
          </w:p>
        </w:tc>
        <w:tc>
          <w:tcPr>
            <w:tcW w:w="1591" w:type="dxa"/>
            <w:noWrap w:val="0"/>
            <w:vAlign w:val="center"/>
          </w:tcPr>
          <w:p w14:paraId="4FB2A713">
            <w:pPr>
              <w:snapToGrid w:val="0"/>
              <w:spacing w:line="300" w:lineRule="auto"/>
              <w:rPr>
                <w:rFonts w:hint="eastAsia" w:ascii="宋体" w:hAnsi="宋体" w:eastAsia="宋体" w:cs="宋体"/>
                <w:color w:val="auto"/>
                <w:sz w:val="24"/>
                <w:szCs w:val="24"/>
                <w:highlight w:val="none"/>
              </w:rPr>
            </w:pPr>
          </w:p>
        </w:tc>
        <w:tc>
          <w:tcPr>
            <w:tcW w:w="1329" w:type="dxa"/>
            <w:noWrap w:val="0"/>
            <w:vAlign w:val="center"/>
          </w:tcPr>
          <w:p w14:paraId="76D76B1D">
            <w:pPr>
              <w:snapToGrid w:val="0"/>
              <w:spacing w:line="300" w:lineRule="auto"/>
              <w:rPr>
                <w:rFonts w:hint="eastAsia" w:ascii="宋体" w:hAnsi="宋体" w:eastAsia="宋体" w:cs="宋体"/>
                <w:color w:val="auto"/>
                <w:sz w:val="24"/>
                <w:szCs w:val="24"/>
                <w:highlight w:val="none"/>
              </w:rPr>
            </w:pPr>
          </w:p>
        </w:tc>
      </w:tr>
      <w:tr w14:paraId="152F20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764" w:type="dxa"/>
            <w:noWrap w:val="0"/>
            <w:vAlign w:val="center"/>
          </w:tcPr>
          <w:p w14:paraId="235E2655">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61" w:type="dxa"/>
            <w:noWrap w:val="0"/>
            <w:vAlign w:val="center"/>
          </w:tcPr>
          <w:p w14:paraId="416F2C9F">
            <w:pPr>
              <w:snapToGrid w:val="0"/>
              <w:spacing w:line="300" w:lineRule="auto"/>
              <w:rPr>
                <w:rFonts w:hint="eastAsia" w:ascii="宋体" w:hAnsi="宋体" w:eastAsia="宋体" w:cs="宋体"/>
                <w:color w:val="auto"/>
                <w:sz w:val="24"/>
                <w:szCs w:val="24"/>
                <w:highlight w:val="none"/>
              </w:rPr>
            </w:pPr>
          </w:p>
        </w:tc>
        <w:tc>
          <w:tcPr>
            <w:tcW w:w="1263" w:type="dxa"/>
            <w:noWrap w:val="0"/>
            <w:vAlign w:val="center"/>
          </w:tcPr>
          <w:p w14:paraId="61C0FFFB">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07DC8EAB">
            <w:pPr>
              <w:snapToGrid w:val="0"/>
              <w:spacing w:line="300" w:lineRule="auto"/>
              <w:rPr>
                <w:rFonts w:hint="eastAsia" w:ascii="宋体" w:hAnsi="宋体" w:eastAsia="宋体" w:cs="宋体"/>
                <w:color w:val="auto"/>
                <w:sz w:val="24"/>
                <w:szCs w:val="24"/>
                <w:highlight w:val="none"/>
              </w:rPr>
            </w:pPr>
          </w:p>
        </w:tc>
        <w:tc>
          <w:tcPr>
            <w:tcW w:w="1520" w:type="dxa"/>
            <w:noWrap w:val="0"/>
            <w:vAlign w:val="center"/>
          </w:tcPr>
          <w:p w14:paraId="7989ED36">
            <w:pPr>
              <w:snapToGrid w:val="0"/>
              <w:spacing w:line="300" w:lineRule="auto"/>
              <w:rPr>
                <w:rFonts w:hint="eastAsia" w:ascii="宋体" w:hAnsi="宋体" w:eastAsia="宋体" w:cs="宋体"/>
                <w:color w:val="auto"/>
                <w:sz w:val="24"/>
                <w:szCs w:val="24"/>
                <w:highlight w:val="none"/>
              </w:rPr>
            </w:pPr>
          </w:p>
        </w:tc>
        <w:tc>
          <w:tcPr>
            <w:tcW w:w="1591" w:type="dxa"/>
            <w:noWrap w:val="0"/>
            <w:vAlign w:val="center"/>
          </w:tcPr>
          <w:p w14:paraId="27BE9180">
            <w:pPr>
              <w:snapToGrid w:val="0"/>
              <w:spacing w:line="300" w:lineRule="auto"/>
              <w:rPr>
                <w:rFonts w:hint="eastAsia" w:ascii="宋体" w:hAnsi="宋体" w:eastAsia="宋体" w:cs="宋体"/>
                <w:color w:val="auto"/>
                <w:sz w:val="24"/>
                <w:szCs w:val="24"/>
                <w:highlight w:val="none"/>
              </w:rPr>
            </w:pPr>
          </w:p>
        </w:tc>
        <w:tc>
          <w:tcPr>
            <w:tcW w:w="1329" w:type="dxa"/>
            <w:noWrap w:val="0"/>
            <w:vAlign w:val="center"/>
          </w:tcPr>
          <w:p w14:paraId="5C7AB1A0">
            <w:pPr>
              <w:snapToGrid w:val="0"/>
              <w:spacing w:line="300" w:lineRule="auto"/>
              <w:rPr>
                <w:rFonts w:hint="eastAsia" w:ascii="宋体" w:hAnsi="宋体" w:eastAsia="宋体" w:cs="宋体"/>
                <w:color w:val="auto"/>
                <w:sz w:val="24"/>
                <w:szCs w:val="24"/>
                <w:highlight w:val="none"/>
              </w:rPr>
            </w:pPr>
          </w:p>
        </w:tc>
      </w:tr>
      <w:tr w14:paraId="1D6A2A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764" w:type="dxa"/>
            <w:noWrap w:val="0"/>
            <w:vAlign w:val="center"/>
          </w:tcPr>
          <w:p w14:paraId="45A1AA94">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61" w:type="dxa"/>
            <w:noWrap w:val="0"/>
            <w:vAlign w:val="center"/>
          </w:tcPr>
          <w:p w14:paraId="7CB5775E">
            <w:pPr>
              <w:snapToGrid w:val="0"/>
              <w:spacing w:line="300" w:lineRule="auto"/>
              <w:rPr>
                <w:rFonts w:hint="eastAsia" w:ascii="宋体" w:hAnsi="宋体" w:eastAsia="宋体" w:cs="宋体"/>
                <w:color w:val="auto"/>
                <w:sz w:val="24"/>
                <w:szCs w:val="24"/>
                <w:highlight w:val="none"/>
              </w:rPr>
            </w:pPr>
          </w:p>
        </w:tc>
        <w:tc>
          <w:tcPr>
            <w:tcW w:w="1263" w:type="dxa"/>
            <w:noWrap w:val="0"/>
            <w:vAlign w:val="center"/>
          </w:tcPr>
          <w:p w14:paraId="65AA2659">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445A20AF">
            <w:pPr>
              <w:snapToGrid w:val="0"/>
              <w:spacing w:line="300" w:lineRule="auto"/>
              <w:rPr>
                <w:rFonts w:hint="eastAsia" w:ascii="宋体" w:hAnsi="宋体" w:eastAsia="宋体" w:cs="宋体"/>
                <w:color w:val="auto"/>
                <w:sz w:val="24"/>
                <w:szCs w:val="24"/>
                <w:highlight w:val="none"/>
              </w:rPr>
            </w:pPr>
          </w:p>
        </w:tc>
        <w:tc>
          <w:tcPr>
            <w:tcW w:w="1520" w:type="dxa"/>
            <w:noWrap w:val="0"/>
            <w:vAlign w:val="center"/>
          </w:tcPr>
          <w:p w14:paraId="39FA615F">
            <w:pPr>
              <w:snapToGrid w:val="0"/>
              <w:spacing w:line="300" w:lineRule="auto"/>
              <w:rPr>
                <w:rFonts w:hint="eastAsia" w:ascii="宋体" w:hAnsi="宋体" w:eastAsia="宋体" w:cs="宋体"/>
                <w:color w:val="auto"/>
                <w:sz w:val="24"/>
                <w:szCs w:val="24"/>
                <w:highlight w:val="none"/>
              </w:rPr>
            </w:pPr>
          </w:p>
        </w:tc>
        <w:tc>
          <w:tcPr>
            <w:tcW w:w="1591" w:type="dxa"/>
            <w:noWrap w:val="0"/>
            <w:vAlign w:val="center"/>
          </w:tcPr>
          <w:p w14:paraId="6D09AFFA">
            <w:pPr>
              <w:snapToGrid w:val="0"/>
              <w:spacing w:line="300" w:lineRule="auto"/>
              <w:rPr>
                <w:rFonts w:hint="eastAsia" w:ascii="宋体" w:hAnsi="宋体" w:eastAsia="宋体" w:cs="宋体"/>
                <w:color w:val="auto"/>
                <w:sz w:val="24"/>
                <w:szCs w:val="24"/>
                <w:highlight w:val="none"/>
              </w:rPr>
            </w:pPr>
          </w:p>
        </w:tc>
        <w:tc>
          <w:tcPr>
            <w:tcW w:w="1329" w:type="dxa"/>
            <w:noWrap w:val="0"/>
            <w:vAlign w:val="center"/>
          </w:tcPr>
          <w:p w14:paraId="35A1D4BB">
            <w:pPr>
              <w:snapToGrid w:val="0"/>
              <w:spacing w:line="300" w:lineRule="auto"/>
              <w:rPr>
                <w:rFonts w:hint="eastAsia" w:ascii="宋体" w:hAnsi="宋体" w:eastAsia="宋体" w:cs="宋体"/>
                <w:color w:val="auto"/>
                <w:sz w:val="24"/>
                <w:szCs w:val="24"/>
                <w:highlight w:val="none"/>
              </w:rPr>
            </w:pPr>
          </w:p>
        </w:tc>
      </w:tr>
      <w:tr w14:paraId="555AF3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764" w:type="dxa"/>
            <w:noWrap w:val="0"/>
            <w:vAlign w:val="center"/>
          </w:tcPr>
          <w:p w14:paraId="4469BE3F">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61" w:type="dxa"/>
            <w:noWrap w:val="0"/>
            <w:vAlign w:val="center"/>
          </w:tcPr>
          <w:p w14:paraId="5393B2F2">
            <w:pPr>
              <w:snapToGrid w:val="0"/>
              <w:spacing w:line="300" w:lineRule="auto"/>
              <w:rPr>
                <w:rFonts w:hint="eastAsia" w:ascii="宋体" w:hAnsi="宋体" w:eastAsia="宋体" w:cs="宋体"/>
                <w:color w:val="auto"/>
                <w:sz w:val="24"/>
                <w:szCs w:val="24"/>
                <w:highlight w:val="none"/>
              </w:rPr>
            </w:pPr>
          </w:p>
        </w:tc>
        <w:tc>
          <w:tcPr>
            <w:tcW w:w="1263" w:type="dxa"/>
            <w:noWrap w:val="0"/>
            <w:vAlign w:val="center"/>
          </w:tcPr>
          <w:p w14:paraId="57C6495C">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3A70E532">
            <w:pPr>
              <w:snapToGrid w:val="0"/>
              <w:spacing w:line="300" w:lineRule="auto"/>
              <w:rPr>
                <w:rFonts w:hint="eastAsia" w:ascii="宋体" w:hAnsi="宋体" w:eastAsia="宋体" w:cs="宋体"/>
                <w:color w:val="auto"/>
                <w:sz w:val="24"/>
                <w:szCs w:val="24"/>
                <w:highlight w:val="none"/>
              </w:rPr>
            </w:pPr>
          </w:p>
        </w:tc>
        <w:tc>
          <w:tcPr>
            <w:tcW w:w="1520" w:type="dxa"/>
            <w:noWrap w:val="0"/>
            <w:vAlign w:val="center"/>
          </w:tcPr>
          <w:p w14:paraId="12209E58">
            <w:pPr>
              <w:snapToGrid w:val="0"/>
              <w:spacing w:line="300" w:lineRule="auto"/>
              <w:rPr>
                <w:rFonts w:hint="eastAsia" w:ascii="宋体" w:hAnsi="宋体" w:eastAsia="宋体" w:cs="宋体"/>
                <w:color w:val="auto"/>
                <w:sz w:val="24"/>
                <w:szCs w:val="24"/>
                <w:highlight w:val="none"/>
              </w:rPr>
            </w:pPr>
          </w:p>
        </w:tc>
        <w:tc>
          <w:tcPr>
            <w:tcW w:w="1591" w:type="dxa"/>
            <w:noWrap w:val="0"/>
            <w:vAlign w:val="center"/>
          </w:tcPr>
          <w:p w14:paraId="685E3A9E">
            <w:pPr>
              <w:snapToGrid w:val="0"/>
              <w:spacing w:line="300" w:lineRule="auto"/>
              <w:rPr>
                <w:rFonts w:hint="eastAsia" w:ascii="宋体" w:hAnsi="宋体" w:eastAsia="宋体" w:cs="宋体"/>
                <w:color w:val="auto"/>
                <w:sz w:val="24"/>
                <w:szCs w:val="24"/>
                <w:highlight w:val="none"/>
              </w:rPr>
            </w:pPr>
          </w:p>
        </w:tc>
        <w:tc>
          <w:tcPr>
            <w:tcW w:w="1329" w:type="dxa"/>
            <w:noWrap w:val="0"/>
            <w:vAlign w:val="center"/>
          </w:tcPr>
          <w:p w14:paraId="5045ACA2">
            <w:pPr>
              <w:snapToGrid w:val="0"/>
              <w:spacing w:line="300" w:lineRule="auto"/>
              <w:rPr>
                <w:rFonts w:hint="eastAsia" w:ascii="宋体" w:hAnsi="宋体" w:eastAsia="宋体" w:cs="宋体"/>
                <w:color w:val="auto"/>
                <w:sz w:val="24"/>
                <w:szCs w:val="24"/>
                <w:highlight w:val="none"/>
              </w:rPr>
            </w:pPr>
          </w:p>
        </w:tc>
      </w:tr>
      <w:tr w14:paraId="3C37C5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764" w:type="dxa"/>
            <w:noWrap w:val="0"/>
            <w:vAlign w:val="center"/>
          </w:tcPr>
          <w:p w14:paraId="0513BEA1">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61" w:type="dxa"/>
            <w:noWrap w:val="0"/>
            <w:vAlign w:val="center"/>
          </w:tcPr>
          <w:p w14:paraId="302A8526">
            <w:pPr>
              <w:snapToGrid w:val="0"/>
              <w:spacing w:line="300" w:lineRule="auto"/>
              <w:rPr>
                <w:rFonts w:hint="eastAsia" w:ascii="宋体" w:hAnsi="宋体" w:eastAsia="宋体" w:cs="宋体"/>
                <w:color w:val="auto"/>
                <w:sz w:val="24"/>
                <w:szCs w:val="24"/>
                <w:highlight w:val="none"/>
              </w:rPr>
            </w:pPr>
          </w:p>
        </w:tc>
        <w:tc>
          <w:tcPr>
            <w:tcW w:w="1263" w:type="dxa"/>
            <w:noWrap w:val="0"/>
            <w:vAlign w:val="center"/>
          </w:tcPr>
          <w:p w14:paraId="3C404488">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67E6720E">
            <w:pPr>
              <w:snapToGrid w:val="0"/>
              <w:spacing w:line="300" w:lineRule="auto"/>
              <w:rPr>
                <w:rFonts w:hint="eastAsia" w:ascii="宋体" w:hAnsi="宋体" w:eastAsia="宋体" w:cs="宋体"/>
                <w:color w:val="auto"/>
                <w:sz w:val="24"/>
                <w:szCs w:val="24"/>
                <w:highlight w:val="none"/>
              </w:rPr>
            </w:pPr>
          </w:p>
        </w:tc>
        <w:tc>
          <w:tcPr>
            <w:tcW w:w="1520" w:type="dxa"/>
            <w:noWrap w:val="0"/>
            <w:vAlign w:val="center"/>
          </w:tcPr>
          <w:p w14:paraId="14CF1DF1">
            <w:pPr>
              <w:snapToGrid w:val="0"/>
              <w:spacing w:line="300" w:lineRule="auto"/>
              <w:rPr>
                <w:rFonts w:hint="eastAsia" w:ascii="宋体" w:hAnsi="宋体" w:eastAsia="宋体" w:cs="宋体"/>
                <w:color w:val="auto"/>
                <w:sz w:val="24"/>
                <w:szCs w:val="24"/>
                <w:highlight w:val="none"/>
              </w:rPr>
            </w:pPr>
          </w:p>
        </w:tc>
        <w:tc>
          <w:tcPr>
            <w:tcW w:w="1591" w:type="dxa"/>
            <w:noWrap w:val="0"/>
            <w:vAlign w:val="center"/>
          </w:tcPr>
          <w:p w14:paraId="7BEE012D">
            <w:pPr>
              <w:snapToGrid w:val="0"/>
              <w:spacing w:line="300" w:lineRule="auto"/>
              <w:rPr>
                <w:rFonts w:hint="eastAsia" w:ascii="宋体" w:hAnsi="宋体" w:eastAsia="宋体" w:cs="宋体"/>
                <w:color w:val="auto"/>
                <w:sz w:val="24"/>
                <w:szCs w:val="24"/>
                <w:highlight w:val="none"/>
              </w:rPr>
            </w:pPr>
          </w:p>
        </w:tc>
        <w:tc>
          <w:tcPr>
            <w:tcW w:w="1329" w:type="dxa"/>
            <w:noWrap w:val="0"/>
            <w:vAlign w:val="center"/>
          </w:tcPr>
          <w:p w14:paraId="1EFE8DAF">
            <w:pPr>
              <w:snapToGrid w:val="0"/>
              <w:spacing w:line="300" w:lineRule="auto"/>
              <w:rPr>
                <w:rFonts w:hint="eastAsia" w:ascii="宋体" w:hAnsi="宋体" w:eastAsia="宋体" w:cs="宋体"/>
                <w:color w:val="auto"/>
                <w:sz w:val="24"/>
                <w:szCs w:val="24"/>
                <w:highlight w:val="none"/>
              </w:rPr>
            </w:pPr>
          </w:p>
        </w:tc>
      </w:tr>
      <w:tr w14:paraId="36F4BB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6" w:hRule="atLeast"/>
          <w:jc w:val="center"/>
        </w:trPr>
        <w:tc>
          <w:tcPr>
            <w:tcW w:w="764" w:type="dxa"/>
            <w:noWrap w:val="0"/>
            <w:vAlign w:val="center"/>
          </w:tcPr>
          <w:p w14:paraId="7D1086F3">
            <w:pPr>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p>
        </w:tc>
        <w:tc>
          <w:tcPr>
            <w:tcW w:w="1061" w:type="dxa"/>
            <w:noWrap w:val="0"/>
            <w:vAlign w:val="center"/>
          </w:tcPr>
          <w:p w14:paraId="72C50AC6">
            <w:pPr>
              <w:snapToGrid w:val="0"/>
              <w:spacing w:line="300" w:lineRule="auto"/>
              <w:rPr>
                <w:rFonts w:hint="eastAsia" w:ascii="宋体" w:hAnsi="宋体" w:eastAsia="宋体" w:cs="宋体"/>
                <w:color w:val="auto"/>
                <w:sz w:val="24"/>
                <w:szCs w:val="24"/>
                <w:highlight w:val="none"/>
              </w:rPr>
            </w:pPr>
          </w:p>
        </w:tc>
        <w:tc>
          <w:tcPr>
            <w:tcW w:w="1263" w:type="dxa"/>
            <w:noWrap w:val="0"/>
            <w:vAlign w:val="center"/>
          </w:tcPr>
          <w:p w14:paraId="3162B3EB">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663B9BC1">
            <w:pPr>
              <w:snapToGrid w:val="0"/>
              <w:spacing w:line="300" w:lineRule="auto"/>
              <w:rPr>
                <w:rFonts w:hint="eastAsia" w:ascii="宋体" w:hAnsi="宋体" w:eastAsia="宋体" w:cs="宋体"/>
                <w:color w:val="auto"/>
                <w:sz w:val="24"/>
                <w:szCs w:val="24"/>
                <w:highlight w:val="none"/>
              </w:rPr>
            </w:pPr>
          </w:p>
        </w:tc>
        <w:tc>
          <w:tcPr>
            <w:tcW w:w="1520" w:type="dxa"/>
            <w:noWrap w:val="0"/>
            <w:vAlign w:val="center"/>
          </w:tcPr>
          <w:p w14:paraId="1399DC33">
            <w:pPr>
              <w:snapToGrid w:val="0"/>
              <w:spacing w:line="300" w:lineRule="auto"/>
              <w:rPr>
                <w:rFonts w:hint="eastAsia" w:ascii="宋体" w:hAnsi="宋体" w:eastAsia="宋体" w:cs="宋体"/>
                <w:color w:val="auto"/>
                <w:sz w:val="24"/>
                <w:szCs w:val="24"/>
                <w:highlight w:val="none"/>
              </w:rPr>
            </w:pPr>
          </w:p>
        </w:tc>
        <w:tc>
          <w:tcPr>
            <w:tcW w:w="1591" w:type="dxa"/>
            <w:noWrap w:val="0"/>
            <w:vAlign w:val="center"/>
          </w:tcPr>
          <w:p w14:paraId="7EFA2CCC">
            <w:pPr>
              <w:snapToGrid w:val="0"/>
              <w:spacing w:line="300" w:lineRule="auto"/>
              <w:rPr>
                <w:rFonts w:hint="eastAsia" w:ascii="宋体" w:hAnsi="宋体" w:eastAsia="宋体" w:cs="宋体"/>
                <w:color w:val="auto"/>
                <w:sz w:val="24"/>
                <w:szCs w:val="24"/>
                <w:highlight w:val="none"/>
              </w:rPr>
            </w:pPr>
          </w:p>
        </w:tc>
        <w:tc>
          <w:tcPr>
            <w:tcW w:w="1329" w:type="dxa"/>
            <w:noWrap w:val="0"/>
            <w:vAlign w:val="center"/>
          </w:tcPr>
          <w:p w14:paraId="0C1595B5">
            <w:pPr>
              <w:snapToGrid w:val="0"/>
              <w:spacing w:line="300" w:lineRule="auto"/>
              <w:rPr>
                <w:rFonts w:hint="eastAsia" w:ascii="宋体" w:hAnsi="宋体" w:eastAsia="宋体" w:cs="宋体"/>
                <w:color w:val="auto"/>
                <w:sz w:val="24"/>
                <w:szCs w:val="24"/>
                <w:highlight w:val="none"/>
              </w:rPr>
            </w:pPr>
          </w:p>
        </w:tc>
      </w:tr>
    </w:tbl>
    <w:p w14:paraId="530CAD32">
      <w:pPr>
        <w:pStyle w:val="6"/>
        <w:ind w:left="0" w:leftChars="0" w:firstLine="0" w:firstLineChars="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注：1、上述“节能产品政府采购清单”以相关职能部门正式发布的最新一期为准。</w:t>
      </w:r>
    </w:p>
    <w:p w14:paraId="5E8308AF">
      <w:pPr>
        <w:pStyle w:val="6"/>
        <w:ind w:left="105" w:leftChars="50" w:firstLine="360" w:firstLineChars="15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2、采购项目分包的，本表应按报价包号填写。</w:t>
      </w:r>
    </w:p>
    <w:p w14:paraId="1DEC48DB">
      <w:pPr>
        <w:pStyle w:val="6"/>
        <w:ind w:left="105" w:leftChars="50" w:firstLine="360" w:firstLineChars="15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3、后附认证证书复印件加盖</w:t>
      </w:r>
      <w:r>
        <w:rPr>
          <w:rFonts w:hint="eastAsia" w:ascii="宋体" w:hAnsi="宋体" w:eastAsia="宋体"/>
          <w:b w:val="0"/>
          <w:color w:val="auto"/>
          <w:sz w:val="24"/>
          <w:highlight w:val="none"/>
          <w:lang w:eastAsia="zh-CN"/>
        </w:rPr>
        <w:t>供应商</w:t>
      </w:r>
      <w:r>
        <w:rPr>
          <w:rFonts w:hint="eastAsia" w:ascii="宋体" w:hAnsi="宋体" w:eastAsia="宋体"/>
          <w:b w:val="0"/>
          <w:color w:val="auto"/>
          <w:sz w:val="24"/>
          <w:highlight w:val="none"/>
        </w:rPr>
        <w:t>公章。</w:t>
      </w:r>
    </w:p>
    <w:p w14:paraId="1B7ADCF1">
      <w:pPr>
        <w:spacing w:line="480" w:lineRule="auto"/>
        <w:jc w:val="center"/>
        <w:rPr>
          <w:rFonts w:hint="eastAsia" w:ascii="宋体" w:hAnsi="宋体" w:cs="宋体"/>
          <w:color w:val="auto"/>
          <w:sz w:val="24"/>
          <w:highlight w:val="none"/>
        </w:rPr>
      </w:pPr>
    </w:p>
    <w:p w14:paraId="6158E7AE">
      <w:pPr>
        <w:spacing w:line="480" w:lineRule="auto"/>
        <w:jc w:val="both"/>
        <w:rPr>
          <w:rFonts w:hint="eastAsia"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（盖单位公章）</w:t>
      </w:r>
    </w:p>
    <w:p w14:paraId="151F76BA">
      <w:pPr>
        <w:spacing w:line="480" w:lineRule="auto"/>
        <w:jc w:val="both"/>
        <w:rPr>
          <w:rFonts w:hint="eastAsia" w:ascii="宋体" w:hAnsi="宋体" w:cs="宋体"/>
          <w:color w:val="auto"/>
          <w:sz w:val="24"/>
          <w:highlight w:val="none"/>
        </w:rPr>
      </w:pPr>
      <w:r>
        <w:rPr>
          <w:rFonts w:hint="eastAsia" w:ascii="宋体" w:hAnsi="宋体" w:cs="宋体"/>
          <w:color w:val="auto"/>
          <w:sz w:val="24"/>
          <w:highlight w:val="none"/>
        </w:rPr>
        <w:t>法定代表人或其委托代理人（签字）</w:t>
      </w:r>
    </w:p>
    <w:p w14:paraId="5431B117">
      <w:pPr>
        <w:spacing w:line="480" w:lineRule="auto"/>
        <w:ind w:left="1050" w:hanging="1050" w:hangingChars="500"/>
        <w:jc w:val="both"/>
        <w:rPr>
          <w:rFonts w:hint="eastAsia" w:ascii="宋体" w:hAnsi="宋体" w:cs="宋体"/>
          <w:color w:val="auto"/>
          <w:sz w:val="24"/>
          <w:highlight w:val="none"/>
        </w:rPr>
      </w:pPr>
      <w:r>
        <w:rPr>
          <w:rFonts w:hint="eastAsia" w:ascii="宋体" w:hAnsi="宋体" w:cs="宋体"/>
          <w:color w:val="auto"/>
          <w:highlight w:val="none"/>
        </w:rPr>
        <w:t xml:space="preserve">       </w:t>
      </w:r>
      <w:r>
        <w:rPr>
          <w:rFonts w:hint="eastAsia" w:ascii="宋体" w:hAnsi="宋体" w:cs="宋体"/>
          <w:color w:val="auto"/>
          <w:sz w:val="24"/>
          <w:highlight w:val="none"/>
        </w:rPr>
        <w:t>年     月     日</w:t>
      </w:r>
    </w:p>
    <w:p w14:paraId="42833063">
      <w:pPr>
        <w:spacing w:line="480" w:lineRule="auto"/>
        <w:rPr>
          <w:rFonts w:hint="eastAsia" w:ascii="宋体" w:hAnsi="宋体" w:cs="宋体"/>
          <w:color w:val="auto"/>
          <w:sz w:val="24"/>
          <w:highlight w:val="none"/>
        </w:rPr>
      </w:pPr>
      <w:r>
        <w:rPr>
          <w:rFonts w:ascii="宋体" w:hAnsi="宋体" w:cs="宋体"/>
          <w:color w:val="auto"/>
          <w:sz w:val="24"/>
          <w:highlight w:val="none"/>
        </w:rPr>
        <w:br w:type="page"/>
      </w:r>
    </w:p>
    <w:p w14:paraId="4E39B0B2">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baseline"/>
        <w:outlineLvl w:val="9"/>
        <w:rPr>
          <w:rFonts w:hint="eastAsia" w:ascii="宋体" w:hAnsi="宋体"/>
          <w:b/>
          <w:color w:val="auto"/>
          <w:sz w:val="24"/>
          <w:highlight w:val="none"/>
        </w:rPr>
      </w:pPr>
      <w:bookmarkStart w:id="74" w:name="_Toc7338702"/>
      <w:bookmarkStart w:id="75" w:name="_Toc14104576"/>
      <w:bookmarkStart w:id="76" w:name="_Toc511239412"/>
      <w:bookmarkStart w:id="77" w:name="_Toc511239257"/>
      <w:bookmarkStart w:id="78" w:name="_Toc14104094"/>
      <w:r>
        <w:rPr>
          <w:rFonts w:hint="eastAsia" w:ascii="宋体" w:hAnsi="宋体"/>
          <w:b/>
          <w:color w:val="auto"/>
          <w:sz w:val="24"/>
          <w:highlight w:val="none"/>
        </w:rPr>
        <w:t>环境标志产品清单说明表</w:t>
      </w:r>
      <w:bookmarkEnd w:id="74"/>
      <w:bookmarkEnd w:id="75"/>
      <w:bookmarkEnd w:id="76"/>
      <w:bookmarkEnd w:id="77"/>
      <w:bookmarkEnd w:id="78"/>
    </w:p>
    <w:p w14:paraId="05956B11">
      <w:pPr>
        <w:snapToGrid w:val="0"/>
        <w:spacing w:line="300" w:lineRule="auto"/>
        <w:jc w:val="center"/>
        <w:rPr>
          <w:rFonts w:hint="eastAsia" w:ascii="宋体" w:hAnsi="宋体"/>
          <w:color w:val="auto"/>
          <w:sz w:val="24"/>
          <w:highlight w:val="none"/>
        </w:rPr>
      </w:pPr>
      <w:r>
        <w:rPr>
          <w:rFonts w:hint="eastAsia" w:ascii="宋体" w:hAnsi="宋体"/>
          <w:color w:val="auto"/>
          <w:sz w:val="24"/>
          <w:highlight w:val="none"/>
        </w:rPr>
        <w:t>（环境标志产品按下列格式提供）</w:t>
      </w:r>
    </w:p>
    <w:p w14:paraId="27AEDAB8">
      <w:pPr>
        <w:snapToGrid w:val="0"/>
        <w:spacing w:line="300" w:lineRule="auto"/>
        <w:rPr>
          <w:rFonts w:hint="eastAsia" w:ascii="宋体" w:hAnsi="宋体"/>
          <w:color w:val="auto"/>
          <w:sz w:val="24"/>
          <w:highlight w:val="none"/>
        </w:rPr>
      </w:pPr>
    </w:p>
    <w:p w14:paraId="705BA708">
      <w:pPr>
        <w:snapToGrid w:val="0"/>
        <w:spacing w:line="300" w:lineRule="auto"/>
        <w:rPr>
          <w:rFonts w:hint="eastAsia" w:ascii="宋体" w:hAnsi="宋体"/>
          <w:color w:val="auto"/>
          <w:sz w:val="24"/>
          <w:highlight w:val="none"/>
          <w:u w:val="single"/>
        </w:rPr>
      </w:pPr>
      <w:r>
        <w:rPr>
          <w:rFonts w:hint="eastAsia" w:ascii="宋体" w:hAnsi="宋体"/>
          <w:color w:val="auto"/>
          <w:sz w:val="24"/>
          <w:highlight w:val="none"/>
        </w:rPr>
        <w:t xml:space="preserve">采购项目名称： </w:t>
      </w:r>
      <w:r>
        <w:rPr>
          <w:rFonts w:hint="eastAsia" w:ascii="宋体" w:hAnsi="宋体"/>
          <w:color w:val="auto"/>
          <w:sz w:val="24"/>
          <w:highlight w:val="none"/>
          <w:u w:val="single"/>
        </w:rPr>
        <w:t xml:space="preserve">                       </w:t>
      </w:r>
    </w:p>
    <w:p w14:paraId="1E3BC666">
      <w:pPr>
        <w:snapToGrid w:val="0"/>
        <w:spacing w:line="300" w:lineRule="auto"/>
        <w:rPr>
          <w:rFonts w:hint="eastAsia" w:ascii="宋体" w:hAnsi="宋体"/>
          <w:i/>
          <w:iCs/>
          <w:color w:val="auto"/>
          <w:sz w:val="24"/>
          <w:highlight w:val="none"/>
        </w:rPr>
      </w:pPr>
      <w:r>
        <w:rPr>
          <w:rFonts w:hint="eastAsia" w:ascii="宋体" w:hAnsi="宋体"/>
          <w:color w:val="auto"/>
          <w:sz w:val="24"/>
          <w:highlight w:val="none"/>
        </w:rPr>
        <w:t>采购项目编号：</w:t>
      </w:r>
      <w:r>
        <w:rPr>
          <w:rFonts w:hint="eastAsia" w:ascii="宋体" w:hAnsi="宋体"/>
          <w:i/>
          <w:iCs/>
          <w:color w:val="auto"/>
          <w:sz w:val="24"/>
          <w:highlight w:val="none"/>
        </w:rPr>
        <w:t xml:space="preserve"> </w:t>
      </w:r>
      <w:r>
        <w:rPr>
          <w:rFonts w:hint="eastAsia" w:ascii="宋体" w:hAnsi="宋体"/>
          <w:color w:val="auto"/>
          <w:sz w:val="24"/>
          <w:highlight w:val="none"/>
          <w:u w:val="single"/>
        </w:rPr>
        <w:t xml:space="preserve">                       </w:t>
      </w:r>
    </w:p>
    <w:p w14:paraId="767D6CC9">
      <w:pPr>
        <w:rPr>
          <w:rFonts w:hint="eastAsia" w:ascii="宋体" w:hAnsi="宋体"/>
          <w:color w:val="auto"/>
          <w:szCs w:val="21"/>
          <w:highlight w:val="none"/>
        </w:rPr>
      </w:pPr>
    </w:p>
    <w:tbl>
      <w:tblPr>
        <w:tblStyle w:val="13"/>
        <w:tblW w:w="0" w:type="auto"/>
        <w:jc w:val="center"/>
        <w:tblLayout w:type="fixed"/>
        <w:tblCellMar>
          <w:top w:w="0" w:type="dxa"/>
          <w:left w:w="108" w:type="dxa"/>
          <w:bottom w:w="0" w:type="dxa"/>
          <w:right w:w="108" w:type="dxa"/>
        </w:tblCellMar>
      </w:tblPr>
      <w:tblGrid>
        <w:gridCol w:w="729"/>
        <w:gridCol w:w="1090"/>
        <w:gridCol w:w="1076"/>
        <w:gridCol w:w="1759"/>
        <w:gridCol w:w="1276"/>
        <w:gridCol w:w="1417"/>
        <w:gridCol w:w="1653"/>
      </w:tblGrid>
      <w:tr w14:paraId="30CB0CB6">
        <w:tblPrEx>
          <w:tblCellMar>
            <w:top w:w="0" w:type="dxa"/>
            <w:left w:w="108" w:type="dxa"/>
            <w:bottom w:w="0" w:type="dxa"/>
            <w:right w:w="108" w:type="dxa"/>
          </w:tblCellMar>
        </w:tblPrEx>
        <w:trPr>
          <w:trHeight w:val="420" w:hRule="atLeast"/>
          <w:jc w:val="center"/>
        </w:trPr>
        <w:tc>
          <w:tcPr>
            <w:tcW w:w="729" w:type="dxa"/>
            <w:vMerge w:val="restart"/>
            <w:tcBorders>
              <w:top w:val="single" w:color="auto" w:sz="8" w:space="0"/>
              <w:left w:val="single" w:color="auto" w:sz="8" w:space="0"/>
              <w:bottom w:val="single" w:color="auto" w:sz="8" w:space="0"/>
              <w:right w:val="single" w:color="auto" w:sz="8" w:space="0"/>
            </w:tcBorders>
            <w:noWrap w:val="0"/>
            <w:vAlign w:val="center"/>
          </w:tcPr>
          <w:p w14:paraId="71985921">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090" w:type="dxa"/>
            <w:vMerge w:val="restart"/>
            <w:tcBorders>
              <w:top w:val="single" w:color="auto" w:sz="8" w:space="0"/>
              <w:left w:val="single" w:color="auto" w:sz="8" w:space="0"/>
              <w:bottom w:val="single" w:color="auto" w:sz="8" w:space="0"/>
              <w:right w:val="single" w:color="auto" w:sz="8" w:space="0"/>
            </w:tcBorders>
            <w:noWrap w:val="0"/>
            <w:vAlign w:val="center"/>
          </w:tcPr>
          <w:p w14:paraId="0C4A60BB">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货物名称</w:t>
            </w:r>
          </w:p>
        </w:tc>
        <w:tc>
          <w:tcPr>
            <w:tcW w:w="1076" w:type="dxa"/>
            <w:vMerge w:val="restart"/>
            <w:tcBorders>
              <w:top w:val="single" w:color="auto" w:sz="8" w:space="0"/>
              <w:left w:val="single" w:color="auto" w:sz="8" w:space="0"/>
              <w:bottom w:val="single" w:color="auto" w:sz="8" w:space="0"/>
              <w:right w:val="single" w:color="auto" w:sz="8" w:space="0"/>
            </w:tcBorders>
            <w:noWrap w:val="0"/>
            <w:vAlign w:val="center"/>
          </w:tcPr>
          <w:p w14:paraId="5BCE5A30">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规格型号</w:t>
            </w:r>
          </w:p>
        </w:tc>
        <w:tc>
          <w:tcPr>
            <w:tcW w:w="6105" w:type="dxa"/>
            <w:gridSpan w:val="4"/>
            <w:tcBorders>
              <w:top w:val="single" w:color="auto" w:sz="8" w:space="0"/>
              <w:left w:val="single" w:color="auto" w:sz="8" w:space="0"/>
              <w:bottom w:val="single" w:color="auto" w:sz="8" w:space="0"/>
              <w:right w:val="single" w:color="auto" w:sz="8" w:space="0"/>
            </w:tcBorders>
            <w:noWrap w:val="0"/>
            <w:vAlign w:val="center"/>
          </w:tcPr>
          <w:p w14:paraId="1D16070E">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环境标志产品政府采购清单</w:t>
            </w:r>
          </w:p>
        </w:tc>
      </w:tr>
      <w:tr w14:paraId="3EBC0B29">
        <w:tblPrEx>
          <w:tblCellMar>
            <w:top w:w="0" w:type="dxa"/>
            <w:left w:w="108" w:type="dxa"/>
            <w:bottom w:w="0" w:type="dxa"/>
            <w:right w:w="108" w:type="dxa"/>
          </w:tblCellMar>
        </w:tblPrEx>
        <w:trPr>
          <w:trHeight w:val="314" w:hRule="atLeast"/>
          <w:jc w:val="center"/>
        </w:trPr>
        <w:tc>
          <w:tcPr>
            <w:tcW w:w="729" w:type="dxa"/>
            <w:vMerge w:val="continue"/>
            <w:tcBorders>
              <w:top w:val="single" w:color="auto" w:sz="8" w:space="0"/>
              <w:left w:val="single" w:color="auto" w:sz="8" w:space="0"/>
              <w:bottom w:val="single" w:color="auto" w:sz="8" w:space="0"/>
              <w:right w:val="single" w:color="auto" w:sz="8" w:space="0"/>
            </w:tcBorders>
            <w:noWrap w:val="0"/>
            <w:vAlign w:val="center"/>
          </w:tcPr>
          <w:p w14:paraId="7651A5D0">
            <w:pPr>
              <w:bidi w:val="0"/>
              <w:jc w:val="center"/>
              <w:rPr>
                <w:rFonts w:hint="eastAsia" w:ascii="宋体" w:hAnsi="宋体" w:eastAsia="宋体" w:cs="宋体"/>
                <w:color w:val="auto"/>
                <w:sz w:val="24"/>
                <w:szCs w:val="24"/>
              </w:rPr>
            </w:pPr>
          </w:p>
        </w:tc>
        <w:tc>
          <w:tcPr>
            <w:tcW w:w="1090" w:type="dxa"/>
            <w:vMerge w:val="continue"/>
            <w:tcBorders>
              <w:top w:val="single" w:color="auto" w:sz="8" w:space="0"/>
              <w:left w:val="single" w:color="auto" w:sz="8" w:space="0"/>
              <w:bottom w:val="single" w:color="auto" w:sz="8" w:space="0"/>
              <w:right w:val="single" w:color="auto" w:sz="8" w:space="0"/>
            </w:tcBorders>
            <w:noWrap w:val="0"/>
            <w:vAlign w:val="center"/>
          </w:tcPr>
          <w:p w14:paraId="3C4435CF">
            <w:pPr>
              <w:bidi w:val="0"/>
              <w:jc w:val="center"/>
              <w:rPr>
                <w:rFonts w:hint="eastAsia" w:ascii="宋体" w:hAnsi="宋体" w:eastAsia="宋体" w:cs="宋体"/>
                <w:color w:val="auto"/>
                <w:sz w:val="24"/>
                <w:szCs w:val="24"/>
              </w:rPr>
            </w:pPr>
          </w:p>
        </w:tc>
        <w:tc>
          <w:tcPr>
            <w:tcW w:w="1076" w:type="dxa"/>
            <w:vMerge w:val="continue"/>
            <w:tcBorders>
              <w:top w:val="single" w:color="auto" w:sz="8" w:space="0"/>
              <w:left w:val="single" w:color="auto" w:sz="8" w:space="0"/>
              <w:bottom w:val="single" w:color="auto" w:sz="8" w:space="0"/>
              <w:right w:val="single" w:color="auto" w:sz="8" w:space="0"/>
            </w:tcBorders>
            <w:noWrap w:val="0"/>
            <w:vAlign w:val="center"/>
          </w:tcPr>
          <w:p w14:paraId="7A23D7D7">
            <w:pPr>
              <w:bidi w:val="0"/>
              <w:jc w:val="center"/>
              <w:rPr>
                <w:rFonts w:hint="eastAsia" w:ascii="宋体" w:hAnsi="宋体" w:eastAsia="宋体" w:cs="宋体"/>
                <w:color w:val="auto"/>
                <w:sz w:val="24"/>
                <w:szCs w:val="24"/>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455301C6">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已取得证书日期</w:t>
            </w:r>
          </w:p>
        </w:tc>
        <w:tc>
          <w:tcPr>
            <w:tcW w:w="1276" w:type="dxa"/>
            <w:tcBorders>
              <w:top w:val="single" w:color="auto" w:sz="8" w:space="0"/>
              <w:left w:val="single" w:color="auto" w:sz="8" w:space="0"/>
              <w:bottom w:val="single" w:color="auto" w:sz="8" w:space="0"/>
              <w:right w:val="single" w:color="auto" w:sz="8" w:space="0"/>
            </w:tcBorders>
            <w:noWrap w:val="0"/>
            <w:vAlign w:val="center"/>
          </w:tcPr>
          <w:p w14:paraId="645C9BBB">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清单型号</w:t>
            </w:r>
          </w:p>
        </w:tc>
        <w:tc>
          <w:tcPr>
            <w:tcW w:w="1417" w:type="dxa"/>
            <w:tcBorders>
              <w:top w:val="single" w:color="auto" w:sz="8" w:space="0"/>
              <w:left w:val="single" w:color="auto" w:sz="8" w:space="0"/>
              <w:bottom w:val="single" w:color="auto" w:sz="8" w:space="0"/>
              <w:right w:val="single" w:color="auto" w:sz="8" w:space="0"/>
            </w:tcBorders>
            <w:noWrap w:val="0"/>
            <w:vAlign w:val="center"/>
          </w:tcPr>
          <w:p w14:paraId="00AF414C">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证书编号</w:t>
            </w:r>
          </w:p>
        </w:tc>
        <w:tc>
          <w:tcPr>
            <w:tcW w:w="1653" w:type="dxa"/>
            <w:tcBorders>
              <w:top w:val="single" w:color="auto" w:sz="8" w:space="0"/>
              <w:left w:val="single" w:color="auto" w:sz="8" w:space="0"/>
              <w:bottom w:val="single" w:color="auto" w:sz="8" w:space="0"/>
              <w:right w:val="single" w:color="auto" w:sz="8" w:space="0"/>
            </w:tcBorders>
            <w:noWrap w:val="0"/>
            <w:vAlign w:val="center"/>
          </w:tcPr>
          <w:p w14:paraId="6BB17AFB">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发证机构</w:t>
            </w:r>
          </w:p>
        </w:tc>
      </w:tr>
      <w:tr w14:paraId="5706F879">
        <w:tblPrEx>
          <w:tblCellMar>
            <w:top w:w="0" w:type="dxa"/>
            <w:left w:w="108" w:type="dxa"/>
            <w:bottom w:w="0" w:type="dxa"/>
            <w:right w:w="108" w:type="dxa"/>
          </w:tblCellMar>
        </w:tblPrEx>
        <w:trPr>
          <w:trHeight w:val="645" w:hRule="atLeast"/>
          <w:jc w:val="center"/>
        </w:trPr>
        <w:tc>
          <w:tcPr>
            <w:tcW w:w="729" w:type="dxa"/>
            <w:tcBorders>
              <w:top w:val="single" w:color="auto" w:sz="8" w:space="0"/>
              <w:left w:val="single" w:color="auto" w:sz="8" w:space="0"/>
              <w:bottom w:val="single" w:color="auto" w:sz="8" w:space="0"/>
              <w:right w:val="single" w:color="auto" w:sz="8" w:space="0"/>
            </w:tcBorders>
            <w:noWrap w:val="0"/>
            <w:vAlign w:val="center"/>
          </w:tcPr>
          <w:p w14:paraId="2956A9D0">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090" w:type="dxa"/>
            <w:tcBorders>
              <w:top w:val="single" w:color="auto" w:sz="8" w:space="0"/>
              <w:left w:val="single" w:color="auto" w:sz="8" w:space="0"/>
              <w:bottom w:val="single" w:color="auto" w:sz="8" w:space="0"/>
              <w:right w:val="single" w:color="auto" w:sz="8" w:space="0"/>
            </w:tcBorders>
            <w:noWrap w:val="0"/>
            <w:vAlign w:val="center"/>
          </w:tcPr>
          <w:p w14:paraId="051EB297">
            <w:pPr>
              <w:bidi w:val="0"/>
              <w:jc w:val="center"/>
              <w:rPr>
                <w:rFonts w:hint="eastAsia" w:ascii="宋体" w:hAnsi="宋体" w:eastAsia="宋体" w:cs="宋体"/>
                <w:color w:val="auto"/>
                <w:sz w:val="24"/>
                <w:szCs w:val="24"/>
              </w:rPr>
            </w:pPr>
          </w:p>
        </w:tc>
        <w:tc>
          <w:tcPr>
            <w:tcW w:w="1076" w:type="dxa"/>
            <w:tcBorders>
              <w:top w:val="single" w:color="auto" w:sz="8" w:space="0"/>
              <w:left w:val="single" w:color="auto" w:sz="8" w:space="0"/>
              <w:bottom w:val="single" w:color="auto" w:sz="8" w:space="0"/>
              <w:right w:val="single" w:color="auto" w:sz="8" w:space="0"/>
            </w:tcBorders>
            <w:noWrap w:val="0"/>
            <w:vAlign w:val="center"/>
          </w:tcPr>
          <w:p w14:paraId="4C329690">
            <w:pPr>
              <w:bidi w:val="0"/>
              <w:jc w:val="center"/>
              <w:rPr>
                <w:rFonts w:hint="eastAsia" w:ascii="宋体" w:hAnsi="宋体" w:eastAsia="宋体" w:cs="宋体"/>
                <w:color w:val="auto"/>
                <w:sz w:val="24"/>
                <w:szCs w:val="24"/>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24777AF1">
            <w:pPr>
              <w:bidi w:val="0"/>
              <w:jc w:val="center"/>
              <w:rPr>
                <w:rFonts w:hint="eastAsia" w:ascii="宋体" w:hAnsi="宋体" w:eastAsia="宋体" w:cs="宋体"/>
                <w:color w:val="auto"/>
                <w:sz w:val="24"/>
                <w:szCs w:val="24"/>
              </w:rPr>
            </w:pPr>
          </w:p>
        </w:tc>
        <w:tc>
          <w:tcPr>
            <w:tcW w:w="1276" w:type="dxa"/>
            <w:tcBorders>
              <w:top w:val="single" w:color="auto" w:sz="8" w:space="0"/>
              <w:left w:val="single" w:color="auto" w:sz="8" w:space="0"/>
              <w:bottom w:val="single" w:color="auto" w:sz="8" w:space="0"/>
              <w:right w:val="single" w:color="auto" w:sz="8" w:space="0"/>
            </w:tcBorders>
            <w:noWrap w:val="0"/>
            <w:vAlign w:val="center"/>
          </w:tcPr>
          <w:p w14:paraId="3B47D1DF">
            <w:pPr>
              <w:bidi w:val="0"/>
              <w:jc w:val="center"/>
              <w:rPr>
                <w:rFonts w:hint="eastAsia" w:ascii="宋体" w:hAnsi="宋体" w:eastAsia="宋体" w:cs="宋体"/>
                <w:color w:val="auto"/>
                <w:sz w:val="24"/>
                <w:szCs w:val="24"/>
              </w:rPr>
            </w:pPr>
          </w:p>
        </w:tc>
        <w:tc>
          <w:tcPr>
            <w:tcW w:w="1417" w:type="dxa"/>
            <w:tcBorders>
              <w:top w:val="single" w:color="auto" w:sz="8" w:space="0"/>
              <w:left w:val="single" w:color="auto" w:sz="8" w:space="0"/>
              <w:bottom w:val="single" w:color="auto" w:sz="8" w:space="0"/>
              <w:right w:val="single" w:color="auto" w:sz="8" w:space="0"/>
            </w:tcBorders>
            <w:noWrap w:val="0"/>
            <w:vAlign w:val="center"/>
          </w:tcPr>
          <w:p w14:paraId="2316C5EA">
            <w:pPr>
              <w:bidi w:val="0"/>
              <w:jc w:val="center"/>
              <w:rPr>
                <w:rFonts w:hint="eastAsia" w:ascii="宋体" w:hAnsi="宋体" w:eastAsia="宋体" w:cs="宋体"/>
                <w:color w:val="auto"/>
                <w:sz w:val="24"/>
                <w:szCs w:val="24"/>
              </w:rPr>
            </w:pPr>
          </w:p>
        </w:tc>
        <w:tc>
          <w:tcPr>
            <w:tcW w:w="1653" w:type="dxa"/>
            <w:tcBorders>
              <w:top w:val="single" w:color="auto" w:sz="8" w:space="0"/>
              <w:left w:val="single" w:color="auto" w:sz="8" w:space="0"/>
              <w:bottom w:val="single" w:color="auto" w:sz="8" w:space="0"/>
              <w:right w:val="single" w:color="auto" w:sz="8" w:space="0"/>
            </w:tcBorders>
            <w:noWrap w:val="0"/>
            <w:vAlign w:val="center"/>
          </w:tcPr>
          <w:p w14:paraId="3998A88B">
            <w:pPr>
              <w:bidi w:val="0"/>
              <w:jc w:val="center"/>
              <w:rPr>
                <w:rFonts w:hint="eastAsia" w:ascii="宋体" w:hAnsi="宋体" w:eastAsia="宋体" w:cs="宋体"/>
                <w:color w:val="auto"/>
                <w:sz w:val="24"/>
                <w:szCs w:val="24"/>
              </w:rPr>
            </w:pPr>
          </w:p>
        </w:tc>
      </w:tr>
      <w:tr w14:paraId="7B980EA5">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noWrap w:val="0"/>
            <w:vAlign w:val="center"/>
          </w:tcPr>
          <w:p w14:paraId="249DEF72">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090" w:type="dxa"/>
            <w:tcBorders>
              <w:top w:val="single" w:color="auto" w:sz="8" w:space="0"/>
              <w:left w:val="single" w:color="auto" w:sz="8" w:space="0"/>
              <w:bottom w:val="single" w:color="auto" w:sz="8" w:space="0"/>
              <w:right w:val="single" w:color="auto" w:sz="8" w:space="0"/>
            </w:tcBorders>
            <w:noWrap w:val="0"/>
            <w:vAlign w:val="center"/>
          </w:tcPr>
          <w:p w14:paraId="1A651133">
            <w:pPr>
              <w:bidi w:val="0"/>
              <w:jc w:val="center"/>
              <w:rPr>
                <w:rFonts w:hint="eastAsia" w:ascii="宋体" w:hAnsi="宋体" w:eastAsia="宋体" w:cs="宋体"/>
                <w:color w:val="auto"/>
                <w:sz w:val="24"/>
                <w:szCs w:val="24"/>
              </w:rPr>
            </w:pPr>
          </w:p>
        </w:tc>
        <w:tc>
          <w:tcPr>
            <w:tcW w:w="1076" w:type="dxa"/>
            <w:tcBorders>
              <w:top w:val="single" w:color="auto" w:sz="8" w:space="0"/>
              <w:left w:val="single" w:color="auto" w:sz="8" w:space="0"/>
              <w:bottom w:val="single" w:color="auto" w:sz="8" w:space="0"/>
              <w:right w:val="single" w:color="auto" w:sz="8" w:space="0"/>
            </w:tcBorders>
            <w:noWrap w:val="0"/>
            <w:vAlign w:val="center"/>
          </w:tcPr>
          <w:p w14:paraId="22DCC587">
            <w:pPr>
              <w:bidi w:val="0"/>
              <w:jc w:val="center"/>
              <w:rPr>
                <w:rFonts w:hint="eastAsia" w:ascii="宋体" w:hAnsi="宋体" w:eastAsia="宋体" w:cs="宋体"/>
                <w:color w:val="auto"/>
                <w:sz w:val="24"/>
                <w:szCs w:val="24"/>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66E12E77">
            <w:pPr>
              <w:bidi w:val="0"/>
              <w:jc w:val="center"/>
              <w:rPr>
                <w:rFonts w:hint="eastAsia" w:ascii="宋体" w:hAnsi="宋体" w:eastAsia="宋体" w:cs="宋体"/>
                <w:color w:val="auto"/>
                <w:sz w:val="24"/>
                <w:szCs w:val="24"/>
              </w:rPr>
            </w:pPr>
          </w:p>
        </w:tc>
        <w:tc>
          <w:tcPr>
            <w:tcW w:w="1276" w:type="dxa"/>
            <w:tcBorders>
              <w:top w:val="single" w:color="auto" w:sz="8" w:space="0"/>
              <w:left w:val="single" w:color="auto" w:sz="8" w:space="0"/>
              <w:bottom w:val="single" w:color="auto" w:sz="8" w:space="0"/>
              <w:right w:val="single" w:color="auto" w:sz="8" w:space="0"/>
            </w:tcBorders>
            <w:noWrap w:val="0"/>
            <w:vAlign w:val="center"/>
          </w:tcPr>
          <w:p w14:paraId="2B31B589">
            <w:pPr>
              <w:bidi w:val="0"/>
              <w:jc w:val="center"/>
              <w:rPr>
                <w:rFonts w:hint="eastAsia" w:ascii="宋体" w:hAnsi="宋体" w:eastAsia="宋体" w:cs="宋体"/>
                <w:color w:val="auto"/>
                <w:sz w:val="24"/>
                <w:szCs w:val="24"/>
              </w:rPr>
            </w:pPr>
          </w:p>
        </w:tc>
        <w:tc>
          <w:tcPr>
            <w:tcW w:w="1417" w:type="dxa"/>
            <w:tcBorders>
              <w:top w:val="single" w:color="auto" w:sz="8" w:space="0"/>
              <w:left w:val="single" w:color="auto" w:sz="8" w:space="0"/>
              <w:bottom w:val="single" w:color="auto" w:sz="8" w:space="0"/>
              <w:right w:val="single" w:color="auto" w:sz="8" w:space="0"/>
            </w:tcBorders>
            <w:noWrap w:val="0"/>
            <w:vAlign w:val="center"/>
          </w:tcPr>
          <w:p w14:paraId="6B592A81">
            <w:pPr>
              <w:bidi w:val="0"/>
              <w:jc w:val="center"/>
              <w:rPr>
                <w:rFonts w:hint="eastAsia" w:ascii="宋体" w:hAnsi="宋体" w:eastAsia="宋体" w:cs="宋体"/>
                <w:color w:val="auto"/>
                <w:sz w:val="24"/>
                <w:szCs w:val="24"/>
              </w:rPr>
            </w:pPr>
          </w:p>
        </w:tc>
        <w:tc>
          <w:tcPr>
            <w:tcW w:w="1653" w:type="dxa"/>
            <w:tcBorders>
              <w:top w:val="single" w:color="auto" w:sz="8" w:space="0"/>
              <w:left w:val="single" w:color="auto" w:sz="8" w:space="0"/>
              <w:bottom w:val="single" w:color="auto" w:sz="8" w:space="0"/>
              <w:right w:val="single" w:color="auto" w:sz="8" w:space="0"/>
            </w:tcBorders>
            <w:noWrap w:val="0"/>
            <w:vAlign w:val="center"/>
          </w:tcPr>
          <w:p w14:paraId="7D988A62">
            <w:pPr>
              <w:bidi w:val="0"/>
              <w:jc w:val="center"/>
              <w:rPr>
                <w:rFonts w:hint="eastAsia" w:ascii="宋体" w:hAnsi="宋体" w:eastAsia="宋体" w:cs="宋体"/>
                <w:color w:val="auto"/>
                <w:sz w:val="24"/>
                <w:szCs w:val="24"/>
              </w:rPr>
            </w:pPr>
          </w:p>
        </w:tc>
      </w:tr>
      <w:tr w14:paraId="2EB9BB09">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noWrap w:val="0"/>
            <w:vAlign w:val="center"/>
          </w:tcPr>
          <w:p w14:paraId="445A3CE4">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090" w:type="dxa"/>
            <w:tcBorders>
              <w:top w:val="single" w:color="auto" w:sz="8" w:space="0"/>
              <w:left w:val="single" w:color="auto" w:sz="8" w:space="0"/>
              <w:bottom w:val="single" w:color="auto" w:sz="8" w:space="0"/>
              <w:right w:val="single" w:color="auto" w:sz="8" w:space="0"/>
            </w:tcBorders>
            <w:noWrap w:val="0"/>
            <w:vAlign w:val="center"/>
          </w:tcPr>
          <w:p w14:paraId="4C1ABB0F">
            <w:pPr>
              <w:bidi w:val="0"/>
              <w:jc w:val="center"/>
              <w:rPr>
                <w:rFonts w:hint="eastAsia" w:ascii="宋体" w:hAnsi="宋体" w:eastAsia="宋体" w:cs="宋体"/>
                <w:color w:val="auto"/>
                <w:sz w:val="24"/>
                <w:szCs w:val="24"/>
              </w:rPr>
            </w:pPr>
          </w:p>
        </w:tc>
        <w:tc>
          <w:tcPr>
            <w:tcW w:w="1076" w:type="dxa"/>
            <w:tcBorders>
              <w:top w:val="single" w:color="auto" w:sz="8" w:space="0"/>
              <w:left w:val="single" w:color="auto" w:sz="8" w:space="0"/>
              <w:bottom w:val="single" w:color="auto" w:sz="8" w:space="0"/>
              <w:right w:val="single" w:color="auto" w:sz="8" w:space="0"/>
            </w:tcBorders>
            <w:noWrap w:val="0"/>
            <w:vAlign w:val="center"/>
          </w:tcPr>
          <w:p w14:paraId="583BF454">
            <w:pPr>
              <w:bidi w:val="0"/>
              <w:jc w:val="center"/>
              <w:rPr>
                <w:rFonts w:hint="eastAsia" w:ascii="宋体" w:hAnsi="宋体" w:eastAsia="宋体" w:cs="宋体"/>
                <w:color w:val="auto"/>
                <w:sz w:val="24"/>
                <w:szCs w:val="24"/>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5302CDFC">
            <w:pPr>
              <w:bidi w:val="0"/>
              <w:jc w:val="center"/>
              <w:rPr>
                <w:rFonts w:hint="eastAsia" w:ascii="宋体" w:hAnsi="宋体" w:eastAsia="宋体" w:cs="宋体"/>
                <w:color w:val="auto"/>
                <w:sz w:val="24"/>
                <w:szCs w:val="24"/>
              </w:rPr>
            </w:pPr>
          </w:p>
        </w:tc>
        <w:tc>
          <w:tcPr>
            <w:tcW w:w="1276" w:type="dxa"/>
            <w:tcBorders>
              <w:top w:val="single" w:color="auto" w:sz="8" w:space="0"/>
              <w:left w:val="single" w:color="auto" w:sz="8" w:space="0"/>
              <w:bottom w:val="single" w:color="auto" w:sz="8" w:space="0"/>
              <w:right w:val="single" w:color="auto" w:sz="8" w:space="0"/>
            </w:tcBorders>
            <w:noWrap w:val="0"/>
            <w:vAlign w:val="center"/>
          </w:tcPr>
          <w:p w14:paraId="33F0F3B3">
            <w:pPr>
              <w:bidi w:val="0"/>
              <w:jc w:val="center"/>
              <w:rPr>
                <w:rFonts w:hint="eastAsia" w:ascii="宋体" w:hAnsi="宋体" w:eastAsia="宋体" w:cs="宋体"/>
                <w:color w:val="auto"/>
                <w:sz w:val="24"/>
                <w:szCs w:val="24"/>
              </w:rPr>
            </w:pPr>
          </w:p>
        </w:tc>
        <w:tc>
          <w:tcPr>
            <w:tcW w:w="1417" w:type="dxa"/>
            <w:tcBorders>
              <w:top w:val="single" w:color="auto" w:sz="8" w:space="0"/>
              <w:left w:val="single" w:color="auto" w:sz="8" w:space="0"/>
              <w:bottom w:val="single" w:color="auto" w:sz="8" w:space="0"/>
              <w:right w:val="single" w:color="auto" w:sz="8" w:space="0"/>
            </w:tcBorders>
            <w:noWrap w:val="0"/>
            <w:vAlign w:val="center"/>
          </w:tcPr>
          <w:p w14:paraId="141DB31D">
            <w:pPr>
              <w:bidi w:val="0"/>
              <w:jc w:val="center"/>
              <w:rPr>
                <w:rFonts w:hint="eastAsia" w:ascii="宋体" w:hAnsi="宋体" w:eastAsia="宋体" w:cs="宋体"/>
                <w:color w:val="auto"/>
                <w:sz w:val="24"/>
                <w:szCs w:val="24"/>
              </w:rPr>
            </w:pPr>
          </w:p>
        </w:tc>
        <w:tc>
          <w:tcPr>
            <w:tcW w:w="1653" w:type="dxa"/>
            <w:tcBorders>
              <w:top w:val="single" w:color="auto" w:sz="8" w:space="0"/>
              <w:left w:val="single" w:color="auto" w:sz="8" w:space="0"/>
              <w:bottom w:val="single" w:color="auto" w:sz="8" w:space="0"/>
              <w:right w:val="single" w:color="auto" w:sz="8" w:space="0"/>
            </w:tcBorders>
            <w:noWrap w:val="0"/>
            <w:vAlign w:val="center"/>
          </w:tcPr>
          <w:p w14:paraId="4CF43260">
            <w:pPr>
              <w:bidi w:val="0"/>
              <w:jc w:val="center"/>
              <w:rPr>
                <w:rFonts w:hint="eastAsia" w:ascii="宋体" w:hAnsi="宋体" w:eastAsia="宋体" w:cs="宋体"/>
                <w:color w:val="auto"/>
                <w:sz w:val="24"/>
                <w:szCs w:val="24"/>
              </w:rPr>
            </w:pPr>
          </w:p>
        </w:tc>
      </w:tr>
      <w:tr w14:paraId="3719260B">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noWrap w:val="0"/>
            <w:vAlign w:val="center"/>
          </w:tcPr>
          <w:p w14:paraId="11F2B862">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090" w:type="dxa"/>
            <w:tcBorders>
              <w:top w:val="single" w:color="auto" w:sz="8" w:space="0"/>
              <w:left w:val="single" w:color="auto" w:sz="8" w:space="0"/>
              <w:bottom w:val="single" w:color="auto" w:sz="8" w:space="0"/>
              <w:right w:val="single" w:color="auto" w:sz="8" w:space="0"/>
            </w:tcBorders>
            <w:noWrap w:val="0"/>
            <w:vAlign w:val="center"/>
          </w:tcPr>
          <w:p w14:paraId="379854D7">
            <w:pPr>
              <w:bidi w:val="0"/>
              <w:jc w:val="center"/>
              <w:rPr>
                <w:rFonts w:hint="eastAsia" w:ascii="宋体" w:hAnsi="宋体" w:eastAsia="宋体" w:cs="宋体"/>
                <w:color w:val="auto"/>
                <w:sz w:val="24"/>
                <w:szCs w:val="24"/>
              </w:rPr>
            </w:pPr>
          </w:p>
        </w:tc>
        <w:tc>
          <w:tcPr>
            <w:tcW w:w="1076" w:type="dxa"/>
            <w:tcBorders>
              <w:top w:val="single" w:color="auto" w:sz="8" w:space="0"/>
              <w:left w:val="single" w:color="auto" w:sz="8" w:space="0"/>
              <w:bottom w:val="single" w:color="auto" w:sz="8" w:space="0"/>
              <w:right w:val="single" w:color="auto" w:sz="8" w:space="0"/>
            </w:tcBorders>
            <w:noWrap w:val="0"/>
            <w:vAlign w:val="center"/>
          </w:tcPr>
          <w:p w14:paraId="7CF6707C">
            <w:pPr>
              <w:bidi w:val="0"/>
              <w:jc w:val="center"/>
              <w:rPr>
                <w:rFonts w:hint="eastAsia" w:ascii="宋体" w:hAnsi="宋体" w:eastAsia="宋体" w:cs="宋体"/>
                <w:color w:val="auto"/>
                <w:sz w:val="24"/>
                <w:szCs w:val="24"/>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13006358">
            <w:pPr>
              <w:bidi w:val="0"/>
              <w:jc w:val="center"/>
              <w:rPr>
                <w:rFonts w:hint="eastAsia" w:ascii="宋体" w:hAnsi="宋体" w:eastAsia="宋体" w:cs="宋体"/>
                <w:color w:val="auto"/>
                <w:sz w:val="24"/>
                <w:szCs w:val="24"/>
              </w:rPr>
            </w:pPr>
          </w:p>
        </w:tc>
        <w:tc>
          <w:tcPr>
            <w:tcW w:w="1276" w:type="dxa"/>
            <w:tcBorders>
              <w:top w:val="single" w:color="auto" w:sz="8" w:space="0"/>
              <w:left w:val="single" w:color="auto" w:sz="8" w:space="0"/>
              <w:bottom w:val="single" w:color="auto" w:sz="8" w:space="0"/>
              <w:right w:val="single" w:color="auto" w:sz="8" w:space="0"/>
            </w:tcBorders>
            <w:noWrap w:val="0"/>
            <w:vAlign w:val="center"/>
          </w:tcPr>
          <w:p w14:paraId="5CADE568">
            <w:pPr>
              <w:bidi w:val="0"/>
              <w:jc w:val="center"/>
              <w:rPr>
                <w:rFonts w:hint="eastAsia" w:ascii="宋体" w:hAnsi="宋体" w:eastAsia="宋体" w:cs="宋体"/>
                <w:color w:val="auto"/>
                <w:sz w:val="24"/>
                <w:szCs w:val="24"/>
              </w:rPr>
            </w:pPr>
          </w:p>
        </w:tc>
        <w:tc>
          <w:tcPr>
            <w:tcW w:w="1417" w:type="dxa"/>
            <w:tcBorders>
              <w:top w:val="single" w:color="auto" w:sz="8" w:space="0"/>
              <w:left w:val="single" w:color="auto" w:sz="8" w:space="0"/>
              <w:bottom w:val="single" w:color="auto" w:sz="8" w:space="0"/>
              <w:right w:val="single" w:color="auto" w:sz="8" w:space="0"/>
            </w:tcBorders>
            <w:noWrap w:val="0"/>
            <w:vAlign w:val="center"/>
          </w:tcPr>
          <w:p w14:paraId="7FBC583E">
            <w:pPr>
              <w:bidi w:val="0"/>
              <w:jc w:val="center"/>
              <w:rPr>
                <w:rFonts w:hint="eastAsia" w:ascii="宋体" w:hAnsi="宋体" w:eastAsia="宋体" w:cs="宋体"/>
                <w:color w:val="auto"/>
                <w:sz w:val="24"/>
                <w:szCs w:val="24"/>
              </w:rPr>
            </w:pPr>
          </w:p>
        </w:tc>
        <w:tc>
          <w:tcPr>
            <w:tcW w:w="1653" w:type="dxa"/>
            <w:tcBorders>
              <w:top w:val="single" w:color="auto" w:sz="8" w:space="0"/>
              <w:left w:val="single" w:color="auto" w:sz="8" w:space="0"/>
              <w:bottom w:val="single" w:color="auto" w:sz="8" w:space="0"/>
              <w:right w:val="single" w:color="auto" w:sz="8" w:space="0"/>
            </w:tcBorders>
            <w:noWrap w:val="0"/>
            <w:vAlign w:val="center"/>
          </w:tcPr>
          <w:p w14:paraId="2E1D80F6">
            <w:pPr>
              <w:bidi w:val="0"/>
              <w:jc w:val="center"/>
              <w:rPr>
                <w:rFonts w:hint="eastAsia" w:ascii="宋体" w:hAnsi="宋体" w:eastAsia="宋体" w:cs="宋体"/>
                <w:color w:val="auto"/>
                <w:sz w:val="24"/>
                <w:szCs w:val="24"/>
              </w:rPr>
            </w:pPr>
          </w:p>
        </w:tc>
      </w:tr>
      <w:tr w14:paraId="6BBF90A2">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noWrap w:val="0"/>
            <w:vAlign w:val="center"/>
          </w:tcPr>
          <w:p w14:paraId="45575797">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090" w:type="dxa"/>
            <w:tcBorders>
              <w:top w:val="single" w:color="auto" w:sz="8" w:space="0"/>
              <w:left w:val="single" w:color="auto" w:sz="8" w:space="0"/>
              <w:bottom w:val="single" w:color="auto" w:sz="8" w:space="0"/>
              <w:right w:val="single" w:color="auto" w:sz="8" w:space="0"/>
            </w:tcBorders>
            <w:noWrap w:val="0"/>
            <w:vAlign w:val="center"/>
          </w:tcPr>
          <w:p w14:paraId="546C4B07">
            <w:pPr>
              <w:bidi w:val="0"/>
              <w:jc w:val="center"/>
              <w:rPr>
                <w:rFonts w:hint="eastAsia" w:ascii="宋体" w:hAnsi="宋体" w:eastAsia="宋体" w:cs="宋体"/>
                <w:color w:val="auto"/>
                <w:sz w:val="24"/>
                <w:szCs w:val="24"/>
              </w:rPr>
            </w:pPr>
          </w:p>
        </w:tc>
        <w:tc>
          <w:tcPr>
            <w:tcW w:w="1076" w:type="dxa"/>
            <w:tcBorders>
              <w:top w:val="single" w:color="auto" w:sz="8" w:space="0"/>
              <w:left w:val="single" w:color="auto" w:sz="8" w:space="0"/>
              <w:bottom w:val="single" w:color="auto" w:sz="8" w:space="0"/>
              <w:right w:val="single" w:color="auto" w:sz="8" w:space="0"/>
            </w:tcBorders>
            <w:noWrap w:val="0"/>
            <w:vAlign w:val="center"/>
          </w:tcPr>
          <w:p w14:paraId="76F08B98">
            <w:pPr>
              <w:bidi w:val="0"/>
              <w:jc w:val="center"/>
              <w:rPr>
                <w:rFonts w:hint="eastAsia" w:ascii="宋体" w:hAnsi="宋体" w:eastAsia="宋体" w:cs="宋体"/>
                <w:color w:val="auto"/>
                <w:sz w:val="24"/>
                <w:szCs w:val="24"/>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453654A2">
            <w:pPr>
              <w:bidi w:val="0"/>
              <w:jc w:val="center"/>
              <w:rPr>
                <w:rFonts w:hint="eastAsia" w:ascii="宋体" w:hAnsi="宋体" w:eastAsia="宋体" w:cs="宋体"/>
                <w:color w:val="auto"/>
                <w:sz w:val="24"/>
                <w:szCs w:val="24"/>
              </w:rPr>
            </w:pPr>
          </w:p>
        </w:tc>
        <w:tc>
          <w:tcPr>
            <w:tcW w:w="1276" w:type="dxa"/>
            <w:tcBorders>
              <w:top w:val="single" w:color="auto" w:sz="8" w:space="0"/>
              <w:left w:val="single" w:color="auto" w:sz="8" w:space="0"/>
              <w:bottom w:val="single" w:color="auto" w:sz="8" w:space="0"/>
              <w:right w:val="single" w:color="auto" w:sz="8" w:space="0"/>
            </w:tcBorders>
            <w:noWrap w:val="0"/>
            <w:vAlign w:val="center"/>
          </w:tcPr>
          <w:p w14:paraId="1E32363B">
            <w:pPr>
              <w:bidi w:val="0"/>
              <w:jc w:val="center"/>
              <w:rPr>
                <w:rFonts w:hint="eastAsia" w:ascii="宋体" w:hAnsi="宋体" w:eastAsia="宋体" w:cs="宋体"/>
                <w:color w:val="auto"/>
                <w:sz w:val="24"/>
                <w:szCs w:val="24"/>
              </w:rPr>
            </w:pPr>
          </w:p>
        </w:tc>
        <w:tc>
          <w:tcPr>
            <w:tcW w:w="1417" w:type="dxa"/>
            <w:tcBorders>
              <w:top w:val="single" w:color="auto" w:sz="8" w:space="0"/>
              <w:left w:val="single" w:color="auto" w:sz="8" w:space="0"/>
              <w:bottom w:val="single" w:color="auto" w:sz="8" w:space="0"/>
              <w:right w:val="single" w:color="auto" w:sz="8" w:space="0"/>
            </w:tcBorders>
            <w:noWrap w:val="0"/>
            <w:vAlign w:val="center"/>
          </w:tcPr>
          <w:p w14:paraId="7A9D1514">
            <w:pPr>
              <w:bidi w:val="0"/>
              <w:jc w:val="center"/>
              <w:rPr>
                <w:rFonts w:hint="eastAsia" w:ascii="宋体" w:hAnsi="宋体" w:eastAsia="宋体" w:cs="宋体"/>
                <w:color w:val="auto"/>
                <w:sz w:val="24"/>
                <w:szCs w:val="24"/>
              </w:rPr>
            </w:pPr>
          </w:p>
        </w:tc>
        <w:tc>
          <w:tcPr>
            <w:tcW w:w="1653" w:type="dxa"/>
            <w:tcBorders>
              <w:top w:val="single" w:color="auto" w:sz="8" w:space="0"/>
              <w:left w:val="single" w:color="auto" w:sz="8" w:space="0"/>
              <w:bottom w:val="single" w:color="auto" w:sz="8" w:space="0"/>
              <w:right w:val="single" w:color="auto" w:sz="8" w:space="0"/>
            </w:tcBorders>
            <w:noWrap w:val="0"/>
            <w:vAlign w:val="center"/>
          </w:tcPr>
          <w:p w14:paraId="5BC0841F">
            <w:pPr>
              <w:bidi w:val="0"/>
              <w:jc w:val="center"/>
              <w:rPr>
                <w:rFonts w:hint="eastAsia" w:ascii="宋体" w:hAnsi="宋体" w:eastAsia="宋体" w:cs="宋体"/>
                <w:color w:val="auto"/>
                <w:sz w:val="24"/>
                <w:szCs w:val="24"/>
              </w:rPr>
            </w:pPr>
          </w:p>
        </w:tc>
      </w:tr>
      <w:tr w14:paraId="1D11611D">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noWrap w:val="0"/>
            <w:vAlign w:val="center"/>
          </w:tcPr>
          <w:p w14:paraId="28D0CE5A">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090" w:type="dxa"/>
            <w:tcBorders>
              <w:top w:val="single" w:color="auto" w:sz="8" w:space="0"/>
              <w:left w:val="single" w:color="auto" w:sz="8" w:space="0"/>
              <w:bottom w:val="single" w:color="auto" w:sz="8" w:space="0"/>
              <w:right w:val="single" w:color="auto" w:sz="8" w:space="0"/>
            </w:tcBorders>
            <w:noWrap w:val="0"/>
            <w:vAlign w:val="center"/>
          </w:tcPr>
          <w:p w14:paraId="707D6DF7">
            <w:pPr>
              <w:bidi w:val="0"/>
              <w:jc w:val="center"/>
              <w:rPr>
                <w:rFonts w:hint="eastAsia" w:ascii="宋体" w:hAnsi="宋体" w:eastAsia="宋体" w:cs="宋体"/>
                <w:color w:val="auto"/>
                <w:sz w:val="24"/>
                <w:szCs w:val="24"/>
              </w:rPr>
            </w:pPr>
          </w:p>
        </w:tc>
        <w:tc>
          <w:tcPr>
            <w:tcW w:w="1076" w:type="dxa"/>
            <w:tcBorders>
              <w:top w:val="single" w:color="auto" w:sz="8" w:space="0"/>
              <w:left w:val="single" w:color="auto" w:sz="8" w:space="0"/>
              <w:bottom w:val="single" w:color="auto" w:sz="8" w:space="0"/>
              <w:right w:val="single" w:color="auto" w:sz="8" w:space="0"/>
            </w:tcBorders>
            <w:noWrap w:val="0"/>
            <w:vAlign w:val="center"/>
          </w:tcPr>
          <w:p w14:paraId="6C496B9D">
            <w:pPr>
              <w:bidi w:val="0"/>
              <w:jc w:val="center"/>
              <w:rPr>
                <w:rFonts w:hint="eastAsia" w:ascii="宋体" w:hAnsi="宋体" w:eastAsia="宋体" w:cs="宋体"/>
                <w:color w:val="auto"/>
                <w:sz w:val="24"/>
                <w:szCs w:val="24"/>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411CAB31">
            <w:pPr>
              <w:bidi w:val="0"/>
              <w:jc w:val="center"/>
              <w:rPr>
                <w:rFonts w:hint="eastAsia" w:ascii="宋体" w:hAnsi="宋体" w:eastAsia="宋体" w:cs="宋体"/>
                <w:color w:val="auto"/>
                <w:sz w:val="24"/>
                <w:szCs w:val="24"/>
              </w:rPr>
            </w:pPr>
          </w:p>
        </w:tc>
        <w:tc>
          <w:tcPr>
            <w:tcW w:w="1276" w:type="dxa"/>
            <w:tcBorders>
              <w:top w:val="single" w:color="auto" w:sz="8" w:space="0"/>
              <w:left w:val="single" w:color="auto" w:sz="8" w:space="0"/>
              <w:bottom w:val="single" w:color="auto" w:sz="8" w:space="0"/>
              <w:right w:val="single" w:color="auto" w:sz="8" w:space="0"/>
            </w:tcBorders>
            <w:noWrap w:val="0"/>
            <w:vAlign w:val="center"/>
          </w:tcPr>
          <w:p w14:paraId="270BA5AA">
            <w:pPr>
              <w:bidi w:val="0"/>
              <w:jc w:val="center"/>
              <w:rPr>
                <w:rFonts w:hint="eastAsia" w:ascii="宋体" w:hAnsi="宋体" w:eastAsia="宋体" w:cs="宋体"/>
                <w:color w:val="auto"/>
                <w:sz w:val="24"/>
                <w:szCs w:val="24"/>
              </w:rPr>
            </w:pPr>
          </w:p>
        </w:tc>
        <w:tc>
          <w:tcPr>
            <w:tcW w:w="1417" w:type="dxa"/>
            <w:tcBorders>
              <w:top w:val="single" w:color="auto" w:sz="8" w:space="0"/>
              <w:left w:val="single" w:color="auto" w:sz="8" w:space="0"/>
              <w:bottom w:val="single" w:color="auto" w:sz="8" w:space="0"/>
              <w:right w:val="single" w:color="auto" w:sz="8" w:space="0"/>
            </w:tcBorders>
            <w:noWrap w:val="0"/>
            <w:vAlign w:val="center"/>
          </w:tcPr>
          <w:p w14:paraId="4ADA428C">
            <w:pPr>
              <w:bidi w:val="0"/>
              <w:jc w:val="center"/>
              <w:rPr>
                <w:rFonts w:hint="eastAsia" w:ascii="宋体" w:hAnsi="宋体" w:eastAsia="宋体" w:cs="宋体"/>
                <w:color w:val="auto"/>
                <w:sz w:val="24"/>
                <w:szCs w:val="24"/>
              </w:rPr>
            </w:pPr>
          </w:p>
        </w:tc>
        <w:tc>
          <w:tcPr>
            <w:tcW w:w="1653" w:type="dxa"/>
            <w:tcBorders>
              <w:top w:val="single" w:color="auto" w:sz="8" w:space="0"/>
              <w:left w:val="single" w:color="auto" w:sz="8" w:space="0"/>
              <w:bottom w:val="single" w:color="auto" w:sz="8" w:space="0"/>
              <w:right w:val="single" w:color="auto" w:sz="8" w:space="0"/>
            </w:tcBorders>
            <w:noWrap w:val="0"/>
            <w:vAlign w:val="center"/>
          </w:tcPr>
          <w:p w14:paraId="1F5D8762">
            <w:pPr>
              <w:bidi w:val="0"/>
              <w:jc w:val="center"/>
              <w:rPr>
                <w:rFonts w:hint="eastAsia" w:ascii="宋体" w:hAnsi="宋体" w:eastAsia="宋体" w:cs="宋体"/>
                <w:color w:val="auto"/>
                <w:sz w:val="24"/>
                <w:szCs w:val="24"/>
              </w:rPr>
            </w:pPr>
          </w:p>
        </w:tc>
      </w:tr>
    </w:tbl>
    <w:p w14:paraId="0388ED94">
      <w:pPr>
        <w:spacing w:line="300" w:lineRule="exact"/>
        <w:jc w:val="center"/>
        <w:rPr>
          <w:rFonts w:hint="eastAsia" w:ascii="宋体" w:hAnsi="宋体"/>
          <w:color w:val="auto"/>
          <w:szCs w:val="21"/>
          <w:highlight w:val="none"/>
        </w:rPr>
      </w:pPr>
    </w:p>
    <w:p w14:paraId="22F8FD87">
      <w:pPr>
        <w:rPr>
          <w:rFonts w:hint="eastAsia" w:ascii="宋体" w:hAnsi="宋体"/>
          <w:color w:val="auto"/>
          <w:sz w:val="24"/>
          <w:highlight w:val="none"/>
        </w:rPr>
      </w:pPr>
      <w:r>
        <w:rPr>
          <w:rFonts w:hint="eastAsia" w:ascii="宋体" w:hAnsi="宋体"/>
          <w:color w:val="auto"/>
          <w:sz w:val="24"/>
          <w:highlight w:val="none"/>
        </w:rPr>
        <w:t>注：1、上述“环境标志产品政府采购清单”以相关职能部门正式发布的最新一期为准。</w:t>
      </w:r>
    </w:p>
    <w:p w14:paraId="5F2741B4">
      <w:pPr>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eastAsia="宋体"/>
          <w:color w:val="auto"/>
          <w:sz w:val="24"/>
          <w:highlight w:val="none"/>
        </w:rPr>
        <w:t xml:space="preserve"> </w:t>
      </w:r>
      <w:r>
        <w:rPr>
          <w:rFonts w:hint="eastAsia" w:ascii="宋体" w:hAnsi="宋体"/>
          <w:color w:val="auto"/>
          <w:sz w:val="24"/>
          <w:highlight w:val="none"/>
        </w:rPr>
        <w:t xml:space="preserve">  2、采购项目分包的，本表应按报价包号填写。</w:t>
      </w:r>
    </w:p>
    <w:p w14:paraId="03B401DA">
      <w:pPr>
        <w:ind w:firstLine="480" w:firstLineChars="200"/>
        <w:rPr>
          <w:rFonts w:hint="eastAsia" w:ascii="宋体" w:hAnsi="宋体"/>
          <w:color w:val="auto"/>
          <w:sz w:val="24"/>
          <w:highlight w:val="none"/>
        </w:rPr>
      </w:pPr>
      <w:r>
        <w:rPr>
          <w:rFonts w:hint="eastAsia" w:ascii="宋体" w:hAnsi="宋体"/>
          <w:color w:val="auto"/>
          <w:sz w:val="24"/>
          <w:highlight w:val="none"/>
        </w:rPr>
        <w:t>3、后附认证证书复印件加盖</w:t>
      </w:r>
      <w:r>
        <w:rPr>
          <w:rFonts w:hint="eastAsia" w:ascii="宋体" w:hAnsi="宋体"/>
          <w:color w:val="auto"/>
          <w:sz w:val="24"/>
          <w:highlight w:val="none"/>
          <w:lang w:eastAsia="zh-CN"/>
        </w:rPr>
        <w:t>供应商</w:t>
      </w:r>
      <w:r>
        <w:rPr>
          <w:rFonts w:hint="eastAsia" w:ascii="宋体" w:hAnsi="宋体"/>
          <w:color w:val="auto"/>
          <w:sz w:val="24"/>
          <w:highlight w:val="none"/>
        </w:rPr>
        <w:t>公章。</w:t>
      </w:r>
    </w:p>
    <w:p w14:paraId="52E3AD73">
      <w:pPr>
        <w:spacing w:line="480" w:lineRule="auto"/>
        <w:jc w:val="both"/>
        <w:rPr>
          <w:rFonts w:hint="eastAsia" w:ascii="宋体" w:hAnsi="宋体" w:cs="宋体"/>
          <w:color w:val="auto"/>
          <w:sz w:val="24"/>
          <w:highlight w:val="none"/>
          <w:lang w:eastAsia="zh-CN"/>
        </w:rPr>
      </w:pPr>
    </w:p>
    <w:p w14:paraId="215EB10A">
      <w:pPr>
        <w:spacing w:line="480" w:lineRule="auto"/>
        <w:jc w:val="both"/>
        <w:rPr>
          <w:rFonts w:hint="eastAsia"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（盖单位公章）</w:t>
      </w:r>
    </w:p>
    <w:p w14:paraId="47FFD56F">
      <w:pPr>
        <w:spacing w:line="480" w:lineRule="auto"/>
        <w:jc w:val="both"/>
        <w:rPr>
          <w:rFonts w:hint="eastAsia" w:ascii="宋体" w:hAnsi="宋体" w:cs="宋体"/>
          <w:color w:val="auto"/>
          <w:sz w:val="24"/>
          <w:highlight w:val="none"/>
        </w:rPr>
      </w:pPr>
      <w:r>
        <w:rPr>
          <w:rFonts w:hint="eastAsia" w:ascii="宋体" w:hAnsi="宋体" w:cs="宋体"/>
          <w:color w:val="auto"/>
          <w:sz w:val="24"/>
          <w:highlight w:val="none"/>
        </w:rPr>
        <w:t>法定代表人或其委托代理人（签字）</w:t>
      </w:r>
    </w:p>
    <w:p w14:paraId="4BC56153">
      <w:pPr>
        <w:spacing w:line="480" w:lineRule="auto"/>
        <w:ind w:left="1050" w:hanging="1050" w:hangingChars="500"/>
        <w:jc w:val="both"/>
        <w:rPr>
          <w:rFonts w:hint="eastAsia" w:ascii="宋体" w:hAnsi="宋体" w:cs="宋体"/>
          <w:color w:val="auto"/>
          <w:sz w:val="24"/>
          <w:highlight w:val="none"/>
        </w:rPr>
      </w:pPr>
      <w:r>
        <w:rPr>
          <w:rFonts w:hint="eastAsia" w:ascii="宋体" w:hAnsi="宋体" w:cs="宋体"/>
          <w:color w:val="auto"/>
          <w:highlight w:val="none"/>
        </w:rPr>
        <w:t xml:space="preserve">       </w:t>
      </w:r>
      <w:r>
        <w:rPr>
          <w:rFonts w:hint="eastAsia" w:ascii="宋体" w:hAnsi="宋体" w:cs="宋体"/>
          <w:color w:val="auto"/>
          <w:sz w:val="24"/>
          <w:highlight w:val="none"/>
        </w:rPr>
        <w:t>年     月     日</w:t>
      </w:r>
    </w:p>
    <w:p w14:paraId="5A54BBB5">
      <w:pP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39DE7949">
      <w:pPr>
        <w:spacing w:before="48" w:line="219" w:lineRule="auto"/>
        <w:ind w:left="19"/>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附：中小企业划型标准规定</w:t>
      </w:r>
    </w:p>
    <w:p w14:paraId="5299C0A2">
      <w:pPr>
        <w:spacing w:before="48" w:line="219" w:lineRule="auto"/>
        <w:ind w:left="19"/>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p>
    <w:p w14:paraId="6E4672DD">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一、根据《中华人民共和国中小企业促进法》和《国务院关于进一步促进中小企业发展的若干意见》 (国发〔2009〕36 号)，制定本规定。</w:t>
      </w:r>
    </w:p>
    <w:p w14:paraId="06958C68">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二、中小企业划分为中型、小型、微型三种类型，具体标准根据企业从业人员、营业收入、资产总额等指标，结合行业特点制定。</w:t>
      </w:r>
    </w:p>
    <w:p w14:paraId="6E4F7E3D">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三、本规定适用的行业包括：农、林、牧、渔业，工业（包括采矿业，制造业，电力、热力、燃气及水生产和供应业），建筑业，批发业，零售业，交通运输业（不含铁路运输业）， 仓储业，邮政业，住宿业，餐饮业，信息传输业（包括电信、互联网和相关服务），软件 和信息技术服务业，房地产开发经营，物业管理，租赁和商务服务业，其他未列明行业（包 括科学研究和技术服务业，水利、环境和公共设施管理业，居民服务、修理和其他服务业，社会工作，文化、体育和娱乐业等）。</w:t>
      </w:r>
    </w:p>
    <w:p w14:paraId="06BE1CFB">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四、各行业划型标准为：</w:t>
      </w:r>
    </w:p>
    <w:p w14:paraId="587CB181">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（一）农、林、牧、渔业。营业收入 20000 万元以下的为中小微型企业。其中，营业收入 500 万元及以上的为中型企业，营业收入 50 万元及以上的为小型企业，营业收入 50 万元以下的为微型企业。</w:t>
      </w:r>
    </w:p>
    <w:p w14:paraId="724AA109">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（二）工业。从业人员 1000 人以下或营业收入 40000 万元以下的为中小微型企业。其中， 从业人员 300 人及以上，且营业收入 2000 万元及以上的为中型企业；从业人员 20 人及以 上，且营业收入 300 万元及以上的为小型企业；从业人员 20 人以下或营业收入 300 万元以下的为微型企业。</w:t>
      </w:r>
    </w:p>
    <w:p w14:paraId="165D3B91">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（三）建筑业。营业收入 80000 万元以下或资产总额 80000 万元以下的为中小微型企业。 其中，营业收入 6000 万元及以上，且资产总额 5000 万元及以上的为中型企业；营业收入 300 万元及以上，且资产总额 300 万元及以上的为小型企业；营业收入 300 万元以下或资产总额 300 万元以下的为微型企业。</w:t>
      </w:r>
    </w:p>
    <w:p w14:paraId="1CA95637">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（四）批发业。从业人员 200 人以下或营业收入 40000 万元以下的为中小微型企业。其中， 从业人员 20 人及以上，且营业收入 5000 万元及以上的为中型企业；从业人员 5 人及以上，且营业收入 1000 万元及以上的为小型企业；从业人员 5 人以下或营业收入 1000 万元以下的为微型企业。</w:t>
      </w:r>
    </w:p>
    <w:p w14:paraId="2C561027">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（五）零售业。从业人员 300 人以下或营业收入 20000 万元以下的为中小微型企业。其中，从业人员 50 人及以上，且营业收入 500 万元及以上的为中型企业；从业人员10 人及以上，且营业收入 100 万元及以上的为小型企业；从业人员 10 人以下或营业收入 100 万元以下的为微型企业。</w:t>
      </w:r>
    </w:p>
    <w:p w14:paraId="1AEA3CB8">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（六）交通运输业。从业人员 1000 人以下或营业收入 30000 万元以下的为中小微型企业。 其中，从业人员 300 人及以上，且营业收入 3000 万元及以上的为中型企业；从业人员 20 人及以上，且营业收入 200 万元及以上的为小型企业；从业人员 20 人以下或营业收入 200万元以下的为微型企业。</w:t>
      </w:r>
    </w:p>
    <w:p w14:paraId="5814E209">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（七）仓储业。从业人员 200 人以下或营业收入 30000 万元以下的为中小微型企业。其中， 从业人员 100 人及以上，且营业收入 1000 万元及以上的为中型企业；从业人员 20 人及以 上，且营业收入 100 万元及以上的为小型企业；从业人员 20 人以下或营业收入 100 万元以下的为微型企业。</w:t>
      </w:r>
    </w:p>
    <w:p w14:paraId="1CAF5C49">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（八）邮政业。从业人员 1000 人以下或营业收入 30000 万元以下的为中小微型企业。其 中，从业人员 300 人及以上，且营业收入 2000 万元及以上的为中型企业；从业人员 20 人 及以上，且营业收入 100 万元及以上的为小型企业；从业人员 20 人以下或营业收入 100万元以下的为微型企业。</w:t>
      </w:r>
    </w:p>
    <w:p w14:paraId="6D1E29FA">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（九）住宿业。从业人员 300 人以下或营业收入 10000 万元以下的为中小微型企业。其中， 从业人员 100 人及以上，且营业收入 2000 万元及以上的为中型企业；从业人员 10 人及以 上，且营业收入 100 万元及以上的为小型企业；从业人员 10 人以下或营业收入 100 万元以下的为微型企业。</w:t>
      </w:r>
    </w:p>
    <w:p w14:paraId="60CAFA3D">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（十）餐饮业。从业人员 300 人以下或营业收入 10000 万元以下的为中小微型企业。其中， 从业人员 100 人及以上，且营业收入 2000 万元及以上的为中型企业；从业人员 10 人及以 上，且营业收入 100 万元及以上的为小型企业；从业人员 10 人以下或营业收入 100 万元以下的为微型企业。</w:t>
      </w:r>
    </w:p>
    <w:p w14:paraId="74C4C0F5">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（十一）信息传输业。从业人员 2000 人以下或营业收入 100000 万元以下的为中小微型企 业。其中，从业人员 100 人及以上，且营业收入 1000 万元及以上的为中型企业；从业人 员 10 人及以上，且营业收入 100 万元及以上的为小型企业；从业人员 10 人以下或营业收入 100 万元以下的为微型企业。</w:t>
      </w:r>
    </w:p>
    <w:p w14:paraId="7AF97504">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（十二）软件和信息技术服务业。从业人员 300 人以下或营业收入 10000 万元以下的为中 小微型企业。其中，从业人员 100 人及以上，且营业收入 1000 万元及以上的为中型企业； 从业人员 10 人及以上，且营业收入 50 万元及以上的为小型企业；从业人员 10 人以下或营业收入 50 万元以下的为微型企业。</w:t>
      </w:r>
    </w:p>
    <w:p w14:paraId="7B389F3D">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房地产开发经营。营业收入 200000 万元以下或资产总额 10000 万元以下的为中</w:t>
      </w:r>
    </w:p>
    <w:p w14:paraId="5DA9D1D3">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小微型企业。其中，营业收入 1000 万元及以上，且资产总额 5000 万元及以上的为中型企 业；营业收入 100 万元及以上，且资产总额 2000 万元及以上的为小型企业；营业收入 100万元以下或资产总额 2000 万元以下的为微型企业。</w:t>
      </w:r>
    </w:p>
    <w:p w14:paraId="325353F1">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（十四）物业管理。从业人员 1000 人以下或营业收入 5000 万元以下的为中小微型企业。 其中，从业人员 300 人及以上，且营业收入 1000 万元及以上的为中型企业；从业人员 100 人及以上，且营业收入 500 万元及以上的为小型企业；从业人员 100 人以下或营业收入500 万元以下的为微型企业。</w:t>
      </w:r>
    </w:p>
    <w:p w14:paraId="65FE58BA">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（十五）租赁和商务服务业。从业人员 300 人以下或资产总额 120000 万元以下的为中小 微型企业。其中，从业人员 100 人及以上，且资产总额 8000 万元及以上的为中型企业； 从业人员 10 人及以上，且资产总额 100 万元及以上的为小型企业；从业人员 10 人以下或资产总额 100 万元以下的为微型企业。</w:t>
      </w:r>
    </w:p>
    <w:p w14:paraId="4FA86A5B">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（十六）其他未列明行业。从业人员 300 人以下的为中小微型企业。其中，从业人员 100 人及以上的为中型企业；从业人员 10 人及以上的为小型企业；从业人员 10 人以下的为微型企业。</w:t>
      </w:r>
    </w:p>
    <w:p w14:paraId="70E68E24">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五、企业类型的划分以统计部门的统计数据为依据。</w:t>
      </w:r>
    </w:p>
    <w:p w14:paraId="7DA9761B">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六、本规定适用于在中华人民共和国境内依法设立的各类所有制和各种组织形式的企业。个体工商户和本规定以外的行业，参照本规定进行划型。</w:t>
      </w:r>
    </w:p>
    <w:p w14:paraId="51DD1E13">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七、本规定的中型企业标准上限即为大型企业标准的下限，国家统计部门据此制定大中小 微型企业的统计分类。国务院有关部门据此进行相关数据分析，不得制定与本规定不一致的企业划型标准。</w:t>
      </w:r>
    </w:p>
    <w:p w14:paraId="2F4827B4">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八、本规定由工业和信息化部、国家统计局会同有关部门根据《国民经济行业分类》修订情况和企业发展变化情况适时修订。</w:t>
      </w:r>
    </w:p>
    <w:p w14:paraId="38027808">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九、本规定由工业和信息化部、国家统计局会同有关部门负责解释。</w:t>
      </w:r>
    </w:p>
    <w:p w14:paraId="19AC4D7B">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十、本规定自发布之日起执行，原国家经贸委、原国家计委、财政部和国家统计局 2003</w:t>
      </w:r>
    </w:p>
    <w:p w14:paraId="1D266C3E">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年颁布的《中小企业标准暂行规定》同时废止。</w:t>
      </w:r>
    </w:p>
    <w:p w14:paraId="364D54EE">
      <w:pPr>
        <w:ind w:right="-65" w:rightChars="-31"/>
        <w:jc w:val="center"/>
        <w:outlineLvl w:val="9"/>
        <w:rPr>
          <w:rFonts w:hint="eastAsia" w:ascii="宋体" w:hAnsi="宋体" w:eastAsia="宋体" w:cs="宋体"/>
          <w:b/>
          <w:color w:val="auto"/>
          <w:sz w:val="30"/>
          <w:szCs w:val="30"/>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r>
        <w:rPr>
          <w:rFonts w:hint="eastAsia" w:ascii="宋体" w:hAnsi="宋体" w:eastAsia="宋体" w:cs="宋体"/>
          <w:b/>
          <w:color w:val="auto"/>
          <w:sz w:val="30"/>
          <w:szCs w:val="30"/>
        </w:rPr>
        <w:t>中小企业划型标准</w:t>
      </w:r>
    </w:p>
    <w:tbl>
      <w:tblPr>
        <w:tblStyle w:val="13"/>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987"/>
        <w:gridCol w:w="735"/>
        <w:gridCol w:w="679"/>
        <w:gridCol w:w="579"/>
        <w:gridCol w:w="679"/>
        <w:gridCol w:w="673"/>
        <w:gridCol w:w="615"/>
        <w:gridCol w:w="679"/>
        <w:gridCol w:w="714"/>
        <w:gridCol w:w="619"/>
        <w:gridCol w:w="679"/>
        <w:gridCol w:w="682"/>
        <w:gridCol w:w="525"/>
      </w:tblGrid>
      <w:tr w14:paraId="42AF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512" w:type="dxa"/>
            <w:vMerge w:val="restart"/>
            <w:noWrap w:val="0"/>
            <w:vAlign w:val="center"/>
          </w:tcPr>
          <w:p w14:paraId="108963A1">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序号</w:t>
            </w:r>
          </w:p>
        </w:tc>
        <w:tc>
          <w:tcPr>
            <w:tcW w:w="987" w:type="dxa"/>
            <w:vMerge w:val="restart"/>
            <w:noWrap w:val="0"/>
            <w:vAlign w:val="center"/>
          </w:tcPr>
          <w:p w14:paraId="13AF07DB">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行业</w:t>
            </w:r>
          </w:p>
        </w:tc>
        <w:tc>
          <w:tcPr>
            <w:tcW w:w="1993" w:type="dxa"/>
            <w:gridSpan w:val="3"/>
            <w:noWrap w:val="0"/>
            <w:vAlign w:val="center"/>
          </w:tcPr>
          <w:p w14:paraId="0D0B2D54">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大型企业</w:t>
            </w:r>
          </w:p>
        </w:tc>
        <w:tc>
          <w:tcPr>
            <w:tcW w:w="1967" w:type="dxa"/>
            <w:gridSpan w:val="3"/>
            <w:noWrap w:val="0"/>
            <w:vAlign w:val="center"/>
          </w:tcPr>
          <w:p w14:paraId="544D400E">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中型企业</w:t>
            </w:r>
          </w:p>
        </w:tc>
        <w:tc>
          <w:tcPr>
            <w:tcW w:w="2012" w:type="dxa"/>
            <w:gridSpan w:val="3"/>
            <w:noWrap w:val="0"/>
            <w:vAlign w:val="center"/>
          </w:tcPr>
          <w:p w14:paraId="5B962D69">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小型企业</w:t>
            </w:r>
          </w:p>
        </w:tc>
        <w:tc>
          <w:tcPr>
            <w:tcW w:w="1886" w:type="dxa"/>
            <w:gridSpan w:val="3"/>
            <w:noWrap w:val="0"/>
            <w:vAlign w:val="center"/>
          </w:tcPr>
          <w:p w14:paraId="65195EDF">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微型企业</w:t>
            </w:r>
          </w:p>
        </w:tc>
      </w:tr>
      <w:tr w14:paraId="5C28E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blHeader/>
          <w:jc w:val="center"/>
        </w:trPr>
        <w:tc>
          <w:tcPr>
            <w:tcW w:w="512" w:type="dxa"/>
            <w:vMerge w:val="continue"/>
            <w:noWrap w:val="0"/>
            <w:vAlign w:val="center"/>
          </w:tcPr>
          <w:p w14:paraId="5963A220">
            <w:pPr>
              <w:ind w:left="-48" w:leftChars="-23" w:right="-65" w:rightChars="-31"/>
              <w:jc w:val="center"/>
              <w:outlineLvl w:val="9"/>
              <w:rPr>
                <w:rFonts w:hint="eastAsia" w:ascii="宋体" w:hAnsi="宋体" w:eastAsia="宋体" w:cs="宋体"/>
                <w:b/>
                <w:color w:val="auto"/>
                <w:szCs w:val="21"/>
              </w:rPr>
            </w:pPr>
          </w:p>
        </w:tc>
        <w:tc>
          <w:tcPr>
            <w:tcW w:w="987" w:type="dxa"/>
            <w:vMerge w:val="continue"/>
            <w:noWrap w:val="0"/>
            <w:vAlign w:val="center"/>
          </w:tcPr>
          <w:p w14:paraId="25DC45B8">
            <w:pPr>
              <w:ind w:left="-48" w:leftChars="-23" w:right="-65" w:rightChars="-31"/>
              <w:outlineLvl w:val="9"/>
              <w:rPr>
                <w:rFonts w:hint="eastAsia" w:ascii="宋体" w:hAnsi="宋体" w:eastAsia="宋体" w:cs="宋体"/>
                <w:b/>
                <w:color w:val="auto"/>
                <w:szCs w:val="21"/>
              </w:rPr>
            </w:pPr>
          </w:p>
        </w:tc>
        <w:tc>
          <w:tcPr>
            <w:tcW w:w="735" w:type="dxa"/>
            <w:noWrap w:val="0"/>
            <w:vAlign w:val="center"/>
          </w:tcPr>
          <w:p w14:paraId="17331987">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营业收入</w:t>
            </w:r>
          </w:p>
          <w:p w14:paraId="35134F55">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c>
          <w:tcPr>
            <w:tcW w:w="679" w:type="dxa"/>
            <w:noWrap w:val="0"/>
            <w:vAlign w:val="center"/>
          </w:tcPr>
          <w:p w14:paraId="318AF814">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从业人员</w:t>
            </w:r>
          </w:p>
          <w:p w14:paraId="086EEC8A">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(人)</w:t>
            </w:r>
          </w:p>
        </w:tc>
        <w:tc>
          <w:tcPr>
            <w:tcW w:w="579" w:type="dxa"/>
            <w:noWrap w:val="0"/>
            <w:vAlign w:val="center"/>
          </w:tcPr>
          <w:p w14:paraId="208ED54B">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总资产</w:t>
            </w:r>
          </w:p>
          <w:p w14:paraId="1EA2CECD">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c>
          <w:tcPr>
            <w:tcW w:w="679" w:type="dxa"/>
            <w:noWrap w:val="0"/>
            <w:vAlign w:val="center"/>
          </w:tcPr>
          <w:p w14:paraId="66C4730E">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营业收入</w:t>
            </w:r>
          </w:p>
          <w:p w14:paraId="27D5D9F3">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c>
          <w:tcPr>
            <w:tcW w:w="673" w:type="dxa"/>
            <w:noWrap w:val="0"/>
            <w:vAlign w:val="center"/>
          </w:tcPr>
          <w:p w14:paraId="494A6A10">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从业人员</w:t>
            </w:r>
          </w:p>
          <w:p w14:paraId="330DF83B">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(人)</w:t>
            </w:r>
          </w:p>
        </w:tc>
        <w:tc>
          <w:tcPr>
            <w:tcW w:w="615" w:type="dxa"/>
            <w:noWrap w:val="0"/>
            <w:vAlign w:val="center"/>
          </w:tcPr>
          <w:p w14:paraId="2B47B9E5">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总资产</w:t>
            </w:r>
          </w:p>
          <w:p w14:paraId="4CACC541">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c>
          <w:tcPr>
            <w:tcW w:w="679" w:type="dxa"/>
            <w:noWrap w:val="0"/>
            <w:vAlign w:val="center"/>
          </w:tcPr>
          <w:p w14:paraId="4826757D">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营业收入</w:t>
            </w:r>
          </w:p>
          <w:p w14:paraId="5CC859E9">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c>
          <w:tcPr>
            <w:tcW w:w="714" w:type="dxa"/>
            <w:noWrap w:val="0"/>
            <w:vAlign w:val="center"/>
          </w:tcPr>
          <w:p w14:paraId="5384428B">
            <w:pPr>
              <w:ind w:left="119" w:leftChars="-23" w:right="-65" w:rightChars="-31" w:hanging="167" w:hangingChars="79"/>
              <w:jc w:val="center"/>
              <w:outlineLvl w:val="9"/>
              <w:rPr>
                <w:rFonts w:hint="eastAsia" w:ascii="宋体" w:hAnsi="宋体" w:eastAsia="宋体" w:cs="宋体"/>
                <w:b/>
                <w:color w:val="auto"/>
                <w:szCs w:val="21"/>
              </w:rPr>
            </w:pPr>
            <w:r>
              <w:rPr>
                <w:rFonts w:hint="eastAsia" w:ascii="宋体" w:hAnsi="宋体" w:eastAsia="宋体" w:cs="宋体"/>
                <w:b/>
                <w:color w:val="auto"/>
                <w:szCs w:val="21"/>
              </w:rPr>
              <w:t>从业人员</w:t>
            </w:r>
          </w:p>
          <w:p w14:paraId="59EA4F6A">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(人)</w:t>
            </w:r>
          </w:p>
        </w:tc>
        <w:tc>
          <w:tcPr>
            <w:tcW w:w="619" w:type="dxa"/>
            <w:noWrap w:val="0"/>
            <w:vAlign w:val="center"/>
          </w:tcPr>
          <w:p w14:paraId="53F07A51">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总资产</w:t>
            </w:r>
          </w:p>
          <w:p w14:paraId="0E570E7C">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c>
          <w:tcPr>
            <w:tcW w:w="679" w:type="dxa"/>
            <w:noWrap w:val="0"/>
            <w:vAlign w:val="center"/>
          </w:tcPr>
          <w:p w14:paraId="359D8D2A">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营业收入</w:t>
            </w:r>
          </w:p>
          <w:p w14:paraId="10A612C2">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c>
          <w:tcPr>
            <w:tcW w:w="682" w:type="dxa"/>
            <w:noWrap w:val="0"/>
            <w:vAlign w:val="center"/>
          </w:tcPr>
          <w:p w14:paraId="20451F36">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从业人员</w:t>
            </w:r>
          </w:p>
          <w:p w14:paraId="221BAC86">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(人)</w:t>
            </w:r>
          </w:p>
        </w:tc>
        <w:tc>
          <w:tcPr>
            <w:tcW w:w="525" w:type="dxa"/>
            <w:noWrap w:val="0"/>
            <w:vAlign w:val="center"/>
          </w:tcPr>
          <w:p w14:paraId="6F082E32">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总资产</w:t>
            </w:r>
          </w:p>
          <w:p w14:paraId="21BBE900">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r>
      <w:tr w14:paraId="0EDC6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12" w:type="dxa"/>
            <w:noWrap w:val="0"/>
            <w:vAlign w:val="center"/>
          </w:tcPr>
          <w:p w14:paraId="1F9D6D4A">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w:t>
            </w:r>
          </w:p>
        </w:tc>
        <w:tc>
          <w:tcPr>
            <w:tcW w:w="987" w:type="dxa"/>
            <w:noWrap w:val="0"/>
            <w:vAlign w:val="center"/>
          </w:tcPr>
          <w:p w14:paraId="70411F32">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农、林、牧、渔业</w:t>
            </w:r>
          </w:p>
        </w:tc>
        <w:tc>
          <w:tcPr>
            <w:tcW w:w="735" w:type="dxa"/>
            <w:noWrap w:val="0"/>
            <w:vAlign w:val="center"/>
          </w:tcPr>
          <w:p w14:paraId="49295DCA">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≥20000</w:t>
            </w:r>
          </w:p>
        </w:tc>
        <w:tc>
          <w:tcPr>
            <w:tcW w:w="679" w:type="dxa"/>
            <w:noWrap w:val="0"/>
            <w:vAlign w:val="center"/>
          </w:tcPr>
          <w:p w14:paraId="1BCB9A56">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579" w:type="dxa"/>
            <w:noWrap w:val="0"/>
            <w:vAlign w:val="center"/>
          </w:tcPr>
          <w:p w14:paraId="1708F06F">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3FF41BAA">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≥500</w:t>
            </w:r>
          </w:p>
        </w:tc>
        <w:tc>
          <w:tcPr>
            <w:tcW w:w="673" w:type="dxa"/>
            <w:noWrap w:val="0"/>
            <w:vAlign w:val="center"/>
          </w:tcPr>
          <w:p w14:paraId="78A8FB16">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15" w:type="dxa"/>
            <w:noWrap w:val="0"/>
            <w:vAlign w:val="center"/>
          </w:tcPr>
          <w:p w14:paraId="27446A8A">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00124711">
            <w:pPr>
              <w:jc w:val="center"/>
              <w:outlineLvl w:val="9"/>
              <w:rPr>
                <w:rFonts w:hint="eastAsia" w:ascii="宋体" w:hAnsi="宋体" w:eastAsia="宋体" w:cs="宋体"/>
                <w:color w:val="auto"/>
                <w:szCs w:val="21"/>
              </w:rPr>
            </w:pPr>
            <w:r>
              <w:rPr>
                <w:rFonts w:hint="eastAsia" w:ascii="宋体" w:hAnsi="宋体" w:eastAsia="宋体" w:cs="宋体"/>
                <w:color w:val="auto"/>
                <w:szCs w:val="21"/>
              </w:rPr>
              <w:t>≥50</w:t>
            </w:r>
          </w:p>
        </w:tc>
        <w:tc>
          <w:tcPr>
            <w:tcW w:w="714" w:type="dxa"/>
            <w:noWrap w:val="0"/>
            <w:vAlign w:val="center"/>
          </w:tcPr>
          <w:p w14:paraId="6F10FADF">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19" w:type="dxa"/>
            <w:noWrap w:val="0"/>
            <w:vAlign w:val="center"/>
          </w:tcPr>
          <w:p w14:paraId="139C0764">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2813E50E">
            <w:pPr>
              <w:jc w:val="center"/>
              <w:outlineLvl w:val="9"/>
              <w:rPr>
                <w:rFonts w:hint="eastAsia" w:ascii="宋体" w:hAnsi="宋体" w:eastAsia="宋体" w:cs="宋体"/>
                <w:color w:val="auto"/>
                <w:szCs w:val="21"/>
              </w:rPr>
            </w:pPr>
            <w:r>
              <w:rPr>
                <w:rFonts w:hint="eastAsia" w:ascii="宋体" w:hAnsi="宋体" w:eastAsia="宋体" w:cs="宋体"/>
                <w:color w:val="auto"/>
                <w:szCs w:val="21"/>
              </w:rPr>
              <w:t>＜50</w:t>
            </w:r>
          </w:p>
        </w:tc>
        <w:tc>
          <w:tcPr>
            <w:tcW w:w="682" w:type="dxa"/>
            <w:noWrap w:val="0"/>
            <w:vAlign w:val="center"/>
          </w:tcPr>
          <w:p w14:paraId="107144CA">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525" w:type="dxa"/>
            <w:noWrap w:val="0"/>
            <w:vAlign w:val="center"/>
          </w:tcPr>
          <w:p w14:paraId="744631A3">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66B3F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1DE0DBA1">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2</w:t>
            </w:r>
          </w:p>
        </w:tc>
        <w:tc>
          <w:tcPr>
            <w:tcW w:w="987" w:type="dxa"/>
            <w:noWrap w:val="0"/>
            <w:vAlign w:val="center"/>
          </w:tcPr>
          <w:p w14:paraId="3E96A9E2">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工业</w:t>
            </w:r>
          </w:p>
        </w:tc>
        <w:tc>
          <w:tcPr>
            <w:tcW w:w="735" w:type="dxa"/>
            <w:noWrap w:val="0"/>
            <w:vAlign w:val="center"/>
          </w:tcPr>
          <w:p w14:paraId="6C501721">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≥40000</w:t>
            </w:r>
          </w:p>
        </w:tc>
        <w:tc>
          <w:tcPr>
            <w:tcW w:w="679" w:type="dxa"/>
            <w:noWrap w:val="0"/>
            <w:vAlign w:val="center"/>
          </w:tcPr>
          <w:p w14:paraId="10367FC9">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≥1000</w:t>
            </w:r>
          </w:p>
        </w:tc>
        <w:tc>
          <w:tcPr>
            <w:tcW w:w="579" w:type="dxa"/>
            <w:noWrap w:val="0"/>
            <w:vAlign w:val="center"/>
          </w:tcPr>
          <w:p w14:paraId="729F9FE7">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　</w:t>
            </w:r>
          </w:p>
        </w:tc>
        <w:tc>
          <w:tcPr>
            <w:tcW w:w="679" w:type="dxa"/>
            <w:noWrap w:val="0"/>
            <w:vAlign w:val="center"/>
          </w:tcPr>
          <w:p w14:paraId="46EAAF37">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≥2000</w:t>
            </w:r>
          </w:p>
        </w:tc>
        <w:tc>
          <w:tcPr>
            <w:tcW w:w="673" w:type="dxa"/>
            <w:noWrap w:val="0"/>
            <w:vAlign w:val="center"/>
          </w:tcPr>
          <w:p w14:paraId="10AB3385">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≥300</w:t>
            </w:r>
          </w:p>
        </w:tc>
        <w:tc>
          <w:tcPr>
            <w:tcW w:w="615" w:type="dxa"/>
            <w:noWrap w:val="0"/>
            <w:vAlign w:val="center"/>
          </w:tcPr>
          <w:p w14:paraId="182FCE6C">
            <w:pPr>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　</w:t>
            </w:r>
          </w:p>
        </w:tc>
        <w:tc>
          <w:tcPr>
            <w:tcW w:w="679" w:type="dxa"/>
            <w:noWrap w:val="0"/>
            <w:vAlign w:val="center"/>
          </w:tcPr>
          <w:p w14:paraId="3DB32A7B">
            <w:pPr>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≥300</w:t>
            </w:r>
          </w:p>
        </w:tc>
        <w:tc>
          <w:tcPr>
            <w:tcW w:w="714" w:type="dxa"/>
            <w:noWrap w:val="0"/>
            <w:vAlign w:val="center"/>
          </w:tcPr>
          <w:p w14:paraId="1D4FCEF8">
            <w:pPr>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≥20</w:t>
            </w:r>
          </w:p>
        </w:tc>
        <w:tc>
          <w:tcPr>
            <w:tcW w:w="619" w:type="dxa"/>
            <w:noWrap w:val="0"/>
            <w:vAlign w:val="center"/>
          </w:tcPr>
          <w:p w14:paraId="3A394A4E">
            <w:pPr>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　</w:t>
            </w:r>
          </w:p>
        </w:tc>
        <w:tc>
          <w:tcPr>
            <w:tcW w:w="679" w:type="dxa"/>
            <w:noWrap w:val="0"/>
            <w:vAlign w:val="center"/>
          </w:tcPr>
          <w:p w14:paraId="7A2E6356">
            <w:pPr>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＜300</w:t>
            </w:r>
          </w:p>
        </w:tc>
        <w:tc>
          <w:tcPr>
            <w:tcW w:w="682" w:type="dxa"/>
            <w:noWrap w:val="0"/>
            <w:vAlign w:val="center"/>
          </w:tcPr>
          <w:p w14:paraId="5C25EF90">
            <w:pPr>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＜20</w:t>
            </w:r>
          </w:p>
        </w:tc>
        <w:tc>
          <w:tcPr>
            <w:tcW w:w="525" w:type="dxa"/>
            <w:noWrap w:val="0"/>
            <w:vAlign w:val="center"/>
          </w:tcPr>
          <w:p w14:paraId="4B8B4EEC">
            <w:pPr>
              <w:jc w:val="center"/>
              <w:outlineLvl w:val="9"/>
              <w:rPr>
                <w:rFonts w:hint="eastAsia" w:ascii="宋体" w:hAnsi="宋体" w:eastAsia="宋体" w:cs="宋体"/>
                <w:b/>
                <w:color w:val="auto"/>
                <w:szCs w:val="21"/>
              </w:rPr>
            </w:pPr>
            <w:r>
              <w:rPr>
                <w:rFonts w:hint="eastAsia" w:ascii="宋体" w:hAnsi="宋体" w:eastAsia="宋体" w:cs="宋体"/>
                <w:b/>
                <w:color w:val="auto"/>
                <w:szCs w:val="21"/>
              </w:rPr>
              <w:t>　</w:t>
            </w:r>
          </w:p>
        </w:tc>
      </w:tr>
      <w:tr w14:paraId="2DA6E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512" w:type="dxa"/>
            <w:noWrap w:val="0"/>
            <w:vAlign w:val="center"/>
          </w:tcPr>
          <w:p w14:paraId="52D594FF">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3</w:t>
            </w:r>
          </w:p>
        </w:tc>
        <w:tc>
          <w:tcPr>
            <w:tcW w:w="987" w:type="dxa"/>
            <w:noWrap w:val="0"/>
            <w:vAlign w:val="center"/>
          </w:tcPr>
          <w:p w14:paraId="02BE5FFA">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建筑业</w:t>
            </w:r>
          </w:p>
        </w:tc>
        <w:tc>
          <w:tcPr>
            <w:tcW w:w="735" w:type="dxa"/>
            <w:noWrap w:val="0"/>
            <w:vAlign w:val="center"/>
          </w:tcPr>
          <w:p w14:paraId="57375A7E">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≥80000</w:t>
            </w:r>
          </w:p>
        </w:tc>
        <w:tc>
          <w:tcPr>
            <w:tcW w:w="679" w:type="dxa"/>
            <w:noWrap w:val="0"/>
            <w:vAlign w:val="center"/>
          </w:tcPr>
          <w:p w14:paraId="0DF527C2">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579" w:type="dxa"/>
            <w:noWrap w:val="0"/>
            <w:vAlign w:val="center"/>
          </w:tcPr>
          <w:p w14:paraId="250BBCB9">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≥80000</w:t>
            </w:r>
          </w:p>
        </w:tc>
        <w:tc>
          <w:tcPr>
            <w:tcW w:w="679" w:type="dxa"/>
            <w:noWrap w:val="0"/>
            <w:vAlign w:val="center"/>
          </w:tcPr>
          <w:p w14:paraId="09F7B75A">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≥6000</w:t>
            </w:r>
          </w:p>
        </w:tc>
        <w:tc>
          <w:tcPr>
            <w:tcW w:w="673" w:type="dxa"/>
            <w:noWrap w:val="0"/>
            <w:vAlign w:val="center"/>
          </w:tcPr>
          <w:p w14:paraId="75EE564B">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15" w:type="dxa"/>
            <w:noWrap w:val="0"/>
            <w:vAlign w:val="center"/>
          </w:tcPr>
          <w:p w14:paraId="1742D0D1">
            <w:pPr>
              <w:jc w:val="center"/>
              <w:outlineLvl w:val="9"/>
              <w:rPr>
                <w:rFonts w:hint="eastAsia" w:ascii="宋体" w:hAnsi="宋体" w:eastAsia="宋体" w:cs="宋体"/>
                <w:color w:val="auto"/>
                <w:szCs w:val="21"/>
              </w:rPr>
            </w:pPr>
            <w:r>
              <w:rPr>
                <w:rFonts w:hint="eastAsia" w:ascii="宋体" w:hAnsi="宋体" w:eastAsia="宋体" w:cs="宋体"/>
                <w:color w:val="auto"/>
                <w:szCs w:val="21"/>
              </w:rPr>
              <w:t>≥5000</w:t>
            </w:r>
          </w:p>
        </w:tc>
        <w:tc>
          <w:tcPr>
            <w:tcW w:w="679" w:type="dxa"/>
            <w:noWrap w:val="0"/>
            <w:vAlign w:val="center"/>
          </w:tcPr>
          <w:p w14:paraId="2A0199B6">
            <w:pPr>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714" w:type="dxa"/>
            <w:noWrap w:val="0"/>
            <w:vAlign w:val="center"/>
          </w:tcPr>
          <w:p w14:paraId="544451D7">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19" w:type="dxa"/>
            <w:noWrap w:val="0"/>
            <w:vAlign w:val="center"/>
          </w:tcPr>
          <w:p w14:paraId="7B1F3CAB">
            <w:pPr>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679" w:type="dxa"/>
            <w:noWrap w:val="0"/>
            <w:vAlign w:val="center"/>
          </w:tcPr>
          <w:p w14:paraId="56790935">
            <w:pPr>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682" w:type="dxa"/>
            <w:noWrap w:val="0"/>
            <w:vAlign w:val="center"/>
          </w:tcPr>
          <w:p w14:paraId="3620B90C">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525" w:type="dxa"/>
            <w:noWrap w:val="0"/>
            <w:vAlign w:val="center"/>
          </w:tcPr>
          <w:p w14:paraId="2C4C8CFC">
            <w:pPr>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r>
      <w:tr w14:paraId="7BCB9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12" w:type="dxa"/>
            <w:noWrap w:val="0"/>
            <w:vAlign w:val="center"/>
          </w:tcPr>
          <w:p w14:paraId="3350D24F">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4</w:t>
            </w:r>
          </w:p>
        </w:tc>
        <w:tc>
          <w:tcPr>
            <w:tcW w:w="987" w:type="dxa"/>
            <w:noWrap w:val="0"/>
            <w:vAlign w:val="center"/>
          </w:tcPr>
          <w:p w14:paraId="5B0EBE25">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批发业</w:t>
            </w:r>
          </w:p>
        </w:tc>
        <w:tc>
          <w:tcPr>
            <w:tcW w:w="735" w:type="dxa"/>
            <w:noWrap w:val="0"/>
            <w:vAlign w:val="center"/>
          </w:tcPr>
          <w:p w14:paraId="395EA08D">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≥40000</w:t>
            </w:r>
          </w:p>
        </w:tc>
        <w:tc>
          <w:tcPr>
            <w:tcW w:w="679" w:type="dxa"/>
            <w:noWrap w:val="0"/>
            <w:vAlign w:val="center"/>
          </w:tcPr>
          <w:p w14:paraId="3B0A7747">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w:t>
            </w:r>
          </w:p>
        </w:tc>
        <w:tc>
          <w:tcPr>
            <w:tcW w:w="579" w:type="dxa"/>
            <w:noWrap w:val="0"/>
            <w:vAlign w:val="center"/>
          </w:tcPr>
          <w:p w14:paraId="335C2ECB">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03628B93">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≥5000</w:t>
            </w:r>
          </w:p>
        </w:tc>
        <w:tc>
          <w:tcPr>
            <w:tcW w:w="673" w:type="dxa"/>
            <w:noWrap w:val="0"/>
            <w:vAlign w:val="center"/>
          </w:tcPr>
          <w:p w14:paraId="5DB7FAF0">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w:t>
            </w:r>
          </w:p>
        </w:tc>
        <w:tc>
          <w:tcPr>
            <w:tcW w:w="615" w:type="dxa"/>
            <w:noWrap w:val="0"/>
            <w:vAlign w:val="center"/>
          </w:tcPr>
          <w:p w14:paraId="5ABFEC07">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624A35DE">
            <w:pPr>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714" w:type="dxa"/>
            <w:noWrap w:val="0"/>
            <w:vAlign w:val="center"/>
          </w:tcPr>
          <w:p w14:paraId="6F482DDC">
            <w:pPr>
              <w:jc w:val="center"/>
              <w:outlineLvl w:val="9"/>
              <w:rPr>
                <w:rFonts w:hint="eastAsia" w:ascii="宋体" w:hAnsi="宋体" w:eastAsia="宋体" w:cs="宋体"/>
                <w:color w:val="auto"/>
                <w:szCs w:val="21"/>
              </w:rPr>
            </w:pPr>
            <w:r>
              <w:rPr>
                <w:rFonts w:hint="eastAsia" w:ascii="宋体" w:hAnsi="宋体" w:eastAsia="宋体" w:cs="宋体"/>
                <w:color w:val="auto"/>
                <w:szCs w:val="21"/>
              </w:rPr>
              <w:t>≥5</w:t>
            </w:r>
          </w:p>
        </w:tc>
        <w:tc>
          <w:tcPr>
            <w:tcW w:w="619" w:type="dxa"/>
            <w:noWrap w:val="0"/>
            <w:vAlign w:val="center"/>
          </w:tcPr>
          <w:p w14:paraId="3CD70AEB">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41313D45">
            <w:pPr>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682" w:type="dxa"/>
            <w:noWrap w:val="0"/>
            <w:vAlign w:val="center"/>
          </w:tcPr>
          <w:p w14:paraId="67018AE5">
            <w:pPr>
              <w:jc w:val="center"/>
              <w:outlineLvl w:val="9"/>
              <w:rPr>
                <w:rFonts w:hint="eastAsia" w:ascii="宋体" w:hAnsi="宋体" w:eastAsia="宋体" w:cs="宋体"/>
                <w:color w:val="auto"/>
                <w:szCs w:val="21"/>
              </w:rPr>
            </w:pPr>
            <w:r>
              <w:rPr>
                <w:rFonts w:hint="eastAsia" w:ascii="宋体" w:hAnsi="宋体" w:eastAsia="宋体" w:cs="宋体"/>
                <w:color w:val="auto"/>
                <w:szCs w:val="21"/>
              </w:rPr>
              <w:t>＜5</w:t>
            </w:r>
          </w:p>
        </w:tc>
        <w:tc>
          <w:tcPr>
            <w:tcW w:w="525" w:type="dxa"/>
            <w:noWrap w:val="0"/>
            <w:vAlign w:val="center"/>
          </w:tcPr>
          <w:p w14:paraId="229C29AC">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0FF9A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67B95AF4">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5</w:t>
            </w:r>
          </w:p>
        </w:tc>
        <w:tc>
          <w:tcPr>
            <w:tcW w:w="987" w:type="dxa"/>
            <w:noWrap w:val="0"/>
            <w:vAlign w:val="center"/>
          </w:tcPr>
          <w:p w14:paraId="274D4DC0">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零售业</w:t>
            </w:r>
          </w:p>
        </w:tc>
        <w:tc>
          <w:tcPr>
            <w:tcW w:w="735" w:type="dxa"/>
            <w:noWrap w:val="0"/>
            <w:vAlign w:val="center"/>
          </w:tcPr>
          <w:p w14:paraId="0F432ADB">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≥20000</w:t>
            </w:r>
          </w:p>
        </w:tc>
        <w:tc>
          <w:tcPr>
            <w:tcW w:w="679" w:type="dxa"/>
            <w:noWrap w:val="0"/>
            <w:vAlign w:val="center"/>
          </w:tcPr>
          <w:p w14:paraId="51867E41">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579" w:type="dxa"/>
            <w:noWrap w:val="0"/>
            <w:vAlign w:val="center"/>
          </w:tcPr>
          <w:p w14:paraId="46078D37">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61F38759">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≥500</w:t>
            </w:r>
          </w:p>
        </w:tc>
        <w:tc>
          <w:tcPr>
            <w:tcW w:w="673" w:type="dxa"/>
            <w:noWrap w:val="0"/>
            <w:vAlign w:val="center"/>
          </w:tcPr>
          <w:p w14:paraId="7324E67E">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≥50</w:t>
            </w:r>
          </w:p>
        </w:tc>
        <w:tc>
          <w:tcPr>
            <w:tcW w:w="615" w:type="dxa"/>
            <w:noWrap w:val="0"/>
            <w:vAlign w:val="center"/>
          </w:tcPr>
          <w:p w14:paraId="457D0D80">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70491CA3">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714" w:type="dxa"/>
            <w:noWrap w:val="0"/>
            <w:vAlign w:val="center"/>
          </w:tcPr>
          <w:p w14:paraId="0ECC2A0F">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619" w:type="dxa"/>
            <w:noWrap w:val="0"/>
            <w:vAlign w:val="center"/>
          </w:tcPr>
          <w:p w14:paraId="59AFE694">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4D389F8F">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82" w:type="dxa"/>
            <w:noWrap w:val="0"/>
            <w:vAlign w:val="center"/>
          </w:tcPr>
          <w:p w14:paraId="6435B421">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525" w:type="dxa"/>
            <w:noWrap w:val="0"/>
            <w:vAlign w:val="center"/>
          </w:tcPr>
          <w:p w14:paraId="3CA034A9">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36457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1A46C639">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6</w:t>
            </w:r>
          </w:p>
        </w:tc>
        <w:tc>
          <w:tcPr>
            <w:tcW w:w="987" w:type="dxa"/>
            <w:noWrap w:val="0"/>
            <w:vAlign w:val="center"/>
          </w:tcPr>
          <w:p w14:paraId="5E2E12EB">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交通运输业</w:t>
            </w:r>
          </w:p>
        </w:tc>
        <w:tc>
          <w:tcPr>
            <w:tcW w:w="735" w:type="dxa"/>
            <w:noWrap w:val="0"/>
            <w:vAlign w:val="center"/>
          </w:tcPr>
          <w:p w14:paraId="69764FC5">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≥30000</w:t>
            </w:r>
          </w:p>
        </w:tc>
        <w:tc>
          <w:tcPr>
            <w:tcW w:w="679" w:type="dxa"/>
            <w:noWrap w:val="0"/>
            <w:vAlign w:val="center"/>
          </w:tcPr>
          <w:p w14:paraId="2EA4042E">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579" w:type="dxa"/>
            <w:noWrap w:val="0"/>
            <w:vAlign w:val="center"/>
          </w:tcPr>
          <w:p w14:paraId="56554155">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18B8F31F">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≥3000</w:t>
            </w:r>
          </w:p>
        </w:tc>
        <w:tc>
          <w:tcPr>
            <w:tcW w:w="673" w:type="dxa"/>
            <w:noWrap w:val="0"/>
            <w:vAlign w:val="center"/>
          </w:tcPr>
          <w:p w14:paraId="574FFA0D">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615" w:type="dxa"/>
            <w:noWrap w:val="0"/>
            <w:vAlign w:val="center"/>
          </w:tcPr>
          <w:p w14:paraId="545E1416">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45D52438">
            <w:pPr>
              <w:jc w:val="center"/>
              <w:outlineLvl w:val="9"/>
              <w:rPr>
                <w:rFonts w:hint="eastAsia" w:ascii="宋体" w:hAnsi="宋体" w:eastAsia="宋体" w:cs="宋体"/>
                <w:color w:val="auto"/>
                <w:szCs w:val="21"/>
              </w:rPr>
            </w:pPr>
            <w:r>
              <w:rPr>
                <w:rFonts w:hint="eastAsia" w:ascii="宋体" w:hAnsi="宋体" w:eastAsia="宋体" w:cs="宋体"/>
                <w:color w:val="auto"/>
                <w:szCs w:val="21"/>
              </w:rPr>
              <w:t>≥200</w:t>
            </w:r>
          </w:p>
        </w:tc>
        <w:tc>
          <w:tcPr>
            <w:tcW w:w="714" w:type="dxa"/>
            <w:noWrap w:val="0"/>
            <w:vAlign w:val="center"/>
          </w:tcPr>
          <w:p w14:paraId="425E80C6">
            <w:pPr>
              <w:jc w:val="center"/>
              <w:outlineLvl w:val="9"/>
              <w:rPr>
                <w:rFonts w:hint="eastAsia" w:ascii="宋体" w:hAnsi="宋体" w:eastAsia="宋体" w:cs="宋体"/>
                <w:color w:val="auto"/>
                <w:szCs w:val="21"/>
              </w:rPr>
            </w:pPr>
            <w:r>
              <w:rPr>
                <w:rFonts w:hint="eastAsia" w:ascii="宋体" w:hAnsi="宋体" w:eastAsia="宋体" w:cs="宋体"/>
                <w:color w:val="auto"/>
                <w:szCs w:val="21"/>
              </w:rPr>
              <w:t>≥20</w:t>
            </w:r>
          </w:p>
        </w:tc>
        <w:tc>
          <w:tcPr>
            <w:tcW w:w="619" w:type="dxa"/>
            <w:noWrap w:val="0"/>
            <w:vAlign w:val="center"/>
          </w:tcPr>
          <w:p w14:paraId="5D201BD3">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7525EFB5">
            <w:pPr>
              <w:jc w:val="center"/>
              <w:outlineLvl w:val="9"/>
              <w:rPr>
                <w:rFonts w:hint="eastAsia" w:ascii="宋体" w:hAnsi="宋体" w:eastAsia="宋体" w:cs="宋体"/>
                <w:color w:val="auto"/>
                <w:szCs w:val="21"/>
              </w:rPr>
            </w:pPr>
            <w:r>
              <w:rPr>
                <w:rFonts w:hint="eastAsia" w:ascii="宋体" w:hAnsi="宋体" w:eastAsia="宋体" w:cs="宋体"/>
                <w:color w:val="auto"/>
                <w:szCs w:val="21"/>
              </w:rPr>
              <w:t>＜200</w:t>
            </w:r>
          </w:p>
        </w:tc>
        <w:tc>
          <w:tcPr>
            <w:tcW w:w="682" w:type="dxa"/>
            <w:noWrap w:val="0"/>
            <w:vAlign w:val="center"/>
          </w:tcPr>
          <w:p w14:paraId="74618530">
            <w:pPr>
              <w:jc w:val="center"/>
              <w:outlineLvl w:val="9"/>
              <w:rPr>
                <w:rFonts w:hint="eastAsia" w:ascii="宋体" w:hAnsi="宋体" w:eastAsia="宋体" w:cs="宋体"/>
                <w:color w:val="auto"/>
                <w:szCs w:val="21"/>
              </w:rPr>
            </w:pPr>
            <w:r>
              <w:rPr>
                <w:rFonts w:hint="eastAsia" w:ascii="宋体" w:hAnsi="宋体" w:eastAsia="宋体" w:cs="宋体"/>
                <w:color w:val="auto"/>
                <w:szCs w:val="21"/>
              </w:rPr>
              <w:t>＜20</w:t>
            </w:r>
          </w:p>
        </w:tc>
        <w:tc>
          <w:tcPr>
            <w:tcW w:w="525" w:type="dxa"/>
            <w:noWrap w:val="0"/>
            <w:vAlign w:val="center"/>
          </w:tcPr>
          <w:p w14:paraId="68FE0BAB">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2D7B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3D47E58E">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7</w:t>
            </w:r>
          </w:p>
        </w:tc>
        <w:tc>
          <w:tcPr>
            <w:tcW w:w="987" w:type="dxa"/>
            <w:noWrap w:val="0"/>
            <w:vAlign w:val="center"/>
          </w:tcPr>
          <w:p w14:paraId="5AE645CE">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仓储业</w:t>
            </w:r>
          </w:p>
        </w:tc>
        <w:tc>
          <w:tcPr>
            <w:tcW w:w="735" w:type="dxa"/>
            <w:noWrap w:val="0"/>
            <w:vAlign w:val="center"/>
          </w:tcPr>
          <w:p w14:paraId="5A21D2F5">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≥30000</w:t>
            </w:r>
          </w:p>
        </w:tc>
        <w:tc>
          <w:tcPr>
            <w:tcW w:w="679" w:type="dxa"/>
            <w:noWrap w:val="0"/>
            <w:vAlign w:val="center"/>
          </w:tcPr>
          <w:p w14:paraId="4558978E">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w:t>
            </w:r>
          </w:p>
        </w:tc>
        <w:tc>
          <w:tcPr>
            <w:tcW w:w="579" w:type="dxa"/>
            <w:noWrap w:val="0"/>
            <w:vAlign w:val="center"/>
          </w:tcPr>
          <w:p w14:paraId="27B1EAA1">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45A97B1D">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673" w:type="dxa"/>
            <w:noWrap w:val="0"/>
            <w:vAlign w:val="center"/>
          </w:tcPr>
          <w:p w14:paraId="7F135A33">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5" w:type="dxa"/>
            <w:noWrap w:val="0"/>
            <w:vAlign w:val="center"/>
          </w:tcPr>
          <w:p w14:paraId="313E34BB">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19B8F97F">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714" w:type="dxa"/>
            <w:noWrap w:val="0"/>
            <w:vAlign w:val="center"/>
          </w:tcPr>
          <w:p w14:paraId="61379729">
            <w:pPr>
              <w:jc w:val="center"/>
              <w:outlineLvl w:val="9"/>
              <w:rPr>
                <w:rFonts w:hint="eastAsia" w:ascii="宋体" w:hAnsi="宋体" w:eastAsia="宋体" w:cs="宋体"/>
                <w:color w:val="auto"/>
                <w:szCs w:val="21"/>
              </w:rPr>
            </w:pPr>
            <w:r>
              <w:rPr>
                <w:rFonts w:hint="eastAsia" w:ascii="宋体" w:hAnsi="宋体" w:eastAsia="宋体" w:cs="宋体"/>
                <w:color w:val="auto"/>
                <w:szCs w:val="21"/>
              </w:rPr>
              <w:t>≥20</w:t>
            </w:r>
          </w:p>
        </w:tc>
        <w:tc>
          <w:tcPr>
            <w:tcW w:w="619" w:type="dxa"/>
            <w:noWrap w:val="0"/>
            <w:vAlign w:val="center"/>
          </w:tcPr>
          <w:p w14:paraId="3E3B9EE7">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32C07DD8">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82" w:type="dxa"/>
            <w:noWrap w:val="0"/>
            <w:vAlign w:val="center"/>
          </w:tcPr>
          <w:p w14:paraId="2771D657">
            <w:pPr>
              <w:jc w:val="center"/>
              <w:outlineLvl w:val="9"/>
              <w:rPr>
                <w:rFonts w:hint="eastAsia" w:ascii="宋体" w:hAnsi="宋体" w:eastAsia="宋体" w:cs="宋体"/>
                <w:color w:val="auto"/>
                <w:szCs w:val="21"/>
              </w:rPr>
            </w:pPr>
            <w:r>
              <w:rPr>
                <w:rFonts w:hint="eastAsia" w:ascii="宋体" w:hAnsi="宋体" w:eastAsia="宋体" w:cs="宋体"/>
                <w:color w:val="auto"/>
                <w:szCs w:val="21"/>
              </w:rPr>
              <w:t>＜20</w:t>
            </w:r>
          </w:p>
        </w:tc>
        <w:tc>
          <w:tcPr>
            <w:tcW w:w="525" w:type="dxa"/>
            <w:noWrap w:val="0"/>
            <w:vAlign w:val="center"/>
          </w:tcPr>
          <w:p w14:paraId="1B2A394E">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5034D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24EEBAC0">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8</w:t>
            </w:r>
          </w:p>
        </w:tc>
        <w:tc>
          <w:tcPr>
            <w:tcW w:w="987" w:type="dxa"/>
            <w:noWrap w:val="0"/>
            <w:vAlign w:val="center"/>
          </w:tcPr>
          <w:p w14:paraId="064C7048">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邮政业</w:t>
            </w:r>
          </w:p>
        </w:tc>
        <w:tc>
          <w:tcPr>
            <w:tcW w:w="735" w:type="dxa"/>
            <w:noWrap w:val="0"/>
            <w:vAlign w:val="center"/>
          </w:tcPr>
          <w:p w14:paraId="60204CA3">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≥30000</w:t>
            </w:r>
          </w:p>
        </w:tc>
        <w:tc>
          <w:tcPr>
            <w:tcW w:w="679" w:type="dxa"/>
            <w:noWrap w:val="0"/>
            <w:vAlign w:val="center"/>
          </w:tcPr>
          <w:p w14:paraId="068DCF5D">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579" w:type="dxa"/>
            <w:noWrap w:val="0"/>
            <w:vAlign w:val="center"/>
          </w:tcPr>
          <w:p w14:paraId="7248A0F8">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4BB303DD">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≥2000</w:t>
            </w:r>
          </w:p>
        </w:tc>
        <w:tc>
          <w:tcPr>
            <w:tcW w:w="673" w:type="dxa"/>
            <w:noWrap w:val="0"/>
            <w:vAlign w:val="center"/>
          </w:tcPr>
          <w:p w14:paraId="439EA204">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615" w:type="dxa"/>
            <w:noWrap w:val="0"/>
            <w:vAlign w:val="center"/>
          </w:tcPr>
          <w:p w14:paraId="564CF1CE">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6D4E8291">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714" w:type="dxa"/>
            <w:noWrap w:val="0"/>
            <w:vAlign w:val="center"/>
          </w:tcPr>
          <w:p w14:paraId="20B28814">
            <w:pPr>
              <w:jc w:val="center"/>
              <w:outlineLvl w:val="9"/>
              <w:rPr>
                <w:rFonts w:hint="eastAsia" w:ascii="宋体" w:hAnsi="宋体" w:eastAsia="宋体" w:cs="宋体"/>
                <w:color w:val="auto"/>
                <w:szCs w:val="21"/>
              </w:rPr>
            </w:pPr>
            <w:r>
              <w:rPr>
                <w:rFonts w:hint="eastAsia" w:ascii="宋体" w:hAnsi="宋体" w:eastAsia="宋体" w:cs="宋体"/>
                <w:color w:val="auto"/>
                <w:szCs w:val="21"/>
              </w:rPr>
              <w:t>≥20</w:t>
            </w:r>
          </w:p>
        </w:tc>
        <w:tc>
          <w:tcPr>
            <w:tcW w:w="619" w:type="dxa"/>
            <w:noWrap w:val="0"/>
            <w:vAlign w:val="center"/>
          </w:tcPr>
          <w:p w14:paraId="0CE07150">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351ADE66">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82" w:type="dxa"/>
            <w:noWrap w:val="0"/>
            <w:vAlign w:val="center"/>
          </w:tcPr>
          <w:p w14:paraId="771E0473">
            <w:pPr>
              <w:jc w:val="center"/>
              <w:outlineLvl w:val="9"/>
              <w:rPr>
                <w:rFonts w:hint="eastAsia" w:ascii="宋体" w:hAnsi="宋体" w:eastAsia="宋体" w:cs="宋体"/>
                <w:color w:val="auto"/>
                <w:szCs w:val="21"/>
              </w:rPr>
            </w:pPr>
            <w:r>
              <w:rPr>
                <w:rFonts w:hint="eastAsia" w:ascii="宋体" w:hAnsi="宋体" w:eastAsia="宋体" w:cs="宋体"/>
                <w:color w:val="auto"/>
                <w:szCs w:val="21"/>
              </w:rPr>
              <w:t>＜20</w:t>
            </w:r>
          </w:p>
        </w:tc>
        <w:tc>
          <w:tcPr>
            <w:tcW w:w="525" w:type="dxa"/>
            <w:noWrap w:val="0"/>
            <w:vAlign w:val="center"/>
          </w:tcPr>
          <w:p w14:paraId="0B889002">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35DA7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2CC05905">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9</w:t>
            </w:r>
          </w:p>
        </w:tc>
        <w:tc>
          <w:tcPr>
            <w:tcW w:w="987" w:type="dxa"/>
            <w:noWrap w:val="0"/>
            <w:vAlign w:val="center"/>
          </w:tcPr>
          <w:p w14:paraId="48E66B5A">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住宿业</w:t>
            </w:r>
          </w:p>
        </w:tc>
        <w:tc>
          <w:tcPr>
            <w:tcW w:w="735" w:type="dxa"/>
            <w:noWrap w:val="0"/>
            <w:vAlign w:val="center"/>
          </w:tcPr>
          <w:p w14:paraId="1112966C">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≥10000</w:t>
            </w:r>
          </w:p>
        </w:tc>
        <w:tc>
          <w:tcPr>
            <w:tcW w:w="679" w:type="dxa"/>
            <w:noWrap w:val="0"/>
            <w:vAlign w:val="center"/>
          </w:tcPr>
          <w:p w14:paraId="34230B0A">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579" w:type="dxa"/>
            <w:noWrap w:val="0"/>
            <w:vAlign w:val="center"/>
          </w:tcPr>
          <w:p w14:paraId="311929BA">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46A96E32">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≥2000</w:t>
            </w:r>
          </w:p>
        </w:tc>
        <w:tc>
          <w:tcPr>
            <w:tcW w:w="673" w:type="dxa"/>
            <w:noWrap w:val="0"/>
            <w:vAlign w:val="center"/>
          </w:tcPr>
          <w:p w14:paraId="4B87FC19">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5" w:type="dxa"/>
            <w:noWrap w:val="0"/>
            <w:vAlign w:val="center"/>
          </w:tcPr>
          <w:p w14:paraId="36830741">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2D49A599">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714" w:type="dxa"/>
            <w:noWrap w:val="0"/>
            <w:vAlign w:val="center"/>
          </w:tcPr>
          <w:p w14:paraId="22E96095">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619" w:type="dxa"/>
            <w:noWrap w:val="0"/>
            <w:vAlign w:val="center"/>
          </w:tcPr>
          <w:p w14:paraId="32953E8C">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3BB236C3">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82" w:type="dxa"/>
            <w:noWrap w:val="0"/>
            <w:vAlign w:val="center"/>
          </w:tcPr>
          <w:p w14:paraId="7F09F722">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525" w:type="dxa"/>
            <w:noWrap w:val="0"/>
            <w:vAlign w:val="center"/>
          </w:tcPr>
          <w:p w14:paraId="6F843854">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54EC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791DFEDB">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10</w:t>
            </w:r>
          </w:p>
        </w:tc>
        <w:tc>
          <w:tcPr>
            <w:tcW w:w="987" w:type="dxa"/>
            <w:noWrap w:val="0"/>
            <w:vAlign w:val="center"/>
          </w:tcPr>
          <w:p w14:paraId="4A40BAB1">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餐饮业</w:t>
            </w:r>
          </w:p>
        </w:tc>
        <w:tc>
          <w:tcPr>
            <w:tcW w:w="735" w:type="dxa"/>
            <w:noWrap w:val="0"/>
            <w:vAlign w:val="center"/>
          </w:tcPr>
          <w:p w14:paraId="394FC2C9">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≥10000</w:t>
            </w:r>
          </w:p>
        </w:tc>
        <w:tc>
          <w:tcPr>
            <w:tcW w:w="679" w:type="dxa"/>
            <w:noWrap w:val="0"/>
            <w:vAlign w:val="center"/>
          </w:tcPr>
          <w:p w14:paraId="5507EA39">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579" w:type="dxa"/>
            <w:noWrap w:val="0"/>
            <w:vAlign w:val="center"/>
          </w:tcPr>
          <w:p w14:paraId="4FB97150">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24458DC1">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≥2000</w:t>
            </w:r>
          </w:p>
        </w:tc>
        <w:tc>
          <w:tcPr>
            <w:tcW w:w="673" w:type="dxa"/>
            <w:noWrap w:val="0"/>
            <w:vAlign w:val="center"/>
          </w:tcPr>
          <w:p w14:paraId="2917EA01">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5" w:type="dxa"/>
            <w:noWrap w:val="0"/>
            <w:vAlign w:val="center"/>
          </w:tcPr>
          <w:p w14:paraId="0F0B5D98">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74C6EA0E">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714" w:type="dxa"/>
            <w:noWrap w:val="0"/>
            <w:vAlign w:val="center"/>
          </w:tcPr>
          <w:p w14:paraId="110D4B6E">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619" w:type="dxa"/>
            <w:noWrap w:val="0"/>
            <w:vAlign w:val="center"/>
          </w:tcPr>
          <w:p w14:paraId="40FB9E36">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72832487">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82" w:type="dxa"/>
            <w:noWrap w:val="0"/>
            <w:vAlign w:val="center"/>
          </w:tcPr>
          <w:p w14:paraId="197DAD44">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525" w:type="dxa"/>
            <w:noWrap w:val="0"/>
            <w:vAlign w:val="center"/>
          </w:tcPr>
          <w:p w14:paraId="2E80CEF6">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038A1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38D612E4">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11</w:t>
            </w:r>
          </w:p>
        </w:tc>
        <w:tc>
          <w:tcPr>
            <w:tcW w:w="987" w:type="dxa"/>
            <w:noWrap w:val="0"/>
            <w:vAlign w:val="center"/>
          </w:tcPr>
          <w:p w14:paraId="0CCC7C54">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信息传输业</w:t>
            </w:r>
          </w:p>
        </w:tc>
        <w:tc>
          <w:tcPr>
            <w:tcW w:w="735" w:type="dxa"/>
            <w:noWrap w:val="0"/>
            <w:vAlign w:val="center"/>
          </w:tcPr>
          <w:p w14:paraId="39AFE08B">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≥100000</w:t>
            </w:r>
          </w:p>
        </w:tc>
        <w:tc>
          <w:tcPr>
            <w:tcW w:w="679" w:type="dxa"/>
            <w:noWrap w:val="0"/>
            <w:vAlign w:val="center"/>
          </w:tcPr>
          <w:p w14:paraId="40494983">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≥2000</w:t>
            </w:r>
          </w:p>
        </w:tc>
        <w:tc>
          <w:tcPr>
            <w:tcW w:w="579" w:type="dxa"/>
            <w:noWrap w:val="0"/>
            <w:vAlign w:val="center"/>
          </w:tcPr>
          <w:p w14:paraId="0ED0128B">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2CAC24AE">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673" w:type="dxa"/>
            <w:noWrap w:val="0"/>
            <w:vAlign w:val="center"/>
          </w:tcPr>
          <w:p w14:paraId="3F40A316">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5" w:type="dxa"/>
            <w:noWrap w:val="0"/>
            <w:vAlign w:val="center"/>
          </w:tcPr>
          <w:p w14:paraId="034020D3">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1444FE43">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714" w:type="dxa"/>
            <w:noWrap w:val="0"/>
            <w:vAlign w:val="center"/>
          </w:tcPr>
          <w:p w14:paraId="413F55F4">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619" w:type="dxa"/>
            <w:noWrap w:val="0"/>
            <w:vAlign w:val="center"/>
          </w:tcPr>
          <w:p w14:paraId="0A16865B">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7C33D690">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82" w:type="dxa"/>
            <w:noWrap w:val="0"/>
            <w:vAlign w:val="center"/>
          </w:tcPr>
          <w:p w14:paraId="3CB2A286">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525" w:type="dxa"/>
            <w:noWrap w:val="0"/>
            <w:vAlign w:val="center"/>
          </w:tcPr>
          <w:p w14:paraId="63D4B209">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3E62D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12" w:type="dxa"/>
            <w:noWrap w:val="0"/>
            <w:vAlign w:val="center"/>
          </w:tcPr>
          <w:p w14:paraId="236A52B8">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12</w:t>
            </w:r>
          </w:p>
        </w:tc>
        <w:tc>
          <w:tcPr>
            <w:tcW w:w="987" w:type="dxa"/>
            <w:noWrap w:val="0"/>
            <w:vAlign w:val="center"/>
          </w:tcPr>
          <w:p w14:paraId="799359C6">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软件和信息技术服务业</w:t>
            </w:r>
          </w:p>
        </w:tc>
        <w:tc>
          <w:tcPr>
            <w:tcW w:w="735" w:type="dxa"/>
            <w:noWrap w:val="0"/>
            <w:vAlign w:val="center"/>
          </w:tcPr>
          <w:p w14:paraId="0E78F9FF">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≥10000</w:t>
            </w:r>
          </w:p>
        </w:tc>
        <w:tc>
          <w:tcPr>
            <w:tcW w:w="679" w:type="dxa"/>
            <w:noWrap w:val="0"/>
            <w:vAlign w:val="center"/>
          </w:tcPr>
          <w:p w14:paraId="062FA1E0">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579" w:type="dxa"/>
            <w:noWrap w:val="0"/>
            <w:vAlign w:val="center"/>
          </w:tcPr>
          <w:p w14:paraId="68B3C5D8">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14D4C8A8">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673" w:type="dxa"/>
            <w:noWrap w:val="0"/>
            <w:vAlign w:val="center"/>
          </w:tcPr>
          <w:p w14:paraId="4B7D140D">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5" w:type="dxa"/>
            <w:noWrap w:val="0"/>
            <w:vAlign w:val="center"/>
          </w:tcPr>
          <w:p w14:paraId="28006F41">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6E44F736">
            <w:pPr>
              <w:jc w:val="center"/>
              <w:outlineLvl w:val="9"/>
              <w:rPr>
                <w:rFonts w:hint="eastAsia" w:ascii="宋体" w:hAnsi="宋体" w:eastAsia="宋体" w:cs="宋体"/>
                <w:color w:val="auto"/>
                <w:szCs w:val="21"/>
              </w:rPr>
            </w:pPr>
            <w:r>
              <w:rPr>
                <w:rFonts w:hint="eastAsia" w:ascii="宋体" w:hAnsi="宋体" w:eastAsia="宋体" w:cs="宋体"/>
                <w:color w:val="auto"/>
                <w:szCs w:val="21"/>
              </w:rPr>
              <w:t>≥50</w:t>
            </w:r>
          </w:p>
        </w:tc>
        <w:tc>
          <w:tcPr>
            <w:tcW w:w="714" w:type="dxa"/>
            <w:noWrap w:val="0"/>
            <w:vAlign w:val="center"/>
          </w:tcPr>
          <w:p w14:paraId="365A1E07">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619" w:type="dxa"/>
            <w:noWrap w:val="0"/>
            <w:vAlign w:val="center"/>
          </w:tcPr>
          <w:p w14:paraId="01B80554">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494E56D2">
            <w:pPr>
              <w:jc w:val="center"/>
              <w:outlineLvl w:val="9"/>
              <w:rPr>
                <w:rFonts w:hint="eastAsia" w:ascii="宋体" w:hAnsi="宋体" w:eastAsia="宋体" w:cs="宋体"/>
                <w:color w:val="auto"/>
                <w:szCs w:val="21"/>
              </w:rPr>
            </w:pPr>
            <w:r>
              <w:rPr>
                <w:rFonts w:hint="eastAsia" w:ascii="宋体" w:hAnsi="宋体" w:eastAsia="宋体" w:cs="宋体"/>
                <w:color w:val="auto"/>
                <w:szCs w:val="21"/>
              </w:rPr>
              <w:t>＜50</w:t>
            </w:r>
          </w:p>
        </w:tc>
        <w:tc>
          <w:tcPr>
            <w:tcW w:w="682" w:type="dxa"/>
            <w:noWrap w:val="0"/>
            <w:vAlign w:val="center"/>
          </w:tcPr>
          <w:p w14:paraId="3FB72B61">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525" w:type="dxa"/>
            <w:noWrap w:val="0"/>
            <w:vAlign w:val="center"/>
          </w:tcPr>
          <w:p w14:paraId="0E140FD5">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4F390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512" w:type="dxa"/>
            <w:noWrap w:val="0"/>
            <w:vAlign w:val="center"/>
          </w:tcPr>
          <w:p w14:paraId="48C0B6DF">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13</w:t>
            </w:r>
          </w:p>
        </w:tc>
        <w:tc>
          <w:tcPr>
            <w:tcW w:w="987" w:type="dxa"/>
            <w:noWrap w:val="0"/>
            <w:vAlign w:val="center"/>
          </w:tcPr>
          <w:p w14:paraId="666C7CDB">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房地产开发经营</w:t>
            </w:r>
          </w:p>
        </w:tc>
        <w:tc>
          <w:tcPr>
            <w:tcW w:w="735" w:type="dxa"/>
            <w:noWrap w:val="0"/>
            <w:vAlign w:val="center"/>
          </w:tcPr>
          <w:p w14:paraId="481772A3">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≥200000</w:t>
            </w:r>
          </w:p>
        </w:tc>
        <w:tc>
          <w:tcPr>
            <w:tcW w:w="679" w:type="dxa"/>
            <w:noWrap w:val="0"/>
            <w:vAlign w:val="center"/>
          </w:tcPr>
          <w:p w14:paraId="104B1ECB">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579" w:type="dxa"/>
            <w:noWrap w:val="0"/>
            <w:vAlign w:val="center"/>
          </w:tcPr>
          <w:p w14:paraId="4DA1384A">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或,≥10000</w:t>
            </w:r>
          </w:p>
        </w:tc>
        <w:tc>
          <w:tcPr>
            <w:tcW w:w="679" w:type="dxa"/>
            <w:noWrap w:val="0"/>
            <w:vAlign w:val="center"/>
          </w:tcPr>
          <w:p w14:paraId="19AE6D7D">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673" w:type="dxa"/>
            <w:noWrap w:val="0"/>
            <w:vAlign w:val="center"/>
          </w:tcPr>
          <w:p w14:paraId="3A392269">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15" w:type="dxa"/>
            <w:noWrap w:val="0"/>
            <w:vAlign w:val="center"/>
          </w:tcPr>
          <w:p w14:paraId="57659305">
            <w:pPr>
              <w:jc w:val="center"/>
              <w:outlineLvl w:val="9"/>
              <w:rPr>
                <w:rFonts w:hint="eastAsia" w:ascii="宋体" w:hAnsi="宋体" w:eastAsia="宋体" w:cs="宋体"/>
                <w:color w:val="auto"/>
                <w:szCs w:val="21"/>
              </w:rPr>
            </w:pPr>
            <w:r>
              <w:rPr>
                <w:rFonts w:hint="eastAsia" w:ascii="宋体" w:hAnsi="宋体" w:eastAsia="宋体" w:cs="宋体"/>
                <w:color w:val="auto"/>
                <w:szCs w:val="21"/>
              </w:rPr>
              <w:t>且,≥5000</w:t>
            </w:r>
          </w:p>
        </w:tc>
        <w:tc>
          <w:tcPr>
            <w:tcW w:w="679" w:type="dxa"/>
            <w:noWrap w:val="0"/>
            <w:vAlign w:val="center"/>
          </w:tcPr>
          <w:p w14:paraId="1437C300">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714" w:type="dxa"/>
            <w:noWrap w:val="0"/>
            <w:vAlign w:val="center"/>
          </w:tcPr>
          <w:p w14:paraId="54128285">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19" w:type="dxa"/>
            <w:noWrap w:val="0"/>
            <w:vAlign w:val="center"/>
          </w:tcPr>
          <w:p w14:paraId="31E3FD90">
            <w:pPr>
              <w:jc w:val="center"/>
              <w:outlineLvl w:val="9"/>
              <w:rPr>
                <w:rFonts w:hint="eastAsia" w:ascii="宋体" w:hAnsi="宋体" w:eastAsia="宋体" w:cs="宋体"/>
                <w:color w:val="auto"/>
                <w:szCs w:val="21"/>
              </w:rPr>
            </w:pPr>
            <w:r>
              <w:rPr>
                <w:rFonts w:hint="eastAsia" w:ascii="宋体" w:hAnsi="宋体" w:eastAsia="宋体" w:cs="宋体"/>
                <w:color w:val="auto"/>
                <w:szCs w:val="21"/>
              </w:rPr>
              <w:t>且,≥2000</w:t>
            </w:r>
          </w:p>
        </w:tc>
        <w:tc>
          <w:tcPr>
            <w:tcW w:w="679" w:type="dxa"/>
            <w:noWrap w:val="0"/>
            <w:vAlign w:val="center"/>
          </w:tcPr>
          <w:p w14:paraId="454B91B3">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82" w:type="dxa"/>
            <w:noWrap w:val="0"/>
            <w:vAlign w:val="center"/>
          </w:tcPr>
          <w:p w14:paraId="2DB317E2">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525" w:type="dxa"/>
            <w:noWrap w:val="0"/>
            <w:vAlign w:val="center"/>
          </w:tcPr>
          <w:p w14:paraId="24229FFF">
            <w:pPr>
              <w:jc w:val="center"/>
              <w:outlineLvl w:val="9"/>
              <w:rPr>
                <w:rFonts w:hint="eastAsia" w:ascii="宋体" w:hAnsi="宋体" w:eastAsia="宋体" w:cs="宋体"/>
                <w:color w:val="auto"/>
                <w:szCs w:val="21"/>
              </w:rPr>
            </w:pPr>
            <w:r>
              <w:rPr>
                <w:rFonts w:hint="eastAsia" w:ascii="宋体" w:hAnsi="宋体" w:eastAsia="宋体" w:cs="宋体"/>
                <w:color w:val="auto"/>
                <w:szCs w:val="21"/>
              </w:rPr>
              <w:t>或,＜2000</w:t>
            </w:r>
          </w:p>
        </w:tc>
      </w:tr>
      <w:tr w14:paraId="6F85C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1F58ACEE">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14</w:t>
            </w:r>
          </w:p>
        </w:tc>
        <w:tc>
          <w:tcPr>
            <w:tcW w:w="987" w:type="dxa"/>
            <w:noWrap w:val="0"/>
            <w:vAlign w:val="center"/>
          </w:tcPr>
          <w:p w14:paraId="533EE3D7">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物业管理</w:t>
            </w:r>
          </w:p>
        </w:tc>
        <w:tc>
          <w:tcPr>
            <w:tcW w:w="735" w:type="dxa"/>
            <w:noWrap w:val="0"/>
            <w:vAlign w:val="center"/>
          </w:tcPr>
          <w:p w14:paraId="6986B74B">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≥5000</w:t>
            </w:r>
          </w:p>
        </w:tc>
        <w:tc>
          <w:tcPr>
            <w:tcW w:w="679" w:type="dxa"/>
            <w:noWrap w:val="0"/>
            <w:vAlign w:val="center"/>
          </w:tcPr>
          <w:p w14:paraId="2FBD0C88">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579" w:type="dxa"/>
            <w:noWrap w:val="0"/>
            <w:vAlign w:val="center"/>
          </w:tcPr>
          <w:p w14:paraId="0693FCB9">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78CAFB31">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673" w:type="dxa"/>
            <w:noWrap w:val="0"/>
            <w:vAlign w:val="center"/>
          </w:tcPr>
          <w:p w14:paraId="1BC44DCE">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615" w:type="dxa"/>
            <w:noWrap w:val="0"/>
            <w:vAlign w:val="center"/>
          </w:tcPr>
          <w:p w14:paraId="362B56C0">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31E86255">
            <w:pPr>
              <w:jc w:val="center"/>
              <w:outlineLvl w:val="9"/>
              <w:rPr>
                <w:rFonts w:hint="eastAsia" w:ascii="宋体" w:hAnsi="宋体" w:eastAsia="宋体" w:cs="宋体"/>
                <w:color w:val="auto"/>
                <w:szCs w:val="21"/>
              </w:rPr>
            </w:pPr>
            <w:r>
              <w:rPr>
                <w:rFonts w:hint="eastAsia" w:ascii="宋体" w:hAnsi="宋体" w:eastAsia="宋体" w:cs="宋体"/>
                <w:color w:val="auto"/>
                <w:szCs w:val="21"/>
              </w:rPr>
              <w:t>≥500</w:t>
            </w:r>
          </w:p>
        </w:tc>
        <w:tc>
          <w:tcPr>
            <w:tcW w:w="714" w:type="dxa"/>
            <w:noWrap w:val="0"/>
            <w:vAlign w:val="center"/>
          </w:tcPr>
          <w:p w14:paraId="185EE354">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9" w:type="dxa"/>
            <w:noWrap w:val="0"/>
            <w:vAlign w:val="center"/>
          </w:tcPr>
          <w:p w14:paraId="509B1BA5">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03495ECD">
            <w:pPr>
              <w:jc w:val="center"/>
              <w:outlineLvl w:val="9"/>
              <w:rPr>
                <w:rFonts w:hint="eastAsia" w:ascii="宋体" w:hAnsi="宋体" w:eastAsia="宋体" w:cs="宋体"/>
                <w:color w:val="auto"/>
                <w:szCs w:val="21"/>
              </w:rPr>
            </w:pPr>
            <w:r>
              <w:rPr>
                <w:rFonts w:hint="eastAsia" w:ascii="宋体" w:hAnsi="宋体" w:eastAsia="宋体" w:cs="宋体"/>
                <w:color w:val="auto"/>
                <w:szCs w:val="21"/>
              </w:rPr>
              <w:t>＜500</w:t>
            </w:r>
          </w:p>
        </w:tc>
        <w:tc>
          <w:tcPr>
            <w:tcW w:w="682" w:type="dxa"/>
            <w:noWrap w:val="0"/>
            <w:vAlign w:val="center"/>
          </w:tcPr>
          <w:p w14:paraId="2EB35B52">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525" w:type="dxa"/>
            <w:noWrap w:val="0"/>
            <w:vAlign w:val="center"/>
          </w:tcPr>
          <w:p w14:paraId="0AF23225">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51079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512" w:type="dxa"/>
            <w:noWrap w:val="0"/>
            <w:vAlign w:val="center"/>
          </w:tcPr>
          <w:p w14:paraId="79C32A9A">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15</w:t>
            </w:r>
          </w:p>
        </w:tc>
        <w:tc>
          <w:tcPr>
            <w:tcW w:w="987" w:type="dxa"/>
            <w:noWrap w:val="0"/>
            <w:vAlign w:val="center"/>
          </w:tcPr>
          <w:p w14:paraId="1FCFA9C1">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租赁和商务服务业</w:t>
            </w:r>
          </w:p>
        </w:tc>
        <w:tc>
          <w:tcPr>
            <w:tcW w:w="735" w:type="dxa"/>
            <w:noWrap w:val="0"/>
            <w:vAlign w:val="center"/>
          </w:tcPr>
          <w:p w14:paraId="2DD6BA36">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6245A233">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579" w:type="dxa"/>
            <w:noWrap w:val="0"/>
            <w:vAlign w:val="center"/>
          </w:tcPr>
          <w:p w14:paraId="0D6BDFA0">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或,≥120000</w:t>
            </w:r>
          </w:p>
        </w:tc>
        <w:tc>
          <w:tcPr>
            <w:tcW w:w="679" w:type="dxa"/>
            <w:noWrap w:val="0"/>
            <w:vAlign w:val="center"/>
          </w:tcPr>
          <w:p w14:paraId="58FB31C1">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3" w:type="dxa"/>
            <w:noWrap w:val="0"/>
            <w:vAlign w:val="center"/>
          </w:tcPr>
          <w:p w14:paraId="2C3C34C3">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5" w:type="dxa"/>
            <w:noWrap w:val="0"/>
            <w:vAlign w:val="center"/>
          </w:tcPr>
          <w:p w14:paraId="060AE806">
            <w:pPr>
              <w:jc w:val="center"/>
              <w:outlineLvl w:val="9"/>
              <w:rPr>
                <w:rFonts w:hint="eastAsia" w:ascii="宋体" w:hAnsi="宋体" w:eastAsia="宋体" w:cs="宋体"/>
                <w:color w:val="auto"/>
                <w:szCs w:val="21"/>
              </w:rPr>
            </w:pPr>
            <w:r>
              <w:rPr>
                <w:rFonts w:hint="eastAsia" w:ascii="宋体" w:hAnsi="宋体" w:eastAsia="宋体" w:cs="宋体"/>
                <w:color w:val="auto"/>
                <w:szCs w:val="21"/>
              </w:rPr>
              <w:t>且,≥8000</w:t>
            </w:r>
          </w:p>
        </w:tc>
        <w:tc>
          <w:tcPr>
            <w:tcW w:w="679" w:type="dxa"/>
            <w:noWrap w:val="0"/>
            <w:vAlign w:val="center"/>
          </w:tcPr>
          <w:p w14:paraId="7A5B9AEE">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714" w:type="dxa"/>
            <w:noWrap w:val="0"/>
            <w:vAlign w:val="center"/>
          </w:tcPr>
          <w:p w14:paraId="4A338164">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619" w:type="dxa"/>
            <w:noWrap w:val="0"/>
            <w:vAlign w:val="center"/>
          </w:tcPr>
          <w:p w14:paraId="04AF4471">
            <w:pPr>
              <w:jc w:val="center"/>
              <w:outlineLvl w:val="9"/>
              <w:rPr>
                <w:rFonts w:hint="eastAsia" w:ascii="宋体" w:hAnsi="宋体" w:eastAsia="宋体" w:cs="宋体"/>
                <w:color w:val="auto"/>
                <w:szCs w:val="21"/>
              </w:rPr>
            </w:pPr>
            <w:r>
              <w:rPr>
                <w:rFonts w:hint="eastAsia" w:ascii="宋体" w:hAnsi="宋体" w:eastAsia="宋体" w:cs="宋体"/>
                <w:color w:val="auto"/>
                <w:szCs w:val="21"/>
              </w:rPr>
              <w:t>且,≥100</w:t>
            </w:r>
          </w:p>
        </w:tc>
        <w:tc>
          <w:tcPr>
            <w:tcW w:w="679" w:type="dxa"/>
            <w:noWrap w:val="0"/>
            <w:vAlign w:val="center"/>
          </w:tcPr>
          <w:p w14:paraId="0938E8B9">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82" w:type="dxa"/>
            <w:noWrap w:val="0"/>
            <w:vAlign w:val="center"/>
          </w:tcPr>
          <w:p w14:paraId="17D91158">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525" w:type="dxa"/>
            <w:noWrap w:val="0"/>
            <w:vAlign w:val="center"/>
          </w:tcPr>
          <w:p w14:paraId="230E0A4B">
            <w:pPr>
              <w:jc w:val="center"/>
              <w:outlineLvl w:val="9"/>
              <w:rPr>
                <w:rFonts w:hint="eastAsia" w:ascii="宋体" w:hAnsi="宋体" w:eastAsia="宋体" w:cs="宋体"/>
                <w:color w:val="auto"/>
                <w:szCs w:val="21"/>
              </w:rPr>
            </w:pPr>
            <w:r>
              <w:rPr>
                <w:rFonts w:hint="eastAsia" w:ascii="宋体" w:hAnsi="宋体" w:eastAsia="宋体" w:cs="宋体"/>
                <w:color w:val="auto"/>
                <w:szCs w:val="21"/>
              </w:rPr>
              <w:t>或,＜100</w:t>
            </w:r>
          </w:p>
        </w:tc>
      </w:tr>
      <w:tr w14:paraId="0E026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12" w:type="dxa"/>
            <w:noWrap w:val="0"/>
            <w:vAlign w:val="center"/>
          </w:tcPr>
          <w:p w14:paraId="05BBAA69">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16</w:t>
            </w:r>
          </w:p>
        </w:tc>
        <w:tc>
          <w:tcPr>
            <w:tcW w:w="987" w:type="dxa"/>
            <w:noWrap w:val="0"/>
            <w:vAlign w:val="center"/>
          </w:tcPr>
          <w:p w14:paraId="3F5D0153">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其他未列明行业</w:t>
            </w:r>
          </w:p>
        </w:tc>
        <w:tc>
          <w:tcPr>
            <w:tcW w:w="735" w:type="dxa"/>
            <w:noWrap w:val="0"/>
            <w:vAlign w:val="center"/>
          </w:tcPr>
          <w:p w14:paraId="0ADEEBA4">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617CFD62">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579" w:type="dxa"/>
            <w:noWrap w:val="0"/>
            <w:vAlign w:val="center"/>
          </w:tcPr>
          <w:p w14:paraId="6521F836">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22DA9812">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3" w:type="dxa"/>
            <w:noWrap w:val="0"/>
            <w:vAlign w:val="center"/>
          </w:tcPr>
          <w:p w14:paraId="6B7B778D">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5" w:type="dxa"/>
            <w:noWrap w:val="0"/>
            <w:vAlign w:val="center"/>
          </w:tcPr>
          <w:p w14:paraId="450C2AD6">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36FC8C85">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714" w:type="dxa"/>
            <w:noWrap w:val="0"/>
            <w:vAlign w:val="center"/>
          </w:tcPr>
          <w:p w14:paraId="3F2DA210">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619" w:type="dxa"/>
            <w:noWrap w:val="0"/>
            <w:vAlign w:val="center"/>
          </w:tcPr>
          <w:p w14:paraId="0FF62F46">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08926D35">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82" w:type="dxa"/>
            <w:noWrap w:val="0"/>
            <w:vAlign w:val="center"/>
          </w:tcPr>
          <w:p w14:paraId="239E6912">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525" w:type="dxa"/>
            <w:noWrap w:val="0"/>
            <w:vAlign w:val="center"/>
          </w:tcPr>
          <w:p w14:paraId="4C42157E">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bl>
    <w:p w14:paraId="26839537">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p>
    <w:p w14:paraId="77AD2D2B">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2CEF8547">
      <w:pPr>
        <w:spacing w:before="182" w:line="220" w:lineRule="auto"/>
        <w:ind w:left="3332"/>
        <w:outlineLvl w:val="0"/>
        <w:rPr>
          <w:rFonts w:hint="eastAsia" w:ascii="宋体" w:hAnsi="宋体" w:eastAsia="宋体" w:cs="宋体"/>
          <w:color w:val="auto"/>
          <w:sz w:val="24"/>
          <w:szCs w:val="24"/>
        </w:rPr>
      </w:pPr>
      <w:bookmarkStart w:id="79" w:name="_Toc6463"/>
      <w:bookmarkStart w:id="80" w:name="_Toc805"/>
      <w:bookmarkStart w:id="81" w:name="_Toc12055"/>
      <w:r>
        <w:rPr>
          <w:rFonts w:hint="eastAsia" w:ascii="宋体" w:hAnsi="宋体" w:eastAsia="宋体" w:cs="宋体"/>
          <w:color w:val="auto"/>
          <w:sz w:val="24"/>
          <w:szCs w:val="24"/>
          <w14:textOutline w14:w="4358" w14:cap="sq" w14:cmpd="sng">
            <w14:solidFill>
              <w14:srgbClr w14:val="000000"/>
            </w14:solidFill>
            <w14:prstDash w14:val="solid"/>
            <w14:bevel/>
          </w14:textOutline>
        </w:rPr>
        <w:t>残疾人福利性单位声明函</w:t>
      </w:r>
      <w:bookmarkEnd w:id="79"/>
      <w:bookmarkEnd w:id="80"/>
      <w:bookmarkEnd w:id="81"/>
    </w:p>
    <w:p w14:paraId="2FA8CA6E">
      <w:pPr>
        <w:pStyle w:val="5"/>
        <w:spacing w:line="283" w:lineRule="auto"/>
        <w:outlineLvl w:val="9"/>
        <w:rPr>
          <w:rFonts w:hint="eastAsia" w:ascii="宋体" w:hAnsi="宋体" w:eastAsia="宋体" w:cs="宋体"/>
          <w:color w:val="auto"/>
        </w:rPr>
      </w:pPr>
    </w:p>
    <w:p w14:paraId="29F53765">
      <w:pPr>
        <w:pStyle w:val="5"/>
        <w:spacing w:line="283" w:lineRule="auto"/>
        <w:outlineLvl w:val="9"/>
        <w:rPr>
          <w:rFonts w:hint="eastAsia" w:ascii="宋体" w:hAnsi="宋体" w:eastAsia="宋体" w:cs="宋体"/>
          <w:color w:val="auto"/>
        </w:rPr>
      </w:pPr>
    </w:p>
    <w:p w14:paraId="5F4BFEAC">
      <w:pPr>
        <w:spacing w:before="78" w:line="465" w:lineRule="exact"/>
        <w:ind w:right="2"/>
        <w:jc w:val="right"/>
        <w:outlineLvl w:val="9"/>
        <w:rPr>
          <w:rFonts w:hint="eastAsia" w:ascii="宋体" w:hAnsi="宋体" w:eastAsia="宋体" w:cs="宋体"/>
          <w:color w:val="auto"/>
          <w:sz w:val="24"/>
          <w:szCs w:val="24"/>
        </w:rPr>
      </w:pPr>
      <w:r>
        <w:rPr>
          <w:rFonts w:hint="eastAsia" w:ascii="宋体" w:hAnsi="宋体" w:eastAsia="宋体" w:cs="宋体"/>
          <w:color w:val="auto"/>
          <w:spacing w:val="-4"/>
          <w:position w:val="17"/>
          <w:sz w:val="24"/>
          <w:szCs w:val="24"/>
        </w:rPr>
        <w:t>本单位郑重声明，根据《财政部</w:t>
      </w:r>
      <w:r>
        <w:rPr>
          <w:rFonts w:hint="eastAsia" w:ascii="宋体" w:hAnsi="宋体" w:eastAsia="宋体" w:cs="宋体"/>
          <w:color w:val="auto"/>
          <w:spacing w:val="38"/>
          <w:position w:val="17"/>
          <w:sz w:val="24"/>
          <w:szCs w:val="24"/>
        </w:rPr>
        <w:t xml:space="preserve"> </w:t>
      </w:r>
      <w:r>
        <w:rPr>
          <w:rFonts w:hint="eastAsia" w:ascii="宋体" w:hAnsi="宋体" w:eastAsia="宋体" w:cs="宋体"/>
          <w:color w:val="auto"/>
          <w:spacing w:val="-4"/>
          <w:position w:val="17"/>
          <w:sz w:val="24"/>
          <w:szCs w:val="24"/>
        </w:rPr>
        <w:t>民政部</w:t>
      </w:r>
      <w:r>
        <w:rPr>
          <w:rFonts w:hint="eastAsia" w:ascii="宋体" w:hAnsi="宋体" w:eastAsia="宋体" w:cs="宋体"/>
          <w:color w:val="auto"/>
          <w:spacing w:val="32"/>
          <w:position w:val="17"/>
          <w:sz w:val="24"/>
          <w:szCs w:val="24"/>
        </w:rPr>
        <w:t xml:space="preserve"> </w:t>
      </w:r>
      <w:r>
        <w:rPr>
          <w:rFonts w:hint="eastAsia" w:ascii="宋体" w:hAnsi="宋体" w:eastAsia="宋体" w:cs="宋体"/>
          <w:color w:val="auto"/>
          <w:spacing w:val="-4"/>
          <w:position w:val="17"/>
          <w:sz w:val="24"/>
          <w:szCs w:val="24"/>
        </w:rPr>
        <w:t>中国残疾人联合会关于促进残疾人就业政府</w:t>
      </w:r>
    </w:p>
    <w:p w14:paraId="77A03C26">
      <w:pPr>
        <w:spacing w:line="219"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采购政策的通知》（财库〔2017〕141号）的规定</w:t>
      </w:r>
      <w:r>
        <w:rPr>
          <w:rFonts w:hint="eastAsia" w:ascii="宋体" w:hAnsi="宋体" w:eastAsia="宋体" w:cs="宋体"/>
          <w:color w:val="auto"/>
          <w:spacing w:val="-1"/>
          <w:sz w:val="24"/>
          <w:szCs w:val="24"/>
        </w:rPr>
        <w:t>，本单位（请进行选择</w:t>
      </w:r>
      <w:r>
        <w:rPr>
          <w:rFonts w:hint="eastAsia" w:ascii="宋体" w:hAnsi="宋体" w:eastAsia="宋体" w:cs="宋体"/>
          <w:color w:val="auto"/>
          <w:sz w:val="24"/>
          <w:szCs w:val="24"/>
        </w:rPr>
        <w:t>）：</w:t>
      </w:r>
    </w:p>
    <w:p w14:paraId="4C7DD41C">
      <w:pPr>
        <w:spacing w:before="182" w:line="220" w:lineRule="auto"/>
        <w:ind w:left="505"/>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不属于符合条件的残疾人福利性单位。</w:t>
      </w:r>
    </w:p>
    <w:p w14:paraId="13DBC327">
      <w:pPr>
        <w:spacing w:before="182" w:line="359" w:lineRule="auto"/>
        <w:ind w:left="1" w:firstLine="503"/>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rPr>
        <w:t>□</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属于符合条件的残疾人福利性单位，</w:t>
      </w:r>
      <w:r>
        <w:rPr>
          <w:rFonts w:hint="eastAsia" w:ascii="宋体" w:hAnsi="宋体" w:eastAsia="宋体" w:cs="宋体"/>
          <w:color w:val="auto"/>
          <w:spacing w:val="-3"/>
          <w:sz w:val="24"/>
          <w:szCs w:val="24"/>
        </w:rPr>
        <w:t>且本单位参加</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102"/>
          <w:sz w:val="24"/>
          <w:szCs w:val="24"/>
        </w:rPr>
        <w:t xml:space="preserve"> </w:t>
      </w:r>
      <w:r>
        <w:rPr>
          <w:rFonts w:hint="eastAsia" w:ascii="宋体" w:hAnsi="宋体" w:eastAsia="宋体" w:cs="宋体"/>
          <w:color w:val="auto"/>
          <w:spacing w:val="-3"/>
          <w:sz w:val="24"/>
          <w:szCs w:val="24"/>
        </w:rPr>
        <w:t>单位的</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107"/>
          <w:sz w:val="24"/>
          <w:szCs w:val="24"/>
        </w:rPr>
        <w:t xml:space="preserve"> </w:t>
      </w:r>
      <w:r>
        <w:rPr>
          <w:rFonts w:hint="eastAsia" w:ascii="宋体" w:hAnsi="宋体" w:eastAsia="宋体" w:cs="宋体"/>
          <w:color w:val="auto"/>
          <w:spacing w:val="-3"/>
          <w:sz w:val="24"/>
          <w:szCs w:val="24"/>
        </w:rPr>
        <w:t>项目采购活</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动提供本单位制造的货物（由本单位承担工程/提供货物</w:t>
      </w:r>
      <w:r>
        <w:rPr>
          <w:rFonts w:hint="eastAsia" w:ascii="宋体" w:hAnsi="宋体" w:eastAsia="宋体" w:cs="宋体"/>
          <w:color w:val="auto"/>
          <w:spacing w:val="8"/>
          <w:sz w:val="24"/>
          <w:szCs w:val="24"/>
        </w:rPr>
        <w:t>），</w:t>
      </w:r>
      <w:r>
        <w:rPr>
          <w:rFonts w:hint="eastAsia" w:ascii="宋体" w:hAnsi="宋体" w:eastAsia="宋体" w:cs="宋体"/>
          <w:color w:val="auto"/>
          <w:spacing w:val="1"/>
          <w:sz w:val="24"/>
          <w:szCs w:val="24"/>
        </w:rPr>
        <w:t>或者提供其他</w:t>
      </w:r>
      <w:r>
        <w:rPr>
          <w:rFonts w:hint="eastAsia" w:ascii="宋体" w:hAnsi="宋体" w:eastAsia="宋体" w:cs="宋体"/>
          <w:color w:val="auto"/>
          <w:sz w:val="24"/>
          <w:szCs w:val="24"/>
        </w:rPr>
        <w:t>残疾人福利性</w:t>
      </w:r>
    </w:p>
    <w:p w14:paraId="45485EC8">
      <w:pPr>
        <w:spacing w:line="219" w:lineRule="auto"/>
        <w:ind w:left="2"/>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单位制造的货物（不包括使用非残疾人福利性单位注册商标的货物）。</w:t>
      </w:r>
    </w:p>
    <w:p w14:paraId="3DAB5646">
      <w:pPr>
        <w:spacing w:before="181" w:line="219" w:lineRule="auto"/>
        <w:ind w:left="48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本单位对上述声明的真实性负责。如有虚假，将依法承担相应责任。</w:t>
      </w:r>
    </w:p>
    <w:p w14:paraId="18498055">
      <w:pPr>
        <w:pStyle w:val="5"/>
        <w:spacing w:line="249" w:lineRule="auto"/>
        <w:outlineLvl w:val="9"/>
        <w:rPr>
          <w:rFonts w:hint="eastAsia" w:ascii="宋体" w:hAnsi="宋体" w:eastAsia="宋体" w:cs="宋体"/>
          <w:color w:val="auto"/>
        </w:rPr>
      </w:pPr>
    </w:p>
    <w:p w14:paraId="5A9AFB53">
      <w:pPr>
        <w:pStyle w:val="5"/>
        <w:spacing w:line="249" w:lineRule="auto"/>
        <w:outlineLvl w:val="9"/>
        <w:rPr>
          <w:rFonts w:hint="eastAsia" w:ascii="宋体" w:hAnsi="宋体" w:eastAsia="宋体" w:cs="宋体"/>
          <w:color w:val="auto"/>
        </w:rPr>
      </w:pPr>
    </w:p>
    <w:p w14:paraId="66A4D017">
      <w:pPr>
        <w:pStyle w:val="5"/>
        <w:spacing w:line="249" w:lineRule="auto"/>
        <w:outlineLvl w:val="9"/>
        <w:rPr>
          <w:rFonts w:hint="eastAsia" w:ascii="宋体" w:hAnsi="宋体" w:eastAsia="宋体" w:cs="宋体"/>
          <w:color w:val="auto"/>
        </w:rPr>
      </w:pPr>
    </w:p>
    <w:p w14:paraId="3C323B2F">
      <w:pPr>
        <w:pStyle w:val="5"/>
        <w:spacing w:line="249" w:lineRule="auto"/>
        <w:outlineLvl w:val="9"/>
        <w:rPr>
          <w:rFonts w:hint="eastAsia" w:ascii="宋体" w:hAnsi="宋体" w:eastAsia="宋体" w:cs="宋体"/>
          <w:color w:val="auto"/>
        </w:rPr>
      </w:pPr>
    </w:p>
    <w:p w14:paraId="1D42E0F6">
      <w:pPr>
        <w:pStyle w:val="5"/>
        <w:spacing w:line="249" w:lineRule="auto"/>
        <w:outlineLvl w:val="9"/>
        <w:rPr>
          <w:rFonts w:hint="eastAsia" w:ascii="宋体" w:hAnsi="宋体" w:eastAsia="宋体" w:cs="宋体"/>
          <w:color w:val="auto"/>
        </w:rPr>
      </w:pPr>
    </w:p>
    <w:p w14:paraId="4B7053EB">
      <w:pPr>
        <w:pStyle w:val="5"/>
        <w:spacing w:line="250" w:lineRule="auto"/>
        <w:outlineLvl w:val="9"/>
        <w:rPr>
          <w:rFonts w:hint="eastAsia" w:ascii="宋体" w:hAnsi="宋体" w:eastAsia="宋体" w:cs="宋体"/>
          <w:color w:val="auto"/>
        </w:rPr>
      </w:pPr>
    </w:p>
    <w:p w14:paraId="6647C49E">
      <w:pPr>
        <w:spacing w:before="78" w:line="219" w:lineRule="auto"/>
        <w:ind w:left="483"/>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投标人名称（盖章</w:t>
      </w:r>
      <w:r>
        <w:rPr>
          <w:rFonts w:hint="eastAsia" w:ascii="宋体" w:hAnsi="宋体" w:eastAsia="宋体" w:cs="宋体"/>
          <w:color w:val="auto"/>
          <w:spacing w:val="1"/>
          <w:sz w:val="24"/>
          <w:szCs w:val="24"/>
        </w:rPr>
        <w:t>）：</w:t>
      </w:r>
    </w:p>
    <w:p w14:paraId="2BB2A6C2">
      <w:pPr>
        <w:spacing w:before="183" w:line="466" w:lineRule="exact"/>
        <w:ind w:left="481"/>
        <w:outlineLvl w:val="9"/>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法定代表人（单位负责人）</w:t>
      </w:r>
    </w:p>
    <w:p w14:paraId="5F783B01">
      <w:pPr>
        <w:spacing w:line="220" w:lineRule="auto"/>
        <w:ind w:left="483"/>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或授权代表（签字</w:t>
      </w:r>
      <w:r>
        <w:rPr>
          <w:rFonts w:hint="eastAsia" w:ascii="宋体" w:hAnsi="宋体" w:eastAsia="宋体" w:cs="宋体"/>
          <w:color w:val="auto"/>
          <w:spacing w:val="1"/>
          <w:sz w:val="24"/>
          <w:szCs w:val="24"/>
        </w:rPr>
        <w:t>）：</w:t>
      </w:r>
    </w:p>
    <w:p w14:paraId="5CDB5A8A">
      <w:pPr>
        <w:pStyle w:val="5"/>
        <w:spacing w:line="257" w:lineRule="auto"/>
        <w:outlineLvl w:val="9"/>
        <w:rPr>
          <w:rFonts w:hint="eastAsia" w:ascii="宋体" w:hAnsi="宋体" w:eastAsia="宋体" w:cs="宋体"/>
          <w:color w:val="auto"/>
        </w:rPr>
      </w:pPr>
    </w:p>
    <w:p w14:paraId="64F1A55B">
      <w:pPr>
        <w:pStyle w:val="5"/>
        <w:spacing w:line="258" w:lineRule="auto"/>
        <w:outlineLvl w:val="9"/>
        <w:rPr>
          <w:rFonts w:hint="eastAsia" w:ascii="宋体" w:hAnsi="宋体" w:eastAsia="宋体" w:cs="宋体"/>
          <w:color w:val="auto"/>
        </w:rPr>
      </w:pPr>
    </w:p>
    <w:p w14:paraId="55CDE54C">
      <w:pPr>
        <w:pStyle w:val="5"/>
        <w:spacing w:line="258" w:lineRule="auto"/>
        <w:outlineLvl w:val="9"/>
        <w:rPr>
          <w:rFonts w:hint="eastAsia" w:ascii="宋体" w:hAnsi="宋体" w:eastAsia="宋体" w:cs="宋体"/>
          <w:color w:val="auto"/>
        </w:rPr>
      </w:pPr>
    </w:p>
    <w:p w14:paraId="34A60CAE">
      <w:pPr>
        <w:pStyle w:val="5"/>
        <w:spacing w:line="258" w:lineRule="auto"/>
        <w:outlineLvl w:val="9"/>
        <w:rPr>
          <w:rFonts w:hint="eastAsia" w:ascii="宋体" w:hAnsi="宋体" w:eastAsia="宋体" w:cs="宋体"/>
          <w:color w:val="auto"/>
        </w:rPr>
      </w:pPr>
    </w:p>
    <w:p w14:paraId="28FDE622">
      <w:pPr>
        <w:spacing w:before="78" w:line="220" w:lineRule="auto"/>
        <w:ind w:left="522"/>
        <w:outlineLvl w:val="9"/>
        <w:rPr>
          <w:rFonts w:hint="eastAsia" w:ascii="宋体" w:hAnsi="宋体" w:eastAsia="宋体" w:cs="宋体"/>
          <w:color w:val="auto"/>
          <w:spacing w:val="-9"/>
          <w:sz w:val="24"/>
          <w:szCs w:val="24"/>
        </w:rPr>
      </w:pPr>
      <w:r>
        <w:rPr>
          <w:rFonts w:hint="eastAsia" w:ascii="宋体" w:hAnsi="宋体" w:eastAsia="宋体" w:cs="宋体"/>
          <w:color w:val="auto"/>
          <w:spacing w:val="-9"/>
          <w:sz w:val="24"/>
          <w:szCs w:val="24"/>
        </w:rPr>
        <w:t>日期:年月日</w:t>
      </w:r>
    </w:p>
    <w:p w14:paraId="5571F184">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1E1242E8">
      <w:pPr>
        <w:spacing w:before="181" w:line="466" w:lineRule="exact"/>
        <w:ind w:left="1165"/>
        <w:outlineLvl w:val="9"/>
        <w:rPr>
          <w:rFonts w:hint="eastAsia" w:ascii="宋体" w:hAnsi="宋体" w:eastAsia="宋体" w:cs="宋体"/>
          <w:color w:val="auto"/>
          <w:sz w:val="24"/>
          <w:szCs w:val="24"/>
        </w:rPr>
      </w:pPr>
      <w:r>
        <w:rPr>
          <w:rFonts w:hint="eastAsia" w:ascii="宋体" w:hAnsi="宋体" w:eastAsia="宋体" w:cs="宋体"/>
          <w:color w:val="auto"/>
          <w:position w:val="17"/>
          <w:sz w:val="24"/>
          <w:szCs w:val="24"/>
          <w14:textOutline w14:w="4358" w14:cap="sq" w14:cmpd="sng">
            <w14:solidFill>
              <w14:srgbClr w14:val="000000"/>
            </w14:solidFill>
            <w14:prstDash w14:val="solid"/>
            <w14:bevel/>
          </w14:textOutline>
        </w:rPr>
        <w:t>省级以上监狱管理局、戒毒管理局（含新疆生产建设兵团）出具的</w:t>
      </w:r>
    </w:p>
    <w:p w14:paraId="6E9181CC">
      <w:pPr>
        <w:spacing w:line="220" w:lineRule="auto"/>
        <w:ind w:left="3333"/>
        <w:outlineLvl w:val="0"/>
        <w:rPr>
          <w:rFonts w:hint="eastAsia" w:ascii="宋体" w:hAnsi="宋体" w:eastAsia="宋体" w:cs="宋体"/>
          <w:color w:val="auto"/>
          <w:sz w:val="24"/>
          <w:szCs w:val="24"/>
        </w:rPr>
      </w:pPr>
      <w:bookmarkStart w:id="82" w:name="_Toc18630"/>
      <w:bookmarkStart w:id="83" w:name="_Toc15465"/>
      <w:bookmarkStart w:id="84" w:name="_Toc897"/>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属于监狱企业的证明文件</w:t>
      </w:r>
      <w:bookmarkEnd w:id="82"/>
      <w:bookmarkEnd w:id="83"/>
      <w:bookmarkEnd w:id="84"/>
    </w:p>
    <w:p w14:paraId="60E12D12">
      <w:pPr>
        <w:spacing w:before="182" w:line="219" w:lineRule="auto"/>
        <w:ind w:left="3700"/>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rPr>
        <w:t>（如果是，提供）</w:t>
      </w:r>
    </w:p>
    <w:p w14:paraId="5EA63BAA">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45ABABE2">
      <w:pPr>
        <w:spacing w:before="48" w:line="220" w:lineRule="auto"/>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格式十：类似业绩一览表</w:t>
      </w:r>
    </w:p>
    <w:p w14:paraId="41C6E716">
      <w:pPr>
        <w:spacing w:before="48" w:line="220" w:lineRule="auto"/>
        <w:outlineLvl w:val="9"/>
        <w:rPr>
          <w:rFonts w:hint="eastAsia" w:ascii="宋体" w:hAnsi="宋体" w:eastAsia="宋体" w:cs="宋体"/>
          <w:color w:val="auto"/>
          <w:sz w:val="24"/>
          <w:szCs w:val="24"/>
        </w:rPr>
      </w:pPr>
    </w:p>
    <w:tbl>
      <w:tblPr>
        <w:tblStyle w:val="17"/>
        <w:tblW w:w="9296"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0"/>
        <w:gridCol w:w="1840"/>
        <w:gridCol w:w="1412"/>
        <w:gridCol w:w="1663"/>
        <w:gridCol w:w="1562"/>
        <w:gridCol w:w="1590"/>
        <w:gridCol w:w="669"/>
      </w:tblGrid>
      <w:tr w14:paraId="20717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560" w:type="dxa"/>
            <w:noWrap w:val="0"/>
            <w:textDirection w:val="tbRlV"/>
            <w:vAlign w:val="center"/>
          </w:tcPr>
          <w:p w14:paraId="395FF9B9">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840" w:type="dxa"/>
            <w:noWrap w:val="0"/>
            <w:vAlign w:val="center"/>
          </w:tcPr>
          <w:p w14:paraId="5893C39A">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1412" w:type="dxa"/>
            <w:noWrap w:val="0"/>
            <w:vAlign w:val="center"/>
          </w:tcPr>
          <w:p w14:paraId="367CCA4B">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服务时间</w:t>
            </w:r>
          </w:p>
        </w:tc>
        <w:tc>
          <w:tcPr>
            <w:tcW w:w="1663" w:type="dxa"/>
            <w:noWrap w:val="0"/>
            <w:vAlign w:val="center"/>
          </w:tcPr>
          <w:p w14:paraId="74B5249F">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w:t>
            </w:r>
            <w:r>
              <w:rPr>
                <w:rFonts w:hint="eastAsia" w:ascii="宋体" w:hAnsi="宋体" w:eastAsia="宋体" w:cs="宋体"/>
                <w:color w:val="auto"/>
                <w:sz w:val="24"/>
                <w:szCs w:val="24"/>
                <w:lang w:val="en-US"/>
              </w:rPr>
              <w:t>金额</w:t>
            </w:r>
          </w:p>
        </w:tc>
        <w:tc>
          <w:tcPr>
            <w:tcW w:w="1562" w:type="dxa"/>
            <w:noWrap w:val="0"/>
            <w:vAlign w:val="center"/>
          </w:tcPr>
          <w:p w14:paraId="16C0E845">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委托单位</w:t>
            </w:r>
          </w:p>
        </w:tc>
        <w:tc>
          <w:tcPr>
            <w:tcW w:w="1590" w:type="dxa"/>
            <w:noWrap w:val="0"/>
            <w:vAlign w:val="center"/>
          </w:tcPr>
          <w:p w14:paraId="0D81F33B">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委托事项</w:t>
            </w:r>
          </w:p>
        </w:tc>
        <w:tc>
          <w:tcPr>
            <w:tcW w:w="669" w:type="dxa"/>
            <w:noWrap w:val="0"/>
            <w:vAlign w:val="center"/>
          </w:tcPr>
          <w:p w14:paraId="46B9966A">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6DCDB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noWrap w:val="0"/>
            <w:vAlign w:val="center"/>
          </w:tcPr>
          <w:p w14:paraId="32541E8D">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840" w:type="dxa"/>
            <w:noWrap w:val="0"/>
            <w:vAlign w:val="center"/>
          </w:tcPr>
          <w:p w14:paraId="09B5DB7D">
            <w:pPr>
              <w:bidi w:val="0"/>
              <w:jc w:val="center"/>
              <w:rPr>
                <w:rFonts w:hint="eastAsia" w:ascii="宋体" w:hAnsi="宋体" w:eastAsia="宋体" w:cs="宋体"/>
                <w:color w:val="auto"/>
                <w:sz w:val="24"/>
                <w:szCs w:val="24"/>
              </w:rPr>
            </w:pPr>
          </w:p>
        </w:tc>
        <w:tc>
          <w:tcPr>
            <w:tcW w:w="1412" w:type="dxa"/>
            <w:noWrap w:val="0"/>
            <w:vAlign w:val="center"/>
          </w:tcPr>
          <w:p w14:paraId="670B044E">
            <w:pPr>
              <w:bidi w:val="0"/>
              <w:jc w:val="center"/>
              <w:rPr>
                <w:rFonts w:hint="eastAsia" w:ascii="宋体" w:hAnsi="宋体" w:eastAsia="宋体" w:cs="宋体"/>
                <w:color w:val="auto"/>
                <w:sz w:val="24"/>
                <w:szCs w:val="24"/>
              </w:rPr>
            </w:pPr>
          </w:p>
        </w:tc>
        <w:tc>
          <w:tcPr>
            <w:tcW w:w="1663" w:type="dxa"/>
            <w:noWrap w:val="0"/>
            <w:vAlign w:val="center"/>
          </w:tcPr>
          <w:p w14:paraId="7FD5B8DA">
            <w:pPr>
              <w:bidi w:val="0"/>
              <w:jc w:val="center"/>
              <w:rPr>
                <w:rFonts w:hint="eastAsia" w:ascii="宋体" w:hAnsi="宋体" w:eastAsia="宋体" w:cs="宋体"/>
                <w:color w:val="auto"/>
                <w:sz w:val="24"/>
                <w:szCs w:val="24"/>
              </w:rPr>
            </w:pPr>
          </w:p>
        </w:tc>
        <w:tc>
          <w:tcPr>
            <w:tcW w:w="1562" w:type="dxa"/>
            <w:noWrap w:val="0"/>
            <w:vAlign w:val="center"/>
          </w:tcPr>
          <w:p w14:paraId="7302B327">
            <w:pPr>
              <w:bidi w:val="0"/>
              <w:jc w:val="center"/>
              <w:rPr>
                <w:rFonts w:hint="eastAsia" w:ascii="宋体" w:hAnsi="宋体" w:eastAsia="宋体" w:cs="宋体"/>
                <w:color w:val="auto"/>
                <w:sz w:val="24"/>
                <w:szCs w:val="24"/>
              </w:rPr>
            </w:pPr>
          </w:p>
        </w:tc>
        <w:tc>
          <w:tcPr>
            <w:tcW w:w="1590" w:type="dxa"/>
            <w:noWrap w:val="0"/>
            <w:vAlign w:val="center"/>
          </w:tcPr>
          <w:p w14:paraId="7D9F2638">
            <w:pPr>
              <w:bidi w:val="0"/>
              <w:jc w:val="center"/>
              <w:rPr>
                <w:rFonts w:hint="eastAsia" w:ascii="宋体" w:hAnsi="宋体" w:eastAsia="宋体" w:cs="宋体"/>
                <w:color w:val="auto"/>
                <w:sz w:val="24"/>
                <w:szCs w:val="24"/>
              </w:rPr>
            </w:pPr>
          </w:p>
        </w:tc>
        <w:tc>
          <w:tcPr>
            <w:tcW w:w="669" w:type="dxa"/>
            <w:noWrap w:val="0"/>
            <w:vAlign w:val="center"/>
          </w:tcPr>
          <w:p w14:paraId="3B603EF6">
            <w:pPr>
              <w:bidi w:val="0"/>
              <w:jc w:val="center"/>
              <w:rPr>
                <w:rFonts w:hint="eastAsia" w:ascii="宋体" w:hAnsi="宋体" w:eastAsia="宋体" w:cs="宋体"/>
                <w:color w:val="auto"/>
                <w:sz w:val="24"/>
                <w:szCs w:val="24"/>
              </w:rPr>
            </w:pPr>
          </w:p>
        </w:tc>
      </w:tr>
      <w:tr w14:paraId="7EF84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noWrap w:val="0"/>
            <w:vAlign w:val="center"/>
          </w:tcPr>
          <w:p w14:paraId="4C1FA659">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840" w:type="dxa"/>
            <w:noWrap w:val="0"/>
            <w:vAlign w:val="center"/>
          </w:tcPr>
          <w:p w14:paraId="7F8DDFD3">
            <w:pPr>
              <w:bidi w:val="0"/>
              <w:jc w:val="center"/>
              <w:rPr>
                <w:rFonts w:hint="eastAsia" w:ascii="宋体" w:hAnsi="宋体" w:eastAsia="宋体" w:cs="宋体"/>
                <w:color w:val="auto"/>
                <w:sz w:val="24"/>
                <w:szCs w:val="24"/>
              </w:rPr>
            </w:pPr>
          </w:p>
        </w:tc>
        <w:tc>
          <w:tcPr>
            <w:tcW w:w="1412" w:type="dxa"/>
            <w:noWrap w:val="0"/>
            <w:vAlign w:val="center"/>
          </w:tcPr>
          <w:p w14:paraId="1FC1A934">
            <w:pPr>
              <w:bidi w:val="0"/>
              <w:jc w:val="center"/>
              <w:rPr>
                <w:rFonts w:hint="eastAsia" w:ascii="宋体" w:hAnsi="宋体" w:eastAsia="宋体" w:cs="宋体"/>
                <w:color w:val="auto"/>
                <w:sz w:val="24"/>
                <w:szCs w:val="24"/>
              </w:rPr>
            </w:pPr>
          </w:p>
        </w:tc>
        <w:tc>
          <w:tcPr>
            <w:tcW w:w="1663" w:type="dxa"/>
            <w:noWrap w:val="0"/>
            <w:vAlign w:val="center"/>
          </w:tcPr>
          <w:p w14:paraId="1690C5D3">
            <w:pPr>
              <w:bidi w:val="0"/>
              <w:jc w:val="center"/>
              <w:rPr>
                <w:rFonts w:hint="eastAsia" w:ascii="宋体" w:hAnsi="宋体" w:eastAsia="宋体" w:cs="宋体"/>
                <w:color w:val="auto"/>
                <w:sz w:val="24"/>
                <w:szCs w:val="24"/>
              </w:rPr>
            </w:pPr>
          </w:p>
        </w:tc>
        <w:tc>
          <w:tcPr>
            <w:tcW w:w="1562" w:type="dxa"/>
            <w:noWrap w:val="0"/>
            <w:vAlign w:val="center"/>
          </w:tcPr>
          <w:p w14:paraId="2739AAD7">
            <w:pPr>
              <w:bidi w:val="0"/>
              <w:jc w:val="center"/>
              <w:rPr>
                <w:rFonts w:hint="eastAsia" w:ascii="宋体" w:hAnsi="宋体" w:eastAsia="宋体" w:cs="宋体"/>
                <w:color w:val="auto"/>
                <w:sz w:val="24"/>
                <w:szCs w:val="24"/>
              </w:rPr>
            </w:pPr>
          </w:p>
        </w:tc>
        <w:tc>
          <w:tcPr>
            <w:tcW w:w="1590" w:type="dxa"/>
            <w:noWrap w:val="0"/>
            <w:vAlign w:val="center"/>
          </w:tcPr>
          <w:p w14:paraId="15399FB6">
            <w:pPr>
              <w:bidi w:val="0"/>
              <w:jc w:val="center"/>
              <w:rPr>
                <w:rFonts w:hint="eastAsia" w:ascii="宋体" w:hAnsi="宋体" w:eastAsia="宋体" w:cs="宋体"/>
                <w:color w:val="auto"/>
                <w:sz w:val="24"/>
                <w:szCs w:val="24"/>
              </w:rPr>
            </w:pPr>
          </w:p>
        </w:tc>
        <w:tc>
          <w:tcPr>
            <w:tcW w:w="669" w:type="dxa"/>
            <w:noWrap w:val="0"/>
            <w:vAlign w:val="center"/>
          </w:tcPr>
          <w:p w14:paraId="32512C2F">
            <w:pPr>
              <w:bidi w:val="0"/>
              <w:jc w:val="center"/>
              <w:rPr>
                <w:rFonts w:hint="eastAsia" w:ascii="宋体" w:hAnsi="宋体" w:eastAsia="宋体" w:cs="宋体"/>
                <w:color w:val="auto"/>
                <w:sz w:val="24"/>
                <w:szCs w:val="24"/>
              </w:rPr>
            </w:pPr>
          </w:p>
        </w:tc>
      </w:tr>
      <w:tr w14:paraId="4FDA04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noWrap w:val="0"/>
            <w:vAlign w:val="center"/>
          </w:tcPr>
          <w:p w14:paraId="399BFCAA">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840" w:type="dxa"/>
            <w:noWrap w:val="0"/>
            <w:vAlign w:val="center"/>
          </w:tcPr>
          <w:p w14:paraId="47E34011">
            <w:pPr>
              <w:bidi w:val="0"/>
              <w:jc w:val="center"/>
              <w:rPr>
                <w:rFonts w:hint="eastAsia" w:ascii="宋体" w:hAnsi="宋体" w:eastAsia="宋体" w:cs="宋体"/>
                <w:color w:val="auto"/>
                <w:sz w:val="24"/>
                <w:szCs w:val="24"/>
              </w:rPr>
            </w:pPr>
          </w:p>
        </w:tc>
        <w:tc>
          <w:tcPr>
            <w:tcW w:w="1412" w:type="dxa"/>
            <w:noWrap w:val="0"/>
            <w:vAlign w:val="center"/>
          </w:tcPr>
          <w:p w14:paraId="72421486">
            <w:pPr>
              <w:bidi w:val="0"/>
              <w:jc w:val="center"/>
              <w:rPr>
                <w:rFonts w:hint="eastAsia" w:ascii="宋体" w:hAnsi="宋体" w:eastAsia="宋体" w:cs="宋体"/>
                <w:color w:val="auto"/>
                <w:sz w:val="24"/>
                <w:szCs w:val="24"/>
              </w:rPr>
            </w:pPr>
          </w:p>
        </w:tc>
        <w:tc>
          <w:tcPr>
            <w:tcW w:w="1663" w:type="dxa"/>
            <w:noWrap w:val="0"/>
            <w:vAlign w:val="center"/>
          </w:tcPr>
          <w:p w14:paraId="1D27C1BA">
            <w:pPr>
              <w:bidi w:val="0"/>
              <w:jc w:val="center"/>
              <w:rPr>
                <w:rFonts w:hint="eastAsia" w:ascii="宋体" w:hAnsi="宋体" w:eastAsia="宋体" w:cs="宋体"/>
                <w:color w:val="auto"/>
                <w:sz w:val="24"/>
                <w:szCs w:val="24"/>
              </w:rPr>
            </w:pPr>
          </w:p>
        </w:tc>
        <w:tc>
          <w:tcPr>
            <w:tcW w:w="1562" w:type="dxa"/>
            <w:noWrap w:val="0"/>
            <w:vAlign w:val="center"/>
          </w:tcPr>
          <w:p w14:paraId="7FCE2D25">
            <w:pPr>
              <w:bidi w:val="0"/>
              <w:jc w:val="center"/>
              <w:rPr>
                <w:rFonts w:hint="eastAsia" w:ascii="宋体" w:hAnsi="宋体" w:eastAsia="宋体" w:cs="宋体"/>
                <w:color w:val="auto"/>
                <w:sz w:val="24"/>
                <w:szCs w:val="24"/>
              </w:rPr>
            </w:pPr>
          </w:p>
        </w:tc>
        <w:tc>
          <w:tcPr>
            <w:tcW w:w="1590" w:type="dxa"/>
            <w:noWrap w:val="0"/>
            <w:vAlign w:val="center"/>
          </w:tcPr>
          <w:p w14:paraId="73B01A2C">
            <w:pPr>
              <w:bidi w:val="0"/>
              <w:jc w:val="center"/>
              <w:rPr>
                <w:rFonts w:hint="eastAsia" w:ascii="宋体" w:hAnsi="宋体" w:eastAsia="宋体" w:cs="宋体"/>
                <w:color w:val="auto"/>
                <w:sz w:val="24"/>
                <w:szCs w:val="24"/>
              </w:rPr>
            </w:pPr>
          </w:p>
        </w:tc>
        <w:tc>
          <w:tcPr>
            <w:tcW w:w="669" w:type="dxa"/>
            <w:noWrap w:val="0"/>
            <w:vAlign w:val="center"/>
          </w:tcPr>
          <w:p w14:paraId="6888FD75">
            <w:pPr>
              <w:bidi w:val="0"/>
              <w:jc w:val="center"/>
              <w:rPr>
                <w:rFonts w:hint="eastAsia" w:ascii="宋体" w:hAnsi="宋体" w:eastAsia="宋体" w:cs="宋体"/>
                <w:color w:val="auto"/>
                <w:sz w:val="24"/>
                <w:szCs w:val="24"/>
              </w:rPr>
            </w:pPr>
          </w:p>
        </w:tc>
      </w:tr>
      <w:tr w14:paraId="6AE86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noWrap w:val="0"/>
            <w:vAlign w:val="center"/>
          </w:tcPr>
          <w:p w14:paraId="671397D7">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840" w:type="dxa"/>
            <w:noWrap w:val="0"/>
            <w:vAlign w:val="center"/>
          </w:tcPr>
          <w:p w14:paraId="23537BFE">
            <w:pPr>
              <w:bidi w:val="0"/>
              <w:jc w:val="center"/>
              <w:rPr>
                <w:rFonts w:hint="eastAsia" w:ascii="宋体" w:hAnsi="宋体" w:eastAsia="宋体" w:cs="宋体"/>
                <w:color w:val="auto"/>
                <w:sz w:val="24"/>
                <w:szCs w:val="24"/>
              </w:rPr>
            </w:pPr>
          </w:p>
        </w:tc>
        <w:tc>
          <w:tcPr>
            <w:tcW w:w="1412" w:type="dxa"/>
            <w:noWrap w:val="0"/>
            <w:vAlign w:val="center"/>
          </w:tcPr>
          <w:p w14:paraId="7D7FACE8">
            <w:pPr>
              <w:bidi w:val="0"/>
              <w:jc w:val="center"/>
              <w:rPr>
                <w:rFonts w:hint="eastAsia" w:ascii="宋体" w:hAnsi="宋体" w:eastAsia="宋体" w:cs="宋体"/>
                <w:color w:val="auto"/>
                <w:sz w:val="24"/>
                <w:szCs w:val="24"/>
              </w:rPr>
            </w:pPr>
          </w:p>
        </w:tc>
        <w:tc>
          <w:tcPr>
            <w:tcW w:w="1663" w:type="dxa"/>
            <w:noWrap w:val="0"/>
            <w:vAlign w:val="center"/>
          </w:tcPr>
          <w:p w14:paraId="30A0757B">
            <w:pPr>
              <w:bidi w:val="0"/>
              <w:jc w:val="center"/>
              <w:rPr>
                <w:rFonts w:hint="eastAsia" w:ascii="宋体" w:hAnsi="宋体" w:eastAsia="宋体" w:cs="宋体"/>
                <w:color w:val="auto"/>
                <w:sz w:val="24"/>
                <w:szCs w:val="24"/>
              </w:rPr>
            </w:pPr>
          </w:p>
        </w:tc>
        <w:tc>
          <w:tcPr>
            <w:tcW w:w="1562" w:type="dxa"/>
            <w:noWrap w:val="0"/>
            <w:vAlign w:val="center"/>
          </w:tcPr>
          <w:p w14:paraId="6E9931B3">
            <w:pPr>
              <w:bidi w:val="0"/>
              <w:jc w:val="center"/>
              <w:rPr>
                <w:rFonts w:hint="eastAsia" w:ascii="宋体" w:hAnsi="宋体" w:eastAsia="宋体" w:cs="宋体"/>
                <w:color w:val="auto"/>
                <w:sz w:val="24"/>
                <w:szCs w:val="24"/>
              </w:rPr>
            </w:pPr>
          </w:p>
        </w:tc>
        <w:tc>
          <w:tcPr>
            <w:tcW w:w="1590" w:type="dxa"/>
            <w:noWrap w:val="0"/>
            <w:vAlign w:val="center"/>
          </w:tcPr>
          <w:p w14:paraId="0B666CD0">
            <w:pPr>
              <w:bidi w:val="0"/>
              <w:jc w:val="center"/>
              <w:rPr>
                <w:rFonts w:hint="eastAsia" w:ascii="宋体" w:hAnsi="宋体" w:eastAsia="宋体" w:cs="宋体"/>
                <w:color w:val="auto"/>
                <w:sz w:val="24"/>
                <w:szCs w:val="24"/>
              </w:rPr>
            </w:pPr>
          </w:p>
        </w:tc>
        <w:tc>
          <w:tcPr>
            <w:tcW w:w="669" w:type="dxa"/>
            <w:noWrap w:val="0"/>
            <w:vAlign w:val="center"/>
          </w:tcPr>
          <w:p w14:paraId="311C9358">
            <w:pPr>
              <w:bidi w:val="0"/>
              <w:jc w:val="center"/>
              <w:rPr>
                <w:rFonts w:hint="eastAsia" w:ascii="宋体" w:hAnsi="宋体" w:eastAsia="宋体" w:cs="宋体"/>
                <w:color w:val="auto"/>
                <w:sz w:val="24"/>
                <w:szCs w:val="24"/>
              </w:rPr>
            </w:pPr>
          </w:p>
        </w:tc>
      </w:tr>
      <w:tr w14:paraId="3AC75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noWrap w:val="0"/>
            <w:vAlign w:val="center"/>
          </w:tcPr>
          <w:p w14:paraId="0EE31EAD">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840" w:type="dxa"/>
            <w:noWrap w:val="0"/>
            <w:vAlign w:val="center"/>
          </w:tcPr>
          <w:p w14:paraId="1C606F90">
            <w:pPr>
              <w:bidi w:val="0"/>
              <w:jc w:val="center"/>
              <w:rPr>
                <w:rFonts w:hint="eastAsia" w:ascii="宋体" w:hAnsi="宋体" w:eastAsia="宋体" w:cs="宋体"/>
                <w:color w:val="auto"/>
                <w:sz w:val="24"/>
                <w:szCs w:val="24"/>
              </w:rPr>
            </w:pPr>
          </w:p>
        </w:tc>
        <w:tc>
          <w:tcPr>
            <w:tcW w:w="1412" w:type="dxa"/>
            <w:noWrap w:val="0"/>
            <w:vAlign w:val="center"/>
          </w:tcPr>
          <w:p w14:paraId="540C9EAA">
            <w:pPr>
              <w:bidi w:val="0"/>
              <w:jc w:val="center"/>
              <w:rPr>
                <w:rFonts w:hint="eastAsia" w:ascii="宋体" w:hAnsi="宋体" w:eastAsia="宋体" w:cs="宋体"/>
                <w:color w:val="auto"/>
                <w:sz w:val="24"/>
                <w:szCs w:val="24"/>
              </w:rPr>
            </w:pPr>
          </w:p>
        </w:tc>
        <w:tc>
          <w:tcPr>
            <w:tcW w:w="1663" w:type="dxa"/>
            <w:noWrap w:val="0"/>
            <w:vAlign w:val="center"/>
          </w:tcPr>
          <w:p w14:paraId="06E85139">
            <w:pPr>
              <w:bidi w:val="0"/>
              <w:jc w:val="center"/>
              <w:rPr>
                <w:rFonts w:hint="eastAsia" w:ascii="宋体" w:hAnsi="宋体" w:eastAsia="宋体" w:cs="宋体"/>
                <w:color w:val="auto"/>
                <w:sz w:val="24"/>
                <w:szCs w:val="24"/>
              </w:rPr>
            </w:pPr>
          </w:p>
        </w:tc>
        <w:tc>
          <w:tcPr>
            <w:tcW w:w="1562" w:type="dxa"/>
            <w:noWrap w:val="0"/>
            <w:vAlign w:val="center"/>
          </w:tcPr>
          <w:p w14:paraId="527FED32">
            <w:pPr>
              <w:bidi w:val="0"/>
              <w:jc w:val="center"/>
              <w:rPr>
                <w:rFonts w:hint="eastAsia" w:ascii="宋体" w:hAnsi="宋体" w:eastAsia="宋体" w:cs="宋体"/>
                <w:color w:val="auto"/>
                <w:sz w:val="24"/>
                <w:szCs w:val="24"/>
              </w:rPr>
            </w:pPr>
          </w:p>
        </w:tc>
        <w:tc>
          <w:tcPr>
            <w:tcW w:w="1590" w:type="dxa"/>
            <w:noWrap w:val="0"/>
            <w:vAlign w:val="center"/>
          </w:tcPr>
          <w:p w14:paraId="18D49837">
            <w:pPr>
              <w:bidi w:val="0"/>
              <w:jc w:val="center"/>
              <w:rPr>
                <w:rFonts w:hint="eastAsia" w:ascii="宋体" w:hAnsi="宋体" w:eastAsia="宋体" w:cs="宋体"/>
                <w:color w:val="auto"/>
                <w:sz w:val="24"/>
                <w:szCs w:val="24"/>
              </w:rPr>
            </w:pPr>
          </w:p>
        </w:tc>
        <w:tc>
          <w:tcPr>
            <w:tcW w:w="669" w:type="dxa"/>
            <w:noWrap w:val="0"/>
            <w:vAlign w:val="center"/>
          </w:tcPr>
          <w:p w14:paraId="0445757C">
            <w:pPr>
              <w:bidi w:val="0"/>
              <w:jc w:val="center"/>
              <w:rPr>
                <w:rFonts w:hint="eastAsia" w:ascii="宋体" w:hAnsi="宋体" w:eastAsia="宋体" w:cs="宋体"/>
                <w:color w:val="auto"/>
                <w:sz w:val="24"/>
                <w:szCs w:val="24"/>
              </w:rPr>
            </w:pPr>
          </w:p>
        </w:tc>
      </w:tr>
      <w:tr w14:paraId="6259C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noWrap w:val="0"/>
            <w:vAlign w:val="center"/>
          </w:tcPr>
          <w:p w14:paraId="1355AFE1">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840" w:type="dxa"/>
            <w:noWrap w:val="0"/>
            <w:vAlign w:val="center"/>
          </w:tcPr>
          <w:p w14:paraId="4919D34F">
            <w:pPr>
              <w:bidi w:val="0"/>
              <w:jc w:val="center"/>
              <w:rPr>
                <w:rFonts w:hint="eastAsia" w:ascii="宋体" w:hAnsi="宋体" w:eastAsia="宋体" w:cs="宋体"/>
                <w:color w:val="auto"/>
                <w:sz w:val="24"/>
                <w:szCs w:val="24"/>
              </w:rPr>
            </w:pPr>
          </w:p>
        </w:tc>
        <w:tc>
          <w:tcPr>
            <w:tcW w:w="1412" w:type="dxa"/>
            <w:noWrap w:val="0"/>
            <w:vAlign w:val="center"/>
          </w:tcPr>
          <w:p w14:paraId="1CAE5572">
            <w:pPr>
              <w:bidi w:val="0"/>
              <w:jc w:val="center"/>
              <w:rPr>
                <w:rFonts w:hint="eastAsia" w:ascii="宋体" w:hAnsi="宋体" w:eastAsia="宋体" w:cs="宋体"/>
                <w:color w:val="auto"/>
                <w:sz w:val="24"/>
                <w:szCs w:val="24"/>
              </w:rPr>
            </w:pPr>
          </w:p>
        </w:tc>
        <w:tc>
          <w:tcPr>
            <w:tcW w:w="1663" w:type="dxa"/>
            <w:noWrap w:val="0"/>
            <w:vAlign w:val="center"/>
          </w:tcPr>
          <w:p w14:paraId="6A07A373">
            <w:pPr>
              <w:bidi w:val="0"/>
              <w:jc w:val="center"/>
              <w:rPr>
                <w:rFonts w:hint="eastAsia" w:ascii="宋体" w:hAnsi="宋体" w:eastAsia="宋体" w:cs="宋体"/>
                <w:color w:val="auto"/>
                <w:sz w:val="24"/>
                <w:szCs w:val="24"/>
              </w:rPr>
            </w:pPr>
          </w:p>
        </w:tc>
        <w:tc>
          <w:tcPr>
            <w:tcW w:w="1562" w:type="dxa"/>
            <w:noWrap w:val="0"/>
            <w:vAlign w:val="center"/>
          </w:tcPr>
          <w:p w14:paraId="28E99650">
            <w:pPr>
              <w:bidi w:val="0"/>
              <w:jc w:val="center"/>
              <w:rPr>
                <w:rFonts w:hint="eastAsia" w:ascii="宋体" w:hAnsi="宋体" w:eastAsia="宋体" w:cs="宋体"/>
                <w:color w:val="auto"/>
                <w:sz w:val="24"/>
                <w:szCs w:val="24"/>
              </w:rPr>
            </w:pPr>
          </w:p>
        </w:tc>
        <w:tc>
          <w:tcPr>
            <w:tcW w:w="1590" w:type="dxa"/>
            <w:noWrap w:val="0"/>
            <w:vAlign w:val="center"/>
          </w:tcPr>
          <w:p w14:paraId="0B20A842">
            <w:pPr>
              <w:bidi w:val="0"/>
              <w:jc w:val="center"/>
              <w:rPr>
                <w:rFonts w:hint="eastAsia" w:ascii="宋体" w:hAnsi="宋体" w:eastAsia="宋体" w:cs="宋体"/>
                <w:color w:val="auto"/>
                <w:sz w:val="24"/>
                <w:szCs w:val="24"/>
              </w:rPr>
            </w:pPr>
          </w:p>
        </w:tc>
        <w:tc>
          <w:tcPr>
            <w:tcW w:w="669" w:type="dxa"/>
            <w:noWrap w:val="0"/>
            <w:vAlign w:val="center"/>
          </w:tcPr>
          <w:p w14:paraId="40BB1F7B">
            <w:pPr>
              <w:bidi w:val="0"/>
              <w:jc w:val="center"/>
              <w:rPr>
                <w:rFonts w:hint="eastAsia" w:ascii="宋体" w:hAnsi="宋体" w:eastAsia="宋体" w:cs="宋体"/>
                <w:color w:val="auto"/>
                <w:sz w:val="24"/>
                <w:szCs w:val="24"/>
              </w:rPr>
            </w:pPr>
          </w:p>
        </w:tc>
      </w:tr>
      <w:tr w14:paraId="615E7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noWrap w:val="0"/>
            <w:vAlign w:val="center"/>
          </w:tcPr>
          <w:p w14:paraId="4C32F337">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840" w:type="dxa"/>
            <w:noWrap w:val="0"/>
            <w:vAlign w:val="center"/>
          </w:tcPr>
          <w:p w14:paraId="6E6328CF">
            <w:pPr>
              <w:bidi w:val="0"/>
              <w:jc w:val="center"/>
              <w:rPr>
                <w:rFonts w:hint="eastAsia" w:ascii="宋体" w:hAnsi="宋体" w:eastAsia="宋体" w:cs="宋体"/>
                <w:color w:val="auto"/>
                <w:sz w:val="24"/>
                <w:szCs w:val="24"/>
              </w:rPr>
            </w:pPr>
          </w:p>
        </w:tc>
        <w:tc>
          <w:tcPr>
            <w:tcW w:w="1412" w:type="dxa"/>
            <w:noWrap w:val="0"/>
            <w:vAlign w:val="center"/>
          </w:tcPr>
          <w:p w14:paraId="1A4C7F01">
            <w:pPr>
              <w:bidi w:val="0"/>
              <w:jc w:val="center"/>
              <w:rPr>
                <w:rFonts w:hint="eastAsia" w:ascii="宋体" w:hAnsi="宋体" w:eastAsia="宋体" w:cs="宋体"/>
                <w:color w:val="auto"/>
                <w:sz w:val="24"/>
                <w:szCs w:val="24"/>
              </w:rPr>
            </w:pPr>
          </w:p>
        </w:tc>
        <w:tc>
          <w:tcPr>
            <w:tcW w:w="1663" w:type="dxa"/>
            <w:noWrap w:val="0"/>
            <w:vAlign w:val="center"/>
          </w:tcPr>
          <w:p w14:paraId="40421D56">
            <w:pPr>
              <w:bidi w:val="0"/>
              <w:jc w:val="center"/>
              <w:rPr>
                <w:rFonts w:hint="eastAsia" w:ascii="宋体" w:hAnsi="宋体" w:eastAsia="宋体" w:cs="宋体"/>
                <w:color w:val="auto"/>
                <w:sz w:val="24"/>
                <w:szCs w:val="24"/>
              </w:rPr>
            </w:pPr>
          </w:p>
        </w:tc>
        <w:tc>
          <w:tcPr>
            <w:tcW w:w="1562" w:type="dxa"/>
            <w:noWrap w:val="0"/>
            <w:vAlign w:val="center"/>
          </w:tcPr>
          <w:p w14:paraId="540E6353">
            <w:pPr>
              <w:bidi w:val="0"/>
              <w:jc w:val="center"/>
              <w:rPr>
                <w:rFonts w:hint="eastAsia" w:ascii="宋体" w:hAnsi="宋体" w:eastAsia="宋体" w:cs="宋体"/>
                <w:color w:val="auto"/>
                <w:sz w:val="24"/>
                <w:szCs w:val="24"/>
              </w:rPr>
            </w:pPr>
          </w:p>
        </w:tc>
        <w:tc>
          <w:tcPr>
            <w:tcW w:w="1590" w:type="dxa"/>
            <w:noWrap w:val="0"/>
            <w:vAlign w:val="center"/>
          </w:tcPr>
          <w:p w14:paraId="53F2B4EA">
            <w:pPr>
              <w:bidi w:val="0"/>
              <w:jc w:val="center"/>
              <w:rPr>
                <w:rFonts w:hint="eastAsia" w:ascii="宋体" w:hAnsi="宋体" w:eastAsia="宋体" w:cs="宋体"/>
                <w:color w:val="auto"/>
                <w:sz w:val="24"/>
                <w:szCs w:val="24"/>
              </w:rPr>
            </w:pPr>
          </w:p>
        </w:tc>
        <w:tc>
          <w:tcPr>
            <w:tcW w:w="669" w:type="dxa"/>
            <w:noWrap w:val="0"/>
            <w:vAlign w:val="center"/>
          </w:tcPr>
          <w:p w14:paraId="2C738A7E">
            <w:pPr>
              <w:bidi w:val="0"/>
              <w:jc w:val="center"/>
              <w:rPr>
                <w:rFonts w:hint="eastAsia" w:ascii="宋体" w:hAnsi="宋体" w:eastAsia="宋体" w:cs="宋体"/>
                <w:color w:val="auto"/>
                <w:sz w:val="24"/>
                <w:szCs w:val="24"/>
              </w:rPr>
            </w:pPr>
          </w:p>
        </w:tc>
      </w:tr>
      <w:tr w14:paraId="55BD31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noWrap w:val="0"/>
            <w:vAlign w:val="center"/>
          </w:tcPr>
          <w:p w14:paraId="004CF61F">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840" w:type="dxa"/>
            <w:noWrap w:val="0"/>
            <w:vAlign w:val="center"/>
          </w:tcPr>
          <w:p w14:paraId="2272DD65">
            <w:pPr>
              <w:bidi w:val="0"/>
              <w:jc w:val="center"/>
              <w:rPr>
                <w:rFonts w:hint="eastAsia" w:ascii="宋体" w:hAnsi="宋体" w:eastAsia="宋体" w:cs="宋体"/>
                <w:color w:val="auto"/>
                <w:sz w:val="24"/>
                <w:szCs w:val="24"/>
              </w:rPr>
            </w:pPr>
          </w:p>
        </w:tc>
        <w:tc>
          <w:tcPr>
            <w:tcW w:w="1412" w:type="dxa"/>
            <w:noWrap w:val="0"/>
            <w:vAlign w:val="center"/>
          </w:tcPr>
          <w:p w14:paraId="6A56B333">
            <w:pPr>
              <w:bidi w:val="0"/>
              <w:jc w:val="center"/>
              <w:rPr>
                <w:rFonts w:hint="eastAsia" w:ascii="宋体" w:hAnsi="宋体" w:eastAsia="宋体" w:cs="宋体"/>
                <w:color w:val="auto"/>
                <w:sz w:val="24"/>
                <w:szCs w:val="24"/>
              </w:rPr>
            </w:pPr>
          </w:p>
        </w:tc>
        <w:tc>
          <w:tcPr>
            <w:tcW w:w="1663" w:type="dxa"/>
            <w:noWrap w:val="0"/>
            <w:vAlign w:val="center"/>
          </w:tcPr>
          <w:p w14:paraId="790D6C44">
            <w:pPr>
              <w:bidi w:val="0"/>
              <w:jc w:val="center"/>
              <w:rPr>
                <w:rFonts w:hint="eastAsia" w:ascii="宋体" w:hAnsi="宋体" w:eastAsia="宋体" w:cs="宋体"/>
                <w:color w:val="auto"/>
                <w:sz w:val="24"/>
                <w:szCs w:val="24"/>
              </w:rPr>
            </w:pPr>
          </w:p>
        </w:tc>
        <w:tc>
          <w:tcPr>
            <w:tcW w:w="1562" w:type="dxa"/>
            <w:noWrap w:val="0"/>
            <w:vAlign w:val="center"/>
          </w:tcPr>
          <w:p w14:paraId="2C0D6BD1">
            <w:pPr>
              <w:bidi w:val="0"/>
              <w:jc w:val="center"/>
              <w:rPr>
                <w:rFonts w:hint="eastAsia" w:ascii="宋体" w:hAnsi="宋体" w:eastAsia="宋体" w:cs="宋体"/>
                <w:color w:val="auto"/>
                <w:sz w:val="24"/>
                <w:szCs w:val="24"/>
              </w:rPr>
            </w:pPr>
          </w:p>
        </w:tc>
        <w:tc>
          <w:tcPr>
            <w:tcW w:w="1590" w:type="dxa"/>
            <w:noWrap w:val="0"/>
            <w:vAlign w:val="center"/>
          </w:tcPr>
          <w:p w14:paraId="2363D638">
            <w:pPr>
              <w:bidi w:val="0"/>
              <w:jc w:val="center"/>
              <w:rPr>
                <w:rFonts w:hint="eastAsia" w:ascii="宋体" w:hAnsi="宋体" w:eastAsia="宋体" w:cs="宋体"/>
                <w:color w:val="auto"/>
                <w:sz w:val="24"/>
                <w:szCs w:val="24"/>
              </w:rPr>
            </w:pPr>
          </w:p>
        </w:tc>
        <w:tc>
          <w:tcPr>
            <w:tcW w:w="669" w:type="dxa"/>
            <w:noWrap w:val="0"/>
            <w:vAlign w:val="center"/>
          </w:tcPr>
          <w:p w14:paraId="0F57DD94">
            <w:pPr>
              <w:bidi w:val="0"/>
              <w:jc w:val="center"/>
              <w:rPr>
                <w:rFonts w:hint="eastAsia" w:ascii="宋体" w:hAnsi="宋体" w:eastAsia="宋体" w:cs="宋体"/>
                <w:color w:val="auto"/>
                <w:sz w:val="24"/>
                <w:szCs w:val="24"/>
              </w:rPr>
            </w:pPr>
          </w:p>
        </w:tc>
      </w:tr>
      <w:tr w14:paraId="43C1AB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noWrap w:val="0"/>
            <w:vAlign w:val="center"/>
          </w:tcPr>
          <w:p w14:paraId="705B6CB3">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840" w:type="dxa"/>
            <w:noWrap w:val="0"/>
            <w:vAlign w:val="center"/>
          </w:tcPr>
          <w:p w14:paraId="07667FA2">
            <w:pPr>
              <w:bidi w:val="0"/>
              <w:jc w:val="center"/>
              <w:rPr>
                <w:rFonts w:hint="eastAsia" w:ascii="宋体" w:hAnsi="宋体" w:eastAsia="宋体" w:cs="宋体"/>
                <w:color w:val="auto"/>
                <w:sz w:val="24"/>
                <w:szCs w:val="24"/>
              </w:rPr>
            </w:pPr>
          </w:p>
        </w:tc>
        <w:tc>
          <w:tcPr>
            <w:tcW w:w="1412" w:type="dxa"/>
            <w:noWrap w:val="0"/>
            <w:vAlign w:val="center"/>
          </w:tcPr>
          <w:p w14:paraId="2DBC1BB0">
            <w:pPr>
              <w:bidi w:val="0"/>
              <w:jc w:val="center"/>
              <w:rPr>
                <w:rFonts w:hint="eastAsia" w:ascii="宋体" w:hAnsi="宋体" w:eastAsia="宋体" w:cs="宋体"/>
                <w:color w:val="auto"/>
                <w:sz w:val="24"/>
                <w:szCs w:val="24"/>
              </w:rPr>
            </w:pPr>
          </w:p>
        </w:tc>
        <w:tc>
          <w:tcPr>
            <w:tcW w:w="1663" w:type="dxa"/>
            <w:noWrap w:val="0"/>
            <w:vAlign w:val="center"/>
          </w:tcPr>
          <w:p w14:paraId="3B100735">
            <w:pPr>
              <w:bidi w:val="0"/>
              <w:jc w:val="center"/>
              <w:rPr>
                <w:rFonts w:hint="eastAsia" w:ascii="宋体" w:hAnsi="宋体" w:eastAsia="宋体" w:cs="宋体"/>
                <w:color w:val="auto"/>
                <w:sz w:val="24"/>
                <w:szCs w:val="24"/>
              </w:rPr>
            </w:pPr>
          </w:p>
        </w:tc>
        <w:tc>
          <w:tcPr>
            <w:tcW w:w="1562" w:type="dxa"/>
            <w:noWrap w:val="0"/>
            <w:vAlign w:val="center"/>
          </w:tcPr>
          <w:p w14:paraId="7D408263">
            <w:pPr>
              <w:bidi w:val="0"/>
              <w:jc w:val="center"/>
              <w:rPr>
                <w:rFonts w:hint="eastAsia" w:ascii="宋体" w:hAnsi="宋体" w:eastAsia="宋体" w:cs="宋体"/>
                <w:color w:val="auto"/>
                <w:sz w:val="24"/>
                <w:szCs w:val="24"/>
              </w:rPr>
            </w:pPr>
          </w:p>
        </w:tc>
        <w:tc>
          <w:tcPr>
            <w:tcW w:w="1590" w:type="dxa"/>
            <w:noWrap w:val="0"/>
            <w:vAlign w:val="center"/>
          </w:tcPr>
          <w:p w14:paraId="4AFDEA05">
            <w:pPr>
              <w:bidi w:val="0"/>
              <w:jc w:val="center"/>
              <w:rPr>
                <w:rFonts w:hint="eastAsia" w:ascii="宋体" w:hAnsi="宋体" w:eastAsia="宋体" w:cs="宋体"/>
                <w:color w:val="auto"/>
                <w:sz w:val="24"/>
                <w:szCs w:val="24"/>
              </w:rPr>
            </w:pPr>
          </w:p>
        </w:tc>
        <w:tc>
          <w:tcPr>
            <w:tcW w:w="669" w:type="dxa"/>
            <w:noWrap w:val="0"/>
            <w:vAlign w:val="center"/>
          </w:tcPr>
          <w:p w14:paraId="2999C69C">
            <w:pPr>
              <w:bidi w:val="0"/>
              <w:jc w:val="center"/>
              <w:rPr>
                <w:rFonts w:hint="eastAsia" w:ascii="宋体" w:hAnsi="宋体" w:eastAsia="宋体" w:cs="宋体"/>
                <w:color w:val="auto"/>
                <w:sz w:val="24"/>
                <w:szCs w:val="24"/>
              </w:rPr>
            </w:pPr>
          </w:p>
        </w:tc>
      </w:tr>
      <w:tr w14:paraId="76C34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noWrap w:val="0"/>
            <w:vAlign w:val="center"/>
          </w:tcPr>
          <w:p w14:paraId="61EC49CC">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840" w:type="dxa"/>
            <w:noWrap w:val="0"/>
            <w:vAlign w:val="center"/>
          </w:tcPr>
          <w:p w14:paraId="29103D8A">
            <w:pPr>
              <w:bidi w:val="0"/>
              <w:jc w:val="center"/>
              <w:rPr>
                <w:rFonts w:hint="eastAsia" w:ascii="宋体" w:hAnsi="宋体" w:eastAsia="宋体" w:cs="宋体"/>
                <w:color w:val="auto"/>
                <w:sz w:val="24"/>
                <w:szCs w:val="24"/>
              </w:rPr>
            </w:pPr>
          </w:p>
        </w:tc>
        <w:tc>
          <w:tcPr>
            <w:tcW w:w="1412" w:type="dxa"/>
            <w:noWrap w:val="0"/>
            <w:vAlign w:val="center"/>
          </w:tcPr>
          <w:p w14:paraId="7B6BABB8">
            <w:pPr>
              <w:bidi w:val="0"/>
              <w:jc w:val="center"/>
              <w:rPr>
                <w:rFonts w:hint="eastAsia" w:ascii="宋体" w:hAnsi="宋体" w:eastAsia="宋体" w:cs="宋体"/>
                <w:color w:val="auto"/>
                <w:sz w:val="24"/>
                <w:szCs w:val="24"/>
              </w:rPr>
            </w:pPr>
          </w:p>
        </w:tc>
        <w:tc>
          <w:tcPr>
            <w:tcW w:w="1663" w:type="dxa"/>
            <w:noWrap w:val="0"/>
            <w:vAlign w:val="center"/>
          </w:tcPr>
          <w:p w14:paraId="5657A1FF">
            <w:pPr>
              <w:bidi w:val="0"/>
              <w:jc w:val="center"/>
              <w:rPr>
                <w:rFonts w:hint="eastAsia" w:ascii="宋体" w:hAnsi="宋体" w:eastAsia="宋体" w:cs="宋体"/>
                <w:color w:val="auto"/>
                <w:sz w:val="24"/>
                <w:szCs w:val="24"/>
              </w:rPr>
            </w:pPr>
          </w:p>
        </w:tc>
        <w:tc>
          <w:tcPr>
            <w:tcW w:w="1562" w:type="dxa"/>
            <w:noWrap w:val="0"/>
            <w:vAlign w:val="center"/>
          </w:tcPr>
          <w:p w14:paraId="4C3F070A">
            <w:pPr>
              <w:bidi w:val="0"/>
              <w:jc w:val="center"/>
              <w:rPr>
                <w:rFonts w:hint="eastAsia" w:ascii="宋体" w:hAnsi="宋体" w:eastAsia="宋体" w:cs="宋体"/>
                <w:color w:val="auto"/>
                <w:sz w:val="24"/>
                <w:szCs w:val="24"/>
              </w:rPr>
            </w:pPr>
          </w:p>
        </w:tc>
        <w:tc>
          <w:tcPr>
            <w:tcW w:w="1590" w:type="dxa"/>
            <w:noWrap w:val="0"/>
            <w:vAlign w:val="center"/>
          </w:tcPr>
          <w:p w14:paraId="6E70BBAD">
            <w:pPr>
              <w:bidi w:val="0"/>
              <w:jc w:val="center"/>
              <w:rPr>
                <w:rFonts w:hint="eastAsia" w:ascii="宋体" w:hAnsi="宋体" w:eastAsia="宋体" w:cs="宋体"/>
                <w:color w:val="auto"/>
                <w:sz w:val="24"/>
                <w:szCs w:val="24"/>
              </w:rPr>
            </w:pPr>
          </w:p>
        </w:tc>
        <w:tc>
          <w:tcPr>
            <w:tcW w:w="669" w:type="dxa"/>
            <w:noWrap w:val="0"/>
            <w:vAlign w:val="center"/>
          </w:tcPr>
          <w:p w14:paraId="24B14173">
            <w:pPr>
              <w:bidi w:val="0"/>
              <w:jc w:val="center"/>
              <w:rPr>
                <w:rFonts w:hint="eastAsia" w:ascii="宋体" w:hAnsi="宋体" w:eastAsia="宋体" w:cs="宋体"/>
                <w:color w:val="auto"/>
                <w:sz w:val="24"/>
                <w:szCs w:val="24"/>
              </w:rPr>
            </w:pPr>
          </w:p>
        </w:tc>
      </w:tr>
      <w:tr w14:paraId="19737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0" w:type="dxa"/>
            <w:noWrap w:val="0"/>
            <w:vAlign w:val="center"/>
          </w:tcPr>
          <w:p w14:paraId="6A8F41ED">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7E0FAFE5">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840" w:type="dxa"/>
            <w:noWrap w:val="0"/>
            <w:vAlign w:val="center"/>
          </w:tcPr>
          <w:p w14:paraId="1C096CA3">
            <w:pPr>
              <w:bidi w:val="0"/>
              <w:jc w:val="center"/>
              <w:rPr>
                <w:rFonts w:hint="eastAsia" w:ascii="宋体" w:hAnsi="宋体" w:eastAsia="宋体" w:cs="宋体"/>
                <w:color w:val="auto"/>
                <w:sz w:val="24"/>
                <w:szCs w:val="24"/>
              </w:rPr>
            </w:pPr>
          </w:p>
        </w:tc>
        <w:tc>
          <w:tcPr>
            <w:tcW w:w="1412" w:type="dxa"/>
            <w:noWrap w:val="0"/>
            <w:vAlign w:val="center"/>
          </w:tcPr>
          <w:p w14:paraId="2429A24A">
            <w:pPr>
              <w:bidi w:val="0"/>
              <w:jc w:val="center"/>
              <w:rPr>
                <w:rFonts w:hint="eastAsia" w:ascii="宋体" w:hAnsi="宋体" w:eastAsia="宋体" w:cs="宋体"/>
                <w:color w:val="auto"/>
                <w:sz w:val="24"/>
                <w:szCs w:val="24"/>
              </w:rPr>
            </w:pPr>
          </w:p>
        </w:tc>
        <w:tc>
          <w:tcPr>
            <w:tcW w:w="1663" w:type="dxa"/>
            <w:noWrap w:val="0"/>
            <w:vAlign w:val="center"/>
          </w:tcPr>
          <w:p w14:paraId="236ED842">
            <w:pPr>
              <w:bidi w:val="0"/>
              <w:jc w:val="center"/>
              <w:rPr>
                <w:rFonts w:hint="eastAsia" w:ascii="宋体" w:hAnsi="宋体" w:eastAsia="宋体" w:cs="宋体"/>
                <w:color w:val="auto"/>
                <w:sz w:val="24"/>
                <w:szCs w:val="24"/>
              </w:rPr>
            </w:pPr>
          </w:p>
        </w:tc>
        <w:tc>
          <w:tcPr>
            <w:tcW w:w="1562" w:type="dxa"/>
            <w:noWrap w:val="0"/>
            <w:vAlign w:val="center"/>
          </w:tcPr>
          <w:p w14:paraId="5A37F885">
            <w:pPr>
              <w:bidi w:val="0"/>
              <w:jc w:val="center"/>
              <w:rPr>
                <w:rFonts w:hint="eastAsia" w:ascii="宋体" w:hAnsi="宋体" w:eastAsia="宋体" w:cs="宋体"/>
                <w:color w:val="auto"/>
                <w:sz w:val="24"/>
                <w:szCs w:val="24"/>
              </w:rPr>
            </w:pPr>
          </w:p>
        </w:tc>
        <w:tc>
          <w:tcPr>
            <w:tcW w:w="1590" w:type="dxa"/>
            <w:noWrap w:val="0"/>
            <w:vAlign w:val="center"/>
          </w:tcPr>
          <w:p w14:paraId="31DF7063">
            <w:pPr>
              <w:bidi w:val="0"/>
              <w:jc w:val="center"/>
              <w:rPr>
                <w:rFonts w:hint="eastAsia" w:ascii="宋体" w:hAnsi="宋体" w:eastAsia="宋体" w:cs="宋体"/>
                <w:color w:val="auto"/>
                <w:sz w:val="24"/>
                <w:szCs w:val="24"/>
              </w:rPr>
            </w:pPr>
          </w:p>
        </w:tc>
        <w:tc>
          <w:tcPr>
            <w:tcW w:w="669" w:type="dxa"/>
            <w:noWrap w:val="0"/>
            <w:vAlign w:val="center"/>
          </w:tcPr>
          <w:p w14:paraId="56876978">
            <w:pPr>
              <w:bidi w:val="0"/>
              <w:jc w:val="center"/>
              <w:rPr>
                <w:rFonts w:hint="eastAsia" w:ascii="宋体" w:hAnsi="宋体" w:eastAsia="宋体" w:cs="宋体"/>
                <w:color w:val="auto"/>
                <w:sz w:val="24"/>
                <w:szCs w:val="24"/>
              </w:rPr>
            </w:pPr>
          </w:p>
        </w:tc>
      </w:tr>
    </w:tbl>
    <w:p w14:paraId="6F95BC8B">
      <w:pPr>
        <w:outlineLvl w:val="9"/>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6"/>
          <w:sz w:val="24"/>
          <w:szCs w:val="24"/>
          <w:highlight w:val="none"/>
        </w:rPr>
        <w:t>后</w:t>
      </w:r>
      <w:r>
        <w:rPr>
          <w:rFonts w:hint="eastAsia" w:ascii="宋体" w:hAnsi="宋体" w:eastAsia="宋体" w:cs="宋体"/>
          <w:color w:val="auto"/>
          <w:spacing w:val="10"/>
          <w:sz w:val="24"/>
          <w:szCs w:val="24"/>
          <w:highlight w:val="none"/>
        </w:rPr>
        <w:t>附</w:t>
      </w:r>
      <w:r>
        <w:rPr>
          <w:rFonts w:hint="eastAsia" w:ascii="宋体" w:hAnsi="宋体" w:eastAsia="宋体" w:cs="宋体"/>
          <w:color w:val="auto"/>
          <w:spacing w:val="10"/>
          <w:sz w:val="24"/>
          <w:szCs w:val="24"/>
          <w:highlight w:val="none"/>
          <w:lang w:eastAsia="zh-CN"/>
        </w:rPr>
        <w:t>相关证明材料</w:t>
      </w:r>
    </w:p>
    <w:p w14:paraId="639C4B40">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25990EA7">
      <w:pPr>
        <w:spacing w:before="48"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格式十</w:t>
      </w:r>
      <w:r>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t>一</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w:t>
      </w:r>
    </w:p>
    <w:p w14:paraId="28103440">
      <w:pPr>
        <w:spacing w:before="182" w:line="220" w:lineRule="auto"/>
        <w:ind w:left="3334"/>
        <w:outlineLvl w:val="0"/>
        <w:rPr>
          <w:rFonts w:hint="eastAsia" w:ascii="宋体" w:hAnsi="宋体" w:eastAsia="宋体" w:cs="宋体"/>
          <w:color w:val="auto"/>
          <w:sz w:val="24"/>
          <w:szCs w:val="24"/>
        </w:rPr>
      </w:pPr>
      <w:bookmarkStart w:id="85" w:name="_Toc27185"/>
      <w:bookmarkStart w:id="86" w:name="_Toc19855"/>
      <w:bookmarkStart w:id="87" w:name="_Toc11972"/>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资格条件承诺函（格式）</w:t>
      </w:r>
      <w:bookmarkEnd w:id="85"/>
      <w:bookmarkEnd w:id="86"/>
      <w:bookmarkEnd w:id="87"/>
    </w:p>
    <w:p w14:paraId="2BDE480C">
      <w:pPr>
        <w:pStyle w:val="5"/>
        <w:spacing w:line="411" w:lineRule="auto"/>
        <w:outlineLvl w:val="9"/>
        <w:rPr>
          <w:rFonts w:hint="eastAsia" w:ascii="宋体" w:hAnsi="宋体" w:eastAsia="宋体" w:cs="宋体"/>
          <w:color w:val="auto"/>
        </w:rPr>
      </w:pPr>
    </w:p>
    <w:p w14:paraId="775B2AA3">
      <w:pPr>
        <w:spacing w:before="78" w:line="219"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 xml:space="preserve">致: </w:t>
      </w:r>
      <w:r>
        <w:rPr>
          <w:rFonts w:hint="eastAsia" w:ascii="宋体" w:hAnsi="宋体" w:eastAsia="宋体" w:cs="宋体"/>
          <w:color w:val="auto"/>
          <w:spacing w:val="-1"/>
          <w:sz w:val="24"/>
          <w:szCs w:val="24"/>
          <w:u w:val="single" w:color="auto"/>
        </w:rPr>
        <w:t>（采购人、采购代理机构</w:t>
      </w:r>
      <w:r>
        <w:rPr>
          <w:rFonts w:hint="eastAsia" w:ascii="宋体" w:hAnsi="宋体" w:eastAsia="宋体" w:cs="宋体"/>
          <w:color w:val="auto"/>
          <w:spacing w:val="16"/>
          <w:sz w:val="24"/>
          <w:szCs w:val="24"/>
          <w:u w:val="single" w:color="auto"/>
        </w:rPr>
        <w:t>）；</w:t>
      </w:r>
    </w:p>
    <w:p w14:paraId="0054E20D">
      <w:pPr>
        <w:spacing w:before="180" w:line="360" w:lineRule="auto"/>
        <w:jc w:val="right"/>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我单位（公司）参与</w:t>
      </w:r>
      <w:r>
        <w:rPr>
          <w:rFonts w:hint="eastAsia" w:ascii="宋体" w:hAnsi="宋体" w:eastAsia="宋体" w:cs="宋体"/>
          <w:color w:val="auto"/>
          <w:spacing w:val="1"/>
          <w:sz w:val="24"/>
          <w:szCs w:val="24"/>
          <w:u w:val="single" w:color="auto"/>
        </w:rPr>
        <w:t>（采购项目名称   项目编号）</w:t>
      </w:r>
      <w:r>
        <w:rPr>
          <w:rFonts w:hint="eastAsia" w:ascii="宋体" w:hAnsi="宋体" w:eastAsia="宋体" w:cs="宋体"/>
          <w:color w:val="auto"/>
          <w:spacing w:val="1"/>
          <w:sz w:val="24"/>
          <w:szCs w:val="24"/>
        </w:rPr>
        <w:t>采购项目的政府采购活动，现承</w:t>
      </w:r>
    </w:p>
    <w:p w14:paraId="03F29705">
      <w:pPr>
        <w:spacing w:before="1"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8"/>
          <w:sz w:val="24"/>
          <w:szCs w:val="24"/>
        </w:rPr>
        <w:t>诺如下:</w:t>
      </w:r>
    </w:p>
    <w:p w14:paraId="0EAFE2BC">
      <w:pPr>
        <w:spacing w:before="180" w:line="466" w:lineRule="exact"/>
        <w:ind w:left="497"/>
        <w:outlineLvl w:val="9"/>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1.具有良好的商业信誉和健全的财务会计制度；</w:t>
      </w:r>
    </w:p>
    <w:p w14:paraId="41A2D8DA">
      <w:pPr>
        <w:spacing w:line="219" w:lineRule="auto"/>
        <w:ind w:left="482"/>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2.具有依法缴纳税收的良好记录；</w:t>
      </w:r>
    </w:p>
    <w:p w14:paraId="06F8C222">
      <w:pPr>
        <w:spacing w:before="183" w:line="219" w:lineRule="auto"/>
        <w:ind w:left="484"/>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3.具有依法缴纳社会保障金的良好记录。</w:t>
      </w:r>
    </w:p>
    <w:p w14:paraId="071EB98D">
      <w:pPr>
        <w:spacing w:before="181" w:line="359" w:lineRule="auto"/>
        <w:ind w:firstLine="481"/>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我方在采购项目评审（评标）环节结束后，随时接受采购人、采购代理机构的检查验证，配合提供相关证明材料，证明符合《中华人民共和国政府采购法》规定的供应商基本</w:t>
      </w:r>
      <w:r>
        <w:rPr>
          <w:rFonts w:hint="eastAsia" w:ascii="宋体" w:hAnsi="宋体" w:eastAsia="宋体" w:cs="宋体"/>
          <w:color w:val="auto"/>
          <w:spacing w:val="-4"/>
          <w:sz w:val="24"/>
          <w:szCs w:val="24"/>
        </w:rPr>
        <w:t>资格条件。</w:t>
      </w:r>
    </w:p>
    <w:p w14:paraId="74AF6052">
      <w:pPr>
        <w:spacing w:before="182" w:line="465" w:lineRule="exact"/>
        <w:ind w:left="481"/>
        <w:outlineLvl w:val="9"/>
        <w:rPr>
          <w:rFonts w:hint="eastAsia" w:ascii="宋体" w:hAnsi="宋体" w:eastAsia="宋体" w:cs="宋体"/>
          <w:color w:val="auto"/>
          <w:spacing w:val="-1"/>
          <w:position w:val="17"/>
          <w:sz w:val="24"/>
          <w:szCs w:val="24"/>
        </w:rPr>
      </w:pPr>
      <w:r>
        <w:rPr>
          <w:rFonts w:hint="eastAsia" w:ascii="宋体" w:hAnsi="宋体" w:eastAsia="宋体" w:cs="宋体"/>
          <w:color w:val="auto"/>
          <w:position w:val="17"/>
          <w:sz w:val="24"/>
          <w:szCs w:val="24"/>
        </w:rPr>
        <w:t>我单位（公司）对上述承诺的真实性负责。如有</w:t>
      </w:r>
      <w:r>
        <w:rPr>
          <w:rFonts w:hint="eastAsia" w:ascii="宋体" w:hAnsi="宋体" w:eastAsia="宋体" w:cs="宋体"/>
          <w:color w:val="auto"/>
          <w:spacing w:val="-1"/>
          <w:position w:val="17"/>
          <w:sz w:val="24"/>
          <w:szCs w:val="24"/>
        </w:rPr>
        <w:t>虚假，将依法承担相应责任。</w:t>
      </w:r>
    </w:p>
    <w:p w14:paraId="24A95A6C">
      <w:pPr>
        <w:spacing w:before="182" w:line="465" w:lineRule="exact"/>
        <w:ind w:left="481"/>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特此承诺。</w:t>
      </w:r>
    </w:p>
    <w:p w14:paraId="56F73239">
      <w:pPr>
        <w:pStyle w:val="5"/>
        <w:spacing w:line="283" w:lineRule="auto"/>
        <w:outlineLvl w:val="9"/>
        <w:rPr>
          <w:rFonts w:hint="eastAsia" w:ascii="宋体" w:hAnsi="宋体" w:eastAsia="宋体" w:cs="宋体"/>
          <w:color w:val="auto"/>
        </w:rPr>
      </w:pPr>
    </w:p>
    <w:p w14:paraId="728B4ED8">
      <w:pPr>
        <w:pStyle w:val="5"/>
        <w:spacing w:line="283" w:lineRule="auto"/>
        <w:outlineLvl w:val="9"/>
        <w:rPr>
          <w:rFonts w:hint="eastAsia" w:ascii="宋体" w:hAnsi="宋体" w:eastAsia="宋体" w:cs="宋体"/>
          <w:color w:val="auto"/>
        </w:rPr>
      </w:pPr>
    </w:p>
    <w:p w14:paraId="6343B8AC">
      <w:pPr>
        <w:spacing w:before="78" w:line="468" w:lineRule="exact"/>
        <w:ind w:left="3600"/>
        <w:outlineLvl w:val="9"/>
        <w:rPr>
          <w:rFonts w:hint="eastAsia" w:ascii="宋体" w:hAnsi="宋体" w:eastAsia="宋体" w:cs="宋体"/>
          <w:color w:val="auto"/>
          <w:sz w:val="24"/>
          <w:szCs w:val="24"/>
        </w:rPr>
      </w:pPr>
      <w:r>
        <w:rPr>
          <w:rFonts w:hint="eastAsia" w:ascii="宋体" w:hAnsi="宋体" w:eastAsia="宋体" w:cs="宋体"/>
          <w:color w:val="auto"/>
          <w:spacing w:val="-4"/>
          <w:position w:val="17"/>
          <w:sz w:val="24"/>
          <w:szCs w:val="24"/>
        </w:rPr>
        <w:t>盖章：</w:t>
      </w:r>
    </w:p>
    <w:p w14:paraId="70BEFC95">
      <w:pPr>
        <w:spacing w:line="220" w:lineRule="auto"/>
        <w:ind w:left="3600"/>
        <w:outlineLvl w:val="9"/>
        <w:rPr>
          <w:rFonts w:hint="eastAsia" w:ascii="宋体" w:hAnsi="宋体" w:eastAsia="宋体" w:cs="宋体"/>
          <w:color w:val="auto"/>
          <w:sz w:val="24"/>
          <w:szCs w:val="24"/>
        </w:rPr>
      </w:pPr>
      <w:r>
        <w:rPr>
          <w:rFonts w:hint="eastAsia" w:ascii="宋体" w:hAnsi="宋体" w:eastAsia="宋体" w:cs="宋体"/>
          <w:color w:val="auto"/>
          <w:spacing w:val="-4"/>
          <w:sz w:val="24"/>
          <w:szCs w:val="24"/>
        </w:rPr>
        <w:t>签字：</w:t>
      </w:r>
    </w:p>
    <w:p w14:paraId="5CD33F16">
      <w:pPr>
        <w:spacing w:before="182" w:line="221" w:lineRule="auto"/>
        <w:ind w:left="3641"/>
        <w:outlineLvl w:val="9"/>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rPr>
        <w:t>日期：</w:t>
      </w:r>
    </w:p>
    <w:p w14:paraId="67B659D2">
      <w:pPr>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rPr>
        <w:br w:type="page"/>
      </w:r>
    </w:p>
    <w:p w14:paraId="086C0DA0">
      <w:pPr>
        <w:keepNext w:val="0"/>
        <w:keepLines w:val="0"/>
        <w:widowControl/>
        <w:suppressLineNumbers w:val="0"/>
        <w:jc w:val="left"/>
        <w:outlineLvl w:val="2"/>
        <w:rPr>
          <w:highlight w:val="none"/>
        </w:rPr>
      </w:pPr>
      <w:r>
        <w:rPr>
          <w:rFonts w:hint="eastAsia" w:ascii="宋体" w:hAnsi="宋体" w:eastAsia="宋体" w:cs="宋体"/>
          <w:b/>
          <w:bCs/>
          <w:color w:val="auto"/>
          <w:spacing w:val="-2"/>
          <w:sz w:val="24"/>
          <w:szCs w:val="24"/>
          <w14:textOutline w14:w="4358" w14:cap="sq" w14:cmpd="sng">
            <w14:solidFill>
              <w14:srgbClr w14:val="000000"/>
            </w14:solidFill>
            <w14:prstDash w14:val="solid"/>
            <w14:bevel/>
          </w14:textOutline>
        </w:rPr>
        <w:t>格式</w:t>
      </w:r>
      <w:r>
        <w:rPr>
          <w:rFonts w:hint="eastAsia" w:ascii="宋体" w:hAnsi="宋体" w:eastAsia="宋体" w:cs="宋体"/>
          <w:b/>
          <w:bCs/>
          <w:color w:val="auto"/>
          <w:spacing w:val="-2"/>
          <w:sz w:val="24"/>
          <w:szCs w:val="24"/>
          <w:lang w:eastAsia="zh-CN"/>
          <w14:textOutline w14:w="4358" w14:cap="sq" w14:cmpd="sng">
            <w14:solidFill>
              <w14:srgbClr w14:val="000000"/>
            </w14:solidFill>
            <w14:prstDash w14:val="solid"/>
            <w14:bevel/>
          </w14:textOutline>
        </w:rPr>
        <w:t>十二：</w:t>
      </w:r>
      <w:r>
        <w:rPr>
          <w:rFonts w:hint="default" w:ascii="宋体" w:hAnsi="宋体" w:eastAsia="宋体" w:cs="宋体"/>
          <w:b/>
          <w:bCs/>
          <w:color w:val="auto"/>
          <w:spacing w:val="-2"/>
          <w:sz w:val="24"/>
          <w:szCs w:val="24"/>
          <w:lang w:val="en-US" w:eastAsia="zh-CN"/>
          <w14:textOutline w14:w="4358" w14:cap="sq" w14:cmpd="sng">
            <w14:solidFill>
              <w14:srgbClr w14:val="000000"/>
            </w14:solidFill>
            <w14:prstDash w14:val="solid"/>
            <w14:bevel/>
          </w14:textOutline>
        </w:rPr>
        <w:t>制造商（境内总代理商）授权书</w:t>
      </w:r>
      <w:r>
        <w:rPr>
          <w:rFonts w:hint="eastAsia" w:ascii="宋体" w:hAnsi="宋体" w:eastAsia="宋体" w:cs="宋体"/>
          <w:b/>
          <w:bCs/>
          <w:color w:val="auto"/>
          <w:spacing w:val="-2"/>
          <w:sz w:val="24"/>
          <w:szCs w:val="24"/>
          <w:lang w:val="en-US" w:eastAsia="zh-CN"/>
          <w14:textOutline w14:w="4358" w14:cap="sq" w14:cmpd="sng">
            <w14:solidFill>
              <w14:srgbClr w14:val="000000"/>
            </w14:solidFill>
            <w14:prstDash w14:val="solid"/>
            <w14:bevel/>
          </w14:textOutline>
        </w:rPr>
        <w:t>（本项目不适用）</w:t>
      </w:r>
    </w:p>
    <w:p w14:paraId="1E5EECDB">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000000"/>
          <w:kern w:val="0"/>
          <w:sz w:val="21"/>
          <w:szCs w:val="21"/>
          <w:highlight w:val="none"/>
          <w:lang w:val="en-US" w:eastAsia="zh-CN" w:bidi="ar"/>
        </w:rPr>
      </w:pPr>
    </w:p>
    <w:p w14:paraId="3EF1F551">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val="en-US" w:eastAsia="zh-CN" w:bidi="ar"/>
        </w:rPr>
        <w:t>对于接受进口产品投标的品目且</w:t>
      </w:r>
      <w:r>
        <w:rPr>
          <w:rFonts w:hint="eastAsia" w:ascii="宋体" w:hAnsi="宋体" w:cs="宋体"/>
          <w:b w:val="0"/>
          <w:bCs w:val="0"/>
          <w:color w:val="000000"/>
          <w:kern w:val="0"/>
          <w:sz w:val="21"/>
          <w:szCs w:val="21"/>
          <w:highlight w:val="none"/>
          <w:lang w:val="en-US" w:eastAsia="zh-CN" w:bidi="ar"/>
        </w:rPr>
        <w:t>投标人</w:t>
      </w:r>
      <w:r>
        <w:rPr>
          <w:rFonts w:hint="eastAsia" w:ascii="宋体" w:hAnsi="宋体" w:eastAsia="宋体" w:cs="宋体"/>
          <w:b w:val="0"/>
          <w:bCs w:val="0"/>
          <w:color w:val="000000"/>
          <w:kern w:val="0"/>
          <w:sz w:val="21"/>
          <w:szCs w:val="21"/>
          <w:highlight w:val="none"/>
          <w:lang w:val="en-US" w:eastAsia="zh-CN" w:bidi="ar"/>
        </w:rPr>
        <w:t>以进口产品参加投标时，如投标货物非</w:t>
      </w:r>
      <w:r>
        <w:rPr>
          <w:rFonts w:hint="eastAsia" w:ascii="宋体" w:hAnsi="宋体" w:cs="宋体"/>
          <w:b w:val="0"/>
          <w:bCs w:val="0"/>
          <w:color w:val="000000"/>
          <w:kern w:val="0"/>
          <w:sz w:val="21"/>
          <w:szCs w:val="21"/>
          <w:highlight w:val="none"/>
          <w:lang w:val="en-US" w:eastAsia="zh-CN" w:bidi="ar"/>
        </w:rPr>
        <w:t>投标人</w:t>
      </w:r>
      <w:r>
        <w:rPr>
          <w:rFonts w:hint="eastAsia" w:ascii="宋体" w:hAnsi="宋体" w:eastAsia="宋体" w:cs="宋体"/>
          <w:b w:val="0"/>
          <w:bCs w:val="0"/>
          <w:color w:val="000000"/>
          <w:kern w:val="0"/>
          <w:sz w:val="21"/>
          <w:szCs w:val="21"/>
          <w:highlight w:val="none"/>
          <w:lang w:val="en-US" w:eastAsia="zh-CN" w:bidi="ar"/>
        </w:rPr>
        <w:t>所有或制造，</w:t>
      </w:r>
      <w:r>
        <w:rPr>
          <w:rFonts w:hint="eastAsia" w:ascii="宋体" w:hAnsi="宋体" w:cs="宋体"/>
          <w:b w:val="0"/>
          <w:bCs w:val="0"/>
          <w:color w:val="000000"/>
          <w:kern w:val="0"/>
          <w:sz w:val="21"/>
          <w:szCs w:val="21"/>
          <w:highlight w:val="none"/>
          <w:lang w:val="en-US" w:eastAsia="zh-CN" w:bidi="ar"/>
        </w:rPr>
        <w:t>投标人</w:t>
      </w:r>
      <w:r>
        <w:rPr>
          <w:rFonts w:hint="eastAsia" w:ascii="宋体" w:hAnsi="宋体" w:eastAsia="宋体" w:cs="宋体"/>
          <w:b w:val="0"/>
          <w:bCs w:val="0"/>
          <w:color w:val="000000"/>
          <w:kern w:val="0"/>
          <w:sz w:val="21"/>
          <w:szCs w:val="21"/>
          <w:highlight w:val="none"/>
          <w:lang w:val="en-US" w:eastAsia="zh-CN" w:bidi="ar"/>
        </w:rPr>
        <w:t>投标时须提供制造商（或其境内总代理的）就本项目所提供的投标品牌产品授权书，授权书中须要注明项目名称、招标编号、货物名称、品牌及型号，授权书格式可参考招标文件所附制造商（或境内总代理商）授权书格式，也可</w:t>
      </w:r>
      <w:r>
        <w:rPr>
          <w:rFonts w:hint="eastAsia" w:ascii="宋体" w:hAnsi="宋体" w:cs="宋体"/>
          <w:b w:val="0"/>
          <w:bCs w:val="0"/>
          <w:color w:val="000000"/>
          <w:kern w:val="0"/>
          <w:sz w:val="21"/>
          <w:szCs w:val="21"/>
          <w:highlight w:val="none"/>
          <w:lang w:val="en-US" w:eastAsia="zh-CN" w:bidi="ar"/>
        </w:rPr>
        <w:t>投标人</w:t>
      </w:r>
      <w:r>
        <w:rPr>
          <w:rFonts w:hint="eastAsia" w:ascii="宋体" w:hAnsi="宋体" w:eastAsia="宋体" w:cs="宋体"/>
          <w:b w:val="0"/>
          <w:bCs w:val="0"/>
          <w:color w:val="000000"/>
          <w:kern w:val="0"/>
          <w:sz w:val="21"/>
          <w:szCs w:val="21"/>
          <w:highlight w:val="none"/>
          <w:lang w:val="en-US" w:eastAsia="zh-CN" w:bidi="ar"/>
        </w:rPr>
        <w:t>自行拟定。如是境内总代理提供的产品授权书，投标人还须提供制造商给予境内总代理的正式授权文件的复印件，以证明所供货物来源的可靠性。</w:t>
      </w:r>
    </w:p>
    <w:p w14:paraId="2B0AD17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sz w:val="21"/>
          <w:szCs w:val="21"/>
          <w:highlight w:val="none"/>
        </w:rPr>
      </w:pPr>
    </w:p>
    <w:p w14:paraId="03BB7498">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制造商（境内总代理商）授权书（格式）</w:t>
      </w:r>
    </w:p>
    <w:p w14:paraId="13D227F0">
      <w:pPr>
        <w:pStyle w:val="5"/>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致：(采购</w:t>
      </w:r>
      <w:r>
        <w:rPr>
          <w:rFonts w:hint="eastAsia" w:ascii="宋体" w:hAnsi="宋体" w:cs="宋体"/>
          <w:b/>
          <w:bCs/>
          <w:sz w:val="21"/>
          <w:szCs w:val="21"/>
          <w:highlight w:val="none"/>
          <w:lang w:val="en-US" w:eastAsia="zh-CN"/>
        </w:rPr>
        <w:t>人名称</w:t>
      </w:r>
      <w:r>
        <w:rPr>
          <w:rFonts w:hint="eastAsia" w:ascii="宋体" w:hAnsi="宋体" w:eastAsia="宋体" w:cs="宋体"/>
          <w:b/>
          <w:bCs/>
          <w:sz w:val="21"/>
          <w:szCs w:val="21"/>
          <w:highlight w:val="none"/>
        </w:rPr>
        <w:t xml:space="preserve">) </w:t>
      </w:r>
    </w:p>
    <w:p w14:paraId="7D29E9C7">
      <w:pPr>
        <w:pStyle w:val="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我们</w:t>
      </w:r>
      <w:r>
        <w:rPr>
          <w:rFonts w:hint="eastAsia" w:ascii="宋体" w:hAnsi="宋体" w:eastAsia="宋体" w:cs="宋体"/>
          <w:sz w:val="21"/>
          <w:szCs w:val="21"/>
          <w:highlight w:val="none"/>
          <w:u w:val="single"/>
        </w:rPr>
        <w:t>（制造商或境内总代理商名称)</w:t>
      </w:r>
      <w:r>
        <w:rPr>
          <w:rFonts w:hint="eastAsia" w:ascii="宋体" w:hAnsi="宋体" w:eastAsia="宋体" w:cs="宋体"/>
          <w:sz w:val="21"/>
          <w:szCs w:val="21"/>
          <w:highlight w:val="none"/>
        </w:rPr>
        <w:t xml:space="preserve"> 是按</w:t>
      </w:r>
      <w:r>
        <w:rPr>
          <w:rFonts w:hint="eastAsia" w:ascii="宋体" w:hAnsi="宋体" w:eastAsia="宋体" w:cs="宋体"/>
          <w:sz w:val="21"/>
          <w:szCs w:val="21"/>
          <w:highlight w:val="none"/>
          <w:u w:val="single"/>
        </w:rPr>
        <w:t xml:space="preserve">（国家名称) </w:t>
      </w:r>
      <w:r>
        <w:rPr>
          <w:rFonts w:hint="eastAsia" w:ascii="宋体" w:hAnsi="宋体" w:eastAsia="宋体" w:cs="宋体"/>
          <w:sz w:val="21"/>
          <w:szCs w:val="21"/>
          <w:highlight w:val="none"/>
        </w:rPr>
        <w:t>法律成立的一家制造商</w:t>
      </w:r>
      <w:r>
        <w:rPr>
          <w:rFonts w:hint="eastAsia" w:ascii="宋体" w:hAnsi="宋体" w:eastAsia="宋体" w:cs="宋体"/>
          <w:sz w:val="21"/>
          <w:szCs w:val="21"/>
          <w:highlight w:val="none"/>
          <w:u w:val="single"/>
        </w:rPr>
        <w:t>（的境内总代理</w:t>
      </w:r>
    </w:p>
    <w:p w14:paraId="196BD144">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商）</w:t>
      </w:r>
      <w:r>
        <w:rPr>
          <w:rFonts w:hint="eastAsia" w:ascii="宋体" w:hAnsi="宋体" w:eastAsia="宋体" w:cs="宋体"/>
          <w:sz w:val="21"/>
          <w:szCs w:val="21"/>
          <w:highlight w:val="none"/>
        </w:rPr>
        <w:t>，主要营业地点设在</w:t>
      </w:r>
      <w:r>
        <w:rPr>
          <w:rFonts w:hint="eastAsia" w:ascii="宋体" w:hAnsi="宋体" w:eastAsia="宋体" w:cs="宋体"/>
          <w:sz w:val="21"/>
          <w:szCs w:val="21"/>
          <w:highlight w:val="none"/>
          <w:u w:val="single"/>
        </w:rPr>
        <w:t>（制造商、境内总代理商地址)</w:t>
      </w:r>
      <w:r>
        <w:rPr>
          <w:rFonts w:hint="eastAsia" w:ascii="宋体" w:hAnsi="宋体" w:eastAsia="宋体" w:cs="宋体"/>
          <w:sz w:val="21"/>
          <w:szCs w:val="21"/>
          <w:highlight w:val="none"/>
        </w:rPr>
        <w:t xml:space="preserve"> 。兹指派按</w:t>
      </w:r>
      <w:r>
        <w:rPr>
          <w:rFonts w:hint="eastAsia" w:ascii="宋体" w:hAnsi="宋体" w:eastAsia="宋体" w:cs="宋体"/>
          <w:sz w:val="21"/>
          <w:szCs w:val="21"/>
          <w:highlight w:val="none"/>
          <w:u w:val="single"/>
        </w:rPr>
        <w:t>（国家名称)</w:t>
      </w:r>
      <w:r>
        <w:rPr>
          <w:rFonts w:hint="eastAsia" w:ascii="宋体" w:hAnsi="宋体" w:eastAsia="宋体" w:cs="宋体"/>
          <w:sz w:val="21"/>
          <w:szCs w:val="21"/>
          <w:highlight w:val="none"/>
        </w:rPr>
        <w:t xml:space="preserve"> 的法律正式成立</w:t>
      </w:r>
    </w:p>
    <w:p w14:paraId="4F8CF8CD">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的，主要营业地点设在</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eastAsia="zh-CN"/>
        </w:rPr>
        <w:t>投标人</w:t>
      </w:r>
      <w:r>
        <w:rPr>
          <w:rFonts w:hint="eastAsia" w:ascii="宋体" w:hAnsi="宋体" w:eastAsia="宋体" w:cs="宋体"/>
          <w:sz w:val="21"/>
          <w:szCs w:val="21"/>
          <w:highlight w:val="none"/>
          <w:u w:val="single"/>
        </w:rPr>
        <w:t xml:space="preserve">地址) </w:t>
      </w:r>
      <w:r>
        <w:rPr>
          <w:rFonts w:hint="eastAsia" w:ascii="宋体" w:hAnsi="宋体" w:eastAsia="宋体" w:cs="宋体"/>
          <w:sz w:val="21"/>
          <w:szCs w:val="21"/>
          <w:highlight w:val="none"/>
        </w:rPr>
        <w:t>的</w:t>
      </w:r>
      <w:r>
        <w:rPr>
          <w:rFonts w:hint="eastAsia" w:ascii="宋体" w:hAnsi="宋体" w:eastAsia="宋体" w:cs="宋体"/>
          <w:sz w:val="21"/>
          <w:szCs w:val="21"/>
          <w:highlight w:val="none"/>
          <w:u w:val="single"/>
        </w:rPr>
        <w:t>（</w:t>
      </w:r>
      <w:r>
        <w:rPr>
          <w:rFonts w:hint="eastAsia" w:ascii="宋体" w:hAnsi="宋体" w:cs="宋体"/>
          <w:sz w:val="21"/>
          <w:szCs w:val="21"/>
          <w:highlight w:val="none"/>
          <w:u w:val="single"/>
          <w:lang w:eastAsia="zh-CN"/>
        </w:rPr>
        <w:t>投标人</w:t>
      </w:r>
      <w:r>
        <w:rPr>
          <w:rFonts w:hint="eastAsia" w:ascii="宋体" w:hAnsi="宋体" w:eastAsia="宋体" w:cs="宋体"/>
          <w:sz w:val="21"/>
          <w:szCs w:val="21"/>
          <w:highlight w:val="none"/>
          <w:u w:val="single"/>
        </w:rPr>
        <w:t xml:space="preserve">名称） </w:t>
      </w:r>
      <w:r>
        <w:rPr>
          <w:rFonts w:hint="eastAsia" w:ascii="宋体" w:hAnsi="宋体" w:eastAsia="宋体" w:cs="宋体"/>
          <w:sz w:val="21"/>
          <w:szCs w:val="21"/>
          <w:highlight w:val="none"/>
        </w:rPr>
        <w:t>作为我方真正的和合法的代理人进行下</w:t>
      </w:r>
    </w:p>
    <w:p w14:paraId="63A6B757">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列有效的活动：</w:t>
      </w:r>
    </w:p>
    <w:p w14:paraId="47926368">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(1)代表我方在中华人民共和国办理贵方第</w:t>
      </w:r>
      <w:r>
        <w:rPr>
          <w:rFonts w:hint="eastAsia" w:ascii="宋体" w:hAnsi="宋体" w:eastAsia="宋体" w:cs="宋体"/>
          <w:sz w:val="21"/>
          <w:szCs w:val="21"/>
          <w:highlight w:val="none"/>
          <w:u w:val="single"/>
        </w:rPr>
        <w:t xml:space="preserve"> （招标编号） </w:t>
      </w:r>
      <w:r>
        <w:rPr>
          <w:rFonts w:hint="eastAsia" w:ascii="宋体" w:hAnsi="宋体" w:eastAsia="宋体" w:cs="宋体"/>
          <w:sz w:val="21"/>
          <w:szCs w:val="21"/>
          <w:highlight w:val="none"/>
        </w:rPr>
        <w:t>号投标邀请要求提供的由我方</w:t>
      </w:r>
      <w:r>
        <w:rPr>
          <w:rFonts w:hint="eastAsia" w:ascii="宋体" w:hAnsi="宋体" w:eastAsia="宋体" w:cs="宋体"/>
          <w:sz w:val="21"/>
          <w:szCs w:val="21"/>
          <w:highlight w:val="none"/>
          <w:u w:val="single"/>
        </w:rPr>
        <w:t>（制</w:t>
      </w:r>
    </w:p>
    <w:p w14:paraId="60F4EF58">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造商）</w:t>
      </w:r>
      <w:r>
        <w:rPr>
          <w:rFonts w:hint="eastAsia" w:ascii="宋体" w:hAnsi="宋体" w:eastAsia="宋体" w:cs="宋体"/>
          <w:sz w:val="21"/>
          <w:szCs w:val="21"/>
          <w:highlight w:val="none"/>
        </w:rPr>
        <w:t>制造的</w:t>
      </w:r>
      <w:r>
        <w:rPr>
          <w:rFonts w:hint="eastAsia" w:ascii="宋体" w:hAnsi="宋体" w:eastAsia="宋体" w:cs="宋体"/>
          <w:sz w:val="21"/>
          <w:szCs w:val="21"/>
          <w:highlight w:val="none"/>
          <w:u w:val="single"/>
        </w:rPr>
        <w:t>包号（品目号）货物名称（型号）</w:t>
      </w:r>
      <w:r>
        <w:rPr>
          <w:rFonts w:hint="eastAsia" w:ascii="宋体" w:hAnsi="宋体" w:eastAsia="宋体" w:cs="宋体"/>
          <w:sz w:val="21"/>
          <w:szCs w:val="21"/>
          <w:highlight w:val="none"/>
        </w:rPr>
        <w:t>的有关事宜，并对我方具有约束力。</w:t>
      </w:r>
    </w:p>
    <w:p w14:paraId="247FAE23">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(2)作为制造商</w:t>
      </w:r>
      <w:r>
        <w:rPr>
          <w:rFonts w:hint="eastAsia" w:ascii="宋体" w:hAnsi="宋体" w:eastAsia="宋体" w:cs="宋体"/>
          <w:sz w:val="21"/>
          <w:szCs w:val="21"/>
          <w:highlight w:val="none"/>
          <w:u w:val="single"/>
        </w:rPr>
        <w:t>（的境内总代理商）</w:t>
      </w:r>
      <w:r>
        <w:rPr>
          <w:rFonts w:hint="eastAsia" w:ascii="宋体" w:hAnsi="宋体" w:eastAsia="宋体" w:cs="宋体"/>
          <w:sz w:val="21"/>
          <w:szCs w:val="21"/>
          <w:highlight w:val="none"/>
        </w:rPr>
        <w:t>，我方保证以投标合作者来约束自己，并对该投标共同和分</w:t>
      </w:r>
    </w:p>
    <w:p w14:paraId="771E371F">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别承担招标文件中所规定的义务。</w:t>
      </w:r>
    </w:p>
    <w:p w14:paraId="454D35B3">
      <w:pPr>
        <w:pStyle w:val="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(3)我方兹授予</w:t>
      </w:r>
      <w:r>
        <w:rPr>
          <w:rFonts w:hint="eastAsia" w:ascii="宋体" w:hAnsi="宋体" w:eastAsia="宋体" w:cs="宋体"/>
          <w:sz w:val="21"/>
          <w:szCs w:val="21"/>
          <w:highlight w:val="none"/>
          <w:u w:val="single"/>
        </w:rPr>
        <w:t>（</w:t>
      </w:r>
      <w:r>
        <w:rPr>
          <w:rFonts w:hint="eastAsia" w:ascii="宋体" w:hAnsi="宋体" w:cs="宋体"/>
          <w:sz w:val="21"/>
          <w:szCs w:val="21"/>
          <w:highlight w:val="none"/>
          <w:u w:val="single"/>
          <w:lang w:eastAsia="zh-CN"/>
        </w:rPr>
        <w:t>投标人</w:t>
      </w:r>
      <w:r>
        <w:rPr>
          <w:rFonts w:hint="eastAsia" w:ascii="宋体" w:hAnsi="宋体" w:eastAsia="宋体" w:cs="宋体"/>
          <w:sz w:val="21"/>
          <w:szCs w:val="21"/>
          <w:highlight w:val="none"/>
          <w:u w:val="single"/>
        </w:rPr>
        <w:t xml:space="preserve">名称） </w:t>
      </w:r>
      <w:r>
        <w:rPr>
          <w:rFonts w:hint="eastAsia" w:ascii="宋体" w:hAnsi="宋体" w:eastAsia="宋体" w:cs="宋体"/>
          <w:sz w:val="21"/>
          <w:szCs w:val="21"/>
          <w:highlight w:val="none"/>
        </w:rPr>
        <w:t>全权办理和履行上述我方为完成上述各点所必须的事宜，具有</w:t>
      </w:r>
    </w:p>
    <w:p w14:paraId="0FE03F75">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替换或撤消的全权。兹确认</w:t>
      </w:r>
      <w:r>
        <w:rPr>
          <w:rFonts w:hint="eastAsia" w:ascii="宋体" w:hAnsi="宋体" w:eastAsia="宋体" w:cs="宋体"/>
          <w:sz w:val="21"/>
          <w:szCs w:val="21"/>
          <w:highlight w:val="none"/>
          <w:u w:val="single"/>
        </w:rPr>
        <w:t>（</w:t>
      </w:r>
      <w:r>
        <w:rPr>
          <w:rFonts w:hint="eastAsia" w:ascii="宋体" w:hAnsi="宋体" w:cs="宋体"/>
          <w:sz w:val="21"/>
          <w:szCs w:val="21"/>
          <w:highlight w:val="none"/>
          <w:u w:val="single"/>
          <w:lang w:eastAsia="zh-CN"/>
        </w:rPr>
        <w:t>投标人</w:t>
      </w:r>
      <w:r>
        <w:rPr>
          <w:rFonts w:hint="eastAsia" w:ascii="宋体" w:hAnsi="宋体" w:eastAsia="宋体" w:cs="宋体"/>
          <w:sz w:val="21"/>
          <w:szCs w:val="21"/>
          <w:highlight w:val="none"/>
          <w:u w:val="single"/>
        </w:rPr>
        <w:t>名称）</w:t>
      </w:r>
      <w:r>
        <w:rPr>
          <w:rFonts w:hint="eastAsia" w:ascii="宋体" w:hAnsi="宋体" w:eastAsia="宋体" w:cs="宋体"/>
          <w:sz w:val="21"/>
          <w:szCs w:val="21"/>
          <w:highlight w:val="none"/>
        </w:rPr>
        <w:t xml:space="preserve"> 或其正式授权代表依此合法地办理一切事宜。</w:t>
      </w:r>
    </w:p>
    <w:p w14:paraId="37AE131A">
      <w:pPr>
        <w:pStyle w:val="5"/>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（4）作为境内总代理商，随此函，附上</w:t>
      </w:r>
      <w:r>
        <w:rPr>
          <w:rFonts w:hint="eastAsia" w:ascii="宋体" w:hAnsi="宋体" w:eastAsia="宋体" w:cs="宋体"/>
          <w:sz w:val="21"/>
          <w:szCs w:val="21"/>
          <w:highlight w:val="none"/>
          <w:u w:val="single"/>
        </w:rPr>
        <w:t>（制造商名称）</w:t>
      </w:r>
      <w:r>
        <w:rPr>
          <w:rFonts w:hint="eastAsia" w:ascii="宋体" w:hAnsi="宋体" w:eastAsia="宋体" w:cs="宋体"/>
          <w:sz w:val="21"/>
          <w:szCs w:val="21"/>
          <w:highlight w:val="none"/>
        </w:rPr>
        <w:t>给我方</w:t>
      </w:r>
      <w:r>
        <w:rPr>
          <w:rFonts w:hint="eastAsia" w:ascii="宋体" w:hAnsi="宋体" w:eastAsia="宋体" w:cs="宋体"/>
          <w:sz w:val="21"/>
          <w:szCs w:val="21"/>
          <w:highlight w:val="none"/>
          <w:u w:val="single"/>
        </w:rPr>
        <w:t>（境内总代理）</w:t>
      </w:r>
      <w:r>
        <w:rPr>
          <w:rFonts w:hint="eastAsia" w:ascii="宋体" w:hAnsi="宋体" w:eastAsia="宋体" w:cs="宋体"/>
          <w:sz w:val="21"/>
          <w:szCs w:val="21"/>
          <w:highlight w:val="none"/>
        </w:rPr>
        <w:t>的正式授权文</w:t>
      </w:r>
    </w:p>
    <w:p w14:paraId="001E5175">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件复印件，以证明我方提供货物来源的可靠性。</w:t>
      </w:r>
    </w:p>
    <w:p w14:paraId="45DEE7FE">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我方于</w:t>
      </w:r>
      <w:r>
        <w:rPr>
          <w:rFonts w:hint="eastAsia" w:ascii="宋体" w:hAnsi="宋体" w:eastAsia="宋体" w:cs="宋体"/>
          <w:sz w:val="21"/>
          <w:szCs w:val="21"/>
          <w:highlight w:val="none"/>
          <w:u w:val="single"/>
        </w:rPr>
        <w:t xml:space="preserve"> 年 月 日</w:t>
      </w:r>
      <w:r>
        <w:rPr>
          <w:rFonts w:hint="eastAsia" w:ascii="宋体" w:hAnsi="宋体" w:eastAsia="宋体" w:cs="宋体"/>
          <w:sz w:val="21"/>
          <w:szCs w:val="21"/>
          <w:highlight w:val="none"/>
        </w:rPr>
        <w:t>签署本文件，</w:t>
      </w:r>
      <w:r>
        <w:rPr>
          <w:rFonts w:hint="eastAsia" w:ascii="宋体" w:hAnsi="宋体" w:eastAsia="宋体" w:cs="宋体"/>
          <w:sz w:val="21"/>
          <w:szCs w:val="21"/>
          <w:highlight w:val="none"/>
          <w:u w:val="single"/>
        </w:rPr>
        <w:t>（</w:t>
      </w:r>
      <w:r>
        <w:rPr>
          <w:rFonts w:hint="eastAsia" w:ascii="宋体" w:hAnsi="宋体" w:cs="宋体"/>
          <w:sz w:val="21"/>
          <w:szCs w:val="21"/>
          <w:highlight w:val="none"/>
          <w:u w:val="single"/>
          <w:lang w:eastAsia="zh-CN"/>
        </w:rPr>
        <w:t>投标人</w:t>
      </w:r>
      <w:r>
        <w:rPr>
          <w:rFonts w:hint="eastAsia" w:ascii="宋体" w:hAnsi="宋体" w:eastAsia="宋体" w:cs="宋体"/>
          <w:sz w:val="21"/>
          <w:szCs w:val="21"/>
          <w:highlight w:val="none"/>
          <w:u w:val="single"/>
        </w:rPr>
        <w:t xml:space="preserve">名称) </w:t>
      </w:r>
      <w:r>
        <w:rPr>
          <w:rFonts w:hint="eastAsia" w:ascii="宋体" w:hAnsi="宋体" w:eastAsia="宋体" w:cs="宋体"/>
          <w:sz w:val="21"/>
          <w:szCs w:val="21"/>
          <w:highlight w:val="none"/>
        </w:rPr>
        <w:t>于</w:t>
      </w:r>
      <w:r>
        <w:rPr>
          <w:rFonts w:hint="eastAsia" w:ascii="宋体" w:hAnsi="宋体" w:eastAsia="宋体" w:cs="宋体"/>
          <w:sz w:val="21"/>
          <w:szCs w:val="21"/>
          <w:highlight w:val="none"/>
          <w:u w:val="single"/>
        </w:rPr>
        <w:t xml:space="preserve"> 年 月 日</w:t>
      </w:r>
      <w:r>
        <w:rPr>
          <w:rFonts w:hint="eastAsia" w:ascii="宋体" w:hAnsi="宋体" w:eastAsia="宋体" w:cs="宋体"/>
          <w:sz w:val="21"/>
          <w:szCs w:val="21"/>
          <w:highlight w:val="none"/>
        </w:rPr>
        <w:t>接受</w:t>
      </w:r>
    </w:p>
    <w:p w14:paraId="0D7B3543">
      <w:pPr>
        <w:pStyle w:val="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此件，以此为证。</w:t>
      </w:r>
    </w:p>
    <w:p w14:paraId="32DBB2B2">
      <w:pPr>
        <w:pStyle w:val="5"/>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sz w:val="21"/>
          <w:szCs w:val="21"/>
          <w:highlight w:val="none"/>
        </w:rPr>
      </w:pPr>
      <w:r>
        <w:rPr>
          <w:rFonts w:hint="eastAsia" w:ascii="宋体" w:hAnsi="宋体" w:cs="宋体"/>
          <w:sz w:val="21"/>
          <w:szCs w:val="21"/>
          <w:highlight w:val="none"/>
          <w:lang w:eastAsia="zh-CN"/>
        </w:rPr>
        <w:t>投标人</w:t>
      </w:r>
      <w:r>
        <w:rPr>
          <w:rFonts w:hint="eastAsia" w:ascii="宋体" w:hAnsi="宋体" w:eastAsia="宋体" w:cs="宋体"/>
          <w:sz w:val="21"/>
          <w:szCs w:val="21"/>
          <w:highlight w:val="none"/>
        </w:rPr>
        <w:t>名称：</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制造商（境内总代理商）名称： </w:t>
      </w:r>
    </w:p>
    <w:p w14:paraId="5852F86A">
      <w:pPr>
        <w:pStyle w:val="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（单位公章）：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（单位公章）：</w:t>
      </w:r>
    </w:p>
    <w:p w14:paraId="05EC8DBD">
      <w:pPr>
        <w:pStyle w:val="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签字人职务和部门：</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签字人职务和部门： </w:t>
      </w:r>
    </w:p>
    <w:p w14:paraId="6EBD8A91">
      <w:pPr>
        <w:pStyle w:val="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法定代表人或授权代表签字：</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签字人签字：</w:t>
      </w:r>
    </w:p>
    <w:p w14:paraId="049D0BA2">
      <w:pPr>
        <w:rPr>
          <w:rFonts w:hint="eastAsia" w:ascii="宋体" w:hAnsi="宋体" w:eastAsia="宋体" w:cs="宋体"/>
          <w:b/>
          <w:bCs/>
          <w:color w:val="auto"/>
          <w:spacing w:val="-2"/>
          <w:sz w:val="24"/>
          <w:szCs w:val="24"/>
          <w:lang w:eastAsia="zh-CN"/>
          <w14:textOutline w14:w="4358" w14:cap="sq" w14:cmpd="sng">
            <w14:solidFill>
              <w14:srgbClr w14:val="000000"/>
            </w14:solidFill>
            <w14:prstDash w14:val="solid"/>
            <w14:bevel/>
          </w14:textOutline>
        </w:rPr>
      </w:pPr>
      <w:r>
        <w:rPr>
          <w:rFonts w:hint="eastAsia" w:ascii="宋体" w:hAnsi="宋体" w:eastAsia="宋体" w:cs="宋体"/>
          <w:b/>
          <w:bCs/>
          <w:color w:val="auto"/>
          <w:spacing w:val="-2"/>
          <w:sz w:val="24"/>
          <w:szCs w:val="24"/>
          <w:lang w:eastAsia="zh-CN"/>
          <w14:textOutline w14:w="4358" w14:cap="sq" w14:cmpd="sng">
            <w14:solidFill>
              <w14:srgbClr w14:val="000000"/>
            </w14:solidFill>
            <w14:prstDash w14:val="solid"/>
            <w14:bevel/>
          </w14:textOutline>
        </w:rPr>
        <w:br w:type="page"/>
      </w:r>
    </w:p>
    <w:p w14:paraId="3D7E169F">
      <w:pPr>
        <w:spacing w:before="182" w:line="221" w:lineRule="auto"/>
        <w:outlineLvl w:val="9"/>
        <w:rPr>
          <w:rFonts w:hint="eastAsia" w:ascii="宋体" w:hAnsi="宋体" w:eastAsia="宋体" w:cs="宋体"/>
          <w:b/>
          <w:bCs/>
          <w:color w:val="auto"/>
          <w:spacing w:val="-17"/>
          <w:sz w:val="24"/>
          <w:szCs w:val="24"/>
        </w:rPr>
      </w:pPr>
      <w:r>
        <w:rPr>
          <w:rFonts w:hint="eastAsia" w:ascii="宋体" w:hAnsi="宋体" w:eastAsia="宋体" w:cs="宋体"/>
          <w:b/>
          <w:bCs/>
          <w:color w:val="auto"/>
          <w:spacing w:val="-2"/>
          <w:sz w:val="24"/>
          <w:szCs w:val="24"/>
          <w:lang w:eastAsia="zh-CN"/>
          <w14:textOutline w14:w="4358" w14:cap="sq" w14:cmpd="sng">
            <w14:solidFill>
              <w14:srgbClr w14:val="000000"/>
            </w14:solidFill>
            <w14:prstDash w14:val="solid"/>
            <w14:bevel/>
          </w14:textOutline>
        </w:rPr>
        <w:t>格式</w:t>
      </w:r>
      <w:r>
        <w:rPr>
          <w:rFonts w:hint="eastAsia" w:ascii="宋体" w:hAnsi="宋体" w:eastAsia="宋体" w:cs="宋体"/>
          <w:b/>
          <w:bCs/>
          <w:color w:val="auto"/>
          <w:spacing w:val="-2"/>
          <w:sz w:val="24"/>
          <w:szCs w:val="24"/>
          <w14:textOutline w14:w="4358" w14:cap="sq" w14:cmpd="sng">
            <w14:solidFill>
              <w14:srgbClr w14:val="000000"/>
            </w14:solidFill>
            <w14:prstDash w14:val="solid"/>
            <w14:bevel/>
          </w14:textOutline>
        </w:rPr>
        <w:t>十</w:t>
      </w:r>
      <w:r>
        <w:rPr>
          <w:rFonts w:hint="eastAsia" w:ascii="宋体" w:hAnsi="宋体" w:eastAsia="宋体" w:cs="宋体"/>
          <w:b/>
          <w:bCs/>
          <w:color w:val="auto"/>
          <w:spacing w:val="-2"/>
          <w:sz w:val="24"/>
          <w:szCs w:val="24"/>
          <w:lang w:eastAsia="zh-CN"/>
          <w14:textOutline w14:w="4358" w14:cap="sq" w14:cmpd="sng">
            <w14:solidFill>
              <w14:srgbClr w14:val="000000"/>
            </w14:solidFill>
            <w14:prstDash w14:val="solid"/>
            <w14:bevel/>
          </w14:textOutline>
        </w:rPr>
        <w:t>三：招标文件要求提供或供应商认为需要提供的其它材料</w:t>
      </w:r>
    </w:p>
    <w:p w14:paraId="32587F31"/>
    <w:sectPr>
      <w:footerReference r:id="rId6" w:type="default"/>
      <w:pgSz w:w="11906" w:h="16839"/>
      <w:pgMar w:top="1440" w:right="1310" w:bottom="1440" w:left="1310" w:header="227" w:footer="907"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359CD">
    <w:pPr>
      <w:spacing w:line="169" w:lineRule="auto"/>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A8832">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57D1E4">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857D1E4">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EE560B"/>
    <w:multiLevelType w:val="singleLevel"/>
    <w:tmpl w:val="C7EE560B"/>
    <w:lvl w:ilvl="0" w:tentative="0">
      <w:start w:val="1"/>
      <w:numFmt w:val="decimal"/>
      <w:suff w:val="nothing"/>
      <w:lvlText w:val="%1、"/>
      <w:lvlJc w:val="left"/>
    </w:lvl>
  </w:abstractNum>
  <w:abstractNum w:abstractNumId="1">
    <w:nsid w:val="D3FA9103"/>
    <w:multiLevelType w:val="singleLevel"/>
    <w:tmpl w:val="D3FA9103"/>
    <w:lvl w:ilvl="0" w:tentative="0">
      <w:start w:val="1"/>
      <w:numFmt w:val="decimal"/>
      <w:suff w:val="nothing"/>
      <w:lvlText w:val="%1、"/>
      <w:lvlJc w:val="left"/>
    </w:lvl>
  </w:abstractNum>
  <w:abstractNum w:abstractNumId="2">
    <w:nsid w:val="EDDE1367"/>
    <w:multiLevelType w:val="singleLevel"/>
    <w:tmpl w:val="EDDE1367"/>
    <w:lvl w:ilvl="0" w:tentative="0">
      <w:start w:val="1"/>
      <w:numFmt w:val="decimal"/>
      <w:suff w:val="nothing"/>
      <w:lvlText w:val="%1、"/>
      <w:lvlJc w:val="left"/>
    </w:lvl>
  </w:abstractNum>
  <w:abstractNum w:abstractNumId="3">
    <w:nsid w:val="F05D4DB6"/>
    <w:multiLevelType w:val="singleLevel"/>
    <w:tmpl w:val="F05D4DB6"/>
    <w:lvl w:ilvl="0" w:tentative="0">
      <w:start w:val="5"/>
      <w:numFmt w:val="chineseCounting"/>
      <w:suff w:val="space"/>
      <w:lvlText w:val="第%1章"/>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revisionView w:markup="0"/>
  <w:trackRevisions w:val="1"/>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2NiZTc2ZGI4ODRjMTRjMzAzYzljNTM1ZjY3YTRmZmIifQ=="/>
  </w:docVars>
  <w:rsids>
    <w:rsidRoot w:val="00000000"/>
    <w:rsid w:val="0023368B"/>
    <w:rsid w:val="002933B0"/>
    <w:rsid w:val="006A1D80"/>
    <w:rsid w:val="007F0A1D"/>
    <w:rsid w:val="00991ADF"/>
    <w:rsid w:val="00D72607"/>
    <w:rsid w:val="01205D5C"/>
    <w:rsid w:val="0199142D"/>
    <w:rsid w:val="01AF7DBD"/>
    <w:rsid w:val="01BF5575"/>
    <w:rsid w:val="01C0753F"/>
    <w:rsid w:val="01DD59FB"/>
    <w:rsid w:val="01F87C91"/>
    <w:rsid w:val="021A2C80"/>
    <w:rsid w:val="026B3007"/>
    <w:rsid w:val="028C44B2"/>
    <w:rsid w:val="02BE582C"/>
    <w:rsid w:val="02C670B3"/>
    <w:rsid w:val="035B12CD"/>
    <w:rsid w:val="0397679F"/>
    <w:rsid w:val="03FB660C"/>
    <w:rsid w:val="043833BC"/>
    <w:rsid w:val="045F4DED"/>
    <w:rsid w:val="04A506F4"/>
    <w:rsid w:val="04DE2623"/>
    <w:rsid w:val="04DF5F2E"/>
    <w:rsid w:val="04F50FAA"/>
    <w:rsid w:val="054A784B"/>
    <w:rsid w:val="058E7052"/>
    <w:rsid w:val="05D14557"/>
    <w:rsid w:val="05EB5B14"/>
    <w:rsid w:val="060C4B01"/>
    <w:rsid w:val="061E65E2"/>
    <w:rsid w:val="067A1543"/>
    <w:rsid w:val="067A5F0E"/>
    <w:rsid w:val="06813F88"/>
    <w:rsid w:val="06BB2083"/>
    <w:rsid w:val="06CE625A"/>
    <w:rsid w:val="06D326D5"/>
    <w:rsid w:val="06E96BF0"/>
    <w:rsid w:val="070752C8"/>
    <w:rsid w:val="070C1155"/>
    <w:rsid w:val="073C7F89"/>
    <w:rsid w:val="07BA233A"/>
    <w:rsid w:val="08060567"/>
    <w:rsid w:val="080762A1"/>
    <w:rsid w:val="081E0B1B"/>
    <w:rsid w:val="08465104"/>
    <w:rsid w:val="08983D41"/>
    <w:rsid w:val="08B5322E"/>
    <w:rsid w:val="08C6173B"/>
    <w:rsid w:val="08E65E91"/>
    <w:rsid w:val="08EE00FB"/>
    <w:rsid w:val="09246605"/>
    <w:rsid w:val="095A761A"/>
    <w:rsid w:val="0992356F"/>
    <w:rsid w:val="09B07E99"/>
    <w:rsid w:val="09CD0A4B"/>
    <w:rsid w:val="09FE6E56"/>
    <w:rsid w:val="0A570314"/>
    <w:rsid w:val="0A621193"/>
    <w:rsid w:val="0AB47515"/>
    <w:rsid w:val="0ACE4378"/>
    <w:rsid w:val="0AF85654"/>
    <w:rsid w:val="0B1A7CC0"/>
    <w:rsid w:val="0B285819"/>
    <w:rsid w:val="0B655D05"/>
    <w:rsid w:val="0B8E5FB8"/>
    <w:rsid w:val="0BB023D2"/>
    <w:rsid w:val="0C686809"/>
    <w:rsid w:val="0C9E2909"/>
    <w:rsid w:val="0CB67574"/>
    <w:rsid w:val="0D366907"/>
    <w:rsid w:val="0D444B80"/>
    <w:rsid w:val="0D6945E7"/>
    <w:rsid w:val="0D921D8F"/>
    <w:rsid w:val="0D9D2160"/>
    <w:rsid w:val="0DB549ED"/>
    <w:rsid w:val="0DF465A6"/>
    <w:rsid w:val="0DF77E44"/>
    <w:rsid w:val="0E0B1397"/>
    <w:rsid w:val="0E6C1257"/>
    <w:rsid w:val="0E8F4521"/>
    <w:rsid w:val="0EA16002"/>
    <w:rsid w:val="0F407486"/>
    <w:rsid w:val="0F713C26"/>
    <w:rsid w:val="0FBE7DA0"/>
    <w:rsid w:val="0FD77F2D"/>
    <w:rsid w:val="0FF90A42"/>
    <w:rsid w:val="101E3DAE"/>
    <w:rsid w:val="102D5D9F"/>
    <w:rsid w:val="105E1836"/>
    <w:rsid w:val="106B4B1A"/>
    <w:rsid w:val="10863702"/>
    <w:rsid w:val="108E069D"/>
    <w:rsid w:val="109B4C39"/>
    <w:rsid w:val="10B4201D"/>
    <w:rsid w:val="10E072B6"/>
    <w:rsid w:val="10F92232"/>
    <w:rsid w:val="10FE773C"/>
    <w:rsid w:val="112C24FB"/>
    <w:rsid w:val="112C74C4"/>
    <w:rsid w:val="116A6A33"/>
    <w:rsid w:val="117F087D"/>
    <w:rsid w:val="11825E91"/>
    <w:rsid w:val="11E931F7"/>
    <w:rsid w:val="120B3EBE"/>
    <w:rsid w:val="12107727"/>
    <w:rsid w:val="123245ED"/>
    <w:rsid w:val="124B075F"/>
    <w:rsid w:val="12AA36D7"/>
    <w:rsid w:val="12D04177"/>
    <w:rsid w:val="12F928B1"/>
    <w:rsid w:val="13124658"/>
    <w:rsid w:val="13206EE8"/>
    <w:rsid w:val="1323348A"/>
    <w:rsid w:val="132D60B6"/>
    <w:rsid w:val="137F57C6"/>
    <w:rsid w:val="13893C35"/>
    <w:rsid w:val="13C0517C"/>
    <w:rsid w:val="13FF5CA5"/>
    <w:rsid w:val="146A2CD4"/>
    <w:rsid w:val="14773EFA"/>
    <w:rsid w:val="148562AE"/>
    <w:rsid w:val="1496317F"/>
    <w:rsid w:val="14AA20B4"/>
    <w:rsid w:val="14AF2A28"/>
    <w:rsid w:val="14B940A6"/>
    <w:rsid w:val="14EC032E"/>
    <w:rsid w:val="14ED0B7F"/>
    <w:rsid w:val="15383038"/>
    <w:rsid w:val="155B7A5E"/>
    <w:rsid w:val="158F12AA"/>
    <w:rsid w:val="159871D3"/>
    <w:rsid w:val="15A20FDE"/>
    <w:rsid w:val="15BD5E17"/>
    <w:rsid w:val="15BE2A7A"/>
    <w:rsid w:val="15D370D2"/>
    <w:rsid w:val="16002E0D"/>
    <w:rsid w:val="16832BBD"/>
    <w:rsid w:val="16842491"/>
    <w:rsid w:val="16A56DF3"/>
    <w:rsid w:val="16AE139D"/>
    <w:rsid w:val="16C60CFC"/>
    <w:rsid w:val="16C64858"/>
    <w:rsid w:val="16FA66B9"/>
    <w:rsid w:val="17242CEB"/>
    <w:rsid w:val="17A032FB"/>
    <w:rsid w:val="17D46DFC"/>
    <w:rsid w:val="18062C47"/>
    <w:rsid w:val="18164387"/>
    <w:rsid w:val="187C12F9"/>
    <w:rsid w:val="1890511D"/>
    <w:rsid w:val="18B87B08"/>
    <w:rsid w:val="18D47700"/>
    <w:rsid w:val="18E54327"/>
    <w:rsid w:val="190660FA"/>
    <w:rsid w:val="196565AA"/>
    <w:rsid w:val="19771D42"/>
    <w:rsid w:val="19866520"/>
    <w:rsid w:val="19AF3CC9"/>
    <w:rsid w:val="19C1642A"/>
    <w:rsid w:val="19C71013"/>
    <w:rsid w:val="19C82314"/>
    <w:rsid w:val="19D41982"/>
    <w:rsid w:val="1A07140F"/>
    <w:rsid w:val="1A1E5813"/>
    <w:rsid w:val="1A5D1977"/>
    <w:rsid w:val="1A700CC5"/>
    <w:rsid w:val="1A9A68F5"/>
    <w:rsid w:val="1AB86BAD"/>
    <w:rsid w:val="1AE01E2B"/>
    <w:rsid w:val="1B0D0CA7"/>
    <w:rsid w:val="1B5B2A1B"/>
    <w:rsid w:val="1B7156DA"/>
    <w:rsid w:val="1B8C68AE"/>
    <w:rsid w:val="1BCF2401"/>
    <w:rsid w:val="1BE0460E"/>
    <w:rsid w:val="1C2838BF"/>
    <w:rsid w:val="1C2A4944"/>
    <w:rsid w:val="1C4A5F2B"/>
    <w:rsid w:val="1C534D67"/>
    <w:rsid w:val="1C99656B"/>
    <w:rsid w:val="1C9A095A"/>
    <w:rsid w:val="1CAD6710"/>
    <w:rsid w:val="1CBA5EFE"/>
    <w:rsid w:val="1CEE6A7A"/>
    <w:rsid w:val="1CF00880"/>
    <w:rsid w:val="1D025CA0"/>
    <w:rsid w:val="1D26096A"/>
    <w:rsid w:val="1D3A1AFC"/>
    <w:rsid w:val="1D7019C1"/>
    <w:rsid w:val="1DBE7A88"/>
    <w:rsid w:val="1DCD2970"/>
    <w:rsid w:val="1DDA08BB"/>
    <w:rsid w:val="1E5B2167"/>
    <w:rsid w:val="1E761256"/>
    <w:rsid w:val="1E827A99"/>
    <w:rsid w:val="1E9E0462"/>
    <w:rsid w:val="1F52137F"/>
    <w:rsid w:val="1F645246"/>
    <w:rsid w:val="1F686DF4"/>
    <w:rsid w:val="1F83036A"/>
    <w:rsid w:val="1F86727A"/>
    <w:rsid w:val="1F882F99"/>
    <w:rsid w:val="1F9957E4"/>
    <w:rsid w:val="1FF16DE9"/>
    <w:rsid w:val="20607ACB"/>
    <w:rsid w:val="208714FC"/>
    <w:rsid w:val="20A976C4"/>
    <w:rsid w:val="20C0120F"/>
    <w:rsid w:val="20E06E5E"/>
    <w:rsid w:val="20F3093F"/>
    <w:rsid w:val="215F5FD5"/>
    <w:rsid w:val="218727B6"/>
    <w:rsid w:val="21B7196D"/>
    <w:rsid w:val="21BE0F4D"/>
    <w:rsid w:val="21E8421C"/>
    <w:rsid w:val="22016145"/>
    <w:rsid w:val="221A4255"/>
    <w:rsid w:val="22502157"/>
    <w:rsid w:val="22573150"/>
    <w:rsid w:val="22715FC0"/>
    <w:rsid w:val="231A0405"/>
    <w:rsid w:val="233D0598"/>
    <w:rsid w:val="23E0270B"/>
    <w:rsid w:val="23E67AE2"/>
    <w:rsid w:val="23EF6DDD"/>
    <w:rsid w:val="23FA1FE5"/>
    <w:rsid w:val="2429545C"/>
    <w:rsid w:val="243472A5"/>
    <w:rsid w:val="2464432F"/>
    <w:rsid w:val="24804DBA"/>
    <w:rsid w:val="24F353B2"/>
    <w:rsid w:val="25013D6C"/>
    <w:rsid w:val="250424A4"/>
    <w:rsid w:val="250639AE"/>
    <w:rsid w:val="252E5396"/>
    <w:rsid w:val="254554E2"/>
    <w:rsid w:val="25506360"/>
    <w:rsid w:val="256F255E"/>
    <w:rsid w:val="25916979"/>
    <w:rsid w:val="25965338"/>
    <w:rsid w:val="25A71CF8"/>
    <w:rsid w:val="25C94338"/>
    <w:rsid w:val="25D845A8"/>
    <w:rsid w:val="25F2111F"/>
    <w:rsid w:val="25FE400E"/>
    <w:rsid w:val="261F21D6"/>
    <w:rsid w:val="263078A5"/>
    <w:rsid w:val="26452B65"/>
    <w:rsid w:val="27037402"/>
    <w:rsid w:val="272C0707"/>
    <w:rsid w:val="275A1718"/>
    <w:rsid w:val="278C389C"/>
    <w:rsid w:val="27CC5901"/>
    <w:rsid w:val="27E47234"/>
    <w:rsid w:val="27E9484A"/>
    <w:rsid w:val="27F154AD"/>
    <w:rsid w:val="27F751B9"/>
    <w:rsid w:val="27FF406E"/>
    <w:rsid w:val="28137B19"/>
    <w:rsid w:val="281D040D"/>
    <w:rsid w:val="285A74F6"/>
    <w:rsid w:val="29253660"/>
    <w:rsid w:val="29345F99"/>
    <w:rsid w:val="29693E94"/>
    <w:rsid w:val="297840D8"/>
    <w:rsid w:val="29F80D74"/>
    <w:rsid w:val="2A1C0F07"/>
    <w:rsid w:val="2A3738D4"/>
    <w:rsid w:val="2A497822"/>
    <w:rsid w:val="2A650ECF"/>
    <w:rsid w:val="2AAA6513"/>
    <w:rsid w:val="2AC55FB0"/>
    <w:rsid w:val="2AD25A69"/>
    <w:rsid w:val="2BBF7A93"/>
    <w:rsid w:val="2BC01D66"/>
    <w:rsid w:val="2BEC66B7"/>
    <w:rsid w:val="2BF0264B"/>
    <w:rsid w:val="2C043A01"/>
    <w:rsid w:val="2C954FA0"/>
    <w:rsid w:val="2C98633C"/>
    <w:rsid w:val="2CA4338D"/>
    <w:rsid w:val="2CDC497D"/>
    <w:rsid w:val="2D257E8D"/>
    <w:rsid w:val="2D261EE1"/>
    <w:rsid w:val="2D26209C"/>
    <w:rsid w:val="2D362FFF"/>
    <w:rsid w:val="2D4B56B9"/>
    <w:rsid w:val="2D590C84"/>
    <w:rsid w:val="2D687FBF"/>
    <w:rsid w:val="2D766B80"/>
    <w:rsid w:val="2D8A23C4"/>
    <w:rsid w:val="2DD6761F"/>
    <w:rsid w:val="2DDA3448"/>
    <w:rsid w:val="2E185FB5"/>
    <w:rsid w:val="2E2465DC"/>
    <w:rsid w:val="2E666BF4"/>
    <w:rsid w:val="2E8E614B"/>
    <w:rsid w:val="2E903C71"/>
    <w:rsid w:val="2ED56201"/>
    <w:rsid w:val="2EF22236"/>
    <w:rsid w:val="2F1C72B3"/>
    <w:rsid w:val="2F1E127D"/>
    <w:rsid w:val="2FA5374C"/>
    <w:rsid w:val="2FFD0E93"/>
    <w:rsid w:val="305B205D"/>
    <w:rsid w:val="306B4E7D"/>
    <w:rsid w:val="3082583C"/>
    <w:rsid w:val="30DD1143"/>
    <w:rsid w:val="310817CD"/>
    <w:rsid w:val="312501CE"/>
    <w:rsid w:val="31336B36"/>
    <w:rsid w:val="313A63D7"/>
    <w:rsid w:val="316B62D0"/>
    <w:rsid w:val="317F1B79"/>
    <w:rsid w:val="318006F6"/>
    <w:rsid w:val="31A17C21"/>
    <w:rsid w:val="31A43590"/>
    <w:rsid w:val="31B9528D"/>
    <w:rsid w:val="32117BE0"/>
    <w:rsid w:val="323D7C6C"/>
    <w:rsid w:val="32D6284F"/>
    <w:rsid w:val="32DD4FAB"/>
    <w:rsid w:val="33154F2C"/>
    <w:rsid w:val="332C66F3"/>
    <w:rsid w:val="33873125"/>
    <w:rsid w:val="33A12B54"/>
    <w:rsid w:val="33B273BE"/>
    <w:rsid w:val="33DF6B01"/>
    <w:rsid w:val="33F829BD"/>
    <w:rsid w:val="34052A0C"/>
    <w:rsid w:val="34063946"/>
    <w:rsid w:val="34565015"/>
    <w:rsid w:val="345D45F6"/>
    <w:rsid w:val="34632FD8"/>
    <w:rsid w:val="349D0BDD"/>
    <w:rsid w:val="34A063BF"/>
    <w:rsid w:val="34F71AF5"/>
    <w:rsid w:val="350902DA"/>
    <w:rsid w:val="35386E11"/>
    <w:rsid w:val="353F3CFB"/>
    <w:rsid w:val="355A28E3"/>
    <w:rsid w:val="35727C2D"/>
    <w:rsid w:val="36160F00"/>
    <w:rsid w:val="363A3E94"/>
    <w:rsid w:val="364C66D0"/>
    <w:rsid w:val="36504750"/>
    <w:rsid w:val="365E4655"/>
    <w:rsid w:val="36853990"/>
    <w:rsid w:val="36963DEF"/>
    <w:rsid w:val="36AA1228"/>
    <w:rsid w:val="36C97D20"/>
    <w:rsid w:val="36D13079"/>
    <w:rsid w:val="37216138"/>
    <w:rsid w:val="37270EEB"/>
    <w:rsid w:val="378E2D18"/>
    <w:rsid w:val="37A02563"/>
    <w:rsid w:val="37C417AA"/>
    <w:rsid w:val="37CE75B8"/>
    <w:rsid w:val="37DD1059"/>
    <w:rsid w:val="38042FDA"/>
    <w:rsid w:val="380F20AB"/>
    <w:rsid w:val="384D4981"/>
    <w:rsid w:val="384E39DC"/>
    <w:rsid w:val="38654816"/>
    <w:rsid w:val="386E0361"/>
    <w:rsid w:val="38795776"/>
    <w:rsid w:val="38A50319"/>
    <w:rsid w:val="38D91C00"/>
    <w:rsid w:val="38E057F5"/>
    <w:rsid w:val="391A6BCE"/>
    <w:rsid w:val="391E2E32"/>
    <w:rsid w:val="391E32EE"/>
    <w:rsid w:val="39427657"/>
    <w:rsid w:val="395104A1"/>
    <w:rsid w:val="39570DCA"/>
    <w:rsid w:val="39671A73"/>
    <w:rsid w:val="39814527"/>
    <w:rsid w:val="39882115"/>
    <w:rsid w:val="39C637B9"/>
    <w:rsid w:val="39E03482"/>
    <w:rsid w:val="39EC3D26"/>
    <w:rsid w:val="39FD5F33"/>
    <w:rsid w:val="3A145757"/>
    <w:rsid w:val="3A43603C"/>
    <w:rsid w:val="3A8F1049"/>
    <w:rsid w:val="3A922B1F"/>
    <w:rsid w:val="3AD9074E"/>
    <w:rsid w:val="3B2C6AD0"/>
    <w:rsid w:val="3B5D39DD"/>
    <w:rsid w:val="3B6B584A"/>
    <w:rsid w:val="3B7A783B"/>
    <w:rsid w:val="3B7F12F6"/>
    <w:rsid w:val="3BC30E06"/>
    <w:rsid w:val="3BE4693D"/>
    <w:rsid w:val="3C3C0F95"/>
    <w:rsid w:val="3CAC6DC6"/>
    <w:rsid w:val="3CEA4D9C"/>
    <w:rsid w:val="3CFB6AD2"/>
    <w:rsid w:val="3D0C0967"/>
    <w:rsid w:val="3D430101"/>
    <w:rsid w:val="3D65451B"/>
    <w:rsid w:val="3D934BE4"/>
    <w:rsid w:val="3DA202D5"/>
    <w:rsid w:val="3DD1570D"/>
    <w:rsid w:val="3E077380"/>
    <w:rsid w:val="3E0D5290"/>
    <w:rsid w:val="3E1D6BA4"/>
    <w:rsid w:val="3E38578C"/>
    <w:rsid w:val="3E401741"/>
    <w:rsid w:val="3E630A5B"/>
    <w:rsid w:val="3E704F26"/>
    <w:rsid w:val="3E802756"/>
    <w:rsid w:val="3EA3300B"/>
    <w:rsid w:val="3F376F2D"/>
    <w:rsid w:val="3F6F1681"/>
    <w:rsid w:val="3FB2368A"/>
    <w:rsid w:val="3FD341E0"/>
    <w:rsid w:val="3FE43E1D"/>
    <w:rsid w:val="3FEC0F24"/>
    <w:rsid w:val="3FEF6007"/>
    <w:rsid w:val="3FF534E1"/>
    <w:rsid w:val="40D1430E"/>
    <w:rsid w:val="41197AF6"/>
    <w:rsid w:val="413761CE"/>
    <w:rsid w:val="4184563D"/>
    <w:rsid w:val="41874618"/>
    <w:rsid w:val="418D1221"/>
    <w:rsid w:val="418D4436"/>
    <w:rsid w:val="42075BA1"/>
    <w:rsid w:val="420E33D3"/>
    <w:rsid w:val="42310E70"/>
    <w:rsid w:val="423A41C8"/>
    <w:rsid w:val="424E2AAD"/>
    <w:rsid w:val="42725710"/>
    <w:rsid w:val="42786A9F"/>
    <w:rsid w:val="42CE2139"/>
    <w:rsid w:val="42E3660E"/>
    <w:rsid w:val="42F206F4"/>
    <w:rsid w:val="430C00D7"/>
    <w:rsid w:val="43853221"/>
    <w:rsid w:val="43CE6559"/>
    <w:rsid w:val="43F32881"/>
    <w:rsid w:val="43FD54AD"/>
    <w:rsid w:val="43FF1225"/>
    <w:rsid w:val="441F2BD9"/>
    <w:rsid w:val="444667B2"/>
    <w:rsid w:val="44722751"/>
    <w:rsid w:val="447B63D2"/>
    <w:rsid w:val="448E7C71"/>
    <w:rsid w:val="4493014A"/>
    <w:rsid w:val="44AA33B7"/>
    <w:rsid w:val="44B55D88"/>
    <w:rsid w:val="44C818B0"/>
    <w:rsid w:val="44CD1324"/>
    <w:rsid w:val="45796DB6"/>
    <w:rsid w:val="466730B2"/>
    <w:rsid w:val="46805F22"/>
    <w:rsid w:val="46BF2EEE"/>
    <w:rsid w:val="46F420A2"/>
    <w:rsid w:val="471A6376"/>
    <w:rsid w:val="472F1E22"/>
    <w:rsid w:val="473311E6"/>
    <w:rsid w:val="47392CA0"/>
    <w:rsid w:val="47875211"/>
    <w:rsid w:val="47D26C51"/>
    <w:rsid w:val="480706A9"/>
    <w:rsid w:val="48142AB6"/>
    <w:rsid w:val="482C45B3"/>
    <w:rsid w:val="483A1816"/>
    <w:rsid w:val="48741AB6"/>
    <w:rsid w:val="487B2E45"/>
    <w:rsid w:val="4882187E"/>
    <w:rsid w:val="48C52312"/>
    <w:rsid w:val="48D5496B"/>
    <w:rsid w:val="48E50A71"/>
    <w:rsid w:val="49C01457"/>
    <w:rsid w:val="49ED38CE"/>
    <w:rsid w:val="4A01737A"/>
    <w:rsid w:val="4A163063"/>
    <w:rsid w:val="4A2F2139"/>
    <w:rsid w:val="4A6209BE"/>
    <w:rsid w:val="4A702F0E"/>
    <w:rsid w:val="4AE22D3E"/>
    <w:rsid w:val="4AF313B8"/>
    <w:rsid w:val="4B133808"/>
    <w:rsid w:val="4B4D266A"/>
    <w:rsid w:val="4B6127C6"/>
    <w:rsid w:val="4B92472D"/>
    <w:rsid w:val="4B9310FE"/>
    <w:rsid w:val="4BC575D2"/>
    <w:rsid w:val="4BCA58A8"/>
    <w:rsid w:val="4BE17747"/>
    <w:rsid w:val="4C325F10"/>
    <w:rsid w:val="4C416153"/>
    <w:rsid w:val="4C5515D3"/>
    <w:rsid w:val="4C7C6027"/>
    <w:rsid w:val="4CD945DE"/>
    <w:rsid w:val="4D001B6A"/>
    <w:rsid w:val="4D185106"/>
    <w:rsid w:val="4D1B69A4"/>
    <w:rsid w:val="4D381304"/>
    <w:rsid w:val="4D965582"/>
    <w:rsid w:val="4DB02421"/>
    <w:rsid w:val="4DB0533F"/>
    <w:rsid w:val="4DB841F3"/>
    <w:rsid w:val="4DE964F6"/>
    <w:rsid w:val="4E992277"/>
    <w:rsid w:val="4EEF5311"/>
    <w:rsid w:val="4EFE20DA"/>
    <w:rsid w:val="4F18120D"/>
    <w:rsid w:val="4F22401A"/>
    <w:rsid w:val="4FA93BA7"/>
    <w:rsid w:val="4FD47751"/>
    <w:rsid w:val="4FD55530"/>
    <w:rsid w:val="4FF621C9"/>
    <w:rsid w:val="50022F02"/>
    <w:rsid w:val="502E62AD"/>
    <w:rsid w:val="503A35E5"/>
    <w:rsid w:val="50472057"/>
    <w:rsid w:val="50502E09"/>
    <w:rsid w:val="506B7C43"/>
    <w:rsid w:val="50B96C00"/>
    <w:rsid w:val="50CC6933"/>
    <w:rsid w:val="50DB5F91"/>
    <w:rsid w:val="50E701E5"/>
    <w:rsid w:val="5106297C"/>
    <w:rsid w:val="51C222B6"/>
    <w:rsid w:val="52642B9B"/>
    <w:rsid w:val="529671F9"/>
    <w:rsid w:val="52A03BD4"/>
    <w:rsid w:val="52B23907"/>
    <w:rsid w:val="52E2243E"/>
    <w:rsid w:val="531225F7"/>
    <w:rsid w:val="537E1A3B"/>
    <w:rsid w:val="538A03E0"/>
    <w:rsid w:val="53A574BD"/>
    <w:rsid w:val="5415414D"/>
    <w:rsid w:val="54260108"/>
    <w:rsid w:val="54411979"/>
    <w:rsid w:val="549D4B07"/>
    <w:rsid w:val="54D062C6"/>
    <w:rsid w:val="55304730"/>
    <w:rsid w:val="55410F72"/>
    <w:rsid w:val="554C3B9F"/>
    <w:rsid w:val="5586381E"/>
    <w:rsid w:val="55B12299"/>
    <w:rsid w:val="55B81195"/>
    <w:rsid w:val="55F12998"/>
    <w:rsid w:val="55F668FC"/>
    <w:rsid w:val="56025CC1"/>
    <w:rsid w:val="56224F72"/>
    <w:rsid w:val="56270168"/>
    <w:rsid w:val="5627460C"/>
    <w:rsid w:val="56300645"/>
    <w:rsid w:val="571D1301"/>
    <w:rsid w:val="572E2943"/>
    <w:rsid w:val="57527466"/>
    <w:rsid w:val="57AE6D93"/>
    <w:rsid w:val="57D367F9"/>
    <w:rsid w:val="582C7CB7"/>
    <w:rsid w:val="583059FA"/>
    <w:rsid w:val="58A36161"/>
    <w:rsid w:val="58B56D36"/>
    <w:rsid w:val="58B8511B"/>
    <w:rsid w:val="58C95DE5"/>
    <w:rsid w:val="58F307D5"/>
    <w:rsid w:val="58F333FF"/>
    <w:rsid w:val="59387281"/>
    <w:rsid w:val="59653481"/>
    <w:rsid w:val="59A246D5"/>
    <w:rsid w:val="59D32AE1"/>
    <w:rsid w:val="59EE3A76"/>
    <w:rsid w:val="5A201A9E"/>
    <w:rsid w:val="5A6B26EF"/>
    <w:rsid w:val="5AA7634B"/>
    <w:rsid w:val="5AB1171C"/>
    <w:rsid w:val="5B1E5FDD"/>
    <w:rsid w:val="5B2027D8"/>
    <w:rsid w:val="5B242EC8"/>
    <w:rsid w:val="5B353327"/>
    <w:rsid w:val="5BD30872"/>
    <w:rsid w:val="5C0F3D52"/>
    <w:rsid w:val="5C7659A5"/>
    <w:rsid w:val="5C930305"/>
    <w:rsid w:val="5CC613FD"/>
    <w:rsid w:val="5D081F0B"/>
    <w:rsid w:val="5D301FF8"/>
    <w:rsid w:val="5D5850AB"/>
    <w:rsid w:val="5D6677C8"/>
    <w:rsid w:val="5D7F6ADB"/>
    <w:rsid w:val="5D902A97"/>
    <w:rsid w:val="5DAE61D8"/>
    <w:rsid w:val="5DE7793E"/>
    <w:rsid w:val="5E39691C"/>
    <w:rsid w:val="5E47584B"/>
    <w:rsid w:val="5E7A598C"/>
    <w:rsid w:val="5E7F4FE5"/>
    <w:rsid w:val="5EA71675"/>
    <w:rsid w:val="5EAB7FF3"/>
    <w:rsid w:val="5EB90C6A"/>
    <w:rsid w:val="5EE01ACF"/>
    <w:rsid w:val="5EFA4FE0"/>
    <w:rsid w:val="5F30008D"/>
    <w:rsid w:val="5F4E6098"/>
    <w:rsid w:val="5F8403D9"/>
    <w:rsid w:val="5FC4513D"/>
    <w:rsid w:val="5FD57EF0"/>
    <w:rsid w:val="5FF13CC0"/>
    <w:rsid w:val="601243E7"/>
    <w:rsid w:val="603B318E"/>
    <w:rsid w:val="603F2C27"/>
    <w:rsid w:val="60661887"/>
    <w:rsid w:val="60AD7223"/>
    <w:rsid w:val="60B036F6"/>
    <w:rsid w:val="60B41BD6"/>
    <w:rsid w:val="60F872D1"/>
    <w:rsid w:val="6110461A"/>
    <w:rsid w:val="61447E20"/>
    <w:rsid w:val="61477910"/>
    <w:rsid w:val="61516038"/>
    <w:rsid w:val="61620FE5"/>
    <w:rsid w:val="61826B9A"/>
    <w:rsid w:val="61C40F61"/>
    <w:rsid w:val="61E41603"/>
    <w:rsid w:val="61EE278A"/>
    <w:rsid w:val="623256AA"/>
    <w:rsid w:val="6267026A"/>
    <w:rsid w:val="627666FF"/>
    <w:rsid w:val="62F15D85"/>
    <w:rsid w:val="631B2E02"/>
    <w:rsid w:val="633013C5"/>
    <w:rsid w:val="63422A85"/>
    <w:rsid w:val="635F7193"/>
    <w:rsid w:val="63CE5BCA"/>
    <w:rsid w:val="63EF260C"/>
    <w:rsid w:val="63FF1893"/>
    <w:rsid w:val="640C3E97"/>
    <w:rsid w:val="641E0DFC"/>
    <w:rsid w:val="64803865"/>
    <w:rsid w:val="64E078AA"/>
    <w:rsid w:val="6589499B"/>
    <w:rsid w:val="65FD3A5C"/>
    <w:rsid w:val="662446C4"/>
    <w:rsid w:val="66256220"/>
    <w:rsid w:val="66532583"/>
    <w:rsid w:val="669C425A"/>
    <w:rsid w:val="66A23F66"/>
    <w:rsid w:val="670D457F"/>
    <w:rsid w:val="67106F11"/>
    <w:rsid w:val="672145A9"/>
    <w:rsid w:val="67226E55"/>
    <w:rsid w:val="67584625"/>
    <w:rsid w:val="677879E5"/>
    <w:rsid w:val="67896ED4"/>
    <w:rsid w:val="67F02AB0"/>
    <w:rsid w:val="682664D1"/>
    <w:rsid w:val="68850E7E"/>
    <w:rsid w:val="68AB6EB0"/>
    <w:rsid w:val="68BA5BE4"/>
    <w:rsid w:val="68EE5CE8"/>
    <w:rsid w:val="69020CEC"/>
    <w:rsid w:val="6910009B"/>
    <w:rsid w:val="69414646"/>
    <w:rsid w:val="69601EB7"/>
    <w:rsid w:val="699022E4"/>
    <w:rsid w:val="69D00DEB"/>
    <w:rsid w:val="69E93C5A"/>
    <w:rsid w:val="69FC59C4"/>
    <w:rsid w:val="6A1A02B8"/>
    <w:rsid w:val="6A4964A7"/>
    <w:rsid w:val="6A717B7E"/>
    <w:rsid w:val="6AB75B07"/>
    <w:rsid w:val="6AC67AF8"/>
    <w:rsid w:val="6B466EA6"/>
    <w:rsid w:val="6B6F6C1F"/>
    <w:rsid w:val="6BC95638"/>
    <w:rsid w:val="6C502023"/>
    <w:rsid w:val="6C951E77"/>
    <w:rsid w:val="6CBA465E"/>
    <w:rsid w:val="6CD01D77"/>
    <w:rsid w:val="6CDE381E"/>
    <w:rsid w:val="6CF070AE"/>
    <w:rsid w:val="6CF43042"/>
    <w:rsid w:val="6CF7668E"/>
    <w:rsid w:val="6D237483"/>
    <w:rsid w:val="6D513FF0"/>
    <w:rsid w:val="6D67771A"/>
    <w:rsid w:val="6D9E6217"/>
    <w:rsid w:val="6DFFB3C5"/>
    <w:rsid w:val="6E3914DB"/>
    <w:rsid w:val="6E57325F"/>
    <w:rsid w:val="6E5C0E9F"/>
    <w:rsid w:val="6EA165BF"/>
    <w:rsid w:val="6F0C33FE"/>
    <w:rsid w:val="6F280D81"/>
    <w:rsid w:val="6F443D25"/>
    <w:rsid w:val="6F67671B"/>
    <w:rsid w:val="6F773AB6"/>
    <w:rsid w:val="6F91409C"/>
    <w:rsid w:val="6FA26D85"/>
    <w:rsid w:val="6FA7614A"/>
    <w:rsid w:val="6FCF744E"/>
    <w:rsid w:val="70047BC2"/>
    <w:rsid w:val="700E61C9"/>
    <w:rsid w:val="701C35B4"/>
    <w:rsid w:val="705C4D2F"/>
    <w:rsid w:val="70767C84"/>
    <w:rsid w:val="70D95D8D"/>
    <w:rsid w:val="70EB0C6D"/>
    <w:rsid w:val="711041C2"/>
    <w:rsid w:val="717A163C"/>
    <w:rsid w:val="717A57AC"/>
    <w:rsid w:val="71A76679"/>
    <w:rsid w:val="720B74BE"/>
    <w:rsid w:val="720F447A"/>
    <w:rsid w:val="72277415"/>
    <w:rsid w:val="728E539F"/>
    <w:rsid w:val="72AE5A41"/>
    <w:rsid w:val="72B34E05"/>
    <w:rsid w:val="72B666A4"/>
    <w:rsid w:val="72DB610A"/>
    <w:rsid w:val="72E94CCB"/>
    <w:rsid w:val="72F571CC"/>
    <w:rsid w:val="72F93721"/>
    <w:rsid w:val="73504D4A"/>
    <w:rsid w:val="73EE1EB8"/>
    <w:rsid w:val="74534AF2"/>
    <w:rsid w:val="75114065"/>
    <w:rsid w:val="751F3575"/>
    <w:rsid w:val="7521074C"/>
    <w:rsid w:val="75581306"/>
    <w:rsid w:val="756B03B2"/>
    <w:rsid w:val="75840CDB"/>
    <w:rsid w:val="758E56B6"/>
    <w:rsid w:val="75A31161"/>
    <w:rsid w:val="75C80BC8"/>
    <w:rsid w:val="76263B40"/>
    <w:rsid w:val="76277FE4"/>
    <w:rsid w:val="765960DA"/>
    <w:rsid w:val="77037C1B"/>
    <w:rsid w:val="773F310C"/>
    <w:rsid w:val="7746169E"/>
    <w:rsid w:val="777F175A"/>
    <w:rsid w:val="778A1F2E"/>
    <w:rsid w:val="77A47413"/>
    <w:rsid w:val="77CE623E"/>
    <w:rsid w:val="77DA1086"/>
    <w:rsid w:val="77DE2925"/>
    <w:rsid w:val="77F51A1C"/>
    <w:rsid w:val="78250553"/>
    <w:rsid w:val="784529A4"/>
    <w:rsid w:val="78845E5A"/>
    <w:rsid w:val="78A51694"/>
    <w:rsid w:val="78A771BA"/>
    <w:rsid w:val="79440EAD"/>
    <w:rsid w:val="79921C19"/>
    <w:rsid w:val="79A272C8"/>
    <w:rsid w:val="79AD6A52"/>
    <w:rsid w:val="79C142AC"/>
    <w:rsid w:val="79EB68F1"/>
    <w:rsid w:val="7A0F2414"/>
    <w:rsid w:val="7A893B99"/>
    <w:rsid w:val="7AAC5531"/>
    <w:rsid w:val="7B821819"/>
    <w:rsid w:val="7BA63CB2"/>
    <w:rsid w:val="7BB045D8"/>
    <w:rsid w:val="7BB51BEE"/>
    <w:rsid w:val="7C3522B8"/>
    <w:rsid w:val="7C54669C"/>
    <w:rsid w:val="7C7A7ECB"/>
    <w:rsid w:val="7CBE2D25"/>
    <w:rsid w:val="7CDB5685"/>
    <w:rsid w:val="7CDC31AB"/>
    <w:rsid w:val="7D37AF13"/>
    <w:rsid w:val="7DE1316F"/>
    <w:rsid w:val="7E0B5B3E"/>
    <w:rsid w:val="7E6A73EB"/>
    <w:rsid w:val="7E7318ED"/>
    <w:rsid w:val="7E9F26E2"/>
    <w:rsid w:val="7EBB39C0"/>
    <w:rsid w:val="7EBC3294"/>
    <w:rsid w:val="7ED4682F"/>
    <w:rsid w:val="7EF0118F"/>
    <w:rsid w:val="7F1C47E2"/>
    <w:rsid w:val="7F833DB1"/>
    <w:rsid w:val="7FAC43B7"/>
    <w:rsid w:val="7FBA6CF4"/>
    <w:rsid w:val="7FD36AE7"/>
    <w:rsid w:val="FB9D78CD"/>
    <w:rsid w:val="FFBE8C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宋体" w:cs="Times New Roman"/>
      <w:b/>
      <w:kern w:val="44"/>
      <w:sz w:val="28"/>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semiHidden/>
    <w:qFormat/>
    <w:uiPriority w:val="0"/>
    <w:rPr>
      <w:rFonts w:ascii="Arial" w:hAnsi="Arial" w:eastAsia="Arial" w:cs="Arial"/>
      <w:sz w:val="21"/>
      <w:szCs w:val="21"/>
      <w:lang w:val="en-US" w:eastAsia="en-US" w:bidi="ar-SA"/>
    </w:rPr>
  </w:style>
  <w:style w:type="paragraph" w:styleId="6">
    <w:name w:val="Body Text Indent"/>
    <w:basedOn w:val="1"/>
    <w:next w:val="1"/>
    <w:qFormat/>
    <w:uiPriority w:val="0"/>
    <w:pPr>
      <w:spacing w:after="120"/>
      <w:ind w:left="420" w:leftChars="200"/>
    </w:pPr>
    <w:rPr>
      <w:szCs w:val="24"/>
    </w:rPr>
  </w:style>
  <w:style w:type="paragraph" w:styleId="7">
    <w:name w:val="Date"/>
    <w:basedOn w:val="1"/>
    <w:next w:val="1"/>
    <w:qFormat/>
    <w:uiPriority w:val="0"/>
    <w:pPr>
      <w:ind w:left="100" w:leftChars="25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itle"/>
    <w:basedOn w:val="1"/>
    <w:qFormat/>
    <w:uiPriority w:val="0"/>
    <w:pPr>
      <w:adjustRightInd w:val="0"/>
      <w:spacing w:before="240" w:after="60" w:line="420" w:lineRule="atLeast"/>
      <w:jc w:val="center"/>
      <w:textAlignment w:val="baseline"/>
      <w:outlineLvl w:val="0"/>
    </w:pPr>
    <w:rPr>
      <w:rFonts w:ascii="Arial" w:hAnsi="Arial"/>
      <w:b/>
      <w:kern w:val="0"/>
      <w:sz w:val="32"/>
    </w:rPr>
  </w:style>
  <w:style w:type="paragraph" w:styleId="12">
    <w:name w:val="Body Text First Indent"/>
    <w:basedOn w:val="5"/>
    <w:next w:val="1"/>
    <w:qFormat/>
    <w:uiPriority w:val="0"/>
    <w:pPr>
      <w:spacing w:line="312" w:lineRule="auto"/>
      <w:ind w:firstLine="420"/>
    </w:pPr>
    <w:rPr>
      <w:rFonts w:ascii="Calibri" w:hAnsi="Calibri"/>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宋体" w:hAnsi="宋体" w:eastAsia="宋体" w:cs="宋体"/>
      <w:sz w:val="24"/>
      <w:szCs w:val="24"/>
      <w:lang w:val="en-US" w:eastAsia="en-US" w:bidi="ar-SA"/>
    </w:rPr>
  </w:style>
  <w:style w:type="paragraph" w:customStyle="1" w:styleId="19">
    <w:name w:val="Default"/>
    <w:next w:val="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 w:type="paragraph" w:customStyle="1" w:styleId="2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53</Pages>
  <Words>9306</Words>
  <Characters>10500</Characters>
  <TotalTime>1</TotalTime>
  <ScaleCrop>false</ScaleCrop>
  <LinksUpToDate>false</LinksUpToDate>
  <CharactersWithSpaces>10641</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2024-04-11T06:15:00Z</dcterms:created>
  <dc:creator>lenovo</dc:creator>
  <cp:lastModifiedBy>一只小咸于</cp:lastModifiedBy>
  <dcterms:modified xsi:type="dcterms:W3CDTF">2025-03-12T01:09:20Z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2024-04-22T10:11:23Z</vt:filetime>
  </property>
  <property fmtid="{D5CDD505-2E9C-101B-9397-08002B2CF9AE}" pid="4" name="KSOProductBuildVer">
    <vt:lpwstr>2052-12.1.0.20305</vt:lpwstr>
  </property>
  <property fmtid="{D5CDD505-2E9C-101B-9397-08002B2CF9AE}" pid="5" name="ICV">
    <vt:lpwstr>8A8459E29397454F9BDF04C8F63EA70A_13</vt:lpwstr>
  </property>
  <property fmtid="{D5CDD505-2E9C-101B-9397-08002B2CF9AE}" pid="6" name="KSOTemplateDocerSaveRecord">
    <vt:lpwstr>eyJoZGlkIjoiY2NiZTc2ZGI4ODRjMTRjMzAzYzljNTM1ZjY3YTRmZmIiLCJ1c2VySWQiOiI0MzMyMjczOTgifQ==</vt:lpwstr>
  </property>
</Properties>
</file>