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8F9AA6">
      <w:pPr>
        <w:snapToGrid w:val="0"/>
        <w:spacing w:beforeLines="100" w:line="240" w:lineRule="auto"/>
        <w:jc w:val="center"/>
        <w:rPr>
          <w:rFonts w:hint="eastAsia" w:ascii="宋体" w:hAnsi="宋体" w:eastAsia="宋体" w:cs="宋体"/>
          <w:b/>
          <w:bCs/>
          <w:color w:val="auto"/>
          <w:sz w:val="48"/>
          <w:szCs w:val="48"/>
          <w:highlight w:val="none"/>
          <w:lang w:eastAsia="zh-CN"/>
        </w:rPr>
      </w:pPr>
      <w:bookmarkStart w:id="0" w:name="_Toc30213"/>
      <w:bookmarkStart w:id="1" w:name="_Toc14285"/>
      <w:bookmarkStart w:id="2" w:name="_Toc247085687"/>
      <w:bookmarkStart w:id="3" w:name="_Toc246996173"/>
      <w:bookmarkStart w:id="4" w:name="_Toc144974495"/>
      <w:bookmarkStart w:id="5" w:name="_Toc179632544"/>
      <w:bookmarkStart w:id="6" w:name="_Toc152045527"/>
      <w:bookmarkStart w:id="7" w:name="_Toc152042303"/>
      <w:bookmarkStart w:id="8" w:name="_Toc246996916"/>
    </w:p>
    <w:p w14:paraId="553767B0">
      <w:pPr>
        <w:pStyle w:val="70"/>
        <w:jc w:val="center"/>
        <w:rPr>
          <w:rFonts w:hint="eastAsia" w:ascii="宋体" w:hAnsi="宋体" w:eastAsia="宋体" w:cs="宋体"/>
          <w:color w:val="auto"/>
          <w:highlight w:val="none"/>
          <w:lang w:eastAsia="zh-CN"/>
        </w:rPr>
      </w:pPr>
      <w:r>
        <w:rPr>
          <w:rFonts w:hint="eastAsia" w:ascii="宋体" w:hAnsi="宋体" w:eastAsia="宋体" w:cs="宋体"/>
          <w:b/>
          <w:bCs/>
          <w:color w:val="auto"/>
          <w:sz w:val="52"/>
          <w:szCs w:val="52"/>
          <w:highlight w:val="none"/>
          <w:lang w:eastAsia="zh-CN"/>
        </w:rPr>
        <w:t>2025年图书馆数字资源建设项目</w:t>
      </w:r>
    </w:p>
    <w:p w14:paraId="23A7DA7F">
      <w:pPr>
        <w:pStyle w:val="21"/>
        <w:rPr>
          <w:rFonts w:hint="eastAsia" w:ascii="宋体" w:hAnsi="宋体" w:eastAsia="宋体" w:cs="宋体"/>
          <w:color w:val="auto"/>
          <w:highlight w:val="none"/>
        </w:rPr>
      </w:pPr>
    </w:p>
    <w:p w14:paraId="0B66735E">
      <w:pPr>
        <w:rPr>
          <w:rFonts w:hint="eastAsia" w:ascii="宋体" w:hAnsi="宋体" w:eastAsia="宋体" w:cs="宋体"/>
          <w:color w:val="auto"/>
          <w:highlight w:val="none"/>
        </w:rPr>
      </w:pPr>
    </w:p>
    <w:p w14:paraId="180E6316">
      <w:pPr>
        <w:pStyle w:val="70"/>
        <w:rPr>
          <w:rFonts w:hint="eastAsia" w:ascii="宋体" w:hAnsi="宋体" w:eastAsia="宋体" w:cs="宋体"/>
          <w:color w:val="auto"/>
          <w:highlight w:val="none"/>
        </w:rPr>
      </w:pPr>
    </w:p>
    <w:p w14:paraId="01B0F5D1">
      <w:pPr>
        <w:pStyle w:val="71"/>
        <w:rPr>
          <w:rFonts w:hint="eastAsia" w:ascii="宋体" w:hAnsi="宋体" w:eastAsia="宋体" w:cs="宋体"/>
          <w:color w:val="auto"/>
          <w:highlight w:val="none"/>
        </w:rPr>
      </w:pPr>
    </w:p>
    <w:p w14:paraId="2CB0DECF">
      <w:pPr>
        <w:pStyle w:val="42"/>
        <w:rPr>
          <w:rFonts w:hint="eastAsia" w:ascii="宋体" w:hAnsi="宋体" w:eastAsia="宋体" w:cs="宋体"/>
          <w:color w:val="auto"/>
          <w:highlight w:val="none"/>
        </w:rPr>
      </w:pPr>
    </w:p>
    <w:p w14:paraId="43200747">
      <w:pPr>
        <w:snapToGrid w:val="0"/>
        <w:spacing w:beforeLines="100"/>
        <w:jc w:val="center"/>
        <w:rPr>
          <w:rFonts w:hint="eastAsia" w:ascii="宋体" w:hAnsi="宋体" w:eastAsia="宋体" w:cs="宋体"/>
          <w:b/>
          <w:bCs/>
          <w:color w:val="auto"/>
          <w:sz w:val="96"/>
          <w:szCs w:val="96"/>
          <w:highlight w:val="none"/>
          <w:lang w:eastAsia="zh-CN"/>
        </w:rPr>
      </w:pPr>
      <w:r>
        <w:rPr>
          <w:rFonts w:hint="eastAsia" w:ascii="宋体" w:hAnsi="宋体" w:eastAsia="宋体" w:cs="宋体"/>
          <w:b/>
          <w:bCs/>
          <w:color w:val="auto"/>
          <w:sz w:val="96"/>
          <w:szCs w:val="96"/>
          <w:highlight w:val="none"/>
          <w:lang w:val="en-US" w:eastAsia="zh-CN"/>
        </w:rPr>
        <w:t>公开</w:t>
      </w:r>
      <w:r>
        <w:rPr>
          <w:rFonts w:hint="eastAsia" w:ascii="宋体" w:hAnsi="宋体" w:eastAsia="宋体" w:cs="宋体"/>
          <w:b/>
          <w:bCs/>
          <w:color w:val="auto"/>
          <w:sz w:val="96"/>
          <w:szCs w:val="96"/>
          <w:highlight w:val="none"/>
        </w:rPr>
        <w:t>招标文件</w:t>
      </w:r>
    </w:p>
    <w:p w14:paraId="7024C7E4">
      <w:pPr>
        <w:snapToGrid w:val="0"/>
        <w:jc w:val="center"/>
        <w:rPr>
          <w:rFonts w:hint="eastAsia" w:ascii="宋体" w:hAnsi="宋体" w:eastAsia="宋体" w:cs="宋体"/>
          <w:b/>
          <w:bCs/>
          <w:color w:val="auto"/>
          <w:sz w:val="44"/>
          <w:szCs w:val="44"/>
          <w:highlight w:val="none"/>
          <w:lang w:val="en-US" w:eastAsia="zh-CN"/>
        </w:rPr>
      </w:pPr>
    </w:p>
    <w:p w14:paraId="4CBFC03A">
      <w:pPr>
        <w:snapToGrid w:val="0"/>
        <w:jc w:val="center"/>
        <w:rPr>
          <w:rFonts w:hint="eastAsia" w:ascii="宋体" w:hAnsi="宋体" w:eastAsia="宋体" w:cs="宋体"/>
          <w:b/>
          <w:bCs/>
          <w:color w:val="auto"/>
          <w:sz w:val="36"/>
          <w:szCs w:val="36"/>
          <w:highlight w:val="none"/>
          <w:lang w:val="en-US" w:eastAsia="zh-CN"/>
        </w:rPr>
      </w:pPr>
      <w:r>
        <w:rPr>
          <w:rFonts w:hint="eastAsia" w:ascii="宋体" w:hAnsi="宋体" w:eastAsia="宋体" w:cs="宋体"/>
          <w:b/>
          <w:bCs/>
          <w:color w:val="auto"/>
          <w:sz w:val="36"/>
          <w:szCs w:val="36"/>
          <w:highlight w:val="none"/>
          <w:lang w:val="en-US" w:eastAsia="zh-CN"/>
        </w:rPr>
        <w:t>项目编号：</w:t>
      </w:r>
    </w:p>
    <w:p w14:paraId="6FA84480">
      <w:pPr>
        <w:snapToGrid w:val="0"/>
        <w:jc w:val="center"/>
        <w:rPr>
          <w:rFonts w:hint="eastAsia" w:ascii="宋体" w:hAnsi="宋体" w:eastAsia="宋体" w:cs="宋体"/>
          <w:b/>
          <w:bCs/>
          <w:color w:val="auto"/>
          <w:sz w:val="36"/>
          <w:szCs w:val="36"/>
          <w:highlight w:val="none"/>
          <w:lang w:val="en-US" w:eastAsia="zh-CN"/>
        </w:rPr>
      </w:pPr>
      <w:r>
        <w:rPr>
          <w:rFonts w:hint="eastAsia" w:ascii="宋体" w:hAnsi="宋体" w:eastAsia="宋体" w:cs="宋体"/>
          <w:b/>
          <w:bCs/>
          <w:color w:val="auto"/>
          <w:sz w:val="36"/>
          <w:szCs w:val="36"/>
          <w:highlight w:val="none"/>
          <w:lang w:val="en-US" w:eastAsia="zh-CN"/>
        </w:rPr>
        <w:t>采购计划-[2025]-02425号-ZZY-2025-CZHW-14</w:t>
      </w:r>
    </w:p>
    <w:p w14:paraId="6120CB48">
      <w:pPr>
        <w:snapToGrid w:val="0"/>
        <w:rPr>
          <w:rFonts w:hint="eastAsia" w:ascii="宋体" w:hAnsi="宋体" w:eastAsia="宋体" w:cs="宋体"/>
          <w:color w:val="auto"/>
          <w:sz w:val="28"/>
          <w:szCs w:val="28"/>
          <w:highlight w:val="none"/>
        </w:rPr>
      </w:pPr>
    </w:p>
    <w:p w14:paraId="63DE9C7E">
      <w:pPr>
        <w:snapToGrid w:val="0"/>
        <w:rPr>
          <w:rFonts w:hint="eastAsia" w:ascii="宋体" w:hAnsi="宋体" w:eastAsia="宋体" w:cs="宋体"/>
          <w:color w:val="auto"/>
          <w:sz w:val="28"/>
          <w:szCs w:val="28"/>
          <w:highlight w:val="none"/>
        </w:rPr>
      </w:pPr>
    </w:p>
    <w:p w14:paraId="72C7E282">
      <w:pPr>
        <w:snapToGrid w:val="0"/>
        <w:rPr>
          <w:rFonts w:hint="eastAsia" w:ascii="宋体" w:hAnsi="宋体" w:eastAsia="宋体" w:cs="宋体"/>
          <w:color w:val="auto"/>
          <w:sz w:val="28"/>
          <w:szCs w:val="28"/>
          <w:highlight w:val="none"/>
        </w:rPr>
      </w:pPr>
    </w:p>
    <w:p w14:paraId="2EC7EBBD">
      <w:pPr>
        <w:pStyle w:val="13"/>
        <w:rPr>
          <w:rFonts w:hint="eastAsia" w:ascii="宋体" w:hAnsi="宋体" w:eastAsia="宋体" w:cs="宋体"/>
          <w:color w:val="auto"/>
          <w:highlight w:val="none"/>
        </w:rPr>
      </w:pPr>
    </w:p>
    <w:p w14:paraId="61DA8B48">
      <w:pPr>
        <w:pStyle w:val="14"/>
        <w:rPr>
          <w:rFonts w:hint="eastAsia" w:ascii="宋体" w:hAnsi="宋体" w:eastAsia="宋体" w:cs="宋体"/>
          <w:color w:val="auto"/>
          <w:sz w:val="28"/>
          <w:szCs w:val="28"/>
          <w:highlight w:val="none"/>
        </w:rPr>
      </w:pPr>
    </w:p>
    <w:p w14:paraId="2E04F470">
      <w:pPr>
        <w:pStyle w:val="70"/>
        <w:rPr>
          <w:rFonts w:hint="eastAsia" w:ascii="宋体" w:hAnsi="宋体" w:eastAsia="宋体" w:cs="宋体"/>
          <w:color w:val="auto"/>
          <w:highlight w:val="none"/>
        </w:rPr>
      </w:pPr>
    </w:p>
    <w:p w14:paraId="184E669F">
      <w:pPr>
        <w:snapToGrid w:val="0"/>
        <w:rPr>
          <w:rFonts w:hint="eastAsia" w:ascii="宋体" w:hAnsi="宋体" w:eastAsia="宋体" w:cs="宋体"/>
          <w:color w:val="auto"/>
          <w:sz w:val="28"/>
          <w:szCs w:val="28"/>
          <w:highlight w:val="none"/>
        </w:rPr>
      </w:pPr>
    </w:p>
    <w:p w14:paraId="2232BC6D">
      <w:pPr>
        <w:autoSpaceDE w:val="0"/>
        <w:autoSpaceDN w:val="0"/>
        <w:adjustRightInd w:val="0"/>
        <w:snapToGrid w:val="0"/>
        <w:spacing w:line="520" w:lineRule="exact"/>
        <w:jc w:val="both"/>
        <w:outlineLvl w:val="9"/>
        <w:rPr>
          <w:rFonts w:hint="eastAsia" w:ascii="宋体" w:hAnsi="宋体" w:eastAsia="宋体" w:cs="宋体"/>
          <w:b/>
          <w:bCs/>
          <w:color w:val="auto"/>
          <w:sz w:val="32"/>
          <w:szCs w:val="32"/>
          <w:highlight w:val="none"/>
          <w:lang w:eastAsia="zh-CN"/>
        </w:rPr>
      </w:pPr>
    </w:p>
    <w:p w14:paraId="45BC2F38">
      <w:pPr>
        <w:autoSpaceDE w:val="0"/>
        <w:autoSpaceDN w:val="0"/>
        <w:adjustRightInd w:val="0"/>
        <w:snapToGrid w:val="0"/>
        <w:spacing w:line="520" w:lineRule="exact"/>
        <w:ind w:firstLine="1285" w:firstLineChars="400"/>
        <w:jc w:val="both"/>
        <w:outlineLvl w:val="9"/>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采购人</w:t>
      </w:r>
      <w:r>
        <w:rPr>
          <w:rFonts w:hint="eastAsia" w:ascii="宋体" w:hAnsi="宋体" w:eastAsia="宋体" w:cs="宋体"/>
          <w:b/>
          <w:bCs/>
          <w:color w:val="auto"/>
          <w:sz w:val="32"/>
          <w:szCs w:val="32"/>
          <w:highlight w:val="none"/>
        </w:rPr>
        <w:t>：</w:t>
      </w:r>
      <w:r>
        <w:rPr>
          <w:rFonts w:hint="eastAsia" w:ascii="宋体" w:hAnsi="宋体" w:eastAsia="宋体" w:cs="宋体"/>
          <w:b/>
          <w:bCs/>
          <w:color w:val="auto"/>
          <w:sz w:val="32"/>
          <w:szCs w:val="32"/>
          <w:highlight w:val="none"/>
          <w:lang w:eastAsia="zh-CN"/>
        </w:rPr>
        <w:t>吉林财经大学</w:t>
      </w:r>
    </w:p>
    <w:p w14:paraId="754667BC">
      <w:pPr>
        <w:autoSpaceDE w:val="0"/>
        <w:autoSpaceDN w:val="0"/>
        <w:adjustRightInd w:val="0"/>
        <w:snapToGrid w:val="0"/>
        <w:spacing w:line="520" w:lineRule="exact"/>
        <w:ind w:firstLine="643" w:firstLineChars="200"/>
        <w:jc w:val="both"/>
        <w:outlineLvl w:val="9"/>
        <w:rPr>
          <w:rFonts w:hint="eastAsia" w:ascii="宋体" w:hAnsi="宋体" w:eastAsia="宋体" w:cs="宋体"/>
          <w:b/>
          <w:bCs/>
          <w:color w:val="auto"/>
          <w:sz w:val="32"/>
          <w:szCs w:val="32"/>
          <w:highlight w:val="none"/>
          <w:lang w:eastAsia="zh-CN"/>
        </w:rPr>
      </w:pPr>
    </w:p>
    <w:p w14:paraId="2E8C777E">
      <w:pPr>
        <w:autoSpaceDE w:val="0"/>
        <w:autoSpaceDN w:val="0"/>
        <w:adjustRightInd w:val="0"/>
        <w:snapToGrid w:val="0"/>
        <w:spacing w:line="520" w:lineRule="exact"/>
        <w:ind w:firstLine="1285" w:firstLineChars="400"/>
        <w:jc w:val="both"/>
        <w:outlineLvl w:val="9"/>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采购代理机构</w:t>
      </w:r>
      <w:r>
        <w:rPr>
          <w:rFonts w:hint="eastAsia" w:ascii="宋体" w:hAnsi="宋体" w:eastAsia="宋体" w:cs="宋体"/>
          <w:b/>
          <w:bCs/>
          <w:color w:val="auto"/>
          <w:sz w:val="32"/>
          <w:szCs w:val="32"/>
          <w:highlight w:val="none"/>
        </w:rPr>
        <w:t>：</w:t>
      </w:r>
      <w:r>
        <w:rPr>
          <w:rFonts w:hint="eastAsia" w:ascii="宋体" w:hAnsi="宋体" w:eastAsia="宋体" w:cs="宋体"/>
          <w:b/>
          <w:bCs/>
          <w:color w:val="auto"/>
          <w:sz w:val="32"/>
          <w:szCs w:val="32"/>
          <w:highlight w:val="none"/>
          <w:lang w:eastAsia="zh-CN"/>
        </w:rPr>
        <w:t>吉林省中泽云项目管理有限公司</w:t>
      </w:r>
    </w:p>
    <w:p w14:paraId="44DD3156">
      <w:pPr>
        <w:autoSpaceDE w:val="0"/>
        <w:autoSpaceDN w:val="0"/>
        <w:adjustRightInd w:val="0"/>
        <w:snapToGrid w:val="0"/>
        <w:spacing w:line="520" w:lineRule="exact"/>
        <w:ind w:firstLine="3373" w:firstLineChars="1200"/>
        <w:jc w:val="both"/>
        <w:outlineLvl w:val="9"/>
        <w:rPr>
          <w:rFonts w:hint="eastAsia" w:ascii="宋体" w:hAnsi="宋体" w:eastAsia="宋体" w:cs="宋体"/>
          <w:b/>
          <w:bCs/>
          <w:color w:val="auto"/>
          <w:sz w:val="28"/>
          <w:szCs w:val="28"/>
          <w:highlight w:val="none"/>
          <w:lang w:val="zh-CN"/>
        </w:rPr>
      </w:pPr>
    </w:p>
    <w:p w14:paraId="10EFC862">
      <w:pPr>
        <w:autoSpaceDE w:val="0"/>
        <w:autoSpaceDN w:val="0"/>
        <w:adjustRightInd w:val="0"/>
        <w:snapToGrid w:val="0"/>
        <w:spacing w:line="520" w:lineRule="exact"/>
        <w:ind w:firstLine="3373" w:firstLineChars="1200"/>
        <w:jc w:val="both"/>
        <w:outlineLvl w:val="9"/>
        <w:rPr>
          <w:rFonts w:hint="eastAsia" w:ascii="宋体" w:hAnsi="宋体" w:eastAsia="宋体" w:cs="宋体"/>
          <w:b/>
          <w:bCs/>
          <w:color w:val="auto"/>
          <w:sz w:val="28"/>
          <w:szCs w:val="28"/>
          <w:highlight w:val="none"/>
          <w:lang w:val="zh-CN"/>
        </w:rPr>
      </w:pPr>
      <w:r>
        <w:rPr>
          <w:rFonts w:hint="eastAsia" w:ascii="宋体" w:hAnsi="宋体" w:eastAsia="宋体" w:cs="宋体"/>
          <w:b/>
          <w:bCs/>
          <w:color w:val="auto"/>
          <w:sz w:val="28"/>
          <w:szCs w:val="28"/>
          <w:highlight w:val="none"/>
          <w:lang w:val="zh-CN"/>
        </w:rPr>
        <w:t>二〇二</w:t>
      </w:r>
      <w:r>
        <w:rPr>
          <w:rFonts w:hint="eastAsia" w:ascii="宋体" w:hAnsi="宋体" w:eastAsia="宋体" w:cs="宋体"/>
          <w:b/>
          <w:bCs/>
          <w:color w:val="auto"/>
          <w:sz w:val="28"/>
          <w:szCs w:val="28"/>
          <w:highlight w:val="none"/>
          <w:lang w:val="en-US" w:eastAsia="zh-CN"/>
        </w:rPr>
        <w:t>五</w:t>
      </w:r>
      <w:r>
        <w:rPr>
          <w:rFonts w:hint="eastAsia" w:ascii="宋体" w:hAnsi="宋体" w:eastAsia="宋体" w:cs="宋体"/>
          <w:b/>
          <w:bCs/>
          <w:color w:val="auto"/>
          <w:sz w:val="28"/>
          <w:szCs w:val="28"/>
          <w:highlight w:val="none"/>
          <w:lang w:val="zh-CN"/>
        </w:rPr>
        <w:t>年</w:t>
      </w:r>
      <w:r>
        <w:rPr>
          <w:rFonts w:hint="eastAsia" w:ascii="宋体" w:hAnsi="宋体" w:eastAsia="宋体" w:cs="宋体"/>
          <w:b/>
          <w:bCs/>
          <w:color w:val="auto"/>
          <w:sz w:val="28"/>
          <w:szCs w:val="28"/>
          <w:highlight w:val="none"/>
          <w:lang w:val="en-US" w:eastAsia="zh-CN"/>
        </w:rPr>
        <w:t>三</w:t>
      </w:r>
      <w:r>
        <w:rPr>
          <w:rFonts w:hint="eastAsia" w:ascii="宋体" w:hAnsi="宋体" w:eastAsia="宋体" w:cs="宋体"/>
          <w:b/>
          <w:bCs/>
          <w:color w:val="auto"/>
          <w:sz w:val="28"/>
          <w:szCs w:val="28"/>
          <w:highlight w:val="none"/>
          <w:lang w:val="zh-CN"/>
        </w:rPr>
        <w:t>月</w:t>
      </w:r>
    </w:p>
    <w:p w14:paraId="01ECEC37">
      <w:pPr>
        <w:rPr>
          <w:rFonts w:hint="eastAsia" w:ascii="宋体" w:hAnsi="宋体" w:eastAsia="宋体" w:cs="宋体"/>
          <w:b/>
          <w:bCs/>
          <w:color w:val="auto"/>
          <w:sz w:val="28"/>
          <w:szCs w:val="28"/>
          <w:highlight w:val="none"/>
          <w:lang w:val="zh-CN"/>
        </w:rPr>
      </w:pPr>
      <w:r>
        <w:rPr>
          <w:rFonts w:hint="eastAsia" w:ascii="宋体" w:hAnsi="宋体" w:eastAsia="宋体" w:cs="宋体"/>
          <w:b/>
          <w:bCs/>
          <w:color w:val="auto"/>
          <w:sz w:val="28"/>
          <w:szCs w:val="28"/>
          <w:highlight w:val="none"/>
          <w:lang w:val="zh-CN"/>
        </w:rPr>
        <w:br w:type="page"/>
      </w:r>
    </w:p>
    <w:p w14:paraId="1CF3A0DA">
      <w:pPr>
        <w:autoSpaceDE w:val="0"/>
        <w:autoSpaceDN w:val="0"/>
        <w:adjustRightInd w:val="0"/>
        <w:snapToGrid w:val="0"/>
        <w:spacing w:line="520" w:lineRule="exact"/>
        <w:jc w:val="center"/>
        <w:rPr>
          <w:rFonts w:hint="eastAsia" w:ascii="宋体" w:hAnsi="宋体" w:eastAsia="宋体" w:cs="宋体"/>
          <w:b/>
          <w:color w:val="auto"/>
          <w:sz w:val="44"/>
          <w:highlight w:val="none"/>
          <w:lang w:val="zh-CN"/>
        </w:rPr>
      </w:pPr>
      <w:r>
        <w:rPr>
          <w:rFonts w:hint="eastAsia" w:ascii="宋体" w:hAnsi="宋体" w:eastAsia="宋体" w:cs="宋体"/>
          <w:b/>
          <w:color w:val="auto"/>
          <w:sz w:val="44"/>
          <w:highlight w:val="none"/>
          <w:lang w:val="zh-CN"/>
        </w:rPr>
        <w:t>目  录</w:t>
      </w:r>
    </w:p>
    <w:p w14:paraId="0235BDF9">
      <w:pPr>
        <w:pStyle w:val="42"/>
        <w:rPr>
          <w:rFonts w:hint="eastAsia" w:ascii="宋体" w:hAnsi="宋体" w:eastAsia="宋体" w:cs="宋体"/>
          <w:color w:val="auto"/>
          <w:highlight w:val="none"/>
          <w:lang w:val="zh-CN"/>
        </w:rPr>
      </w:pPr>
    </w:p>
    <w:p w14:paraId="3D9BB376">
      <w:pPr>
        <w:pStyle w:val="19"/>
        <w:tabs>
          <w:tab w:val="right" w:leader="dot" w:pos="9581"/>
        </w:tabs>
        <w:spacing w:line="360" w:lineRule="auto"/>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lang w:val="zh-CN"/>
        </w:rPr>
        <w:fldChar w:fldCharType="begin"/>
      </w:r>
      <w:r>
        <w:rPr>
          <w:rFonts w:hint="eastAsia" w:ascii="宋体" w:hAnsi="宋体" w:eastAsia="宋体" w:cs="宋体"/>
          <w:b/>
          <w:color w:val="auto"/>
          <w:sz w:val="28"/>
          <w:szCs w:val="28"/>
          <w:highlight w:val="none"/>
          <w:lang w:val="zh-CN"/>
        </w:rPr>
        <w:instrText xml:space="preserve">TOC \o "1-1" \h \u </w:instrText>
      </w:r>
      <w:r>
        <w:rPr>
          <w:rFonts w:hint="eastAsia" w:ascii="宋体" w:hAnsi="宋体" w:eastAsia="宋体" w:cs="宋体"/>
          <w:b/>
          <w:color w:val="auto"/>
          <w:sz w:val="28"/>
          <w:szCs w:val="28"/>
          <w:highlight w:val="none"/>
          <w:lang w:val="zh-CN"/>
        </w:rPr>
        <w:fldChar w:fldCharType="separate"/>
      </w: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_Toc1521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8"/>
          <w:highlight w:val="none"/>
          <w:lang w:eastAsia="zh-CN"/>
        </w:rPr>
        <w:t>第一章</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招标公告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_Toc1521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zh-CN"/>
        </w:rPr>
        <w:fldChar w:fldCharType="end"/>
      </w:r>
    </w:p>
    <w:p w14:paraId="2CF31D1B">
      <w:pPr>
        <w:pStyle w:val="19"/>
        <w:tabs>
          <w:tab w:val="right" w:leader="dot" w:pos="9581"/>
        </w:tabs>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_Toc31743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8"/>
          <w:highlight w:val="none"/>
        </w:rPr>
        <w:t xml:space="preserve">第二章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_Toc31743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5</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zh-CN"/>
        </w:rPr>
        <w:fldChar w:fldCharType="end"/>
      </w:r>
    </w:p>
    <w:p w14:paraId="705EA081">
      <w:pPr>
        <w:pStyle w:val="19"/>
        <w:tabs>
          <w:tab w:val="right" w:leader="dot" w:pos="9581"/>
        </w:tabs>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_Toc9393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8"/>
          <w:highlight w:val="none"/>
          <w:lang w:val="zh-CN"/>
        </w:rPr>
        <w:t xml:space="preserve">第三章 </w:t>
      </w:r>
      <w:r>
        <w:rPr>
          <w:rFonts w:hint="eastAsia" w:ascii="宋体" w:hAnsi="宋体" w:eastAsia="宋体" w:cs="宋体"/>
          <w:color w:val="auto"/>
          <w:sz w:val="28"/>
          <w:szCs w:val="28"/>
          <w:highlight w:val="none"/>
        </w:rPr>
        <w:t>评标办法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_Toc9393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zh-CN"/>
        </w:rPr>
        <w:fldChar w:fldCharType="end"/>
      </w:r>
    </w:p>
    <w:p w14:paraId="331E302F">
      <w:pPr>
        <w:pStyle w:val="19"/>
        <w:tabs>
          <w:tab w:val="right" w:leader="dot" w:pos="9581"/>
        </w:tabs>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_Toc26551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8"/>
          <w:highlight w:val="none"/>
        </w:rPr>
        <w:t>第四章 合同条款</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参考格式</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_Toc26551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zh-CN"/>
        </w:rPr>
        <w:fldChar w:fldCharType="end"/>
      </w:r>
    </w:p>
    <w:p w14:paraId="7E9EBDFA">
      <w:pPr>
        <w:pStyle w:val="19"/>
        <w:tabs>
          <w:tab w:val="right" w:leader="dot" w:pos="9581"/>
        </w:tabs>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_Toc5903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8"/>
          <w:highlight w:val="none"/>
        </w:rPr>
        <w:t>第</w:t>
      </w:r>
      <w:r>
        <w:rPr>
          <w:rFonts w:hint="eastAsia" w:ascii="宋体" w:hAnsi="宋体" w:eastAsia="宋体" w:cs="宋体"/>
          <w:color w:val="auto"/>
          <w:sz w:val="28"/>
          <w:szCs w:val="28"/>
          <w:highlight w:val="none"/>
          <w:lang w:eastAsia="zh-CN"/>
        </w:rPr>
        <w:t>五</w:t>
      </w:r>
      <w:r>
        <w:rPr>
          <w:rFonts w:hint="eastAsia" w:ascii="宋体" w:hAnsi="宋体" w:eastAsia="宋体" w:cs="宋体"/>
          <w:color w:val="auto"/>
          <w:sz w:val="28"/>
          <w:szCs w:val="28"/>
          <w:highlight w:val="none"/>
        </w:rPr>
        <w:t xml:space="preserve">章 </w:t>
      </w:r>
      <w:r>
        <w:rPr>
          <w:rFonts w:hint="eastAsia" w:ascii="宋体" w:hAnsi="宋体" w:eastAsia="宋体" w:cs="宋体"/>
          <w:color w:val="auto"/>
          <w:sz w:val="28"/>
          <w:szCs w:val="28"/>
          <w:highlight w:val="none"/>
          <w:lang w:val="en-US" w:eastAsia="zh-CN"/>
        </w:rPr>
        <w:t>技术要求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_Toc5903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38</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zh-CN"/>
        </w:rPr>
        <w:fldChar w:fldCharType="end"/>
      </w:r>
    </w:p>
    <w:p w14:paraId="6693BC55">
      <w:pPr>
        <w:pStyle w:val="19"/>
        <w:tabs>
          <w:tab w:val="right" w:leader="dot" w:pos="9581"/>
        </w:tabs>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zh-CN"/>
        </w:rPr>
        <w:fldChar w:fldCharType="begin"/>
      </w:r>
      <w:r>
        <w:rPr>
          <w:rFonts w:hint="eastAsia" w:ascii="宋体" w:hAnsi="宋体" w:eastAsia="宋体" w:cs="宋体"/>
          <w:color w:val="auto"/>
          <w:sz w:val="28"/>
          <w:szCs w:val="28"/>
          <w:highlight w:val="none"/>
          <w:lang w:val="zh-CN"/>
        </w:rPr>
        <w:instrText xml:space="preserve"> HYPERLINK \l _Toc26078 </w:instrText>
      </w:r>
      <w:r>
        <w:rPr>
          <w:rFonts w:hint="eastAsia" w:ascii="宋体" w:hAnsi="宋体" w:eastAsia="宋体" w:cs="宋体"/>
          <w:color w:val="auto"/>
          <w:sz w:val="28"/>
          <w:szCs w:val="28"/>
          <w:highlight w:val="none"/>
          <w:lang w:val="zh-CN"/>
        </w:rPr>
        <w:fldChar w:fldCharType="separate"/>
      </w:r>
      <w:r>
        <w:rPr>
          <w:rFonts w:hint="eastAsia" w:ascii="宋体" w:hAnsi="宋体" w:eastAsia="宋体" w:cs="宋体"/>
          <w:color w:val="auto"/>
          <w:sz w:val="28"/>
          <w:szCs w:val="28"/>
          <w:highlight w:val="none"/>
        </w:rPr>
        <w:t>第</w:t>
      </w:r>
      <w:r>
        <w:rPr>
          <w:rFonts w:hint="eastAsia" w:ascii="宋体" w:hAnsi="宋体" w:eastAsia="宋体" w:cs="宋体"/>
          <w:color w:val="auto"/>
          <w:sz w:val="28"/>
          <w:szCs w:val="28"/>
          <w:highlight w:val="none"/>
          <w:lang w:eastAsia="zh-CN"/>
        </w:rPr>
        <w:t>六</w:t>
      </w:r>
      <w:r>
        <w:rPr>
          <w:rFonts w:hint="eastAsia" w:ascii="宋体" w:hAnsi="宋体" w:eastAsia="宋体" w:cs="宋体"/>
          <w:color w:val="auto"/>
          <w:sz w:val="28"/>
          <w:szCs w:val="28"/>
          <w:highlight w:val="none"/>
        </w:rPr>
        <w:t>章 投标文件构成、要求及格式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_Toc26078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38</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zh-CN"/>
        </w:rPr>
        <w:fldChar w:fldCharType="end"/>
      </w:r>
    </w:p>
    <w:p w14:paraId="5546BE6E">
      <w:pPr>
        <w:autoSpaceDE w:val="0"/>
        <w:autoSpaceDN w:val="0"/>
        <w:adjustRightInd w:val="0"/>
        <w:snapToGrid w:val="0"/>
        <w:spacing w:beforeLines="50" w:afterLines="50" w:line="480" w:lineRule="auto"/>
        <w:ind w:firstLine="560" w:firstLineChars="200"/>
        <w:jc w:val="center"/>
        <w:rPr>
          <w:rFonts w:hint="eastAsia" w:ascii="宋体" w:hAnsi="宋体" w:eastAsia="宋体" w:cs="宋体"/>
          <w:b/>
          <w:color w:val="auto"/>
          <w:highlight w:val="none"/>
          <w:lang w:val="zh-CN"/>
        </w:rPr>
      </w:pPr>
      <w:r>
        <w:rPr>
          <w:rFonts w:hint="eastAsia" w:ascii="宋体" w:hAnsi="宋体" w:eastAsia="宋体" w:cs="宋体"/>
          <w:color w:val="auto"/>
          <w:sz w:val="28"/>
          <w:szCs w:val="28"/>
          <w:highlight w:val="none"/>
          <w:lang w:val="zh-CN"/>
        </w:rPr>
        <w:fldChar w:fldCharType="end"/>
      </w:r>
    </w:p>
    <w:p w14:paraId="2718904E">
      <w:pPr>
        <w:autoSpaceDE w:val="0"/>
        <w:autoSpaceDN w:val="0"/>
        <w:adjustRightInd w:val="0"/>
        <w:snapToGrid w:val="0"/>
        <w:spacing w:line="520" w:lineRule="exact"/>
        <w:jc w:val="center"/>
        <w:rPr>
          <w:rFonts w:hint="eastAsia" w:ascii="宋体" w:hAnsi="宋体" w:eastAsia="宋体" w:cs="宋体"/>
          <w:b/>
          <w:color w:val="auto"/>
          <w:highlight w:val="none"/>
          <w:lang w:val="zh-CN"/>
        </w:rPr>
      </w:pPr>
    </w:p>
    <w:p w14:paraId="1D376F45">
      <w:pPr>
        <w:autoSpaceDE w:val="0"/>
        <w:autoSpaceDN w:val="0"/>
        <w:adjustRightInd w:val="0"/>
        <w:snapToGrid w:val="0"/>
        <w:spacing w:line="520" w:lineRule="exact"/>
        <w:jc w:val="center"/>
        <w:rPr>
          <w:rFonts w:hint="eastAsia" w:ascii="宋体" w:hAnsi="宋体" w:eastAsia="宋体" w:cs="宋体"/>
          <w:b/>
          <w:color w:val="auto"/>
          <w:highlight w:val="none"/>
          <w:lang w:val="zh-CN"/>
        </w:rPr>
      </w:pPr>
    </w:p>
    <w:p w14:paraId="40FB5AE2">
      <w:pPr>
        <w:autoSpaceDE w:val="0"/>
        <w:autoSpaceDN w:val="0"/>
        <w:adjustRightInd w:val="0"/>
        <w:snapToGrid w:val="0"/>
        <w:spacing w:line="520" w:lineRule="exact"/>
        <w:jc w:val="center"/>
        <w:rPr>
          <w:rFonts w:hint="eastAsia" w:ascii="宋体" w:hAnsi="宋体" w:eastAsia="宋体" w:cs="宋体"/>
          <w:b/>
          <w:color w:val="auto"/>
          <w:highlight w:val="none"/>
          <w:lang w:val="zh-CN"/>
        </w:rPr>
      </w:pPr>
    </w:p>
    <w:p w14:paraId="300493C4">
      <w:pPr>
        <w:autoSpaceDE w:val="0"/>
        <w:autoSpaceDN w:val="0"/>
        <w:adjustRightInd w:val="0"/>
        <w:snapToGrid w:val="0"/>
        <w:spacing w:line="520" w:lineRule="exact"/>
        <w:jc w:val="center"/>
        <w:rPr>
          <w:rFonts w:hint="eastAsia" w:ascii="宋体" w:hAnsi="宋体" w:eastAsia="宋体" w:cs="宋体"/>
          <w:b/>
          <w:color w:val="auto"/>
          <w:highlight w:val="none"/>
          <w:lang w:val="zh-CN"/>
        </w:rPr>
      </w:pPr>
    </w:p>
    <w:p w14:paraId="70C6D000">
      <w:pPr>
        <w:autoSpaceDE w:val="0"/>
        <w:autoSpaceDN w:val="0"/>
        <w:adjustRightInd w:val="0"/>
        <w:snapToGrid w:val="0"/>
        <w:spacing w:line="520" w:lineRule="exact"/>
        <w:jc w:val="center"/>
        <w:rPr>
          <w:rFonts w:hint="eastAsia" w:ascii="宋体" w:hAnsi="宋体" w:eastAsia="宋体" w:cs="宋体"/>
          <w:b/>
          <w:color w:val="auto"/>
          <w:highlight w:val="none"/>
          <w:lang w:val="zh-CN"/>
        </w:rPr>
      </w:pPr>
    </w:p>
    <w:p w14:paraId="2EF74DBD">
      <w:pPr>
        <w:autoSpaceDE w:val="0"/>
        <w:autoSpaceDN w:val="0"/>
        <w:adjustRightInd w:val="0"/>
        <w:snapToGrid w:val="0"/>
        <w:spacing w:line="520" w:lineRule="exact"/>
        <w:jc w:val="center"/>
        <w:rPr>
          <w:rFonts w:hint="eastAsia" w:ascii="宋体" w:hAnsi="宋体" w:eastAsia="宋体" w:cs="宋体"/>
          <w:b/>
          <w:color w:val="auto"/>
          <w:highlight w:val="none"/>
          <w:lang w:val="zh-CN"/>
        </w:rPr>
      </w:pPr>
    </w:p>
    <w:bookmarkEnd w:id="0"/>
    <w:bookmarkEnd w:id="1"/>
    <w:p w14:paraId="33EB37D0">
      <w:pPr>
        <w:pStyle w:val="5"/>
        <w:bidi w:val="0"/>
        <w:jc w:val="center"/>
        <w:rPr>
          <w:rFonts w:hint="eastAsia" w:ascii="宋体" w:hAnsi="宋体" w:eastAsia="宋体" w:cs="宋体"/>
          <w:color w:val="auto"/>
          <w:sz w:val="36"/>
          <w:szCs w:val="36"/>
          <w:highlight w:val="none"/>
          <w:lang w:eastAsia="zh-CN"/>
        </w:rPr>
        <w:sectPr>
          <w:headerReference r:id="rId3" w:type="default"/>
          <w:footerReference r:id="rId4" w:type="default"/>
          <w:pgSz w:w="11906" w:h="16838"/>
          <w:pgMar w:top="1440" w:right="1080" w:bottom="1440" w:left="1080" w:header="850" w:footer="850" w:gutter="0"/>
          <w:pgBorders>
            <w:top w:val="none" w:sz="0" w:space="0"/>
            <w:left w:val="none" w:sz="0" w:space="0"/>
            <w:bottom w:val="none" w:sz="0" w:space="0"/>
            <w:right w:val="none" w:sz="0" w:space="0"/>
          </w:pgBorders>
          <w:pgNumType w:fmt="decimal"/>
          <w:cols w:space="720" w:num="1"/>
          <w:titlePg/>
          <w:docGrid w:type="lines" w:linePitch="490" w:charSpace="0"/>
        </w:sectPr>
      </w:pPr>
      <w:bookmarkStart w:id="9" w:name="_Toc1521"/>
      <w:bookmarkStart w:id="10" w:name="_Toc30283"/>
      <w:bookmarkStart w:id="11" w:name="_Toc5268"/>
      <w:bookmarkStart w:id="12" w:name="_Toc30082"/>
      <w:bookmarkStart w:id="13" w:name="_Toc17815"/>
    </w:p>
    <w:p w14:paraId="67D57187">
      <w:pPr>
        <w:pStyle w:val="5"/>
        <w:bidi w:val="0"/>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lang w:eastAsia="zh-CN"/>
        </w:rPr>
        <w:t>第一章</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招标公告</w:t>
      </w:r>
      <w:bookmarkEnd w:id="9"/>
      <w:bookmarkEnd w:id="10"/>
    </w:p>
    <w:p w14:paraId="44E59B2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项目概况</w:t>
      </w:r>
    </w:p>
    <w:p w14:paraId="7CFD8FF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u w:val="single"/>
          <w:lang w:val="en-US" w:eastAsia="zh-CN" w:bidi="ar"/>
        </w:rPr>
        <w:t>2025年图书馆数字资源建设项目</w:t>
      </w:r>
      <w:r>
        <w:rPr>
          <w:rFonts w:hint="eastAsia" w:ascii="宋体" w:hAnsi="宋体" w:eastAsia="宋体" w:cs="宋体"/>
          <w:b w:val="0"/>
          <w:i w:val="0"/>
          <w:caps w:val="0"/>
          <w:color w:val="auto"/>
          <w:spacing w:val="0"/>
          <w:kern w:val="0"/>
          <w:sz w:val="24"/>
          <w:szCs w:val="24"/>
          <w:highlight w:val="none"/>
          <w:lang w:val="en-US" w:eastAsia="zh-CN" w:bidi="ar"/>
        </w:rPr>
        <w:t>的潜在供应商应在</w:t>
      </w:r>
      <w:r>
        <w:rPr>
          <w:rFonts w:hint="eastAsia" w:ascii="宋体" w:hAnsi="宋体" w:eastAsia="宋体" w:cs="宋体"/>
          <w:b w:val="0"/>
          <w:i w:val="0"/>
          <w:caps w:val="0"/>
          <w:color w:val="auto"/>
          <w:spacing w:val="0"/>
          <w:kern w:val="0"/>
          <w:sz w:val="24"/>
          <w:szCs w:val="24"/>
          <w:highlight w:val="none"/>
          <w:u w:val="single"/>
          <w:lang w:val="en-US" w:eastAsia="zh-CN" w:bidi="ar"/>
        </w:rPr>
        <w:t>政采云平台（https://www.zcygov.cn/）</w:t>
      </w:r>
      <w:r>
        <w:rPr>
          <w:rFonts w:hint="eastAsia" w:ascii="宋体" w:hAnsi="宋体" w:eastAsia="宋体" w:cs="宋体"/>
          <w:b w:val="0"/>
          <w:i w:val="0"/>
          <w:caps w:val="0"/>
          <w:color w:val="auto"/>
          <w:spacing w:val="0"/>
          <w:kern w:val="0"/>
          <w:sz w:val="24"/>
          <w:szCs w:val="24"/>
          <w:highlight w:val="none"/>
          <w:lang w:val="en-US" w:eastAsia="zh-CN" w:bidi="ar"/>
        </w:rPr>
        <w:t>获取招标文件，并于2025年04月21日09时30分（北京时间）前递交投标文件。</w:t>
      </w:r>
    </w:p>
    <w:p w14:paraId="425B886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jc w:val="both"/>
        <w:textAlignment w:val="auto"/>
        <w:rPr>
          <w:rFonts w:hint="eastAsia" w:ascii="宋体" w:hAnsi="宋体" w:eastAsia="宋体" w:cs="宋体"/>
          <w:b/>
          <w:bCs/>
          <w:i w:val="0"/>
          <w:caps w:val="0"/>
          <w:color w:val="auto"/>
          <w:spacing w:val="0"/>
          <w:kern w:val="0"/>
          <w:sz w:val="24"/>
          <w:szCs w:val="24"/>
          <w:highlight w:val="none"/>
          <w:lang w:val="en-US" w:eastAsia="zh-CN" w:bidi="ar"/>
        </w:rPr>
      </w:pPr>
      <w:bookmarkStart w:id="14" w:name="_Toc35393621"/>
      <w:bookmarkStart w:id="15" w:name="_Toc35393790"/>
      <w:bookmarkStart w:id="16" w:name="_Toc28359002"/>
      <w:bookmarkStart w:id="17" w:name="_Toc28359079"/>
      <w:bookmarkStart w:id="18" w:name="_Hlk24379207"/>
      <w:r>
        <w:rPr>
          <w:rFonts w:hint="eastAsia" w:ascii="宋体" w:hAnsi="宋体" w:eastAsia="宋体" w:cs="宋体"/>
          <w:b/>
          <w:bCs/>
          <w:i w:val="0"/>
          <w:caps w:val="0"/>
          <w:color w:val="auto"/>
          <w:spacing w:val="0"/>
          <w:kern w:val="0"/>
          <w:sz w:val="24"/>
          <w:szCs w:val="24"/>
          <w:highlight w:val="none"/>
          <w:lang w:val="en-US" w:eastAsia="zh-CN" w:bidi="ar"/>
        </w:rPr>
        <w:t>一、项目基本情况</w:t>
      </w:r>
      <w:bookmarkEnd w:id="14"/>
      <w:bookmarkEnd w:id="15"/>
      <w:bookmarkEnd w:id="16"/>
      <w:bookmarkEnd w:id="17"/>
    </w:p>
    <w:p w14:paraId="4E2E8D4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项目编号：采购计划-[2025]-02425号-ZZY-2025-CZHW-14；</w:t>
      </w:r>
    </w:p>
    <w:p w14:paraId="5DDAC75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项目名称：</w:t>
      </w:r>
      <w:bookmarkEnd w:id="18"/>
      <w:r>
        <w:rPr>
          <w:rFonts w:hint="eastAsia" w:ascii="宋体" w:hAnsi="宋体" w:eastAsia="宋体" w:cs="宋体"/>
          <w:b w:val="0"/>
          <w:i w:val="0"/>
          <w:caps w:val="0"/>
          <w:color w:val="auto"/>
          <w:spacing w:val="0"/>
          <w:kern w:val="0"/>
          <w:sz w:val="24"/>
          <w:szCs w:val="24"/>
          <w:highlight w:val="none"/>
          <w:lang w:val="en-US" w:eastAsia="zh-CN" w:bidi="ar"/>
        </w:rPr>
        <w:t>2025年图书馆数字资源建设项目；</w:t>
      </w:r>
    </w:p>
    <w:p w14:paraId="572A3E4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i w:val="0"/>
          <w:caps w:val="0"/>
          <w:color w:val="auto"/>
          <w:spacing w:val="0"/>
          <w:kern w:val="0"/>
          <w:sz w:val="24"/>
          <w:szCs w:val="24"/>
          <w:highlight w:val="none"/>
          <w:lang w:val="en-US" w:eastAsia="zh-CN" w:bidi="ar"/>
        </w:rPr>
        <w:t>采购方式：公开招标；</w:t>
      </w:r>
    </w:p>
    <w:p w14:paraId="6EB1DF5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预算金额(最高限价)：4,350,000.00元；</w:t>
      </w:r>
    </w:p>
    <w:p w14:paraId="60B478A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标包划分：本项目共划分三个包：</w:t>
      </w:r>
    </w:p>
    <w:tbl>
      <w:tblPr>
        <w:tblStyle w:val="25"/>
        <w:tblW w:w="98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3"/>
        <w:gridCol w:w="2089"/>
        <w:gridCol w:w="2667"/>
        <w:gridCol w:w="1953"/>
      </w:tblGrid>
      <w:tr w14:paraId="1FACD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3093" w:type="dxa"/>
            <w:noWrap w:val="0"/>
            <w:vAlign w:val="center"/>
          </w:tcPr>
          <w:p w14:paraId="01C1747E">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分包编号</w:t>
            </w:r>
          </w:p>
        </w:tc>
        <w:tc>
          <w:tcPr>
            <w:tcW w:w="2089" w:type="dxa"/>
            <w:noWrap w:val="0"/>
            <w:vAlign w:val="center"/>
          </w:tcPr>
          <w:p w14:paraId="0DD69280">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分包名称</w:t>
            </w:r>
          </w:p>
        </w:tc>
        <w:tc>
          <w:tcPr>
            <w:tcW w:w="2667" w:type="dxa"/>
            <w:noWrap w:val="0"/>
            <w:vAlign w:val="center"/>
          </w:tcPr>
          <w:p w14:paraId="3600F75D">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采购需求</w:t>
            </w:r>
          </w:p>
        </w:tc>
        <w:tc>
          <w:tcPr>
            <w:tcW w:w="1953" w:type="dxa"/>
            <w:noWrap w:val="0"/>
            <w:vAlign w:val="center"/>
          </w:tcPr>
          <w:p w14:paraId="19225415">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i w:val="0"/>
                <w:caps w:val="0"/>
                <w:color w:val="auto"/>
                <w:spacing w:val="0"/>
                <w:kern w:val="0"/>
                <w:sz w:val="24"/>
                <w:szCs w:val="24"/>
                <w:highlight w:val="none"/>
                <w:lang w:val="en-US" w:eastAsia="zh-CN" w:bidi="ar"/>
              </w:rPr>
              <w:t>预算金额(最高限价)</w:t>
            </w:r>
            <w:r>
              <w:rPr>
                <w:rFonts w:hint="eastAsia" w:ascii="宋体" w:hAnsi="宋体" w:eastAsia="宋体" w:cs="宋体"/>
                <w:color w:val="auto"/>
                <w:sz w:val="24"/>
                <w:szCs w:val="24"/>
                <w:highlight w:val="none"/>
                <w:lang w:val="en-US" w:eastAsia="zh-CN"/>
              </w:rPr>
              <w:t>(元)</w:t>
            </w:r>
          </w:p>
        </w:tc>
      </w:tr>
      <w:tr w14:paraId="4A38F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3093" w:type="dxa"/>
            <w:noWrap w:val="0"/>
            <w:vAlign w:val="center"/>
          </w:tcPr>
          <w:p w14:paraId="6C0F6944">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i w:val="0"/>
                <w:caps w:val="0"/>
                <w:color w:val="auto"/>
                <w:spacing w:val="0"/>
                <w:kern w:val="0"/>
                <w:sz w:val="24"/>
                <w:szCs w:val="24"/>
                <w:highlight w:val="none"/>
                <w:lang w:val="en-US" w:eastAsia="zh-CN" w:bidi="ar"/>
              </w:rPr>
              <w:t>采购计划-[2025]-02425号-1-ZZY-2025-CZHW-14</w:t>
            </w:r>
          </w:p>
        </w:tc>
        <w:tc>
          <w:tcPr>
            <w:tcW w:w="2089" w:type="dxa"/>
            <w:noWrap w:val="0"/>
            <w:vAlign w:val="center"/>
          </w:tcPr>
          <w:p w14:paraId="76345648">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2025年图书馆数字资源建设项目（第一包）</w:t>
            </w:r>
          </w:p>
        </w:tc>
        <w:tc>
          <w:tcPr>
            <w:tcW w:w="2667" w:type="dxa"/>
            <w:noWrap w:val="0"/>
            <w:vAlign w:val="center"/>
          </w:tcPr>
          <w:p w14:paraId="79D4AECD">
            <w:pPr>
              <w:bidi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2025年图书馆数字资源建设项目（第一包），</w:t>
            </w:r>
            <w:r>
              <w:rPr>
                <w:rFonts w:hint="eastAsia" w:ascii="宋体" w:hAnsi="宋体" w:eastAsia="宋体" w:cs="宋体"/>
                <w:color w:val="auto"/>
                <w:sz w:val="24"/>
                <w:szCs w:val="24"/>
                <w:highlight w:val="none"/>
              </w:rPr>
              <w:t>详见招标文件</w:t>
            </w:r>
          </w:p>
        </w:tc>
        <w:tc>
          <w:tcPr>
            <w:tcW w:w="1953" w:type="dxa"/>
            <w:noWrap w:val="0"/>
            <w:vAlign w:val="center"/>
          </w:tcPr>
          <w:p w14:paraId="6ED25896">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1,729,000.00</w:t>
            </w:r>
          </w:p>
        </w:tc>
      </w:tr>
      <w:tr w14:paraId="3046E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3093" w:type="dxa"/>
            <w:noWrap w:val="0"/>
            <w:vAlign w:val="center"/>
          </w:tcPr>
          <w:p w14:paraId="129258CE">
            <w:pPr>
              <w:bidi w:val="0"/>
              <w:spacing w:line="240" w:lineRule="auto"/>
              <w:jc w:val="center"/>
              <w:rPr>
                <w:rFonts w:hint="eastAsia" w:ascii="宋体" w:hAnsi="宋体" w:eastAsia="宋体" w:cs="宋体"/>
                <w:color w:val="auto"/>
                <w:sz w:val="24"/>
                <w:szCs w:val="24"/>
                <w:highlight w:val="none"/>
                <w:lang w:val="en-US"/>
              </w:rPr>
            </w:pPr>
            <w:r>
              <w:rPr>
                <w:rFonts w:hint="eastAsia" w:ascii="宋体" w:hAnsi="宋体" w:eastAsia="宋体" w:cs="宋体"/>
                <w:b w:val="0"/>
                <w:i w:val="0"/>
                <w:caps w:val="0"/>
                <w:color w:val="auto"/>
                <w:spacing w:val="0"/>
                <w:kern w:val="0"/>
                <w:sz w:val="24"/>
                <w:szCs w:val="24"/>
                <w:highlight w:val="none"/>
                <w:lang w:val="en-US" w:eastAsia="zh-CN" w:bidi="ar"/>
              </w:rPr>
              <w:t>采购计划-[2025]-02425号-2-ZZY-2025-CZHW-14</w:t>
            </w:r>
          </w:p>
        </w:tc>
        <w:tc>
          <w:tcPr>
            <w:tcW w:w="2089" w:type="dxa"/>
            <w:noWrap w:val="0"/>
            <w:vAlign w:val="center"/>
          </w:tcPr>
          <w:p w14:paraId="69C629A5">
            <w:pPr>
              <w:bidi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2025年图书馆数字资源建设项目（第二包）</w:t>
            </w:r>
          </w:p>
        </w:tc>
        <w:tc>
          <w:tcPr>
            <w:tcW w:w="2667" w:type="dxa"/>
            <w:noWrap w:val="0"/>
            <w:vAlign w:val="center"/>
          </w:tcPr>
          <w:p w14:paraId="58F297D3">
            <w:pPr>
              <w:bidi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2025年图书馆数字资源建设项目（第二包），</w:t>
            </w:r>
            <w:r>
              <w:rPr>
                <w:rFonts w:hint="eastAsia" w:ascii="宋体" w:hAnsi="宋体" w:eastAsia="宋体" w:cs="宋体"/>
                <w:color w:val="auto"/>
                <w:sz w:val="24"/>
                <w:szCs w:val="24"/>
                <w:highlight w:val="none"/>
              </w:rPr>
              <w:t>详见招标文件</w:t>
            </w:r>
          </w:p>
        </w:tc>
        <w:tc>
          <w:tcPr>
            <w:tcW w:w="1953" w:type="dxa"/>
            <w:noWrap w:val="0"/>
            <w:vAlign w:val="center"/>
          </w:tcPr>
          <w:p w14:paraId="0DC848AA">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1,666,000.00</w:t>
            </w:r>
          </w:p>
        </w:tc>
      </w:tr>
      <w:tr w14:paraId="7C47F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3093" w:type="dxa"/>
            <w:noWrap w:val="0"/>
            <w:vAlign w:val="center"/>
          </w:tcPr>
          <w:p w14:paraId="3FD9A6A8">
            <w:pPr>
              <w:bidi w:val="0"/>
              <w:spacing w:line="240" w:lineRule="auto"/>
              <w:jc w:val="center"/>
              <w:rPr>
                <w:rFonts w:hint="eastAsia" w:ascii="宋体" w:hAnsi="宋体" w:eastAsia="宋体" w:cs="宋体"/>
                <w:color w:val="auto"/>
                <w:sz w:val="24"/>
                <w:szCs w:val="24"/>
                <w:highlight w:val="none"/>
                <w:lang w:val="en-US"/>
              </w:rPr>
            </w:pPr>
            <w:r>
              <w:rPr>
                <w:rFonts w:hint="eastAsia" w:ascii="宋体" w:hAnsi="宋体" w:eastAsia="宋体" w:cs="宋体"/>
                <w:b w:val="0"/>
                <w:i w:val="0"/>
                <w:caps w:val="0"/>
                <w:color w:val="auto"/>
                <w:spacing w:val="0"/>
                <w:kern w:val="0"/>
                <w:sz w:val="24"/>
                <w:szCs w:val="24"/>
                <w:highlight w:val="none"/>
                <w:lang w:val="en-US" w:eastAsia="zh-CN" w:bidi="ar"/>
              </w:rPr>
              <w:t>采购计划-[2025]-02425号-3-ZZY-2025-CZHW-14</w:t>
            </w:r>
          </w:p>
        </w:tc>
        <w:tc>
          <w:tcPr>
            <w:tcW w:w="2089" w:type="dxa"/>
            <w:noWrap w:val="0"/>
            <w:vAlign w:val="center"/>
          </w:tcPr>
          <w:p w14:paraId="038888EE">
            <w:pPr>
              <w:bidi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2025年图书馆数字资源建设项目（第三包）</w:t>
            </w:r>
          </w:p>
        </w:tc>
        <w:tc>
          <w:tcPr>
            <w:tcW w:w="2667" w:type="dxa"/>
            <w:noWrap w:val="0"/>
            <w:vAlign w:val="center"/>
          </w:tcPr>
          <w:p w14:paraId="7593BB48">
            <w:pPr>
              <w:bidi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2025年图书馆数字资源建设项目（第三包），</w:t>
            </w:r>
            <w:r>
              <w:rPr>
                <w:rFonts w:hint="eastAsia" w:ascii="宋体" w:hAnsi="宋体" w:eastAsia="宋体" w:cs="宋体"/>
                <w:color w:val="auto"/>
                <w:sz w:val="24"/>
                <w:szCs w:val="24"/>
                <w:highlight w:val="none"/>
              </w:rPr>
              <w:t>详见招标文件</w:t>
            </w:r>
          </w:p>
        </w:tc>
        <w:tc>
          <w:tcPr>
            <w:tcW w:w="1953" w:type="dxa"/>
            <w:noWrap w:val="0"/>
            <w:vAlign w:val="center"/>
          </w:tcPr>
          <w:p w14:paraId="75981F6D">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955,000.00</w:t>
            </w:r>
          </w:p>
        </w:tc>
      </w:tr>
    </w:tbl>
    <w:p w14:paraId="79D4630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合同履行期限：</w:t>
      </w:r>
      <w:r>
        <w:rPr>
          <w:rFonts w:hint="eastAsia" w:ascii="宋体" w:hAnsi="宋体" w:cs="宋体"/>
          <w:color w:val="auto"/>
          <w:kern w:val="0"/>
          <w:sz w:val="24"/>
          <w:highlight w:val="none"/>
          <w:lang w:val="en-US" w:eastAsia="zh-CN" w:bidi="ar"/>
        </w:rPr>
        <w:t>以实际合同为准</w:t>
      </w:r>
      <w:r>
        <w:rPr>
          <w:rFonts w:hint="eastAsia" w:ascii="宋体" w:hAnsi="宋体" w:eastAsia="宋体" w:cs="宋体"/>
          <w:b w:val="0"/>
          <w:i w:val="0"/>
          <w:caps w:val="0"/>
          <w:color w:val="auto"/>
          <w:spacing w:val="0"/>
          <w:kern w:val="0"/>
          <w:sz w:val="24"/>
          <w:szCs w:val="24"/>
          <w:highlight w:val="none"/>
          <w:lang w:val="en-US" w:eastAsia="zh-CN" w:bidi="ar"/>
        </w:rPr>
        <w:t>；</w:t>
      </w:r>
    </w:p>
    <w:p w14:paraId="37E939B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480" w:firstLineChars="200"/>
        <w:jc w:val="both"/>
        <w:outlineLvl w:val="9"/>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质量标准：符合国家及相关行业要求的合格标准，</w:t>
      </w:r>
      <w:r>
        <w:rPr>
          <w:rFonts w:hint="eastAsia" w:ascii="宋体" w:hAnsi="宋体" w:eastAsia="宋体" w:cs="宋体"/>
          <w:color w:val="auto"/>
          <w:sz w:val="24"/>
          <w:szCs w:val="24"/>
          <w:highlight w:val="none"/>
        </w:rPr>
        <w:t>并达到采购人的验收标准</w:t>
      </w:r>
      <w:r>
        <w:rPr>
          <w:rFonts w:hint="eastAsia" w:ascii="宋体" w:hAnsi="宋体" w:eastAsia="宋体" w:cs="宋体"/>
          <w:color w:val="auto"/>
          <w:sz w:val="24"/>
          <w:szCs w:val="24"/>
          <w:highlight w:val="none"/>
          <w:lang w:eastAsia="zh-CN"/>
        </w:rPr>
        <w:t>；</w:t>
      </w:r>
    </w:p>
    <w:p w14:paraId="4D576473">
      <w:pPr>
        <w:widowControl/>
        <w:spacing w:line="240" w:lineRule="auto"/>
        <w:ind w:firstLine="480" w:firstLineChars="200"/>
        <w:outlineLvl w:val="9"/>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项目</w:t>
      </w:r>
      <w:r>
        <w:rPr>
          <w:rFonts w:hint="eastAsia" w:ascii="宋体" w:hAnsi="宋体" w:eastAsia="宋体" w:cs="宋体"/>
          <w:color w:val="auto"/>
          <w:kern w:val="0"/>
          <w:sz w:val="24"/>
          <w:szCs w:val="24"/>
          <w:highlight w:val="none"/>
          <w:lang w:bidi="ar"/>
        </w:rPr>
        <w:t>地点：</w:t>
      </w:r>
      <w:r>
        <w:rPr>
          <w:rFonts w:hint="eastAsia" w:ascii="宋体" w:hAnsi="宋体" w:eastAsia="宋体" w:cs="宋体"/>
          <w:color w:val="auto"/>
          <w:kern w:val="0"/>
          <w:sz w:val="24"/>
          <w:szCs w:val="24"/>
          <w:highlight w:val="none"/>
          <w:lang w:eastAsia="zh-CN" w:bidi="ar"/>
        </w:rPr>
        <w:t>长春市净月大街3699号；</w:t>
      </w:r>
    </w:p>
    <w:p w14:paraId="10A41B9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2" w:firstLineChars="200"/>
        <w:jc w:val="both"/>
        <w:textAlignment w:val="auto"/>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本项目不兼投不兼中；</w:t>
      </w:r>
    </w:p>
    <w:p w14:paraId="00B4744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2" w:firstLineChars="200"/>
        <w:jc w:val="both"/>
        <w:textAlignment w:val="auto"/>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本项目不接受联合体投标。</w:t>
      </w:r>
    </w:p>
    <w:p w14:paraId="6B09A31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jc w:val="both"/>
        <w:textAlignment w:val="auto"/>
        <w:rPr>
          <w:rFonts w:hint="eastAsia" w:ascii="宋体" w:hAnsi="宋体" w:eastAsia="宋体" w:cs="宋体"/>
          <w:b/>
          <w:bCs/>
          <w:i w:val="0"/>
          <w:caps w:val="0"/>
          <w:color w:val="auto"/>
          <w:spacing w:val="0"/>
          <w:kern w:val="0"/>
          <w:sz w:val="24"/>
          <w:szCs w:val="24"/>
          <w:highlight w:val="none"/>
          <w:lang w:val="en-US" w:eastAsia="zh-CN" w:bidi="ar"/>
        </w:rPr>
      </w:pPr>
      <w:bookmarkStart w:id="19" w:name="_Toc28359003"/>
      <w:bookmarkStart w:id="20" w:name="_Toc35393791"/>
      <w:bookmarkStart w:id="21" w:name="_Toc35393622"/>
      <w:bookmarkStart w:id="22" w:name="_Toc28359080"/>
      <w:r>
        <w:rPr>
          <w:rFonts w:hint="eastAsia" w:ascii="宋体" w:hAnsi="宋体" w:eastAsia="宋体" w:cs="宋体"/>
          <w:b/>
          <w:bCs/>
          <w:i w:val="0"/>
          <w:caps w:val="0"/>
          <w:color w:val="auto"/>
          <w:spacing w:val="0"/>
          <w:kern w:val="0"/>
          <w:sz w:val="24"/>
          <w:szCs w:val="24"/>
          <w:highlight w:val="none"/>
          <w:lang w:val="en-US" w:eastAsia="zh-CN" w:bidi="ar"/>
        </w:rPr>
        <w:t>二、申请人的资格要求：</w:t>
      </w:r>
      <w:bookmarkEnd w:id="19"/>
      <w:bookmarkEnd w:id="20"/>
      <w:bookmarkEnd w:id="21"/>
      <w:bookmarkEnd w:id="22"/>
    </w:p>
    <w:p w14:paraId="72EF0AA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bookmarkStart w:id="23" w:name="_Toc28359004"/>
      <w:bookmarkStart w:id="24" w:name="_Toc28359081"/>
      <w:bookmarkStart w:id="25" w:name="_Toc35393792"/>
      <w:bookmarkStart w:id="26" w:name="_Toc35393623"/>
      <w:r>
        <w:rPr>
          <w:rFonts w:hint="eastAsia" w:ascii="宋体" w:hAnsi="宋体" w:eastAsia="宋体" w:cs="宋体"/>
          <w:b w:val="0"/>
          <w:i w:val="0"/>
          <w:caps w:val="0"/>
          <w:color w:val="auto"/>
          <w:spacing w:val="0"/>
          <w:kern w:val="0"/>
          <w:sz w:val="24"/>
          <w:szCs w:val="24"/>
          <w:highlight w:val="none"/>
          <w:lang w:val="en-US" w:eastAsia="zh-CN" w:bidi="ar"/>
        </w:rPr>
        <w:t>1.满足《中华人民共和国政府采购法》第二十二条规定；</w:t>
      </w:r>
    </w:p>
    <w:p w14:paraId="59CF353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2.落实政府采购政策需满足的资格要求：本项目非专门面向中小企业采购；</w:t>
      </w:r>
    </w:p>
    <w:p w14:paraId="4C85E15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2.1《政府采购促进中小企业发展管理办法》（财库[2020]46号）；</w:t>
      </w:r>
    </w:p>
    <w:p w14:paraId="5123BB9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2.2《财政部、司法部关于政府采购支持监狱企业发展有关问题的通知》（财库[2014]68号）；</w:t>
      </w:r>
    </w:p>
    <w:p w14:paraId="4BD7C11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2.3《关于促进残疾人就业政府采购政策的通知》（财库〔2017〕141号）；</w:t>
      </w:r>
    </w:p>
    <w:p w14:paraId="2467137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2.4《关于调整优化节能产品、环境标志产品政府采购执行机制的通知》(财库[2019]9号)；</w:t>
      </w:r>
    </w:p>
    <w:p w14:paraId="21B5141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2.5《财政部关于进一步加大政府采购支持中小企业力度的通知》财库〔2022〕19号等国家最新政策。</w:t>
      </w:r>
    </w:p>
    <w:p w14:paraId="2186A02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3.本项目的特定资格要求：</w:t>
      </w:r>
    </w:p>
    <w:p w14:paraId="0E715A2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3.1</w:t>
      </w:r>
      <w:r>
        <w:rPr>
          <w:rFonts w:hint="eastAsia" w:ascii="宋体" w:hAnsi="宋体" w:eastAsia="宋体" w:cs="宋体"/>
          <w:bCs/>
          <w:color w:val="auto"/>
          <w:kern w:val="0"/>
          <w:sz w:val="24"/>
          <w:szCs w:val="24"/>
          <w:highlight w:val="none"/>
          <w:lang w:val="en-US" w:eastAsia="zh-CN"/>
        </w:rPr>
        <w:t>供应商须是在中华人民共和国境内注册的具有独立承担民事责任能力的法人、自然人或具备国家认可经营资格的其他组织，并在人员、设备、资金等方面具有生产或经营本次采购货物和履行合同的能力</w:t>
      </w:r>
      <w:r>
        <w:rPr>
          <w:rFonts w:hint="eastAsia" w:ascii="宋体" w:hAnsi="宋体" w:eastAsia="宋体" w:cs="宋体"/>
          <w:b w:val="0"/>
          <w:i w:val="0"/>
          <w:caps w:val="0"/>
          <w:color w:val="auto"/>
          <w:spacing w:val="0"/>
          <w:kern w:val="0"/>
          <w:sz w:val="24"/>
          <w:szCs w:val="24"/>
          <w:highlight w:val="none"/>
          <w:lang w:val="en-US" w:eastAsia="zh-CN" w:bidi="ar"/>
        </w:rPr>
        <w:t>；</w:t>
      </w:r>
    </w:p>
    <w:p w14:paraId="0A239CE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3.2财务要求：供应商近一年度（2023年度）财务状况良好，具有经会计师事务所或审计机构出具的财务审计报告；</w:t>
      </w:r>
    </w:p>
    <w:p w14:paraId="0E083F5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3.3依法缴纳税收证明：供应商2024年09月至投标截止时间前任意一个月具有依法缴纳税收的良好记录；</w:t>
      </w:r>
    </w:p>
    <w:p w14:paraId="2B7457E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3.4依法缴纳社会保障资金证明：供应商2024年09月至投标截止时间前任意一个月具有依法缴纳社会保障资金的良好记录；</w:t>
      </w:r>
    </w:p>
    <w:p w14:paraId="76DD740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3.5信誉要求：（1）参加政府采购活动前三年内，在经营活动中没有重大违法记录；（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招标公告发布之日起到投标文件提交截止时间期间）；</w:t>
      </w:r>
    </w:p>
    <w:p w14:paraId="4B3F62F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3.6其他要求：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21745A3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0" w:firstLineChars="200"/>
        <w:jc w:val="both"/>
        <w:textAlignment w:val="auto"/>
        <w:rPr>
          <w:rFonts w:hint="eastAsia" w:ascii="宋体" w:hAnsi="宋体" w:eastAsia="宋体" w:cs="宋体"/>
          <w:b w:val="0"/>
          <w:i w:val="0"/>
          <w:caps w:val="0"/>
          <w:color w:val="auto"/>
          <w:spacing w:val="0"/>
          <w:kern w:val="0"/>
          <w:sz w:val="24"/>
          <w:szCs w:val="24"/>
          <w:highlight w:val="none"/>
          <w:lang w:val="en-US" w:eastAsia="zh-CN" w:bidi="ar"/>
        </w:rPr>
      </w:pPr>
      <w:r>
        <w:rPr>
          <w:rFonts w:hint="eastAsia" w:ascii="宋体" w:hAnsi="宋体" w:eastAsia="宋体" w:cs="宋体"/>
          <w:b w:val="0"/>
          <w:i w:val="0"/>
          <w:caps w:val="0"/>
          <w:color w:val="auto"/>
          <w:spacing w:val="0"/>
          <w:kern w:val="0"/>
          <w:sz w:val="24"/>
          <w:szCs w:val="24"/>
          <w:highlight w:val="none"/>
          <w:lang w:val="en-US" w:eastAsia="zh-CN" w:bidi="ar"/>
        </w:rPr>
        <w:t>3.7招投标过程中，投标单位所提供的所有证件均需在有效期内且注册单位名称与投标单位的名称一致，如企业名称发生变更，需提供主管部门出具的变更证明材料，否则不接受其供应商参与本次招标项目的投标。</w:t>
      </w:r>
    </w:p>
    <w:bookmarkEnd w:id="23"/>
    <w:bookmarkEnd w:id="24"/>
    <w:bookmarkEnd w:id="25"/>
    <w:bookmarkEnd w:id="26"/>
    <w:p w14:paraId="75AE1B0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三、获取招标文件</w:t>
      </w:r>
    </w:p>
    <w:p w14:paraId="2128FB2F">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eastAsia="zh-CN"/>
        </w:rPr>
      </w:pPr>
      <w:bookmarkStart w:id="27" w:name="_Toc28359005"/>
      <w:bookmarkStart w:id="28" w:name="_Toc28359082"/>
      <w:bookmarkStart w:id="29" w:name="_Toc35393624"/>
      <w:bookmarkStart w:id="30" w:name="_Toc35393793"/>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03</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28</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07</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，每天上午8：30至下午16：30（北京时间，法定节假日除外）</w:t>
      </w:r>
      <w:r>
        <w:rPr>
          <w:rFonts w:hint="eastAsia" w:ascii="宋体" w:hAnsi="宋体" w:eastAsia="宋体" w:cs="宋体"/>
          <w:color w:val="auto"/>
          <w:sz w:val="24"/>
          <w:szCs w:val="24"/>
          <w:highlight w:val="none"/>
          <w:lang w:eastAsia="zh-CN"/>
        </w:rPr>
        <w:t>。</w:t>
      </w:r>
    </w:p>
    <w:p w14:paraId="5B96844B">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地点：</w:t>
      </w:r>
      <w:r>
        <w:rPr>
          <w:rFonts w:hint="eastAsia" w:ascii="宋体" w:hAnsi="宋体" w:eastAsia="宋体" w:cs="宋体"/>
          <w:color w:val="auto"/>
          <w:sz w:val="24"/>
          <w:szCs w:val="24"/>
          <w:highlight w:val="none"/>
          <w:lang w:val="en-US" w:eastAsia="zh-CN"/>
        </w:rPr>
        <w:t>“政府采购云平台”（https://www.zcygov.cn/）</w:t>
      </w:r>
    </w:p>
    <w:p w14:paraId="248EC0EA">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方式：</w:t>
      </w:r>
      <w:r>
        <w:rPr>
          <w:rFonts w:hint="eastAsia" w:ascii="宋体" w:hAnsi="宋体" w:eastAsia="宋体" w:cs="宋体"/>
          <w:color w:val="auto"/>
          <w:sz w:val="24"/>
          <w:szCs w:val="24"/>
          <w:highlight w:val="none"/>
          <w:lang w:val="en-US" w:eastAsia="zh-CN"/>
        </w:rPr>
        <w:t>政采云平台线上获取。供应商首先在政采云平台（https://www.zcygov.cn/）上免费进行供应商注册（政采云供应商注册流程：https://middle.zcygov.cn/v-settle-front/registry），注册后可在政采云平台免费自行下载招标文件（下载地址：https://www.zcygov.cn/；下载招标文件操作路径：进入政采云平台-登录账号-我的工作台-项目采购-获取采购文件-找到本项目-点击“申请获取文件”），其他途径获取的招标文件一律按无效处理</w:t>
      </w:r>
      <w:r>
        <w:rPr>
          <w:rFonts w:hint="eastAsia" w:ascii="宋体" w:hAnsi="宋体" w:eastAsia="宋体" w:cs="宋体"/>
          <w:color w:val="auto"/>
          <w:sz w:val="24"/>
          <w:szCs w:val="24"/>
          <w:highlight w:val="none"/>
          <w:lang w:val="zh-CN" w:eastAsia="zh-CN"/>
        </w:rPr>
        <w:t>。</w:t>
      </w:r>
    </w:p>
    <w:p w14:paraId="36615DC9">
      <w:pPr>
        <w:spacing w:line="240" w:lineRule="auto"/>
        <w:ind w:firstLine="480" w:firstLineChars="200"/>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售价：</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zh-CN" w:eastAsia="zh-CN"/>
        </w:rPr>
        <w:t>元</w:t>
      </w:r>
      <w:r>
        <w:rPr>
          <w:rFonts w:hint="eastAsia" w:ascii="宋体" w:hAnsi="宋体" w:eastAsia="宋体" w:cs="宋体"/>
          <w:color w:val="auto"/>
          <w:sz w:val="24"/>
          <w:szCs w:val="24"/>
          <w:highlight w:val="none"/>
          <w:lang w:eastAsia="zh-CN"/>
        </w:rPr>
        <w:t>。</w:t>
      </w:r>
    </w:p>
    <w:p w14:paraId="0FC3270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四、提交投标文件</w:t>
      </w:r>
      <w:bookmarkEnd w:id="27"/>
      <w:bookmarkEnd w:id="28"/>
      <w:r>
        <w:rPr>
          <w:rFonts w:hint="eastAsia" w:ascii="宋体" w:hAnsi="宋体" w:eastAsia="宋体" w:cs="宋体"/>
          <w:b/>
          <w:bCs/>
          <w:i w:val="0"/>
          <w:caps w:val="0"/>
          <w:color w:val="auto"/>
          <w:spacing w:val="0"/>
          <w:kern w:val="0"/>
          <w:sz w:val="24"/>
          <w:szCs w:val="24"/>
          <w:highlight w:val="none"/>
          <w:lang w:val="en-US" w:eastAsia="zh-CN" w:bidi="ar"/>
        </w:rPr>
        <w:t>截止时间、开标时间和地点</w:t>
      </w:r>
      <w:bookmarkEnd w:id="29"/>
      <w:bookmarkEnd w:id="30"/>
      <w:bookmarkStart w:id="31" w:name="_Toc35393625"/>
      <w:bookmarkStart w:id="32" w:name="_Toc28359084"/>
      <w:bookmarkStart w:id="33" w:name="_Toc28359007"/>
      <w:bookmarkStart w:id="34" w:name="_Toc35393794"/>
    </w:p>
    <w:p w14:paraId="08471369">
      <w:pPr>
        <w:spacing w:line="24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截止时间：</w:t>
      </w:r>
      <w:r>
        <w:rPr>
          <w:rFonts w:hint="eastAsia" w:ascii="宋体" w:hAnsi="宋体" w:eastAsia="宋体" w:cs="宋体"/>
          <w:b w:val="0"/>
          <w:i w:val="0"/>
          <w:caps w:val="0"/>
          <w:color w:val="auto"/>
          <w:spacing w:val="0"/>
          <w:kern w:val="0"/>
          <w:sz w:val="24"/>
          <w:szCs w:val="24"/>
          <w:highlight w:val="none"/>
          <w:lang w:val="en-US" w:eastAsia="zh-CN" w:bidi="ar"/>
        </w:rPr>
        <w:t>2025年04月21日09时30分</w:t>
      </w:r>
      <w:r>
        <w:rPr>
          <w:rFonts w:hint="eastAsia" w:ascii="宋体" w:hAnsi="宋体" w:eastAsia="宋体" w:cs="宋体"/>
          <w:color w:val="auto"/>
          <w:sz w:val="24"/>
          <w:szCs w:val="24"/>
          <w:highlight w:val="none"/>
        </w:rPr>
        <w:t>（北京时间）。</w:t>
      </w:r>
    </w:p>
    <w:p w14:paraId="5B1AA81B">
      <w:pPr>
        <w:spacing w:line="240" w:lineRule="auto"/>
        <w:ind w:firstLine="480" w:firstLineChars="200"/>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2.地点：长春市二道区洋浦大街6999号凯利中心AB栋101开标四室。</w:t>
      </w:r>
    </w:p>
    <w:p w14:paraId="48DAB7EA">
      <w:pPr>
        <w:spacing w:line="240" w:lineRule="auto"/>
        <w:ind w:firstLine="480" w:firstLineChars="200"/>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提交方式：本项目为全流程电子化项目，供应商须通过政府采购云平台（网址：http://www.zcygov.cn）递交电子版投标文件。操作流程：供应商在政府采购云平台网注册入库成为正式供应商后，在平台上按《政府采购项目电子交易管理操作指南-供应商》进行投标操作。投标文件须在投标文件提交截止时间前上传平台，并在投标文件提交截止时间后30分钟内完成解密。由于供应商自身原因在提交投标文件截止时间前无法完成办理的，后果自负。</w:t>
      </w:r>
    </w:p>
    <w:p w14:paraId="756A500C">
      <w:pPr>
        <w:spacing w:line="24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若对“政采云”电子交易系统操作有疑问，可登录“政采云”（https://www.zcygov.cn/），点击右侧咨询小采或拨打政采云服务热线95763获取服务帮助</w:t>
      </w:r>
      <w:r>
        <w:rPr>
          <w:rFonts w:hint="eastAsia" w:ascii="宋体" w:hAnsi="宋体" w:eastAsia="宋体" w:cs="宋体"/>
          <w:color w:val="auto"/>
          <w:sz w:val="24"/>
          <w:szCs w:val="24"/>
          <w:highlight w:val="none"/>
        </w:rPr>
        <w:t>。</w:t>
      </w:r>
    </w:p>
    <w:p w14:paraId="3372490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五、公告期限</w:t>
      </w:r>
      <w:bookmarkEnd w:id="31"/>
      <w:bookmarkEnd w:id="32"/>
      <w:bookmarkEnd w:id="33"/>
      <w:bookmarkEnd w:id="34"/>
      <w:bookmarkStart w:id="35" w:name="_Toc35393626"/>
      <w:bookmarkStart w:id="36" w:name="_Toc35393795"/>
    </w:p>
    <w:p w14:paraId="1D0590DF">
      <w:pPr>
        <w:spacing w:line="24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03A209E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六、其他补充事宜</w:t>
      </w:r>
      <w:bookmarkEnd w:id="35"/>
      <w:bookmarkEnd w:id="36"/>
    </w:p>
    <w:p w14:paraId="578C3698">
      <w:pPr>
        <w:spacing w:line="240" w:lineRule="auto"/>
        <w:ind w:firstLine="480" w:firstLineChars="200"/>
        <w:outlineLvl w:val="9"/>
        <w:rPr>
          <w:rFonts w:hint="eastAsia" w:ascii="宋体" w:hAnsi="宋体" w:eastAsia="宋体" w:cs="宋体"/>
          <w:color w:val="auto"/>
          <w:sz w:val="24"/>
          <w:szCs w:val="24"/>
          <w:highlight w:val="none"/>
        </w:rPr>
      </w:pPr>
      <w:bookmarkStart w:id="37" w:name="_Toc35393796"/>
      <w:bookmarkStart w:id="38" w:name="_Toc28359008"/>
      <w:bookmarkStart w:id="39" w:name="_Toc28359085"/>
      <w:bookmarkStart w:id="40" w:name="_Toc35393627"/>
      <w:r>
        <w:rPr>
          <w:rFonts w:hint="eastAsia" w:ascii="宋体" w:hAnsi="宋体" w:eastAsia="宋体" w:cs="宋体"/>
          <w:color w:val="auto"/>
          <w:sz w:val="24"/>
          <w:szCs w:val="24"/>
          <w:highlight w:val="none"/>
        </w:rPr>
        <w:t>1.本次招标公告在</w:t>
      </w:r>
      <w:r>
        <w:rPr>
          <w:rFonts w:hint="eastAsia" w:ascii="宋体" w:hAnsi="宋体" w:eastAsia="宋体" w:cs="宋体"/>
          <w:color w:val="auto"/>
          <w:kern w:val="0"/>
          <w:sz w:val="24"/>
          <w:szCs w:val="24"/>
          <w:highlight w:val="none"/>
          <w:lang w:val="en-US" w:eastAsia="zh-CN"/>
        </w:rPr>
        <w:t>中国招标投标公共服务平台</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吉林财经大学官网</w:t>
      </w:r>
      <w:r>
        <w:rPr>
          <w:rFonts w:hint="eastAsia" w:ascii="宋体" w:hAnsi="宋体" w:eastAsia="宋体" w:cs="宋体"/>
          <w:color w:val="auto"/>
          <w:kern w:val="0"/>
          <w:sz w:val="24"/>
          <w:szCs w:val="24"/>
          <w:highlight w:val="none"/>
          <w:lang w:val="en-US" w:eastAsia="zh-CN"/>
        </w:rPr>
        <w:t>上发布，并由“政采云”平台(http://www.zcygov.cn)同步推送至中国政府采购网、吉林省政府采购网、吉林省公共资源交易公共服务平台</w:t>
      </w:r>
      <w:r>
        <w:rPr>
          <w:rFonts w:hint="eastAsia" w:ascii="宋体" w:hAnsi="宋体" w:eastAsia="宋体" w:cs="宋体"/>
          <w:color w:val="auto"/>
          <w:sz w:val="24"/>
          <w:szCs w:val="24"/>
          <w:highlight w:val="none"/>
        </w:rPr>
        <w:t>；</w:t>
      </w:r>
    </w:p>
    <w:p w14:paraId="3DABCB2F">
      <w:pPr>
        <w:spacing w:line="24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每标包</w:t>
      </w:r>
      <w:r>
        <w:rPr>
          <w:rFonts w:hint="eastAsia" w:ascii="宋体" w:hAnsi="宋体" w:eastAsia="宋体" w:cs="宋体"/>
          <w:color w:val="auto"/>
          <w:sz w:val="24"/>
          <w:szCs w:val="24"/>
          <w:highlight w:val="none"/>
        </w:rPr>
        <w:t>有效</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w:t>
      </w:r>
      <w:r>
        <w:rPr>
          <w:rFonts w:hint="eastAsia" w:ascii="宋体" w:hAnsi="宋体" w:eastAsia="宋体" w:cs="宋体"/>
          <w:color w:val="auto"/>
          <w:sz w:val="24"/>
          <w:szCs w:val="24"/>
          <w:highlight w:val="none"/>
          <w:lang w:val="en-US" w:eastAsia="zh-CN"/>
        </w:rPr>
        <w:t>满</w:t>
      </w:r>
      <w:r>
        <w:rPr>
          <w:rFonts w:hint="eastAsia" w:ascii="宋体" w:hAnsi="宋体" w:eastAsia="宋体" w:cs="宋体"/>
          <w:color w:val="auto"/>
          <w:sz w:val="24"/>
          <w:szCs w:val="24"/>
          <w:highlight w:val="none"/>
        </w:rPr>
        <w:t>足三家时，采购人另行组织招标；</w:t>
      </w:r>
    </w:p>
    <w:p w14:paraId="0D4CB1CA">
      <w:pPr>
        <w:spacing w:line="240" w:lineRule="auto"/>
        <w:ind w:firstLine="480" w:firstLineChars="20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3.当</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的有效投标报价超出采购预算时，该投标报价视为无效报价。</w:t>
      </w:r>
    </w:p>
    <w:p w14:paraId="4003A07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right="0" w:firstLine="482" w:firstLineChars="200"/>
        <w:jc w:val="both"/>
        <w:textAlignment w:val="auto"/>
        <w:outlineLvl w:val="9"/>
        <w:rPr>
          <w:rFonts w:hint="eastAsia" w:ascii="宋体" w:hAnsi="宋体" w:eastAsia="宋体" w:cs="宋体"/>
          <w:b/>
          <w:bCs/>
          <w:i w:val="0"/>
          <w:caps w:val="0"/>
          <w:color w:val="auto"/>
          <w:spacing w:val="0"/>
          <w:kern w:val="0"/>
          <w:sz w:val="24"/>
          <w:szCs w:val="24"/>
          <w:highlight w:val="none"/>
          <w:lang w:val="en-US" w:eastAsia="zh-CN" w:bidi="ar"/>
        </w:rPr>
      </w:pPr>
      <w:r>
        <w:rPr>
          <w:rFonts w:hint="eastAsia" w:ascii="宋体" w:hAnsi="宋体" w:eastAsia="宋体" w:cs="宋体"/>
          <w:b/>
          <w:bCs/>
          <w:i w:val="0"/>
          <w:caps w:val="0"/>
          <w:color w:val="auto"/>
          <w:spacing w:val="0"/>
          <w:kern w:val="0"/>
          <w:sz w:val="24"/>
          <w:szCs w:val="24"/>
          <w:highlight w:val="none"/>
          <w:lang w:val="en-US" w:eastAsia="zh-CN" w:bidi="ar"/>
        </w:rPr>
        <w:t>七、对本次招标提出询问，请按以下方式联系</w:t>
      </w:r>
      <w:bookmarkEnd w:id="37"/>
      <w:bookmarkEnd w:id="38"/>
      <w:bookmarkEnd w:id="39"/>
      <w:bookmarkEnd w:id="40"/>
    </w:p>
    <w:p w14:paraId="4EAD47D7">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1.采购人信息</w:t>
      </w:r>
    </w:p>
    <w:p w14:paraId="0D90D4E7">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名称：吉林财经大学</w:t>
      </w:r>
    </w:p>
    <w:p w14:paraId="38E45C8E">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地址：吉林省长春市净月大街3699号</w:t>
      </w:r>
    </w:p>
    <w:p w14:paraId="48D660E0">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联系方式：来宝成、0431-84539162</w:t>
      </w:r>
    </w:p>
    <w:p w14:paraId="03BE1FF2">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2.采购代理机构信息</w:t>
      </w:r>
    </w:p>
    <w:p w14:paraId="10AD8AF2">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名称：吉林省中泽云项目管理有限公司</w:t>
      </w:r>
    </w:p>
    <w:p w14:paraId="21C6AA6B">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地　　址：长春市净月开发区伟峰东樾11栋1206室</w:t>
      </w:r>
    </w:p>
    <w:p w14:paraId="1A080A82">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联系方式：</w:t>
      </w:r>
      <w:r>
        <w:rPr>
          <w:rFonts w:hint="eastAsia" w:ascii="宋体" w:hAnsi="宋体" w:eastAsia="宋体" w:cs="宋体"/>
          <w:color w:val="auto"/>
          <w:spacing w:val="9"/>
          <w:sz w:val="24"/>
          <w:szCs w:val="24"/>
          <w:highlight w:val="none"/>
          <w:lang w:val="zh-CN"/>
        </w:rPr>
        <w:t>李思诺、</w:t>
      </w:r>
      <w:r>
        <w:rPr>
          <w:rFonts w:hint="eastAsia" w:ascii="宋体" w:hAnsi="宋体" w:eastAsia="宋体" w:cs="宋体"/>
          <w:color w:val="auto"/>
          <w:spacing w:val="9"/>
          <w:sz w:val="24"/>
          <w:szCs w:val="24"/>
          <w:highlight w:val="none"/>
          <w:lang w:val="en-US" w:eastAsia="zh-CN"/>
        </w:rPr>
        <w:t>张格格、袁建英</w:t>
      </w:r>
      <w:r>
        <w:rPr>
          <w:rFonts w:hint="eastAsia" w:ascii="宋体" w:hAnsi="宋体" w:eastAsia="宋体" w:cs="宋体"/>
          <w:color w:val="auto"/>
          <w:kern w:val="0"/>
          <w:sz w:val="24"/>
          <w:szCs w:val="24"/>
          <w:highlight w:val="none"/>
          <w:lang w:val="en-US" w:eastAsia="zh-CN"/>
        </w:rPr>
        <w:t>、17743027089（办公电话）</w:t>
      </w:r>
    </w:p>
    <w:p w14:paraId="25BBCA58">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3.项目联系方式</w:t>
      </w:r>
    </w:p>
    <w:p w14:paraId="44667F5B">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项目联系人：</w:t>
      </w:r>
      <w:r>
        <w:rPr>
          <w:rFonts w:hint="eastAsia" w:ascii="宋体" w:hAnsi="宋体" w:eastAsia="宋体" w:cs="宋体"/>
          <w:color w:val="auto"/>
          <w:spacing w:val="9"/>
          <w:sz w:val="24"/>
          <w:szCs w:val="24"/>
          <w:highlight w:val="none"/>
          <w:lang w:val="zh-CN"/>
        </w:rPr>
        <w:t>李思诺、</w:t>
      </w:r>
      <w:r>
        <w:rPr>
          <w:rFonts w:hint="eastAsia" w:ascii="宋体" w:hAnsi="宋体" w:eastAsia="宋体" w:cs="宋体"/>
          <w:color w:val="auto"/>
          <w:spacing w:val="9"/>
          <w:sz w:val="24"/>
          <w:szCs w:val="24"/>
          <w:highlight w:val="none"/>
          <w:lang w:val="en-US" w:eastAsia="zh-CN"/>
        </w:rPr>
        <w:t>张格格、袁建英</w:t>
      </w:r>
    </w:p>
    <w:p w14:paraId="09A4604A">
      <w:pPr>
        <w:keepLines w:val="0"/>
        <w:pageBreakBefore w:val="0"/>
        <w:kinsoku/>
        <w:wordWrap/>
        <w:overflowPunct/>
        <w:topLinePunct w:val="0"/>
        <w:bidi w:val="0"/>
        <w:spacing w:line="24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电　话：17743027089（办公电话）</w:t>
      </w:r>
    </w:p>
    <w:p w14:paraId="66D3BB49">
      <w:pPr>
        <w:spacing w:line="24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kern w:val="0"/>
          <w:sz w:val="24"/>
          <w:szCs w:val="24"/>
          <w:highlight w:val="none"/>
          <w:lang w:val="en-US" w:eastAsia="zh-CN"/>
        </w:rPr>
        <w:t>4.监督部门信息：吉林省财政厅政府采购管理处</w:t>
      </w:r>
      <w:r>
        <w:rPr>
          <w:rFonts w:hint="eastAsia" w:ascii="宋体" w:hAnsi="宋体" w:eastAsia="宋体" w:cs="宋体"/>
          <w:color w:val="auto"/>
          <w:sz w:val="24"/>
          <w:szCs w:val="24"/>
          <w:highlight w:val="none"/>
          <w:lang w:val="en-US" w:eastAsia="zh-CN"/>
        </w:rPr>
        <w:t xml:space="preserve"> </w:t>
      </w:r>
    </w:p>
    <w:p w14:paraId="17DD2561">
      <w:pPr>
        <w:rPr>
          <w:rFonts w:hint="eastAsia" w:ascii="宋体" w:hAnsi="宋体" w:eastAsia="宋体" w:cs="宋体"/>
          <w:color w:val="auto"/>
          <w:sz w:val="36"/>
          <w:szCs w:val="36"/>
          <w:highlight w:val="none"/>
          <w:lang w:val="en-US" w:eastAsia="zh-CN"/>
        </w:rPr>
      </w:pPr>
      <w:bookmarkStart w:id="41" w:name="_Toc17878"/>
      <w:bookmarkStart w:id="42" w:name="_Toc31743"/>
      <w:r>
        <w:rPr>
          <w:rFonts w:hint="eastAsia" w:ascii="宋体" w:hAnsi="宋体" w:eastAsia="宋体" w:cs="宋体"/>
          <w:color w:val="auto"/>
          <w:sz w:val="36"/>
          <w:szCs w:val="36"/>
          <w:highlight w:val="none"/>
          <w:lang w:val="en-US" w:eastAsia="zh-CN"/>
        </w:rPr>
        <w:br w:type="page"/>
      </w:r>
    </w:p>
    <w:p w14:paraId="1E06AF25">
      <w:pPr>
        <w:pStyle w:val="5"/>
        <w:bidi w:val="0"/>
        <w:spacing w:line="240" w:lineRule="auto"/>
        <w:jc w:val="center"/>
        <w:rPr>
          <w:rFonts w:hint="eastAsia" w:ascii="宋体" w:hAnsi="宋体" w:eastAsia="宋体" w:cs="宋体"/>
          <w:color w:val="auto"/>
          <w:sz w:val="36"/>
          <w:szCs w:val="36"/>
          <w:highlight w:val="none"/>
          <w:lang w:val="en-US" w:eastAsia="zh-CN"/>
        </w:rPr>
      </w:pPr>
      <w:r>
        <w:rPr>
          <w:rFonts w:hint="eastAsia" w:ascii="宋体" w:hAnsi="宋体" w:eastAsia="宋体" w:cs="宋体"/>
          <w:color w:val="auto"/>
          <w:sz w:val="36"/>
          <w:szCs w:val="36"/>
          <w:highlight w:val="none"/>
          <w:lang w:val="en-US" w:eastAsia="zh-CN"/>
        </w:rPr>
        <w:t>第二章 供应商须知</w:t>
      </w:r>
      <w:bookmarkEnd w:id="2"/>
      <w:bookmarkEnd w:id="3"/>
      <w:bookmarkEnd w:id="4"/>
      <w:bookmarkEnd w:id="5"/>
      <w:bookmarkEnd w:id="6"/>
      <w:bookmarkEnd w:id="7"/>
      <w:bookmarkEnd w:id="8"/>
      <w:bookmarkEnd w:id="11"/>
      <w:bookmarkEnd w:id="12"/>
      <w:bookmarkEnd w:id="13"/>
      <w:bookmarkEnd w:id="41"/>
      <w:bookmarkEnd w:id="42"/>
    </w:p>
    <w:p w14:paraId="65BC0741">
      <w:pPr>
        <w:autoSpaceDE w:val="0"/>
        <w:autoSpaceDN w:val="0"/>
        <w:adjustRightInd w:val="0"/>
        <w:snapToGrid w:val="0"/>
        <w:spacing w:line="240" w:lineRule="auto"/>
        <w:jc w:val="center"/>
        <w:outlineLvl w:val="1"/>
        <w:rPr>
          <w:rFonts w:hint="eastAsia" w:ascii="宋体" w:hAnsi="宋体" w:eastAsia="宋体" w:cs="宋体"/>
          <w:b/>
          <w:color w:val="auto"/>
          <w:sz w:val="30"/>
          <w:highlight w:val="none"/>
          <w:lang w:val="zh-CN"/>
        </w:rPr>
      </w:pPr>
      <w:bookmarkStart w:id="43" w:name="_Toc5941"/>
      <w:bookmarkStart w:id="44" w:name="_Toc4273"/>
      <w:bookmarkStart w:id="45" w:name="_Toc152042304"/>
      <w:bookmarkStart w:id="46" w:name="_Toc152045528"/>
      <w:bookmarkStart w:id="47" w:name="_Toc31146"/>
      <w:bookmarkStart w:id="48" w:name="_Toc179632545"/>
      <w:bookmarkStart w:id="49" w:name="_Toc247085688"/>
      <w:bookmarkStart w:id="50" w:name="_Toc144974496"/>
      <w:bookmarkStart w:id="51" w:name="_Toc246996917"/>
      <w:bookmarkStart w:id="52" w:name="_Toc453756894"/>
      <w:bookmarkStart w:id="53" w:name="_Toc246996174"/>
      <w:r>
        <w:rPr>
          <w:rFonts w:hint="eastAsia" w:ascii="宋体" w:hAnsi="宋体" w:eastAsia="宋体" w:cs="宋体"/>
          <w:b/>
          <w:color w:val="auto"/>
          <w:sz w:val="30"/>
          <w:highlight w:val="none"/>
          <w:lang w:val="en-US" w:eastAsia="zh-CN"/>
        </w:rPr>
        <w:t>供应商</w:t>
      </w:r>
      <w:r>
        <w:rPr>
          <w:rFonts w:hint="eastAsia" w:ascii="宋体" w:hAnsi="宋体" w:eastAsia="宋体" w:cs="宋体"/>
          <w:b/>
          <w:color w:val="auto"/>
          <w:sz w:val="30"/>
          <w:highlight w:val="none"/>
          <w:lang w:val="zh-CN"/>
        </w:rPr>
        <w:t>须知前附表</w:t>
      </w:r>
      <w:bookmarkEnd w:id="43"/>
      <w:bookmarkEnd w:id="44"/>
    </w:p>
    <w:p w14:paraId="09B546F3">
      <w:pPr>
        <w:autoSpaceDE w:val="0"/>
        <w:autoSpaceDN w:val="0"/>
        <w:adjustRightInd w:val="0"/>
        <w:snapToGrid w:val="0"/>
        <w:ind w:firstLine="482"/>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本表的内容是对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须知的具体补充，如有矛盾，以本表为准。</w:t>
      </w:r>
    </w:p>
    <w:bookmarkEnd w:id="45"/>
    <w:bookmarkEnd w:id="46"/>
    <w:bookmarkEnd w:id="47"/>
    <w:bookmarkEnd w:id="48"/>
    <w:bookmarkEnd w:id="49"/>
    <w:bookmarkEnd w:id="50"/>
    <w:bookmarkEnd w:id="51"/>
    <w:bookmarkEnd w:id="52"/>
    <w:bookmarkEnd w:id="53"/>
    <w:tbl>
      <w:tblPr>
        <w:tblStyle w:val="25"/>
        <w:tblW w:w="944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82"/>
        <w:gridCol w:w="1798"/>
        <w:gridCol w:w="6963"/>
      </w:tblGrid>
      <w:tr w14:paraId="627F8A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2480" w:type="dxa"/>
            <w:gridSpan w:val="2"/>
            <w:tcBorders>
              <w:top w:val="single" w:color="auto" w:sz="12" w:space="0"/>
            </w:tcBorders>
            <w:noWrap w:val="0"/>
            <w:vAlign w:val="center"/>
          </w:tcPr>
          <w:p w14:paraId="602C3BB0">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条款号</w:t>
            </w:r>
          </w:p>
        </w:tc>
        <w:tc>
          <w:tcPr>
            <w:tcW w:w="6963" w:type="dxa"/>
            <w:tcBorders>
              <w:top w:val="single" w:color="auto" w:sz="12" w:space="0"/>
            </w:tcBorders>
            <w:noWrap w:val="0"/>
            <w:vAlign w:val="center"/>
          </w:tcPr>
          <w:p w14:paraId="7AAE6C32">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内容</w:t>
            </w:r>
          </w:p>
        </w:tc>
      </w:tr>
      <w:tr w14:paraId="139845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2B18461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w:t>
            </w:r>
          </w:p>
        </w:tc>
        <w:tc>
          <w:tcPr>
            <w:tcW w:w="1798" w:type="dxa"/>
            <w:tcBorders>
              <w:left w:val="single" w:color="auto" w:sz="4" w:space="0"/>
            </w:tcBorders>
            <w:noWrap w:val="0"/>
            <w:vAlign w:val="center"/>
          </w:tcPr>
          <w:p w14:paraId="4D72D17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w:t>
            </w:r>
          </w:p>
        </w:tc>
        <w:tc>
          <w:tcPr>
            <w:tcW w:w="6963" w:type="dxa"/>
            <w:noWrap w:val="0"/>
            <w:vAlign w:val="center"/>
          </w:tcPr>
          <w:p w14:paraId="51AABD4E">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采购人名称：吉林财经大学　</w:t>
            </w:r>
          </w:p>
          <w:p w14:paraId="29A45220">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地址：吉林省长春市净月大街3699号</w:t>
            </w:r>
          </w:p>
          <w:p w14:paraId="4E4A3861">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联系人：来宝成</w:t>
            </w:r>
          </w:p>
          <w:p w14:paraId="001F4F22">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联系电话：0431-84539162</w:t>
            </w:r>
          </w:p>
        </w:tc>
      </w:tr>
      <w:tr w14:paraId="127D03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5DEC9796">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w:t>
            </w:r>
          </w:p>
        </w:tc>
        <w:tc>
          <w:tcPr>
            <w:tcW w:w="1798" w:type="dxa"/>
            <w:tcBorders>
              <w:left w:val="single" w:color="auto" w:sz="4" w:space="0"/>
            </w:tcBorders>
            <w:noWrap w:val="0"/>
            <w:vAlign w:val="center"/>
          </w:tcPr>
          <w:p w14:paraId="1283F78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采购代理机构</w:t>
            </w:r>
          </w:p>
        </w:tc>
        <w:tc>
          <w:tcPr>
            <w:tcW w:w="6963" w:type="dxa"/>
            <w:noWrap w:val="0"/>
            <w:vAlign w:val="center"/>
          </w:tcPr>
          <w:p w14:paraId="67BE8218">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采购代理机构名称：吉林省中泽云项目管理有限公司</w:t>
            </w:r>
          </w:p>
          <w:p w14:paraId="1613D31F">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地址：长春市净月开发区伟峰东樾11栋1206室</w:t>
            </w:r>
          </w:p>
          <w:p w14:paraId="59C9EF07">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联系人：李思诺、张格格、袁建英</w:t>
            </w:r>
          </w:p>
          <w:p w14:paraId="04ADB2DD">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电话：17743027089（办公电话）</w:t>
            </w:r>
          </w:p>
        </w:tc>
      </w:tr>
      <w:tr w14:paraId="18B0D2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4710315A">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w:t>
            </w:r>
          </w:p>
        </w:tc>
        <w:tc>
          <w:tcPr>
            <w:tcW w:w="1798" w:type="dxa"/>
            <w:tcBorders>
              <w:left w:val="single" w:color="auto" w:sz="4" w:space="0"/>
              <w:right w:val="single" w:color="auto" w:sz="4" w:space="0"/>
            </w:tcBorders>
            <w:noWrap w:val="0"/>
            <w:vAlign w:val="center"/>
          </w:tcPr>
          <w:p w14:paraId="4BAABF19">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资格</w:t>
            </w:r>
          </w:p>
          <w:p w14:paraId="24DE8B33">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要求</w:t>
            </w:r>
          </w:p>
        </w:tc>
        <w:tc>
          <w:tcPr>
            <w:tcW w:w="6963" w:type="dxa"/>
            <w:tcBorders>
              <w:left w:val="single" w:color="auto" w:sz="4" w:space="0"/>
            </w:tcBorders>
            <w:noWrap w:val="0"/>
            <w:vAlign w:val="top"/>
          </w:tcPr>
          <w:p w14:paraId="0E5CDB82">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1.满足《中华人民共和国政府采购法》第二十二条规定；</w:t>
            </w:r>
          </w:p>
          <w:p w14:paraId="5A8F9DBA">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pacing w:val="6"/>
                <w:sz w:val="21"/>
                <w:szCs w:val="21"/>
                <w:highlight w:val="none"/>
              </w:rPr>
              <w:t>2.落实政府采购政策需满足的资格要求：本项目非专门面向中小企业采购</w:t>
            </w:r>
            <w:r>
              <w:rPr>
                <w:rFonts w:hint="eastAsia" w:ascii="宋体" w:hAnsi="宋体" w:eastAsia="宋体" w:cs="宋体"/>
                <w:color w:val="auto"/>
                <w:spacing w:val="6"/>
                <w:sz w:val="21"/>
                <w:szCs w:val="21"/>
                <w:highlight w:val="none"/>
                <w:lang w:eastAsia="zh-CN"/>
              </w:rPr>
              <w:t>；</w:t>
            </w:r>
          </w:p>
          <w:p w14:paraId="71176644">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2.1《政府采购促进中小企业发展管理办法》（财库[2020]46号）；</w:t>
            </w:r>
          </w:p>
          <w:p w14:paraId="73BBAF28">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2.2《财政部、司法部关于政府采购支持监狱企业发展有关问题的通知》（财库[2014]68号）；</w:t>
            </w:r>
          </w:p>
          <w:p w14:paraId="29ED5DE5">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2.3《关于促进残疾人就业政府采购政策的通知》（财库〔2017〕141号）；</w:t>
            </w:r>
          </w:p>
          <w:p w14:paraId="48306663">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2.4《关于调整优化节能产品、环境标志产品政府采购执行机制的通知》(财库[2019]9号)；</w:t>
            </w:r>
          </w:p>
          <w:p w14:paraId="18D9A904">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2.5《财政部关于进一步加大政府采购支持中小企业力度的通知》财库〔2022〕19号等国家最新政策。</w:t>
            </w:r>
          </w:p>
          <w:p w14:paraId="101F7C2E">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3.本项目的特定资格要求：</w:t>
            </w:r>
          </w:p>
          <w:p w14:paraId="1C75D83B">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3.1供应商须是在中华人民共和国境内注册的具有独立承担民事责任能力的法人、自然人或具备国家认可经营资格的其他组织，并在人员、设备、资金等方面具有生产或经营本次采购货物和履行合同的能力；</w:t>
            </w:r>
          </w:p>
          <w:p w14:paraId="2395127A">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pacing w:val="6"/>
                <w:sz w:val="21"/>
                <w:szCs w:val="21"/>
                <w:highlight w:val="none"/>
              </w:rPr>
              <w:t>3.2财务要求：供应商近一年度（2023年度）财务状况良好，具有经会计师事务所或审计机构出具的财务审计报告</w:t>
            </w:r>
            <w:r>
              <w:rPr>
                <w:rFonts w:hint="eastAsia" w:ascii="宋体" w:hAnsi="宋体" w:eastAsia="宋体" w:cs="宋体"/>
                <w:color w:val="auto"/>
                <w:spacing w:val="6"/>
                <w:sz w:val="21"/>
                <w:szCs w:val="21"/>
                <w:highlight w:val="none"/>
                <w:lang w:eastAsia="zh-CN"/>
              </w:rPr>
              <w:t>；</w:t>
            </w:r>
          </w:p>
          <w:p w14:paraId="4E0F9705">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3.3依法缴纳税收证明：供应商2024年09月至投标截止时间前任意一个月具有依法缴纳税收的良好记录；</w:t>
            </w:r>
          </w:p>
          <w:p w14:paraId="416E704D">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3.4依法缴纳社会保障资金证明：供应商2024年09月至投标截止时间前任意一个月具有依法缴纳社会保障资金的良好记录；</w:t>
            </w:r>
          </w:p>
          <w:p w14:paraId="380EDD69">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3.5信誉要求：（1）参加政府采购活动前三年内，在经营活动中没有重大违法记录；（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招标公告发布之日起到投标文件提交截止时间期间）；</w:t>
            </w:r>
          </w:p>
          <w:p w14:paraId="1FD46FBB">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3.6其他要求：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052D2F3E">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3.7招投标过程中，投标单位所提供的所有证件均需在有效期内且注册单位名称与投标单位的名称一致，如企业名称发生变更，需提供主管部门出具的变更证明材料，否则不接受其供应商参与本次招标项目的投标。</w:t>
            </w:r>
          </w:p>
        </w:tc>
      </w:tr>
      <w:tr w14:paraId="00D9DD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2" w:hRule="atLeast"/>
          <w:jc w:val="center"/>
        </w:trPr>
        <w:tc>
          <w:tcPr>
            <w:tcW w:w="682" w:type="dxa"/>
            <w:tcBorders>
              <w:right w:val="single" w:color="auto" w:sz="4" w:space="0"/>
            </w:tcBorders>
            <w:noWrap w:val="0"/>
            <w:vAlign w:val="center"/>
          </w:tcPr>
          <w:p w14:paraId="66394930">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w:t>
            </w:r>
          </w:p>
        </w:tc>
        <w:tc>
          <w:tcPr>
            <w:tcW w:w="1798" w:type="dxa"/>
            <w:tcBorders>
              <w:left w:val="single" w:color="auto" w:sz="4" w:space="0"/>
              <w:right w:val="single" w:color="auto" w:sz="4" w:space="0"/>
            </w:tcBorders>
            <w:noWrap w:val="0"/>
            <w:vAlign w:val="center"/>
          </w:tcPr>
          <w:p w14:paraId="2BDE2666">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招标文件的</w:t>
            </w:r>
          </w:p>
          <w:p w14:paraId="157BF379">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获取</w:t>
            </w:r>
          </w:p>
        </w:tc>
        <w:tc>
          <w:tcPr>
            <w:tcW w:w="6963" w:type="dxa"/>
            <w:tcBorders>
              <w:left w:val="single" w:color="auto" w:sz="4" w:space="0"/>
            </w:tcBorders>
            <w:noWrap w:val="0"/>
            <w:vAlign w:val="top"/>
          </w:tcPr>
          <w:p w14:paraId="2CDB0A3A">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pacing w:val="6"/>
                <w:sz w:val="21"/>
                <w:szCs w:val="21"/>
                <w:highlight w:val="none"/>
                <w:lang w:eastAsia="zh-CN"/>
              </w:rPr>
              <w:t>政采云平台线上获取。供应商首先在政采云平台（https://www.zcygov.cn/）上免费进行供应商注册（政采云供应商注册流程：https://middle.zcygov.cn/v-settle-front/registry），注册后可在政采云平台免费自行下载招标文件（下载地址：https://www.zcygov.cn/；下载招标文件操作路径：进入政采云平台-登录账号-我的工作台-项目采购-获取采购文件-找到本项目-点击“申请获取文件”），其他途径获取的招标文件一律按无效处理。</w:t>
            </w:r>
          </w:p>
        </w:tc>
      </w:tr>
      <w:tr w14:paraId="1A01C5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665D0EB2">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798" w:type="dxa"/>
            <w:tcBorders>
              <w:left w:val="single" w:color="auto" w:sz="4" w:space="0"/>
              <w:right w:val="single" w:color="auto" w:sz="4" w:space="0"/>
            </w:tcBorders>
            <w:noWrap w:val="0"/>
            <w:vAlign w:val="center"/>
          </w:tcPr>
          <w:p w14:paraId="51B585D2">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招标范围</w:t>
            </w:r>
          </w:p>
        </w:tc>
        <w:tc>
          <w:tcPr>
            <w:tcW w:w="6963" w:type="dxa"/>
            <w:tcBorders>
              <w:left w:val="single" w:color="auto" w:sz="4" w:space="0"/>
            </w:tcBorders>
            <w:noWrap w:val="0"/>
            <w:vAlign w:val="center"/>
          </w:tcPr>
          <w:p w14:paraId="564E9437">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2025年图书馆数字资源建设项目，详见招标文件“技术要求”</w:t>
            </w:r>
          </w:p>
        </w:tc>
      </w:tr>
      <w:tr w14:paraId="29ED44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529A8D1">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1798" w:type="dxa"/>
            <w:tcBorders>
              <w:left w:val="single" w:color="auto" w:sz="4" w:space="0"/>
              <w:right w:val="single" w:color="auto" w:sz="4" w:space="0"/>
            </w:tcBorders>
            <w:noWrap w:val="0"/>
            <w:vAlign w:val="center"/>
          </w:tcPr>
          <w:p w14:paraId="76390F6C">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*构成投标文件的其他材料</w:t>
            </w:r>
          </w:p>
        </w:tc>
        <w:tc>
          <w:tcPr>
            <w:tcW w:w="6963" w:type="dxa"/>
            <w:tcBorders>
              <w:left w:val="single" w:color="auto" w:sz="4" w:space="0"/>
            </w:tcBorders>
            <w:noWrap w:val="0"/>
            <w:vAlign w:val="center"/>
          </w:tcPr>
          <w:p w14:paraId="36C06508">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评标办法中要求的</w:t>
            </w:r>
            <w:r>
              <w:rPr>
                <w:rFonts w:hint="eastAsia" w:ascii="宋体" w:hAnsi="宋体" w:eastAsia="宋体" w:cs="宋体"/>
                <w:color w:val="auto"/>
                <w:sz w:val="21"/>
                <w:szCs w:val="21"/>
                <w:highlight w:val="none"/>
                <w:lang w:val="en-US" w:eastAsia="zh-CN"/>
              </w:rPr>
              <w:t>证明文件</w:t>
            </w:r>
            <w:r>
              <w:rPr>
                <w:rFonts w:hint="eastAsia" w:ascii="宋体" w:hAnsi="宋体" w:eastAsia="宋体" w:cs="宋体"/>
                <w:color w:val="auto"/>
                <w:sz w:val="21"/>
                <w:szCs w:val="21"/>
                <w:highlight w:val="none"/>
                <w:lang w:eastAsia="zh-CN"/>
              </w:rPr>
              <w:t>及供应商</w:t>
            </w:r>
            <w:r>
              <w:rPr>
                <w:rFonts w:hint="eastAsia" w:ascii="宋体" w:hAnsi="宋体" w:eastAsia="宋体" w:cs="宋体"/>
                <w:color w:val="auto"/>
                <w:sz w:val="21"/>
                <w:szCs w:val="21"/>
                <w:highlight w:val="none"/>
              </w:rPr>
              <w:t>认为对本项目有利的其他证明文件。</w:t>
            </w:r>
          </w:p>
        </w:tc>
      </w:tr>
      <w:tr w14:paraId="3F17C4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restart"/>
            <w:tcBorders>
              <w:top w:val="single" w:color="auto" w:sz="4" w:space="0"/>
              <w:right w:val="single" w:color="auto" w:sz="4" w:space="0"/>
            </w:tcBorders>
            <w:noWrap w:val="0"/>
            <w:vAlign w:val="center"/>
          </w:tcPr>
          <w:p w14:paraId="74F5A012">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1798" w:type="dxa"/>
            <w:tcBorders>
              <w:top w:val="single" w:color="auto" w:sz="4" w:space="0"/>
              <w:left w:val="single" w:color="auto" w:sz="4" w:space="0"/>
            </w:tcBorders>
            <w:noWrap w:val="0"/>
            <w:vAlign w:val="center"/>
          </w:tcPr>
          <w:p w14:paraId="777680D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*投标保证金</w:t>
            </w:r>
          </w:p>
          <w:p w14:paraId="6EF70799">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金额</w:t>
            </w:r>
          </w:p>
        </w:tc>
        <w:tc>
          <w:tcPr>
            <w:tcW w:w="6963" w:type="dxa"/>
            <w:tcBorders>
              <w:top w:val="single" w:color="auto" w:sz="4" w:space="0"/>
            </w:tcBorders>
            <w:noWrap w:val="0"/>
            <w:vAlign w:val="center"/>
          </w:tcPr>
          <w:p w14:paraId="24D930AB">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default"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无</w:t>
            </w:r>
          </w:p>
        </w:tc>
      </w:tr>
      <w:tr w14:paraId="2DD7D1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continue"/>
            <w:tcBorders>
              <w:right w:val="single" w:color="auto" w:sz="4" w:space="0"/>
            </w:tcBorders>
            <w:noWrap w:val="0"/>
            <w:vAlign w:val="center"/>
          </w:tcPr>
          <w:p w14:paraId="3539A83C">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p>
        </w:tc>
        <w:tc>
          <w:tcPr>
            <w:tcW w:w="1798" w:type="dxa"/>
            <w:tcBorders>
              <w:top w:val="single" w:color="auto" w:sz="4" w:space="0"/>
              <w:left w:val="single" w:color="auto" w:sz="4" w:space="0"/>
            </w:tcBorders>
            <w:noWrap w:val="0"/>
            <w:vAlign w:val="center"/>
          </w:tcPr>
          <w:p w14:paraId="497CECBA">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*投标保证金</w:t>
            </w:r>
          </w:p>
          <w:p w14:paraId="5C9C18E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形式</w:t>
            </w:r>
          </w:p>
        </w:tc>
        <w:tc>
          <w:tcPr>
            <w:tcW w:w="6963" w:type="dxa"/>
            <w:tcBorders>
              <w:top w:val="single" w:color="auto" w:sz="4" w:space="0"/>
            </w:tcBorders>
            <w:noWrap w:val="0"/>
            <w:vAlign w:val="center"/>
          </w:tcPr>
          <w:p w14:paraId="4CF6EFE0">
            <w:pPr>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r>
      <w:tr w14:paraId="76D71D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E525FB2">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w:t>
            </w:r>
          </w:p>
        </w:tc>
        <w:tc>
          <w:tcPr>
            <w:tcW w:w="1798" w:type="dxa"/>
            <w:tcBorders>
              <w:left w:val="single" w:color="auto" w:sz="4" w:space="0"/>
            </w:tcBorders>
            <w:noWrap w:val="0"/>
            <w:vAlign w:val="center"/>
          </w:tcPr>
          <w:p w14:paraId="45D56FCD">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w:t>
            </w:r>
          </w:p>
        </w:tc>
        <w:tc>
          <w:tcPr>
            <w:tcW w:w="6963" w:type="dxa"/>
            <w:noWrap w:val="0"/>
            <w:vAlign w:val="center"/>
          </w:tcPr>
          <w:p w14:paraId="6D266751">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投标有效期：90天。</w:t>
            </w:r>
          </w:p>
          <w:p w14:paraId="4F304DA3">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i/>
                <w:iCs/>
                <w:color w:val="auto"/>
                <w:sz w:val="21"/>
                <w:szCs w:val="21"/>
                <w:highlight w:val="none"/>
              </w:rPr>
            </w:pPr>
            <w:r>
              <w:rPr>
                <w:rFonts w:hint="eastAsia" w:ascii="宋体" w:hAnsi="宋体" w:eastAsia="宋体" w:cs="宋体"/>
                <w:color w:val="auto"/>
                <w:sz w:val="21"/>
                <w:szCs w:val="21"/>
                <w:highlight w:val="none"/>
              </w:rPr>
              <w:t>投标保证金有效期应与投标有效期一致。</w:t>
            </w:r>
          </w:p>
        </w:tc>
      </w:tr>
      <w:tr w14:paraId="63A15A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1A117E78">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14.</w:t>
            </w:r>
            <w:r>
              <w:rPr>
                <w:rFonts w:hint="eastAsia" w:ascii="宋体" w:hAnsi="宋体" w:eastAsia="宋体" w:cs="宋体"/>
                <w:color w:val="auto"/>
                <w:sz w:val="21"/>
                <w:szCs w:val="21"/>
                <w:highlight w:val="none"/>
                <w:lang w:val="en-US" w:eastAsia="zh-CN"/>
              </w:rPr>
              <w:t>7</w:t>
            </w:r>
          </w:p>
        </w:tc>
        <w:tc>
          <w:tcPr>
            <w:tcW w:w="1798" w:type="dxa"/>
            <w:tcBorders>
              <w:left w:val="single" w:color="auto" w:sz="4" w:space="0"/>
            </w:tcBorders>
            <w:noWrap w:val="0"/>
            <w:vAlign w:val="center"/>
          </w:tcPr>
          <w:p w14:paraId="769A961A">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投标文件份数</w:t>
            </w:r>
          </w:p>
        </w:tc>
        <w:tc>
          <w:tcPr>
            <w:tcW w:w="6963" w:type="dxa"/>
            <w:noWrap w:val="0"/>
            <w:vAlign w:val="center"/>
          </w:tcPr>
          <w:p w14:paraId="5DDDB7D6">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本项目为全流程电子化项目，供应商须通过政府采购云平台（网址：http://www.zcygov.cn）递交电子版投标文件。操作流程：供应商在政府采购云平台网注册入库成为正式供应商后，在平台上按《政府采购项目电子交易管理操作指南-供应商》进行投标操作。投标文件须在投标文件提交截止时间前上传平台，并在投标文件提交截止时间后30分钟内完成解密。由于供应商自身原因在提交投标文件截止时间前无法完成办理的，后果自负。</w:t>
            </w:r>
          </w:p>
          <w:p w14:paraId="411B1341">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若对“政采云”电子交易系统操作有疑问，可登录“政采云”（https://www.zcygov.cn/），点击右侧咨询小采或拨打政采云服务热线95763获取服务帮助。</w:t>
            </w:r>
          </w:p>
          <w:p w14:paraId="3A5B1948">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纸质版</w:t>
            </w:r>
            <w:r>
              <w:rPr>
                <w:rFonts w:hint="eastAsia" w:ascii="宋体" w:hAnsi="宋体" w:eastAsia="宋体" w:cs="宋体"/>
                <w:b/>
                <w:bCs/>
                <w:color w:val="auto"/>
                <w:sz w:val="21"/>
                <w:szCs w:val="21"/>
                <w:highlight w:val="none"/>
                <w:lang w:eastAsia="zh-CN"/>
              </w:rPr>
              <w:t>投标文件</w:t>
            </w:r>
            <w:r>
              <w:rPr>
                <w:rFonts w:hint="eastAsia" w:ascii="宋体" w:hAnsi="宋体" w:eastAsia="宋体" w:cs="宋体"/>
                <w:b/>
                <w:bCs/>
                <w:color w:val="auto"/>
                <w:sz w:val="21"/>
                <w:szCs w:val="21"/>
                <w:highlight w:val="none"/>
              </w:rPr>
              <w:t>份数（</w:t>
            </w:r>
            <w:r>
              <w:rPr>
                <w:rFonts w:hint="eastAsia" w:ascii="宋体" w:hAnsi="宋体" w:eastAsia="宋体" w:cs="宋体"/>
                <w:b/>
                <w:bCs/>
                <w:color w:val="auto"/>
                <w:sz w:val="21"/>
                <w:szCs w:val="21"/>
                <w:highlight w:val="none"/>
                <w:lang w:val="en-US" w:eastAsia="zh-CN"/>
              </w:rPr>
              <w:t>开标</w:t>
            </w:r>
            <w:r>
              <w:rPr>
                <w:rFonts w:hint="eastAsia" w:ascii="宋体" w:hAnsi="宋体" w:eastAsia="宋体" w:cs="宋体"/>
                <w:b/>
                <w:bCs/>
                <w:color w:val="auto"/>
                <w:sz w:val="21"/>
                <w:szCs w:val="21"/>
                <w:highlight w:val="none"/>
              </w:rPr>
              <w:t>现场</w:t>
            </w:r>
            <w:r>
              <w:rPr>
                <w:rFonts w:hint="eastAsia" w:ascii="宋体" w:hAnsi="宋体" w:eastAsia="宋体" w:cs="宋体"/>
                <w:b/>
                <w:bCs/>
                <w:color w:val="auto"/>
                <w:sz w:val="21"/>
                <w:szCs w:val="21"/>
                <w:highlight w:val="none"/>
                <w:lang w:val="en-US" w:eastAsia="zh-CN"/>
              </w:rPr>
              <w:t>安排人员</w:t>
            </w:r>
            <w:r>
              <w:rPr>
                <w:rFonts w:hint="eastAsia" w:ascii="宋体" w:hAnsi="宋体" w:eastAsia="宋体" w:cs="宋体"/>
                <w:b/>
                <w:bCs/>
                <w:color w:val="auto"/>
                <w:sz w:val="21"/>
                <w:szCs w:val="21"/>
                <w:highlight w:val="none"/>
              </w:rPr>
              <w:t>递交以备后期存档使用）：</w:t>
            </w:r>
          </w:p>
          <w:p w14:paraId="1E24EF8D">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正本：1份，副本：2份，电子文件：</w:t>
            </w: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份（U盘），每份文件需清楚的表明“正本”、“副本”。若正本与副本不符，以正本为准。</w:t>
            </w:r>
            <w:r>
              <w:rPr>
                <w:rFonts w:hint="eastAsia" w:ascii="宋体" w:hAnsi="宋体" w:eastAsia="宋体" w:cs="宋体"/>
                <w:b/>
                <w:bCs/>
                <w:color w:val="auto"/>
                <w:sz w:val="21"/>
                <w:szCs w:val="21"/>
                <w:highlight w:val="none"/>
                <w:lang w:val="en-US" w:eastAsia="zh-CN"/>
              </w:rPr>
              <w:t>投标</w:t>
            </w:r>
            <w:r>
              <w:rPr>
                <w:rFonts w:hint="eastAsia" w:ascii="宋体" w:hAnsi="宋体" w:eastAsia="宋体" w:cs="宋体"/>
                <w:b/>
                <w:bCs/>
                <w:color w:val="auto"/>
                <w:sz w:val="21"/>
                <w:szCs w:val="21"/>
                <w:highlight w:val="none"/>
              </w:rPr>
              <w:t>文件胶装成册并加盖骑缝章</w:t>
            </w:r>
            <w:r>
              <w:rPr>
                <w:rFonts w:hint="eastAsia" w:ascii="宋体" w:hAnsi="宋体" w:eastAsia="宋体" w:cs="宋体"/>
                <w:b/>
                <w:bCs/>
                <w:color w:val="auto"/>
                <w:sz w:val="21"/>
                <w:szCs w:val="21"/>
                <w:highlight w:val="none"/>
                <w:lang w:eastAsia="zh-CN"/>
              </w:rPr>
              <w:t>。</w:t>
            </w:r>
          </w:p>
          <w:p w14:paraId="256C7FA1">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纸质版及电子版应与上传的加密文件一致</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政采云系统内上传的签字盖章后的PDF版本</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w:t>
            </w:r>
          </w:p>
          <w:p w14:paraId="2578E02B">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color w:val="auto"/>
                <w:sz w:val="21"/>
                <w:szCs w:val="21"/>
                <w:highlight w:val="none"/>
              </w:rPr>
              <w:t>封套上应载明的信息：项目名称、项目编号、采购人名称、供应商名称，开标时间等</w:t>
            </w:r>
            <w:r>
              <w:rPr>
                <w:rFonts w:hint="eastAsia" w:ascii="宋体" w:hAnsi="宋体" w:eastAsia="宋体" w:cs="宋体"/>
                <w:b/>
                <w:bCs/>
                <w:color w:val="auto"/>
                <w:sz w:val="21"/>
                <w:szCs w:val="21"/>
                <w:highlight w:val="none"/>
                <w:lang w:eastAsia="zh-CN"/>
              </w:rPr>
              <w:t>。</w:t>
            </w:r>
          </w:p>
        </w:tc>
      </w:tr>
      <w:tr w14:paraId="1EFE21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restart"/>
            <w:tcBorders>
              <w:right w:val="single" w:color="auto" w:sz="4" w:space="0"/>
            </w:tcBorders>
            <w:noWrap w:val="0"/>
            <w:vAlign w:val="center"/>
          </w:tcPr>
          <w:p w14:paraId="12BDFB5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798" w:type="dxa"/>
            <w:tcBorders>
              <w:left w:val="single" w:color="auto" w:sz="4" w:space="0"/>
              <w:bottom w:val="single" w:color="auto" w:sz="4" w:space="0"/>
            </w:tcBorders>
            <w:noWrap w:val="0"/>
            <w:vAlign w:val="center"/>
          </w:tcPr>
          <w:p w14:paraId="2251ACFC">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rPr>
              <w:t>投标截止、开标时间</w:t>
            </w:r>
          </w:p>
        </w:tc>
        <w:tc>
          <w:tcPr>
            <w:tcW w:w="6963" w:type="dxa"/>
            <w:tcBorders>
              <w:bottom w:val="single" w:color="auto" w:sz="4" w:space="0"/>
            </w:tcBorders>
            <w:noWrap w:val="0"/>
            <w:vAlign w:val="center"/>
          </w:tcPr>
          <w:p w14:paraId="5D9649E4">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highlight w:val="none"/>
              </w:rPr>
            </w:pPr>
            <w:r>
              <w:rPr>
                <w:rFonts w:hint="eastAsia" w:ascii="宋体" w:hAnsi="宋体" w:eastAsia="宋体" w:cs="宋体"/>
                <w:color w:val="auto"/>
                <w:highlight w:val="none"/>
                <w:lang w:val="zh-CN"/>
              </w:rPr>
              <w:t>2025年04月21日09时30分(北京时间)</w:t>
            </w:r>
          </w:p>
        </w:tc>
      </w:tr>
      <w:tr w14:paraId="0991A2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continue"/>
            <w:tcBorders>
              <w:right w:val="single" w:color="auto" w:sz="4" w:space="0"/>
            </w:tcBorders>
            <w:noWrap w:val="0"/>
            <w:vAlign w:val="center"/>
          </w:tcPr>
          <w:p w14:paraId="06C03AE2">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p>
        </w:tc>
        <w:tc>
          <w:tcPr>
            <w:tcW w:w="1798" w:type="dxa"/>
            <w:tcBorders>
              <w:top w:val="single" w:color="auto" w:sz="4" w:space="0"/>
              <w:left w:val="single" w:color="auto" w:sz="4" w:space="0"/>
            </w:tcBorders>
            <w:noWrap w:val="0"/>
            <w:vAlign w:val="center"/>
          </w:tcPr>
          <w:p w14:paraId="45A8D4A8">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投标文件递交、开标地点</w:t>
            </w:r>
          </w:p>
        </w:tc>
        <w:tc>
          <w:tcPr>
            <w:tcW w:w="6963" w:type="dxa"/>
            <w:tcBorders>
              <w:top w:val="single" w:color="auto" w:sz="4" w:space="0"/>
            </w:tcBorders>
            <w:noWrap w:val="0"/>
            <w:vAlign w:val="center"/>
          </w:tcPr>
          <w:p w14:paraId="18C4C93E">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长春市二道区洋浦大街6999号凯利中心AB栋101开标四室</w:t>
            </w:r>
          </w:p>
        </w:tc>
      </w:tr>
      <w:tr w14:paraId="180D9E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401195E8">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w:t>
            </w:r>
          </w:p>
        </w:tc>
        <w:tc>
          <w:tcPr>
            <w:tcW w:w="1798" w:type="dxa"/>
            <w:tcBorders>
              <w:left w:val="single" w:color="auto" w:sz="4" w:space="0"/>
              <w:right w:val="single" w:color="auto" w:sz="4" w:space="0"/>
            </w:tcBorders>
            <w:noWrap w:val="0"/>
            <w:vAlign w:val="center"/>
          </w:tcPr>
          <w:p w14:paraId="3A940CC8">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评标委员会</w:t>
            </w:r>
          </w:p>
          <w:p w14:paraId="06B77CA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组成</w:t>
            </w:r>
          </w:p>
        </w:tc>
        <w:tc>
          <w:tcPr>
            <w:tcW w:w="6963" w:type="dxa"/>
            <w:tcBorders>
              <w:left w:val="single" w:color="auto" w:sz="4" w:space="0"/>
            </w:tcBorders>
            <w:noWrap w:val="0"/>
            <w:vAlign w:val="center"/>
          </w:tcPr>
          <w:p w14:paraId="659D6514">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评标委员会的构成：由</w:t>
            </w: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zh-CN"/>
              </w:rPr>
              <w:t>人组成。采购人代表</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zh-CN"/>
              </w:rPr>
              <w:t>人，</w:t>
            </w:r>
            <w:r>
              <w:rPr>
                <w:rFonts w:hint="eastAsia" w:ascii="宋体" w:hAnsi="宋体" w:eastAsia="宋体" w:cs="宋体"/>
                <w:color w:val="auto"/>
                <w:sz w:val="21"/>
                <w:szCs w:val="21"/>
                <w:highlight w:val="none"/>
                <w:lang w:val="en-US" w:eastAsia="zh-CN"/>
              </w:rPr>
              <w:t>经济、技术类社会</w:t>
            </w:r>
            <w:r>
              <w:rPr>
                <w:rFonts w:hint="eastAsia" w:ascii="宋体" w:hAnsi="宋体" w:eastAsia="宋体" w:cs="宋体"/>
                <w:color w:val="auto"/>
                <w:sz w:val="21"/>
                <w:szCs w:val="21"/>
                <w:highlight w:val="none"/>
                <w:lang w:val="zh-CN"/>
              </w:rPr>
              <w:t>评审专家</w:t>
            </w: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zh-CN"/>
              </w:rPr>
              <w:t>人。</w:t>
            </w:r>
          </w:p>
          <w:p w14:paraId="0E645BB5">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评审专家确定方式：在政采云平台（https://www.zcygov.cn/）专家库中随机抽</w:t>
            </w:r>
            <w:r>
              <w:rPr>
                <w:rFonts w:hint="eastAsia" w:ascii="宋体" w:hAnsi="宋体" w:eastAsia="宋体" w:cs="宋体"/>
                <w:color w:val="auto"/>
                <w:sz w:val="21"/>
                <w:szCs w:val="21"/>
                <w:highlight w:val="none"/>
                <w:lang w:val="en-US" w:eastAsia="zh-CN"/>
              </w:rPr>
              <w:t>取</w:t>
            </w:r>
            <w:r>
              <w:rPr>
                <w:rFonts w:hint="eastAsia" w:ascii="宋体" w:hAnsi="宋体" w:eastAsia="宋体" w:cs="宋体"/>
                <w:color w:val="auto"/>
                <w:sz w:val="21"/>
                <w:szCs w:val="21"/>
                <w:highlight w:val="none"/>
                <w:lang w:val="zh-CN"/>
              </w:rPr>
              <w:t>。</w:t>
            </w:r>
          </w:p>
        </w:tc>
      </w:tr>
      <w:tr w14:paraId="15F1FB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30638D28">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798" w:type="dxa"/>
            <w:tcBorders>
              <w:left w:val="single" w:color="auto" w:sz="4" w:space="0"/>
              <w:right w:val="single" w:color="auto" w:sz="4" w:space="0"/>
            </w:tcBorders>
            <w:noWrap w:val="0"/>
            <w:vAlign w:val="center"/>
          </w:tcPr>
          <w:p w14:paraId="2A153C8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评标方法</w:t>
            </w:r>
          </w:p>
        </w:tc>
        <w:tc>
          <w:tcPr>
            <w:tcW w:w="6963" w:type="dxa"/>
            <w:tcBorders>
              <w:left w:val="single" w:color="auto" w:sz="4" w:space="0"/>
            </w:tcBorders>
            <w:noWrap w:val="0"/>
            <w:vAlign w:val="center"/>
          </w:tcPr>
          <w:p w14:paraId="6D41650D">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最低评标价法。</w:t>
            </w:r>
          </w:p>
        </w:tc>
      </w:tr>
      <w:tr w14:paraId="21EA58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9443" w:type="dxa"/>
            <w:gridSpan w:val="3"/>
            <w:noWrap w:val="0"/>
            <w:vAlign w:val="center"/>
          </w:tcPr>
          <w:p w14:paraId="078D5318">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合同条款</w:t>
            </w:r>
          </w:p>
        </w:tc>
      </w:tr>
      <w:tr w14:paraId="0B5772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67E8249C">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w:t>
            </w:r>
          </w:p>
        </w:tc>
        <w:tc>
          <w:tcPr>
            <w:tcW w:w="1798" w:type="dxa"/>
            <w:tcBorders>
              <w:left w:val="single" w:color="auto" w:sz="4" w:space="0"/>
              <w:right w:val="single" w:color="auto" w:sz="4" w:space="0"/>
            </w:tcBorders>
            <w:noWrap w:val="0"/>
            <w:vAlign w:val="center"/>
          </w:tcPr>
          <w:p w14:paraId="40C5168E">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rPr>
              <w:t>地点</w:t>
            </w:r>
          </w:p>
        </w:tc>
        <w:tc>
          <w:tcPr>
            <w:tcW w:w="6963" w:type="dxa"/>
            <w:tcBorders>
              <w:left w:val="single" w:color="auto" w:sz="4" w:space="0"/>
            </w:tcBorders>
            <w:noWrap w:val="0"/>
            <w:vAlign w:val="top"/>
          </w:tcPr>
          <w:p w14:paraId="6A32C4FD">
            <w:pPr>
              <w:keepNext w:val="0"/>
              <w:keepLines w:val="0"/>
              <w:pageBreakBefore w:val="0"/>
              <w:widowControl w:val="0"/>
              <w:kinsoku/>
              <w:wordWrap/>
              <w:overflowPunct/>
              <w:topLinePunct w:val="0"/>
              <w:autoSpaceDE/>
              <w:autoSpaceDN/>
              <w:bidi w:val="0"/>
              <w:adjustRightInd/>
              <w:snapToGrid/>
              <w:spacing w:line="360" w:lineRule="exact"/>
              <w:ind w:firstLine="0" w:firstLineChars="0"/>
              <w:jc w:val="left"/>
              <w:textAlignment w:val="auto"/>
              <w:rPr>
                <w:rFonts w:hint="eastAsia" w:ascii="宋体" w:hAnsi="宋体" w:eastAsia="宋体" w:cs="宋体"/>
                <w:color w:val="auto"/>
                <w:kern w:val="2"/>
                <w:szCs w:val="22"/>
                <w:highlight w:val="none"/>
                <w:lang w:val="en-US" w:eastAsia="zh-CN"/>
              </w:rPr>
            </w:pPr>
            <w:r>
              <w:rPr>
                <w:rFonts w:hint="eastAsia" w:ascii="宋体" w:hAnsi="宋体" w:eastAsia="宋体" w:cs="宋体"/>
                <w:color w:val="auto"/>
                <w:kern w:val="2"/>
                <w:szCs w:val="22"/>
                <w:highlight w:val="none"/>
                <w:lang w:val="en-US" w:eastAsia="zh-CN"/>
              </w:rPr>
              <w:t>长春市净月大街3699号</w:t>
            </w:r>
          </w:p>
        </w:tc>
      </w:tr>
      <w:tr w14:paraId="423D29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16B42CF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798" w:type="dxa"/>
            <w:tcBorders>
              <w:left w:val="single" w:color="auto" w:sz="4" w:space="0"/>
              <w:right w:val="single" w:color="auto" w:sz="4" w:space="0"/>
            </w:tcBorders>
            <w:noWrap w:val="0"/>
            <w:vAlign w:val="center"/>
          </w:tcPr>
          <w:p w14:paraId="47DCC1D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合同履行期限</w:t>
            </w:r>
          </w:p>
        </w:tc>
        <w:tc>
          <w:tcPr>
            <w:tcW w:w="6963" w:type="dxa"/>
            <w:tcBorders>
              <w:left w:val="single" w:color="auto" w:sz="4" w:space="0"/>
            </w:tcBorders>
            <w:noWrap w:val="0"/>
            <w:vAlign w:val="top"/>
          </w:tcPr>
          <w:p w14:paraId="552B3AD4">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以实际合同为准</w:t>
            </w:r>
          </w:p>
        </w:tc>
      </w:tr>
      <w:tr w14:paraId="0B87EA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56EDA83">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798" w:type="dxa"/>
            <w:tcBorders>
              <w:left w:val="single" w:color="auto" w:sz="4" w:space="0"/>
              <w:right w:val="single" w:color="auto" w:sz="4" w:space="0"/>
            </w:tcBorders>
            <w:noWrap w:val="0"/>
            <w:vAlign w:val="center"/>
          </w:tcPr>
          <w:p w14:paraId="440C3016">
            <w:pPr>
              <w:keepNext w:val="0"/>
              <w:keepLines w:val="0"/>
              <w:pageBreakBefore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kern w:val="2"/>
                <w:szCs w:val="22"/>
                <w:highlight w:val="none"/>
              </w:rPr>
              <w:t>质量</w:t>
            </w:r>
            <w:r>
              <w:rPr>
                <w:rFonts w:hint="eastAsia" w:ascii="宋体" w:hAnsi="宋体" w:eastAsia="宋体" w:cs="宋体"/>
                <w:color w:val="auto"/>
                <w:kern w:val="2"/>
                <w:szCs w:val="22"/>
                <w:highlight w:val="none"/>
                <w:lang w:val="en-US" w:eastAsia="zh-CN"/>
              </w:rPr>
              <w:t>标准</w:t>
            </w:r>
          </w:p>
        </w:tc>
        <w:tc>
          <w:tcPr>
            <w:tcW w:w="6963" w:type="dxa"/>
            <w:tcBorders>
              <w:left w:val="single" w:color="auto" w:sz="4" w:space="0"/>
            </w:tcBorders>
            <w:noWrap w:val="0"/>
            <w:vAlign w:val="center"/>
          </w:tcPr>
          <w:p w14:paraId="3BC197A7">
            <w:pPr>
              <w:keepNext w:val="0"/>
              <w:keepLines w:val="0"/>
              <w:pageBreakBefore w:val="0"/>
              <w:widowControl w:val="0"/>
              <w:kinsoku/>
              <w:wordWrap/>
              <w:overflowPunct/>
              <w:topLinePunct w:val="0"/>
              <w:autoSpaceDE/>
              <w:autoSpaceDN/>
              <w:bidi w:val="0"/>
              <w:adjustRightInd/>
              <w:snapToGrid/>
              <w:spacing w:line="360" w:lineRule="exact"/>
              <w:ind w:firstLine="0" w:firstLineChars="0"/>
              <w:jc w:val="left"/>
              <w:textAlignment w:val="auto"/>
              <w:rPr>
                <w:rFonts w:hint="eastAsia" w:ascii="宋体" w:hAnsi="宋体" w:eastAsia="宋体" w:cs="宋体"/>
                <w:color w:val="auto"/>
                <w:kern w:val="2"/>
                <w:szCs w:val="22"/>
                <w:highlight w:val="none"/>
                <w:lang w:val="en-US" w:eastAsia="zh-CN"/>
              </w:rPr>
            </w:pPr>
            <w:r>
              <w:rPr>
                <w:rFonts w:hint="eastAsia" w:ascii="宋体" w:hAnsi="宋体" w:eastAsia="宋体" w:cs="宋体"/>
                <w:color w:val="auto"/>
                <w:kern w:val="2"/>
                <w:szCs w:val="22"/>
                <w:highlight w:val="none"/>
                <w:lang w:val="en-US" w:eastAsia="zh-CN"/>
              </w:rPr>
              <w:t>符合国家及相关行业要求的合格标准，并达到采购人的验收标准</w:t>
            </w:r>
          </w:p>
        </w:tc>
      </w:tr>
      <w:tr w14:paraId="4C57D4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0EA879E1">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w:t>
            </w:r>
          </w:p>
        </w:tc>
        <w:tc>
          <w:tcPr>
            <w:tcW w:w="1798" w:type="dxa"/>
            <w:tcBorders>
              <w:left w:val="single" w:color="auto" w:sz="4" w:space="0"/>
              <w:right w:val="single" w:color="auto" w:sz="4" w:space="0"/>
            </w:tcBorders>
            <w:noWrap w:val="0"/>
            <w:vAlign w:val="center"/>
          </w:tcPr>
          <w:p w14:paraId="7F7BD390">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*付款</w:t>
            </w:r>
            <w:r>
              <w:rPr>
                <w:rFonts w:hint="eastAsia" w:ascii="宋体" w:hAnsi="宋体" w:eastAsia="宋体" w:cs="宋体"/>
                <w:color w:val="auto"/>
                <w:sz w:val="21"/>
                <w:szCs w:val="21"/>
                <w:highlight w:val="none"/>
                <w:lang w:val="en-US" w:eastAsia="zh-CN"/>
              </w:rPr>
              <w:t>方式</w:t>
            </w:r>
          </w:p>
        </w:tc>
        <w:tc>
          <w:tcPr>
            <w:tcW w:w="6963" w:type="dxa"/>
            <w:tcBorders>
              <w:left w:val="single" w:color="auto" w:sz="4" w:space="0"/>
            </w:tcBorders>
            <w:noWrap w:val="0"/>
            <w:vAlign w:val="top"/>
          </w:tcPr>
          <w:p w14:paraId="6944E136">
            <w:pPr>
              <w:keepNext w:val="0"/>
              <w:keepLines w:val="0"/>
              <w:pageBreakBefore w:val="0"/>
              <w:widowControl w:val="0"/>
              <w:kinsoku/>
              <w:wordWrap/>
              <w:overflowPunct/>
              <w:topLinePunct w:val="0"/>
              <w:autoSpaceDE/>
              <w:autoSpaceDN/>
              <w:bidi w:val="0"/>
              <w:adjustRightInd/>
              <w:snapToGrid/>
              <w:spacing w:line="360" w:lineRule="exact"/>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kern w:val="2"/>
                <w:szCs w:val="22"/>
                <w:highlight w:val="none"/>
                <w:lang w:val="en-US" w:eastAsia="zh-CN"/>
              </w:rPr>
              <w:t>验收合格后一次性付款。</w:t>
            </w:r>
          </w:p>
        </w:tc>
      </w:tr>
      <w:tr w14:paraId="759C19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0CAF2E3B">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w:t>
            </w:r>
          </w:p>
        </w:tc>
        <w:tc>
          <w:tcPr>
            <w:tcW w:w="1798" w:type="dxa"/>
            <w:tcBorders>
              <w:left w:val="single" w:color="auto" w:sz="4" w:space="0"/>
              <w:right w:val="single" w:color="auto" w:sz="4" w:space="0"/>
            </w:tcBorders>
            <w:noWrap w:val="0"/>
            <w:vAlign w:val="center"/>
          </w:tcPr>
          <w:p w14:paraId="2738447D">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*履约保证金</w:t>
            </w:r>
          </w:p>
        </w:tc>
        <w:tc>
          <w:tcPr>
            <w:tcW w:w="6963" w:type="dxa"/>
            <w:tcBorders>
              <w:left w:val="single" w:color="auto" w:sz="4" w:space="0"/>
            </w:tcBorders>
            <w:noWrap w:val="0"/>
            <w:vAlign w:val="center"/>
          </w:tcPr>
          <w:p w14:paraId="65C8E052">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kern w:val="2"/>
                <w:sz w:val="21"/>
                <w:highlight w:val="none"/>
                <w:lang w:val="en-US" w:eastAsia="zh-CN" w:bidi="ar-SA"/>
              </w:rPr>
            </w:pPr>
            <w:r>
              <w:rPr>
                <w:rFonts w:hint="eastAsia" w:ascii="宋体" w:hAnsi="宋体" w:eastAsia="宋体" w:cs="宋体"/>
                <w:color w:val="auto"/>
                <w:kern w:val="2"/>
                <w:sz w:val="21"/>
                <w:highlight w:val="none"/>
                <w:lang w:val="en-US" w:eastAsia="zh-CN" w:bidi="ar-SA"/>
              </w:rPr>
              <w:t>金额：合同金额的5%（人民币，取整数位到百元）在签订合同前向学校缴纳</w:t>
            </w:r>
          </w:p>
          <w:p w14:paraId="7FDF9A9C">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kern w:val="2"/>
                <w:sz w:val="21"/>
                <w:highlight w:val="none"/>
                <w:lang w:val="en-US" w:eastAsia="zh-CN" w:bidi="ar-SA"/>
              </w:rPr>
            </w:pPr>
            <w:r>
              <w:rPr>
                <w:rFonts w:hint="eastAsia" w:ascii="宋体" w:hAnsi="宋体" w:eastAsia="宋体" w:cs="宋体"/>
                <w:color w:val="auto"/>
                <w:kern w:val="2"/>
                <w:sz w:val="21"/>
                <w:highlight w:val="none"/>
                <w:lang w:val="en-US" w:eastAsia="zh-CN" w:bidi="ar-SA"/>
              </w:rPr>
              <w:t>递交形式：网银转账、银行出具的现金支票、保兑支票、银行汇票及银行、工程担保机构出具的保函</w:t>
            </w:r>
          </w:p>
          <w:p w14:paraId="426CCEF3">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kern w:val="2"/>
                <w:sz w:val="21"/>
                <w:highlight w:val="none"/>
                <w:lang w:val="en-US" w:eastAsia="zh-CN" w:bidi="ar-SA"/>
              </w:rPr>
            </w:pPr>
            <w:r>
              <w:rPr>
                <w:rFonts w:hint="eastAsia" w:ascii="宋体" w:hAnsi="宋体" w:eastAsia="宋体" w:cs="宋体"/>
                <w:color w:val="auto"/>
                <w:kern w:val="2"/>
                <w:sz w:val="21"/>
                <w:highlight w:val="none"/>
                <w:lang w:val="en-US" w:eastAsia="zh-CN" w:bidi="ar-SA"/>
              </w:rPr>
              <w:t>履约保证金退还时间：供货周期结束后，一次性无息退还。</w:t>
            </w:r>
          </w:p>
          <w:p w14:paraId="0975E862">
            <w:pPr>
              <w:keepNext w:val="0"/>
              <w:keepLines w:val="0"/>
              <w:pageBreakBefore w:val="0"/>
              <w:widowControl w:val="0"/>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kern w:val="2"/>
                <w:sz w:val="21"/>
                <w:highlight w:val="none"/>
                <w:lang w:val="en-US" w:eastAsia="zh-CN" w:bidi="ar-SA"/>
              </w:rPr>
            </w:pPr>
            <w:r>
              <w:rPr>
                <w:rFonts w:hint="eastAsia" w:ascii="宋体" w:hAnsi="宋体" w:eastAsia="宋体" w:cs="宋体"/>
                <w:color w:val="auto"/>
                <w:kern w:val="2"/>
                <w:sz w:val="21"/>
                <w:highlight w:val="none"/>
                <w:lang w:val="en-US" w:eastAsia="zh-CN" w:bidi="ar-SA"/>
              </w:rPr>
              <w:t>退还形式：对应供应商递交形式进行退还。</w:t>
            </w:r>
          </w:p>
        </w:tc>
      </w:tr>
      <w:tr w14:paraId="7217EF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9443" w:type="dxa"/>
            <w:gridSpan w:val="3"/>
            <w:noWrap w:val="0"/>
            <w:vAlign w:val="center"/>
          </w:tcPr>
          <w:p w14:paraId="0CFAD853">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需要补充的其他内容</w:t>
            </w:r>
          </w:p>
        </w:tc>
      </w:tr>
      <w:tr w14:paraId="41E575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6AA3147B">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26.1</w:t>
            </w:r>
          </w:p>
        </w:tc>
        <w:tc>
          <w:tcPr>
            <w:tcW w:w="1798" w:type="dxa"/>
            <w:tcBorders>
              <w:left w:val="single" w:color="auto" w:sz="4" w:space="0"/>
              <w:right w:val="single" w:color="auto" w:sz="4" w:space="0"/>
            </w:tcBorders>
            <w:noWrap w:val="0"/>
            <w:vAlign w:val="center"/>
          </w:tcPr>
          <w:p w14:paraId="03DDD98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“*”条款</w:t>
            </w:r>
          </w:p>
        </w:tc>
        <w:tc>
          <w:tcPr>
            <w:tcW w:w="6963" w:type="dxa"/>
            <w:tcBorders>
              <w:left w:val="single" w:color="auto" w:sz="4" w:space="0"/>
            </w:tcBorders>
            <w:noWrap w:val="0"/>
            <w:vAlign w:val="center"/>
          </w:tcPr>
          <w:p w14:paraId="2FE86679">
            <w:pPr>
              <w:keepNext w:val="0"/>
              <w:keepLines w:val="0"/>
              <w:pageBreakBefore w:val="0"/>
              <w:widowControl w:val="0"/>
              <w:numPr>
                <w:ilvl w:val="0"/>
                <w:numId w:val="0"/>
              </w:numPr>
              <w:kinsoku/>
              <w:wordWrap/>
              <w:overflowPunct/>
              <w:topLinePunct w:val="0"/>
              <w:autoSpaceDE/>
              <w:autoSpaceDN/>
              <w:bidi w:val="0"/>
              <w:snapToGrid/>
              <w:spacing w:line="360" w:lineRule="exact"/>
              <w:jc w:val="lef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在招标文件中，商务</w:t>
            </w:r>
            <w:r>
              <w:rPr>
                <w:rFonts w:hint="eastAsia" w:ascii="宋体" w:hAnsi="宋体" w:eastAsia="宋体" w:cs="宋体"/>
                <w:color w:val="auto"/>
                <w:sz w:val="21"/>
                <w:szCs w:val="21"/>
                <w:highlight w:val="none"/>
                <w:lang w:val="en-US" w:eastAsia="zh-CN"/>
              </w:rPr>
              <w:t>条款</w:t>
            </w:r>
            <w:r>
              <w:rPr>
                <w:rFonts w:hint="eastAsia" w:ascii="宋体" w:hAnsi="宋体" w:eastAsia="宋体" w:cs="宋体"/>
                <w:color w:val="auto"/>
                <w:sz w:val="21"/>
                <w:szCs w:val="21"/>
                <w:highlight w:val="none"/>
              </w:rPr>
              <w:t>主要条款用“*”表示</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不含第五章技术要求中的</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条款）</w:t>
            </w:r>
            <w:r>
              <w:rPr>
                <w:rFonts w:hint="eastAsia" w:ascii="宋体" w:hAnsi="宋体" w:eastAsia="宋体" w:cs="宋体"/>
                <w:color w:val="auto"/>
                <w:sz w:val="21"/>
                <w:szCs w:val="21"/>
                <w:highlight w:val="none"/>
              </w:rPr>
              <w:t>，这些主要条款的任何负偏离将否决其投标。</w:t>
            </w:r>
          </w:p>
        </w:tc>
      </w:tr>
      <w:tr w14:paraId="2C8823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07DA3CA0">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26.2</w:t>
            </w:r>
          </w:p>
        </w:tc>
        <w:tc>
          <w:tcPr>
            <w:tcW w:w="1798" w:type="dxa"/>
            <w:tcBorders>
              <w:left w:val="single" w:color="auto" w:sz="4" w:space="0"/>
              <w:right w:val="single" w:color="auto" w:sz="4" w:space="0"/>
            </w:tcBorders>
            <w:noWrap w:val="0"/>
            <w:vAlign w:val="center"/>
          </w:tcPr>
          <w:p w14:paraId="0A6EA959">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*采购代理服务费</w:t>
            </w:r>
          </w:p>
        </w:tc>
        <w:tc>
          <w:tcPr>
            <w:tcW w:w="6963" w:type="dxa"/>
            <w:tcBorders>
              <w:left w:val="single" w:color="auto" w:sz="4" w:space="0"/>
            </w:tcBorders>
            <w:noWrap w:val="0"/>
            <w:vAlign w:val="center"/>
          </w:tcPr>
          <w:p w14:paraId="438DE8F2">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cs="宋体"/>
                <w:b w:val="0"/>
                <w:color w:val="auto"/>
                <w:sz w:val="21"/>
                <w:highlight w:val="none"/>
                <w:lang w:val="zh-CN"/>
              </w:rPr>
              <w:t>执行国家发展改革委《关于进一步放开建设项目专业服务价格的通知》(发改价格〔2015〕299号)文件,及与采购人签订的招标代理协议中的取费标准收取</w:t>
            </w:r>
            <w:r>
              <w:rPr>
                <w:rFonts w:hint="eastAsia" w:ascii="宋体" w:hAnsi="宋体" w:eastAsia="宋体" w:cs="宋体"/>
                <w:color w:val="auto"/>
                <w:sz w:val="21"/>
                <w:szCs w:val="21"/>
                <w:highlight w:val="none"/>
              </w:rPr>
              <w:t>。</w:t>
            </w:r>
          </w:p>
        </w:tc>
      </w:tr>
      <w:tr w14:paraId="5CF52A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1A1BC38D">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26.4</w:t>
            </w:r>
          </w:p>
        </w:tc>
        <w:tc>
          <w:tcPr>
            <w:tcW w:w="1798" w:type="dxa"/>
            <w:tcBorders>
              <w:left w:val="single" w:color="auto" w:sz="4" w:space="0"/>
              <w:right w:val="single" w:color="auto" w:sz="4" w:space="0"/>
            </w:tcBorders>
            <w:noWrap w:val="0"/>
            <w:vAlign w:val="center"/>
          </w:tcPr>
          <w:p w14:paraId="48AC1146">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串通投标行为</w:t>
            </w:r>
          </w:p>
        </w:tc>
        <w:tc>
          <w:tcPr>
            <w:tcW w:w="6963" w:type="dxa"/>
            <w:tcBorders>
              <w:left w:val="single" w:color="auto" w:sz="4" w:space="0"/>
            </w:tcBorders>
            <w:noWrap w:val="0"/>
            <w:vAlign w:val="center"/>
          </w:tcPr>
          <w:p w14:paraId="5F432098">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一、有下列情形之一的，属于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相互串通投标：</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（一）</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之间协商投标报价等投标文件的实质性内容；</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之间约定中标人；</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（三）</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之间约定部分</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放弃投标或者中标；</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（四）属于同一集团、协会、商会等组织成员的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按照该组织要求协同投标；</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（五）</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之间为谋取中标或者排斥特定</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而采取的其他联合行动。</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二、有下列情形之一的，视为</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相互串通投标：</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（一）不同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的投标文件由同一单位或者个人编制；</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（二）不同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委托同一单位或者个人办理投标事宜；</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（三）不同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的投标文件载明的项目管理成员为同一人；</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（四）不同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的投标文件异常一致或者投标报价呈规律性差异；</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（五）不同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的投标文件相互混装；</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（六）不同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的投标保证金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从同一单位或者个人的账户转出。</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三、有下列情形之一的，属于</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串通投标：</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（一）</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在开标前开启投标文件并将有关信息泄露给其他</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（二）</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直接或者间接向</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泄露标底、评标委员会成员等信息；</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（三）</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明示或者暗示</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压低或者抬高投标报价；</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（四）</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授意</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撤换、修改投标文件；</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（五）</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明示或者暗示</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为特定</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中标提供方便；</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（六）</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为谋求特定</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中标而采取的其他串通行为。</w:t>
            </w:r>
          </w:p>
        </w:tc>
      </w:tr>
      <w:tr w14:paraId="14BF0A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2BF087E8">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26.5</w:t>
            </w:r>
          </w:p>
        </w:tc>
        <w:tc>
          <w:tcPr>
            <w:tcW w:w="1798" w:type="dxa"/>
            <w:tcBorders>
              <w:left w:val="single" w:color="auto" w:sz="4" w:space="0"/>
              <w:right w:val="single" w:color="auto" w:sz="4" w:space="0"/>
            </w:tcBorders>
            <w:noWrap w:val="0"/>
            <w:vAlign w:val="center"/>
          </w:tcPr>
          <w:p w14:paraId="517FC3F1">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有下列情形之一的应当在资格性、符合性检查时按照无效投标处理</w:t>
            </w:r>
          </w:p>
        </w:tc>
        <w:tc>
          <w:tcPr>
            <w:tcW w:w="6963" w:type="dxa"/>
            <w:tcBorders>
              <w:left w:val="single" w:color="auto" w:sz="4" w:space="0"/>
            </w:tcBorders>
            <w:noWrap w:val="0"/>
            <w:vAlign w:val="center"/>
          </w:tcPr>
          <w:p w14:paraId="52117DD4">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（一）应交未交投标保证金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的；</w:t>
            </w:r>
          </w:p>
          <w:p w14:paraId="0C2021F0">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（二）未按照招标文件规定要求签署、盖章的；</w:t>
            </w:r>
          </w:p>
          <w:p w14:paraId="3F26C1A2">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（三）不具备招标文件中规定资格要求的；</w:t>
            </w:r>
          </w:p>
          <w:p w14:paraId="29BF4474">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（四）报价超过招标文件中规定的预算金额或者最高限价的；</w:t>
            </w:r>
          </w:p>
          <w:p w14:paraId="3395B0D8">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（五）投标文件含有采购人不能接受的附加条件的;</w:t>
            </w:r>
          </w:p>
          <w:p w14:paraId="6533406B">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（六）不符合法律、法规和招标文件中规定的其他实质性要求的。</w:t>
            </w:r>
          </w:p>
        </w:tc>
      </w:tr>
      <w:tr w14:paraId="4356D2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7ADB9808">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26.6</w:t>
            </w:r>
          </w:p>
        </w:tc>
        <w:tc>
          <w:tcPr>
            <w:tcW w:w="1798" w:type="dxa"/>
            <w:tcBorders>
              <w:left w:val="single" w:color="auto" w:sz="4" w:space="0"/>
              <w:right w:val="single" w:color="auto" w:sz="4" w:space="0"/>
            </w:tcBorders>
            <w:noWrap w:val="0"/>
            <w:vAlign w:val="center"/>
          </w:tcPr>
          <w:p w14:paraId="783CAA05">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资金来源</w:t>
            </w:r>
          </w:p>
        </w:tc>
        <w:tc>
          <w:tcPr>
            <w:tcW w:w="6963" w:type="dxa"/>
            <w:tcBorders>
              <w:left w:val="single" w:color="auto" w:sz="4" w:space="0"/>
            </w:tcBorders>
            <w:noWrap w:val="0"/>
            <w:vAlign w:val="top"/>
          </w:tcPr>
          <w:p w14:paraId="4A2AE29A">
            <w:pPr>
              <w:keepNext w:val="0"/>
              <w:keepLines w:val="0"/>
              <w:pageBreakBefore w:val="0"/>
              <w:widowControl w:val="0"/>
              <w:kinsoku/>
              <w:wordWrap/>
              <w:overflowPunct/>
              <w:topLinePunct w:val="0"/>
              <w:autoSpaceDE/>
              <w:autoSpaceDN/>
              <w:bidi w:val="0"/>
              <w:snapToGrid/>
              <w:spacing w:line="360" w:lineRule="exact"/>
              <w:textAlignment w:val="auto"/>
              <w:outlineLvl w:val="9"/>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财政资金</w:t>
            </w:r>
          </w:p>
        </w:tc>
      </w:tr>
      <w:tr w14:paraId="757A35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42771600">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26.7</w:t>
            </w:r>
          </w:p>
        </w:tc>
        <w:tc>
          <w:tcPr>
            <w:tcW w:w="1798" w:type="dxa"/>
            <w:tcBorders>
              <w:left w:val="single" w:color="auto" w:sz="4" w:space="0"/>
              <w:right w:val="single" w:color="auto" w:sz="4" w:space="0"/>
            </w:tcBorders>
            <w:noWrap w:val="0"/>
            <w:vAlign w:val="center"/>
          </w:tcPr>
          <w:p w14:paraId="7701D370">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采购预算</w:t>
            </w:r>
          </w:p>
        </w:tc>
        <w:tc>
          <w:tcPr>
            <w:tcW w:w="6963" w:type="dxa"/>
            <w:tcBorders>
              <w:left w:val="single" w:color="auto" w:sz="4" w:space="0"/>
            </w:tcBorders>
            <w:noWrap w:val="0"/>
            <w:vAlign w:val="top"/>
          </w:tcPr>
          <w:p w14:paraId="142685F8">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4,350,000.00</w:t>
            </w:r>
            <w:r>
              <w:rPr>
                <w:rFonts w:hint="eastAsia" w:ascii="宋体" w:hAnsi="宋体" w:eastAsia="宋体" w:cs="宋体"/>
                <w:color w:val="auto"/>
                <w:sz w:val="21"/>
                <w:szCs w:val="21"/>
                <w:highlight w:val="none"/>
                <w:lang w:val="en-US" w:eastAsia="zh-CN"/>
              </w:rPr>
              <w:t>元（其中第一包：人民币1,729,000.00元，第二包：人民币1,666,000.00元，第三包：人民币955,000.00元）</w:t>
            </w:r>
            <w:r>
              <w:rPr>
                <w:rFonts w:hint="eastAsia" w:ascii="宋体" w:hAnsi="宋体" w:eastAsia="宋体" w:cs="宋体"/>
                <w:color w:val="auto"/>
                <w:sz w:val="21"/>
                <w:szCs w:val="21"/>
                <w:highlight w:val="none"/>
              </w:rPr>
              <w:t>，超过采购预算的</w:t>
            </w:r>
            <w:r>
              <w:rPr>
                <w:rFonts w:hint="eastAsia" w:ascii="宋体" w:hAnsi="宋体" w:eastAsia="宋体" w:cs="宋体"/>
                <w:color w:val="auto"/>
                <w:sz w:val="21"/>
                <w:szCs w:val="21"/>
                <w:highlight w:val="none"/>
                <w:lang w:val="en-US" w:eastAsia="zh-CN"/>
              </w:rPr>
              <w:t>报价</w:t>
            </w:r>
            <w:r>
              <w:rPr>
                <w:rFonts w:hint="eastAsia" w:ascii="宋体" w:hAnsi="宋体" w:eastAsia="宋体" w:cs="宋体"/>
                <w:color w:val="auto"/>
                <w:sz w:val="21"/>
                <w:szCs w:val="21"/>
                <w:highlight w:val="none"/>
              </w:rPr>
              <w:t>将被否决。</w:t>
            </w:r>
          </w:p>
        </w:tc>
      </w:tr>
      <w:tr w14:paraId="30CD0A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0D2FE526">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26.8</w:t>
            </w:r>
          </w:p>
        </w:tc>
        <w:tc>
          <w:tcPr>
            <w:tcW w:w="1798" w:type="dxa"/>
            <w:tcBorders>
              <w:left w:val="single" w:color="auto" w:sz="4" w:space="0"/>
              <w:right w:val="single" w:color="auto" w:sz="4" w:space="0"/>
            </w:tcBorders>
            <w:noWrap w:val="0"/>
            <w:vAlign w:val="center"/>
          </w:tcPr>
          <w:p w14:paraId="3465E603">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报价方式</w:t>
            </w:r>
          </w:p>
        </w:tc>
        <w:tc>
          <w:tcPr>
            <w:tcW w:w="6963" w:type="dxa"/>
            <w:tcBorders>
              <w:left w:val="single" w:color="auto" w:sz="4" w:space="0"/>
            </w:tcBorders>
            <w:noWrap w:val="0"/>
            <w:vAlign w:val="top"/>
          </w:tcPr>
          <w:p w14:paraId="5A04C393">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每包只允许有一个报价，任何有选择性的报价或者有附加条件的报价采购人将不予接受。</w:t>
            </w:r>
          </w:p>
        </w:tc>
      </w:tr>
      <w:tr w14:paraId="72BAEF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0024D43C">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26.9</w:t>
            </w:r>
          </w:p>
        </w:tc>
        <w:tc>
          <w:tcPr>
            <w:tcW w:w="1798" w:type="dxa"/>
            <w:tcBorders>
              <w:left w:val="single" w:color="auto" w:sz="4" w:space="0"/>
              <w:right w:val="single" w:color="auto" w:sz="4" w:space="0"/>
            </w:tcBorders>
            <w:noWrap w:val="0"/>
            <w:vAlign w:val="center"/>
          </w:tcPr>
          <w:p w14:paraId="5850B161">
            <w:pPr>
              <w:pStyle w:val="86"/>
              <w:keepNext w:val="0"/>
              <w:keepLines w:val="0"/>
              <w:pageBreakBefore w:val="0"/>
              <w:widowControl w:val="0"/>
              <w:suppressLineNumbers w:val="0"/>
              <w:kinsoku/>
              <w:wordWrap/>
              <w:overflowPunct/>
              <w:topLinePunct w:val="0"/>
              <w:bidi w:val="0"/>
              <w:snapToGrid/>
              <w:spacing w:before="0" w:beforeAutospacing="0" w:after="0" w:afterAutospacing="0" w:line="360" w:lineRule="exact"/>
              <w:ind w:left="38" w:leftChars="0" w:right="0" w:right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是否授权评标委员会确定中标人</w:t>
            </w:r>
          </w:p>
        </w:tc>
        <w:tc>
          <w:tcPr>
            <w:tcW w:w="6963" w:type="dxa"/>
            <w:tcBorders>
              <w:left w:val="single" w:color="auto" w:sz="4" w:space="0"/>
            </w:tcBorders>
            <w:noWrap w:val="0"/>
            <w:vAlign w:val="center"/>
          </w:tcPr>
          <w:p w14:paraId="601A49F5">
            <w:pPr>
              <w:keepNext w:val="0"/>
              <w:keepLines w:val="0"/>
              <w:pageBreakBefore w:val="0"/>
              <w:widowControl w:val="0"/>
              <w:suppressLineNumbers w:val="0"/>
              <w:kinsoku/>
              <w:wordWrap/>
              <w:overflowPunct/>
              <w:topLinePunct w:val="0"/>
              <w:bidi w:val="0"/>
              <w:snapToGrid/>
              <w:spacing w:before="0" w:beforeAutospacing="0" w:after="0" w:afterAutospacing="0" w:line="360" w:lineRule="exact"/>
              <w:ind w:left="0" w:leftChars="0" w:right="105" w:rightChars="50"/>
              <w:textAlignment w:val="auto"/>
              <w:rPr>
                <w:rFonts w:hint="eastAsia" w:ascii="宋体" w:hAnsi="宋体" w:eastAsia="宋体" w:cs="宋体"/>
                <w:color w:val="auto"/>
                <w:highlight w:val="none"/>
                <w:lang w:val="en-US" w:eastAsia="zh-CN"/>
              </w:rPr>
            </w:pPr>
            <w:r>
              <w:rPr>
                <w:rFonts w:hint="eastAsia" w:ascii="宋体" w:hAnsi="宋体" w:eastAsia="宋体" w:cs="宋体"/>
                <w:color w:val="auto"/>
                <w:szCs w:val="21"/>
                <w:highlight w:val="none"/>
              </w:rPr>
              <w:t>否，评标委员会</w:t>
            </w:r>
            <w:r>
              <w:rPr>
                <w:rFonts w:hint="eastAsia" w:ascii="宋体" w:hAnsi="宋体" w:eastAsia="宋体" w:cs="宋体"/>
                <w:color w:val="auto"/>
                <w:szCs w:val="21"/>
                <w:highlight w:val="none"/>
                <w:lang w:val="en-US" w:eastAsia="zh-CN"/>
              </w:rPr>
              <w:t>按照通过初步评审的供应商的投标报价由低到高的顺序排序，推荐前</w:t>
            </w:r>
            <w:r>
              <w:rPr>
                <w:rFonts w:hint="eastAsia" w:ascii="宋体" w:hAnsi="宋体" w:eastAsia="宋体" w:cs="宋体"/>
                <w:color w:val="auto"/>
                <w:szCs w:val="21"/>
                <w:highlight w:val="none"/>
              </w:rPr>
              <w:t>3名中标候选人</w:t>
            </w:r>
            <w:r>
              <w:rPr>
                <w:rFonts w:hint="eastAsia" w:ascii="宋体" w:hAnsi="宋体" w:eastAsia="宋体" w:cs="宋体"/>
                <w:color w:val="auto"/>
                <w:szCs w:val="21"/>
                <w:highlight w:val="none"/>
                <w:lang w:eastAsia="zh-CN"/>
              </w:rPr>
              <w:t>。</w:t>
            </w:r>
          </w:p>
        </w:tc>
      </w:tr>
      <w:tr w14:paraId="6FBAA2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2A977954">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26.10</w:t>
            </w:r>
          </w:p>
        </w:tc>
        <w:tc>
          <w:tcPr>
            <w:tcW w:w="1798" w:type="dxa"/>
            <w:tcBorders>
              <w:left w:val="single" w:color="auto" w:sz="4" w:space="0"/>
              <w:right w:val="single" w:color="auto" w:sz="4" w:space="0"/>
            </w:tcBorders>
            <w:noWrap w:val="0"/>
            <w:vAlign w:val="center"/>
          </w:tcPr>
          <w:p w14:paraId="016F9AC5">
            <w:pPr>
              <w:pStyle w:val="86"/>
              <w:keepNext w:val="0"/>
              <w:keepLines w:val="0"/>
              <w:pageBreakBefore w:val="0"/>
              <w:widowControl w:val="0"/>
              <w:suppressLineNumbers w:val="0"/>
              <w:kinsoku/>
              <w:wordWrap/>
              <w:overflowPunct/>
              <w:topLinePunct w:val="0"/>
              <w:bidi w:val="0"/>
              <w:snapToGrid/>
              <w:spacing w:before="0" w:beforeAutospacing="0" w:after="0" w:afterAutospacing="0" w:line="360" w:lineRule="exact"/>
              <w:ind w:left="38" w:leftChars="0" w:right="0" w:right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中标公告</w:t>
            </w:r>
          </w:p>
        </w:tc>
        <w:tc>
          <w:tcPr>
            <w:tcW w:w="6963" w:type="dxa"/>
            <w:tcBorders>
              <w:left w:val="single" w:color="auto" w:sz="4" w:space="0"/>
            </w:tcBorders>
            <w:noWrap w:val="0"/>
            <w:vAlign w:val="center"/>
          </w:tcPr>
          <w:p w14:paraId="7AD96907">
            <w:pPr>
              <w:pStyle w:val="86"/>
              <w:keepNext w:val="0"/>
              <w:keepLines w:val="0"/>
              <w:pageBreakBefore w:val="0"/>
              <w:widowControl w:val="0"/>
              <w:suppressLineNumbers w:val="0"/>
              <w:kinsoku/>
              <w:wordWrap/>
              <w:overflowPunct/>
              <w:topLinePunct w:val="0"/>
              <w:bidi w:val="0"/>
              <w:snapToGrid/>
              <w:spacing w:before="0" w:beforeAutospacing="0" w:after="0" w:afterAutospacing="0" w:line="360" w:lineRule="exact"/>
              <w:ind w:left="38" w:leftChars="0" w:right="0" w:right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kern w:val="2"/>
                <w:sz w:val="21"/>
                <w:szCs w:val="21"/>
                <w:highlight w:val="none"/>
                <w:lang w:val="zh-CN" w:eastAsia="zh-CN" w:bidi="ar-SA"/>
              </w:rPr>
              <w:t>中标</w:t>
            </w:r>
            <w:r>
              <w:rPr>
                <w:rFonts w:hint="eastAsia" w:ascii="宋体" w:hAnsi="宋体" w:eastAsia="宋体" w:cs="宋体"/>
                <w:color w:val="auto"/>
                <w:kern w:val="2"/>
                <w:sz w:val="21"/>
                <w:szCs w:val="21"/>
                <w:highlight w:val="none"/>
                <w:lang w:val="en-US" w:eastAsia="zh-CN" w:bidi="ar-SA"/>
              </w:rPr>
              <w:t>结果</w:t>
            </w:r>
            <w:r>
              <w:rPr>
                <w:rFonts w:hint="eastAsia" w:ascii="宋体" w:hAnsi="宋体" w:eastAsia="宋体" w:cs="宋体"/>
                <w:color w:val="auto"/>
                <w:kern w:val="2"/>
                <w:sz w:val="21"/>
                <w:szCs w:val="21"/>
                <w:highlight w:val="none"/>
                <w:lang w:val="zh-CN" w:eastAsia="zh-CN" w:bidi="ar-SA"/>
              </w:rPr>
              <w:t>公告</w:t>
            </w:r>
            <w:r>
              <w:rPr>
                <w:rFonts w:hint="eastAsia" w:ascii="宋体" w:hAnsi="宋体" w:eastAsia="宋体" w:cs="宋体"/>
                <w:color w:val="auto"/>
                <w:kern w:val="2"/>
                <w:sz w:val="21"/>
                <w:szCs w:val="21"/>
                <w:highlight w:val="none"/>
                <w:lang w:val="en-US" w:eastAsia="zh-CN" w:bidi="ar-SA"/>
              </w:rPr>
              <w:t>在</w:t>
            </w:r>
            <w:r>
              <w:rPr>
                <w:rFonts w:hint="eastAsia" w:cs="宋体"/>
                <w:color w:val="auto"/>
                <w:kern w:val="2"/>
                <w:sz w:val="21"/>
                <w:szCs w:val="21"/>
                <w:highlight w:val="none"/>
                <w:lang w:val="en-US" w:eastAsia="zh-CN" w:bidi="ar-SA"/>
              </w:rPr>
              <w:t>发布</w:t>
            </w:r>
            <w:r>
              <w:rPr>
                <w:rFonts w:hint="eastAsia" w:ascii="宋体" w:hAnsi="宋体" w:eastAsia="宋体" w:cs="宋体"/>
                <w:color w:val="auto"/>
                <w:kern w:val="2"/>
                <w:sz w:val="21"/>
                <w:szCs w:val="21"/>
                <w:highlight w:val="none"/>
                <w:lang w:val="en-US" w:eastAsia="zh-CN" w:bidi="ar-SA"/>
              </w:rPr>
              <w:t>招标公告的同一媒介发布，公告期限为1个工作日。</w:t>
            </w:r>
          </w:p>
        </w:tc>
      </w:tr>
      <w:tr w14:paraId="158791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1D1150F8">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26.11</w:t>
            </w:r>
          </w:p>
        </w:tc>
        <w:tc>
          <w:tcPr>
            <w:tcW w:w="1798" w:type="dxa"/>
            <w:tcBorders>
              <w:left w:val="single" w:color="auto" w:sz="4" w:space="0"/>
              <w:right w:val="single" w:color="auto" w:sz="4" w:space="0"/>
            </w:tcBorders>
            <w:noWrap w:val="0"/>
            <w:vAlign w:val="center"/>
          </w:tcPr>
          <w:p w14:paraId="4F0C2D3C">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360" w:lineRule="exact"/>
              <w:ind w:left="0" w:leftChars="0" w:right="0" w:right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Cs w:val="21"/>
                <w:highlight w:val="none"/>
                <w:lang w:val="zh-CN"/>
              </w:rPr>
              <w:t>政府采购合同融资</w:t>
            </w:r>
          </w:p>
        </w:tc>
        <w:tc>
          <w:tcPr>
            <w:tcW w:w="6963" w:type="dxa"/>
            <w:tcBorders>
              <w:left w:val="single" w:color="auto" w:sz="4" w:space="0"/>
            </w:tcBorders>
            <w:noWrap w:val="0"/>
            <w:vAlign w:val="center"/>
          </w:tcPr>
          <w:p w14:paraId="54219785">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rPr>
              <w:t>吉林省政府采购网已开通“政府采购合同融资”服务专区，中标人凭政府采购合同等相关材料可通过融资专区获得融资贷款支持。</w:t>
            </w:r>
          </w:p>
        </w:tc>
      </w:tr>
      <w:tr w14:paraId="01C09D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0B8948D8">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26.12</w:t>
            </w:r>
          </w:p>
        </w:tc>
        <w:tc>
          <w:tcPr>
            <w:tcW w:w="1798" w:type="dxa"/>
            <w:tcBorders>
              <w:left w:val="single" w:color="auto" w:sz="4" w:space="0"/>
              <w:right w:val="single" w:color="auto" w:sz="4" w:space="0"/>
            </w:tcBorders>
            <w:noWrap w:val="0"/>
            <w:vAlign w:val="center"/>
          </w:tcPr>
          <w:p w14:paraId="1EF4F670">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360" w:lineRule="exact"/>
              <w:ind w:left="0" w:leftChars="0" w:right="0" w:right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Cs w:val="21"/>
                <w:highlight w:val="none"/>
                <w:lang w:val="zh-CN"/>
              </w:rPr>
              <w:t>充分、公平竞争保障措施</w:t>
            </w:r>
          </w:p>
        </w:tc>
        <w:tc>
          <w:tcPr>
            <w:tcW w:w="6963" w:type="dxa"/>
            <w:tcBorders>
              <w:left w:val="single" w:color="auto" w:sz="4" w:space="0"/>
            </w:tcBorders>
            <w:noWrap w:val="0"/>
            <w:vAlign w:val="center"/>
          </w:tcPr>
          <w:p w14:paraId="48E08377">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（1）利害关系</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处理。单位负责人为同一人或者存在直接控股、管理关系的不同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不得参加同一合同项下的政府采购活动，否则，均作无效处理。</w:t>
            </w:r>
          </w:p>
          <w:p w14:paraId="6267226B">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（2）前期参与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处理。为采购项目提供整体设计、规范编制或者项目管理、监理、检测等服务的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，不得再参加该采购项目的其他采购活动。否则，其投标文件作为无效处理。</w:t>
            </w:r>
          </w:p>
          <w:p w14:paraId="27643F42">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（3）利害关系代理人处理。两家以上的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不得在同一合同项下的采购项目中，同时委托同一个自然人、同一家庭的人员、同一单位的人员作为其代理人，否则，其投标文件均作为无效处理。</w:t>
            </w:r>
          </w:p>
          <w:p w14:paraId="392C48ED">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实际控制人或者中高级管理人员，同时是采购代理机构工作人员，不得参与本项目政府采购活动。</w:t>
            </w:r>
          </w:p>
          <w:p w14:paraId="77129A34">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（5）同一母公司的两家以上的子公司只能组成联合体参加本项目同一合同项下的采购活动，不得以不同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身份同时参加本项目同一合同项下的采购活动。</w:t>
            </w:r>
          </w:p>
          <w:p w14:paraId="6462E44E">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与采购代理机构存在关联关系，或者是采购代理机构的母公司或子公司，不得参加本项目政府采购活动。</w:t>
            </w:r>
          </w:p>
          <w:p w14:paraId="4693E124">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（7）回避。政府采购活动中，采购人员及相关人员与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有下列利害关系之一的，应当回避：</w:t>
            </w:r>
          </w:p>
          <w:p w14:paraId="5CE794F3">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1）参加采购活动前3年内与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存在劳动关系；</w:t>
            </w:r>
          </w:p>
          <w:p w14:paraId="68A8186C">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2）参加采购活动前3年内担任</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的董事、监事；</w:t>
            </w:r>
          </w:p>
          <w:p w14:paraId="5AE4D47E">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3）参加采购活动前3年内是</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的控股股东或者实际控制人；</w:t>
            </w:r>
          </w:p>
          <w:p w14:paraId="78045081">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的法定代表人或者负责人有夫妻、直系血亲、三代以内旁系血亲或者近姻亲关系；</w:t>
            </w:r>
          </w:p>
          <w:p w14:paraId="16B57D9B">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有其他可能影响政府采购活动公平、公正进行的关系。</w:t>
            </w:r>
          </w:p>
          <w:p w14:paraId="3886088A">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评标委员会成员。</w:t>
            </w:r>
          </w:p>
          <w:p w14:paraId="369C13D9">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认为采购人员及相关人员与其他</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有利害关系的，可以向采购代理机构书面提出回避申请，并说明理由。采购代理机构将及时询问被申请回避人员，有利害关系的被申请回避人员应当回避。</w:t>
            </w:r>
          </w:p>
        </w:tc>
      </w:tr>
      <w:tr w14:paraId="63CDA3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restart"/>
            <w:tcBorders>
              <w:right w:val="single" w:color="auto" w:sz="4" w:space="0"/>
            </w:tcBorders>
            <w:noWrap w:val="0"/>
            <w:vAlign w:val="center"/>
          </w:tcPr>
          <w:p w14:paraId="78914773">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26.13</w:t>
            </w:r>
          </w:p>
        </w:tc>
        <w:tc>
          <w:tcPr>
            <w:tcW w:w="1798" w:type="dxa"/>
            <w:vMerge w:val="restart"/>
            <w:tcBorders>
              <w:left w:val="single" w:color="auto" w:sz="4" w:space="0"/>
              <w:right w:val="single" w:color="auto" w:sz="4" w:space="0"/>
            </w:tcBorders>
            <w:noWrap w:val="0"/>
            <w:vAlign w:val="center"/>
          </w:tcPr>
          <w:p w14:paraId="7BF8ACFD">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落实政府采购政策</w:t>
            </w:r>
          </w:p>
        </w:tc>
        <w:tc>
          <w:tcPr>
            <w:tcW w:w="6963" w:type="dxa"/>
            <w:tcBorders>
              <w:left w:val="single" w:color="auto" w:sz="4" w:space="0"/>
            </w:tcBorders>
            <w:noWrap w:val="0"/>
            <w:vAlign w:val="top"/>
          </w:tcPr>
          <w:p w14:paraId="554B30B9">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□专门面向中小企业采购(应同时在招标公告中注明)。</w:t>
            </w:r>
          </w:p>
          <w:p w14:paraId="4E2F119F">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☑非专门面向中小企业</w:t>
            </w:r>
          </w:p>
          <w:p w14:paraId="3A820E8D">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对小型或微型企业（含监狱企业》给予10%的价格扣除，并按照扣除后的价格参加评审。</w:t>
            </w:r>
          </w:p>
          <w:p w14:paraId="3936626B">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1)提供《中小企业声明函》的供应商需提供原件；2）监狱企业参加政府采购活动时，应当提供由省级以上监狱管理局、戒毒管理局(含新疆生产建设兵团)出具的属于监狱企业的证明文件；3)残疾人就业提供证明文件。</w:t>
            </w:r>
          </w:p>
          <w:p w14:paraId="1E45A875">
            <w:pPr>
              <w:pStyle w:val="86"/>
              <w:keepNext w:val="0"/>
              <w:keepLines w:val="0"/>
              <w:pageBreakBefore w:val="0"/>
              <w:suppressLineNumbers w:val="0"/>
              <w:kinsoku/>
              <w:wordWrap/>
              <w:overflowPunct/>
              <w:topLinePunct w:val="0"/>
              <w:bidi w:val="0"/>
              <w:snapToGrid/>
              <w:spacing w:before="0" w:beforeAutospacing="0" w:after="0" w:afterAutospacing="0" w:line="360" w:lineRule="exact"/>
              <w:ind w:left="0" w:leftChars="0" w:right="0" w:right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lang w:val="en-US" w:eastAsia="zh-CN"/>
              </w:rPr>
              <w:t>中小企业报价分计算管理办法：根据财库〔2020〕46号“财政部、工业和信息化部关于印发《政府采购促进中小企业发展管理办法》的通知”及“关于进一步加大政府采购支持中小企业力度的通知”相关规定执行。</w:t>
            </w:r>
          </w:p>
        </w:tc>
      </w:tr>
      <w:tr w14:paraId="616128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vMerge w:val="continue"/>
            <w:tcBorders>
              <w:right w:val="single" w:color="auto" w:sz="4" w:space="0"/>
            </w:tcBorders>
            <w:noWrap w:val="0"/>
            <w:vAlign w:val="center"/>
          </w:tcPr>
          <w:p w14:paraId="7B5EE2CC">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p>
        </w:tc>
        <w:tc>
          <w:tcPr>
            <w:tcW w:w="1798" w:type="dxa"/>
            <w:vMerge w:val="continue"/>
            <w:tcBorders>
              <w:left w:val="single" w:color="auto" w:sz="4" w:space="0"/>
              <w:right w:val="single" w:color="auto" w:sz="4" w:space="0"/>
            </w:tcBorders>
            <w:noWrap w:val="0"/>
            <w:vAlign w:val="center"/>
          </w:tcPr>
          <w:p w14:paraId="410C9A1F">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p>
        </w:tc>
        <w:tc>
          <w:tcPr>
            <w:tcW w:w="6963" w:type="dxa"/>
            <w:tcBorders>
              <w:left w:val="single" w:color="auto" w:sz="4" w:space="0"/>
            </w:tcBorders>
            <w:noWrap w:val="0"/>
            <w:vAlign w:val="top"/>
          </w:tcPr>
          <w:p w14:paraId="60869C54">
            <w:pPr>
              <w:keepNext w:val="0"/>
              <w:keepLines w:val="0"/>
              <w:pageBreakBefore w:val="0"/>
              <w:widowControl w:val="0"/>
              <w:kinsoku/>
              <w:wordWrap/>
              <w:overflowPunct/>
              <w:topLinePunct w:val="0"/>
              <w:autoSpaceDE/>
              <w:autoSpaceDN/>
              <w:bidi w:val="0"/>
              <w:snapToGrid/>
              <w:spacing w:line="360" w:lineRule="exact"/>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rPr>
              <w:t>本项目中小企业划分标准所属行业为：</w:t>
            </w:r>
            <w:r>
              <w:rPr>
                <w:rFonts w:hint="eastAsia" w:ascii="宋体" w:hAnsi="宋体" w:eastAsia="宋体" w:cs="宋体"/>
                <w:color w:val="auto"/>
                <w:sz w:val="21"/>
                <w:szCs w:val="21"/>
                <w:highlight w:val="none"/>
                <w:lang w:val="en-US" w:eastAsia="zh-CN"/>
              </w:rPr>
              <w:t>工业</w:t>
            </w:r>
          </w:p>
        </w:tc>
      </w:tr>
      <w:tr w14:paraId="740A7A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noWrap w:val="0"/>
            <w:vAlign w:val="center"/>
          </w:tcPr>
          <w:p w14:paraId="5663CB86">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26.14</w:t>
            </w:r>
          </w:p>
        </w:tc>
        <w:tc>
          <w:tcPr>
            <w:tcW w:w="1798" w:type="dxa"/>
            <w:tcBorders>
              <w:left w:val="single" w:color="auto" w:sz="4" w:space="0"/>
              <w:right w:val="single" w:color="auto" w:sz="4" w:space="0"/>
            </w:tcBorders>
            <w:shd w:val="clear" w:color="auto" w:fill="auto"/>
            <w:noWrap w:val="0"/>
            <w:vAlign w:val="center"/>
          </w:tcPr>
          <w:p w14:paraId="0A39B00D">
            <w:pPr>
              <w:keepNext w:val="0"/>
              <w:keepLines w:val="0"/>
              <w:pageBreakBefore w:val="0"/>
              <w:widowControl/>
              <w:suppressLineNumbers w:val="0"/>
              <w:kinsoku/>
              <w:wordWrap/>
              <w:overflowPunct/>
              <w:topLinePunct w:val="0"/>
              <w:autoSpaceDE w:val="0"/>
              <w:autoSpaceDN w:val="0"/>
              <w:bidi w:val="0"/>
              <w:adjustRightInd w:val="0"/>
              <w:snapToGrid/>
              <w:spacing w:before="0" w:beforeAutospacing="0" w:after="0" w:afterAutospacing="0" w:line="360" w:lineRule="exact"/>
              <w:ind w:left="0" w:leftChars="0" w:right="0" w:rightChars="0"/>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交货方式</w:t>
            </w:r>
          </w:p>
        </w:tc>
        <w:tc>
          <w:tcPr>
            <w:tcW w:w="6963" w:type="dxa"/>
            <w:tcBorders>
              <w:left w:val="single" w:color="auto" w:sz="4" w:space="0"/>
            </w:tcBorders>
            <w:shd w:val="clear" w:color="auto" w:fill="auto"/>
            <w:noWrap w:val="0"/>
            <w:vAlign w:val="center"/>
          </w:tcPr>
          <w:p w14:paraId="230FB0F2">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供方负责将货物安全完好运抵交货地点、安装调试并保证验收合格</w:t>
            </w:r>
          </w:p>
        </w:tc>
      </w:tr>
      <w:tr w14:paraId="0F974F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682" w:type="dxa"/>
            <w:tcBorders>
              <w:right w:val="single" w:color="auto" w:sz="4" w:space="0"/>
            </w:tcBorders>
            <w:shd w:val="clear" w:color="auto" w:fill="auto"/>
            <w:noWrap w:val="0"/>
            <w:vAlign w:val="center"/>
          </w:tcPr>
          <w:p w14:paraId="019405DC">
            <w:pPr>
              <w:keepNext w:val="0"/>
              <w:keepLines w:val="0"/>
              <w:pageBreakBefore w:val="0"/>
              <w:widowControl w:val="0"/>
              <w:tabs>
                <w:tab w:val="left" w:pos="260"/>
              </w:tabs>
              <w:kinsoku/>
              <w:wordWrap/>
              <w:overflowPunct/>
              <w:topLinePunct w:val="0"/>
              <w:autoSpaceDE/>
              <w:autoSpaceDN/>
              <w:bidi w:val="0"/>
              <w:snapToGrid/>
              <w:spacing w:line="360" w:lineRule="exact"/>
              <w:jc w:val="center"/>
              <w:textAlignment w:val="auto"/>
              <w:outlineLvl w:val="9"/>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26.15</w:t>
            </w:r>
          </w:p>
        </w:tc>
        <w:tc>
          <w:tcPr>
            <w:tcW w:w="1798" w:type="dxa"/>
            <w:tcBorders>
              <w:left w:val="single" w:color="auto" w:sz="4" w:space="0"/>
              <w:right w:val="single" w:color="auto" w:sz="4" w:space="0"/>
            </w:tcBorders>
            <w:shd w:val="clear" w:color="auto" w:fill="auto"/>
            <w:noWrap w:val="0"/>
            <w:vAlign w:val="center"/>
          </w:tcPr>
          <w:p w14:paraId="1BBF2717">
            <w:pPr>
              <w:keepNext w:val="0"/>
              <w:keepLines w:val="0"/>
              <w:pageBreakBefore w:val="0"/>
              <w:widowControl/>
              <w:suppressLineNumbers w:val="0"/>
              <w:kinsoku/>
              <w:wordWrap/>
              <w:overflowPunct/>
              <w:topLinePunct w:val="0"/>
              <w:autoSpaceDE w:val="0"/>
              <w:autoSpaceDN w:val="0"/>
              <w:bidi w:val="0"/>
              <w:adjustRightInd w:val="0"/>
              <w:snapToGrid/>
              <w:spacing w:before="0" w:beforeAutospacing="0" w:after="0" w:afterAutospacing="0" w:line="360" w:lineRule="exact"/>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其他</w:t>
            </w:r>
          </w:p>
        </w:tc>
        <w:tc>
          <w:tcPr>
            <w:tcW w:w="6963" w:type="dxa"/>
            <w:tcBorders>
              <w:left w:val="single" w:color="auto" w:sz="4" w:space="0"/>
            </w:tcBorders>
            <w:shd w:val="clear" w:color="auto" w:fill="auto"/>
            <w:noWrap w:val="0"/>
            <w:vAlign w:val="center"/>
          </w:tcPr>
          <w:p w14:paraId="6ACEEB6E">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kern w:val="15"/>
                <w:sz w:val="21"/>
                <w:szCs w:val="21"/>
                <w:highlight w:val="none"/>
                <w:lang w:eastAsia="zh-CN"/>
              </w:rPr>
            </w:pPr>
            <w:r>
              <w:rPr>
                <w:rFonts w:hint="eastAsia" w:ascii="宋体" w:hAnsi="宋体" w:eastAsia="宋体" w:cs="宋体"/>
                <w:color w:val="auto"/>
                <w:kern w:val="15"/>
                <w:sz w:val="21"/>
                <w:szCs w:val="21"/>
                <w:highlight w:val="none"/>
                <w:lang w:val="en-US" w:eastAsia="zh-CN"/>
              </w:rPr>
              <w:t>1.</w:t>
            </w:r>
            <w:r>
              <w:rPr>
                <w:rFonts w:hint="eastAsia" w:ascii="宋体" w:hAnsi="宋体" w:eastAsia="宋体" w:cs="宋体"/>
                <w:color w:val="auto"/>
                <w:kern w:val="15"/>
                <w:sz w:val="21"/>
                <w:szCs w:val="21"/>
                <w:highlight w:val="none"/>
                <w:lang w:eastAsia="zh-CN"/>
              </w:rPr>
              <w:t>本</w:t>
            </w:r>
            <w:r>
              <w:rPr>
                <w:rFonts w:hint="eastAsia" w:ascii="宋体" w:hAnsi="宋体" w:eastAsia="宋体" w:cs="宋体"/>
                <w:color w:val="auto"/>
                <w:kern w:val="15"/>
                <w:sz w:val="21"/>
                <w:szCs w:val="21"/>
                <w:highlight w:val="none"/>
                <w:lang w:val="en-US" w:eastAsia="zh-CN"/>
              </w:rPr>
              <w:t>招标</w:t>
            </w:r>
            <w:r>
              <w:rPr>
                <w:rFonts w:hint="eastAsia" w:ascii="宋体" w:hAnsi="宋体" w:eastAsia="宋体" w:cs="宋体"/>
                <w:color w:val="auto"/>
                <w:kern w:val="15"/>
                <w:sz w:val="21"/>
                <w:szCs w:val="21"/>
                <w:highlight w:val="none"/>
                <w:lang w:eastAsia="zh-CN"/>
              </w:rPr>
              <w:t>文件中所引相关法律制度规定，在政府采购中有变化的，按照变化后的相关法律制度规定执行。本</w:t>
            </w:r>
            <w:r>
              <w:rPr>
                <w:rFonts w:hint="eastAsia" w:ascii="宋体" w:hAnsi="宋体" w:eastAsia="宋体" w:cs="宋体"/>
                <w:color w:val="auto"/>
                <w:kern w:val="15"/>
                <w:sz w:val="21"/>
                <w:szCs w:val="21"/>
                <w:highlight w:val="none"/>
                <w:lang w:val="en-US" w:eastAsia="zh-CN"/>
              </w:rPr>
              <w:t>文件</w:t>
            </w:r>
            <w:r>
              <w:rPr>
                <w:rFonts w:hint="eastAsia" w:ascii="宋体" w:hAnsi="宋体" w:eastAsia="宋体" w:cs="宋体"/>
                <w:color w:val="auto"/>
                <w:kern w:val="15"/>
                <w:sz w:val="21"/>
                <w:szCs w:val="21"/>
                <w:highlight w:val="none"/>
                <w:lang w:eastAsia="zh-CN"/>
              </w:rPr>
              <w:t>规定的内容条款，在本项目递交</w:t>
            </w:r>
            <w:r>
              <w:rPr>
                <w:rFonts w:hint="eastAsia" w:ascii="宋体" w:hAnsi="宋体" w:eastAsia="宋体" w:cs="宋体"/>
                <w:color w:val="auto"/>
                <w:kern w:val="15"/>
                <w:sz w:val="21"/>
                <w:szCs w:val="21"/>
                <w:highlight w:val="none"/>
                <w:lang w:val="en-US" w:eastAsia="zh-CN"/>
              </w:rPr>
              <w:t>投标</w:t>
            </w:r>
            <w:r>
              <w:rPr>
                <w:rFonts w:hint="eastAsia" w:ascii="宋体" w:hAnsi="宋体" w:eastAsia="宋体" w:cs="宋体"/>
                <w:color w:val="auto"/>
                <w:kern w:val="15"/>
                <w:sz w:val="21"/>
                <w:szCs w:val="21"/>
                <w:highlight w:val="none"/>
                <w:lang w:eastAsia="zh-CN"/>
              </w:rPr>
              <w:t>文件截止时间届满后，因相关法律制度规定的变化导致不符合相关法律制度规定的，直接按照变化后的相关法律制度规定执行，本</w:t>
            </w:r>
            <w:r>
              <w:rPr>
                <w:rFonts w:hint="eastAsia" w:ascii="宋体" w:hAnsi="宋体" w:eastAsia="宋体" w:cs="宋体"/>
                <w:color w:val="auto"/>
                <w:kern w:val="15"/>
                <w:sz w:val="21"/>
                <w:szCs w:val="21"/>
                <w:highlight w:val="none"/>
                <w:lang w:val="en-US" w:eastAsia="zh-CN"/>
              </w:rPr>
              <w:t>招标</w:t>
            </w:r>
            <w:r>
              <w:rPr>
                <w:rFonts w:hint="eastAsia" w:ascii="宋体" w:hAnsi="宋体" w:eastAsia="宋体" w:cs="宋体"/>
                <w:color w:val="auto"/>
                <w:kern w:val="15"/>
                <w:sz w:val="21"/>
                <w:szCs w:val="21"/>
                <w:highlight w:val="none"/>
                <w:lang w:eastAsia="zh-CN"/>
              </w:rPr>
              <w:t>文件不再做调整。</w:t>
            </w:r>
          </w:p>
          <w:p w14:paraId="7D348CE3">
            <w:pPr>
              <w:keepNext w:val="0"/>
              <w:keepLines w:val="0"/>
              <w:pageBreakBefore w:val="0"/>
              <w:widowControl/>
              <w:suppressLineNumbers w:val="0"/>
              <w:kinsoku/>
              <w:wordWrap/>
              <w:overflowPunct/>
              <w:topLinePunct w:val="0"/>
              <w:bidi w:val="0"/>
              <w:snapToGrid/>
              <w:spacing w:before="0" w:beforeAutospacing="0" w:after="0" w:afterAutospacing="0" w:line="360" w:lineRule="exact"/>
              <w:ind w:left="0" w:leftChars="0" w:right="0" w:rightChars="0"/>
              <w:jc w:val="left"/>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15"/>
                <w:sz w:val="21"/>
                <w:szCs w:val="21"/>
                <w:highlight w:val="none"/>
                <w:lang w:val="en-US" w:eastAsia="zh-CN"/>
              </w:rPr>
              <w:t>2.</w:t>
            </w:r>
            <w:r>
              <w:rPr>
                <w:rFonts w:hint="eastAsia" w:ascii="宋体" w:hAnsi="宋体" w:eastAsia="宋体" w:cs="宋体"/>
                <w:color w:val="auto"/>
                <w:kern w:val="15"/>
                <w:sz w:val="21"/>
                <w:szCs w:val="21"/>
                <w:highlight w:val="none"/>
                <w:lang w:eastAsia="zh-CN"/>
              </w:rPr>
              <w:t>国家或行业主管部门对</w:t>
            </w:r>
            <w:r>
              <w:rPr>
                <w:rFonts w:hint="eastAsia" w:ascii="宋体" w:hAnsi="宋体" w:eastAsia="宋体" w:cs="宋体"/>
                <w:color w:val="auto"/>
                <w:kern w:val="15"/>
                <w:sz w:val="21"/>
                <w:szCs w:val="21"/>
                <w:highlight w:val="none"/>
                <w:lang w:val="en-US" w:eastAsia="zh-CN"/>
              </w:rPr>
              <w:t>供应商</w:t>
            </w:r>
            <w:r>
              <w:rPr>
                <w:rFonts w:hint="eastAsia" w:ascii="宋体" w:hAnsi="宋体" w:eastAsia="宋体" w:cs="宋体"/>
                <w:color w:val="auto"/>
                <w:kern w:val="15"/>
                <w:sz w:val="21"/>
                <w:szCs w:val="21"/>
                <w:highlight w:val="none"/>
                <w:lang w:eastAsia="zh-CN"/>
              </w:rPr>
              <w:t>和采购产品的技术标准、质量标准和资格资质条件等有强制性规定的，必须符合其要求。</w:t>
            </w:r>
          </w:p>
        </w:tc>
      </w:tr>
    </w:tbl>
    <w:p w14:paraId="008410EF">
      <w:pPr>
        <w:adjustRightInd w:val="0"/>
        <w:snapToGrid w:val="0"/>
        <w:spacing w:line="360" w:lineRule="auto"/>
        <w:jc w:val="center"/>
        <w:rPr>
          <w:rFonts w:hint="eastAsia" w:ascii="宋体" w:hAnsi="宋体" w:eastAsia="宋体" w:cs="宋体"/>
          <w:color w:val="auto"/>
          <w:sz w:val="24"/>
          <w:szCs w:val="24"/>
          <w:highlight w:val="none"/>
        </w:rPr>
      </w:pPr>
    </w:p>
    <w:p w14:paraId="543741C8">
      <w:pPr>
        <w:rPr>
          <w:rFonts w:hint="eastAsia" w:ascii="宋体" w:hAnsi="宋体" w:eastAsia="宋体" w:cs="宋体"/>
          <w:b/>
          <w:bCs/>
          <w:color w:val="auto"/>
          <w:sz w:val="30"/>
          <w:szCs w:val="30"/>
          <w:highlight w:val="none"/>
          <w:lang w:val="zh-CN"/>
        </w:rPr>
      </w:pPr>
      <w:bookmarkStart w:id="54" w:name="_Toc13774"/>
      <w:r>
        <w:rPr>
          <w:rFonts w:hint="eastAsia" w:ascii="宋体" w:hAnsi="宋体" w:eastAsia="宋体" w:cs="宋体"/>
          <w:b/>
          <w:bCs/>
          <w:color w:val="auto"/>
          <w:sz w:val="30"/>
          <w:szCs w:val="30"/>
          <w:highlight w:val="none"/>
          <w:lang w:val="zh-CN"/>
        </w:rPr>
        <w:br w:type="page"/>
      </w:r>
    </w:p>
    <w:bookmarkEnd w:id="54"/>
    <w:p w14:paraId="133818AB">
      <w:pPr>
        <w:spacing w:before="0" w:after="0" w:line="360" w:lineRule="auto"/>
        <w:jc w:val="center"/>
        <w:outlineLvl w:val="1"/>
        <w:rPr>
          <w:rFonts w:hint="eastAsia" w:ascii="宋体" w:hAnsi="宋体" w:eastAsia="宋体" w:cs="宋体"/>
          <w:b/>
          <w:bCs/>
          <w:color w:val="auto"/>
          <w:sz w:val="24"/>
          <w:szCs w:val="24"/>
          <w:highlight w:val="none"/>
        </w:rPr>
      </w:pPr>
      <w:bookmarkStart w:id="55" w:name="_Toc16450"/>
      <w:bookmarkStart w:id="56" w:name="_Toc28946"/>
      <w:bookmarkStart w:id="57" w:name="_Toc24574"/>
      <w:bookmarkStart w:id="58" w:name="_Toc28340"/>
      <w:bookmarkStart w:id="59" w:name="_Toc16335"/>
      <w:bookmarkStart w:id="60" w:name="_Toc29732"/>
      <w:r>
        <w:rPr>
          <w:rFonts w:hint="eastAsia" w:ascii="宋体" w:hAnsi="宋体" w:eastAsia="宋体" w:cs="宋体"/>
          <w:b/>
          <w:bCs/>
          <w:color w:val="auto"/>
          <w:sz w:val="24"/>
          <w:szCs w:val="24"/>
          <w:highlight w:val="none"/>
        </w:rPr>
        <w:t>一、总  则</w:t>
      </w:r>
      <w:bookmarkEnd w:id="55"/>
      <w:bookmarkEnd w:id="56"/>
    </w:p>
    <w:p w14:paraId="3670274B">
      <w:pPr>
        <w:keepNext w:val="0"/>
        <w:keepLines w:val="0"/>
        <w:widowControl/>
        <w:suppressLineNumbers w:val="0"/>
        <w:spacing w:line="240" w:lineRule="auto"/>
        <w:ind w:firstLine="422"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1、</w:t>
      </w:r>
      <w:r>
        <w:rPr>
          <w:rFonts w:hint="eastAsia" w:ascii="宋体" w:hAnsi="宋体" w:eastAsia="宋体" w:cs="宋体"/>
          <w:b/>
          <w:color w:val="auto"/>
          <w:kern w:val="0"/>
          <w:sz w:val="21"/>
          <w:szCs w:val="21"/>
          <w:highlight w:val="none"/>
          <w:lang w:val="en-US" w:eastAsia="zh-CN" w:bidi="ar"/>
        </w:rPr>
        <w:t>适用法律：</w:t>
      </w:r>
      <w:r>
        <w:rPr>
          <w:rFonts w:hint="eastAsia" w:ascii="宋体" w:hAnsi="宋体" w:eastAsia="宋体" w:cs="宋体"/>
          <w:color w:val="auto"/>
          <w:kern w:val="0"/>
          <w:sz w:val="21"/>
          <w:szCs w:val="21"/>
          <w:highlight w:val="none"/>
          <w:lang w:val="en-US" w:eastAsia="zh-CN" w:bidi="ar"/>
        </w:rPr>
        <w:t>本次招标适用法律法规为《中华人民共和国政府采购法》、《中华人民共和国政府采购法实施条例》、《政府采购服务和服务招标投标管理办法》及政府采购其它相关法规。</w:t>
      </w:r>
    </w:p>
    <w:p w14:paraId="2D54E3F0">
      <w:pPr>
        <w:spacing w:line="240" w:lineRule="auto"/>
        <w:ind w:firstLine="422" w:firstLineChars="200"/>
        <w:outlineLvl w:val="9"/>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2、采购人、采购代理机构、</w:t>
      </w:r>
      <w:r>
        <w:rPr>
          <w:rFonts w:hint="eastAsia" w:ascii="宋体" w:hAnsi="宋体" w:eastAsia="宋体" w:cs="宋体"/>
          <w:b/>
          <w:color w:val="auto"/>
          <w:sz w:val="21"/>
          <w:szCs w:val="21"/>
          <w:highlight w:val="none"/>
          <w:lang w:eastAsia="zh-CN"/>
        </w:rPr>
        <w:t>供应商</w:t>
      </w:r>
    </w:p>
    <w:p w14:paraId="3FC61F1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 “采购人”系指依法进行政府采购的国家机关、事业单位、团体组织</w:t>
      </w:r>
      <w:r>
        <w:rPr>
          <w:rFonts w:hint="eastAsia" w:ascii="宋体" w:hAnsi="宋体" w:eastAsia="宋体" w:cs="宋体"/>
          <w:color w:val="auto"/>
          <w:sz w:val="21"/>
          <w:szCs w:val="21"/>
          <w:highlight w:val="none"/>
          <w:lang w:eastAsia="zh-CN"/>
        </w:rPr>
        <w:t>等</w:t>
      </w:r>
      <w:r>
        <w:rPr>
          <w:rFonts w:hint="eastAsia" w:ascii="宋体" w:hAnsi="宋体" w:eastAsia="宋体" w:cs="宋体"/>
          <w:color w:val="auto"/>
          <w:sz w:val="21"/>
          <w:szCs w:val="21"/>
          <w:highlight w:val="none"/>
        </w:rPr>
        <w:t>。</w:t>
      </w:r>
    </w:p>
    <w:p w14:paraId="03B0F78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2.2 </w:t>
      </w:r>
      <w:r>
        <w:rPr>
          <w:rFonts w:hint="eastAsia" w:ascii="宋体" w:hAnsi="宋体" w:eastAsia="宋体" w:cs="宋体"/>
          <w:color w:val="auto"/>
          <w:szCs w:val="21"/>
          <w:highlight w:val="none"/>
        </w:rPr>
        <w:t>“采购代理机构” 系指根据采购人的委托依法办理采购事宜的采购机构（简称“采购人”）</w:t>
      </w:r>
      <w:r>
        <w:rPr>
          <w:rFonts w:hint="eastAsia" w:ascii="宋体" w:hAnsi="宋体" w:eastAsia="宋体" w:cs="宋体"/>
          <w:color w:val="auto"/>
          <w:sz w:val="21"/>
          <w:szCs w:val="21"/>
          <w:highlight w:val="none"/>
        </w:rPr>
        <w:t>。</w:t>
      </w:r>
    </w:p>
    <w:p w14:paraId="3AF2DE9A">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 “采购单位”系指“采购人”和“采购代理机构”的统称。</w:t>
      </w:r>
    </w:p>
    <w:p w14:paraId="4BC90741">
      <w:pPr>
        <w:spacing w:line="240" w:lineRule="auto"/>
        <w:ind w:firstLine="422" w:firstLineChars="200"/>
        <w:outlineLvl w:val="9"/>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3、合格</w:t>
      </w:r>
      <w:r>
        <w:rPr>
          <w:rFonts w:hint="eastAsia" w:ascii="宋体" w:hAnsi="宋体" w:eastAsia="宋体" w:cs="宋体"/>
          <w:b/>
          <w:color w:val="auto"/>
          <w:sz w:val="21"/>
          <w:szCs w:val="21"/>
          <w:highlight w:val="none"/>
          <w:lang w:eastAsia="zh-CN"/>
        </w:rPr>
        <w:t>供应商</w:t>
      </w:r>
    </w:p>
    <w:p w14:paraId="1EEE2CC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指领取了招标文件并完成登记备案拟参加投标和向采购人提供相应</w:t>
      </w:r>
      <w:r>
        <w:rPr>
          <w:rFonts w:hint="eastAsia" w:ascii="宋体" w:hAnsi="宋体" w:eastAsia="宋体" w:cs="宋体"/>
          <w:color w:val="auto"/>
          <w:sz w:val="21"/>
          <w:szCs w:val="21"/>
          <w:highlight w:val="none"/>
          <w:lang w:val="en-US" w:eastAsia="zh-CN"/>
        </w:rPr>
        <w:t>货物</w:t>
      </w:r>
      <w:r>
        <w:rPr>
          <w:rFonts w:hint="eastAsia" w:ascii="宋体" w:hAnsi="宋体" w:eastAsia="宋体" w:cs="宋体"/>
          <w:color w:val="auto"/>
          <w:sz w:val="21"/>
          <w:szCs w:val="21"/>
          <w:highlight w:val="none"/>
        </w:rPr>
        <w:t>服务的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w:t>
      </w:r>
    </w:p>
    <w:p w14:paraId="563E4B78">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应符合</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须知及前附表中合格</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的全部要求。</w:t>
      </w:r>
    </w:p>
    <w:p w14:paraId="0520EA8B">
      <w:pPr>
        <w:spacing w:line="240" w:lineRule="auto"/>
        <w:ind w:firstLine="422" w:firstLineChars="200"/>
        <w:jc w:val="left"/>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4、投标费用</w:t>
      </w:r>
    </w:p>
    <w:p w14:paraId="19D8E7FA">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应承担所有与编写和提交投标文件有关的费用，无论投标的结果如何，采购人和采购代理机构在任何情况下均无义务和责任承担这些费用。</w:t>
      </w:r>
    </w:p>
    <w:p w14:paraId="6A9B145C">
      <w:pPr>
        <w:spacing w:line="240" w:lineRule="auto"/>
        <w:jc w:val="center"/>
        <w:outlineLvl w:val="1"/>
        <w:rPr>
          <w:rFonts w:hint="eastAsia" w:ascii="宋体" w:hAnsi="宋体" w:eastAsia="宋体" w:cs="宋体"/>
          <w:b/>
          <w:color w:val="auto"/>
          <w:sz w:val="21"/>
          <w:szCs w:val="21"/>
          <w:highlight w:val="none"/>
        </w:rPr>
      </w:pPr>
      <w:bookmarkStart w:id="61" w:name="_Toc30276"/>
      <w:bookmarkStart w:id="62" w:name="_Toc14446"/>
      <w:r>
        <w:rPr>
          <w:rFonts w:hint="eastAsia" w:ascii="宋体" w:hAnsi="宋体" w:eastAsia="宋体" w:cs="宋体"/>
          <w:b/>
          <w:color w:val="auto"/>
          <w:sz w:val="21"/>
          <w:szCs w:val="21"/>
          <w:highlight w:val="none"/>
        </w:rPr>
        <w:t>二、招标文件</w:t>
      </w:r>
      <w:bookmarkEnd w:id="61"/>
      <w:bookmarkEnd w:id="62"/>
    </w:p>
    <w:p w14:paraId="295353CD">
      <w:pPr>
        <w:spacing w:line="240" w:lineRule="auto"/>
        <w:ind w:firstLine="422" w:firstLineChars="200"/>
        <w:jc w:val="left"/>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5、招标文件</w:t>
      </w:r>
    </w:p>
    <w:p w14:paraId="6B8F1335">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 招标文件的构成</w:t>
      </w:r>
    </w:p>
    <w:p w14:paraId="2C355916">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第一章  招标公告</w:t>
      </w:r>
    </w:p>
    <w:p w14:paraId="3E18E5CC">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第二章  </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须知</w:t>
      </w:r>
    </w:p>
    <w:p w14:paraId="00E84CD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第三章  评标办法</w:t>
      </w:r>
    </w:p>
    <w:p w14:paraId="5EAAC21F">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第四章  合同条款(参考格式)</w:t>
      </w:r>
    </w:p>
    <w:p w14:paraId="19D45D7E">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第五章  </w:t>
      </w:r>
      <w:r>
        <w:rPr>
          <w:rFonts w:hint="eastAsia" w:ascii="宋体" w:hAnsi="宋体" w:eastAsia="宋体" w:cs="宋体"/>
          <w:color w:val="auto"/>
          <w:sz w:val="21"/>
          <w:szCs w:val="21"/>
          <w:highlight w:val="none"/>
          <w:lang w:val="en-US" w:eastAsia="zh-CN"/>
        </w:rPr>
        <w:t>技术要求</w:t>
      </w:r>
    </w:p>
    <w:p w14:paraId="4559F8EE">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第六章  投标文件构成及格式</w:t>
      </w:r>
    </w:p>
    <w:p w14:paraId="0EA9A180">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应认真阅读招标文件中所有的事项、格式、条款和规范等要求。如果</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没有按照招标文件要求提交全部资料或投标文件没有对招标文件在各方面都做出实质性响应，是</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的风险。</w:t>
      </w:r>
    </w:p>
    <w:p w14:paraId="67D662B1">
      <w:pPr>
        <w:spacing w:line="240" w:lineRule="auto"/>
        <w:ind w:firstLine="420" w:firstLineChars="200"/>
        <w:outlineLvl w:val="9"/>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lang w:val="en-US" w:eastAsia="zh-CN"/>
        </w:rPr>
        <w:t>5.3供应商收到招标文件时，应检查页数和附件数量。供应商发现任何页数或附件数量的遗缺，任何数字或词汇模糊不清，任何词义含混不清，应告知采购单位补全或澄清。如果供应商不按上述提出要求而造成不良后果，采购单位不承担责任</w:t>
      </w:r>
      <w:r>
        <w:rPr>
          <w:rFonts w:hint="eastAsia" w:ascii="宋体" w:hAnsi="宋体" w:eastAsia="宋体" w:cs="宋体"/>
          <w:color w:val="auto"/>
          <w:sz w:val="21"/>
          <w:szCs w:val="21"/>
          <w:highlight w:val="none"/>
        </w:rPr>
        <w:t>。</w:t>
      </w:r>
    </w:p>
    <w:p w14:paraId="626CDECB">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6、招标文件的澄清和修改</w:t>
      </w:r>
    </w:p>
    <w:p w14:paraId="23C8A4C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6.1任何要求对招标文件进行澄清或对招标文件质疑的潜在</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，均应在获取招标文件或者招标文件公告期限届满之日起7个工作日内以书面形式（须加盖公章）通知采购代理机构（如</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所参与项目须要在网上提交质疑程序，供应商须将纸质版质疑材料与网上提交质疑程序在同一工作日内进行，如出现日期不一致时，以两者中最后日期为准），超过这个规定期限提出的澄清要求或质疑将不予受理。采购代理机构对收到的澄清要求将视所提问题的具体情况以书面形式予以答复，</w:t>
      </w:r>
      <w:r>
        <w:rPr>
          <w:rFonts w:hint="eastAsia" w:ascii="宋体" w:hAnsi="宋体" w:eastAsia="宋体" w:cs="宋体"/>
          <w:color w:val="auto"/>
          <w:sz w:val="21"/>
          <w:szCs w:val="21"/>
          <w:highlight w:val="none"/>
          <w:lang w:val="en-US" w:eastAsia="zh-CN"/>
        </w:rPr>
        <w:t>如</w:t>
      </w:r>
      <w:r>
        <w:rPr>
          <w:rFonts w:hint="eastAsia" w:ascii="宋体" w:hAnsi="宋体" w:eastAsia="宋体" w:cs="宋体"/>
          <w:color w:val="auto"/>
          <w:sz w:val="21"/>
          <w:szCs w:val="21"/>
          <w:highlight w:val="none"/>
        </w:rPr>
        <w:t>项目须要在网上提交质疑</w:t>
      </w:r>
      <w:r>
        <w:rPr>
          <w:rFonts w:hint="eastAsia" w:ascii="宋体" w:hAnsi="宋体" w:eastAsia="宋体" w:cs="宋体"/>
          <w:color w:val="auto"/>
          <w:sz w:val="21"/>
          <w:szCs w:val="21"/>
          <w:highlight w:val="none"/>
          <w:lang w:val="en-US" w:eastAsia="zh-CN"/>
        </w:rPr>
        <w:t>回复的</w:t>
      </w:r>
      <w:r>
        <w:rPr>
          <w:rFonts w:hint="eastAsia" w:ascii="宋体" w:hAnsi="宋体" w:eastAsia="宋体" w:cs="宋体"/>
          <w:color w:val="auto"/>
          <w:sz w:val="21"/>
          <w:szCs w:val="21"/>
          <w:highlight w:val="none"/>
        </w:rPr>
        <w:t>同时</w:t>
      </w:r>
      <w:r>
        <w:rPr>
          <w:rFonts w:hint="eastAsia" w:ascii="宋体" w:hAnsi="宋体" w:eastAsia="宋体" w:cs="宋体"/>
          <w:color w:val="auto"/>
          <w:sz w:val="21"/>
          <w:szCs w:val="21"/>
          <w:highlight w:val="none"/>
          <w:lang w:val="en-US" w:eastAsia="zh-CN"/>
        </w:rPr>
        <w:t>在网站进行回复</w:t>
      </w:r>
      <w:r>
        <w:rPr>
          <w:rFonts w:hint="eastAsia" w:ascii="宋体" w:hAnsi="宋体" w:eastAsia="宋体" w:cs="宋体"/>
          <w:color w:val="auto"/>
          <w:sz w:val="21"/>
          <w:szCs w:val="21"/>
          <w:highlight w:val="none"/>
        </w:rPr>
        <w:t>。潜在</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应在1日内确认已收到该答复，未回复的潜在</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视为已经收到该答复。答复中包括所提的问题，但不包括问题的来源。</w:t>
      </w:r>
    </w:p>
    <w:p w14:paraId="0AA33C64">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6.2采购人或者采购代理机构可以对已发出的招标文件、招标公告进行必要的澄清或者修改，但不得改变采购标的和资格条件。澄清或者修改将在原公告发布媒体上发布澄清公告。澄清或者修改的内容为招标文件、招标公告的组成部分。</w:t>
      </w:r>
    </w:p>
    <w:p w14:paraId="14692A36">
      <w:pPr>
        <w:spacing w:line="240" w:lineRule="auto"/>
        <w:ind w:firstLine="420" w:firstLineChars="200"/>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澄清或者修改的内容可能影响投标文件编制的，采购人或者采购代理机构将在投标截止时间15日前，</w:t>
      </w:r>
      <w:r>
        <w:rPr>
          <w:rFonts w:hint="eastAsia" w:ascii="宋体" w:hAnsi="宋体" w:eastAsia="宋体" w:cs="宋体"/>
          <w:color w:val="auto"/>
          <w:sz w:val="21"/>
          <w:szCs w:val="21"/>
          <w:highlight w:val="none"/>
          <w:lang w:val="en-US" w:eastAsia="zh-CN"/>
        </w:rPr>
        <w:t>将在网站上</w:t>
      </w:r>
      <w:r>
        <w:rPr>
          <w:rFonts w:hint="eastAsia" w:ascii="宋体" w:hAnsi="宋体" w:eastAsia="宋体" w:cs="宋体"/>
          <w:color w:val="auto"/>
          <w:sz w:val="21"/>
          <w:szCs w:val="21"/>
          <w:highlight w:val="none"/>
        </w:rPr>
        <w:t>通知所有获取招标文件的潜在</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；不足15日的，采购人或者采购代理机构将顺延提交投标文件的截止时间。在这种情况下，采购人、采购代理机构和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受投标截止时间制约的所有权利和义务均相应顺延至新的投标截止时间。请潜在供应商在参加与本项目活动期间关注网站信息，所有有意愿的供应商有义务在网上自行查询</w:t>
      </w:r>
      <w:r>
        <w:rPr>
          <w:rFonts w:hint="eastAsia" w:ascii="宋体" w:hAnsi="宋体" w:eastAsia="宋体" w:cs="宋体"/>
          <w:color w:val="auto"/>
          <w:sz w:val="21"/>
          <w:szCs w:val="21"/>
          <w:highlight w:val="none"/>
          <w:lang w:eastAsia="zh-CN"/>
        </w:rPr>
        <w:t>。</w:t>
      </w:r>
    </w:p>
    <w:p w14:paraId="708731C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6.3本项目不召开答疑会。</w:t>
      </w:r>
    </w:p>
    <w:p w14:paraId="2CF9F06B">
      <w:pPr>
        <w:spacing w:line="240" w:lineRule="auto"/>
        <w:jc w:val="center"/>
        <w:outlineLvl w:val="1"/>
        <w:rPr>
          <w:rFonts w:hint="eastAsia" w:ascii="宋体" w:hAnsi="宋体" w:eastAsia="宋体" w:cs="宋体"/>
          <w:b/>
          <w:color w:val="auto"/>
          <w:sz w:val="21"/>
          <w:szCs w:val="21"/>
          <w:highlight w:val="none"/>
        </w:rPr>
      </w:pPr>
      <w:bookmarkStart w:id="63" w:name="_Toc19185"/>
      <w:bookmarkStart w:id="64" w:name="_Toc13388"/>
      <w:r>
        <w:rPr>
          <w:rFonts w:hint="eastAsia" w:ascii="宋体" w:hAnsi="宋体" w:eastAsia="宋体" w:cs="宋体"/>
          <w:b/>
          <w:color w:val="auto"/>
          <w:sz w:val="21"/>
          <w:szCs w:val="21"/>
          <w:highlight w:val="none"/>
        </w:rPr>
        <w:t>三、投标文件</w:t>
      </w:r>
      <w:bookmarkEnd w:id="63"/>
      <w:bookmarkEnd w:id="64"/>
    </w:p>
    <w:p w14:paraId="3A59DC12">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7、投标文件的编制</w:t>
      </w:r>
    </w:p>
    <w:p w14:paraId="365ECCAC">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7.1投标语言：</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的投标文件以及</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与招标方就有关投标的所有来往函电均应使用中文。(注：</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所投产品及设备的相关资料非中文文本无效)</w:t>
      </w:r>
    </w:p>
    <w:p w14:paraId="63DE34D6">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7.2计量单位：中华人民共和国法定计量单位。</w:t>
      </w:r>
    </w:p>
    <w:p w14:paraId="3DDC16A8">
      <w:pPr>
        <w:spacing w:line="240" w:lineRule="auto"/>
        <w:ind w:firstLine="420" w:firstLineChars="200"/>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7.3投标文件应编排有序，并编制文件目录，准确标明文件内容所在位置</w:t>
      </w:r>
      <w:r>
        <w:rPr>
          <w:rFonts w:hint="eastAsia" w:ascii="宋体" w:hAnsi="宋体" w:eastAsia="宋体" w:cs="宋体"/>
          <w:color w:val="auto"/>
          <w:sz w:val="21"/>
          <w:szCs w:val="21"/>
          <w:highlight w:val="none"/>
          <w:lang w:eastAsia="zh-CN"/>
        </w:rPr>
        <w:t>。</w:t>
      </w:r>
    </w:p>
    <w:p w14:paraId="42CF11D8">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8、投标文件构成</w:t>
      </w:r>
    </w:p>
    <w:p w14:paraId="59EBEDD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应按照招标文件的规定和要求编制投标文件。</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编写的投标文件应包括的内容见“第六章投标文件构成及格式”要求。</w:t>
      </w:r>
    </w:p>
    <w:p w14:paraId="309E807E">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8.2</w:t>
      </w:r>
      <w:r>
        <w:rPr>
          <w:rFonts w:hint="eastAsia" w:ascii="宋体" w:hAnsi="宋体" w:eastAsia="宋体" w:cs="宋体"/>
          <w:color w:val="auto"/>
          <w:sz w:val="21"/>
          <w:szCs w:val="21"/>
          <w:highlight w:val="none"/>
        </w:rPr>
        <w:t>对于没有格式要求的部分由</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自行编写：</w:t>
      </w:r>
    </w:p>
    <w:p w14:paraId="086DC777">
      <w:pPr>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8.</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.1按第六章“投标文件构成、要求及格式”完整地填写“投标函”、“</w:t>
      </w:r>
      <w:r>
        <w:rPr>
          <w:rFonts w:hint="eastAsia" w:ascii="宋体" w:hAnsi="宋体" w:eastAsia="宋体" w:cs="宋体"/>
          <w:color w:val="auto"/>
          <w:sz w:val="21"/>
          <w:szCs w:val="21"/>
          <w:highlight w:val="none"/>
          <w:lang w:eastAsia="zh-CN"/>
        </w:rPr>
        <w:t>开标一览表</w:t>
      </w:r>
      <w:r>
        <w:rPr>
          <w:rFonts w:hint="eastAsia" w:ascii="宋体" w:hAnsi="宋体" w:eastAsia="宋体" w:cs="宋体"/>
          <w:color w:val="auto"/>
          <w:sz w:val="21"/>
          <w:szCs w:val="21"/>
          <w:highlight w:val="none"/>
        </w:rPr>
        <w:t>”和“商务条款偏离表和</w:t>
      </w:r>
      <w:r>
        <w:rPr>
          <w:rFonts w:hint="eastAsia" w:ascii="宋体" w:hAnsi="宋体" w:eastAsia="宋体" w:cs="宋体"/>
          <w:color w:val="auto"/>
          <w:sz w:val="21"/>
          <w:szCs w:val="21"/>
          <w:highlight w:val="none"/>
          <w:lang w:eastAsia="zh-CN"/>
        </w:rPr>
        <w:t>技术偏离及报价明细表</w:t>
      </w:r>
      <w:r>
        <w:rPr>
          <w:rFonts w:hint="eastAsia" w:ascii="宋体" w:hAnsi="宋体" w:eastAsia="宋体" w:cs="宋体"/>
          <w:color w:val="auto"/>
          <w:sz w:val="21"/>
          <w:szCs w:val="21"/>
          <w:highlight w:val="none"/>
        </w:rPr>
        <w:t>”。</w:t>
      </w:r>
    </w:p>
    <w:p w14:paraId="2F25FC8E">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.2证明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符合资格要求的文件：应具备第二章“</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须知”“合格</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”要求的投标资格，提供相关的资格证明文件以及第六章“投标文件构成、要求及格式”要求提供的其他文件。</w:t>
      </w:r>
    </w:p>
    <w:p w14:paraId="42158808">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.3证明货物合格性和符合招标文件规定的文件材料：</w:t>
      </w:r>
    </w:p>
    <w:p w14:paraId="104FF209">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逐条对招标文件要求的</w:t>
      </w:r>
      <w:r>
        <w:rPr>
          <w:rFonts w:hint="eastAsia" w:ascii="宋体" w:hAnsi="宋体" w:eastAsia="宋体" w:cs="宋体"/>
          <w:color w:val="auto"/>
          <w:sz w:val="21"/>
          <w:szCs w:val="21"/>
          <w:highlight w:val="none"/>
          <w:lang w:eastAsia="zh-CN"/>
        </w:rPr>
        <w:t>技术要求</w:t>
      </w:r>
      <w:r>
        <w:rPr>
          <w:rFonts w:hint="eastAsia" w:ascii="宋体" w:hAnsi="宋体" w:eastAsia="宋体" w:cs="宋体"/>
          <w:color w:val="auto"/>
          <w:sz w:val="21"/>
          <w:szCs w:val="21"/>
          <w:highlight w:val="none"/>
        </w:rPr>
        <w:t>进行应答，指出所提供的货物和服务是否对招标文件的要求做出了实质性响应，或说明与货物需求和技术规格要求的正负偏差和例外，详细填写“</w:t>
      </w:r>
      <w:r>
        <w:rPr>
          <w:rFonts w:hint="eastAsia" w:ascii="宋体" w:hAnsi="宋体" w:eastAsia="宋体" w:cs="宋体"/>
          <w:color w:val="auto"/>
          <w:sz w:val="21"/>
          <w:szCs w:val="21"/>
          <w:highlight w:val="none"/>
          <w:lang w:eastAsia="zh-CN"/>
        </w:rPr>
        <w:t>技术偏离及报价明细表</w:t>
      </w:r>
      <w:r>
        <w:rPr>
          <w:rFonts w:hint="eastAsia" w:ascii="宋体" w:hAnsi="宋体" w:eastAsia="宋体" w:cs="宋体"/>
          <w:color w:val="auto"/>
          <w:sz w:val="21"/>
          <w:szCs w:val="21"/>
          <w:highlight w:val="none"/>
        </w:rPr>
        <w:t>、商务条款偏离表”。</w:t>
      </w:r>
    </w:p>
    <w:p w14:paraId="7C84AA87">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9、投标报价</w:t>
      </w:r>
    </w:p>
    <w:p w14:paraId="206E880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9.1报价原则：</w:t>
      </w:r>
      <w:r>
        <w:rPr>
          <w:rFonts w:hint="eastAsia" w:ascii="宋体" w:hAnsi="宋体" w:eastAsia="宋体" w:cs="宋体"/>
          <w:color w:val="auto"/>
          <w:sz w:val="21"/>
          <w:szCs w:val="21"/>
          <w:highlight w:val="none"/>
          <w:lang w:val="en-US" w:eastAsia="zh-CN"/>
        </w:rPr>
        <w:t>详见前附表</w:t>
      </w:r>
      <w:r>
        <w:rPr>
          <w:rFonts w:hint="eastAsia" w:ascii="宋体" w:hAnsi="宋体" w:eastAsia="宋体" w:cs="宋体"/>
          <w:color w:val="auto"/>
          <w:sz w:val="21"/>
          <w:szCs w:val="21"/>
          <w:highlight w:val="none"/>
        </w:rPr>
        <w:t>。</w:t>
      </w:r>
    </w:p>
    <w:p w14:paraId="399F4A26">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所报的价格在合同执行过程中是固定不变的，不得以任何理由予以变更。以可调整的价格提交的投标将作为非响应性投标而予以拒绝。</w:t>
      </w:r>
    </w:p>
    <w:p w14:paraId="27AB36AA">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9.3</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报价应为优惠条件折算后的最终价格。评标过程中不再接受优惠条件的价格折算。</w:t>
      </w:r>
    </w:p>
    <w:p w14:paraId="65F7A900">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10、投标保证金（如有）</w:t>
      </w:r>
    </w:p>
    <w:p w14:paraId="09A6429C">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10.1投标保证金：</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应在投标截止时间前将投标保证金采用电汇、转账、支票、汇票、本票或者金融机构、担保机构出具的保函等形式交纳。（投标保证金应从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的基本账户中转出，保证金的交纳时间以到账时间为准）。</w:t>
      </w:r>
    </w:p>
    <w:p w14:paraId="2CC38B77">
      <w:pPr>
        <w:spacing w:line="240" w:lineRule="auto"/>
        <w:ind w:left="13" w:leftChars="6" w:firstLine="464" w:firstLineChars="221"/>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10.2投标保证金是为了弥补采购人因</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的违规行为而蒙受的损失。采购人在因</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的违规行为而受到损害时将没收</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的投标保证金作为所受损害的补偿。</w:t>
      </w:r>
    </w:p>
    <w:p w14:paraId="3112EF0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10.3投标保证金是投标文件的一个组成部分，没有按要求提交投标保证金的投标，将被视为非响应性投标予以拒绝。</w:t>
      </w:r>
    </w:p>
    <w:p w14:paraId="3B2AC536">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10.4</w:t>
      </w:r>
      <w:r>
        <w:rPr>
          <w:rFonts w:hint="eastAsia" w:ascii="宋体" w:hAnsi="宋体" w:eastAsia="宋体" w:cs="宋体"/>
          <w:color w:val="auto"/>
          <w:sz w:val="21"/>
          <w:szCs w:val="21"/>
          <w:highlight w:val="none"/>
          <w:lang w:val="en-US" w:eastAsia="zh-CN"/>
        </w:rPr>
        <w:t>未中</w:t>
      </w:r>
      <w:r>
        <w:rPr>
          <w:rFonts w:hint="eastAsia" w:ascii="宋体" w:hAnsi="宋体" w:eastAsia="宋体" w:cs="宋体"/>
          <w:color w:val="auto"/>
          <w:sz w:val="21"/>
          <w:szCs w:val="21"/>
          <w:highlight w:val="none"/>
        </w:rPr>
        <w:t>标人的投标保证金在中标通知书发出后5个工作日内退还，不计利息。</w:t>
      </w:r>
    </w:p>
    <w:p w14:paraId="325A906A">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10.5中标人的投标保证金，在中标人按规定签署合同，并交纳了履约保证金后5个工作日予以退还，不计利息。</w:t>
      </w:r>
    </w:p>
    <w:p w14:paraId="64B42255">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10.6中标供应商有下列情况之一的，采购人和采购代理机构不予退还其交纳的投标保证金：</w:t>
      </w:r>
    </w:p>
    <w:p w14:paraId="64F55C9E">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在招标文件规定的投标有效期内撤回其投标；</w:t>
      </w:r>
    </w:p>
    <w:p w14:paraId="6C1F9DA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（2）中标人未按规定提交履约保证金的；</w:t>
      </w:r>
    </w:p>
    <w:p w14:paraId="482DBDDE">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（3）中标人未按规定时间、地点与采购人签订合同的；</w:t>
      </w:r>
    </w:p>
    <w:p w14:paraId="4C7F7430">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存在严重违法行为：如提供虚假材料谋取中标，恶意串通，以及行贿或者提供其他不正当利益等；</w:t>
      </w:r>
    </w:p>
    <w:p w14:paraId="411AEC8F">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（5）招标文件规定不予退还投标保证金的其他情形。</w:t>
      </w:r>
    </w:p>
    <w:p w14:paraId="60FA81FA">
      <w:pPr>
        <w:spacing w:line="240" w:lineRule="auto"/>
        <w:ind w:firstLine="422" w:firstLineChars="200"/>
        <w:jc w:val="left"/>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11、投标有效期</w:t>
      </w:r>
    </w:p>
    <w:p w14:paraId="4E6BC046">
      <w:pPr>
        <w:spacing w:line="240" w:lineRule="auto"/>
        <w:ind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11.1投标有效期为自开标之时起90天，投标文件在这个规定期限内应保持有效。</w:t>
      </w:r>
    </w:p>
    <w:p w14:paraId="028E9803">
      <w:pPr>
        <w:spacing w:line="240" w:lineRule="auto"/>
        <w:ind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11.2在特殊情况下，</w:t>
      </w:r>
      <w:r>
        <w:rPr>
          <w:rFonts w:hint="eastAsia" w:ascii="宋体" w:hAnsi="宋体" w:eastAsia="宋体" w:cs="宋体"/>
          <w:color w:val="auto"/>
          <w:sz w:val="21"/>
          <w:szCs w:val="21"/>
          <w:highlight w:val="none"/>
          <w:lang w:val="en-US" w:eastAsia="zh-CN"/>
        </w:rPr>
        <w:t>采购单位</w:t>
      </w:r>
      <w:r>
        <w:rPr>
          <w:rFonts w:hint="eastAsia" w:ascii="宋体" w:hAnsi="宋体" w:eastAsia="宋体" w:cs="宋体"/>
          <w:color w:val="auto"/>
          <w:sz w:val="21"/>
          <w:szCs w:val="21"/>
          <w:highlight w:val="none"/>
        </w:rPr>
        <w:t>可与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协商延长投标有效期</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可以拒绝接受延期要求而不会被没收投标保证金。同意延长投标有效期的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除按照要求修改投标文件的有效期外，不能修改投标文件的其他内容。</w:t>
      </w:r>
    </w:p>
    <w:p w14:paraId="3660D121">
      <w:pPr>
        <w:spacing w:line="240" w:lineRule="auto"/>
        <w:ind w:firstLine="422" w:firstLineChars="200"/>
        <w:jc w:val="left"/>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12、</w:t>
      </w:r>
      <w:r>
        <w:rPr>
          <w:rFonts w:hint="eastAsia" w:ascii="宋体" w:hAnsi="宋体" w:eastAsia="宋体" w:cs="宋体"/>
          <w:b/>
          <w:bCs/>
          <w:color w:val="auto"/>
          <w:szCs w:val="21"/>
          <w:highlight w:val="none"/>
        </w:rPr>
        <w:t>投标文件的</w:t>
      </w:r>
      <w:r>
        <w:rPr>
          <w:rFonts w:hint="eastAsia" w:ascii="宋体" w:hAnsi="宋体" w:eastAsia="宋体" w:cs="宋体"/>
          <w:b/>
          <w:bCs/>
          <w:color w:val="auto"/>
          <w:szCs w:val="21"/>
          <w:highlight w:val="none"/>
          <w:lang w:eastAsia="zh-CN"/>
        </w:rPr>
        <w:t>编制</w:t>
      </w:r>
      <w:r>
        <w:rPr>
          <w:rFonts w:hint="eastAsia" w:ascii="宋体" w:hAnsi="宋体" w:eastAsia="宋体" w:cs="宋体"/>
          <w:b/>
          <w:bCs/>
          <w:color w:val="auto"/>
          <w:szCs w:val="21"/>
          <w:highlight w:val="none"/>
        </w:rPr>
        <w:t>和签署</w:t>
      </w:r>
    </w:p>
    <w:p w14:paraId="51A4CD4B">
      <w:pPr>
        <w:spacing w:line="240" w:lineRule="auto"/>
        <w:ind w:firstLine="420" w:firstLineChars="200"/>
        <w:jc w:val="left"/>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12.1</w:t>
      </w:r>
      <w:r>
        <w:rPr>
          <w:rFonts w:hint="eastAsia" w:ascii="宋体" w:hAnsi="宋体" w:eastAsia="宋体" w:cs="宋体"/>
          <w:color w:val="auto"/>
          <w:sz w:val="21"/>
          <w:szCs w:val="21"/>
          <w:highlight w:val="none"/>
          <w:lang w:eastAsia="zh-CN"/>
        </w:rPr>
        <w:t>投标文件应按招标文件要求的投标文件格式编制并使用下载的政采云投标客户端（下载链接：https://customer.zcygov.cn/CA-driver-download?utm=web-login-front.52cebfa2.0.0.04df4040034511edaac705fda12edb43）制作并上传，上传的投标文件文本格式未按照电子化采购系统要求制作，出现乱码等情况不能进行评审的，其投标无效。</w:t>
      </w:r>
    </w:p>
    <w:p w14:paraId="136268B0">
      <w:pPr>
        <w:spacing w:line="240" w:lineRule="auto"/>
        <w:ind w:firstLine="420" w:firstLineChars="200"/>
        <w:jc w:val="left"/>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12.2</w:t>
      </w:r>
      <w:r>
        <w:rPr>
          <w:rFonts w:hint="eastAsia" w:ascii="宋体" w:hAnsi="宋体" w:eastAsia="宋体" w:cs="宋体"/>
          <w:color w:val="auto"/>
          <w:sz w:val="21"/>
          <w:szCs w:val="21"/>
          <w:highlight w:val="none"/>
          <w:lang w:eastAsia="zh-CN"/>
        </w:rPr>
        <w:t>招标文件要求的投标文件格式中须加盖单位公章的部分均采用CA签章，并根据规定的格式和顺序编制电子投标文件并进行关联定位，以便评标委员会在评审时，点击评分项可直接定位到该评分项内容。如对招标文件的某项要求，投标单位的电子投标文件未能关联定位提供相应的内容与其对应，则评标委员会在评审时如做出对投标单位不利的评审由投标单位自行承担。电子投标文件如内容不完整、编排混乱导致投标文件被误读、漏读，或者在按招标文件规定的部位查找不到相关内容的，由投标单位自行承担。</w:t>
      </w:r>
    </w:p>
    <w:p w14:paraId="4A0DE3EE">
      <w:pPr>
        <w:spacing w:line="240" w:lineRule="auto"/>
        <w:ind w:firstLine="420" w:firstLineChars="200"/>
        <w:jc w:val="left"/>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12.3</w:t>
      </w:r>
      <w:r>
        <w:rPr>
          <w:rFonts w:hint="eastAsia" w:ascii="宋体" w:hAnsi="宋体" w:eastAsia="宋体" w:cs="宋体"/>
          <w:color w:val="auto"/>
          <w:sz w:val="21"/>
          <w:szCs w:val="21"/>
          <w:highlight w:val="none"/>
          <w:lang w:eastAsia="zh-CN"/>
        </w:rPr>
        <w:t>供应商法定代表人或主要负责人或其授权代表持有政采云个人CA签章的，应在投标文件中涉及到签字的位置使用个人CA签章，没有办理政采云个人CA签章的可在投标文件中涉及到签字的位置手写签字后扫描或者拍照做成 PDF 的格式上传即可，</w:t>
      </w:r>
      <w:r>
        <w:rPr>
          <w:rFonts w:hint="eastAsia" w:ascii="宋体" w:hAnsi="宋体" w:eastAsia="宋体" w:cs="宋体"/>
          <w:color w:val="auto"/>
          <w:sz w:val="21"/>
          <w:szCs w:val="21"/>
          <w:highlight w:val="none"/>
          <w:lang w:val="en-US" w:eastAsia="zh-CN"/>
        </w:rPr>
        <w:t>但签字内容须清晰可辨</w:t>
      </w:r>
      <w:r>
        <w:rPr>
          <w:rFonts w:hint="eastAsia" w:ascii="宋体" w:hAnsi="宋体" w:eastAsia="宋体" w:cs="宋体"/>
          <w:color w:val="auto"/>
          <w:sz w:val="21"/>
          <w:szCs w:val="21"/>
          <w:highlight w:val="none"/>
          <w:lang w:eastAsia="zh-CN"/>
        </w:rPr>
        <w:t xml:space="preserve">。 </w:t>
      </w:r>
    </w:p>
    <w:p w14:paraId="5A761696">
      <w:pPr>
        <w:spacing w:line="240" w:lineRule="auto"/>
        <w:ind w:firstLine="420" w:firstLineChars="200"/>
        <w:jc w:val="left"/>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12.4</w:t>
      </w:r>
      <w:r>
        <w:rPr>
          <w:rFonts w:hint="eastAsia" w:ascii="宋体" w:hAnsi="宋体" w:eastAsia="宋体" w:cs="宋体"/>
          <w:color w:val="auto"/>
          <w:sz w:val="21"/>
          <w:szCs w:val="21"/>
          <w:highlight w:val="none"/>
          <w:lang w:eastAsia="zh-CN"/>
        </w:rPr>
        <w:t>投标文件不得涂改，若有修改错漏处，须法定代表人或主要负责人或其授权代表签字（或个人CA签章）。文件加盖CA签章时，请勿遮挡文件中关键信息。投标文件因字迹潦草或表达不清所引起的后果由投标单位负责。</w:t>
      </w:r>
    </w:p>
    <w:p w14:paraId="01F89EFF">
      <w:pPr>
        <w:spacing w:line="240" w:lineRule="auto"/>
        <w:ind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12.5</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应按本招标文件规定的格式和顺序编制投标文件并编制完整的页码、目录，投标文件内容不完整、编排混乱导致投标文件被误读、漏读或者查找不到相关内容的，由</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自行负责。</w:t>
      </w:r>
    </w:p>
    <w:p w14:paraId="50563E87">
      <w:pPr>
        <w:spacing w:line="240" w:lineRule="auto"/>
        <w:ind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12.6</w:t>
      </w:r>
      <w:r>
        <w:rPr>
          <w:rFonts w:hint="eastAsia" w:ascii="宋体" w:hAnsi="宋体" w:eastAsia="宋体" w:cs="宋体"/>
          <w:color w:val="auto"/>
          <w:sz w:val="21"/>
          <w:szCs w:val="21"/>
          <w:highlight w:val="none"/>
        </w:rPr>
        <w:t>投标文件按照招标文件“第</w:t>
      </w:r>
      <w:r>
        <w:rPr>
          <w:rFonts w:hint="eastAsia" w:ascii="宋体" w:hAnsi="宋体" w:eastAsia="宋体" w:cs="宋体"/>
          <w:color w:val="auto"/>
          <w:sz w:val="21"/>
          <w:szCs w:val="21"/>
          <w:highlight w:val="none"/>
          <w:lang w:val="en-US" w:eastAsia="zh-CN"/>
        </w:rPr>
        <w:t>六</w:t>
      </w:r>
      <w:r>
        <w:rPr>
          <w:rFonts w:hint="eastAsia" w:ascii="宋体" w:hAnsi="宋体" w:eastAsia="宋体" w:cs="宋体"/>
          <w:color w:val="auto"/>
          <w:sz w:val="21"/>
          <w:szCs w:val="21"/>
          <w:highlight w:val="none"/>
        </w:rPr>
        <w:t>章投标文件构成、要求及格式”要求在规定位置进行签署、盖章。</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的投标文件未按照招标文件要求签署、盖章的，其投标无效。</w:t>
      </w:r>
    </w:p>
    <w:p w14:paraId="7F2B6AF1">
      <w:pPr>
        <w:spacing w:line="240" w:lineRule="auto"/>
        <w:ind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12.7</w:t>
      </w:r>
      <w:r>
        <w:rPr>
          <w:rFonts w:hint="eastAsia" w:ascii="宋体" w:hAnsi="宋体" w:eastAsia="宋体" w:cs="宋体"/>
          <w:color w:val="auto"/>
          <w:sz w:val="21"/>
          <w:szCs w:val="21"/>
          <w:highlight w:val="none"/>
        </w:rPr>
        <w:t>为确保网上操作合法、有效和安全，</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应当在投标文件递交截止时间前完成在政采云平台的身份认证，确保在电子投标过程中能够对相关数据电文进行加密和使用电子签名。</w:t>
      </w:r>
    </w:p>
    <w:p w14:paraId="2B61DD66">
      <w:pPr>
        <w:spacing w:line="240" w:lineRule="auto"/>
        <w:ind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12.8</w:t>
      </w:r>
      <w:r>
        <w:rPr>
          <w:rFonts w:hint="eastAsia" w:ascii="宋体" w:hAnsi="宋体" w:eastAsia="宋体" w:cs="宋体"/>
          <w:color w:val="auto"/>
          <w:sz w:val="21"/>
          <w:szCs w:val="21"/>
          <w:highlight w:val="none"/>
        </w:rPr>
        <w:t>投标文件中标注的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名称应与主体资格证明（如营业执照、事业单位法人证书、执业许可证、个体工商户营业执照、自然人身份证等）和公章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电子签章一致，否则作无效投标处理。</w:t>
      </w:r>
    </w:p>
    <w:p w14:paraId="306669C3">
      <w:pPr>
        <w:spacing w:line="240" w:lineRule="auto"/>
        <w:ind w:firstLine="413" w:firstLineChars="196"/>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13、投标文件的修改和撤回</w:t>
      </w:r>
    </w:p>
    <w:p w14:paraId="05915832">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13.1</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lang w:val="zh-CN"/>
        </w:rPr>
        <w:t>应当在</w:t>
      </w:r>
      <w:r>
        <w:rPr>
          <w:rFonts w:hint="eastAsia" w:ascii="宋体" w:hAnsi="宋体" w:eastAsia="宋体" w:cs="宋体"/>
          <w:color w:val="auto"/>
          <w:sz w:val="21"/>
          <w:szCs w:val="21"/>
          <w:highlight w:val="none"/>
          <w:lang w:val="en-US" w:eastAsia="zh-CN"/>
        </w:rPr>
        <w:t>开标</w:t>
      </w:r>
      <w:r>
        <w:rPr>
          <w:rFonts w:hint="eastAsia" w:ascii="宋体" w:hAnsi="宋体" w:eastAsia="宋体" w:cs="宋体"/>
          <w:color w:val="auto"/>
          <w:sz w:val="21"/>
          <w:szCs w:val="21"/>
          <w:highlight w:val="none"/>
          <w:lang w:val="zh-CN"/>
        </w:rPr>
        <w:t>截止时间前完成</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rPr>
        <w:t>文件的传输递交，并可以补充、修改或者撤回</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rPr>
        <w:t>文件。补充或者修改</w:t>
      </w:r>
      <w:r>
        <w:rPr>
          <w:rFonts w:hint="eastAsia" w:ascii="宋体" w:hAnsi="宋体" w:eastAsia="宋体" w:cs="宋体"/>
          <w:color w:val="auto"/>
          <w:sz w:val="21"/>
          <w:szCs w:val="21"/>
          <w:highlight w:val="none"/>
          <w:lang w:val="en-US" w:eastAsia="zh-CN"/>
        </w:rPr>
        <w:t>投标文件</w:t>
      </w:r>
      <w:r>
        <w:rPr>
          <w:rFonts w:hint="eastAsia" w:ascii="宋体" w:hAnsi="宋体" w:eastAsia="宋体" w:cs="宋体"/>
          <w:color w:val="auto"/>
          <w:sz w:val="21"/>
          <w:szCs w:val="21"/>
          <w:highlight w:val="none"/>
          <w:lang w:val="zh-CN"/>
        </w:rPr>
        <w:t>的，应当先行撤回原文件，补充、修改后重新传输递交。提交</w:t>
      </w:r>
      <w:r>
        <w:rPr>
          <w:rFonts w:hint="eastAsia" w:ascii="宋体" w:hAnsi="宋体" w:eastAsia="宋体" w:cs="宋体"/>
          <w:color w:val="auto"/>
          <w:sz w:val="21"/>
          <w:szCs w:val="21"/>
          <w:highlight w:val="none"/>
          <w:lang w:val="en-US" w:eastAsia="zh-CN"/>
        </w:rPr>
        <w:t>投标文件</w:t>
      </w:r>
      <w:r>
        <w:rPr>
          <w:rFonts w:hint="eastAsia" w:ascii="宋体" w:hAnsi="宋体" w:eastAsia="宋体" w:cs="宋体"/>
          <w:color w:val="auto"/>
          <w:sz w:val="21"/>
          <w:szCs w:val="21"/>
          <w:highlight w:val="none"/>
          <w:lang w:val="zh-CN"/>
        </w:rPr>
        <w:t>截止时间前未完成传输的，视为撤回投标文件。提交</w:t>
      </w:r>
      <w:r>
        <w:rPr>
          <w:rFonts w:hint="eastAsia" w:ascii="宋体" w:hAnsi="宋体" w:eastAsia="宋体" w:cs="宋体"/>
          <w:color w:val="auto"/>
          <w:sz w:val="21"/>
          <w:szCs w:val="21"/>
          <w:highlight w:val="none"/>
          <w:lang w:val="en-US" w:eastAsia="zh-CN"/>
        </w:rPr>
        <w:t>投标文件</w:t>
      </w:r>
      <w:r>
        <w:rPr>
          <w:rFonts w:hint="eastAsia" w:ascii="宋体" w:hAnsi="宋体" w:eastAsia="宋体" w:cs="宋体"/>
          <w:color w:val="auto"/>
          <w:sz w:val="21"/>
          <w:szCs w:val="21"/>
          <w:highlight w:val="none"/>
          <w:lang w:val="zh-CN"/>
        </w:rPr>
        <w:t>截止时间后递交的</w:t>
      </w:r>
      <w:r>
        <w:rPr>
          <w:rFonts w:hint="eastAsia" w:ascii="宋体" w:hAnsi="宋体" w:eastAsia="宋体" w:cs="宋体"/>
          <w:color w:val="auto"/>
          <w:sz w:val="21"/>
          <w:szCs w:val="21"/>
          <w:highlight w:val="none"/>
          <w:lang w:val="en-US" w:eastAsia="zh-CN"/>
        </w:rPr>
        <w:t>投标文件</w:t>
      </w:r>
      <w:r>
        <w:rPr>
          <w:rFonts w:hint="eastAsia" w:ascii="宋体" w:hAnsi="宋体" w:eastAsia="宋体" w:cs="宋体"/>
          <w:color w:val="auto"/>
          <w:sz w:val="21"/>
          <w:szCs w:val="21"/>
          <w:highlight w:val="none"/>
          <w:lang w:val="zh-CN"/>
        </w:rPr>
        <w:t>，政采云平台将拒收</w:t>
      </w:r>
      <w:r>
        <w:rPr>
          <w:rFonts w:hint="eastAsia" w:ascii="宋体" w:hAnsi="宋体" w:eastAsia="宋体" w:cs="宋体"/>
          <w:color w:val="auto"/>
          <w:sz w:val="21"/>
          <w:szCs w:val="21"/>
          <w:highlight w:val="none"/>
        </w:rPr>
        <w:t>。</w:t>
      </w:r>
    </w:p>
    <w:p w14:paraId="3B124979">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14、投标</w:t>
      </w:r>
    </w:p>
    <w:p w14:paraId="3CDA747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14.1</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必须在招标文件规定的提交投标文件截止时间前提交电子版投标文件。电子投标文件应在制作完成后，在提交投标文件截止时间前通过有效数字证书（CA锁）进行电子签章、加密，然后通过网络将加密的电子投标文件递交至政采云平台。</w:t>
      </w:r>
    </w:p>
    <w:p w14:paraId="47827D7D">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14.2</w:t>
      </w:r>
      <w:r>
        <w:rPr>
          <w:rFonts w:hint="eastAsia" w:ascii="宋体" w:hAnsi="宋体" w:eastAsia="宋体" w:cs="宋体"/>
          <w:color w:val="auto"/>
          <w:sz w:val="21"/>
          <w:szCs w:val="21"/>
          <w:highlight w:val="none"/>
        </w:rPr>
        <w:t xml:space="preserve">未在规定时间内提交投标文件或者未按照招标文件要求签章、加密的电子投标文件，政采云平台将拒收。 </w:t>
      </w:r>
    </w:p>
    <w:p w14:paraId="64968FC2">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14.3</w:t>
      </w:r>
      <w:r>
        <w:rPr>
          <w:rFonts w:hint="eastAsia" w:ascii="宋体" w:hAnsi="宋体" w:eastAsia="宋体" w:cs="宋体"/>
          <w:color w:val="auto"/>
          <w:sz w:val="21"/>
          <w:szCs w:val="21"/>
          <w:highlight w:val="none"/>
        </w:rPr>
        <w:t>在提交投标文件截止时间前，除</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补充、修改或者撤回投标文件外，任何单位和个人不得解密或提取投标文件。</w:t>
      </w:r>
    </w:p>
    <w:p w14:paraId="58B5A734">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14.4</w:t>
      </w:r>
      <w:r>
        <w:rPr>
          <w:rFonts w:hint="eastAsia" w:ascii="宋体" w:hAnsi="宋体" w:eastAsia="宋体" w:cs="宋体"/>
          <w:color w:val="auto"/>
          <w:sz w:val="21"/>
          <w:szCs w:val="21"/>
          <w:highlight w:val="none"/>
        </w:rPr>
        <w:t>在提交投标文件截止时间止提交电子版投标文件的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不足3家时，按</w:t>
      </w:r>
      <w:r>
        <w:rPr>
          <w:rFonts w:hint="eastAsia" w:ascii="宋体" w:hAnsi="宋体" w:eastAsia="宋体" w:cs="宋体"/>
          <w:color w:val="auto"/>
          <w:sz w:val="21"/>
          <w:szCs w:val="21"/>
          <w:highlight w:val="none"/>
          <w:lang w:val="en-US" w:eastAsia="zh-CN"/>
        </w:rPr>
        <w:t>否决</w:t>
      </w:r>
      <w:r>
        <w:rPr>
          <w:rFonts w:hint="eastAsia" w:ascii="宋体" w:hAnsi="宋体" w:eastAsia="宋体" w:cs="宋体"/>
          <w:color w:val="auto"/>
          <w:sz w:val="21"/>
          <w:szCs w:val="21"/>
          <w:highlight w:val="none"/>
        </w:rPr>
        <w:t>处理。</w:t>
      </w:r>
    </w:p>
    <w:p w14:paraId="3D01CCF5">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14.5</w:t>
      </w:r>
      <w:r>
        <w:rPr>
          <w:rFonts w:hint="eastAsia" w:ascii="宋体" w:hAnsi="宋体" w:eastAsia="宋体" w:cs="宋体"/>
          <w:color w:val="auto"/>
          <w:sz w:val="21"/>
          <w:szCs w:val="21"/>
          <w:highlight w:val="none"/>
        </w:rPr>
        <w:t>招标文件未允许同一</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提交两个或以上不同的投标文件，但存在同一</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提交两个或以上不同的投标文件的，其投标无效。</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在同一投标文件中对某项技术、商务要求提供有选择性的投标参数或方案等同于提交两个或以上不同的投标文件。</w:t>
      </w:r>
    </w:p>
    <w:p w14:paraId="4845270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14.6</w:t>
      </w:r>
      <w:r>
        <w:rPr>
          <w:rFonts w:hint="eastAsia" w:ascii="宋体" w:hAnsi="宋体" w:eastAsia="宋体" w:cs="宋体"/>
          <w:color w:val="auto"/>
          <w:sz w:val="21"/>
          <w:szCs w:val="21"/>
          <w:highlight w:val="none"/>
        </w:rPr>
        <w:t>本项目提交投标文件截止时间、开标时间和地点详见招标公告中规定。</w:t>
      </w:r>
    </w:p>
    <w:p w14:paraId="6090D610">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采购代理机构将按照招标文件规定的时间通过政采云平台组织线上开标、开启投标文件，所有</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均应当准时在线参加。</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如不参加开标会的，视同认可开标结果，事后不得对采购相关人员、开标过程和开标结果提出异议，同时</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因未在线参加开标而导致投标文件无法按时解密等一切后果由</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自己承担。</w:t>
      </w:r>
    </w:p>
    <w:p w14:paraId="52D5E5A2">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成功解密投标文件，但未在政采云电子开标大厅参加开标的</w:t>
      </w:r>
      <w:r>
        <w:rPr>
          <w:rFonts w:hint="eastAsia" w:ascii="宋体" w:hAnsi="宋体" w:eastAsia="宋体" w:cs="宋体"/>
          <w:color w:val="auto"/>
          <w:sz w:val="21"/>
          <w:szCs w:val="21"/>
          <w:highlight w:val="none"/>
          <w:lang w:val="en-US" w:eastAsia="zh-CN"/>
        </w:rPr>
        <w:t>或在开标过程未提出异议的</w:t>
      </w:r>
      <w:r>
        <w:rPr>
          <w:rFonts w:hint="eastAsia" w:ascii="宋体" w:hAnsi="宋体" w:eastAsia="宋体" w:cs="宋体"/>
          <w:color w:val="auto"/>
          <w:sz w:val="21"/>
          <w:szCs w:val="21"/>
          <w:highlight w:val="none"/>
        </w:rPr>
        <w:t>，视同认可开标过程和结果，由此产生的后果由</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自行负责。</w:t>
      </w:r>
    </w:p>
    <w:p w14:paraId="6E61CAFF">
      <w:pPr>
        <w:spacing w:line="240" w:lineRule="auto"/>
        <w:jc w:val="center"/>
        <w:outlineLvl w:val="1"/>
        <w:rPr>
          <w:rFonts w:hint="eastAsia" w:ascii="宋体" w:hAnsi="宋体" w:eastAsia="宋体" w:cs="宋体"/>
          <w:b/>
          <w:bCs/>
          <w:color w:val="auto"/>
          <w:sz w:val="21"/>
          <w:szCs w:val="21"/>
          <w:highlight w:val="none"/>
        </w:rPr>
      </w:pPr>
      <w:bookmarkStart w:id="65" w:name="_Toc25429"/>
      <w:bookmarkStart w:id="66" w:name="_Toc3960"/>
      <w:r>
        <w:rPr>
          <w:rFonts w:hint="eastAsia" w:ascii="宋体" w:hAnsi="宋体" w:eastAsia="宋体" w:cs="宋体"/>
          <w:b/>
          <w:bCs/>
          <w:color w:val="auto"/>
          <w:sz w:val="21"/>
          <w:szCs w:val="21"/>
          <w:highlight w:val="none"/>
        </w:rPr>
        <w:t>四、开标与评标</w:t>
      </w:r>
      <w:bookmarkEnd w:id="65"/>
      <w:bookmarkEnd w:id="66"/>
    </w:p>
    <w:p w14:paraId="5E67380F">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15、开标</w:t>
      </w:r>
    </w:p>
    <w:p w14:paraId="56A9568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15.1</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登录政采云平台进入开标大厅签到。请</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提前阅读《政府采购项目电子交易操作指南-供应商（政采云）》。</w:t>
      </w:r>
    </w:p>
    <w:p w14:paraId="662EEC7D">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15.2</w:t>
      </w:r>
      <w:r>
        <w:rPr>
          <w:rFonts w:hint="eastAsia" w:ascii="宋体" w:hAnsi="宋体" w:eastAsia="宋体" w:cs="宋体"/>
          <w:color w:val="auto"/>
          <w:sz w:val="21"/>
          <w:szCs w:val="21"/>
          <w:highlight w:val="none"/>
        </w:rPr>
        <w:t>解密电子投标文件。政采云平台按投标截止时间自动提取所有投标文件。采购代理机构在政采云平台向各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发出电子加密投标文件开始解密通知，由</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平台设置时间内自行进行投标文件解密。</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须使用加密时所用的CA锁准时登录到政采云平台电子开标大厅签到并对电子投标文件解密。投标截止后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未及时进行解密的，采购代理机构可通知</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。通知后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仍未在上述规定时间内解密投标文件，或者</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没有预留联系方式或预留联系方式无效导致采购代理机构无法联系到</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的，均视为无效投标。</w:t>
      </w:r>
    </w:p>
    <w:p w14:paraId="786A709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15.3</w:t>
      </w:r>
      <w:r>
        <w:rPr>
          <w:rFonts w:hint="eastAsia" w:ascii="宋体" w:hAnsi="宋体" w:eastAsia="宋体" w:cs="宋体"/>
          <w:color w:val="auto"/>
          <w:sz w:val="21"/>
          <w:szCs w:val="21"/>
          <w:highlight w:val="none"/>
        </w:rPr>
        <w:t>解密异常情况处理：电子交易活动的中止。招标过程中出现以下情形，导致电子交易平台无法正常运行，或者无法保证电子交易的公平、公正和安全时，采购代理机构可中止电子交易活动：</w:t>
      </w:r>
    </w:p>
    <w:p w14:paraId="380D88F6">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①电子交易平台发生故障而无法登录访问的； </w:t>
      </w:r>
    </w:p>
    <w:p w14:paraId="139A016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②电子交易平台应用或数据库出现错误，不能进行正常操作的；</w:t>
      </w:r>
    </w:p>
    <w:p w14:paraId="7485AD3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③电子交易平台发现严重安全漏洞，有潜在泄密危险的；</w:t>
      </w:r>
    </w:p>
    <w:p w14:paraId="60655BEA">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④电子化采购系统感染病毒不能进行正常操作的； </w:t>
      </w:r>
    </w:p>
    <w:p w14:paraId="119727ED">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⑤因电子化开评标场所停电、断网等原因，导致采购活动无法继续进行的；</w:t>
      </w:r>
    </w:p>
    <w:p w14:paraId="5886D833">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⑥其他无法保证电子化采购活动公平、公正和安全的情况。</w:t>
      </w:r>
    </w:p>
    <w:p w14:paraId="6D29A610">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出现以上情形，不影响采购公平、公正性的，采购代理机构可以待上述情形消除后继续组织电子交易活动；影响或可能影响采购公平、公正性的，经采购代理机构确认后，应当重新采购。采购代理机构必须对原有的资料及信息作出妥善保密处理，并报财政部门备案。 </w:t>
      </w:r>
    </w:p>
    <w:p w14:paraId="38178DDC">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15.4</w:t>
      </w:r>
      <w:r>
        <w:rPr>
          <w:rFonts w:hint="eastAsia" w:ascii="宋体" w:hAnsi="宋体" w:eastAsia="宋体" w:cs="宋体"/>
          <w:color w:val="auto"/>
          <w:sz w:val="21"/>
          <w:szCs w:val="21"/>
          <w:highlight w:val="none"/>
        </w:rPr>
        <w:t>特别说明：如遇政采云平台相关程序调整的，按调整后的程序执行。</w:t>
      </w:r>
    </w:p>
    <w:p w14:paraId="00808D5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15.5</w:t>
      </w:r>
      <w:r>
        <w:rPr>
          <w:rFonts w:hint="eastAsia" w:ascii="宋体" w:hAnsi="宋体" w:eastAsia="宋体" w:cs="宋体"/>
          <w:color w:val="auto"/>
          <w:sz w:val="21"/>
          <w:szCs w:val="21"/>
          <w:highlight w:val="none"/>
        </w:rPr>
        <w:t>开标时有下列情形之一的为无效投标：</w:t>
      </w:r>
    </w:p>
    <w:p w14:paraId="2DD8A97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①投标文件在规定的投标截止时间以后</w:t>
      </w:r>
      <w:r>
        <w:rPr>
          <w:rFonts w:hint="eastAsia" w:ascii="宋体" w:hAnsi="宋体" w:eastAsia="宋体" w:cs="宋体"/>
          <w:color w:val="auto"/>
          <w:sz w:val="21"/>
          <w:szCs w:val="21"/>
          <w:highlight w:val="none"/>
          <w:lang w:val="en-US" w:eastAsia="zh-CN"/>
        </w:rPr>
        <w:t>上传</w:t>
      </w:r>
      <w:r>
        <w:rPr>
          <w:rFonts w:hint="eastAsia" w:ascii="宋体" w:hAnsi="宋体" w:eastAsia="宋体" w:cs="宋体"/>
          <w:color w:val="auto"/>
          <w:sz w:val="21"/>
          <w:szCs w:val="21"/>
          <w:highlight w:val="none"/>
        </w:rPr>
        <w:t>的；</w:t>
      </w:r>
    </w:p>
    <w:p w14:paraId="0BD491B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②投标文件未按招标文件规定加密的；</w:t>
      </w:r>
    </w:p>
    <w:p w14:paraId="11139C7E">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③招标文件规定开标时属于无效投标的其他情形。</w:t>
      </w:r>
    </w:p>
    <w:p w14:paraId="03F3B6D0">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15.6</w:t>
      </w:r>
      <w:r>
        <w:rPr>
          <w:rFonts w:hint="eastAsia" w:ascii="宋体" w:hAnsi="宋体" w:eastAsia="宋体" w:cs="宋体"/>
          <w:color w:val="auto"/>
          <w:sz w:val="21"/>
          <w:szCs w:val="21"/>
          <w:highlight w:val="none"/>
        </w:rPr>
        <w:t>开标时有下列情形之一的，采购人有权宣布本项目</w:t>
      </w:r>
      <w:r>
        <w:rPr>
          <w:rFonts w:hint="eastAsia" w:ascii="宋体" w:hAnsi="宋体" w:eastAsia="宋体" w:cs="宋体"/>
          <w:color w:val="auto"/>
          <w:sz w:val="21"/>
          <w:szCs w:val="21"/>
          <w:highlight w:val="none"/>
          <w:lang w:val="en-US" w:eastAsia="zh-CN"/>
        </w:rPr>
        <w:t>流标</w:t>
      </w:r>
      <w:r>
        <w:rPr>
          <w:rFonts w:hint="eastAsia" w:ascii="宋体" w:hAnsi="宋体" w:eastAsia="宋体" w:cs="宋体"/>
          <w:color w:val="auto"/>
          <w:sz w:val="21"/>
          <w:szCs w:val="21"/>
          <w:highlight w:val="none"/>
        </w:rPr>
        <w:t>：</w:t>
      </w:r>
    </w:p>
    <w:p w14:paraId="0112DA12">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所有</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的报价均超过采购项目预算，采购人不能支付的。</w:t>
      </w:r>
    </w:p>
    <w:p w14:paraId="6E7EE424">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首次招标废标后将重新招标，重新招标仍出现本款情形的，按相关规定处理。</w:t>
      </w:r>
    </w:p>
    <w:p w14:paraId="7426303E">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16、评标过程的保密性</w:t>
      </w:r>
    </w:p>
    <w:p w14:paraId="7EB9E586">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16.1公开开标后，直至向中标的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授予合同时止，除按招标文件规定予以公开的评标结果外，凡与审查、澄清、评价和比较投标有关的资料以及授标意见等，均不得向</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及与评标无关的其他人透露。</w:t>
      </w:r>
    </w:p>
    <w:p w14:paraId="4D679878">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17、评标</w:t>
      </w:r>
    </w:p>
    <w:p w14:paraId="13505F26">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17.1采购代理机构负责组织评标工作，并履行下列职责：</w:t>
      </w:r>
    </w:p>
    <w:p w14:paraId="569A9AF8">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（一）核对评审专家和采购人代表身份，对评审专家在政府采购活动中的职责履行情况予以记录，并及时将有关违法违规行为向财政部门报告；</w:t>
      </w:r>
    </w:p>
    <w:p w14:paraId="697F7E4B">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（二）宣布评标纪律；</w:t>
      </w:r>
    </w:p>
    <w:p w14:paraId="2BD2FDCD">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（三）公布</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名单，告知评审专家应当回避的情形；</w:t>
      </w:r>
    </w:p>
    <w:p w14:paraId="4185BD26">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（四）组织评标委员会推选评标组长，采购人代表不得担任组长；</w:t>
      </w:r>
    </w:p>
    <w:p w14:paraId="2F218EED">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（五）在评标期间采取必要的通讯管理措施，保证评标活动不受外界干扰；</w:t>
      </w:r>
    </w:p>
    <w:p w14:paraId="1728C29A">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（六）根据评标委员会的要求介绍政府采购相关政策法规、招标文件；</w:t>
      </w:r>
    </w:p>
    <w:p w14:paraId="245A8073">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（七）维护评标秩序，监督评标委员会依照招标文件规定的评标程序、方法和标准进行独立评审，及时制止和纠正采购人代表、评审专家的倾向性言论或者违法违规行为；</w:t>
      </w:r>
    </w:p>
    <w:p w14:paraId="5809D25E">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（八）核对评标结果，有本办法第六十四条规定情形的，要求评标委员会复核或者书面说明理由，评标委员会拒绝的，应予记录并向本级财政部门报告；</w:t>
      </w:r>
    </w:p>
    <w:p w14:paraId="587EC205">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（九）评审工作完成后，按照规定向评审专家支付劳务报酬和异地评审差旅费，不得向评审专家以外的其他人员支付评审劳务报酬；</w:t>
      </w:r>
    </w:p>
    <w:p w14:paraId="03424F7E">
      <w:pPr>
        <w:spacing w:line="240" w:lineRule="auto"/>
        <w:ind w:firstLine="315" w:firstLineChars="1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（十）处理与评标有关的其他事项。</w:t>
      </w:r>
    </w:p>
    <w:p w14:paraId="212F8FF9">
      <w:pPr>
        <w:spacing w:line="240" w:lineRule="auto"/>
        <w:ind w:firstLine="525" w:firstLineChars="25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17.2采购人可以在评标前说明项目背景和采购需求，说明内容不得含有歧视性、倾向性意见，不得超出招标文件所述范围。说明应当提交书面材料，并随采购文件一并存档。</w:t>
      </w:r>
    </w:p>
    <w:p w14:paraId="38976A2A">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w:t>
      </w:r>
      <w:r>
        <w:rPr>
          <w:rFonts w:hint="eastAsia" w:ascii="宋体" w:hAnsi="宋体" w:eastAsia="宋体" w:cs="宋体"/>
          <w:color w:val="auto"/>
          <w:sz w:val="21"/>
          <w:szCs w:val="21"/>
          <w:highlight w:val="none"/>
          <w:lang w:val="zh-CN"/>
        </w:rPr>
        <w:t>评标委员会由评审专家和采购人代表组成。评标委员会的专家成员从</w:t>
      </w:r>
      <w:r>
        <w:rPr>
          <w:rFonts w:hint="eastAsia" w:ascii="宋体" w:hAnsi="宋体" w:eastAsia="宋体" w:cs="宋体"/>
          <w:color w:val="auto"/>
          <w:sz w:val="21"/>
          <w:szCs w:val="21"/>
          <w:highlight w:val="none"/>
          <w:lang w:val="en-US" w:eastAsia="zh-CN"/>
        </w:rPr>
        <w:t>政采云平台</w:t>
      </w:r>
      <w:r>
        <w:rPr>
          <w:rFonts w:hint="eastAsia" w:ascii="宋体" w:hAnsi="宋体" w:eastAsia="宋体" w:cs="宋体"/>
          <w:color w:val="auto"/>
          <w:sz w:val="21"/>
          <w:szCs w:val="21"/>
          <w:highlight w:val="none"/>
          <w:lang w:val="zh-CN"/>
        </w:rPr>
        <w:t>专家库中随机抽取产生，采购人代表由采购人委派。</w:t>
      </w:r>
      <w:r>
        <w:rPr>
          <w:rFonts w:hint="eastAsia" w:ascii="宋体" w:hAnsi="宋体" w:eastAsia="宋体" w:cs="宋体"/>
          <w:color w:val="auto"/>
          <w:sz w:val="21"/>
          <w:szCs w:val="21"/>
          <w:highlight w:val="none"/>
        </w:rPr>
        <w:t>评标委员会根据有关法律法规和招标文件规定的方法和标准独立评标，负责完成评标的全过程直至评定预中标人，成员人数应当为5人以上单数，其中评审专家不得少于成员总数的三分之二。</w:t>
      </w:r>
    </w:p>
    <w:p w14:paraId="23A8C2A3">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采购项目符合下列情形之一的，评标委员会成员人数应当为7人以上单数：</w:t>
      </w:r>
    </w:p>
    <w:p w14:paraId="48178000">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（一）采购预算金额在1000万元以上；</w:t>
      </w:r>
    </w:p>
    <w:p w14:paraId="2D6FFF8A">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（二）技术复杂；</w:t>
      </w:r>
    </w:p>
    <w:p w14:paraId="2D4DA8E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（三）社会影响较大。</w:t>
      </w:r>
    </w:p>
    <w:p w14:paraId="0CE54F39">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评标委员会负责具体评标事物，并独立履行下列职责：</w:t>
      </w:r>
    </w:p>
    <w:p w14:paraId="59DB933E">
      <w:pPr>
        <w:spacing w:line="240" w:lineRule="auto"/>
        <w:ind w:firstLine="420" w:firstLineChars="200"/>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（一）审查、评价投标文件是否符合招标文件的商务、技术等实质性要求；</w:t>
      </w:r>
    </w:p>
    <w:p w14:paraId="3E2089E6">
      <w:pPr>
        <w:spacing w:line="240" w:lineRule="auto"/>
        <w:ind w:firstLine="420" w:firstLineChars="200"/>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（二）要求供应商对投标文件有关事项作出澄清或者说明；</w:t>
      </w:r>
    </w:p>
    <w:p w14:paraId="4F897452">
      <w:pPr>
        <w:spacing w:line="240" w:lineRule="auto"/>
        <w:ind w:firstLine="420" w:firstLineChars="200"/>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（三）对投标文件进行比较和评价；</w:t>
      </w:r>
    </w:p>
    <w:p w14:paraId="5DE57392">
      <w:pPr>
        <w:spacing w:line="240" w:lineRule="auto"/>
        <w:ind w:firstLine="420" w:firstLineChars="200"/>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（四）确定中标候选人名单；</w:t>
      </w:r>
    </w:p>
    <w:p w14:paraId="410B7BF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（五）向采购人、采购代理机构或者有关部门报告评标中发现的违法行为</w:t>
      </w:r>
      <w:r>
        <w:rPr>
          <w:rFonts w:hint="eastAsia" w:ascii="宋体" w:hAnsi="宋体" w:eastAsia="宋体" w:cs="宋体"/>
          <w:color w:val="auto"/>
          <w:sz w:val="21"/>
          <w:szCs w:val="21"/>
          <w:highlight w:val="none"/>
        </w:rPr>
        <w:t>。</w:t>
      </w:r>
    </w:p>
    <w:p w14:paraId="239E2352">
      <w:pPr>
        <w:spacing w:line="240" w:lineRule="auto"/>
        <w:ind w:firstLine="316" w:firstLineChars="15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 18、政府采购进口产品的规定</w:t>
      </w:r>
    </w:p>
    <w:p w14:paraId="19BF444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必须投标本国产品，投标进口产品的为无效投标。</w:t>
      </w:r>
    </w:p>
    <w:p w14:paraId="7E5F6F38">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在中国境内生产或组装的外国品牌产品须标明该产品在中国国内制造厂商名称。否则，按进口产品对待。</w:t>
      </w:r>
    </w:p>
    <w:p w14:paraId="627580A5">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19、政府强制采购节能产品的规定</w:t>
      </w:r>
    </w:p>
    <w:p w14:paraId="524BB82F">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 xml:space="preserve">19.1 </w:t>
      </w:r>
      <w:r>
        <w:rPr>
          <w:rFonts w:hint="eastAsia" w:ascii="宋体" w:hAnsi="宋体" w:eastAsia="宋体" w:cs="宋体"/>
          <w:b/>
          <w:bCs/>
          <w:color w:val="auto"/>
          <w:sz w:val="21"/>
          <w:szCs w:val="21"/>
          <w:highlight w:val="none"/>
          <w:lang w:val="en-US" w:eastAsia="zh-CN"/>
        </w:rPr>
        <w:t>按照财政部、发展改革委、生态环境部、市场监管总局最新发布执行的《关于调整优化节能产品、环境标志产品政府采购执行机制的通知》的规定，《技术要求》中凡包含强制采购产品的，供应商必须提供认证证书，否则投标无效</w:t>
      </w:r>
      <w:r>
        <w:rPr>
          <w:rFonts w:hint="eastAsia" w:ascii="宋体" w:hAnsi="宋体" w:eastAsia="宋体" w:cs="宋体"/>
          <w:b/>
          <w:bCs/>
          <w:color w:val="auto"/>
          <w:sz w:val="21"/>
          <w:szCs w:val="21"/>
          <w:highlight w:val="none"/>
        </w:rPr>
        <w:t>。</w:t>
      </w:r>
    </w:p>
    <w:p w14:paraId="330DBC15">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 xml:space="preserve">19.2 </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eastAsia="zh-CN"/>
        </w:rPr>
        <w:t>技术要求</w:t>
      </w:r>
      <w:r>
        <w:rPr>
          <w:rFonts w:hint="eastAsia" w:ascii="宋体" w:hAnsi="宋体" w:eastAsia="宋体" w:cs="宋体"/>
          <w:b/>
          <w:bCs/>
          <w:color w:val="auto"/>
          <w:sz w:val="21"/>
          <w:szCs w:val="21"/>
          <w:highlight w:val="none"/>
        </w:rPr>
        <w:t>》中包含计算机设备的，供应商必须投标预装正版操作系统软件的计算机产品，否则无效。</w:t>
      </w:r>
    </w:p>
    <w:p w14:paraId="5748B69F">
      <w:pPr>
        <w:spacing w:line="240" w:lineRule="auto"/>
        <w:jc w:val="center"/>
        <w:outlineLvl w:val="1"/>
        <w:rPr>
          <w:rFonts w:hint="eastAsia" w:ascii="宋体" w:hAnsi="宋体" w:eastAsia="宋体" w:cs="宋体"/>
          <w:b/>
          <w:color w:val="auto"/>
          <w:sz w:val="21"/>
          <w:szCs w:val="21"/>
          <w:highlight w:val="none"/>
        </w:rPr>
      </w:pPr>
      <w:bookmarkStart w:id="67" w:name="_Toc24025"/>
      <w:bookmarkStart w:id="68" w:name="_Toc19797"/>
      <w:r>
        <w:rPr>
          <w:rFonts w:hint="eastAsia" w:ascii="宋体" w:hAnsi="宋体" w:eastAsia="宋体" w:cs="宋体"/>
          <w:b/>
          <w:color w:val="auto"/>
          <w:sz w:val="21"/>
          <w:szCs w:val="21"/>
          <w:highlight w:val="none"/>
        </w:rPr>
        <w:t>五、中标与合同</w:t>
      </w:r>
      <w:bookmarkEnd w:id="67"/>
      <w:bookmarkEnd w:id="68"/>
    </w:p>
    <w:p w14:paraId="3422A88B">
      <w:pPr>
        <w:spacing w:line="24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20、</w:t>
      </w:r>
      <w:bookmarkStart w:id="69" w:name="OLE_LINK3"/>
      <w:r>
        <w:rPr>
          <w:rFonts w:hint="eastAsia" w:ascii="宋体" w:hAnsi="宋体" w:eastAsia="宋体" w:cs="宋体"/>
          <w:b/>
          <w:color w:val="auto"/>
          <w:sz w:val="21"/>
          <w:szCs w:val="21"/>
          <w:highlight w:val="none"/>
        </w:rPr>
        <w:t>中标</w:t>
      </w:r>
    </w:p>
    <w:p w14:paraId="523E8F7F">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20.1采购代理机构应当在评标结束后2个工作日内将评标报告送采购人。</w:t>
      </w:r>
    </w:p>
    <w:p w14:paraId="2C88E6F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20.2 采购人应当自收到评标报告之日起5个工作日内，在评标报告确定的中标候选人名单中按顺序确定中标人。中标候选人并列的，采购人可采取随机抽取的方式确定。</w:t>
      </w:r>
    </w:p>
    <w:p w14:paraId="496BDE82">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20.3采购人在收到评标报告5个工作日内未按评标报告推荐的中标候选人顺序确定中标人，又不能说明合法理由的，视同按评标报告推荐的顺序确定排名第一的中标候选人为中标人。</w:t>
      </w:r>
    </w:p>
    <w:p w14:paraId="6C60C0B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20.4采购代理机构应当自评标委员会中标人确定之日起2个工作日内，在省级以上财政部门指定的媒体上公告中标结果，招标文件应当随中标结果同时公告。中标公告期限为1个工作日。</w:t>
      </w:r>
    </w:p>
    <w:p w14:paraId="78D52239">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20.5在公告中标结果的同时，采购代理机构向中标人发出中标通知书。</w:t>
      </w:r>
    </w:p>
    <w:bookmarkEnd w:id="69"/>
    <w:p w14:paraId="30CC5A64">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21、授标时更改货物数量的权利</w:t>
      </w:r>
    </w:p>
    <w:p w14:paraId="02BC0A9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21.1采购人在授予合同时有权在一定幅度内对《货物需求及技术规格》中规定的货物数量和服务予以增加或减少，但不得改变单价和其他条款和条件。</w:t>
      </w:r>
    </w:p>
    <w:p w14:paraId="363478AB">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21.2按照《中华人民共和国政府采购法》的规定，在合同履行中，采购人需要追加与合同标的物相同的货物、工程或者服务的，在不改变合同其他条款的前提下，可以与中标人签订补充合同，但所有补充合同的采购金额不得超过原合同采购金额的10%。</w:t>
      </w:r>
    </w:p>
    <w:p w14:paraId="1DEC3729">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22、签订合同</w:t>
      </w:r>
    </w:p>
    <w:p w14:paraId="1B98D740">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 中标通知书发出后，采购人不得违法改变中标结果，中标人无正当理由不得放弃中标。</w:t>
      </w:r>
    </w:p>
    <w:p w14:paraId="7EDACBD9">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22.2若</w:t>
      </w:r>
      <w:r>
        <w:rPr>
          <w:rFonts w:hint="eastAsia" w:ascii="宋体" w:hAnsi="宋体" w:eastAsia="宋体" w:cs="宋体"/>
          <w:color w:val="auto"/>
          <w:sz w:val="21"/>
          <w:szCs w:val="21"/>
          <w:highlight w:val="none"/>
          <w:lang w:val="en-US" w:eastAsia="zh-CN"/>
        </w:rPr>
        <w:t>评标委员会</w:t>
      </w:r>
      <w:r>
        <w:rPr>
          <w:rFonts w:hint="eastAsia" w:ascii="宋体" w:hAnsi="宋体" w:eastAsia="宋体" w:cs="宋体"/>
          <w:color w:val="auto"/>
          <w:sz w:val="21"/>
          <w:szCs w:val="21"/>
          <w:highlight w:val="none"/>
        </w:rPr>
        <w:t>确定的中标供应商放弃中标或因不可抗力提出不能履行合同的，采购人有权选择重新采购，或者采购人依据</w:t>
      </w:r>
      <w:r>
        <w:rPr>
          <w:rFonts w:hint="eastAsia" w:ascii="宋体" w:hAnsi="宋体" w:eastAsia="宋体" w:cs="宋体"/>
          <w:color w:val="auto"/>
          <w:sz w:val="21"/>
          <w:szCs w:val="21"/>
          <w:highlight w:val="none"/>
          <w:lang w:val="en-US" w:eastAsia="zh-CN"/>
        </w:rPr>
        <w:t>评标委员会</w:t>
      </w:r>
      <w:r>
        <w:rPr>
          <w:rFonts w:hint="eastAsia" w:ascii="宋体" w:hAnsi="宋体" w:eastAsia="宋体" w:cs="宋体"/>
          <w:color w:val="auto"/>
          <w:sz w:val="21"/>
          <w:szCs w:val="21"/>
          <w:highlight w:val="none"/>
        </w:rPr>
        <w:t>确定的最终报价由低到高的顺序排名，确定排名第二的成交候选供应商为中标供应商，以此类推。</w:t>
      </w:r>
    </w:p>
    <w:p w14:paraId="789C51C8">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22.3</w:t>
      </w:r>
      <w:r>
        <w:rPr>
          <w:rFonts w:hint="eastAsia" w:ascii="宋体" w:hAnsi="宋体" w:eastAsia="宋体" w:cs="宋体"/>
          <w:color w:val="auto"/>
          <w:sz w:val="21"/>
          <w:szCs w:val="21"/>
          <w:highlight w:val="none"/>
        </w:rPr>
        <w:t>采购人应当自中标通知书发出之日起30日内，按照招标文件和中标人投标文件的规定，与中标人签订书面合同。所签订的合同不得对招标文件确定的事项和中标人投标文件作实质性修改。</w:t>
      </w:r>
    </w:p>
    <w:p w14:paraId="3530B0B1">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采购人不得向中标人提出任何不合理的要求作为签订合同的条件。</w:t>
      </w:r>
    </w:p>
    <w:p w14:paraId="45C3CA76">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 xml:space="preserve"> 根据《中华人民共和国政府采购法实施条例》采购人应当</w:t>
      </w:r>
      <w:r>
        <w:rPr>
          <w:rFonts w:hint="eastAsia" w:ascii="宋体" w:hAnsi="宋体" w:eastAsia="宋体" w:cs="宋体"/>
          <w:color w:val="auto"/>
          <w:sz w:val="21"/>
          <w:szCs w:val="21"/>
          <w:highlight w:val="none"/>
          <w:lang w:val="en-US" w:eastAsia="zh-CN"/>
        </w:rPr>
        <w:t>在</w:t>
      </w:r>
      <w:r>
        <w:rPr>
          <w:rFonts w:hint="eastAsia" w:ascii="宋体" w:hAnsi="宋体" w:eastAsia="宋体" w:cs="宋体"/>
          <w:color w:val="auto"/>
          <w:sz w:val="21"/>
          <w:szCs w:val="21"/>
          <w:highlight w:val="none"/>
        </w:rPr>
        <w:t>政府采购合同签订之日</w:t>
      </w:r>
      <w:r>
        <w:rPr>
          <w:rFonts w:hint="eastAsia" w:ascii="宋体" w:hAnsi="宋体" w:eastAsia="宋体" w:cs="宋体"/>
          <w:color w:val="auto"/>
          <w:sz w:val="21"/>
          <w:szCs w:val="21"/>
          <w:highlight w:val="none"/>
          <w:lang w:val="en-US" w:eastAsia="zh-CN"/>
        </w:rPr>
        <w:t>后</w:t>
      </w:r>
      <w:r>
        <w:rPr>
          <w:rFonts w:hint="eastAsia" w:ascii="宋体" w:hAnsi="宋体" w:eastAsia="宋体" w:cs="宋体"/>
          <w:color w:val="auto"/>
          <w:sz w:val="21"/>
          <w:szCs w:val="21"/>
          <w:highlight w:val="none"/>
        </w:rPr>
        <w:t>，将政府采购合同在省级以上人民政府财政部门指定的媒体上公告，但政府采购合同中涉及国家秘密、商业秘密的内容除外。</w:t>
      </w:r>
    </w:p>
    <w:p w14:paraId="434F7339">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23、保密和披露</w:t>
      </w:r>
    </w:p>
    <w:p w14:paraId="4D9BFBF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23.1 </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自购买招标文件之日起，须承诺承担本招标项目下的保密义务，不得将因本次招标获得的信息向第三人外传。</w:t>
      </w:r>
    </w:p>
    <w:p w14:paraId="16C5392E">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23.2 采购人有权将</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提供的所有资料向其他政府部门或有关的非政府机构负责评审标书的人员或与评标有关的人员披露。</w:t>
      </w:r>
    </w:p>
    <w:p w14:paraId="1BDCC7F7">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23.3 在下列情形下：当发布中标公告和其它公告时，当国家机关调查、审查、审计时，以及在其他符合法律规定的情形下，采购人无须事先征求</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/中标人同意而可以披露关于采购过程、投标文件、合同文本、合同签署情况的资料、</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/中标人的名称及地址、采购内容的有关信息以及补充条款等，并且对任何已经公布过的内容或与之内容相同的资料无须再承担保密责任。</w:t>
      </w:r>
    </w:p>
    <w:p w14:paraId="00E50CA4">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24、质疑和投诉</w:t>
      </w:r>
    </w:p>
    <w:p w14:paraId="2F7FD132">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认为招标文件、招标过程和中标结果使自己的合法权益受到损害的，应当在知道或者应知其权益受到损害之日起七个工作日内以书面形式（须加盖公章）{质疑书的具体内容详见《政府采购质疑和投诉办法》（第94号令）}通知采购代理机构向招标方提出质疑（如</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所参与项目须要在网上提交质疑程序，供应商须将纸质版质疑材料与网上提交质疑程序在同一工作日内进行，如出现日期不一致时，以两者中最后日期为准）。供应商应在法定质疑期内一次性提出针对同一采购程序环节的质疑。（质疑联系人：</w:t>
      </w:r>
      <w:r>
        <w:rPr>
          <w:rFonts w:hint="eastAsia" w:ascii="宋体" w:hAnsi="宋体" w:eastAsia="宋体" w:cs="宋体"/>
          <w:color w:val="auto"/>
          <w:sz w:val="21"/>
          <w:szCs w:val="21"/>
          <w:highlight w:val="none"/>
          <w:lang w:val="en-US" w:eastAsia="zh-CN"/>
        </w:rPr>
        <w:t>吉林省中泽云项目管理有限公司</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对采购人的质疑答复不满意或者采购人未在规定时间内作出答复的，可以在答复期满后十五个工作日内向同级采购监管部门投诉。</w:t>
      </w:r>
    </w:p>
    <w:p w14:paraId="4733A465">
      <w:pPr>
        <w:spacing w:line="24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24.2质疑书、投诉书均应明确阐述招标文件、招标过程和中标结果中使自己合法权益受到损害的实质性内容，提供相关事实、依据和证据及其来源或线索，便于有关单位调查、答复和处理。</w:t>
      </w:r>
    </w:p>
    <w:p w14:paraId="22B4F2E2">
      <w:pPr>
        <w:spacing w:line="240" w:lineRule="auto"/>
        <w:ind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25、采购代理服务费</w:t>
      </w:r>
    </w:p>
    <w:p w14:paraId="37CEB270">
      <w:pPr>
        <w:spacing w:line="240" w:lineRule="auto"/>
        <w:ind w:firstLine="420" w:firstLineChars="200"/>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采购代理服务费按国家发展改革委《关于进一步放开建设项目专业服务价格的通知》（发改价格〔2015〕299号），由采购代理机构向中标人收取。</w:t>
      </w:r>
      <w:r>
        <w:rPr>
          <w:rFonts w:hint="eastAsia" w:ascii="宋体" w:hAnsi="宋体" w:eastAsia="宋体" w:cs="宋体"/>
          <w:color w:val="auto"/>
          <w:sz w:val="21"/>
          <w:szCs w:val="21"/>
          <w:highlight w:val="none"/>
          <w:lang w:val="zh-CN"/>
        </w:rPr>
        <w:br w:type="page"/>
      </w:r>
    </w:p>
    <w:p w14:paraId="2A2D96D8">
      <w:pPr>
        <w:pStyle w:val="5"/>
        <w:bidi w:val="0"/>
        <w:spacing w:line="240" w:lineRule="auto"/>
        <w:jc w:val="center"/>
        <w:rPr>
          <w:rFonts w:hint="eastAsia" w:ascii="宋体" w:hAnsi="宋体" w:eastAsia="宋体" w:cs="宋体"/>
          <w:color w:val="auto"/>
          <w:sz w:val="36"/>
          <w:szCs w:val="36"/>
          <w:highlight w:val="none"/>
          <w:lang w:val="en-US" w:eastAsia="zh-CN"/>
        </w:rPr>
      </w:pPr>
      <w:bookmarkStart w:id="70" w:name="_Toc9393"/>
      <w:r>
        <w:rPr>
          <w:rFonts w:hint="eastAsia" w:ascii="宋体" w:hAnsi="宋体" w:eastAsia="宋体" w:cs="宋体"/>
          <w:color w:val="auto"/>
          <w:sz w:val="36"/>
          <w:szCs w:val="36"/>
          <w:highlight w:val="none"/>
          <w:lang w:val="zh-CN" w:eastAsia="zh-CN"/>
        </w:rPr>
        <w:t xml:space="preserve">第三章 </w:t>
      </w:r>
      <w:bookmarkStart w:id="71" w:name="_Toc179632627"/>
      <w:bookmarkStart w:id="72" w:name="_Toc247085767"/>
      <w:bookmarkStart w:id="73" w:name="_Toc246996995"/>
      <w:bookmarkStart w:id="74" w:name="_Toc246996252"/>
      <w:bookmarkStart w:id="75" w:name="_Toc144974577"/>
      <w:bookmarkStart w:id="76" w:name="_Toc152042387"/>
      <w:bookmarkStart w:id="77" w:name="_Toc152045609"/>
      <w:r>
        <w:rPr>
          <w:rFonts w:hint="eastAsia" w:ascii="宋体" w:hAnsi="宋体" w:eastAsia="宋体" w:cs="宋体"/>
          <w:color w:val="auto"/>
          <w:sz w:val="36"/>
          <w:szCs w:val="36"/>
          <w:highlight w:val="none"/>
          <w:lang w:val="en-US" w:eastAsia="zh-CN"/>
        </w:rPr>
        <w:t>评标办法</w:t>
      </w:r>
      <w:bookmarkEnd w:id="57"/>
      <w:bookmarkEnd w:id="58"/>
      <w:bookmarkEnd w:id="59"/>
      <w:bookmarkEnd w:id="60"/>
      <w:bookmarkEnd w:id="70"/>
      <w:bookmarkEnd w:id="71"/>
      <w:bookmarkEnd w:id="72"/>
      <w:bookmarkEnd w:id="73"/>
      <w:bookmarkEnd w:id="74"/>
      <w:bookmarkEnd w:id="75"/>
      <w:bookmarkEnd w:id="76"/>
      <w:bookmarkEnd w:id="77"/>
      <w:bookmarkStart w:id="78" w:name="_Toc2807"/>
      <w:bookmarkStart w:id="79" w:name="_Toc20332"/>
      <w:bookmarkStart w:id="80" w:name="_Toc28446"/>
      <w:bookmarkStart w:id="81" w:name="_Toc32564"/>
      <w:bookmarkStart w:id="82" w:name="_Toc12089"/>
      <w:bookmarkStart w:id="83" w:name="_Toc31131"/>
    </w:p>
    <w:p w14:paraId="567BCFF2">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按照国家相关部门的规定，遵循公开、公平、公正和诚实信用的原则，结合本招标项目的实际情况，制定本招标项目评标办法。</w:t>
      </w:r>
    </w:p>
    <w:p w14:paraId="6345D44C">
      <w:pPr>
        <w:spacing w:line="440" w:lineRule="exact"/>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一、评标程序</w:t>
      </w:r>
    </w:p>
    <w:p w14:paraId="0759E686">
      <w:pPr>
        <w:spacing w:line="44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（一）组成评标委员会</w:t>
      </w:r>
    </w:p>
    <w:p w14:paraId="1A039068">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按照国家有关部委及</w:t>
      </w:r>
      <w:r>
        <w:rPr>
          <w:rFonts w:hint="eastAsia" w:ascii="宋体" w:hAnsi="宋体" w:eastAsia="宋体" w:cs="宋体"/>
          <w:color w:val="auto"/>
          <w:sz w:val="21"/>
          <w:szCs w:val="21"/>
          <w:highlight w:val="none"/>
          <w:lang w:eastAsia="zh-CN"/>
        </w:rPr>
        <w:t>吉林</w:t>
      </w:r>
      <w:r>
        <w:rPr>
          <w:rFonts w:hint="eastAsia" w:ascii="宋体" w:hAnsi="宋体" w:eastAsia="宋体" w:cs="宋体"/>
          <w:color w:val="auto"/>
          <w:sz w:val="21"/>
          <w:szCs w:val="21"/>
          <w:highlight w:val="none"/>
        </w:rPr>
        <w:t>省的相关规定，从专家库中随机抽取技术、经济等方面的专家4人，采购人代表1人，共5人组成评标委员会（以下简称“评委会”）。为保证评标工作的顺利进行，推荐一名</w:t>
      </w:r>
      <w:r>
        <w:rPr>
          <w:rFonts w:hint="eastAsia" w:ascii="宋体" w:hAnsi="宋体" w:eastAsia="宋体" w:cs="宋体"/>
          <w:color w:val="auto"/>
          <w:sz w:val="21"/>
          <w:szCs w:val="21"/>
          <w:highlight w:val="none"/>
          <w:lang w:eastAsia="zh-CN"/>
        </w:rPr>
        <w:t>专家</w:t>
      </w:r>
      <w:r>
        <w:rPr>
          <w:rFonts w:hint="eastAsia" w:ascii="宋体" w:hAnsi="宋体" w:eastAsia="宋体" w:cs="宋体"/>
          <w:color w:val="auto"/>
          <w:sz w:val="21"/>
          <w:szCs w:val="21"/>
          <w:highlight w:val="none"/>
        </w:rPr>
        <w:t>担任评委会主任</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不得由采购人代表担任</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，负责评标全面工作。</w:t>
      </w:r>
    </w:p>
    <w:p w14:paraId="338FE2B2">
      <w:pPr>
        <w:pStyle w:val="89"/>
        <w:spacing w:line="44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（二）评审方法：最低评标价法</w:t>
      </w:r>
    </w:p>
    <w:p w14:paraId="6B055265">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最低评标价法，是指投标文件满足招标文件全部实质性要求，且投标报价最低的投标人为中标候选人的评标方法</w:t>
      </w:r>
      <w:r>
        <w:rPr>
          <w:rFonts w:hint="eastAsia" w:ascii="宋体" w:hAnsi="宋体" w:eastAsia="宋体" w:cs="宋体"/>
          <w:color w:val="auto"/>
          <w:sz w:val="21"/>
          <w:szCs w:val="21"/>
          <w:highlight w:val="none"/>
          <w:lang w:val="zh-CN"/>
        </w:rPr>
        <w:t>。</w:t>
      </w:r>
    </w:p>
    <w:p w14:paraId="3F048620">
      <w:pPr>
        <w:pStyle w:val="89"/>
        <w:spacing w:line="44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（三）评标工作</w:t>
      </w:r>
    </w:p>
    <w:p w14:paraId="10939205">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评标本着客观公正、公平竞争、择优推荐、规范合法的原则进行。评标工作分为资格审查、符合性审查和详细评审三个步骤。</w:t>
      </w:r>
    </w:p>
    <w:p w14:paraId="53AF8238">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1.资格审查。采购人或代理机构对各</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的资格进行审查。资格审查合格的</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方可进入符合性审查。不具备招标文件中规定的资格要求的，投标无效。合格</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不足3家的</w:t>
      </w:r>
      <w:r>
        <w:rPr>
          <w:rFonts w:hint="eastAsia" w:ascii="宋体" w:hAnsi="宋体" w:eastAsia="宋体" w:cs="宋体"/>
          <w:color w:val="auto"/>
          <w:sz w:val="21"/>
          <w:szCs w:val="21"/>
          <w:highlight w:val="none"/>
          <w:lang w:val="en-US" w:eastAsia="zh-CN"/>
        </w:rPr>
        <w:t>标包</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投标被否决，</w:t>
      </w:r>
      <w:r>
        <w:rPr>
          <w:rFonts w:hint="eastAsia" w:ascii="宋体" w:hAnsi="宋体" w:eastAsia="宋体" w:cs="宋体"/>
          <w:color w:val="auto"/>
          <w:sz w:val="21"/>
          <w:szCs w:val="21"/>
          <w:highlight w:val="none"/>
        </w:rPr>
        <w:t>采购人另行组织招标。</w:t>
      </w:r>
    </w:p>
    <w:p w14:paraId="5ACD2A9D">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2.符合性审查。评委会对</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的投标文件进行符合性审查。符合性审查合格的</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方可进入详细评审。有一项不符合的，投标无效。合格</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不足3家的</w:t>
      </w:r>
      <w:r>
        <w:rPr>
          <w:rFonts w:hint="eastAsia" w:ascii="宋体" w:hAnsi="宋体" w:eastAsia="宋体" w:cs="宋体"/>
          <w:color w:val="auto"/>
          <w:sz w:val="21"/>
          <w:szCs w:val="21"/>
          <w:highlight w:val="none"/>
          <w:lang w:val="en-US" w:eastAsia="zh-CN"/>
        </w:rPr>
        <w:t>标包</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投标被否决，</w:t>
      </w:r>
      <w:r>
        <w:rPr>
          <w:rFonts w:hint="eastAsia" w:ascii="宋体" w:hAnsi="宋体" w:eastAsia="宋体" w:cs="宋体"/>
          <w:color w:val="auto"/>
          <w:sz w:val="21"/>
          <w:szCs w:val="21"/>
          <w:highlight w:val="none"/>
        </w:rPr>
        <w:t>采购人另行组织招标。</w:t>
      </w:r>
    </w:p>
    <w:p w14:paraId="3E5552FE">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详细评审</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报价评审</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采用最低评标价法评标时，除了算术修正和落实政府采购政策需进行的价格扣除外，不能对投标人的投标价格进行任何调整。</w:t>
      </w:r>
    </w:p>
    <w:p w14:paraId="5EBDBD95">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1在投标过程中，评标委员会认为投标人的报价明显低于其他通过资格、符合性审查投标人的报价，有可能影响质量或者不能诚信履约的，应当要求其在现场合理的时间内提供书面说明，必要时提交相关证明材料；投标人不能证明其报价合理性的，评标委员会应当将其投标文件作无效处理。投标人的书面说明材料应当按照国家财务会计制度的规定要求，逐项就投标人提供的服务的主营业务成本、税金及附加、销售费用、管理费用、财务费用等成本构成事项详细陈述。</w:t>
      </w:r>
    </w:p>
    <w:p w14:paraId="02E33DB7">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 xml:space="preserve">2投标人书面说明应当签字确认或者加盖公章，否则无效。书面说明的签字确认，由其法定代表人或主要负责人或其授权代表签字确认。 </w:t>
      </w:r>
    </w:p>
    <w:p w14:paraId="3F723443">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3投标人提供书面说明后，评标委员会应当结合采购项目实际内容、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委员会应当将其投标文件作为无效处理。</w:t>
      </w:r>
    </w:p>
    <w:p w14:paraId="4059E1E8">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4.评标委员会发现有下列情形之一的，视为投标人串通投标，其投标无效：</w:t>
      </w:r>
    </w:p>
    <w:p w14:paraId="0EE699A3">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一、有下列情形之一的，属于投标人相互串通投标：</w:t>
      </w:r>
    </w:p>
    <w:p w14:paraId="3E41EEAD">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（一）投标人之间协商投标报价等投标文件的实质性内容；</w:t>
      </w:r>
    </w:p>
    <w:p w14:paraId="4852986B">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（二）投标人之间约定中标人；</w:t>
      </w:r>
    </w:p>
    <w:p w14:paraId="65F72C5E">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（三）投标人之间约定部分投标人放弃投标或者中标；</w:t>
      </w:r>
    </w:p>
    <w:p w14:paraId="563BCE6C">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（四）属于同一集团、协会、商会等组织成员的投标人按照该组织要求协同投标；</w:t>
      </w:r>
    </w:p>
    <w:p w14:paraId="1BD00D5F">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（五）投标人之间为谋取中标或者排斥特定投标人而采取的其他联合行动。</w:t>
      </w:r>
    </w:p>
    <w:p w14:paraId="62BEFCB2">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二、 有下列情形之一的，视为投标人相互串通投标：</w:t>
      </w:r>
    </w:p>
    <w:p w14:paraId="009FFC5E">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（一）不同投标人的投标文件由同一单位或者个人编制；</w:t>
      </w:r>
    </w:p>
    <w:p w14:paraId="522A1A68">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（二）不同投标人委托同一单位或者个人办理投标事宜；</w:t>
      </w:r>
    </w:p>
    <w:p w14:paraId="37AC56CB">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（三）不同投标人的投标文件载明的项目管理成员为同一人；</w:t>
      </w:r>
    </w:p>
    <w:p w14:paraId="6EDB6EA1">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（四）不同投标人的投标文件异常一致或者投标报价呈规律性差异；</w:t>
      </w:r>
    </w:p>
    <w:p w14:paraId="0DAA290A">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（五）不同投标人的投标文件相互混装；</w:t>
      </w:r>
    </w:p>
    <w:p w14:paraId="42140274">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（六）不同投标人的投标保证金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zh-CN" w:eastAsia="zh-CN"/>
        </w:rPr>
        <w:t>从同一单位或者个人的账户转出。</w:t>
      </w:r>
    </w:p>
    <w:p w14:paraId="1044B6E7">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三、有下列情形之一的，属于采购人与投标人串通投标：</w:t>
      </w:r>
    </w:p>
    <w:p w14:paraId="4F2997D0">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（一）采购人在开标前开启投标文件并将有关信息泄露给其他投标人;</w:t>
      </w:r>
    </w:p>
    <w:p w14:paraId="5A8908F4">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（二）采购人直接或者间接向投标人泄露标底、评标委员会成员等信息；</w:t>
      </w:r>
    </w:p>
    <w:p w14:paraId="1F5A9BD1">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（三）采购人明示或者暗示投标人压低或者抬高投标报价；</w:t>
      </w:r>
    </w:p>
    <w:p w14:paraId="7AA7959F">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（四）采购人授意投标人撤换、修改投标文件；</w:t>
      </w:r>
    </w:p>
    <w:p w14:paraId="12468709">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（五）采购人明示或者暗示投标人为特定投标人中标提供方便；</w:t>
      </w:r>
    </w:p>
    <w:p w14:paraId="3B0D7A03">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（六）采购人与投标人为谋求特定投标人中标而采取的其他串通行为。</w:t>
      </w:r>
    </w:p>
    <w:p w14:paraId="01742C9E">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注：经评标委员会评审合格投标人的家数不足三家，该项目废标，采购人有权委托采购代理机构重新组织招标。</w:t>
      </w:r>
    </w:p>
    <w:p w14:paraId="0F1C1C66">
      <w:pPr>
        <w:spacing w:line="44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（四）询标</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lang w:val="en-US" w:eastAsia="zh-CN"/>
        </w:rPr>
        <w:t>澄清</w:t>
      </w:r>
      <w:r>
        <w:rPr>
          <w:rFonts w:hint="eastAsia" w:ascii="宋体" w:hAnsi="宋体" w:eastAsia="宋体" w:cs="宋体"/>
          <w:b/>
          <w:color w:val="auto"/>
          <w:sz w:val="21"/>
          <w:szCs w:val="21"/>
          <w:highlight w:val="none"/>
        </w:rPr>
        <w:t>（必要时）</w:t>
      </w:r>
    </w:p>
    <w:p w14:paraId="504304F4">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评标委员会对投标文件需要澄清的问题，采用集体询标方式进行。</w:t>
      </w:r>
    </w:p>
    <w:p w14:paraId="212C7323">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对投标文件中含义不明确、同类问题表述不一致或者有明显文字和计算错误的内容，评标委员会可以</w:t>
      </w:r>
      <w:r>
        <w:rPr>
          <w:rFonts w:hint="eastAsia" w:ascii="宋体" w:hAnsi="宋体" w:eastAsia="宋体" w:cs="宋体"/>
          <w:color w:val="auto"/>
          <w:sz w:val="21"/>
          <w:szCs w:val="21"/>
          <w:highlight w:val="none"/>
          <w:lang w:val="en-US" w:eastAsia="zh-CN"/>
        </w:rPr>
        <w:t>政采云系统内</w:t>
      </w:r>
      <w:r>
        <w:rPr>
          <w:rFonts w:hint="eastAsia" w:ascii="宋体" w:hAnsi="宋体" w:eastAsia="宋体" w:cs="宋体"/>
          <w:color w:val="auto"/>
          <w:sz w:val="21"/>
          <w:szCs w:val="21"/>
          <w:highlight w:val="none"/>
          <w:lang w:val="zh-CN" w:eastAsia="zh-CN"/>
        </w:rPr>
        <w:t>要求投标人做出必要的澄清、说明或者纠正。投标人的澄清、说明或者补正不得超出投标文件的范围或者改变投标文件的实质性内容。</w:t>
      </w:r>
    </w:p>
    <w:p w14:paraId="30994DF3">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评标委员会将允许修正投标文件中不构成重大偏离的细微偏离，但这些修正应不会对实质上响应招标文件要求的投标人的竞争地位（相互排序）产生不公正的影响。</w:t>
      </w:r>
    </w:p>
    <w:p w14:paraId="0D5E7627">
      <w:pPr>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投标文件报价出现前后不一致的，除招标文件另有规定外，按照下列规定修正：（一）投标文件中开标一览表内容与投标文件中相应内容不一致的，以开标一览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规定的顺序修正。修正后的报价经投标人确认后产生约束力，投标人不确认的，其投标无效。</w:t>
      </w:r>
    </w:p>
    <w:p w14:paraId="5336CD40">
      <w:pPr>
        <w:spacing w:line="44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（五）推荐中标候选人</w:t>
      </w:r>
    </w:p>
    <w:p w14:paraId="0135837B">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评标委员会将按下述标准评定中标人：评标结果按投标报价由低到高顺序排列（落实政府采购政策后的价格参与排序）。投标报价相同的并列（中标候选人并列的，由评标委员会按照招标文件规定的方式确定中标人；招标文件未规定的，采取随机抽取的方式确定）。投标文件满足招标文件全部实质性要求且投标报价最低的投标人为排名第一的中标候选人。</w:t>
      </w:r>
    </w:p>
    <w:p w14:paraId="0EDBA587">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评标委员会成员对需要共同认定的事项存在争议的，应当按照少数服从多数的原则作出结论。持不同意见的评标委员会成员应当在评标报告上签署不同意见及理由，否则视为同意评标报告。</w:t>
      </w:r>
    </w:p>
    <w:p w14:paraId="06EB620E">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在评审时，将按下列规定计算价格扣除：</w:t>
      </w:r>
    </w:p>
    <w:p w14:paraId="61B13D58">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（1）对于列入财政部、发展改革委、生态环境部、市场监管总局发布的《节能产品、环境标志产品政府采购品目清单》但不属于国家强制采购的产品，对其投标价格给予3%的价格扣除。</w:t>
      </w:r>
    </w:p>
    <w:p w14:paraId="339CD969">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0628804D">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（3）投标产品同时列入上述多个清单的，将上述规定的价格扣除比例叠加后计算价格扣除。</w:t>
      </w:r>
    </w:p>
    <w:p w14:paraId="36966686">
      <w:pPr>
        <w:spacing w:line="440" w:lineRule="exact"/>
        <w:ind w:firstLine="420" w:firstLineChars="20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（4）价格扣除的依据：提供投标货物相关认证证书复印件加盖供应商公章。</w:t>
      </w:r>
    </w:p>
    <w:p w14:paraId="1E938722">
      <w:pPr>
        <w:numPr>
          <w:ilvl w:val="0"/>
          <w:numId w:val="0"/>
        </w:numPr>
        <w:spacing w:line="240" w:lineRule="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六</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政府采购政策</w:t>
      </w:r>
    </w:p>
    <w:p w14:paraId="64355670">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1.小型和微型企业产品价格扣除 </w:t>
      </w:r>
    </w:p>
    <w:p w14:paraId="3BFC1FC3">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(1) 根据财政部、工业和信息化部印发的《政府采购促进中小企业发展管理办法》（财库[2020]46 号）、《关于进一步加大政府采购支持中小企业力度的通知》（财库〔2022〕19 号）的规定，投标人所投全部产品均为小型、微型企业制造的，评标价格给予对应价格10%的扣除，用扣除后的价格参与评审。 </w:t>
      </w:r>
    </w:p>
    <w:p w14:paraId="07D0CCD5">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(2) 《政府采购促进中小企业发展管理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以《工业和信息化部、国家统计局、国家发展和改革委员会、财政部关于印发中小企业划型标准规定的通知》（工信部联企业[2011]300 号）规定的划分标准为准。小型、微型企业提供中型企业制造的货物的，视同为中型企业。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 </w:t>
      </w:r>
    </w:p>
    <w:p w14:paraId="2C3F5D00">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(3) 投标的货物全部均为小微企业制造的，需逐项填报，方可享受政策优惠;有任何一项货物为非小微企业制造的，不享受政策优惠，无需填报。 </w:t>
      </w:r>
    </w:p>
    <w:p w14:paraId="2267BE78">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(4) 监狱企业产品价格扣除 </w:t>
      </w:r>
    </w:p>
    <w:p w14:paraId="7C7E719E">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1）监狱企业视同小型、微型企业，按上述第（一）条款享受评审中价格扣除。 </w:t>
      </w:r>
    </w:p>
    <w:p w14:paraId="67FF597F">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2）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3C314822">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3）监狱企业参加政府采购活动时，应当提供由省级以上监狱管理局、戒毒管理局（含新疆生产建设兵团）出具的属于监狱企业的证明文件，否则不予认可。 </w:t>
      </w:r>
    </w:p>
    <w:p w14:paraId="2CC7DB0A">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(5) 残疾人福利性单位产品价格扣除 </w:t>
      </w:r>
    </w:p>
    <w:p w14:paraId="6DA1658C">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1）残疾人福利性单位视同小型、微型企业，按上述第（一）条款享受评审中价格扣除。 </w:t>
      </w:r>
    </w:p>
    <w:p w14:paraId="58FED3B5">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2）根据财政部、民政部、中国残疾人联合会印发的《关于促进残疾人就业政府采购政策的通知》（财库〔2017〕141 号）的规定，符合条件的残疾人福利性单位在参加政府采购活动时，应当提供该通知规定的《残疾人福利性单位声明函》（格式见第六章投标文件格式），并对声明的真实性负责。一旦中标将在中标公告中公告其声明函，接受社会监督。投标人提供的《残疾人福利性单位声明函》与事实不符的，依照《中华人民共和国政府采购法》第七十七条第一款的规定追究法律责任。 </w:t>
      </w:r>
    </w:p>
    <w:p w14:paraId="13C3BC04">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2.同时为小型、微型企业、监狱企业、残疾人福利性单位任两种或以上情况的，评审中只享受一次价格扣除，不重复进行价格扣除。 </w:t>
      </w:r>
    </w:p>
    <w:p w14:paraId="6F5A8425">
      <w:pPr>
        <w:spacing w:line="44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3.节能产品、环境标志产品价格扣除 </w:t>
      </w:r>
    </w:p>
    <w:p w14:paraId="06087DD4">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 拟采购产品属于节能产品政府采购品目清单规定必须强制采购的，实行强制采购。 如拟采购产品属于实施政府强制采购品目清单范围的节能产品，则投标人所投产品必须获得国家确定的认证机构出具的、处于有效期之内的节能产品认证证书，否则投标无效；</w:t>
      </w:r>
    </w:p>
    <w:p w14:paraId="2D147DF6">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(2) 本次采购产品在财政部、发展改革委、生态环境部、市场监管总局等部门最新发布的《节能产品政府采购品目清单》或《环境标志产品政府采购品目清单》的清单范围内但不属于国家强制采购的产品，对于具有国家确定的认证机构出具的、处于有效期之内的节能产品或环境标志产品认证证书的，对节能产品或环境标志产品的价格分别给予 3%的价格扣除。 </w:t>
      </w:r>
    </w:p>
    <w:p w14:paraId="14BDA0F6">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 属于品目清单范围内的节能或环境标志产品，应当提供国家确定的认证机构出具的、处于有效期之内的节能产品或环境标志产品认证证书复印件，并加盖投标人单位的公章。</w:t>
      </w:r>
    </w:p>
    <w:p w14:paraId="592029A4">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 采购项目中既包含清单中产品也包含非清单中产品的，只对列入清单的产品按其在总报价中所占的比例给予价格扣除。投标产品同时列入上述多个清单的，将上述规定的价格扣除比例叠加后计算价格扣除。</w:t>
      </w:r>
    </w:p>
    <w:p w14:paraId="1246BD69">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4.其他政策</w:t>
      </w:r>
    </w:p>
    <w:p w14:paraId="5FC6CF8D">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无线局域网产品政府采购实施意见》（财库〔2005〕366号）文件要求，对于列入《无线局域网认证产品政府采购清单》的产品，对其投标价格给予3%的价格扣除，投标文件内应提供相关证明材料复印件，否则不参与价格扣除。</w:t>
      </w:r>
    </w:p>
    <w:p w14:paraId="756CF4FA">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采购项目中既包含清单中产品也包含非清单中产品的，只对列入清单的产品按其在总报价中所占的比例给予价格扣除。投标产品同时列入上述多个清单的，将上述规定的价格扣除比例叠加后计算价格扣除。</w:t>
      </w:r>
    </w:p>
    <w:p w14:paraId="0B8BFF06">
      <w:pPr>
        <w:spacing w:line="440" w:lineRule="exact"/>
        <w:ind w:firstLine="420" w:firstLineChars="200"/>
        <w:rPr>
          <w:rFonts w:hint="eastAsia" w:ascii="宋体" w:hAnsi="宋体" w:eastAsia="宋体" w:cs="宋体"/>
          <w:color w:val="auto"/>
          <w:sz w:val="21"/>
          <w:szCs w:val="21"/>
          <w:highlight w:val="none"/>
          <w:lang w:val="en-US" w:eastAsia="zh-CN"/>
        </w:rPr>
      </w:pPr>
    </w:p>
    <w:p w14:paraId="6AF7EEF1">
      <w:pPr>
        <w:bidi w:val="0"/>
        <w:rPr>
          <w:rFonts w:hint="eastAsia" w:ascii="宋体" w:hAnsi="宋体" w:eastAsia="宋体" w:cs="宋体"/>
          <w:color w:val="auto"/>
          <w:highlight w:val="none"/>
          <w:lang w:val="en-US" w:eastAsia="zh-CN"/>
        </w:rPr>
      </w:pPr>
    </w:p>
    <w:p w14:paraId="0F7E31B0">
      <w:pPr>
        <w:bidi w:val="0"/>
        <w:rPr>
          <w:rFonts w:hint="eastAsia" w:ascii="宋体" w:hAnsi="宋体" w:eastAsia="宋体" w:cs="宋体"/>
          <w:color w:val="auto"/>
          <w:highlight w:val="none"/>
          <w:lang w:val="en-US" w:eastAsia="zh-CN"/>
        </w:rPr>
      </w:pPr>
    </w:p>
    <w:p w14:paraId="6B5CE9F1">
      <w:pPr>
        <w:bidi w:val="0"/>
        <w:rPr>
          <w:rFonts w:hint="eastAsia" w:ascii="宋体" w:hAnsi="宋体" w:eastAsia="宋体" w:cs="宋体"/>
          <w:color w:val="auto"/>
          <w:highlight w:val="none"/>
          <w:lang w:val="en-US" w:eastAsia="zh-CN"/>
        </w:rPr>
      </w:pPr>
    </w:p>
    <w:p w14:paraId="1A9A0DB3">
      <w:pP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br w:type="page"/>
      </w:r>
    </w:p>
    <w:p w14:paraId="0E319DBB">
      <w:pPr>
        <w:spacing w:line="440" w:lineRule="exact"/>
        <w:ind w:firstLine="422" w:firstLineChars="2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3.1</w:t>
      </w:r>
      <w:bookmarkEnd w:id="78"/>
      <w:bookmarkEnd w:id="79"/>
      <w:r>
        <w:rPr>
          <w:rFonts w:hint="eastAsia" w:ascii="宋体" w:hAnsi="宋体" w:eastAsia="宋体" w:cs="宋体"/>
          <w:b/>
          <w:bCs/>
          <w:color w:val="auto"/>
          <w:sz w:val="21"/>
          <w:szCs w:val="21"/>
          <w:highlight w:val="none"/>
          <w:lang w:val="en-US" w:eastAsia="zh-CN"/>
        </w:rPr>
        <w:t>资格审查表（不满足任何一项审查内容要求，资格审查即为不合格）</w:t>
      </w:r>
    </w:p>
    <w:p w14:paraId="2CB9EA43">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开标结束后，采购人或采购代理机构将依法对供应商的资格进行审查，并详细记录。合格供应商不足3家的，采购人另行组织招标。</w:t>
      </w:r>
    </w:p>
    <w:tbl>
      <w:tblPr>
        <w:tblStyle w:val="25"/>
        <w:tblW w:w="95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9"/>
        <w:gridCol w:w="2035"/>
        <w:gridCol w:w="6092"/>
        <w:gridCol w:w="965"/>
      </w:tblGrid>
      <w:tr w14:paraId="78682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479" w:type="dxa"/>
            <w:vAlign w:val="center"/>
          </w:tcPr>
          <w:p w14:paraId="5A71FF9A">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2035" w:type="dxa"/>
            <w:vAlign w:val="center"/>
          </w:tcPr>
          <w:p w14:paraId="47F46D90">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资格、资质性及其他类似效力要求</w:t>
            </w:r>
          </w:p>
        </w:tc>
        <w:tc>
          <w:tcPr>
            <w:tcW w:w="6092" w:type="dxa"/>
            <w:vAlign w:val="center"/>
          </w:tcPr>
          <w:p w14:paraId="326B9B02">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相关证明材料</w:t>
            </w:r>
          </w:p>
        </w:tc>
        <w:tc>
          <w:tcPr>
            <w:tcW w:w="965" w:type="dxa"/>
            <w:vAlign w:val="center"/>
          </w:tcPr>
          <w:p w14:paraId="450EDA6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w:t>
            </w:r>
          </w:p>
        </w:tc>
      </w:tr>
      <w:tr w14:paraId="18532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479" w:type="dxa"/>
            <w:vAlign w:val="center"/>
          </w:tcPr>
          <w:p w14:paraId="07459C91">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2035" w:type="dxa"/>
            <w:vAlign w:val="center"/>
          </w:tcPr>
          <w:p w14:paraId="03614E4B">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*营业执照</w:t>
            </w:r>
          </w:p>
        </w:tc>
        <w:tc>
          <w:tcPr>
            <w:tcW w:w="6092" w:type="dxa"/>
            <w:vAlign w:val="center"/>
          </w:tcPr>
          <w:p w14:paraId="600D25FA">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供应商须是在中华人民共和国境内注册的具有独立承担民事责任能力的法人、自然人或具备国家认可经营资格的其他组织，供应商具有有效的营业执照。</w:t>
            </w:r>
            <w:bookmarkStart w:id="84" w:name="OLE_LINK25"/>
            <w:bookmarkStart w:id="85" w:name="OLE_LINK23"/>
            <w:r>
              <w:rPr>
                <w:rFonts w:hint="eastAsia" w:ascii="宋体" w:hAnsi="宋体" w:eastAsia="宋体" w:cs="宋体"/>
                <w:bCs/>
                <w:color w:val="auto"/>
                <w:sz w:val="21"/>
                <w:szCs w:val="21"/>
                <w:highlight w:val="none"/>
                <w:lang w:val="zh-CN"/>
              </w:rPr>
              <w:t>注：按要求提供清晰的扫描件附于</w:t>
            </w:r>
            <w:r>
              <w:rPr>
                <w:rFonts w:hint="eastAsia" w:ascii="宋体" w:hAnsi="宋体" w:eastAsia="宋体" w:cs="宋体"/>
                <w:bCs/>
                <w:color w:val="auto"/>
                <w:sz w:val="21"/>
                <w:szCs w:val="21"/>
                <w:highlight w:val="none"/>
                <w:lang w:val="zh-CN" w:eastAsia="zh-CN"/>
              </w:rPr>
              <w:t>投标文件</w:t>
            </w:r>
            <w:r>
              <w:rPr>
                <w:rFonts w:hint="eastAsia" w:ascii="宋体" w:hAnsi="宋体" w:eastAsia="宋体" w:cs="宋体"/>
                <w:bCs/>
                <w:color w:val="auto"/>
                <w:sz w:val="21"/>
                <w:szCs w:val="21"/>
                <w:highlight w:val="none"/>
                <w:lang w:val="zh-CN"/>
              </w:rPr>
              <w:t>内并</w:t>
            </w:r>
            <w:bookmarkEnd w:id="84"/>
            <w:r>
              <w:rPr>
                <w:rFonts w:hint="eastAsia" w:ascii="宋体" w:hAnsi="宋体" w:eastAsia="宋体" w:cs="宋体"/>
                <w:bCs/>
                <w:color w:val="auto"/>
                <w:sz w:val="21"/>
                <w:szCs w:val="21"/>
                <w:highlight w:val="none"/>
                <w:lang w:val="zh-CN"/>
              </w:rPr>
              <w:t>加盖供应商公章。</w:t>
            </w:r>
            <w:bookmarkEnd w:id="85"/>
          </w:p>
        </w:tc>
        <w:tc>
          <w:tcPr>
            <w:tcW w:w="965" w:type="dxa"/>
            <w:vAlign w:val="center"/>
          </w:tcPr>
          <w:p w14:paraId="1ED328B4">
            <w:pPr>
              <w:jc w:val="center"/>
              <w:rPr>
                <w:rFonts w:hint="eastAsia" w:ascii="宋体" w:hAnsi="宋体" w:eastAsia="宋体" w:cs="宋体"/>
                <w:color w:val="auto"/>
                <w:sz w:val="21"/>
                <w:szCs w:val="21"/>
                <w:highlight w:val="none"/>
              </w:rPr>
            </w:pPr>
          </w:p>
        </w:tc>
      </w:tr>
      <w:tr w14:paraId="5DBCC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479" w:type="dxa"/>
            <w:vAlign w:val="center"/>
          </w:tcPr>
          <w:p w14:paraId="516EC250">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2035" w:type="dxa"/>
            <w:vAlign w:val="center"/>
          </w:tcPr>
          <w:p w14:paraId="15FAEB6B">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*具有履行合同所必须的设备和专业技术能力</w:t>
            </w:r>
          </w:p>
        </w:tc>
        <w:tc>
          <w:tcPr>
            <w:tcW w:w="6092" w:type="dxa"/>
            <w:vAlign w:val="center"/>
          </w:tcPr>
          <w:p w14:paraId="43A2391E">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提供供应商有关资格条件声明函(附格式)。注：按要求提供附于</w:t>
            </w:r>
            <w:r>
              <w:rPr>
                <w:rFonts w:hint="eastAsia" w:ascii="宋体" w:hAnsi="宋体" w:eastAsia="宋体" w:cs="宋体"/>
                <w:bCs/>
                <w:color w:val="auto"/>
                <w:sz w:val="21"/>
                <w:szCs w:val="21"/>
                <w:highlight w:val="none"/>
                <w:lang w:val="zh-CN" w:eastAsia="zh-CN"/>
              </w:rPr>
              <w:t>投标文件</w:t>
            </w:r>
            <w:r>
              <w:rPr>
                <w:rFonts w:hint="eastAsia" w:ascii="宋体" w:hAnsi="宋体" w:eastAsia="宋体" w:cs="宋体"/>
                <w:bCs/>
                <w:color w:val="auto"/>
                <w:sz w:val="21"/>
                <w:szCs w:val="21"/>
                <w:highlight w:val="none"/>
                <w:lang w:val="zh-CN"/>
              </w:rPr>
              <w:t>内并加盖供应商公章。</w:t>
            </w:r>
          </w:p>
        </w:tc>
        <w:tc>
          <w:tcPr>
            <w:tcW w:w="965" w:type="dxa"/>
          </w:tcPr>
          <w:p w14:paraId="18673F6D">
            <w:pPr>
              <w:jc w:val="center"/>
              <w:rPr>
                <w:rFonts w:hint="eastAsia" w:ascii="宋体" w:hAnsi="宋体" w:eastAsia="宋体" w:cs="宋体"/>
                <w:color w:val="auto"/>
                <w:sz w:val="21"/>
                <w:szCs w:val="21"/>
                <w:highlight w:val="none"/>
              </w:rPr>
            </w:pPr>
          </w:p>
        </w:tc>
      </w:tr>
      <w:tr w14:paraId="1C9D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479" w:type="dxa"/>
            <w:vAlign w:val="center"/>
          </w:tcPr>
          <w:p w14:paraId="4ECBE34D">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2035" w:type="dxa"/>
            <w:vAlign w:val="center"/>
          </w:tcPr>
          <w:p w14:paraId="2AA9890F">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*财务状况</w:t>
            </w:r>
          </w:p>
        </w:tc>
        <w:tc>
          <w:tcPr>
            <w:tcW w:w="6092" w:type="dxa"/>
            <w:vAlign w:val="center"/>
          </w:tcPr>
          <w:p w14:paraId="29233FD4">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供应商近一年度（2023年度）财务状况良好，具有经会计师事务所或审计机构出具的财务审计报告。注：提供近一年度（2023年度）经会计师事务所或审计机构审计的财务审计报告扫描件。（2024年1月1日起成立的企业无财务审计报告的须提供财务状况良好承诺书）。注：按要求提供清晰的扫描件附于</w:t>
            </w:r>
            <w:r>
              <w:rPr>
                <w:rFonts w:hint="eastAsia" w:ascii="宋体" w:hAnsi="宋体" w:eastAsia="宋体" w:cs="宋体"/>
                <w:bCs/>
                <w:color w:val="auto"/>
                <w:sz w:val="21"/>
                <w:szCs w:val="21"/>
                <w:highlight w:val="none"/>
                <w:lang w:val="zh-CN" w:eastAsia="zh-CN"/>
              </w:rPr>
              <w:t>投标文件</w:t>
            </w:r>
            <w:r>
              <w:rPr>
                <w:rFonts w:hint="eastAsia" w:ascii="宋体" w:hAnsi="宋体" w:eastAsia="宋体" w:cs="宋体"/>
                <w:bCs/>
                <w:color w:val="auto"/>
                <w:sz w:val="21"/>
                <w:szCs w:val="21"/>
                <w:highlight w:val="none"/>
                <w:lang w:val="zh-CN"/>
              </w:rPr>
              <w:t>内并加盖供应商公章。</w:t>
            </w:r>
          </w:p>
        </w:tc>
        <w:tc>
          <w:tcPr>
            <w:tcW w:w="965" w:type="dxa"/>
          </w:tcPr>
          <w:p w14:paraId="257FA870">
            <w:pPr>
              <w:jc w:val="center"/>
              <w:rPr>
                <w:rFonts w:hint="eastAsia" w:ascii="宋体" w:hAnsi="宋体" w:eastAsia="宋体" w:cs="宋体"/>
                <w:color w:val="auto"/>
                <w:sz w:val="21"/>
                <w:szCs w:val="21"/>
                <w:highlight w:val="none"/>
              </w:rPr>
            </w:pPr>
          </w:p>
        </w:tc>
      </w:tr>
      <w:tr w14:paraId="534F8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79" w:type="dxa"/>
            <w:vAlign w:val="center"/>
          </w:tcPr>
          <w:p w14:paraId="1DE789B8">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2035" w:type="dxa"/>
            <w:vAlign w:val="center"/>
          </w:tcPr>
          <w:p w14:paraId="6F072602">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*依法缴纳税收证明</w:t>
            </w:r>
          </w:p>
        </w:tc>
        <w:tc>
          <w:tcPr>
            <w:tcW w:w="6092" w:type="dxa"/>
            <w:vAlign w:val="center"/>
          </w:tcPr>
          <w:p w14:paraId="551B6853">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供应商2024年09月至投标截止时间前任意一个月具有依法缴纳税收的良好记录。注：提供依法缴纳税收(如未达到纳税金额提供承诺书或纳税申报相关材料)证明材料清晰的扫描件附于</w:t>
            </w:r>
            <w:r>
              <w:rPr>
                <w:rFonts w:hint="eastAsia" w:ascii="宋体" w:hAnsi="宋体" w:eastAsia="宋体" w:cs="宋体"/>
                <w:bCs/>
                <w:color w:val="auto"/>
                <w:sz w:val="21"/>
                <w:szCs w:val="21"/>
                <w:highlight w:val="none"/>
                <w:lang w:val="zh-CN" w:eastAsia="zh-CN"/>
              </w:rPr>
              <w:t>投标文件</w:t>
            </w:r>
            <w:r>
              <w:rPr>
                <w:rFonts w:hint="eastAsia" w:ascii="宋体" w:hAnsi="宋体" w:eastAsia="宋体" w:cs="宋体"/>
                <w:bCs/>
                <w:color w:val="auto"/>
                <w:sz w:val="21"/>
                <w:szCs w:val="21"/>
                <w:highlight w:val="none"/>
                <w:lang w:val="zh-CN"/>
              </w:rPr>
              <w:t>内并加盖供应商公章。</w:t>
            </w:r>
          </w:p>
        </w:tc>
        <w:tc>
          <w:tcPr>
            <w:tcW w:w="965" w:type="dxa"/>
          </w:tcPr>
          <w:p w14:paraId="346D9F5F">
            <w:pPr>
              <w:jc w:val="center"/>
              <w:rPr>
                <w:rFonts w:hint="eastAsia" w:ascii="宋体" w:hAnsi="宋体" w:eastAsia="宋体" w:cs="宋体"/>
                <w:color w:val="auto"/>
                <w:sz w:val="21"/>
                <w:szCs w:val="21"/>
                <w:highlight w:val="none"/>
              </w:rPr>
            </w:pPr>
          </w:p>
        </w:tc>
      </w:tr>
      <w:tr w14:paraId="6698A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79" w:type="dxa"/>
            <w:vAlign w:val="center"/>
          </w:tcPr>
          <w:p w14:paraId="01A118C0">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2035" w:type="dxa"/>
            <w:vAlign w:val="center"/>
          </w:tcPr>
          <w:p w14:paraId="4A3E40B5">
            <w:pPr>
              <w:spacing w:line="280" w:lineRule="exact"/>
              <w:jc w:val="left"/>
              <w:rPr>
                <w:rFonts w:hint="eastAsia" w:ascii="宋体" w:hAnsi="宋体" w:eastAsia="宋体" w:cs="宋体"/>
                <w:bCs/>
                <w:color w:val="auto"/>
                <w:sz w:val="21"/>
                <w:szCs w:val="21"/>
                <w:highlight w:val="none"/>
                <w:lang w:val="zh-CN"/>
              </w:rPr>
            </w:pPr>
            <w:bookmarkStart w:id="86" w:name="OLE_LINK26"/>
            <w:r>
              <w:rPr>
                <w:rFonts w:hint="eastAsia" w:ascii="宋体" w:hAnsi="宋体" w:eastAsia="宋体" w:cs="宋体"/>
                <w:bCs/>
                <w:color w:val="auto"/>
                <w:sz w:val="21"/>
                <w:szCs w:val="21"/>
                <w:highlight w:val="none"/>
                <w:lang w:val="zh-CN"/>
              </w:rPr>
              <w:t>*依法缴纳社会保障资金证明</w:t>
            </w:r>
            <w:bookmarkEnd w:id="86"/>
          </w:p>
        </w:tc>
        <w:tc>
          <w:tcPr>
            <w:tcW w:w="6092" w:type="dxa"/>
            <w:vAlign w:val="center"/>
          </w:tcPr>
          <w:p w14:paraId="051EB9EA">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供应商2024年09月至投标截止时间前任意一个月具有依法缴纳社会保障资金的良好记录。注：提供依法缴纳社会保障资金证明材料</w:t>
            </w:r>
            <w:bookmarkStart w:id="87" w:name="OLE_LINK24"/>
            <w:r>
              <w:rPr>
                <w:rFonts w:hint="eastAsia" w:ascii="宋体" w:hAnsi="宋体" w:eastAsia="宋体" w:cs="宋体"/>
                <w:bCs/>
                <w:color w:val="auto"/>
                <w:sz w:val="21"/>
                <w:szCs w:val="21"/>
                <w:highlight w:val="none"/>
                <w:lang w:val="zh-CN"/>
              </w:rPr>
              <w:t>清晰的扫描件附于</w:t>
            </w:r>
            <w:r>
              <w:rPr>
                <w:rFonts w:hint="eastAsia" w:ascii="宋体" w:hAnsi="宋体" w:eastAsia="宋体" w:cs="宋体"/>
                <w:bCs/>
                <w:color w:val="auto"/>
                <w:sz w:val="21"/>
                <w:szCs w:val="21"/>
                <w:highlight w:val="none"/>
                <w:lang w:val="zh-CN" w:eastAsia="zh-CN"/>
              </w:rPr>
              <w:t>投标文件</w:t>
            </w:r>
            <w:r>
              <w:rPr>
                <w:rFonts w:hint="eastAsia" w:ascii="宋体" w:hAnsi="宋体" w:eastAsia="宋体" w:cs="宋体"/>
                <w:bCs/>
                <w:color w:val="auto"/>
                <w:sz w:val="21"/>
                <w:szCs w:val="21"/>
                <w:highlight w:val="none"/>
                <w:lang w:val="zh-CN"/>
              </w:rPr>
              <w:t>内并加盖供应商公章。</w:t>
            </w:r>
            <w:bookmarkEnd w:id="87"/>
          </w:p>
        </w:tc>
        <w:tc>
          <w:tcPr>
            <w:tcW w:w="965" w:type="dxa"/>
          </w:tcPr>
          <w:p w14:paraId="3FF25419">
            <w:pPr>
              <w:jc w:val="center"/>
              <w:rPr>
                <w:rFonts w:hint="eastAsia" w:ascii="宋体" w:hAnsi="宋体" w:eastAsia="宋体" w:cs="宋体"/>
                <w:color w:val="auto"/>
                <w:sz w:val="21"/>
                <w:szCs w:val="21"/>
                <w:highlight w:val="none"/>
              </w:rPr>
            </w:pPr>
          </w:p>
        </w:tc>
      </w:tr>
      <w:tr w14:paraId="3E413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0" w:hRule="atLeast"/>
          <w:jc w:val="center"/>
        </w:trPr>
        <w:tc>
          <w:tcPr>
            <w:tcW w:w="479" w:type="dxa"/>
            <w:vAlign w:val="center"/>
          </w:tcPr>
          <w:p w14:paraId="26C89D6F">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2035" w:type="dxa"/>
            <w:vAlign w:val="center"/>
          </w:tcPr>
          <w:p w14:paraId="0CFACF5B">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*信誉要求</w:t>
            </w:r>
          </w:p>
        </w:tc>
        <w:tc>
          <w:tcPr>
            <w:tcW w:w="6092" w:type="dxa"/>
            <w:vAlign w:val="center"/>
          </w:tcPr>
          <w:p w14:paraId="256CE83D">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（1）参加政府采购活动前三年内，在经营活动中没有重大违法记录；注：供应商须提供经法定代表人签字并加盖供应商公章的参加政府采购活动前三年内在经营活动中没有重大违法记录的书面声明。</w:t>
            </w:r>
          </w:p>
          <w:p w14:paraId="044026BF">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招标公告发布之日起到投标文件提交截止时间期间）。注：</w:t>
            </w:r>
            <w:r>
              <w:rPr>
                <w:rFonts w:hint="eastAsia" w:ascii="宋体" w:hAnsi="宋体" w:eastAsia="宋体" w:cs="宋体"/>
                <w:bCs/>
                <w:color w:val="auto"/>
                <w:sz w:val="21"/>
                <w:szCs w:val="21"/>
                <w:highlight w:val="none"/>
                <w:lang w:val="en-US" w:eastAsia="zh-CN"/>
              </w:rPr>
              <w:t>序号（2）（3）</w:t>
            </w:r>
            <w:r>
              <w:rPr>
                <w:rFonts w:hint="eastAsia" w:ascii="宋体" w:hAnsi="宋体" w:eastAsia="宋体" w:cs="宋体"/>
                <w:bCs/>
                <w:color w:val="auto"/>
                <w:sz w:val="21"/>
                <w:szCs w:val="21"/>
                <w:highlight w:val="none"/>
                <w:lang w:val="zh-CN"/>
              </w:rPr>
              <w:t>供应商须提供信誉良好承诺书（格式自拟，须包含以上</w:t>
            </w:r>
            <w:r>
              <w:rPr>
                <w:rFonts w:hint="eastAsia" w:ascii="宋体" w:hAnsi="宋体" w:eastAsia="宋体" w:cs="宋体"/>
                <w:bCs/>
                <w:color w:val="auto"/>
                <w:sz w:val="21"/>
                <w:szCs w:val="21"/>
                <w:highlight w:val="none"/>
                <w:lang w:val="en-US" w:eastAsia="zh-CN"/>
              </w:rPr>
              <w:t>序号（2）（3）</w:t>
            </w:r>
            <w:r>
              <w:rPr>
                <w:rFonts w:hint="eastAsia" w:ascii="宋体" w:hAnsi="宋体" w:eastAsia="宋体" w:cs="宋体"/>
                <w:bCs/>
                <w:color w:val="auto"/>
                <w:sz w:val="21"/>
                <w:szCs w:val="21"/>
                <w:highlight w:val="none"/>
                <w:lang w:val="zh-CN"/>
              </w:rPr>
              <w:t>信誉要求全部内容）</w:t>
            </w:r>
            <w:bookmarkStart w:id="88" w:name="OLE_LINK27"/>
            <w:bookmarkStart w:id="89" w:name="OLE_LINK44"/>
            <w:r>
              <w:rPr>
                <w:rFonts w:hint="eastAsia" w:ascii="宋体" w:hAnsi="宋体" w:eastAsia="宋体" w:cs="宋体"/>
                <w:bCs/>
                <w:color w:val="auto"/>
                <w:sz w:val="21"/>
                <w:szCs w:val="21"/>
                <w:highlight w:val="none"/>
                <w:lang w:val="zh-CN"/>
              </w:rPr>
              <w:t>经法定代表人签字并</w:t>
            </w:r>
            <w:bookmarkEnd w:id="88"/>
            <w:r>
              <w:rPr>
                <w:rFonts w:hint="eastAsia" w:ascii="宋体" w:hAnsi="宋体" w:eastAsia="宋体" w:cs="宋体"/>
                <w:bCs/>
                <w:color w:val="auto"/>
                <w:sz w:val="21"/>
                <w:szCs w:val="21"/>
                <w:highlight w:val="none"/>
                <w:lang w:val="zh-CN"/>
              </w:rPr>
              <w:t>加盖供应商公章</w:t>
            </w:r>
            <w:bookmarkEnd w:id="89"/>
            <w:r>
              <w:rPr>
                <w:rFonts w:hint="eastAsia" w:ascii="宋体" w:hAnsi="宋体" w:eastAsia="宋体" w:cs="宋体"/>
                <w:bCs/>
                <w:color w:val="auto"/>
                <w:sz w:val="21"/>
                <w:szCs w:val="21"/>
                <w:highlight w:val="none"/>
                <w:lang w:val="zh-CN"/>
              </w:rPr>
              <w:t>。</w:t>
            </w:r>
          </w:p>
        </w:tc>
        <w:tc>
          <w:tcPr>
            <w:tcW w:w="965" w:type="dxa"/>
          </w:tcPr>
          <w:p w14:paraId="03F644E7">
            <w:pPr>
              <w:jc w:val="center"/>
              <w:rPr>
                <w:rFonts w:hint="eastAsia" w:ascii="宋体" w:hAnsi="宋体" w:eastAsia="宋体" w:cs="宋体"/>
                <w:color w:val="auto"/>
                <w:sz w:val="21"/>
                <w:szCs w:val="21"/>
                <w:highlight w:val="none"/>
              </w:rPr>
            </w:pPr>
          </w:p>
        </w:tc>
      </w:tr>
      <w:tr w14:paraId="5A90B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9" w:type="dxa"/>
            <w:vAlign w:val="center"/>
          </w:tcPr>
          <w:p w14:paraId="35387F7B">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2035" w:type="dxa"/>
            <w:vAlign w:val="center"/>
          </w:tcPr>
          <w:p w14:paraId="2F541AEF">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*其他要求</w:t>
            </w:r>
          </w:p>
        </w:tc>
        <w:tc>
          <w:tcPr>
            <w:tcW w:w="6092" w:type="dxa"/>
            <w:vAlign w:val="center"/>
          </w:tcPr>
          <w:p w14:paraId="35E443DE">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注：提供承诺书（格式自拟，须包含其他要求全部内容）经法定代表人签字并加盖供应商公章。</w:t>
            </w:r>
          </w:p>
          <w:p w14:paraId="17E48222">
            <w:pPr>
              <w:spacing w:line="28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lang w:val="zh-CN"/>
              </w:rPr>
              <w:t>）招投标过程中，投标单位所提供的所有证件均需在有效期内且注册单位名称与投标单位的名称一致，如企业名称发生变更，需提供主管部门出具的变更证明材料，否则不接受其供应商参与本次招标项目的投标。注：提供承诺书（格式自拟，须包含其他要求全部内容）经法定代表人签字并加盖供应商公章。</w:t>
            </w:r>
          </w:p>
        </w:tc>
        <w:tc>
          <w:tcPr>
            <w:tcW w:w="965" w:type="dxa"/>
          </w:tcPr>
          <w:p w14:paraId="77F589C2">
            <w:pPr>
              <w:jc w:val="center"/>
              <w:rPr>
                <w:rFonts w:hint="eastAsia" w:ascii="宋体" w:hAnsi="宋体" w:eastAsia="宋体" w:cs="宋体"/>
                <w:color w:val="auto"/>
                <w:sz w:val="21"/>
                <w:szCs w:val="21"/>
                <w:highlight w:val="none"/>
              </w:rPr>
            </w:pPr>
          </w:p>
        </w:tc>
      </w:tr>
    </w:tbl>
    <w:p w14:paraId="718F448F">
      <w:pPr>
        <w:rPr>
          <w:rFonts w:hint="eastAsia" w:ascii="宋体" w:hAnsi="宋体" w:eastAsia="宋体" w:cs="宋体"/>
          <w:b/>
          <w:bCs/>
          <w:color w:val="auto"/>
          <w:sz w:val="21"/>
          <w:szCs w:val="21"/>
          <w:highlight w:val="none"/>
          <w:lang w:val="en-US" w:eastAsia="zh-CN"/>
        </w:rPr>
      </w:pPr>
      <w:bookmarkStart w:id="90" w:name="_Toc21650"/>
      <w:bookmarkStart w:id="91" w:name="_Toc25170"/>
      <w:r>
        <w:rPr>
          <w:rFonts w:hint="eastAsia" w:ascii="宋体" w:hAnsi="宋体" w:eastAsia="宋体" w:cs="宋体"/>
          <w:b/>
          <w:bCs/>
          <w:color w:val="auto"/>
          <w:sz w:val="21"/>
          <w:szCs w:val="21"/>
          <w:highlight w:val="none"/>
          <w:lang w:val="en-US" w:eastAsia="zh-CN"/>
        </w:rPr>
        <w:br w:type="page"/>
      </w:r>
    </w:p>
    <w:p w14:paraId="1BB6DD25">
      <w:pPr>
        <w:spacing w:line="440" w:lineRule="exact"/>
        <w:ind w:firstLine="422" w:firstLineChars="2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3.2</w:t>
      </w:r>
      <w:bookmarkEnd w:id="90"/>
      <w:bookmarkEnd w:id="91"/>
      <w:r>
        <w:rPr>
          <w:rFonts w:hint="eastAsia" w:ascii="宋体" w:hAnsi="宋体" w:eastAsia="宋体" w:cs="宋体"/>
          <w:b/>
          <w:bCs/>
          <w:color w:val="auto"/>
          <w:sz w:val="21"/>
          <w:szCs w:val="21"/>
          <w:highlight w:val="none"/>
          <w:lang w:val="en-US" w:eastAsia="zh-CN"/>
        </w:rPr>
        <w:t>符合性审查表（不满足任何一项审查内容要求，符合性审查即为不合格）</w:t>
      </w:r>
    </w:p>
    <w:p w14:paraId="6B279282">
      <w:pPr>
        <w:spacing w:line="44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3.2.1 评标委员会将对符合资格的供应商的投标文件进行符合性审查，以确定其是否满足招标文件的实质性要求。</w:t>
      </w:r>
    </w:p>
    <w:tbl>
      <w:tblPr>
        <w:tblStyle w:val="25"/>
        <w:tblW w:w="94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1745"/>
        <w:gridCol w:w="5888"/>
        <w:gridCol w:w="985"/>
      </w:tblGrid>
      <w:tr w14:paraId="3ACAF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vAlign w:val="center"/>
          </w:tcPr>
          <w:p w14:paraId="3C529FDA">
            <w:pPr>
              <w:autoSpaceDE w:val="0"/>
              <w:autoSpaceDN w:val="0"/>
              <w:adjustRightInd w:val="0"/>
              <w:spacing w:line="300" w:lineRule="exact"/>
              <w:jc w:val="center"/>
              <w:rPr>
                <w:rFonts w:hint="eastAsia" w:ascii="宋体" w:hAnsi="宋体" w:eastAsia="宋体" w:cs="宋体"/>
                <w:color w:val="auto"/>
                <w:highlight w:val="none"/>
                <w:lang w:val="zh-CN"/>
              </w:rPr>
            </w:pPr>
            <w:r>
              <w:rPr>
                <w:rFonts w:hint="eastAsia" w:ascii="宋体" w:hAnsi="宋体" w:eastAsia="宋体" w:cs="宋体"/>
                <w:bCs/>
                <w:color w:val="auto"/>
                <w:highlight w:val="none"/>
                <w:lang w:val="zh-CN"/>
              </w:rPr>
              <w:t>序号</w:t>
            </w:r>
          </w:p>
        </w:tc>
        <w:tc>
          <w:tcPr>
            <w:tcW w:w="1745" w:type="dxa"/>
            <w:vAlign w:val="center"/>
          </w:tcPr>
          <w:p w14:paraId="5FCCF9EE">
            <w:pPr>
              <w:autoSpaceDE w:val="0"/>
              <w:autoSpaceDN w:val="0"/>
              <w:adjustRightInd w:val="0"/>
              <w:spacing w:line="300" w:lineRule="exact"/>
              <w:jc w:val="center"/>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评审因素</w:t>
            </w:r>
          </w:p>
        </w:tc>
        <w:tc>
          <w:tcPr>
            <w:tcW w:w="5888" w:type="dxa"/>
            <w:vAlign w:val="center"/>
          </w:tcPr>
          <w:p w14:paraId="2D73ADEB">
            <w:pPr>
              <w:autoSpaceDE w:val="0"/>
              <w:autoSpaceDN w:val="0"/>
              <w:adjustRightInd w:val="0"/>
              <w:spacing w:line="300" w:lineRule="exact"/>
              <w:jc w:val="center"/>
              <w:rPr>
                <w:rFonts w:hint="eastAsia" w:ascii="宋体" w:hAnsi="宋体" w:eastAsia="宋体" w:cs="宋体"/>
                <w:bCs/>
                <w:color w:val="auto"/>
                <w:highlight w:val="none"/>
                <w:lang w:val="zh-CN"/>
              </w:rPr>
            </w:pPr>
            <w:r>
              <w:rPr>
                <w:rFonts w:hint="eastAsia" w:ascii="宋体" w:hAnsi="宋体" w:eastAsia="宋体" w:cs="宋体"/>
                <w:bCs/>
                <w:color w:val="auto"/>
                <w:highlight w:val="none"/>
                <w:lang w:val="zh-CN"/>
              </w:rPr>
              <w:t>评审</w:t>
            </w:r>
            <w:r>
              <w:rPr>
                <w:rFonts w:hint="eastAsia" w:ascii="宋体" w:hAnsi="宋体" w:eastAsia="宋体" w:cs="宋体"/>
                <w:bCs/>
                <w:color w:val="auto"/>
                <w:highlight w:val="none"/>
              </w:rPr>
              <w:t>标准</w:t>
            </w:r>
          </w:p>
        </w:tc>
        <w:tc>
          <w:tcPr>
            <w:tcW w:w="985" w:type="dxa"/>
            <w:vAlign w:val="center"/>
          </w:tcPr>
          <w:p w14:paraId="3C69D943">
            <w:pPr>
              <w:autoSpaceDE w:val="0"/>
              <w:autoSpaceDN w:val="0"/>
              <w:adjustRightInd w:val="0"/>
              <w:spacing w:line="300" w:lineRule="exact"/>
              <w:jc w:val="center"/>
              <w:rPr>
                <w:rFonts w:hint="eastAsia" w:ascii="宋体" w:hAnsi="宋体" w:eastAsia="宋体" w:cs="宋体"/>
                <w:bCs/>
                <w:color w:val="auto"/>
                <w:highlight w:val="none"/>
              </w:rPr>
            </w:pPr>
            <w:r>
              <w:rPr>
                <w:rFonts w:hint="eastAsia" w:ascii="宋体" w:hAnsi="宋体" w:eastAsia="宋体" w:cs="宋体"/>
                <w:bCs/>
                <w:color w:val="auto"/>
                <w:highlight w:val="none"/>
              </w:rPr>
              <w:t>供应商</w:t>
            </w:r>
          </w:p>
        </w:tc>
      </w:tr>
      <w:tr w14:paraId="3F8A7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vAlign w:val="center"/>
          </w:tcPr>
          <w:p w14:paraId="466C1AF3">
            <w:pPr>
              <w:spacing w:line="300" w:lineRule="exact"/>
              <w:jc w:val="center"/>
              <w:rPr>
                <w:rFonts w:hint="eastAsia" w:ascii="宋体" w:hAnsi="宋体" w:eastAsia="宋体" w:cs="宋体"/>
                <w:color w:val="auto"/>
                <w:szCs w:val="21"/>
                <w:highlight w:val="none"/>
                <w:lang w:val="zh-CN"/>
              </w:rPr>
            </w:pPr>
            <w:r>
              <w:rPr>
                <w:rFonts w:hint="eastAsia" w:ascii="宋体" w:hAnsi="宋体" w:eastAsia="宋体" w:cs="宋体"/>
                <w:color w:val="auto"/>
                <w:highlight w:val="none"/>
              </w:rPr>
              <w:t>1</w:t>
            </w:r>
          </w:p>
        </w:tc>
        <w:tc>
          <w:tcPr>
            <w:tcW w:w="1745" w:type="dxa"/>
            <w:shd w:val="clear" w:color="auto" w:fill="auto"/>
            <w:vAlign w:val="center"/>
          </w:tcPr>
          <w:p w14:paraId="2A4B073C">
            <w:pPr>
              <w:autoSpaceDE w:val="0"/>
              <w:autoSpaceDN w:val="0"/>
              <w:adjustRightInd w:val="0"/>
              <w:spacing w:line="240" w:lineRule="auto"/>
              <w:jc w:val="center"/>
              <w:outlineLvl w:val="9"/>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zh-CN"/>
              </w:rPr>
              <w:t>*投标内容</w:t>
            </w:r>
          </w:p>
        </w:tc>
        <w:tc>
          <w:tcPr>
            <w:tcW w:w="5888" w:type="dxa"/>
            <w:shd w:val="clear" w:color="auto" w:fill="auto"/>
            <w:vAlign w:val="center"/>
          </w:tcPr>
          <w:p w14:paraId="51B3D010">
            <w:pPr>
              <w:autoSpaceDE w:val="0"/>
              <w:autoSpaceDN w:val="0"/>
              <w:adjustRightInd w:val="0"/>
              <w:spacing w:line="240" w:lineRule="auto"/>
              <w:jc w:val="left"/>
              <w:outlineLvl w:val="9"/>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zh-CN"/>
              </w:rPr>
              <w:t>符合招标文件要求。</w:t>
            </w:r>
          </w:p>
        </w:tc>
        <w:tc>
          <w:tcPr>
            <w:tcW w:w="985" w:type="dxa"/>
            <w:vAlign w:val="center"/>
          </w:tcPr>
          <w:p w14:paraId="0C072CA1">
            <w:pPr>
              <w:spacing w:line="300" w:lineRule="exact"/>
              <w:rPr>
                <w:rFonts w:hint="eastAsia" w:ascii="宋体" w:hAnsi="宋体" w:eastAsia="宋体" w:cs="宋体"/>
                <w:color w:val="auto"/>
                <w:highlight w:val="none"/>
                <w:shd w:val="clear" w:color="auto" w:fill="FFFFFF"/>
                <w:lang w:val="zh-CN" w:bidi="en-US"/>
              </w:rPr>
            </w:pPr>
          </w:p>
        </w:tc>
      </w:tr>
      <w:tr w14:paraId="18A67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76B4B2E7">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p>
        </w:tc>
        <w:tc>
          <w:tcPr>
            <w:tcW w:w="1745" w:type="dxa"/>
            <w:shd w:val="clear" w:color="auto" w:fill="auto"/>
            <w:vAlign w:val="center"/>
          </w:tcPr>
          <w:p w14:paraId="218FCB97">
            <w:pPr>
              <w:adjustRightInd w:val="0"/>
              <w:snapToGrid w:val="0"/>
              <w:spacing w:before="73" w:beforeLines="15" w:line="240" w:lineRule="auto"/>
              <w:ind w:left="-105" w:leftChars="-50" w:right="-105" w:rightChars="-50"/>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*投标文件格式</w:t>
            </w:r>
          </w:p>
        </w:tc>
        <w:tc>
          <w:tcPr>
            <w:tcW w:w="5888" w:type="dxa"/>
            <w:shd w:val="clear" w:color="auto" w:fill="auto"/>
            <w:vAlign w:val="center"/>
          </w:tcPr>
          <w:p w14:paraId="4506A71A">
            <w:pPr>
              <w:adjustRightInd w:val="0"/>
              <w:snapToGrid w:val="0"/>
              <w:spacing w:before="73" w:beforeLines="15" w:line="240" w:lineRule="auto"/>
              <w:outlineLvl w:val="9"/>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rPr>
              <w:t>符合第六章“投标文件构成、要求及格式”的规定</w:t>
            </w:r>
            <w:r>
              <w:rPr>
                <w:rFonts w:hint="eastAsia" w:ascii="宋体" w:hAnsi="宋体" w:eastAsia="宋体" w:cs="宋体"/>
                <w:color w:val="auto"/>
                <w:sz w:val="21"/>
                <w:szCs w:val="21"/>
                <w:highlight w:val="none"/>
                <w:lang w:eastAsia="zh-CN"/>
              </w:rPr>
              <w:t>。</w:t>
            </w:r>
          </w:p>
        </w:tc>
        <w:tc>
          <w:tcPr>
            <w:tcW w:w="985" w:type="dxa"/>
            <w:vAlign w:val="center"/>
          </w:tcPr>
          <w:p w14:paraId="770DCC3A">
            <w:pPr>
              <w:spacing w:line="300" w:lineRule="exact"/>
              <w:rPr>
                <w:rFonts w:hint="eastAsia" w:ascii="宋体" w:hAnsi="宋体" w:eastAsia="宋体" w:cs="宋体"/>
                <w:color w:val="auto"/>
                <w:highlight w:val="none"/>
                <w:shd w:val="clear" w:color="auto" w:fill="FFFFFF"/>
                <w:lang w:val="zh-CN" w:bidi="en-US"/>
              </w:rPr>
            </w:pPr>
          </w:p>
        </w:tc>
      </w:tr>
      <w:tr w14:paraId="0C621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65807BFD">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w:t>
            </w:r>
          </w:p>
        </w:tc>
        <w:tc>
          <w:tcPr>
            <w:tcW w:w="1745" w:type="dxa"/>
            <w:vAlign w:val="center"/>
          </w:tcPr>
          <w:p w14:paraId="3AE25A09">
            <w:pPr>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*合同履行期限</w:t>
            </w:r>
          </w:p>
        </w:tc>
        <w:tc>
          <w:tcPr>
            <w:tcW w:w="5888" w:type="dxa"/>
            <w:vAlign w:val="center"/>
          </w:tcPr>
          <w:p w14:paraId="08AB39C4">
            <w:pPr>
              <w:spacing w:line="300" w:lineRule="exact"/>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en-US" w:eastAsia="zh-CN"/>
              </w:rPr>
              <w:t>以实际合同为准。</w:t>
            </w:r>
          </w:p>
        </w:tc>
        <w:tc>
          <w:tcPr>
            <w:tcW w:w="985" w:type="dxa"/>
            <w:vAlign w:val="center"/>
          </w:tcPr>
          <w:p w14:paraId="03153ECB">
            <w:pPr>
              <w:spacing w:line="300" w:lineRule="exact"/>
              <w:rPr>
                <w:rFonts w:hint="eastAsia" w:ascii="宋体" w:hAnsi="宋体" w:eastAsia="宋体" w:cs="宋体"/>
                <w:color w:val="auto"/>
                <w:highlight w:val="none"/>
                <w:shd w:val="clear" w:color="auto" w:fill="FFFFFF"/>
                <w:lang w:val="zh-CN" w:bidi="en-US"/>
              </w:rPr>
            </w:pPr>
          </w:p>
        </w:tc>
      </w:tr>
      <w:tr w14:paraId="7781C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67C5D6A0">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w:t>
            </w:r>
          </w:p>
        </w:tc>
        <w:tc>
          <w:tcPr>
            <w:tcW w:w="1745" w:type="dxa"/>
            <w:vAlign w:val="center"/>
          </w:tcPr>
          <w:p w14:paraId="7BF8AA0E">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*质量标准</w:t>
            </w:r>
          </w:p>
        </w:tc>
        <w:tc>
          <w:tcPr>
            <w:tcW w:w="5888" w:type="dxa"/>
            <w:vAlign w:val="center"/>
          </w:tcPr>
          <w:p w14:paraId="697212A3">
            <w:pPr>
              <w:spacing w:line="300" w:lineRule="exact"/>
              <w:rPr>
                <w:rFonts w:hint="eastAsia" w:ascii="宋体" w:hAnsi="宋体" w:eastAsia="宋体" w:cs="宋体"/>
                <w:color w:val="auto"/>
                <w:highlight w:val="none"/>
                <w:shd w:val="clear" w:color="auto" w:fill="FFFFFF"/>
                <w:lang w:bidi="en-US"/>
              </w:rPr>
            </w:pPr>
            <w:r>
              <w:rPr>
                <w:rFonts w:hint="eastAsia" w:ascii="宋体" w:hAnsi="宋体" w:eastAsia="宋体" w:cs="宋体"/>
                <w:color w:val="auto"/>
                <w:highlight w:val="none"/>
                <w:shd w:val="clear" w:color="auto" w:fill="FFFFFF"/>
                <w:lang w:eastAsia="zh-CN" w:bidi="en-US"/>
              </w:rPr>
              <w:t>符合国家及相关行业要求的合格标准，并达到采购人的验收标准</w:t>
            </w:r>
            <w:r>
              <w:rPr>
                <w:rFonts w:hint="eastAsia" w:ascii="宋体" w:hAnsi="宋体" w:eastAsia="宋体" w:cs="宋体"/>
                <w:color w:val="auto"/>
                <w:highlight w:val="none"/>
                <w:shd w:val="clear" w:color="auto" w:fill="FFFFFF"/>
                <w:lang w:bidi="en-US"/>
              </w:rPr>
              <w:t>。</w:t>
            </w:r>
          </w:p>
        </w:tc>
        <w:tc>
          <w:tcPr>
            <w:tcW w:w="985" w:type="dxa"/>
            <w:vAlign w:val="center"/>
          </w:tcPr>
          <w:p w14:paraId="4EA4548C">
            <w:pPr>
              <w:spacing w:line="300" w:lineRule="exact"/>
              <w:rPr>
                <w:rFonts w:hint="eastAsia" w:ascii="宋体" w:hAnsi="宋体" w:eastAsia="宋体" w:cs="宋体"/>
                <w:color w:val="auto"/>
                <w:highlight w:val="none"/>
                <w:shd w:val="clear" w:color="auto" w:fill="FFFFFF"/>
                <w:lang w:bidi="en-US"/>
              </w:rPr>
            </w:pPr>
          </w:p>
        </w:tc>
      </w:tr>
      <w:tr w14:paraId="61040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437B6DAE">
            <w:pPr>
              <w:autoSpaceDE w:val="0"/>
              <w:autoSpaceDN w:val="0"/>
              <w:adjustRightInd w:val="0"/>
              <w:spacing w:line="300" w:lineRule="exact"/>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rPr>
              <w:t>5</w:t>
            </w:r>
          </w:p>
        </w:tc>
        <w:tc>
          <w:tcPr>
            <w:tcW w:w="1745" w:type="dxa"/>
            <w:shd w:val="clear" w:color="auto" w:fill="auto"/>
            <w:vAlign w:val="center"/>
          </w:tcPr>
          <w:p w14:paraId="5791B4D9">
            <w:pPr>
              <w:autoSpaceDE w:val="0"/>
              <w:autoSpaceDN w:val="0"/>
              <w:adjustRightInd w:val="0"/>
              <w:spacing w:line="240" w:lineRule="auto"/>
              <w:jc w:val="center"/>
              <w:outlineLvl w:val="9"/>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zh-CN"/>
              </w:rPr>
              <w:t>*投标有效期</w:t>
            </w:r>
          </w:p>
        </w:tc>
        <w:tc>
          <w:tcPr>
            <w:tcW w:w="5888" w:type="dxa"/>
            <w:shd w:val="clear" w:color="auto" w:fill="auto"/>
            <w:vAlign w:val="center"/>
          </w:tcPr>
          <w:p w14:paraId="4A0F4DBC">
            <w:pPr>
              <w:autoSpaceDE w:val="0"/>
              <w:autoSpaceDN w:val="0"/>
              <w:adjustRightInd w:val="0"/>
              <w:spacing w:line="240" w:lineRule="auto"/>
              <w:outlineLvl w:val="9"/>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zh-CN"/>
              </w:rPr>
              <w:t>投标截止之日后90天（日历天）。</w:t>
            </w:r>
          </w:p>
        </w:tc>
        <w:tc>
          <w:tcPr>
            <w:tcW w:w="985" w:type="dxa"/>
            <w:vAlign w:val="center"/>
          </w:tcPr>
          <w:p w14:paraId="314DA4F6">
            <w:pPr>
              <w:spacing w:line="300" w:lineRule="exact"/>
              <w:rPr>
                <w:rFonts w:hint="eastAsia" w:ascii="宋体" w:hAnsi="宋体" w:eastAsia="宋体" w:cs="宋体"/>
                <w:color w:val="auto"/>
                <w:highlight w:val="none"/>
                <w:shd w:val="clear" w:color="auto" w:fill="FFFFFF"/>
                <w:lang w:val="zh-CN" w:bidi="en-US"/>
              </w:rPr>
            </w:pPr>
          </w:p>
        </w:tc>
      </w:tr>
      <w:tr w14:paraId="60162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06359D84">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6</w:t>
            </w:r>
          </w:p>
        </w:tc>
        <w:tc>
          <w:tcPr>
            <w:tcW w:w="1745" w:type="dxa"/>
            <w:vAlign w:val="center"/>
          </w:tcPr>
          <w:p w14:paraId="2B58A17D">
            <w:pPr>
              <w:autoSpaceDE w:val="0"/>
              <w:autoSpaceDN w:val="0"/>
              <w:adjustRightInd w:val="0"/>
              <w:spacing w:line="300" w:lineRule="exact"/>
              <w:jc w:val="center"/>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技术要求</w:t>
            </w:r>
          </w:p>
        </w:tc>
        <w:tc>
          <w:tcPr>
            <w:tcW w:w="5888" w:type="dxa"/>
            <w:vAlign w:val="center"/>
          </w:tcPr>
          <w:p w14:paraId="764FA99D">
            <w:pPr>
              <w:spacing w:line="300" w:lineRule="exact"/>
              <w:rPr>
                <w:rFonts w:hint="eastAsia" w:ascii="宋体" w:hAnsi="宋体" w:eastAsia="宋体" w:cs="宋体"/>
                <w:color w:val="auto"/>
                <w:highlight w:val="none"/>
                <w:shd w:val="clear" w:color="auto" w:fill="FFFFFF"/>
                <w:lang w:val="zh-CN" w:bidi="en-US"/>
              </w:rPr>
            </w:pPr>
            <w:r>
              <w:rPr>
                <w:rFonts w:hint="eastAsia" w:ascii="宋体" w:hAnsi="宋体" w:eastAsia="宋体" w:cs="宋体"/>
                <w:color w:val="auto"/>
                <w:highlight w:val="none"/>
                <w:shd w:val="clear" w:color="auto" w:fill="FFFFFF"/>
                <w:lang w:val="zh-CN" w:bidi="en-US"/>
              </w:rPr>
              <w:t>符合</w:t>
            </w:r>
            <w:bookmarkStart w:id="92" w:name="OLE_LINK29"/>
            <w:r>
              <w:rPr>
                <w:rFonts w:hint="eastAsia" w:ascii="宋体" w:hAnsi="宋体" w:eastAsia="宋体" w:cs="宋体"/>
                <w:color w:val="auto"/>
                <w:highlight w:val="none"/>
                <w:shd w:val="clear" w:color="auto" w:fill="FFFFFF"/>
                <w:lang w:val="zh-CN" w:bidi="en-US"/>
              </w:rPr>
              <w:t>招标文件第</w:t>
            </w:r>
            <w:r>
              <w:rPr>
                <w:rFonts w:hint="eastAsia" w:ascii="宋体" w:hAnsi="宋体" w:eastAsia="宋体" w:cs="宋体"/>
                <w:color w:val="auto"/>
                <w:highlight w:val="none"/>
                <w:shd w:val="clear" w:color="auto" w:fill="FFFFFF"/>
                <w:lang w:bidi="en-US"/>
              </w:rPr>
              <w:t>三</w:t>
            </w:r>
            <w:r>
              <w:rPr>
                <w:rFonts w:hint="eastAsia" w:ascii="宋体" w:hAnsi="宋体" w:eastAsia="宋体" w:cs="宋体"/>
                <w:color w:val="auto"/>
                <w:highlight w:val="none"/>
                <w:shd w:val="clear" w:color="auto" w:fill="FFFFFF"/>
                <w:lang w:val="zh-CN" w:bidi="en-US"/>
              </w:rPr>
              <w:t>章</w:t>
            </w:r>
            <w:bookmarkEnd w:id="92"/>
            <w:r>
              <w:rPr>
                <w:rFonts w:hint="eastAsia" w:ascii="宋体" w:hAnsi="宋体" w:eastAsia="宋体" w:cs="宋体"/>
                <w:color w:val="auto"/>
                <w:highlight w:val="none"/>
                <w:shd w:val="clear" w:color="auto" w:fill="FFFFFF"/>
                <w:lang w:val="zh-CN" w:bidi="en-US"/>
              </w:rPr>
              <w:t>“技术要求”</w:t>
            </w:r>
            <w:r>
              <w:rPr>
                <w:rFonts w:hint="eastAsia" w:ascii="宋体" w:hAnsi="宋体" w:eastAsia="宋体" w:cs="宋体"/>
                <w:color w:val="auto"/>
                <w:highlight w:val="none"/>
                <w:shd w:val="clear" w:color="auto" w:fill="FFFFFF"/>
                <w:lang w:bidi="en-US"/>
              </w:rPr>
              <w:t>全部</w:t>
            </w:r>
            <w:r>
              <w:rPr>
                <w:rFonts w:hint="eastAsia" w:ascii="宋体" w:hAnsi="宋体" w:eastAsia="宋体" w:cs="宋体"/>
                <w:color w:val="auto"/>
                <w:highlight w:val="none"/>
                <w:shd w:val="clear" w:color="auto" w:fill="FFFFFF"/>
                <w:lang w:val="zh-CN" w:bidi="en-US"/>
              </w:rPr>
              <w:t>规定。逐条对招标文件第</w:t>
            </w:r>
            <w:r>
              <w:rPr>
                <w:rFonts w:hint="eastAsia" w:ascii="宋体" w:hAnsi="宋体" w:eastAsia="宋体" w:cs="宋体"/>
                <w:color w:val="auto"/>
                <w:highlight w:val="none"/>
                <w:shd w:val="clear" w:color="auto" w:fill="FFFFFF"/>
                <w:lang w:bidi="en-US"/>
              </w:rPr>
              <w:t>三</w:t>
            </w:r>
            <w:r>
              <w:rPr>
                <w:rFonts w:hint="eastAsia" w:ascii="宋体" w:hAnsi="宋体" w:eastAsia="宋体" w:cs="宋体"/>
                <w:color w:val="auto"/>
                <w:highlight w:val="none"/>
                <w:shd w:val="clear" w:color="auto" w:fill="FFFFFF"/>
                <w:lang w:val="zh-CN" w:bidi="en-US"/>
              </w:rPr>
              <w:t>章“技术要求”</w:t>
            </w:r>
            <w:r>
              <w:rPr>
                <w:rFonts w:hint="eastAsia" w:ascii="宋体" w:hAnsi="宋体" w:eastAsia="宋体" w:cs="宋体"/>
                <w:color w:val="auto"/>
                <w:highlight w:val="none"/>
                <w:shd w:val="clear" w:color="auto" w:fill="FFFFFF"/>
                <w:lang w:bidi="en-US"/>
              </w:rPr>
              <w:t>全部内容</w:t>
            </w:r>
            <w:r>
              <w:rPr>
                <w:rFonts w:hint="eastAsia" w:ascii="宋体" w:hAnsi="宋体" w:eastAsia="宋体" w:cs="宋体"/>
                <w:color w:val="auto"/>
                <w:highlight w:val="none"/>
                <w:shd w:val="clear" w:color="auto" w:fill="FFFFFF"/>
                <w:lang w:val="zh-CN" w:bidi="en-US"/>
              </w:rPr>
              <w:t>进行应答</w:t>
            </w:r>
            <w:r>
              <w:rPr>
                <w:rFonts w:hint="eastAsia" w:ascii="宋体" w:hAnsi="宋体" w:eastAsia="宋体" w:cs="宋体"/>
                <w:color w:val="auto"/>
                <w:highlight w:val="none"/>
                <w:shd w:val="clear" w:color="auto" w:fill="FFFFFF"/>
                <w:lang w:bidi="en-US"/>
              </w:rPr>
              <w:t>且</w:t>
            </w:r>
            <w:r>
              <w:rPr>
                <w:rFonts w:hint="eastAsia" w:ascii="宋体" w:hAnsi="宋体" w:eastAsia="宋体" w:cs="宋体"/>
                <w:color w:val="auto"/>
                <w:highlight w:val="none"/>
                <w:shd w:val="clear" w:color="auto" w:fill="FFFFFF"/>
                <w:lang w:val="zh-CN" w:bidi="en-US"/>
              </w:rPr>
              <w:t>不允许</w:t>
            </w:r>
            <w:r>
              <w:rPr>
                <w:rFonts w:hint="eastAsia" w:ascii="宋体" w:hAnsi="宋体" w:eastAsia="宋体" w:cs="宋体"/>
                <w:color w:val="auto"/>
                <w:highlight w:val="none"/>
                <w:shd w:val="clear" w:color="auto" w:fill="FFFFFF"/>
                <w:lang w:val="en-US" w:eastAsia="zh-CN" w:bidi="en-US"/>
              </w:rPr>
              <w:t>缺项或</w:t>
            </w:r>
            <w:r>
              <w:rPr>
                <w:rFonts w:hint="eastAsia" w:ascii="宋体" w:hAnsi="宋体" w:eastAsia="宋体" w:cs="宋体"/>
                <w:color w:val="auto"/>
                <w:highlight w:val="none"/>
                <w:shd w:val="clear" w:color="auto" w:fill="FFFFFF"/>
                <w:lang w:val="zh-CN" w:bidi="en-US"/>
              </w:rPr>
              <w:t>负偏离，详细填写“技术要求偏离表”。</w:t>
            </w:r>
          </w:p>
        </w:tc>
        <w:tc>
          <w:tcPr>
            <w:tcW w:w="985" w:type="dxa"/>
            <w:vAlign w:val="center"/>
          </w:tcPr>
          <w:p w14:paraId="48B0AA58">
            <w:pPr>
              <w:spacing w:line="300" w:lineRule="exact"/>
              <w:rPr>
                <w:rFonts w:hint="eastAsia" w:ascii="宋体" w:hAnsi="宋体" w:eastAsia="宋体" w:cs="宋体"/>
                <w:color w:val="auto"/>
                <w:highlight w:val="none"/>
                <w:shd w:val="clear" w:color="auto" w:fill="FFFFFF"/>
                <w:lang w:val="zh-CN" w:bidi="en-US"/>
              </w:rPr>
            </w:pPr>
          </w:p>
        </w:tc>
      </w:tr>
      <w:tr w14:paraId="08477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shd w:val="clear" w:color="auto" w:fill="auto"/>
            <w:vAlign w:val="center"/>
          </w:tcPr>
          <w:p w14:paraId="3BC5C693">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7</w:t>
            </w:r>
          </w:p>
        </w:tc>
        <w:tc>
          <w:tcPr>
            <w:tcW w:w="1745" w:type="dxa"/>
            <w:shd w:val="clear" w:color="auto" w:fill="auto"/>
            <w:vAlign w:val="center"/>
          </w:tcPr>
          <w:p w14:paraId="6CDA903A">
            <w:pPr>
              <w:adjustRightInd w:val="0"/>
              <w:snapToGrid w:val="0"/>
              <w:spacing w:before="73" w:beforeLines="15" w:line="240" w:lineRule="auto"/>
              <w:ind w:left="-105" w:leftChars="-50" w:right="-105" w:rightChars="-50"/>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*报价唯一</w:t>
            </w:r>
          </w:p>
        </w:tc>
        <w:tc>
          <w:tcPr>
            <w:tcW w:w="5888" w:type="dxa"/>
            <w:shd w:val="clear" w:color="auto" w:fill="auto"/>
            <w:vAlign w:val="center"/>
          </w:tcPr>
          <w:p w14:paraId="20598257">
            <w:pPr>
              <w:adjustRightInd w:val="0"/>
              <w:snapToGrid w:val="0"/>
              <w:spacing w:before="73" w:beforeLines="15" w:line="24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只能有一个有效报价，超过采购预算的</w:t>
            </w:r>
            <w:r>
              <w:rPr>
                <w:rFonts w:hint="eastAsia" w:ascii="宋体" w:hAnsi="宋体" w:eastAsia="宋体" w:cs="宋体"/>
                <w:color w:val="auto"/>
                <w:sz w:val="21"/>
                <w:szCs w:val="21"/>
                <w:highlight w:val="none"/>
                <w:lang w:val="en-US" w:eastAsia="zh-CN"/>
              </w:rPr>
              <w:t>报价</w:t>
            </w:r>
            <w:r>
              <w:rPr>
                <w:rFonts w:hint="eastAsia" w:ascii="宋体" w:hAnsi="宋体" w:eastAsia="宋体" w:cs="宋体"/>
                <w:color w:val="auto"/>
                <w:sz w:val="21"/>
                <w:szCs w:val="21"/>
                <w:highlight w:val="none"/>
              </w:rPr>
              <w:t>将被否决。</w:t>
            </w:r>
          </w:p>
        </w:tc>
        <w:tc>
          <w:tcPr>
            <w:tcW w:w="985" w:type="dxa"/>
            <w:vAlign w:val="center"/>
          </w:tcPr>
          <w:p w14:paraId="26E88E62">
            <w:pPr>
              <w:spacing w:line="300" w:lineRule="exact"/>
              <w:rPr>
                <w:rFonts w:hint="eastAsia" w:ascii="宋体" w:hAnsi="宋体" w:eastAsia="宋体" w:cs="宋体"/>
                <w:color w:val="auto"/>
                <w:highlight w:val="none"/>
                <w:shd w:val="clear" w:color="auto" w:fill="FFFFFF"/>
                <w:lang w:val="zh-CN" w:bidi="en-US"/>
              </w:rPr>
            </w:pPr>
          </w:p>
        </w:tc>
      </w:tr>
      <w:tr w14:paraId="6C937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7" w:type="dxa"/>
            <w:vAlign w:val="center"/>
          </w:tcPr>
          <w:p w14:paraId="56F79FF7">
            <w:pPr>
              <w:autoSpaceDE w:val="0"/>
              <w:autoSpaceDN w:val="0"/>
              <w:adjustRightInd w:val="0"/>
              <w:spacing w:line="30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8</w:t>
            </w:r>
          </w:p>
        </w:tc>
        <w:tc>
          <w:tcPr>
            <w:tcW w:w="1745" w:type="dxa"/>
            <w:vAlign w:val="center"/>
          </w:tcPr>
          <w:p w14:paraId="4B86241E">
            <w:pPr>
              <w:autoSpaceDE w:val="0"/>
              <w:autoSpaceDN w:val="0"/>
              <w:adjustRightInd w:val="0"/>
              <w:spacing w:line="300" w:lineRule="exact"/>
              <w:jc w:val="center"/>
              <w:rPr>
                <w:rFonts w:hint="eastAsia" w:ascii="宋体" w:hAnsi="宋体" w:eastAsia="宋体" w:cs="宋体"/>
                <w:color w:val="auto"/>
                <w:highlight w:val="none"/>
                <w:shd w:val="clear" w:color="auto" w:fill="FFFFFF"/>
                <w:lang w:bidi="en-US"/>
              </w:rPr>
            </w:pPr>
            <w:r>
              <w:rPr>
                <w:rFonts w:hint="eastAsia" w:ascii="宋体" w:hAnsi="宋体" w:eastAsia="宋体" w:cs="宋体"/>
                <w:color w:val="auto"/>
                <w:highlight w:val="none"/>
                <w:shd w:val="clear" w:color="auto" w:fill="FFFFFF"/>
                <w:lang w:bidi="en-US"/>
              </w:rPr>
              <w:t>*其他要求</w:t>
            </w:r>
          </w:p>
        </w:tc>
        <w:tc>
          <w:tcPr>
            <w:tcW w:w="5888" w:type="dxa"/>
            <w:vAlign w:val="center"/>
          </w:tcPr>
          <w:p w14:paraId="24644F15">
            <w:pPr>
              <w:pStyle w:val="22"/>
              <w:widowControl/>
              <w:adjustRightInd w:val="0"/>
              <w:snapToGrid w:val="0"/>
              <w:spacing w:before="0" w:after="0" w:line="400" w:lineRule="exact"/>
              <w:jc w:val="left"/>
              <w:outlineLvl w:val="9"/>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供应商不存在串通投标行为及满足</w:t>
            </w:r>
            <w:r>
              <w:rPr>
                <w:rFonts w:hint="eastAsia" w:ascii="宋体" w:hAnsi="宋体" w:eastAsia="宋体" w:cs="宋体"/>
                <w:b w:val="0"/>
                <w:color w:val="auto"/>
                <w:sz w:val="21"/>
                <w:szCs w:val="21"/>
                <w:highlight w:val="none"/>
                <w:lang w:eastAsia="zh-CN"/>
              </w:rPr>
              <w:t>招标文件</w:t>
            </w:r>
            <w:r>
              <w:rPr>
                <w:rFonts w:hint="eastAsia" w:ascii="宋体" w:hAnsi="宋体" w:eastAsia="宋体" w:cs="宋体"/>
                <w:b w:val="0"/>
                <w:color w:val="auto"/>
                <w:sz w:val="21"/>
                <w:szCs w:val="21"/>
                <w:highlight w:val="none"/>
              </w:rPr>
              <w:t>其他实质性要求。</w:t>
            </w:r>
          </w:p>
        </w:tc>
        <w:tc>
          <w:tcPr>
            <w:tcW w:w="985" w:type="dxa"/>
            <w:vAlign w:val="center"/>
          </w:tcPr>
          <w:p w14:paraId="484A61DE">
            <w:pPr>
              <w:pStyle w:val="22"/>
              <w:widowControl/>
              <w:adjustRightInd w:val="0"/>
              <w:snapToGrid w:val="0"/>
              <w:spacing w:before="0" w:after="0" w:line="400" w:lineRule="exact"/>
              <w:jc w:val="left"/>
              <w:outlineLvl w:val="9"/>
              <w:rPr>
                <w:rFonts w:hint="eastAsia" w:ascii="宋体" w:hAnsi="宋体" w:eastAsia="宋体" w:cs="宋体"/>
                <w:b w:val="0"/>
                <w:color w:val="auto"/>
                <w:sz w:val="21"/>
                <w:szCs w:val="21"/>
                <w:highlight w:val="none"/>
              </w:rPr>
            </w:pPr>
          </w:p>
        </w:tc>
      </w:tr>
    </w:tbl>
    <w:p w14:paraId="2B25697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205138B0">
      <w:pPr>
        <w:pStyle w:val="5"/>
        <w:bidi w:val="0"/>
        <w:spacing w:line="240" w:lineRule="auto"/>
        <w:jc w:val="center"/>
        <w:rPr>
          <w:rFonts w:hint="eastAsia" w:ascii="宋体" w:hAnsi="宋体" w:eastAsia="宋体" w:cs="宋体"/>
          <w:color w:val="auto"/>
          <w:sz w:val="36"/>
          <w:szCs w:val="36"/>
          <w:highlight w:val="none"/>
          <w:lang w:val="zh-CN" w:eastAsia="zh-CN"/>
        </w:rPr>
      </w:pPr>
      <w:bookmarkStart w:id="93" w:name="_Toc26551"/>
      <w:r>
        <w:rPr>
          <w:rFonts w:hint="eastAsia" w:ascii="宋体" w:hAnsi="宋体" w:eastAsia="宋体" w:cs="宋体"/>
          <w:color w:val="auto"/>
          <w:sz w:val="36"/>
          <w:szCs w:val="36"/>
          <w:highlight w:val="none"/>
          <w:lang w:val="zh-CN" w:eastAsia="zh-CN"/>
        </w:rPr>
        <w:t>第四章 合同条款</w:t>
      </w:r>
      <w:bookmarkEnd w:id="80"/>
      <w:bookmarkEnd w:id="81"/>
      <w:bookmarkEnd w:id="82"/>
      <w:bookmarkEnd w:id="83"/>
      <w:r>
        <w:rPr>
          <w:rFonts w:hint="eastAsia" w:ascii="宋体" w:hAnsi="宋体" w:eastAsia="宋体" w:cs="宋体"/>
          <w:color w:val="auto"/>
          <w:sz w:val="36"/>
          <w:szCs w:val="36"/>
          <w:highlight w:val="none"/>
          <w:lang w:val="zh-CN" w:eastAsia="zh-CN"/>
        </w:rPr>
        <w:t>（</w:t>
      </w:r>
      <w:r>
        <w:rPr>
          <w:rFonts w:hint="eastAsia" w:ascii="宋体" w:hAnsi="宋体" w:eastAsia="宋体" w:cs="宋体"/>
          <w:color w:val="auto"/>
          <w:sz w:val="36"/>
          <w:szCs w:val="36"/>
          <w:highlight w:val="none"/>
          <w:lang w:val="en-US" w:eastAsia="zh-CN"/>
        </w:rPr>
        <w:t>参考格式</w:t>
      </w:r>
      <w:r>
        <w:rPr>
          <w:rFonts w:hint="eastAsia" w:ascii="宋体" w:hAnsi="宋体" w:eastAsia="宋体" w:cs="宋体"/>
          <w:color w:val="auto"/>
          <w:sz w:val="36"/>
          <w:szCs w:val="36"/>
          <w:highlight w:val="none"/>
          <w:lang w:val="zh-CN" w:eastAsia="zh-CN"/>
        </w:rPr>
        <w:t>）</w:t>
      </w:r>
      <w:bookmarkEnd w:id="93"/>
    </w:p>
    <w:p w14:paraId="0F882411">
      <w:pPr>
        <w:jc w:val="center"/>
        <w:rPr>
          <w:rFonts w:hint="eastAsia" w:ascii="宋体" w:hAnsi="宋体" w:eastAsia="宋体" w:cs="宋体"/>
          <w:b/>
          <w:color w:val="auto"/>
          <w:kern w:val="0"/>
          <w:sz w:val="28"/>
          <w:szCs w:val="28"/>
          <w:highlight w:val="none"/>
        </w:rPr>
      </w:pPr>
      <w:bookmarkStart w:id="94" w:name="_Toc8918"/>
      <w:bookmarkStart w:id="95" w:name="_Toc492451831"/>
      <w:bookmarkStart w:id="96" w:name="_Toc16858212"/>
      <w:bookmarkStart w:id="97" w:name="_Toc2862"/>
      <w:bookmarkStart w:id="98" w:name="_Toc21587"/>
      <w:bookmarkStart w:id="99" w:name="_Toc16666379"/>
      <w:bookmarkStart w:id="100" w:name="_Toc14304"/>
      <w:bookmarkStart w:id="101" w:name="_Toc19882"/>
      <w:bookmarkStart w:id="102" w:name="_Toc152042574"/>
      <w:bookmarkStart w:id="103" w:name="_Toc16884"/>
      <w:bookmarkStart w:id="104" w:name="_Toc1819"/>
      <w:bookmarkStart w:id="105" w:name="_Toc152045785"/>
      <w:bookmarkStart w:id="106" w:name="_Toc29761"/>
      <w:bookmarkStart w:id="107" w:name="_Toc247085870"/>
      <w:bookmarkStart w:id="108" w:name="_Toc246997096"/>
      <w:bookmarkStart w:id="109" w:name="_Toc144974854"/>
      <w:bookmarkStart w:id="110" w:name="_Toc179632804"/>
      <w:bookmarkStart w:id="111" w:name="_Toc246996353"/>
      <w:bookmarkStart w:id="112" w:name="_Toc31877"/>
      <w:r>
        <w:rPr>
          <w:rFonts w:hint="eastAsia" w:ascii="宋体" w:hAnsi="宋体" w:eastAsia="宋体" w:cs="宋体"/>
          <w:b/>
          <w:color w:val="auto"/>
          <w:kern w:val="0"/>
          <w:sz w:val="28"/>
          <w:szCs w:val="28"/>
          <w:highlight w:val="none"/>
          <w:lang w:eastAsia="zh-CN"/>
        </w:rPr>
        <w:t>（</w:t>
      </w:r>
      <w:r>
        <w:rPr>
          <w:rFonts w:hint="eastAsia" w:ascii="宋体" w:hAnsi="宋体" w:eastAsia="宋体" w:cs="宋体"/>
          <w:b/>
          <w:color w:val="auto"/>
          <w:kern w:val="0"/>
          <w:sz w:val="28"/>
          <w:szCs w:val="28"/>
          <w:highlight w:val="none"/>
          <w:lang w:val="en-US" w:eastAsia="zh-CN"/>
        </w:rPr>
        <w:t>以实际合同为准</w:t>
      </w:r>
      <w:r>
        <w:rPr>
          <w:rFonts w:hint="eastAsia" w:ascii="宋体" w:hAnsi="宋体" w:eastAsia="宋体" w:cs="宋体"/>
          <w:b/>
          <w:color w:val="auto"/>
          <w:kern w:val="0"/>
          <w:sz w:val="28"/>
          <w:szCs w:val="28"/>
          <w:highlight w:val="none"/>
          <w:lang w:eastAsia="zh-CN"/>
        </w:rPr>
        <w:t>）</w:t>
      </w:r>
      <w:r>
        <w:rPr>
          <w:rFonts w:hint="eastAsia" w:ascii="宋体" w:hAnsi="宋体" w:eastAsia="宋体" w:cs="宋体"/>
          <w:b/>
          <w:color w:val="auto"/>
          <w:kern w:val="0"/>
          <w:sz w:val="28"/>
          <w:szCs w:val="28"/>
          <w:highlight w:val="none"/>
        </w:rPr>
        <w:br w:type="page"/>
      </w:r>
    </w:p>
    <w:p w14:paraId="29266AA1">
      <w:pPr>
        <w:wordWrap w:val="0"/>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8"/>
          <w:szCs w:val="28"/>
          <w:highlight w:val="none"/>
        </w:rPr>
        <w:t>合同编号：</w:t>
      </w:r>
    </w:p>
    <w:p w14:paraId="5A10F4E7">
      <w:pPr>
        <w:wordWrap w:val="0"/>
        <w:jc w:val="center"/>
        <w:rPr>
          <w:rFonts w:hint="eastAsia" w:ascii="宋体" w:hAnsi="宋体" w:eastAsia="宋体" w:cs="宋体"/>
          <w:b/>
          <w:bCs/>
          <w:color w:val="auto"/>
          <w:kern w:val="0"/>
          <w:sz w:val="44"/>
          <w:szCs w:val="44"/>
          <w:highlight w:val="none"/>
        </w:rPr>
      </w:pPr>
    </w:p>
    <w:p w14:paraId="642E7CE4">
      <w:pPr>
        <w:wordWrap w:val="0"/>
        <w:jc w:val="center"/>
        <w:rPr>
          <w:rFonts w:hint="eastAsia" w:ascii="宋体" w:hAnsi="宋体" w:eastAsia="宋体" w:cs="宋体"/>
          <w:color w:val="auto"/>
          <w:sz w:val="24"/>
          <w:szCs w:val="21"/>
          <w:highlight w:val="none"/>
          <w:u w:val="single"/>
        </w:rPr>
      </w:pPr>
    </w:p>
    <w:p w14:paraId="1F57C72B">
      <w:pPr>
        <w:wordWrap w:val="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1"/>
          <w:highlight w:val="none"/>
          <w:u w:val="single"/>
        </w:rPr>
        <w:t xml:space="preserve">                                  </w:t>
      </w:r>
      <w:r>
        <w:rPr>
          <w:rFonts w:hint="eastAsia" w:ascii="宋体" w:hAnsi="宋体" w:eastAsia="宋体" w:cs="宋体"/>
          <w:b/>
          <w:bCs/>
          <w:color w:val="auto"/>
          <w:kern w:val="0"/>
          <w:sz w:val="44"/>
          <w:szCs w:val="44"/>
          <w:highlight w:val="none"/>
        </w:rPr>
        <w:t>（项目名称）</w:t>
      </w:r>
    </w:p>
    <w:p w14:paraId="623115DF">
      <w:pPr>
        <w:wordWrap w:val="0"/>
        <w:jc w:val="left"/>
        <w:rPr>
          <w:rFonts w:hint="eastAsia" w:ascii="宋体" w:hAnsi="宋体" w:eastAsia="宋体" w:cs="宋体"/>
          <w:b/>
          <w:bCs/>
          <w:color w:val="auto"/>
          <w:kern w:val="0"/>
          <w:sz w:val="52"/>
          <w:szCs w:val="52"/>
          <w:highlight w:val="none"/>
        </w:rPr>
      </w:pPr>
    </w:p>
    <w:p w14:paraId="69DD922C">
      <w:pPr>
        <w:wordWrap w:val="0"/>
        <w:jc w:val="left"/>
        <w:rPr>
          <w:rFonts w:hint="eastAsia" w:ascii="宋体" w:hAnsi="宋体" w:eastAsia="宋体" w:cs="宋体"/>
          <w:b/>
          <w:bCs/>
          <w:color w:val="auto"/>
          <w:kern w:val="0"/>
          <w:sz w:val="52"/>
          <w:szCs w:val="52"/>
          <w:highlight w:val="none"/>
        </w:rPr>
      </w:pPr>
    </w:p>
    <w:p w14:paraId="4E2105EC">
      <w:pPr>
        <w:widowControl w:val="0"/>
        <w:wordWrap w:val="0"/>
        <w:spacing w:after="120"/>
        <w:jc w:val="both"/>
        <w:rPr>
          <w:rFonts w:hint="eastAsia" w:ascii="宋体" w:hAnsi="宋体" w:eastAsia="宋体" w:cs="宋体"/>
          <w:color w:val="auto"/>
          <w:kern w:val="0"/>
          <w:sz w:val="20"/>
          <w:highlight w:val="none"/>
          <w:lang w:val="en-US" w:eastAsia="zh-CN" w:bidi="ar-SA"/>
        </w:rPr>
      </w:pPr>
    </w:p>
    <w:p w14:paraId="42D516E0">
      <w:pPr>
        <w:widowControl w:val="0"/>
        <w:wordWrap w:val="0"/>
        <w:spacing w:after="120"/>
        <w:jc w:val="both"/>
        <w:rPr>
          <w:rFonts w:hint="eastAsia" w:ascii="宋体" w:hAnsi="宋体" w:eastAsia="宋体" w:cs="宋体"/>
          <w:color w:val="auto"/>
          <w:kern w:val="0"/>
          <w:sz w:val="20"/>
          <w:highlight w:val="none"/>
          <w:lang w:val="en-US" w:eastAsia="zh-CN" w:bidi="ar-SA"/>
        </w:rPr>
      </w:pPr>
    </w:p>
    <w:p w14:paraId="0B878B57">
      <w:pPr>
        <w:wordWrap w:val="0"/>
        <w:jc w:val="center"/>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52"/>
          <w:szCs w:val="52"/>
          <w:highlight w:val="none"/>
        </w:rPr>
        <w:t>政府采购合同书</w:t>
      </w:r>
    </w:p>
    <w:p w14:paraId="514CCE2E">
      <w:pPr>
        <w:wordWrap w:val="0"/>
        <w:jc w:val="left"/>
        <w:rPr>
          <w:rFonts w:hint="eastAsia" w:ascii="宋体" w:hAnsi="宋体" w:eastAsia="宋体" w:cs="宋体"/>
          <w:b/>
          <w:bCs/>
          <w:color w:val="auto"/>
          <w:kern w:val="0"/>
          <w:sz w:val="28"/>
          <w:szCs w:val="28"/>
          <w:highlight w:val="none"/>
        </w:rPr>
      </w:pPr>
    </w:p>
    <w:p w14:paraId="612F81A0">
      <w:pPr>
        <w:wordWrap w:val="0"/>
        <w:jc w:val="left"/>
        <w:rPr>
          <w:rFonts w:hint="eastAsia" w:ascii="宋体" w:hAnsi="宋体" w:eastAsia="宋体" w:cs="宋体"/>
          <w:b/>
          <w:bCs/>
          <w:color w:val="auto"/>
          <w:kern w:val="0"/>
          <w:sz w:val="28"/>
          <w:szCs w:val="28"/>
          <w:highlight w:val="none"/>
        </w:rPr>
      </w:pPr>
    </w:p>
    <w:p w14:paraId="4B224240">
      <w:pPr>
        <w:wordWrap w:val="0"/>
        <w:jc w:val="left"/>
        <w:rPr>
          <w:rFonts w:hint="eastAsia" w:ascii="宋体" w:hAnsi="宋体" w:eastAsia="宋体" w:cs="宋体"/>
          <w:b/>
          <w:bCs/>
          <w:color w:val="auto"/>
          <w:kern w:val="0"/>
          <w:sz w:val="28"/>
          <w:szCs w:val="28"/>
          <w:highlight w:val="none"/>
        </w:rPr>
      </w:pPr>
    </w:p>
    <w:p w14:paraId="3B7DF8FA">
      <w:pPr>
        <w:widowControl w:val="0"/>
        <w:wordWrap w:val="0"/>
        <w:spacing w:after="120"/>
        <w:jc w:val="both"/>
        <w:rPr>
          <w:rFonts w:hint="eastAsia" w:ascii="宋体" w:hAnsi="宋体" w:eastAsia="宋体" w:cs="宋体"/>
          <w:b/>
          <w:bCs/>
          <w:color w:val="auto"/>
          <w:kern w:val="0"/>
          <w:sz w:val="28"/>
          <w:szCs w:val="28"/>
          <w:highlight w:val="none"/>
          <w:lang w:val="en-US" w:eastAsia="zh-CN" w:bidi="ar-SA"/>
        </w:rPr>
      </w:pPr>
    </w:p>
    <w:p w14:paraId="1E1B8ABC">
      <w:pPr>
        <w:widowControl w:val="0"/>
        <w:wordWrap w:val="0"/>
        <w:spacing w:after="120"/>
        <w:jc w:val="both"/>
        <w:rPr>
          <w:rFonts w:hint="eastAsia" w:ascii="宋体" w:hAnsi="宋体" w:eastAsia="宋体" w:cs="宋体"/>
          <w:b/>
          <w:bCs/>
          <w:color w:val="auto"/>
          <w:kern w:val="0"/>
          <w:sz w:val="28"/>
          <w:szCs w:val="28"/>
          <w:highlight w:val="none"/>
          <w:lang w:val="en-US" w:eastAsia="zh-CN" w:bidi="ar-SA"/>
        </w:rPr>
      </w:pPr>
    </w:p>
    <w:p w14:paraId="0135BE6C">
      <w:pPr>
        <w:wordWrap w:val="0"/>
        <w:jc w:val="left"/>
        <w:rPr>
          <w:rFonts w:hint="eastAsia" w:ascii="宋体" w:hAnsi="宋体" w:eastAsia="宋体" w:cs="宋体"/>
          <w:b/>
          <w:bCs/>
          <w:color w:val="auto"/>
          <w:kern w:val="0"/>
          <w:sz w:val="28"/>
          <w:szCs w:val="28"/>
          <w:highlight w:val="none"/>
        </w:rPr>
      </w:pPr>
    </w:p>
    <w:p w14:paraId="5F17361C">
      <w:pPr>
        <w:widowControl w:val="0"/>
        <w:wordWrap w:val="0"/>
        <w:spacing w:after="120"/>
        <w:jc w:val="both"/>
        <w:rPr>
          <w:rFonts w:hint="eastAsia" w:ascii="宋体" w:hAnsi="宋体" w:eastAsia="宋体" w:cs="宋体"/>
          <w:b/>
          <w:bCs/>
          <w:color w:val="auto"/>
          <w:kern w:val="0"/>
          <w:sz w:val="28"/>
          <w:szCs w:val="28"/>
          <w:highlight w:val="none"/>
          <w:lang w:val="en-US" w:eastAsia="zh-CN" w:bidi="ar-SA"/>
        </w:rPr>
      </w:pPr>
    </w:p>
    <w:p w14:paraId="135889B6">
      <w:pPr>
        <w:wordWrap w:val="0"/>
        <w:ind w:firstLine="2249" w:firstLineChars="800"/>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8"/>
          <w:szCs w:val="28"/>
          <w:highlight w:val="none"/>
        </w:rPr>
        <w:t>需方：</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b/>
          <w:bCs/>
          <w:color w:val="auto"/>
          <w:kern w:val="0"/>
          <w:sz w:val="28"/>
          <w:szCs w:val="28"/>
          <w:highlight w:val="none"/>
          <w:u w:val="single"/>
        </w:rPr>
        <w:t xml:space="preserve"> </w:t>
      </w:r>
      <w:r>
        <w:rPr>
          <w:rFonts w:hint="eastAsia" w:ascii="宋体" w:hAnsi="宋体" w:eastAsia="宋体" w:cs="宋体"/>
          <w:color w:val="auto"/>
          <w:sz w:val="24"/>
          <w:szCs w:val="21"/>
          <w:highlight w:val="none"/>
          <w:u w:val="single"/>
        </w:rPr>
        <w:t xml:space="preserve">                 </w:t>
      </w:r>
    </w:p>
    <w:p w14:paraId="7FF9B6BE">
      <w:pPr>
        <w:wordWrap w:val="0"/>
        <w:ind w:firstLine="2249" w:firstLineChars="800"/>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8"/>
          <w:szCs w:val="28"/>
          <w:highlight w:val="none"/>
        </w:rPr>
        <w:t xml:space="preserve">供方： </w:t>
      </w:r>
      <w:r>
        <w:rPr>
          <w:rFonts w:hint="eastAsia" w:ascii="宋体" w:hAnsi="宋体" w:eastAsia="宋体" w:cs="宋体"/>
          <w:color w:val="auto"/>
          <w:sz w:val="24"/>
          <w:szCs w:val="21"/>
          <w:highlight w:val="none"/>
          <w:u w:val="single"/>
        </w:rPr>
        <w:t xml:space="preserve">                                  </w:t>
      </w:r>
    </w:p>
    <w:p w14:paraId="62FFFFA7">
      <w:pPr>
        <w:wordWrap w:val="0"/>
        <w:ind w:firstLine="2249" w:firstLineChars="800"/>
        <w:rPr>
          <w:rFonts w:hint="eastAsia" w:ascii="宋体" w:hAnsi="宋体" w:eastAsia="宋体" w:cs="宋体"/>
          <w:color w:val="auto"/>
          <w:szCs w:val="20"/>
          <w:highlight w:val="none"/>
        </w:rPr>
      </w:pPr>
      <w:r>
        <w:rPr>
          <w:rFonts w:hint="eastAsia" w:ascii="宋体" w:hAnsi="宋体" w:eastAsia="宋体" w:cs="宋体"/>
          <w:b/>
          <w:bCs/>
          <w:color w:val="auto"/>
          <w:kern w:val="0"/>
          <w:sz w:val="28"/>
          <w:szCs w:val="28"/>
          <w:highlight w:val="none"/>
        </w:rPr>
        <w:t>签订日期：</w:t>
      </w:r>
      <w:r>
        <w:rPr>
          <w:rFonts w:hint="eastAsia" w:ascii="宋体" w:hAnsi="宋体" w:eastAsia="宋体" w:cs="宋体"/>
          <w:color w:val="auto"/>
          <w:sz w:val="24"/>
          <w:szCs w:val="21"/>
          <w:highlight w:val="none"/>
          <w:u w:val="single"/>
        </w:rPr>
        <w:t xml:space="preserve">         </w:t>
      </w:r>
      <w:r>
        <w:rPr>
          <w:rFonts w:hint="eastAsia" w:ascii="宋体" w:hAnsi="宋体" w:eastAsia="宋体" w:cs="宋体"/>
          <w:b/>
          <w:bCs/>
          <w:color w:val="auto"/>
          <w:kern w:val="0"/>
          <w:sz w:val="28"/>
          <w:szCs w:val="28"/>
          <w:highlight w:val="none"/>
        </w:rPr>
        <w:t>年</w:t>
      </w:r>
      <w:r>
        <w:rPr>
          <w:rFonts w:hint="eastAsia" w:ascii="宋体" w:hAnsi="宋体" w:eastAsia="宋体" w:cs="宋体"/>
          <w:color w:val="auto"/>
          <w:sz w:val="24"/>
          <w:szCs w:val="21"/>
          <w:highlight w:val="none"/>
          <w:u w:val="single"/>
        </w:rPr>
        <w:t xml:space="preserve">       </w:t>
      </w:r>
      <w:r>
        <w:rPr>
          <w:rFonts w:hint="eastAsia" w:ascii="宋体" w:hAnsi="宋体" w:eastAsia="宋体" w:cs="宋体"/>
          <w:b/>
          <w:bCs/>
          <w:color w:val="auto"/>
          <w:kern w:val="0"/>
          <w:sz w:val="28"/>
          <w:szCs w:val="28"/>
          <w:highlight w:val="none"/>
        </w:rPr>
        <w:t>月</w:t>
      </w:r>
      <w:r>
        <w:rPr>
          <w:rFonts w:hint="eastAsia" w:ascii="宋体" w:hAnsi="宋体" w:eastAsia="宋体" w:cs="宋体"/>
          <w:color w:val="auto"/>
          <w:sz w:val="24"/>
          <w:szCs w:val="21"/>
          <w:highlight w:val="none"/>
          <w:u w:val="single"/>
        </w:rPr>
        <w:t xml:space="preserve">       </w:t>
      </w:r>
      <w:r>
        <w:rPr>
          <w:rFonts w:hint="eastAsia" w:ascii="宋体" w:hAnsi="宋体" w:eastAsia="宋体" w:cs="宋体"/>
          <w:b/>
          <w:bCs/>
          <w:color w:val="auto"/>
          <w:kern w:val="0"/>
          <w:sz w:val="28"/>
          <w:szCs w:val="28"/>
          <w:highlight w:val="none"/>
        </w:rPr>
        <w:t>日</w:t>
      </w:r>
    </w:p>
    <w:p w14:paraId="16D83007">
      <w:pPr>
        <w:wordWrap w:val="0"/>
        <w:jc w:val="center"/>
        <w:rPr>
          <w:rFonts w:hint="eastAsia" w:ascii="宋体" w:hAnsi="宋体" w:eastAsia="宋体" w:cs="宋体"/>
          <w:b/>
          <w:bCs/>
          <w:color w:val="auto"/>
          <w:sz w:val="32"/>
          <w:szCs w:val="32"/>
          <w:highlight w:val="none"/>
          <w:lang w:val="zh-CN"/>
        </w:rPr>
      </w:pPr>
      <w:r>
        <w:rPr>
          <w:rFonts w:hint="eastAsia" w:ascii="宋体" w:hAnsi="宋体" w:eastAsia="宋体" w:cs="宋体"/>
          <w:color w:val="auto"/>
          <w:szCs w:val="20"/>
          <w:highlight w:val="none"/>
          <w:lang w:val="zh-CN"/>
        </w:rPr>
        <w:br w:type="page"/>
      </w:r>
      <w:r>
        <w:rPr>
          <w:rFonts w:hint="eastAsia" w:ascii="宋体" w:hAnsi="宋体" w:eastAsia="宋体" w:cs="宋体"/>
          <w:b/>
          <w:bCs/>
          <w:color w:val="auto"/>
          <w:sz w:val="32"/>
          <w:szCs w:val="32"/>
          <w:highlight w:val="none"/>
          <w:lang w:val="zh-CN"/>
        </w:rPr>
        <w:t>政府采购合同通用条款</w:t>
      </w:r>
      <w:bookmarkEnd w:id="94"/>
      <w:bookmarkEnd w:id="95"/>
      <w:bookmarkEnd w:id="96"/>
      <w:bookmarkEnd w:id="97"/>
      <w:bookmarkEnd w:id="98"/>
      <w:bookmarkEnd w:id="99"/>
      <w:bookmarkEnd w:id="100"/>
    </w:p>
    <w:p w14:paraId="75208241">
      <w:pPr>
        <w:wordWrap w:val="0"/>
        <w:adjustRightInd w:val="0"/>
        <w:spacing w:line="500" w:lineRule="exact"/>
        <w:ind w:firstLine="482"/>
        <w:rPr>
          <w:rFonts w:hint="eastAsia" w:ascii="宋体" w:hAnsi="宋体" w:eastAsia="宋体" w:cs="宋体"/>
          <w:b/>
          <w:color w:val="auto"/>
          <w:sz w:val="24"/>
          <w:szCs w:val="24"/>
          <w:highlight w:val="none"/>
          <w:lang w:val="zh-CN"/>
        </w:rPr>
      </w:pPr>
      <w:bookmarkStart w:id="113" w:name="_Toc16858213"/>
      <w:bookmarkStart w:id="114" w:name="_Toc7308"/>
      <w:bookmarkStart w:id="115" w:name="_Toc29176"/>
      <w:bookmarkStart w:id="116" w:name="_Toc16666380"/>
      <w:bookmarkStart w:id="117" w:name="_Toc492451832"/>
      <w:bookmarkStart w:id="118" w:name="_Toc19213"/>
      <w:bookmarkStart w:id="119" w:name="_Toc16652"/>
      <w:r>
        <w:rPr>
          <w:rFonts w:hint="eastAsia" w:ascii="宋体" w:hAnsi="宋体" w:eastAsia="宋体" w:cs="宋体"/>
          <w:b/>
          <w:color w:val="auto"/>
          <w:sz w:val="24"/>
          <w:szCs w:val="24"/>
          <w:highlight w:val="none"/>
          <w:lang w:val="zh-CN"/>
        </w:rPr>
        <w:t>1．定义：除非另有约定，在本合同下列术语按如下定义进行解释：</w:t>
      </w:r>
      <w:bookmarkEnd w:id="101"/>
      <w:bookmarkEnd w:id="113"/>
      <w:bookmarkEnd w:id="114"/>
      <w:bookmarkEnd w:id="115"/>
      <w:bookmarkEnd w:id="116"/>
      <w:bookmarkEnd w:id="117"/>
      <w:bookmarkEnd w:id="118"/>
      <w:bookmarkEnd w:id="119"/>
    </w:p>
    <w:p w14:paraId="7144DF1A">
      <w:pPr>
        <w:wordWrap w:val="0"/>
        <w:adjustRightInd w:val="0"/>
        <w:spacing w:line="500" w:lineRule="exact"/>
        <w:ind w:firstLine="480"/>
        <w:rPr>
          <w:rFonts w:hint="eastAsia" w:ascii="宋体" w:hAnsi="宋体" w:eastAsia="宋体" w:cs="宋体"/>
          <w:color w:val="auto"/>
          <w:sz w:val="24"/>
          <w:szCs w:val="24"/>
          <w:highlight w:val="none"/>
          <w:lang w:val="zh-CN"/>
        </w:rPr>
      </w:pPr>
      <w:bookmarkStart w:id="120" w:name="_Toc16858214"/>
      <w:bookmarkStart w:id="121" w:name="_Toc9892"/>
      <w:bookmarkStart w:id="122" w:name="_Toc3481"/>
      <w:bookmarkStart w:id="123" w:name="_Toc3861"/>
      <w:bookmarkStart w:id="124" w:name="_Toc3207"/>
      <w:bookmarkStart w:id="125" w:name="_Toc31103"/>
      <w:bookmarkStart w:id="126" w:name="_Toc492451833"/>
      <w:bookmarkStart w:id="127" w:name="_Toc16666381"/>
      <w:r>
        <w:rPr>
          <w:rFonts w:hint="eastAsia" w:ascii="宋体" w:hAnsi="宋体" w:eastAsia="宋体" w:cs="宋体"/>
          <w:color w:val="auto"/>
          <w:sz w:val="24"/>
          <w:szCs w:val="24"/>
          <w:highlight w:val="none"/>
          <w:lang w:val="zh-CN"/>
        </w:rPr>
        <w:t>（1）“合同”指供需双方签署的、在合同中载明的合同各方所达成的协议，包括构成合同的所有附件、附录和其他文件。</w:t>
      </w:r>
      <w:bookmarkEnd w:id="120"/>
      <w:bookmarkEnd w:id="121"/>
      <w:bookmarkEnd w:id="122"/>
      <w:bookmarkEnd w:id="123"/>
      <w:bookmarkEnd w:id="124"/>
      <w:bookmarkEnd w:id="125"/>
      <w:bookmarkEnd w:id="126"/>
      <w:bookmarkEnd w:id="127"/>
    </w:p>
    <w:p w14:paraId="2E3E0707">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附件、附录</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指与本合同的订立、履行有关的，经供需双方认可的，对本合同约定内容进行细化、补充、修改、变更等的文件资料。</w:t>
      </w:r>
    </w:p>
    <w:p w14:paraId="6A11B080">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合同价格</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指根据合同规定供方正确地完全履行合同义务后需方应支付给供方的价格。</w:t>
      </w:r>
    </w:p>
    <w:p w14:paraId="743C413A">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服务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指根据合同规定供方承担的与供货和履行合同有关的辅助服务。</w:t>
      </w:r>
    </w:p>
    <w:p w14:paraId="4BA24B0B">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需方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指政府采购服务的使用单位。</w:t>
      </w:r>
    </w:p>
    <w:p w14:paraId="73BDC004">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供方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指按照合同规定向需方提供服务的公司或实体。</w:t>
      </w:r>
    </w:p>
    <w:p w14:paraId="2EB02480">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第三方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指本合同以外的任何中国境内、境外的法人、自然人或其他组织。</w:t>
      </w:r>
    </w:p>
    <w:p w14:paraId="0CC32FBF">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日、天</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均指日历天数。</w:t>
      </w:r>
    </w:p>
    <w:p w14:paraId="52808461">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工作日</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指扣除公休日和国家法定节假日以外的日历日。</w:t>
      </w:r>
    </w:p>
    <w:p w14:paraId="47025B7D">
      <w:pPr>
        <w:wordWrap w:val="0"/>
        <w:adjustRightInd w:val="0"/>
        <w:spacing w:line="500" w:lineRule="exact"/>
        <w:ind w:firstLine="482"/>
        <w:rPr>
          <w:rFonts w:hint="eastAsia" w:ascii="宋体" w:hAnsi="宋体" w:eastAsia="宋体" w:cs="宋体"/>
          <w:color w:val="auto"/>
          <w:sz w:val="24"/>
          <w:szCs w:val="24"/>
          <w:highlight w:val="none"/>
          <w:u w:val="single"/>
        </w:rPr>
      </w:pPr>
      <w:r>
        <w:rPr>
          <w:rFonts w:hint="eastAsia" w:ascii="宋体" w:hAnsi="宋体" w:eastAsia="宋体" w:cs="宋体"/>
          <w:b/>
          <w:color w:val="auto"/>
          <w:sz w:val="24"/>
          <w:szCs w:val="24"/>
          <w:highlight w:val="none"/>
          <w:lang w:val="zh-CN"/>
        </w:rPr>
        <w:t>2．适用范围：</w:t>
      </w:r>
      <w:r>
        <w:rPr>
          <w:rFonts w:hint="eastAsia" w:ascii="宋体" w:hAnsi="宋体" w:eastAsia="宋体" w:cs="宋体"/>
          <w:color w:val="auto"/>
          <w:sz w:val="24"/>
          <w:szCs w:val="24"/>
          <w:highlight w:val="none"/>
          <w:lang w:val="zh-CN"/>
        </w:rPr>
        <w:t>本合同条款仅适用</w:t>
      </w:r>
      <w:r>
        <w:rPr>
          <w:rFonts w:hint="eastAsia" w:ascii="宋体" w:hAnsi="宋体" w:eastAsia="宋体" w:cs="宋体"/>
          <w:color w:val="auto"/>
          <w:sz w:val="24"/>
          <w:szCs w:val="24"/>
          <w:highlight w:val="none"/>
          <w:u w:val="single"/>
        </w:rPr>
        <w:t xml:space="preserve">                （项目名称）。</w:t>
      </w:r>
    </w:p>
    <w:p w14:paraId="3A42458A">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3．合同内容：</w:t>
      </w:r>
      <w:r>
        <w:rPr>
          <w:rFonts w:hint="eastAsia" w:ascii="宋体" w:hAnsi="宋体" w:eastAsia="宋体" w:cs="宋体"/>
          <w:color w:val="auto"/>
          <w:sz w:val="24"/>
          <w:szCs w:val="24"/>
          <w:highlight w:val="none"/>
          <w:lang w:val="zh-CN"/>
        </w:rPr>
        <w:t>详见招标文件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服务需求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及供方的投标文件。未尽事宜在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政府采购合同书中</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约定。</w:t>
      </w:r>
    </w:p>
    <w:p w14:paraId="0BB8079E">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4．合同价格、服务时间及服务地点、付款方式及条件：</w:t>
      </w:r>
      <w:r>
        <w:rPr>
          <w:rFonts w:hint="eastAsia" w:ascii="宋体" w:hAnsi="宋体" w:eastAsia="宋体" w:cs="宋体"/>
          <w:color w:val="auto"/>
          <w:sz w:val="24"/>
          <w:szCs w:val="24"/>
          <w:highlight w:val="none"/>
          <w:lang w:val="zh-CN"/>
        </w:rPr>
        <w:t>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政府采购合同书</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中约定。</w:t>
      </w:r>
    </w:p>
    <w:p w14:paraId="19682827">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lang w:val="zh-CN"/>
        </w:rPr>
        <w:t>5．知识产权及有关规定：</w:t>
      </w:r>
      <w:r>
        <w:rPr>
          <w:rFonts w:hint="eastAsia" w:ascii="宋体" w:hAnsi="宋体" w:eastAsia="宋体" w:cs="宋体"/>
          <w:color w:val="auto"/>
          <w:sz w:val="24"/>
          <w:szCs w:val="24"/>
          <w:highlight w:val="none"/>
          <w:lang w:val="zh-CN"/>
        </w:rPr>
        <w:t>供方应保证需方在使用本合同项下的服务或其任何一部分时免受第三方提出侵犯其知识产权、商标权或工业设计权的起诉。如果发生此类问题，供方应负责交涉并承担一切费用和责任。</w:t>
      </w:r>
    </w:p>
    <w:p w14:paraId="1CF1CBCE">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6．保密条款</w:t>
      </w:r>
    </w:p>
    <w:p w14:paraId="1B54BB2D">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任何一方对其获知的本合同涉及的所有有形、无形的信息及资料（包括但不限于供需双方的往来书面文字文件、电子邮件等）中另一方的商业秘密或国家秘密负有保密义务。</w:t>
      </w:r>
    </w:p>
    <w:p w14:paraId="2CE1EE5C">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6.2</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25894468">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7.合同的解释</w:t>
      </w:r>
    </w:p>
    <w:p w14:paraId="26CC9BB6">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任何一方对本合同及其附件的解释均应遵循诚实信用原则，依照本合同签订时有效的中华人民共和国的法律、法规以及人们通常的理解进行。</w:t>
      </w:r>
    </w:p>
    <w:p w14:paraId="61DB911F">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7.2</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本合同中以日（天）表述的时间期限均指公历日。</w:t>
      </w:r>
    </w:p>
    <w:p w14:paraId="5FD8A90B">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7.3</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对本合同的任何解释均应以书面做出。</w:t>
      </w:r>
    </w:p>
    <w:p w14:paraId="0A153517">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8．伴随服务</w:t>
      </w:r>
    </w:p>
    <w:p w14:paraId="785F5156">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供方应提供所服务项目服务手册、服务指南以及相关技术参考信息等。</w:t>
      </w:r>
    </w:p>
    <w:p w14:paraId="36D7BFA3">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伴随服务的费用应包含在合同总价中，需方不单独进行支付。</w:t>
      </w:r>
    </w:p>
    <w:p w14:paraId="5F9548A5">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rPr>
        <w:t>9</w:t>
      </w:r>
      <w:r>
        <w:rPr>
          <w:rFonts w:hint="eastAsia" w:ascii="宋体" w:hAnsi="宋体" w:eastAsia="宋体" w:cs="宋体"/>
          <w:b/>
          <w:color w:val="auto"/>
          <w:sz w:val="24"/>
          <w:szCs w:val="24"/>
          <w:highlight w:val="none"/>
          <w:lang w:val="zh-CN"/>
        </w:rPr>
        <w:t>．具备履行合同所必需的设备和专业技术能力：</w:t>
      </w:r>
      <w:r>
        <w:rPr>
          <w:rFonts w:hint="eastAsia" w:ascii="宋体" w:hAnsi="宋体" w:eastAsia="宋体" w:cs="宋体"/>
          <w:color w:val="auto"/>
          <w:sz w:val="24"/>
          <w:szCs w:val="24"/>
          <w:highlight w:val="none"/>
          <w:lang w:val="zh-CN"/>
        </w:rPr>
        <w:t>详见招标文件的要求，供方提交的具备履行合同所必需的设备和专业技术能力的证明材料中的相关文件，如果上述文件有不一致之处，以对需方有利的为准。</w:t>
      </w:r>
    </w:p>
    <w:p w14:paraId="4F2EDDA9">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w:t>
      </w:r>
      <w:r>
        <w:rPr>
          <w:rFonts w:hint="eastAsia" w:ascii="宋体" w:hAnsi="宋体" w:eastAsia="宋体" w:cs="宋体"/>
          <w:b/>
          <w:color w:val="auto"/>
          <w:sz w:val="24"/>
          <w:szCs w:val="24"/>
          <w:highlight w:val="none"/>
        </w:rPr>
        <w:t>0</w:t>
      </w:r>
      <w:r>
        <w:rPr>
          <w:rFonts w:hint="eastAsia" w:ascii="宋体" w:hAnsi="宋体" w:eastAsia="宋体" w:cs="宋体"/>
          <w:b/>
          <w:color w:val="auto"/>
          <w:sz w:val="24"/>
          <w:szCs w:val="24"/>
          <w:highlight w:val="none"/>
          <w:lang w:val="zh-CN"/>
        </w:rPr>
        <w:t>．履约延误</w:t>
      </w:r>
    </w:p>
    <w:p w14:paraId="3D450392">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zh-CN"/>
        </w:rPr>
        <w:t>.1 供方应按照合同规定的时间、地点提供服务；需方应按照合同规定的时间、地点接受服务。</w:t>
      </w:r>
    </w:p>
    <w:p w14:paraId="534AF5D1">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zh-CN"/>
        </w:rPr>
        <w:t>.2 如果供方无正当理由拖延，将受到以下制裁：加收误期赔偿和／或违约终止合同；如果需方无正当理由拖延和接受服务，应承担相应的违约责任。</w:t>
      </w:r>
    </w:p>
    <w:p w14:paraId="2D6F9AA8">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zh-CN"/>
        </w:rPr>
        <w:t>.3 在履行合同过程中，如果供方遇到可能妨碍其按时提供服务的情况，或者需方遇到可能妨碍其按时接受服务的情况，应及时以书面形式将拖延的事实，可能拖延的期限和理由通知对方。需方（或供方）在收到供方（或需方）通知后，应尽快对情况进行评估，并确定是否通过修改合同，酌情延长交货时间和/或延期提供服务，或者终止合同。</w:t>
      </w:r>
    </w:p>
    <w:p w14:paraId="7415CDEB">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w:t>
      </w:r>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zh-CN"/>
        </w:rPr>
        <w:t>．误期赔偿</w:t>
      </w:r>
    </w:p>
    <w:p w14:paraId="6EA4EDA5">
      <w:pPr>
        <w:wordWrap w:val="0"/>
        <w:adjustRightInd w:val="0"/>
        <w:spacing w:line="500" w:lineRule="exact"/>
        <w:ind w:firstLine="48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除本合同条款</w:t>
      </w:r>
      <w:r>
        <w:rPr>
          <w:rFonts w:hint="eastAsia" w:ascii="宋体" w:hAnsi="宋体" w:eastAsia="宋体" w:cs="宋体"/>
          <w:b/>
          <w:color w:val="auto"/>
          <w:sz w:val="24"/>
          <w:szCs w:val="24"/>
          <w:highlight w:val="none"/>
          <w:lang w:val="zh-CN"/>
        </w:rPr>
        <w:t>第1</w:t>
      </w:r>
      <w:r>
        <w:rPr>
          <w:rFonts w:hint="eastAsia" w:ascii="宋体" w:hAnsi="宋体" w:eastAsia="宋体" w:cs="宋体"/>
          <w:b/>
          <w:color w:val="auto"/>
          <w:sz w:val="24"/>
          <w:szCs w:val="24"/>
          <w:highlight w:val="none"/>
        </w:rPr>
        <w:t>6</w:t>
      </w:r>
      <w:r>
        <w:rPr>
          <w:rFonts w:hint="eastAsia" w:ascii="宋体" w:hAnsi="宋体" w:eastAsia="宋体" w:cs="宋体"/>
          <w:b/>
          <w:color w:val="auto"/>
          <w:sz w:val="24"/>
          <w:szCs w:val="24"/>
          <w:highlight w:val="none"/>
          <w:lang w:val="zh-CN"/>
        </w:rPr>
        <w:t>条</w:t>
      </w:r>
      <w:r>
        <w:rPr>
          <w:rFonts w:hint="eastAsia" w:ascii="宋体" w:hAnsi="宋体" w:eastAsia="宋体" w:cs="宋体"/>
          <w:color w:val="auto"/>
          <w:sz w:val="24"/>
          <w:szCs w:val="24"/>
          <w:highlight w:val="none"/>
          <w:lang w:val="zh-CN"/>
        </w:rPr>
        <w:t>规定的情形外，如果供方没有按照合同规定的时间提供服务，供方应向需方支付误期赔偿费。误期赔偿费每周按延期服务的服务费用的百分之一（1%）计收，直至提供服务为止。一周按七天计算，不足七天按一周计算。但误期赔偿费的最高限额不超过合同价的百分之五（5%）。</w:t>
      </w:r>
    </w:p>
    <w:p w14:paraId="490A33D9">
      <w:pPr>
        <w:wordWrap w:val="0"/>
        <w:adjustRightInd w:val="0"/>
        <w:spacing w:line="500" w:lineRule="exact"/>
        <w:ind w:firstLine="48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误期赔偿费可从应付款中扣除。</w:t>
      </w:r>
    </w:p>
    <w:p w14:paraId="1019E98E">
      <w:pPr>
        <w:wordWrap w:val="0"/>
        <w:adjustRightInd w:val="0"/>
        <w:spacing w:line="500" w:lineRule="exact"/>
        <w:ind w:firstLine="48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zh-CN"/>
        </w:rPr>
        <w:t>.3</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收取误期赔偿费不影响需方采取合同规定的其他补救措施的权利。</w:t>
      </w:r>
    </w:p>
    <w:p w14:paraId="1987CB95">
      <w:pPr>
        <w:wordWrap w:val="0"/>
        <w:adjustRightInd w:val="0"/>
        <w:spacing w:line="500" w:lineRule="exact"/>
        <w:ind w:firstLine="48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zh-CN"/>
        </w:rPr>
        <w:t>.4</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在收取误期赔偿费期间，需方有权决定是否终止合同。</w:t>
      </w:r>
    </w:p>
    <w:p w14:paraId="55C3EA71">
      <w:pPr>
        <w:wordWrap w:val="0"/>
        <w:adjustRightInd w:val="0"/>
        <w:spacing w:line="500" w:lineRule="exact"/>
        <w:ind w:firstLine="48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zh-CN"/>
        </w:rPr>
        <w:t>5</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如果需方违约，应承担相应的违约责任。</w:t>
      </w:r>
    </w:p>
    <w:p w14:paraId="76B86CC8">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12</w:t>
      </w:r>
      <w:r>
        <w:rPr>
          <w:rFonts w:hint="eastAsia" w:ascii="宋体" w:hAnsi="宋体" w:eastAsia="宋体" w:cs="宋体"/>
          <w:b/>
          <w:color w:val="auto"/>
          <w:sz w:val="24"/>
          <w:szCs w:val="24"/>
          <w:highlight w:val="none"/>
          <w:lang w:val="zh-CN"/>
        </w:rPr>
        <w:t>．履约保证金和质量保证金：</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lang w:val="zh-CN"/>
        </w:rPr>
        <w:t>。</w:t>
      </w:r>
    </w:p>
    <w:p w14:paraId="31230313">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13</w:t>
      </w:r>
      <w:r>
        <w:rPr>
          <w:rFonts w:hint="eastAsia" w:ascii="宋体" w:hAnsi="宋体" w:eastAsia="宋体" w:cs="宋体"/>
          <w:b/>
          <w:color w:val="auto"/>
          <w:sz w:val="24"/>
          <w:szCs w:val="24"/>
          <w:highlight w:val="none"/>
          <w:lang w:val="zh-CN"/>
        </w:rPr>
        <w:t>．不可抗力</w:t>
      </w:r>
    </w:p>
    <w:p w14:paraId="6420C890">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lang w:val="zh-CN"/>
        </w:rPr>
        <w:t>.1 如果供方和需方因不可抗力导致合同实施延误或不能履行合同义务，不应该承担误期赔偿或不能履行合同义务的责任。但因供方或需方先延误或不能履行合同而后遇不可抗力的情形除外。</w:t>
      </w:r>
    </w:p>
    <w:p w14:paraId="566BE19F">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lang w:val="zh-CN"/>
        </w:rPr>
        <w:t>.2 本条所述的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不可抗力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系指那些双方无法控制，不可预见的事件，但不包括双方的违约或疏忽。这些事件包括但不限于：战争、严重火灾、洪水、台风、地震以及其它双方商定的事件。</w:t>
      </w:r>
    </w:p>
    <w:p w14:paraId="2AA400F6">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lang w:val="zh-CN"/>
        </w:rPr>
        <w:t>.3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53688436">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14</w:t>
      </w:r>
      <w:r>
        <w:rPr>
          <w:rFonts w:hint="eastAsia" w:ascii="宋体" w:hAnsi="宋体" w:eastAsia="宋体" w:cs="宋体"/>
          <w:b/>
          <w:color w:val="auto"/>
          <w:sz w:val="24"/>
          <w:szCs w:val="24"/>
          <w:highlight w:val="none"/>
          <w:lang w:val="zh-CN"/>
        </w:rPr>
        <w:t>．税费</w:t>
      </w:r>
    </w:p>
    <w:p w14:paraId="719F436E">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.1 根据现行法律规定对需方征收的与本合同有关的一切税费均由需方负担。</w:t>
      </w:r>
    </w:p>
    <w:p w14:paraId="547C216F">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.2 根据现行法律规定对供方征收的与本合同有关的一切税费均由供方负担。</w:t>
      </w:r>
    </w:p>
    <w:p w14:paraId="32A91987">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.3 在中国境外发生的与执行本合同有关的一切税费均由供方负担。</w:t>
      </w:r>
    </w:p>
    <w:p w14:paraId="195A0B38">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15</w:t>
      </w:r>
      <w:r>
        <w:rPr>
          <w:rFonts w:hint="eastAsia" w:ascii="宋体" w:hAnsi="宋体" w:eastAsia="宋体" w:cs="宋体"/>
          <w:b/>
          <w:color w:val="auto"/>
          <w:sz w:val="24"/>
          <w:szCs w:val="24"/>
          <w:highlight w:val="none"/>
          <w:lang w:val="zh-CN"/>
        </w:rPr>
        <w:t>．争议解决方式</w:t>
      </w:r>
    </w:p>
    <w:p w14:paraId="62D417D3">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color w:val="auto"/>
          <w:sz w:val="24"/>
          <w:szCs w:val="24"/>
          <w:highlight w:val="none"/>
        </w:rPr>
        <w:t>15</w:t>
      </w: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供需双方应通过友好协商，解决在执行本合同过程中所发生的或与本合同有关的争议。如果不能协商解决，可以向国家有关部门申请调解。如果调解不成，双方可以在</w:t>
      </w:r>
      <w:r>
        <w:rPr>
          <w:rFonts w:hint="eastAsia" w:ascii="宋体" w:hAnsi="宋体" w:eastAsia="宋体" w:cs="宋体"/>
          <w:b/>
          <w:color w:val="auto"/>
          <w:sz w:val="24"/>
          <w:szCs w:val="24"/>
          <w:highlight w:val="none"/>
          <w:lang w:val="zh-CN"/>
        </w:rPr>
        <w:t>政府采购合同书</w:t>
      </w:r>
      <w:r>
        <w:rPr>
          <w:rFonts w:hint="eastAsia" w:ascii="宋体" w:hAnsi="宋体" w:eastAsia="宋体" w:cs="宋体"/>
          <w:color w:val="auto"/>
          <w:sz w:val="24"/>
          <w:szCs w:val="24"/>
          <w:highlight w:val="none"/>
          <w:lang w:val="zh-CN"/>
        </w:rPr>
        <w:t>内约定以下一种方式解决争议：</w:t>
      </w:r>
    </w:p>
    <w:p w14:paraId="174E3EC6">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第一种方式：双方达成仲裁协议，向约定的仲裁机构申请仲裁；</w:t>
      </w:r>
    </w:p>
    <w:p w14:paraId="4FC82018">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第二种方式：向有管辖权的人民法院提起诉讼。</w:t>
      </w:r>
    </w:p>
    <w:p w14:paraId="59ED18FC">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15</w:t>
      </w:r>
      <w:r>
        <w:rPr>
          <w:rFonts w:hint="eastAsia" w:ascii="宋体" w:hAnsi="宋体" w:eastAsia="宋体" w:cs="宋体"/>
          <w:color w:val="auto"/>
          <w:sz w:val="24"/>
          <w:szCs w:val="24"/>
          <w:highlight w:val="none"/>
          <w:lang w:val="zh-CN"/>
        </w:rPr>
        <w:t>.2 因合同部分履行引发仲裁（诉讼）的，在仲裁（诉讼）期间，除正在进行仲裁（诉讼）的部分外，本合同的其它部分应继续执行。</w:t>
      </w:r>
    </w:p>
    <w:p w14:paraId="630716E7">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16</w:t>
      </w:r>
      <w:r>
        <w:rPr>
          <w:rFonts w:hint="eastAsia" w:ascii="宋体" w:hAnsi="宋体" w:eastAsia="宋体" w:cs="宋体"/>
          <w:b/>
          <w:color w:val="auto"/>
          <w:sz w:val="24"/>
          <w:szCs w:val="24"/>
          <w:highlight w:val="none"/>
          <w:lang w:val="zh-CN"/>
        </w:rPr>
        <w:t>．违约终止合同</w:t>
      </w:r>
    </w:p>
    <w:p w14:paraId="0E578060">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16</w:t>
      </w:r>
      <w:r>
        <w:rPr>
          <w:rFonts w:hint="eastAsia" w:ascii="宋体" w:hAnsi="宋体" w:eastAsia="宋体" w:cs="宋体"/>
          <w:color w:val="auto"/>
          <w:sz w:val="24"/>
          <w:szCs w:val="24"/>
          <w:highlight w:val="none"/>
          <w:lang w:val="zh-CN"/>
        </w:rPr>
        <w:t>.1 在需方因供方违约而按合同约定采取的任何补救措施不受影响的情况下，需方可在下列情况下向供方发出书面通知，提出终止部分或全部合同。</w:t>
      </w:r>
    </w:p>
    <w:p w14:paraId="135A3E3C">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（1）如果供方未能在合同规定的限期或需方同意延长的限期内提供部分或全部服务。</w:t>
      </w:r>
    </w:p>
    <w:p w14:paraId="3AC03A6E">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（2）如果供方未能履行合同规定的其它任何义务。</w:t>
      </w:r>
    </w:p>
    <w:p w14:paraId="3613C369">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（3）如果供方在本合同订立和履行过程中采取了任何</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不正当竞争行为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，危害到国家利益、社会公共利益和需方的合法权益。</w:t>
      </w:r>
    </w:p>
    <w:p w14:paraId="07D1E4AD">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16</w:t>
      </w:r>
      <w:r>
        <w:rPr>
          <w:rFonts w:hint="eastAsia" w:ascii="宋体" w:hAnsi="宋体" w:eastAsia="宋体" w:cs="宋体"/>
          <w:color w:val="auto"/>
          <w:sz w:val="24"/>
          <w:szCs w:val="24"/>
          <w:highlight w:val="none"/>
          <w:lang w:val="zh-CN"/>
        </w:rPr>
        <w:t>.2 如果需方违约，应承担相应的违约责任。</w:t>
      </w:r>
    </w:p>
    <w:p w14:paraId="17B5FD44">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rPr>
        <w:t>17</w:t>
      </w:r>
      <w:r>
        <w:rPr>
          <w:rFonts w:hint="eastAsia" w:ascii="宋体" w:hAnsi="宋体" w:eastAsia="宋体" w:cs="宋体"/>
          <w:b/>
          <w:color w:val="auto"/>
          <w:sz w:val="24"/>
          <w:szCs w:val="24"/>
          <w:highlight w:val="none"/>
          <w:lang w:val="zh-CN"/>
        </w:rPr>
        <w:t>．破产终止合同：</w:t>
      </w:r>
      <w:r>
        <w:rPr>
          <w:rFonts w:hint="eastAsia" w:ascii="宋体" w:hAnsi="宋体" w:eastAsia="宋体" w:cs="宋体"/>
          <w:color w:val="auto"/>
          <w:sz w:val="24"/>
          <w:szCs w:val="24"/>
          <w:highlight w:val="none"/>
          <w:lang w:val="zh-CN"/>
        </w:rPr>
        <w:t>如果供方破产或丧失清偿能力，需方可在任何时候以书面形式通知供方终止合同而不给供方补偿。该终止合同将不损害或影响需方已经采取或将要采取任何补救措施的权力。</w:t>
      </w:r>
    </w:p>
    <w:p w14:paraId="5C88B0A3">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rPr>
        <w:t>18</w:t>
      </w:r>
      <w:r>
        <w:rPr>
          <w:rFonts w:hint="eastAsia" w:ascii="宋体" w:hAnsi="宋体" w:eastAsia="宋体" w:cs="宋体"/>
          <w:b/>
          <w:color w:val="auto"/>
          <w:sz w:val="24"/>
          <w:szCs w:val="24"/>
          <w:highlight w:val="none"/>
          <w:lang w:val="zh-CN"/>
        </w:rPr>
        <w:t>．合同转让和分包：</w:t>
      </w:r>
      <w:r>
        <w:rPr>
          <w:rFonts w:hint="eastAsia" w:ascii="宋体" w:hAnsi="宋体" w:eastAsia="宋体" w:cs="宋体"/>
          <w:color w:val="auto"/>
          <w:sz w:val="24"/>
          <w:szCs w:val="24"/>
          <w:highlight w:val="none"/>
          <w:lang w:val="zh-CN"/>
        </w:rPr>
        <w:t>本合同不得转让或分包。</w:t>
      </w:r>
    </w:p>
    <w:p w14:paraId="48FA9C43">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rPr>
        <w:t>19</w:t>
      </w:r>
      <w:r>
        <w:rPr>
          <w:rFonts w:hint="eastAsia" w:ascii="宋体" w:hAnsi="宋体" w:eastAsia="宋体" w:cs="宋体"/>
          <w:b/>
          <w:color w:val="auto"/>
          <w:sz w:val="24"/>
          <w:szCs w:val="24"/>
          <w:highlight w:val="none"/>
          <w:lang w:val="zh-CN"/>
        </w:rPr>
        <w:t>．需要补充的合同条款：</w:t>
      </w:r>
      <w:r>
        <w:rPr>
          <w:rFonts w:hint="eastAsia" w:ascii="宋体" w:hAnsi="宋体" w:eastAsia="宋体" w:cs="宋体"/>
          <w:color w:val="auto"/>
          <w:sz w:val="24"/>
          <w:szCs w:val="24"/>
          <w:highlight w:val="none"/>
          <w:lang w:val="zh-CN"/>
        </w:rPr>
        <w:t>在政府采购合同书中约定。</w:t>
      </w:r>
    </w:p>
    <w:p w14:paraId="321324E2">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rPr>
        <w:t>20</w:t>
      </w:r>
      <w:r>
        <w:rPr>
          <w:rFonts w:hint="eastAsia" w:ascii="宋体" w:hAnsi="宋体" w:eastAsia="宋体" w:cs="宋体"/>
          <w:b/>
          <w:color w:val="auto"/>
          <w:sz w:val="24"/>
          <w:szCs w:val="24"/>
          <w:highlight w:val="none"/>
          <w:lang w:val="zh-CN"/>
        </w:rPr>
        <w:t>．适用法律：</w:t>
      </w:r>
      <w:r>
        <w:rPr>
          <w:rFonts w:hint="eastAsia" w:ascii="宋体" w:hAnsi="宋体" w:eastAsia="宋体" w:cs="宋体"/>
          <w:color w:val="auto"/>
          <w:sz w:val="24"/>
          <w:szCs w:val="24"/>
          <w:highlight w:val="none"/>
          <w:lang w:val="zh-CN"/>
        </w:rPr>
        <w:t>本合同及附件的订立、效力、解释、履行、争议的解决等适用本合同签订时有效的中华人民共和国法律、法规的有关规定。</w:t>
      </w:r>
    </w:p>
    <w:p w14:paraId="714DB1CE">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21</w:t>
      </w:r>
      <w:r>
        <w:rPr>
          <w:rFonts w:hint="eastAsia" w:ascii="宋体" w:hAnsi="宋体" w:eastAsia="宋体" w:cs="宋体"/>
          <w:b/>
          <w:color w:val="auto"/>
          <w:sz w:val="24"/>
          <w:szCs w:val="24"/>
          <w:highlight w:val="none"/>
          <w:lang w:val="zh-CN"/>
        </w:rPr>
        <w:t>.主导语言与计量单位</w:t>
      </w:r>
    </w:p>
    <w:p w14:paraId="156CE449">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21</w:t>
      </w: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合同应用中文书写。供需双方所有来往信函，以及合同有关的文件均应以中文书写。</w:t>
      </w:r>
    </w:p>
    <w:p w14:paraId="1A05EB60">
      <w:pPr>
        <w:wordWrap w:val="0"/>
        <w:adjustRightInd w:val="0"/>
        <w:spacing w:line="50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21</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除合同另有规定外，计量单位均使用中华人民共和国法定计量单位。</w:t>
      </w:r>
    </w:p>
    <w:p w14:paraId="76E8BFCE">
      <w:pPr>
        <w:wordWrap w:val="0"/>
        <w:adjustRightInd w:val="0"/>
        <w:spacing w:line="500" w:lineRule="exact"/>
        <w:ind w:firstLine="48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22</w:t>
      </w:r>
      <w:r>
        <w:rPr>
          <w:rFonts w:hint="eastAsia" w:ascii="宋体" w:hAnsi="宋体" w:eastAsia="宋体" w:cs="宋体"/>
          <w:b/>
          <w:color w:val="auto"/>
          <w:sz w:val="24"/>
          <w:szCs w:val="24"/>
          <w:highlight w:val="none"/>
          <w:lang w:val="zh-CN"/>
        </w:rPr>
        <w:t>．《中华人民共和国政府采购法》对政府采购合同变更、终止的规定：</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Pr>
          <w:rFonts w:hint="eastAsia" w:ascii="宋体" w:hAnsi="宋体" w:eastAsia="宋体" w:cs="宋体"/>
          <w:color w:val="auto"/>
          <w:sz w:val="24"/>
          <w:szCs w:val="24"/>
          <w:highlight w:val="none"/>
        </w:rPr>
        <w:t>”</w:t>
      </w:r>
    </w:p>
    <w:p w14:paraId="37933F00">
      <w:pPr>
        <w:wordWrap w:val="0"/>
        <w:adjustRightInd w:val="0"/>
        <w:spacing w:line="50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23</w:t>
      </w:r>
      <w:r>
        <w:rPr>
          <w:rFonts w:hint="eastAsia" w:ascii="宋体" w:hAnsi="宋体" w:eastAsia="宋体" w:cs="宋体"/>
          <w:b/>
          <w:color w:val="auto"/>
          <w:sz w:val="24"/>
          <w:szCs w:val="24"/>
          <w:highlight w:val="none"/>
          <w:lang w:val="zh-CN"/>
        </w:rPr>
        <w:t xml:space="preserve">.其他 </w:t>
      </w:r>
    </w:p>
    <w:p w14:paraId="1F2B6059">
      <w:pPr>
        <w:wordWrap w:val="0"/>
        <w:adjustRightInd w:val="0"/>
        <w:spacing w:line="50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23</w:t>
      </w: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此合同文本仅为通用参考合同文本，在确定中标人后，双方将对商务、技术、承诺等内容签订更加详细的内容，采购人保留对合同条款修改的权利。</w:t>
      </w:r>
    </w:p>
    <w:p w14:paraId="61E366AD">
      <w:pPr>
        <w:wordWrap w:val="0"/>
        <w:spacing w:line="500" w:lineRule="exact"/>
        <w:jc w:val="center"/>
        <w:rPr>
          <w:rFonts w:hint="eastAsia" w:ascii="宋体" w:hAnsi="宋体" w:eastAsia="宋体" w:cs="宋体"/>
          <w:b/>
          <w:color w:val="auto"/>
          <w:kern w:val="0"/>
          <w:sz w:val="32"/>
          <w:szCs w:val="32"/>
          <w:highlight w:val="none"/>
        </w:rPr>
      </w:pPr>
      <w:r>
        <w:rPr>
          <w:rFonts w:hint="eastAsia" w:ascii="宋体" w:hAnsi="宋体" w:eastAsia="宋体" w:cs="宋体"/>
          <w:color w:val="auto"/>
          <w:sz w:val="24"/>
          <w:szCs w:val="24"/>
          <w:highlight w:val="none"/>
          <w:lang w:val="zh-CN"/>
        </w:rPr>
        <w:br w:type="page"/>
      </w:r>
      <w:r>
        <w:rPr>
          <w:rFonts w:hint="eastAsia" w:ascii="宋体" w:hAnsi="宋体" w:eastAsia="宋体" w:cs="宋体"/>
          <w:b/>
          <w:color w:val="auto"/>
          <w:kern w:val="0"/>
          <w:sz w:val="32"/>
          <w:szCs w:val="32"/>
          <w:highlight w:val="none"/>
        </w:rPr>
        <w:t>政府采购合同书格式</w:t>
      </w:r>
    </w:p>
    <w:p w14:paraId="0838139B">
      <w:pPr>
        <w:wordWrap w:val="0"/>
        <w:adjustRightInd w:val="0"/>
        <w:spacing w:line="4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合同编号：</w:t>
      </w:r>
      <w:r>
        <w:rPr>
          <w:rFonts w:hint="eastAsia" w:ascii="宋体" w:hAnsi="宋体" w:eastAsia="宋体" w:cs="宋体"/>
          <w:color w:val="auto"/>
          <w:sz w:val="24"/>
          <w:szCs w:val="21"/>
          <w:highlight w:val="none"/>
          <w:u w:val="single"/>
        </w:rPr>
        <w:t xml:space="preserve">                                  </w:t>
      </w:r>
    </w:p>
    <w:p w14:paraId="22E65E7A">
      <w:pPr>
        <w:wordWrap w:val="0"/>
        <w:adjustRightInd w:val="0"/>
        <w:spacing w:line="4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签订地点：</w:t>
      </w:r>
      <w:r>
        <w:rPr>
          <w:rFonts w:hint="eastAsia" w:ascii="宋体" w:hAnsi="宋体" w:eastAsia="宋体" w:cs="宋体"/>
          <w:color w:val="auto"/>
          <w:sz w:val="24"/>
          <w:szCs w:val="21"/>
          <w:highlight w:val="none"/>
          <w:u w:val="single"/>
        </w:rPr>
        <w:t xml:space="preserve">                                  </w:t>
      </w:r>
    </w:p>
    <w:p w14:paraId="5D2DA6D6">
      <w:pPr>
        <w:wordWrap w:val="0"/>
        <w:adjustRightInd w:val="0"/>
        <w:spacing w:line="4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签订日期：</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4"/>
          <w:highlight w:val="none"/>
          <w:lang w:val="zh-CN"/>
        </w:rPr>
        <w:t xml:space="preserve">日 </w:t>
      </w:r>
    </w:p>
    <w:p w14:paraId="2DA27928">
      <w:pPr>
        <w:wordWrap w:val="0"/>
        <w:adjustRightInd w:val="0"/>
        <w:spacing w:line="4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采购任务通知书编号：</w:t>
      </w:r>
      <w:r>
        <w:rPr>
          <w:rFonts w:hint="eastAsia" w:ascii="宋体" w:hAnsi="宋体" w:eastAsia="宋体" w:cs="宋体"/>
          <w:color w:val="auto"/>
          <w:sz w:val="24"/>
          <w:szCs w:val="21"/>
          <w:highlight w:val="none"/>
          <w:u w:val="single"/>
        </w:rPr>
        <w:t xml:space="preserve">                        </w:t>
      </w:r>
    </w:p>
    <w:p w14:paraId="3894DC50">
      <w:pPr>
        <w:wordWrap w:val="0"/>
        <w:adjustRightInd w:val="0"/>
        <w:spacing w:line="440" w:lineRule="exact"/>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（需方）需求的</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（货物名称）经代理机构以编号为</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的招标文件在国内公开招标，评标委员会评定</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（供方）为中标供应商。供需双方按照《中华人民共和国民法典》、《中华人民共和国</w:t>
      </w:r>
      <w:r>
        <w:rPr>
          <w:rFonts w:hint="eastAsia" w:ascii="宋体" w:hAnsi="宋体" w:eastAsia="宋体" w:cs="宋体"/>
          <w:color w:val="auto"/>
          <w:sz w:val="24"/>
          <w:szCs w:val="24"/>
          <w:highlight w:val="none"/>
        </w:rPr>
        <w:t>政府采购法</w:t>
      </w:r>
      <w:r>
        <w:rPr>
          <w:rFonts w:hint="eastAsia" w:ascii="宋体" w:hAnsi="宋体" w:eastAsia="宋体" w:cs="宋体"/>
          <w:color w:val="auto"/>
          <w:sz w:val="24"/>
          <w:szCs w:val="24"/>
          <w:highlight w:val="none"/>
          <w:lang w:val="zh-CN"/>
        </w:rPr>
        <w:t>》和有关法律法规，遵循平等、自愿、公平和诚实信用原则，同意按照下面的条款和条件订立本合同，共同信守。</w:t>
      </w:r>
    </w:p>
    <w:p w14:paraId="43164F0F">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lang w:val="zh-CN"/>
        </w:rPr>
        <w:t>1.合同标的</w:t>
      </w:r>
      <w:r>
        <w:rPr>
          <w:rFonts w:hint="eastAsia" w:ascii="宋体" w:hAnsi="宋体" w:eastAsia="宋体" w:cs="宋体"/>
          <w:color w:val="auto"/>
          <w:sz w:val="24"/>
          <w:szCs w:val="24"/>
          <w:highlight w:val="none"/>
          <w:lang w:val="zh-CN"/>
        </w:rPr>
        <w:t>：</w:t>
      </w:r>
    </w:p>
    <w:tbl>
      <w:tblPr>
        <w:tblStyle w:val="25"/>
        <w:tblW w:w="8555" w:type="dxa"/>
        <w:jc w:val="center"/>
        <w:tblLayout w:type="fixed"/>
        <w:tblCellMar>
          <w:top w:w="0" w:type="dxa"/>
          <w:left w:w="10" w:type="dxa"/>
          <w:bottom w:w="0" w:type="dxa"/>
          <w:right w:w="10" w:type="dxa"/>
        </w:tblCellMar>
      </w:tblPr>
      <w:tblGrid>
        <w:gridCol w:w="1728"/>
        <w:gridCol w:w="2864"/>
        <w:gridCol w:w="1128"/>
        <w:gridCol w:w="1114"/>
        <w:gridCol w:w="1721"/>
      </w:tblGrid>
      <w:tr w14:paraId="6A3FF286">
        <w:tblPrEx>
          <w:tblCellMar>
            <w:top w:w="0" w:type="dxa"/>
            <w:left w:w="10" w:type="dxa"/>
            <w:bottom w:w="0" w:type="dxa"/>
            <w:right w:w="10" w:type="dxa"/>
          </w:tblCellMar>
        </w:tblPrEx>
        <w:trPr>
          <w:trHeight w:val="510" w:hRule="atLeast"/>
          <w:jc w:val="center"/>
        </w:trPr>
        <w:tc>
          <w:tcPr>
            <w:tcW w:w="1728" w:type="dxa"/>
            <w:tcBorders>
              <w:top w:val="single" w:color="000000" w:sz="6" w:space="0"/>
              <w:left w:val="single" w:color="000000" w:sz="6" w:space="0"/>
              <w:bottom w:val="single" w:color="000000" w:sz="6" w:space="0"/>
              <w:right w:val="single" w:color="000000" w:sz="6" w:space="0"/>
            </w:tcBorders>
            <w:noWrap w:val="0"/>
            <w:vAlign w:val="center"/>
          </w:tcPr>
          <w:p w14:paraId="3168ADCA">
            <w:pPr>
              <w:wordWrap w:val="0"/>
              <w:adjustRightIn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采购项目名称</w:t>
            </w:r>
          </w:p>
        </w:tc>
        <w:tc>
          <w:tcPr>
            <w:tcW w:w="2864" w:type="dxa"/>
            <w:tcBorders>
              <w:top w:val="single" w:color="000000" w:sz="6" w:space="0"/>
              <w:left w:val="single" w:color="000000" w:sz="6" w:space="0"/>
              <w:bottom w:val="single" w:color="000000" w:sz="6" w:space="0"/>
              <w:right w:val="single" w:color="000000" w:sz="6" w:space="0"/>
            </w:tcBorders>
            <w:noWrap w:val="0"/>
            <w:vAlign w:val="center"/>
          </w:tcPr>
          <w:p w14:paraId="2C8ECA23">
            <w:pPr>
              <w:wordWrap w:val="0"/>
              <w:adjustRightIn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详细配置及主要技术参数</w:t>
            </w:r>
          </w:p>
        </w:tc>
        <w:tc>
          <w:tcPr>
            <w:tcW w:w="1128" w:type="dxa"/>
            <w:tcBorders>
              <w:top w:val="single" w:color="000000" w:sz="6" w:space="0"/>
              <w:left w:val="single" w:color="000000" w:sz="6" w:space="0"/>
              <w:bottom w:val="single" w:color="000000" w:sz="6" w:space="0"/>
              <w:right w:val="single" w:color="000000" w:sz="6" w:space="0"/>
            </w:tcBorders>
            <w:noWrap w:val="0"/>
            <w:vAlign w:val="center"/>
          </w:tcPr>
          <w:p w14:paraId="6FFB5082">
            <w:pPr>
              <w:wordWrap w:val="0"/>
              <w:adjustRightIn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数量</w:t>
            </w:r>
          </w:p>
        </w:tc>
        <w:tc>
          <w:tcPr>
            <w:tcW w:w="1114" w:type="dxa"/>
            <w:tcBorders>
              <w:top w:val="single" w:color="000000" w:sz="6" w:space="0"/>
              <w:left w:val="single" w:color="000000" w:sz="6" w:space="0"/>
              <w:bottom w:val="single" w:color="000000" w:sz="6" w:space="0"/>
              <w:right w:val="single" w:color="000000" w:sz="6" w:space="0"/>
            </w:tcBorders>
            <w:noWrap w:val="0"/>
            <w:vAlign w:val="center"/>
          </w:tcPr>
          <w:p w14:paraId="2B73B509">
            <w:pPr>
              <w:wordWrap w:val="0"/>
              <w:adjustRightIn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单价</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元</w:t>
            </w:r>
            <w:r>
              <w:rPr>
                <w:rFonts w:hint="eastAsia" w:ascii="宋体" w:hAnsi="宋体" w:eastAsia="宋体" w:cs="宋体"/>
                <w:color w:val="auto"/>
                <w:sz w:val="24"/>
                <w:szCs w:val="24"/>
                <w:highlight w:val="none"/>
              </w:rPr>
              <w:t>)</w:t>
            </w:r>
          </w:p>
        </w:tc>
        <w:tc>
          <w:tcPr>
            <w:tcW w:w="1721" w:type="dxa"/>
            <w:tcBorders>
              <w:top w:val="single" w:color="000000" w:sz="6" w:space="0"/>
              <w:left w:val="single" w:color="000000" w:sz="6" w:space="0"/>
              <w:bottom w:val="single" w:color="000000" w:sz="6" w:space="0"/>
              <w:right w:val="single" w:color="000000" w:sz="6" w:space="0"/>
            </w:tcBorders>
            <w:noWrap w:val="0"/>
            <w:vAlign w:val="center"/>
          </w:tcPr>
          <w:p w14:paraId="4D758B9A">
            <w:pPr>
              <w:wordWrap w:val="0"/>
              <w:adjustRightIn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小计金额</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元</w:t>
            </w:r>
            <w:r>
              <w:rPr>
                <w:rFonts w:hint="eastAsia" w:ascii="宋体" w:hAnsi="宋体" w:eastAsia="宋体" w:cs="宋体"/>
                <w:color w:val="auto"/>
                <w:sz w:val="24"/>
                <w:szCs w:val="24"/>
                <w:highlight w:val="none"/>
              </w:rPr>
              <w:t>)</w:t>
            </w:r>
          </w:p>
        </w:tc>
      </w:tr>
      <w:tr w14:paraId="0BE14CB9">
        <w:tblPrEx>
          <w:tblCellMar>
            <w:top w:w="0" w:type="dxa"/>
            <w:left w:w="10" w:type="dxa"/>
            <w:bottom w:w="0" w:type="dxa"/>
            <w:right w:w="10" w:type="dxa"/>
          </w:tblCellMar>
        </w:tblPrEx>
        <w:trPr>
          <w:trHeight w:val="510" w:hRule="atLeast"/>
          <w:jc w:val="center"/>
        </w:trPr>
        <w:tc>
          <w:tcPr>
            <w:tcW w:w="1728" w:type="dxa"/>
            <w:tcBorders>
              <w:top w:val="single" w:color="000000" w:sz="6" w:space="0"/>
              <w:left w:val="single" w:color="000000" w:sz="6" w:space="0"/>
              <w:bottom w:val="single" w:color="000000" w:sz="6" w:space="0"/>
              <w:right w:val="single" w:color="000000" w:sz="6" w:space="0"/>
            </w:tcBorders>
            <w:noWrap w:val="0"/>
            <w:vAlign w:val="center"/>
          </w:tcPr>
          <w:p w14:paraId="5EAF0BF5">
            <w:pPr>
              <w:wordWrap w:val="0"/>
              <w:adjustRightInd w:val="0"/>
              <w:spacing w:line="440" w:lineRule="exact"/>
              <w:jc w:val="center"/>
              <w:rPr>
                <w:rFonts w:hint="eastAsia" w:ascii="宋体" w:hAnsi="宋体" w:eastAsia="宋体" w:cs="宋体"/>
                <w:color w:val="auto"/>
                <w:sz w:val="24"/>
                <w:szCs w:val="24"/>
                <w:highlight w:val="none"/>
                <w:lang w:val="zh-CN"/>
              </w:rPr>
            </w:pPr>
          </w:p>
        </w:tc>
        <w:tc>
          <w:tcPr>
            <w:tcW w:w="2864" w:type="dxa"/>
            <w:tcBorders>
              <w:top w:val="single" w:color="000000" w:sz="6" w:space="0"/>
              <w:left w:val="single" w:color="000000" w:sz="6" w:space="0"/>
              <w:bottom w:val="single" w:color="000000" w:sz="6" w:space="0"/>
              <w:right w:val="single" w:color="000000" w:sz="6" w:space="0"/>
            </w:tcBorders>
            <w:noWrap w:val="0"/>
            <w:vAlign w:val="center"/>
          </w:tcPr>
          <w:p w14:paraId="523D0194">
            <w:pPr>
              <w:wordWrap w:val="0"/>
              <w:adjustRightInd w:val="0"/>
              <w:spacing w:line="440" w:lineRule="exact"/>
              <w:jc w:val="center"/>
              <w:rPr>
                <w:rFonts w:hint="eastAsia" w:ascii="宋体" w:hAnsi="宋体" w:eastAsia="宋体" w:cs="宋体"/>
                <w:color w:val="auto"/>
                <w:sz w:val="24"/>
                <w:szCs w:val="24"/>
                <w:highlight w:val="none"/>
                <w:lang w:val="zh-CN"/>
              </w:rPr>
            </w:pPr>
          </w:p>
        </w:tc>
        <w:tc>
          <w:tcPr>
            <w:tcW w:w="1128" w:type="dxa"/>
            <w:tcBorders>
              <w:top w:val="single" w:color="000000" w:sz="6" w:space="0"/>
              <w:left w:val="single" w:color="000000" w:sz="6" w:space="0"/>
              <w:bottom w:val="single" w:color="000000" w:sz="6" w:space="0"/>
              <w:right w:val="single" w:color="000000" w:sz="6" w:space="0"/>
            </w:tcBorders>
            <w:noWrap w:val="0"/>
            <w:vAlign w:val="center"/>
          </w:tcPr>
          <w:p w14:paraId="2D2B1CC3">
            <w:pPr>
              <w:wordWrap w:val="0"/>
              <w:adjustRightInd w:val="0"/>
              <w:spacing w:line="440" w:lineRule="exact"/>
              <w:jc w:val="center"/>
              <w:rPr>
                <w:rFonts w:hint="eastAsia" w:ascii="宋体" w:hAnsi="宋体" w:eastAsia="宋体" w:cs="宋体"/>
                <w:color w:val="auto"/>
                <w:sz w:val="24"/>
                <w:szCs w:val="24"/>
                <w:highlight w:val="none"/>
                <w:lang w:val="zh-CN"/>
              </w:rPr>
            </w:pPr>
          </w:p>
        </w:tc>
        <w:tc>
          <w:tcPr>
            <w:tcW w:w="1114" w:type="dxa"/>
            <w:tcBorders>
              <w:top w:val="single" w:color="000000" w:sz="6" w:space="0"/>
              <w:left w:val="single" w:color="000000" w:sz="6" w:space="0"/>
              <w:bottom w:val="single" w:color="000000" w:sz="6" w:space="0"/>
              <w:right w:val="single" w:color="000000" w:sz="6" w:space="0"/>
            </w:tcBorders>
            <w:noWrap w:val="0"/>
            <w:vAlign w:val="center"/>
          </w:tcPr>
          <w:p w14:paraId="55A25426">
            <w:pPr>
              <w:wordWrap w:val="0"/>
              <w:adjustRightInd w:val="0"/>
              <w:spacing w:line="440" w:lineRule="exact"/>
              <w:jc w:val="center"/>
              <w:rPr>
                <w:rFonts w:hint="eastAsia" w:ascii="宋体" w:hAnsi="宋体" w:eastAsia="宋体" w:cs="宋体"/>
                <w:color w:val="auto"/>
                <w:sz w:val="24"/>
                <w:szCs w:val="24"/>
                <w:highlight w:val="none"/>
                <w:lang w:val="zh-CN"/>
              </w:rPr>
            </w:pPr>
          </w:p>
        </w:tc>
        <w:tc>
          <w:tcPr>
            <w:tcW w:w="1721" w:type="dxa"/>
            <w:tcBorders>
              <w:top w:val="single" w:color="000000" w:sz="6" w:space="0"/>
              <w:left w:val="single" w:color="000000" w:sz="6" w:space="0"/>
              <w:bottom w:val="single" w:color="000000" w:sz="6" w:space="0"/>
              <w:right w:val="single" w:color="000000" w:sz="6" w:space="0"/>
            </w:tcBorders>
            <w:noWrap w:val="0"/>
            <w:vAlign w:val="center"/>
          </w:tcPr>
          <w:p w14:paraId="7ED74BD7">
            <w:pPr>
              <w:wordWrap w:val="0"/>
              <w:adjustRightInd w:val="0"/>
              <w:spacing w:line="440" w:lineRule="exact"/>
              <w:jc w:val="center"/>
              <w:rPr>
                <w:rFonts w:hint="eastAsia" w:ascii="宋体" w:hAnsi="宋体" w:eastAsia="宋体" w:cs="宋体"/>
                <w:color w:val="auto"/>
                <w:sz w:val="24"/>
                <w:szCs w:val="24"/>
                <w:highlight w:val="none"/>
                <w:lang w:val="zh-CN"/>
              </w:rPr>
            </w:pPr>
          </w:p>
        </w:tc>
      </w:tr>
      <w:tr w14:paraId="6069532A">
        <w:tblPrEx>
          <w:tblCellMar>
            <w:top w:w="0" w:type="dxa"/>
            <w:left w:w="10" w:type="dxa"/>
            <w:bottom w:w="0" w:type="dxa"/>
            <w:right w:w="10" w:type="dxa"/>
          </w:tblCellMar>
        </w:tblPrEx>
        <w:trPr>
          <w:trHeight w:val="510" w:hRule="atLeast"/>
          <w:jc w:val="center"/>
        </w:trPr>
        <w:tc>
          <w:tcPr>
            <w:tcW w:w="1728" w:type="dxa"/>
            <w:tcBorders>
              <w:top w:val="single" w:color="000000" w:sz="6" w:space="0"/>
              <w:left w:val="single" w:color="000000" w:sz="6" w:space="0"/>
              <w:bottom w:val="single" w:color="000000" w:sz="6" w:space="0"/>
              <w:right w:val="single" w:color="000000" w:sz="6" w:space="0"/>
            </w:tcBorders>
            <w:noWrap w:val="0"/>
            <w:vAlign w:val="center"/>
          </w:tcPr>
          <w:p w14:paraId="03ED1C71">
            <w:pPr>
              <w:wordWrap w:val="0"/>
              <w:adjustRightInd w:val="0"/>
              <w:spacing w:line="440" w:lineRule="exact"/>
              <w:jc w:val="center"/>
              <w:rPr>
                <w:rFonts w:hint="eastAsia" w:ascii="宋体" w:hAnsi="宋体" w:eastAsia="宋体" w:cs="宋体"/>
                <w:color w:val="auto"/>
                <w:sz w:val="24"/>
                <w:szCs w:val="24"/>
                <w:highlight w:val="none"/>
              </w:rPr>
            </w:pPr>
          </w:p>
        </w:tc>
        <w:tc>
          <w:tcPr>
            <w:tcW w:w="2864" w:type="dxa"/>
            <w:tcBorders>
              <w:top w:val="single" w:color="000000" w:sz="6" w:space="0"/>
              <w:left w:val="single" w:color="000000" w:sz="6" w:space="0"/>
              <w:bottom w:val="single" w:color="000000" w:sz="6" w:space="0"/>
              <w:right w:val="single" w:color="000000" w:sz="6" w:space="0"/>
            </w:tcBorders>
            <w:noWrap w:val="0"/>
            <w:vAlign w:val="center"/>
          </w:tcPr>
          <w:p w14:paraId="2FA9FC18">
            <w:pPr>
              <w:wordWrap w:val="0"/>
              <w:adjustRightInd w:val="0"/>
              <w:spacing w:line="440" w:lineRule="exact"/>
              <w:jc w:val="center"/>
              <w:rPr>
                <w:rFonts w:hint="eastAsia" w:ascii="宋体" w:hAnsi="宋体" w:eastAsia="宋体" w:cs="宋体"/>
                <w:color w:val="auto"/>
                <w:sz w:val="24"/>
                <w:szCs w:val="24"/>
                <w:highlight w:val="none"/>
              </w:rPr>
            </w:pPr>
          </w:p>
        </w:tc>
        <w:tc>
          <w:tcPr>
            <w:tcW w:w="1128" w:type="dxa"/>
            <w:tcBorders>
              <w:top w:val="single" w:color="000000" w:sz="6" w:space="0"/>
              <w:left w:val="single" w:color="000000" w:sz="6" w:space="0"/>
              <w:bottom w:val="single" w:color="000000" w:sz="6" w:space="0"/>
              <w:right w:val="single" w:color="000000" w:sz="6" w:space="0"/>
            </w:tcBorders>
            <w:noWrap w:val="0"/>
            <w:vAlign w:val="center"/>
          </w:tcPr>
          <w:p w14:paraId="76905BD3">
            <w:pPr>
              <w:wordWrap w:val="0"/>
              <w:adjustRightInd w:val="0"/>
              <w:spacing w:line="440" w:lineRule="exact"/>
              <w:jc w:val="center"/>
              <w:rPr>
                <w:rFonts w:hint="eastAsia" w:ascii="宋体" w:hAnsi="宋体" w:eastAsia="宋体" w:cs="宋体"/>
                <w:color w:val="auto"/>
                <w:sz w:val="24"/>
                <w:szCs w:val="24"/>
                <w:highlight w:val="none"/>
              </w:rPr>
            </w:pPr>
          </w:p>
        </w:tc>
        <w:tc>
          <w:tcPr>
            <w:tcW w:w="1114" w:type="dxa"/>
            <w:tcBorders>
              <w:top w:val="single" w:color="000000" w:sz="6" w:space="0"/>
              <w:left w:val="single" w:color="000000" w:sz="6" w:space="0"/>
              <w:bottom w:val="single" w:color="000000" w:sz="6" w:space="0"/>
              <w:right w:val="single" w:color="000000" w:sz="6" w:space="0"/>
            </w:tcBorders>
            <w:noWrap w:val="0"/>
            <w:vAlign w:val="center"/>
          </w:tcPr>
          <w:p w14:paraId="0270FF67">
            <w:pPr>
              <w:wordWrap w:val="0"/>
              <w:adjustRightInd w:val="0"/>
              <w:spacing w:line="440" w:lineRule="exact"/>
              <w:jc w:val="center"/>
              <w:rPr>
                <w:rFonts w:hint="eastAsia" w:ascii="宋体" w:hAnsi="宋体" w:eastAsia="宋体" w:cs="宋体"/>
                <w:color w:val="auto"/>
                <w:sz w:val="24"/>
                <w:szCs w:val="24"/>
                <w:highlight w:val="none"/>
              </w:rPr>
            </w:pPr>
          </w:p>
        </w:tc>
        <w:tc>
          <w:tcPr>
            <w:tcW w:w="1721" w:type="dxa"/>
            <w:tcBorders>
              <w:top w:val="single" w:color="000000" w:sz="6" w:space="0"/>
              <w:left w:val="single" w:color="000000" w:sz="6" w:space="0"/>
              <w:bottom w:val="single" w:color="000000" w:sz="6" w:space="0"/>
              <w:right w:val="single" w:color="000000" w:sz="6" w:space="0"/>
            </w:tcBorders>
            <w:noWrap w:val="0"/>
            <w:vAlign w:val="center"/>
          </w:tcPr>
          <w:p w14:paraId="44072056">
            <w:pPr>
              <w:wordWrap w:val="0"/>
              <w:adjustRightInd w:val="0"/>
              <w:spacing w:line="440" w:lineRule="exact"/>
              <w:jc w:val="center"/>
              <w:rPr>
                <w:rFonts w:hint="eastAsia" w:ascii="宋体" w:hAnsi="宋体" w:eastAsia="宋体" w:cs="宋体"/>
                <w:color w:val="auto"/>
                <w:sz w:val="24"/>
                <w:szCs w:val="24"/>
                <w:highlight w:val="none"/>
              </w:rPr>
            </w:pPr>
          </w:p>
        </w:tc>
      </w:tr>
    </w:tbl>
    <w:p w14:paraId="4A6D7DDF">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lang w:val="zh-CN"/>
        </w:rPr>
        <w:t>2.合同价格：</w:t>
      </w:r>
      <w:r>
        <w:rPr>
          <w:rFonts w:hint="eastAsia" w:ascii="宋体" w:hAnsi="宋体" w:eastAsia="宋体" w:cs="宋体"/>
          <w:color w:val="auto"/>
          <w:sz w:val="24"/>
          <w:szCs w:val="24"/>
          <w:highlight w:val="none"/>
          <w:lang w:val="zh-CN"/>
        </w:rPr>
        <w:t>大写：</w:t>
      </w:r>
      <w:r>
        <w:rPr>
          <w:rFonts w:hint="eastAsia" w:ascii="宋体" w:hAnsi="宋体" w:eastAsia="宋体" w:cs="宋体"/>
          <w:color w:val="auto"/>
          <w:sz w:val="24"/>
          <w:szCs w:val="24"/>
          <w:highlight w:val="none"/>
          <w:u w:val="single"/>
          <w:lang w:val="zh-CN"/>
        </w:rPr>
        <w:t xml:space="preserve">人民币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，小写：</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w:t>
      </w:r>
    </w:p>
    <w:p w14:paraId="4BD0CC46">
      <w:pPr>
        <w:wordWrap w:val="0"/>
        <w:adjustRightInd w:val="0"/>
        <w:spacing w:line="44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3.交货时间、地点、方式、质量</w:t>
      </w:r>
    </w:p>
    <w:p w14:paraId="23B54C4F">
      <w:pPr>
        <w:wordWrap w:val="0"/>
        <w:adjustRightInd w:val="0"/>
        <w:spacing w:line="44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交货时间：</w:t>
      </w:r>
    </w:p>
    <w:p w14:paraId="59D4BD81">
      <w:pPr>
        <w:wordWrap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3.2</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交货地点：</w:t>
      </w:r>
    </w:p>
    <w:p w14:paraId="055B3C72">
      <w:pPr>
        <w:wordWrap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3.3</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交货方式：</w:t>
      </w:r>
      <w:r>
        <w:rPr>
          <w:rFonts w:hint="eastAsia" w:ascii="宋体" w:hAnsi="宋体" w:eastAsia="宋体" w:cs="宋体"/>
          <w:color w:val="auto"/>
          <w:sz w:val="24"/>
          <w:szCs w:val="24"/>
          <w:highlight w:val="none"/>
        </w:rPr>
        <w:t>供方负责将货物安全完好运抵交货地点、安装调试并保证验收合格。</w:t>
      </w:r>
    </w:p>
    <w:p w14:paraId="635E4D48">
      <w:pPr>
        <w:wordWrap w:val="0"/>
        <w:adjustRightIn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 质量要求：供方提供的货物必须是原厂生产的、全新的、未使用过的（包括零部件），并完全符合国家质量检测标准行业和质量检测标准以及合同规定的质量规格和性能要求。供方完成对货物安装调试后，由需方对货物的质量、规格、数量、软件安装和运行状况及其他进行检验。如发现货物的质量、规格、数量与合同规定不符，甲方有权拒绝接收。</w:t>
      </w:r>
    </w:p>
    <w:p w14:paraId="23D55B03">
      <w:pPr>
        <w:wordWrap w:val="0"/>
        <w:adjustRightInd w:val="0"/>
        <w:spacing w:line="44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 xml:space="preserve">4.付款方式 </w:t>
      </w:r>
    </w:p>
    <w:p w14:paraId="5EE94E0D">
      <w:pPr>
        <w:wordWrap w:val="0"/>
        <w:adjustRightIn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4.1</w:t>
      </w:r>
      <w:r>
        <w:rPr>
          <w:rFonts w:hint="eastAsia" w:ascii="宋体" w:hAnsi="宋体" w:eastAsia="宋体" w:cs="宋体"/>
          <w:color w:val="auto"/>
          <w:sz w:val="24"/>
          <w:szCs w:val="24"/>
          <w:highlight w:val="none"/>
        </w:rPr>
        <w:t xml:space="preserve"> 供方交货时应提交下列文件：销售发票，国家有关质检机构出具的检验报告或证书（如果合同约定有的话），进口产品的报关文件（如果合同约定有的话），制造厂商出具的质量检验证书、产品合格证等。</w:t>
      </w:r>
    </w:p>
    <w:p w14:paraId="2A59C80B">
      <w:pPr>
        <w:wordWrap w:val="0"/>
        <w:adjustRightInd w:val="0"/>
        <w:spacing w:line="44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4.2 本合同总价款中由需方自行支付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元。需方承诺供货结束且需方组织验收合格后付款</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bCs/>
          <w:color w:val="auto"/>
          <w:sz w:val="24"/>
          <w:szCs w:val="24"/>
          <w:highlight w:val="none"/>
        </w:rPr>
        <w:t>。</w:t>
      </w:r>
    </w:p>
    <w:p w14:paraId="1AB2D087">
      <w:pPr>
        <w:wordWrap w:val="0"/>
        <w:adjustRightIn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 xml:space="preserve">4.3 </w:t>
      </w:r>
      <w:r>
        <w:rPr>
          <w:rFonts w:hint="eastAsia" w:ascii="宋体" w:hAnsi="宋体" w:eastAsia="宋体" w:cs="宋体"/>
          <w:color w:val="auto"/>
          <w:sz w:val="24"/>
          <w:szCs w:val="24"/>
          <w:highlight w:val="none"/>
        </w:rPr>
        <w:t>如果需方未按上述原则支付，由需方承担违约责任，供方承担全部收款责任，与招标机构无关。</w:t>
      </w:r>
    </w:p>
    <w:p w14:paraId="0C511A0D">
      <w:pPr>
        <w:wordWrap w:val="0"/>
        <w:adjustRightInd w:val="0"/>
        <w:spacing w:line="44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5．履约保证金</w:t>
      </w:r>
    </w:p>
    <w:p w14:paraId="0C2A80C4">
      <w:pPr>
        <w:wordWrap w:val="0"/>
        <w:adjustRightInd w:val="0"/>
        <w:spacing w:line="440" w:lineRule="exact"/>
        <w:ind w:firstLine="482"/>
        <w:rPr>
          <w:rFonts w:hint="eastAsia" w:ascii="宋体" w:hAnsi="宋体" w:eastAsia="宋体" w:cs="宋体"/>
          <w:b/>
          <w:color w:val="auto"/>
          <w:sz w:val="24"/>
          <w:szCs w:val="24"/>
          <w:highlight w:val="none"/>
          <w:lang w:val="zh-CN"/>
        </w:rPr>
      </w:pPr>
    </w:p>
    <w:p w14:paraId="47B606FE">
      <w:pPr>
        <w:wordWrap w:val="0"/>
        <w:adjustRightInd w:val="0"/>
        <w:spacing w:line="44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6.质量保证金</w:t>
      </w:r>
    </w:p>
    <w:p w14:paraId="1EB87F5E">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无</w:t>
      </w:r>
    </w:p>
    <w:p w14:paraId="6E030574">
      <w:pPr>
        <w:wordWrap w:val="0"/>
        <w:adjustRightInd w:val="0"/>
        <w:spacing w:line="44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7.合同补充条款：</w:t>
      </w:r>
    </w:p>
    <w:p w14:paraId="2B2E1EB5">
      <w:pPr>
        <w:wordWrap w:val="0"/>
        <w:adjustRightInd w:val="0"/>
        <w:spacing w:line="440" w:lineRule="exact"/>
        <w:ind w:firstLine="482"/>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8.争议解决方式：</w:t>
      </w:r>
      <w:r>
        <w:rPr>
          <w:rFonts w:hint="eastAsia" w:ascii="宋体" w:hAnsi="宋体" w:eastAsia="宋体" w:cs="宋体"/>
          <w:color w:val="auto"/>
          <w:sz w:val="24"/>
          <w:szCs w:val="24"/>
          <w:highlight w:val="none"/>
          <w:lang w:val="zh-CN"/>
        </w:rPr>
        <w:t>供需双方达成仲裁协议，向仲裁委员会申请仲裁（向合同签定地人民法院提起诉讼）。</w:t>
      </w:r>
    </w:p>
    <w:p w14:paraId="2D6035C9">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lang w:val="zh-CN"/>
        </w:rPr>
        <w:t>9．合同构成：</w:t>
      </w:r>
      <w:r>
        <w:rPr>
          <w:rFonts w:hint="eastAsia" w:ascii="宋体" w:hAnsi="宋体" w:eastAsia="宋体" w:cs="宋体"/>
          <w:color w:val="auto"/>
          <w:sz w:val="24"/>
          <w:szCs w:val="24"/>
          <w:highlight w:val="none"/>
          <w:lang w:val="zh-CN"/>
        </w:rPr>
        <w:t>下列文件构成本合同不可分割的组成部分，与本合同具有同等法律效力：</w:t>
      </w:r>
    </w:p>
    <w:p w14:paraId="480E5D67">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9.1</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本合同书；</w:t>
      </w:r>
    </w:p>
    <w:p w14:paraId="160B0424">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9.2</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中标通知书；</w:t>
      </w:r>
    </w:p>
    <w:p w14:paraId="5D9D9CFA">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9.3</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招标文件及澄清、修改、补遗文件；</w:t>
      </w:r>
    </w:p>
    <w:p w14:paraId="43278E40">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9.4</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供方的投标文件及书面澄清、说明、补正文件；</w:t>
      </w:r>
    </w:p>
    <w:p w14:paraId="599DDE38">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9.5</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产品样本、样品、说明书、图纸等有关资料；</w:t>
      </w:r>
    </w:p>
    <w:p w14:paraId="2EB0358D">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9.6</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政府采购验收报告单；</w:t>
      </w:r>
    </w:p>
    <w:p w14:paraId="58E8B953">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9.7</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合同的其它附件。</w:t>
      </w:r>
    </w:p>
    <w:p w14:paraId="7C1012C3">
      <w:pPr>
        <w:wordWrap w:val="0"/>
        <w:adjustRightInd w:val="0"/>
        <w:spacing w:line="440" w:lineRule="exact"/>
        <w:ind w:firstLine="48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上述组成合同的文件如有不一致之处，以日期在后的为准。</w:t>
      </w:r>
    </w:p>
    <w:p w14:paraId="0CD490AD">
      <w:pPr>
        <w:wordWrap w:val="0"/>
        <w:adjustRightInd w:val="0"/>
        <w:spacing w:line="440" w:lineRule="exact"/>
        <w:ind w:firstLine="480"/>
        <w:rPr>
          <w:rFonts w:hint="eastAsia" w:ascii="宋体" w:hAnsi="宋体" w:eastAsia="宋体" w:cs="宋体"/>
          <w:color w:val="auto"/>
          <w:sz w:val="24"/>
          <w:szCs w:val="24"/>
          <w:highlight w:val="none"/>
          <w:u w:val="single"/>
          <w:lang w:val="zh-CN"/>
        </w:rPr>
      </w:pPr>
      <w:r>
        <w:rPr>
          <w:rFonts w:hint="eastAsia" w:ascii="宋体" w:hAnsi="宋体" w:eastAsia="宋体" w:cs="宋体"/>
          <w:b/>
          <w:color w:val="auto"/>
          <w:sz w:val="24"/>
          <w:szCs w:val="24"/>
          <w:highlight w:val="none"/>
          <w:lang w:val="zh-CN"/>
        </w:rPr>
        <w:t>10.</w:t>
      </w:r>
      <w:r>
        <w:rPr>
          <w:rFonts w:hint="eastAsia" w:ascii="宋体" w:hAnsi="宋体" w:eastAsia="宋体" w:cs="宋体"/>
          <w:b/>
          <w:color w:val="auto"/>
          <w:spacing w:val="-20"/>
          <w:sz w:val="24"/>
          <w:szCs w:val="24"/>
          <w:highlight w:val="none"/>
          <w:lang w:val="zh-CN"/>
        </w:rPr>
        <w:t>合同份数</w:t>
      </w:r>
      <w:r>
        <w:rPr>
          <w:rFonts w:hint="eastAsia" w:ascii="宋体" w:hAnsi="宋体" w:eastAsia="宋体" w:cs="宋体"/>
          <w:b/>
          <w:color w:val="auto"/>
          <w:sz w:val="24"/>
          <w:szCs w:val="24"/>
          <w:highlight w:val="none"/>
          <w:lang w:val="zh-CN"/>
        </w:rPr>
        <w:t>：</w:t>
      </w:r>
      <w:r>
        <w:rPr>
          <w:rFonts w:hint="eastAsia" w:ascii="宋体" w:hAnsi="宋体" w:eastAsia="宋体" w:cs="宋体"/>
          <w:color w:val="auto"/>
          <w:kern w:val="10"/>
          <w:sz w:val="24"/>
          <w:szCs w:val="24"/>
          <w:highlight w:val="none"/>
          <w:lang w:val="zh-CN"/>
        </w:rPr>
        <w:t>本合同一式</w:t>
      </w:r>
      <w:r>
        <w:rPr>
          <w:rFonts w:hint="eastAsia" w:ascii="宋体" w:hAnsi="宋体" w:eastAsia="宋体" w:cs="宋体"/>
          <w:color w:val="auto"/>
          <w:kern w:val="10"/>
          <w:sz w:val="24"/>
          <w:szCs w:val="24"/>
          <w:highlight w:val="none"/>
          <w:u w:val="single"/>
          <w:lang w:val="zh-CN"/>
        </w:rPr>
        <w:t xml:space="preserve">            </w:t>
      </w:r>
      <w:r>
        <w:rPr>
          <w:rFonts w:hint="eastAsia" w:ascii="宋体" w:hAnsi="宋体" w:eastAsia="宋体" w:cs="宋体"/>
          <w:color w:val="auto"/>
          <w:kern w:val="10"/>
          <w:sz w:val="24"/>
          <w:szCs w:val="24"/>
          <w:highlight w:val="none"/>
          <w:lang w:val="zh-CN"/>
        </w:rPr>
        <w:t>份，供需双方和相关机构各执一份，另一份作为需方向</w:t>
      </w:r>
      <w:r>
        <w:rPr>
          <w:rFonts w:hint="eastAsia" w:ascii="宋体" w:hAnsi="宋体" w:eastAsia="宋体" w:cs="宋体"/>
          <w:color w:val="auto"/>
          <w:kern w:val="10"/>
          <w:sz w:val="24"/>
          <w:szCs w:val="24"/>
          <w:highlight w:val="none"/>
          <w:u w:val="single"/>
          <w:lang w:val="zh-CN"/>
        </w:rPr>
        <w:t xml:space="preserve">         </w:t>
      </w:r>
      <w:r>
        <w:rPr>
          <w:rFonts w:hint="eastAsia" w:ascii="宋体" w:hAnsi="宋体" w:eastAsia="宋体" w:cs="宋体"/>
          <w:color w:val="auto"/>
          <w:kern w:val="10"/>
          <w:sz w:val="24"/>
          <w:szCs w:val="24"/>
          <w:highlight w:val="none"/>
          <w:lang w:val="zh-CN"/>
        </w:rPr>
        <w:t>提请付款的凭证。</w:t>
      </w:r>
    </w:p>
    <w:p w14:paraId="721CF17A">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lang w:val="zh-CN"/>
        </w:rPr>
        <w:t>11.合同生效：</w:t>
      </w:r>
      <w:r>
        <w:rPr>
          <w:rFonts w:hint="eastAsia" w:ascii="宋体" w:hAnsi="宋体" w:eastAsia="宋体" w:cs="宋体"/>
          <w:color w:val="auto"/>
          <w:sz w:val="24"/>
          <w:szCs w:val="24"/>
          <w:highlight w:val="none"/>
          <w:lang w:val="zh-CN"/>
        </w:rPr>
        <w:t>本合同在供需双方法定代表人或其委托代理人签字、加盖公章或者合同专用章后生效。</w:t>
      </w:r>
    </w:p>
    <w:p w14:paraId="5E5982A1">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lang w:val="zh-CN"/>
        </w:rPr>
        <w:t>12.合同修改：</w:t>
      </w:r>
      <w:r>
        <w:rPr>
          <w:rFonts w:hint="eastAsia" w:ascii="宋体" w:hAnsi="宋体" w:eastAsia="宋体" w:cs="宋体"/>
          <w:color w:val="auto"/>
          <w:sz w:val="24"/>
          <w:szCs w:val="24"/>
          <w:highlight w:val="none"/>
          <w:lang w:val="zh-CN"/>
        </w:rPr>
        <w:t>除供需双方签署书面修改、补充协议外，本合同条件不得有任何变化或修改。</w:t>
      </w:r>
    </w:p>
    <w:p w14:paraId="3C48BE2B">
      <w:pPr>
        <w:wordWrap w:val="0"/>
        <w:adjustRightInd w:val="0"/>
        <w:spacing w:line="440" w:lineRule="exact"/>
        <w:ind w:firstLine="482"/>
        <w:rPr>
          <w:rFonts w:hint="eastAsia" w:ascii="宋体" w:hAnsi="宋体" w:eastAsia="宋体" w:cs="宋体"/>
          <w:color w:val="auto"/>
          <w:sz w:val="24"/>
          <w:szCs w:val="24"/>
          <w:highlight w:val="none"/>
          <w:lang w:val="zh-CN"/>
        </w:rPr>
      </w:pPr>
    </w:p>
    <w:p w14:paraId="54D077EF">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需方：（加盖公章或合同专用章）             </w:t>
      </w:r>
    </w:p>
    <w:p w14:paraId="255CE69C">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地址：                                     </w:t>
      </w:r>
    </w:p>
    <w:p w14:paraId="50242292">
      <w:pPr>
        <w:wordWrap w:val="0"/>
        <w:adjustRightInd w:val="0"/>
        <w:spacing w:line="440" w:lineRule="exact"/>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 xml:space="preserve">法定代表人或委托代理人：（签字或盖章）     </w:t>
      </w:r>
    </w:p>
    <w:p w14:paraId="1050F74F">
      <w:pPr>
        <w:wordWrap w:val="0"/>
        <w:adjustRightIn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联系电话：                                 </w:t>
      </w:r>
    </w:p>
    <w:p w14:paraId="2F3DF190">
      <w:pPr>
        <w:wordWrap w:val="0"/>
        <w:adjustRightInd w:val="0"/>
        <w:spacing w:after="120" w:afterLines="50"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邮政编码：                                 </w:t>
      </w:r>
    </w:p>
    <w:p w14:paraId="707BAFA0">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供方：（加盖公章或合同专用章）             </w:t>
      </w:r>
    </w:p>
    <w:p w14:paraId="069B406E">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地址：                                     </w:t>
      </w:r>
    </w:p>
    <w:p w14:paraId="79E242F6">
      <w:pPr>
        <w:wordWrap w:val="0"/>
        <w:adjustRightInd w:val="0"/>
        <w:spacing w:line="440" w:lineRule="exact"/>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 xml:space="preserve">法定代表人或委托代理人：（签字或盖章）     </w:t>
      </w:r>
    </w:p>
    <w:p w14:paraId="430ECC5C">
      <w:pPr>
        <w:wordWrap w:val="0"/>
        <w:adjustRightIn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联系电话：                                 </w:t>
      </w:r>
    </w:p>
    <w:p w14:paraId="331CD894">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邮政编码：                                 </w:t>
      </w:r>
    </w:p>
    <w:p w14:paraId="452BB5A1">
      <w:pPr>
        <w:wordWrap w:val="0"/>
        <w:adjustRightInd w:val="0"/>
        <w:spacing w:line="440" w:lineRule="exact"/>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传    真：                                 </w:t>
      </w:r>
    </w:p>
    <w:p w14:paraId="4BB4654A">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账户名称：                                 </w:t>
      </w:r>
    </w:p>
    <w:p w14:paraId="2B56E2AC">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开户银行：                                 </w:t>
      </w:r>
    </w:p>
    <w:p w14:paraId="7B496D2D">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账    号：                                 </w:t>
      </w:r>
    </w:p>
    <w:p w14:paraId="1BD6E2DE">
      <w:pPr>
        <w:wordWrap w:val="0"/>
        <w:adjustRightInd w:val="0"/>
        <w:spacing w:line="440" w:lineRule="exact"/>
        <w:ind w:firstLine="482"/>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联 系 人：                                 </w:t>
      </w:r>
    </w:p>
    <w:p w14:paraId="43F9AF96">
      <w:pPr>
        <w:widowControl w:val="0"/>
        <w:wordWrap w:val="0"/>
        <w:spacing w:after="120"/>
        <w:jc w:val="both"/>
        <w:rPr>
          <w:rFonts w:hint="eastAsia" w:ascii="宋体" w:hAnsi="宋体" w:eastAsia="宋体" w:cs="宋体"/>
          <w:color w:val="auto"/>
          <w:kern w:val="0"/>
          <w:sz w:val="20"/>
          <w:highlight w:val="none"/>
          <w:lang w:val="zh-CN" w:eastAsia="zh-CN" w:bidi="ar-SA"/>
        </w:rPr>
      </w:pPr>
    </w:p>
    <w:p w14:paraId="33C49393">
      <w:pPr>
        <w:wordWrap w:val="0"/>
        <w:adjustRightInd w:val="0"/>
        <w:spacing w:line="440" w:lineRule="exact"/>
        <w:ind w:firstLine="482"/>
        <w:jc w:val="right"/>
        <w:rPr>
          <w:rFonts w:hint="eastAsia" w:ascii="宋体" w:hAnsi="宋体" w:eastAsia="宋体" w:cs="宋体"/>
          <w:b/>
          <w:color w:val="auto"/>
          <w:sz w:val="24"/>
          <w:szCs w:val="28"/>
          <w:highlight w:val="none"/>
        </w:rPr>
      </w:pPr>
      <w:r>
        <w:rPr>
          <w:rFonts w:hint="eastAsia" w:ascii="宋体" w:hAnsi="宋体" w:eastAsia="宋体" w:cs="宋体"/>
          <w:color w:val="auto"/>
          <w:sz w:val="24"/>
          <w:szCs w:val="24"/>
          <w:highlight w:val="none"/>
          <w:lang w:val="zh-CN"/>
        </w:rPr>
        <w:t>签约时间：   年   月   日</w:t>
      </w:r>
    </w:p>
    <w:p w14:paraId="06B8E0EB">
      <w:pPr>
        <w:wordWrap w:val="0"/>
        <w:spacing w:line="440" w:lineRule="exact"/>
        <w:rPr>
          <w:rFonts w:hint="eastAsia" w:ascii="宋体" w:hAnsi="宋体" w:eastAsia="宋体" w:cs="宋体"/>
          <w:b/>
          <w:color w:val="auto"/>
          <w:sz w:val="24"/>
          <w:szCs w:val="28"/>
          <w:highlight w:val="none"/>
        </w:rPr>
      </w:pPr>
    </w:p>
    <w:p w14:paraId="6DB60A03">
      <w:pPr>
        <w:spacing w:line="360" w:lineRule="auto"/>
        <w:jc w:val="center"/>
        <w:outlineLvl w:val="0"/>
        <w:rPr>
          <w:rStyle w:val="66"/>
          <w:rFonts w:hint="eastAsia" w:ascii="宋体" w:hAnsi="宋体" w:eastAsia="宋体" w:cs="宋体"/>
          <w:color w:val="auto"/>
          <w:highlight w:val="none"/>
        </w:rPr>
        <w:sectPr>
          <w:footerReference r:id="rId6" w:type="first"/>
          <w:footerReference r:id="rId5" w:type="default"/>
          <w:pgSz w:w="11906" w:h="16838"/>
          <w:pgMar w:top="1440" w:right="1080" w:bottom="1440" w:left="1080" w:header="850" w:footer="850" w:gutter="0"/>
          <w:pgBorders>
            <w:top w:val="none" w:sz="0" w:space="0"/>
            <w:left w:val="none" w:sz="0" w:space="0"/>
            <w:bottom w:val="none" w:sz="0" w:space="0"/>
            <w:right w:val="none" w:sz="0" w:space="0"/>
          </w:pgBorders>
          <w:pgNumType w:fmt="decimal" w:start="1"/>
          <w:cols w:space="720" w:num="1"/>
          <w:titlePg/>
          <w:docGrid w:type="lines" w:linePitch="490" w:charSpace="0"/>
        </w:sectPr>
      </w:pPr>
      <w:bookmarkStart w:id="128" w:name="_Toc3646"/>
      <w:r>
        <w:rPr>
          <w:rFonts w:hint="eastAsia" w:ascii="宋体" w:hAnsi="宋体" w:eastAsia="宋体" w:cs="宋体"/>
          <w:b/>
          <w:color w:val="auto"/>
          <w:kern w:val="0"/>
          <w:sz w:val="24"/>
          <w:szCs w:val="28"/>
          <w:highlight w:val="none"/>
          <w:lang w:val="en-US" w:eastAsia="zh-CN" w:bidi="ar-SA"/>
        </w:rPr>
        <w:t>注：本合同条款仅供参考，最终以甲方提供的样本并经甲乙双方协商一致的合同为准。</w:t>
      </w:r>
      <w:bookmarkEnd w:id="128"/>
    </w:p>
    <w:p w14:paraId="5ADFAF4F">
      <w:pPr>
        <w:pStyle w:val="5"/>
        <w:numPr>
          <w:ilvl w:val="0"/>
          <w:numId w:val="1"/>
        </w:numPr>
        <w:bidi w:val="0"/>
        <w:spacing w:line="240" w:lineRule="auto"/>
        <w:jc w:val="center"/>
        <w:rPr>
          <w:rFonts w:hint="eastAsia" w:ascii="宋体" w:hAnsi="宋体" w:eastAsia="宋体" w:cs="宋体"/>
          <w:color w:val="auto"/>
          <w:sz w:val="36"/>
          <w:szCs w:val="36"/>
          <w:highlight w:val="none"/>
          <w:lang w:val="en-US" w:eastAsia="zh-CN"/>
        </w:rPr>
      </w:pPr>
      <w:bookmarkStart w:id="129" w:name="_Toc5903"/>
      <w:r>
        <w:rPr>
          <w:rFonts w:hint="eastAsia" w:ascii="宋体" w:hAnsi="宋体" w:eastAsia="宋体" w:cs="宋体"/>
          <w:color w:val="auto"/>
          <w:sz w:val="36"/>
          <w:szCs w:val="36"/>
          <w:highlight w:val="none"/>
          <w:lang w:val="zh-CN" w:eastAsia="zh-CN"/>
        </w:rPr>
        <w:t xml:space="preserve"> </w:t>
      </w:r>
      <w:bookmarkEnd w:id="102"/>
      <w:bookmarkEnd w:id="103"/>
      <w:bookmarkEnd w:id="104"/>
      <w:bookmarkEnd w:id="105"/>
      <w:bookmarkEnd w:id="106"/>
      <w:bookmarkEnd w:id="107"/>
      <w:bookmarkEnd w:id="108"/>
      <w:bookmarkEnd w:id="109"/>
      <w:bookmarkEnd w:id="110"/>
      <w:bookmarkEnd w:id="111"/>
      <w:bookmarkEnd w:id="112"/>
      <w:bookmarkEnd w:id="129"/>
      <w:r>
        <w:rPr>
          <w:rFonts w:hint="eastAsia" w:ascii="宋体" w:hAnsi="宋体" w:eastAsia="宋体" w:cs="宋体"/>
          <w:color w:val="auto"/>
          <w:sz w:val="36"/>
          <w:szCs w:val="36"/>
          <w:highlight w:val="none"/>
          <w:lang w:val="en-US" w:eastAsia="zh-CN"/>
        </w:rPr>
        <w:t>技术要求</w:t>
      </w:r>
    </w:p>
    <w:p w14:paraId="10C3B029">
      <w:pPr>
        <w:numPr>
          <w:ilvl w:val="0"/>
          <w:numId w:val="0"/>
        </w:numPr>
        <w:rPr>
          <w:rFonts w:hint="default"/>
          <w:b/>
          <w:bCs/>
          <w:color w:val="auto"/>
          <w:highlight w:val="none"/>
          <w:lang w:val="en-US" w:eastAsia="zh-CN"/>
        </w:rPr>
      </w:pPr>
      <w:r>
        <w:rPr>
          <w:rFonts w:hint="eastAsia"/>
          <w:b/>
          <w:bCs/>
          <w:color w:val="auto"/>
          <w:highlight w:val="none"/>
          <w:lang w:val="en-US" w:eastAsia="zh-CN"/>
        </w:rPr>
        <w:t>第一包参数</w:t>
      </w:r>
    </w:p>
    <w:tbl>
      <w:tblPr>
        <w:tblStyle w:val="25"/>
        <w:tblW w:w="1008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8"/>
        <w:gridCol w:w="1095"/>
        <w:gridCol w:w="1232"/>
        <w:gridCol w:w="4573"/>
        <w:gridCol w:w="805"/>
        <w:gridCol w:w="684"/>
        <w:gridCol w:w="924"/>
      </w:tblGrid>
      <w:tr w14:paraId="19BB8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blHeader/>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03214F">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sz w:val="21"/>
                <w:szCs w:val="21"/>
                <w:highlight w:val="none"/>
                <w:u w:val="none"/>
                <w:lang w:val="en-US" w:eastAsia="zh-CN"/>
              </w:rPr>
            </w:pPr>
            <w:bookmarkStart w:id="130" w:name="_Toc26078"/>
            <w:bookmarkStart w:id="131" w:name="_Toc6315"/>
            <w:bookmarkStart w:id="132" w:name="_Toc28217"/>
            <w:bookmarkStart w:id="133" w:name="_Toc461089032"/>
            <w:bookmarkStart w:id="134" w:name="_Toc3606"/>
            <w:bookmarkStart w:id="135" w:name="_Toc14054"/>
            <w:r>
              <w:rPr>
                <w:rFonts w:hint="eastAsia" w:ascii="宋体" w:hAnsi="宋体" w:eastAsia="宋体" w:cs="宋体"/>
                <w:i w:val="0"/>
                <w:iCs w:val="0"/>
                <w:color w:val="auto"/>
                <w:sz w:val="21"/>
                <w:szCs w:val="21"/>
                <w:highlight w:val="none"/>
                <w:u w:val="none"/>
                <w:lang w:val="en-US" w:eastAsia="zh-CN"/>
              </w:rPr>
              <w:t>序号</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7F8D63">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lang w:val="en-US" w:eastAsia="zh-CN"/>
              </w:rPr>
              <w:t>项目编码</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1598F7">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名称</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267B0A">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rPr>
              <w:t>主要功能配置及技术指标要求</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8EF87">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sz w:val="21"/>
                <w:szCs w:val="21"/>
                <w:highlight w:val="none"/>
                <w:u w:val="none"/>
                <w:lang w:val="zh-CN" w:eastAsia="zh-CN"/>
              </w:rPr>
            </w:pPr>
            <w:r>
              <w:rPr>
                <w:rFonts w:hint="eastAsia" w:ascii="宋体" w:hAnsi="宋体" w:eastAsia="宋体" w:cs="宋体"/>
                <w:i w:val="0"/>
                <w:iCs w:val="0"/>
                <w:color w:val="auto"/>
                <w:sz w:val="21"/>
                <w:szCs w:val="21"/>
                <w:highlight w:val="none"/>
                <w:u w:val="none"/>
                <w:lang w:val="zh-CN"/>
              </w:rPr>
              <w:t>数量单位</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F0CF5">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sz w:val="21"/>
                <w:szCs w:val="21"/>
                <w:highlight w:val="none"/>
                <w:u w:val="none"/>
                <w:lang w:val="zh-CN" w:eastAsia="zh-CN"/>
              </w:rPr>
            </w:pPr>
            <w:r>
              <w:rPr>
                <w:rFonts w:hint="eastAsia" w:ascii="宋体" w:hAnsi="宋体" w:eastAsia="宋体" w:cs="宋体"/>
                <w:i w:val="0"/>
                <w:iCs w:val="0"/>
                <w:color w:val="auto"/>
                <w:sz w:val="21"/>
                <w:szCs w:val="21"/>
                <w:highlight w:val="none"/>
                <w:u w:val="none"/>
                <w:lang w:val="zh-CN"/>
              </w:rPr>
              <w:t>数量</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C61E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质量保证期</w:t>
            </w:r>
          </w:p>
        </w:tc>
      </w:tr>
      <w:tr w14:paraId="12513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45"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1DDC83">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A21EA4">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03B003</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D4F7D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超星系列资源库服务</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AE25A">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1、超星数字图书数据库系统，包含五万册电子图书（查重，镜像到本地）。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2、超星学术视频资源，包含1000集学术视频（镜像到本地）。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3、超星期刊数据库，同时支持移动端和PC端。</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4、读秀知识库管理系统。</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5、百链云图书馆。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6、经纬发现系统。</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7、泛舟移动阅读。</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8、云舟知识空间服务系统。</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9、两台电子书借阅机资源。</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10、超星智慧选书系统服务。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除电子书和视频资源资源外，其它均购买2026年使用权一年。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A51EFE">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955E81">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C0516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67FF45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8E6AF5">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DC15FD">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03B006</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E4A72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中宏数据库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43319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一、教研支持系统具体数据库如下：</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1、统计数据库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2、中宏百人团</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3、形势研析库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4、战略规划研析库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5、金融研析库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6、财政税收研析库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7、投资研析库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8、消费研析库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9、物价研析库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10、商业物流研析库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11、外贸研析库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12、外资研析库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13、产业研析库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14、区域经济研析库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15、世界经济研析库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16、政策法规数据库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17、体制改革研析库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18、企管战略研析库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19、课题成果库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20、教育库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二、形势分析支持系统包括：</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1.我来判断形势</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2.专家分析形势</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3.形势提示</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4.形势简报</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5.形势热点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6.形势跟踪</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7.形势统计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8.产业观察</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9.形势库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购买2026年、2027年两年的使用权。</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E9B717">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64C236">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98D0F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15487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CF7FE3">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98E54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03B007</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1E8DD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万方数据库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D23237">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一、万方数据知识资源云服务系统</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1、更新周期：中心网站日更新。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2、全文质量：采用国际通用的高清晰ＰＤＦ全文数据格式</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3、学科范围：社会科学、自然科学、工程技术、农业科学、医药卫生、经济管理、教育科学和图书情报。</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4、检索方式：快速检索、传统检索、分类检索、高级检索、期刊导航。</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5、著录标准：《中国图书馆分类法》、《检索期刊条目著录规则》（GB3793－83）、《文献主题标引规则》（GB3860－83）等。</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6、技术标准：采用自主开发的海量文献搜索引擎技术，提供B/S方式的WEB数据库服务，同时支持OPENURL等国际标准协议，为客户单位提供异构数据库的开放连接增值服务。</w:t>
            </w:r>
          </w:p>
          <w:p w14:paraId="39E80601">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版权保护：与收录期刊社直接签约，由国家主管部门监督实施版权费用支付工作，严格参照国家著作权法妥善解决版权问题。二、NSTL外文数据库主要收录了1995年以来世界各国出版的15000种外文期刊，学科范围涉及工程技术和自然科学格专业领域，兼顾社会科学和人文科学，大部分覆盖SCI、EI、CABI、Medline等权威国际文献系统收录期刊。使用价值高，资源内容丰富，收录的外文期刊数量约占国内引进品种数的70％。同时收录了1985年以来世界各主要学协会和出版机构出版的40000余个学术会议的524万多篇论文，涉及工程技术和自然科学各专业领域。支持多语言、多主题字段检索。访问方式：远程包库使用。</w:t>
            </w:r>
          </w:p>
          <w:p w14:paraId="4247034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7705EF">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846F5C">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5EA83B">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73D72C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4FC60B">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BD2F5D">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03B009</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C16F8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希施玛数据库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CAE978">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提供以下数据库数据：CSMAR中国上市公司财务报表数据库、中国上市公司财务报告审计意见数据库、中国上市公司财务指标分析数据库、中国上市公司首次公开发行研究数据库（A股）、中国上市公司增发配股研究数据库、中国上市公司红利分配研究数据库、中国上市公司治理结构研究数据库、中国上市公司违规处理研究数据库、中国上市公司财务报表附注数据库、中国上市公司并购重组研究数据库、中国上市公司关联交易研究数据库、CSMAR?中国股票市场交易数据库、中国上市公司股东研究数据库、中国民营上市公司研究数据库、中国股票市场事件研究数据库、中国股票市场风险评价系数β数据库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DAAA9F">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4F1C2D">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1903BC">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52474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B4B3A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273462">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03B010</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42FE74">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RESSET金融研究数据库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69CF9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一、金融研究数据库：数据内容涵盖股票、债券、基金、研究报告、融资融券、宏观统计、行业统计、金融统计、外汇、期货、黄金系列。</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二、国际经济金融数据库：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涵盖世界各国重要金融、经济、工业、农业等方面的数据，其中包含多行业、多方位的发展数据，包括金融、经济、工业、农业、农村、自然资源与环境、基础设施、援助、就业、贫困、教育、健康、科技、发展14个类别。</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2.全部中英文对照。提供每张表的中英文数据词典。</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3.支持教学研究，提供数据定制服务。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4.有专业服务与支持团队，能够提供完善的售前和售后服务。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5.支持跨平台，在Windows,Linux，Unix下使用。</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6.提供查询字段、代码选择等多种查询方式。</w:t>
            </w:r>
          </w:p>
          <w:p w14:paraId="137CAA9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7.可以一次性呈现全部查询结果集文件，支持下载中断或异常退出后重新进行连续下载。</w:t>
            </w:r>
          </w:p>
          <w:p w14:paraId="65F8B4BE">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8.可以记忆默认压缩格式。</w:t>
            </w:r>
          </w:p>
          <w:p w14:paraId="513B761A">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9.鼠标跟随显示详细数据字典功能。</w:t>
            </w:r>
          </w:p>
          <w:p w14:paraId="3E3D29D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10.支持ODBC。支持常用应用软件SAS，SPSS，Matlab等的直接调用。支持二次开发。</w:t>
            </w:r>
          </w:p>
          <w:p w14:paraId="0B6D7EEA">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11.下载格式包括：Txt，Excel，Excel2007,Dbf,SAS，SPSS，MATLAB，R,Stata，逗号分隔文本CSV，Tab键分隔文本TXT，HTML表格，XML文件等。</w:t>
            </w:r>
          </w:p>
          <w:p w14:paraId="31ABFE9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12.支持SAS并行计算平台。</w:t>
            </w:r>
          </w:p>
          <w:p w14:paraId="6F1138A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13.数据查询检索平台为RESSET数据库平台，与RESSET数据库系列产品无缝结合。</w:t>
            </w:r>
          </w:p>
          <w:p w14:paraId="60C9AEB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0E783B">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7C3298">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B99995">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4080B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44319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B942C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03B011</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B49844">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人大复印报刊资料全文数据库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B96E8D">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内容囊括人文社会科学领域中的各个学科,并按照以下类别划分:政治学与社会学类、法律类、哲学类、文学与艺术类、教育学类、经济学与经济管理类、历史类、文化信息传播类及其他类.人大复印资料全文数据库囊括政治学、哲学、经济管理、社会学、法学、教育、历史学、文学、艺术、新闻传播等学科门类，是经过专家、学者及学科带头人以全视野学术目光遴选、浓缩而成的学术精品全文库。收录来源于4000多种国内公开发表的人文社科类期刊；年份从1995年至今，部分已经回溯至1978年或创刊年。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DB81EB">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18252A">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9D79DD">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6BC5A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0A491B">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655B9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03B016</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41A71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全球案例发现系统</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E120C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其中的中国工商管理案例全文库。它是由清华大学经济管理学院中国工商案例研究中心建设开发的高质量教学案例全文库。案例全文包括案例主体、案例附录、教学指导等部分。赠送使用中文案例素材库、全球案例在线一年。中文案例素材库采集了众多知名媒体的相关报道，重点筛选出社会关注度高、蕴含深刻商业内涵且具有较高案例开发价值的典型性商业事件。全球案例在线收录了全球知名案例研究机构的案例详细信息，目前已能为用户提供不少于15万条案例的索引。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DD54C6">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EA8998">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EAF9EE">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11A5E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274C00">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F3A76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03B017</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71E171">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正保远程教育多媒体资源库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EBF14C">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内容包含大学生在校所需的大多数能力类考试课程，内容应涵盖会计从业考试辅导课程、证券从业考试辅导课程、注册会计师考试辅导课程、公务员考试辅导课程、司法考试课程考试辅导课程，每年课时数量不低于480课时。重点课程应设有多种班次，包括基础班，强化班，习题班，以满足不同层次起点的读者需求。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E7A153">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D33FB">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3B9C32">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17B589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831EBA">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8D488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03B022</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79F301">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软件通计算机技能自助式网络视频学习数据库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32E93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资源性质为计算机技能自助式网络视频学习数据库。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1、采用纯视频教学和全程语音讲解的专业性、实用性相结合的在线浏览方式学习各种软件使用视频的自助式点播系统。</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采用微课形式将众多优质数字视频教育资源和有机串联在一起，每个软件通微课视频时长5分钟左右，讲解一个独立的知识点和技能操作点。3、软件通目前囊括了近110种软件，近30000个视频，学习时长达2200小时，每年新增视频数量超过3500个。</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种类包括办公自动化类、计算机辅助设计类、平面设计类、网页网站设计类、三维设计类、系统开发类、数据处理类、计算机基础类、影视后期类、数据库程序语言类、计算机程序语言类、网络程序语言类等。</w:t>
            </w:r>
          </w:p>
          <w:p w14:paraId="3B82F06C">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5.访问方式：远程包库使用。</w:t>
            </w:r>
          </w:p>
          <w:p w14:paraId="02276DF4">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812831">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9A521C">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FBF506">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516EA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663446">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25CF3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03B023</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2B796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e线图情全文数据库系统V6.0</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9DBB31">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数据库内容包括风云人物、新馆写真、国际动态、海外图情、图情要闻、e线速递、国内会议、图情人物、理论技术、产品市场、行业协会、图情机构、研究报告、图情事业、图书馆利用、图书馆建设、研招资料、专题、课件、图片、论坛、博客聚合等多个栏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2、能提供检索、阅读、下载全文等功能。全文检索速度应达到秒级。</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3、提供远程包库的使用方式。</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更新频率为日更新，更新方式为通过网络远程更新5、提供24小时的客户服务，完成产品安装、调试、更新、维护、培训等内容的服务。收到服务请求后响应时间为1小时，24小时内远程解决问题，如遇远程无法解决的问题，48小时内派工程师现场进行处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F13E35">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D90C15">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731B73">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7427A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6A993E">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09D308">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03B024</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EA27DE">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EPS数据库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2FA46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集丰富的数值型数据资源和分析预测系统为一体的覆盖多学科、面向多领域的综合性数据服务平台，支持数据跨库检索、数据跨库分析，提供数据查询、数据处理、数据分析、可视化展现的一站式的数据服务。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1、内容要求：</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数据库资源方面包括：国际数据：世界贸易，世界宏观经济，世界主要经济体，世界经济发展，非洲经济发展，世界能源，世界教育，世界农林，世界卫生数据库；宏观经济数据：中国宏观经济，中国财政税收，中国劳动经济，中国固定资产投资，中国房地产，中国商品交易市场数据库；金融市场：中国金融，中国保险，中国上市公司数据库；产业运行：中国农林，中国农产品成本收益，中国三农，中国工业企业，中国工业产品产量，中国工业行业，中国工业经济，中国建筑业，中国第三产业，中国科技，中国高技术产业数据库；县市数据：重庆县市统计，北京县市统计，天津县市统计，内蒙古县市统计，河北县市统计，山西县市统计，辽宁县市统计，吉林县市统计，黑龙江县市统计，上海县市统计，江苏县市统计，浙江县市统计，安徽县市统计，福建县市统计，江西县市统计，山东县市统计，河南县市统计，湖北县市统计，湖南县市统计，广东县市统计，广西县市统计，海南县市统计，四川县市统计，贵州县市统计，云南县市统计，陕西县市统计，甘肃县市统计，宁夏县市统计，青海县市统计，西藏县市统计，新疆县市统计数据库；区域经济：中国区域经济，中国城市，中国城乡建设数据库；贸易外经：中国商品贸易，中国地区贸易，中国贸易指数，中国行业贸易，中国对外经济数据库；资源环境：中国能源，中国煤炭，中国国土资源，中国海洋，中国水利，中国环境数据库；人文社科：中国教育，中国卫生，中国民政，中国旅游，中国交通，中国文化数据库；普查数据：人口普查，经济普查，工业普查，农业普查，第三产业普查，基本单位普查数据库；</w:t>
            </w:r>
          </w:p>
          <w:p w14:paraId="46BF8F9C">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2）数据库中每一个数字均来自权威的数据统计部门，可以确保数据来源的权威性和准确性,可以做到紧跟各权威统计部门的数据更新速度，保证数据更新的及时性和稳定性。</w:t>
            </w:r>
          </w:p>
          <w:p w14:paraId="644EF8C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3）数据库涉及宏观经济、工业、第三产业、金融、科技、区域经济、县域经济、财政、税收、固定资产等领域；</w:t>
            </w:r>
          </w:p>
          <w:p w14:paraId="544148A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4)数据覆盖地区：全方位涵盖全国31个省（自治区、直辖市）、260个地级城市、2000多个县三级数据；</w:t>
            </w:r>
          </w:p>
          <w:p w14:paraId="3A8B7E9A">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5）数据覆盖行业：覆盖了国民经济90个大类行业，400个中类行业，800个小类行业；</w:t>
            </w:r>
          </w:p>
          <w:p w14:paraId="76649A1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6）数据库所包含的所有数据指标全部为连续时间序列数据。数据最早追溯到1949年，数据以月度、季度、年度更新。</w:t>
            </w:r>
          </w:p>
          <w:p w14:paraId="4A7C7A12">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2、售后服务：</w:t>
            </w:r>
          </w:p>
          <w:p w14:paraId="3BBFB914">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1)数据库提供在线访问服务方式，无并发限制。所订购数据库拥有永久在线访问权限。</w:t>
            </w:r>
          </w:p>
          <w:p w14:paraId="57E3D1A7">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2)提供网络、电话及EMAIL支持服务，响应时间不超过1小时；若远程支持无法解决问题的，须承诺24小时内上门服务，3天内解决。</w:t>
            </w:r>
          </w:p>
          <w:p w14:paraId="15F2899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3)将免费为采购方提供产品升级、宣传和培训，以及免费提供宣传物料。</w:t>
            </w:r>
          </w:p>
          <w:p w14:paraId="3EC5EB6C">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4)已订购资源有更新，供应商需及时为采购方提供相应的更新服务。</w:t>
            </w:r>
          </w:p>
          <w:p w14:paraId="0673046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5)供应商应为采购方提供校外使用的解决方案。</w:t>
            </w:r>
          </w:p>
          <w:p w14:paraId="50DC4022">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6)提供所购数据库的镜像服务。</w:t>
            </w:r>
          </w:p>
          <w:p w14:paraId="24CCD99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7)采购方拥有已购镜像资源和服务平台的永久使用权，暨一旦采购方在协议结束后停止订购，仍拥有数据库数据（已购买年限）的永久保存权，并享有平台使用权。</w:t>
            </w:r>
          </w:p>
          <w:p w14:paraId="107EDFC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654C35">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667CDA">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C5E5B1">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283DF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7822DF">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4662A4">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03B025</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1B48B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计算机软件素材学习资源数据库v1.0</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33E2B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1、购买其中的模板库、代码库；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2、收录年限：2017年至今；</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3、数据来源：建筑行业软件设计机构、电子工业出版社、各类软件应用专家等合作伙伴；</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4、素材覆盖：包含大量办公类素材、模板：PPT模板、Word模板、Excel模板…；</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5、开发类源码：前端源码、后端源码、数据库源码、移动端源码；</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6、素材内容：4000套以上；</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7、开发类源码：1300段以上；</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8、平台特色：简单便捷的操作界面、清晰明确的素材分类、快速便捷的下载功能、安全无忧的技术保障、与时俱进的同步更新。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9、平台功能：</w:t>
            </w:r>
          </w:p>
          <w:p w14:paraId="2CD028D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a、金桥统一用户系统采用统一用户管理系统，系统是基于多平台统一用户身份认证系统，支持多个子系统之间进行API数据调用，该系统可以基于用户身份进行资源授权访问权限，保障了用户数据的安全性和机构用户资源授权访问的继承性。</w:t>
            </w:r>
          </w:p>
          <w:p w14:paraId="6BA8944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b、简洁方便的检索系统采用SQL全文检索方式进行资源检索，可以快速定位到所检索的资源。</w:t>
            </w:r>
          </w:p>
          <w:p w14:paraId="276AF68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c、资源专业的内容展示</w:t>
            </w:r>
          </w:p>
          <w:p w14:paraId="2F3F5F9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1）专业的分类导航体系，是按照模板产品的特点及应用方向进行了细致划分，可以按照不同的用途、风格、行业进行分类，能够让学生快速定位自己想要的模板，帮助学生节省大量的模板查询时间；</w:t>
            </w:r>
          </w:p>
          <w:p w14:paraId="19130D3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2）简单便捷的下载方式，学生定位到自己想要的需求模板后，可以通过模板介绍页进行快速浏览模式（缩略图），从而获得是否自己需要的模板，在该页面可以进行点击下载、收藏、分享等操作。</w:t>
            </w:r>
          </w:p>
          <w:p w14:paraId="1DFD11E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d、个性化的个人中心个性化个人空间功能，金桥产品采用统一的用户管理空间功能，用户注册登陆后可以通过个人空间查看个人所有金桥产品的行为记录，包括各种金桥产品的浏览记录、我的收藏夹、模板下载、模板上传、分享、个人积分记录获取记录…等。</w:t>
            </w:r>
          </w:p>
          <w:p w14:paraId="1B46E02D">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10、数据更新：云端每月上线新素材；11、内容下载复制：通过金桥机构用户系统授权认证后，可以进行资源模板下载；本版本素材文件不加密，故对素材模板的使用没有任何限制。远程访问。</w:t>
            </w:r>
          </w:p>
          <w:p w14:paraId="0027BFC2">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576C22">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999BA2">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0BA3D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05556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4B0ACD">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AA065D">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03B028</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0FA92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Worldlib外文博硕士学位论文全文数据库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C6946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平台需提供国外博硕士论文全文350万篇。另包含外文期刊2600万篇（不低于12000种期刊）、国外会议论文100万篇、国外科技报告100万篇、世界艺术图片90万幅、外文电子图书100万种、国外专利100万篇及预印本120万册，共计3500余万国外优秀学术文献。文献范围涵盖全学科、全专业。所有文献均可通过访所在网站下载全文数据，且支持手机二维码直接下载阅读。具体要求如下：</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1、平台支持跨库检索且平均检索速度必须&lt;0.1S，系统词表涵盖所有语种。</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2、提供方便快捷的安装维护，内置Sqlserver、文本等可视化导入工具、自带Web服务器功能，包括用户认证管理、数据存储服务、搜索引擎服务、WEB发布服务、访问监控服务等功能。</w:t>
            </w:r>
          </w:p>
          <w:p w14:paraId="56179E18">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3、做好安全加密工作，平台网站及数据库文件都应该加密，确保网络数据安全。</w:t>
            </w:r>
          </w:p>
          <w:p w14:paraId="0AA4A26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4、平台易用性，可以按照检索点导航、分类导航、日期导航、语种导航等多种途径导航且允许用户修改或自定义分类法。</w:t>
            </w:r>
          </w:p>
          <w:p w14:paraId="08D247F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5、平台提供域名绑定功能，具备统计访问数据文件大小流量功能，具备用户检索记录还原功能,具备B类ip访问地址统计功能，对用户访问实时监控并追踪用户IP和访问资源url。</w:t>
            </w:r>
          </w:p>
          <w:p w14:paraId="2578073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6.远程访问方式。</w:t>
            </w:r>
          </w:p>
          <w:p w14:paraId="281B991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EEE494">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9C868F">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95EF05">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3FBBB6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22DDE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1FEA24">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03B029</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F1FFE8">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畅想之星随书资源数据库系统软件V2.0</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B0057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能够对随书光盘资料与馆藏OPAC系统实现整合的管理和服务。功能要求:</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1)云下载的链路聚合功能，位于不同网络环境下的全国十几个镜像中心可同时响应同一个下载请求，同时传输数据。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与OPAC系统的无缝链接，标识有随书光盘的图书在OPAC系统上显示随书光盘下载操作，点击则进入有各种下载方式及在线浏览操作的页面。3)实现对OPAC系统的扩展，可以显示图书的封面、目次、内容简介等，部分图书提供电子书全文试读。</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4)资料的下载：能对下载权限进行灵活的控制（提供IP控制和用户控制），下载数据时支持超过4G的超大文件下载，同时具有断点续传功能；支持普通下载、支持P2SP下载。</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5)支持无需安装客户端即可在线浏览随书光盘内容，随书光盘内容中的单文件可提供下载和在线运行以方便读者使用。</w:t>
            </w:r>
          </w:p>
          <w:p w14:paraId="0785CD6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6)支持与OPAC系统的统一认证、联合认证。</w:t>
            </w:r>
          </w:p>
          <w:p w14:paraId="32CA2DE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7)支持本地缓存功能，随书光盘下载页面，提供在线浏览随书光盘内容、本地（缓存）下载和远程下载入口，满足不同需求。</w:t>
            </w:r>
          </w:p>
          <w:p w14:paraId="71759F94">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8)随书光盘请求，对于本地缓存服务器和云端服务器都没有数据的随书光盘，显示“随书光盘请求”；收到“随书光盘请求”指令后定期上传到本馆本地服务器，并通知读者请求处理状态。</w:t>
            </w:r>
          </w:p>
          <w:p w14:paraId="3C3588D7">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9)随书光盘纠错，读者可在系统直接向管理员提交随书光盘纠错信息。</w:t>
            </w:r>
          </w:p>
          <w:p w14:paraId="03896BE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10)本地服务器从云端服务器下载过的随书光盘文件被删除后，仍可从云端服务器下载；</w:t>
            </w:r>
          </w:p>
          <w:p w14:paraId="7CE41B07">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11)供应商随书光盘资源应覆盖本馆随书附盘需求总量的95%。</w:t>
            </w:r>
          </w:p>
          <w:p w14:paraId="2AF89FCA">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12)公司提供远程数据中心，支持随书光盘数据的实时推送（缓存）。</w:t>
            </w:r>
          </w:p>
          <w:p w14:paraId="3985377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13)当学生有流量限制，可提供读者离线下载方式，即：数据可以先下载到本地缓存服务器。</w:t>
            </w:r>
          </w:p>
          <w:p w14:paraId="2B88612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14)通过访问移动APP，可随时随地浏览数据库资源，为读者提供在线检索、预览、在线收听等功能。</w:t>
            </w:r>
          </w:p>
          <w:p w14:paraId="3062031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15)通过登陆个人账户，同步备份个人数据，实现收藏、下载、浏览记录、光盘请求、纠错、消息推送、个人信息维护等功能。</w:t>
            </w:r>
          </w:p>
          <w:p w14:paraId="4957BA2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16)根据读者纸质图书的借阅情况，主动推送含有光盘的信息及下载地址。远程访问方式。</w:t>
            </w:r>
          </w:p>
          <w:p w14:paraId="173DD0E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F124A3">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3D347D">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4439EA">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1DD7B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D638CA">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F04C12">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03B032</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C3E818">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雅昌艺术图书数据库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947AE2">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1．专注艺术：数据库收录的图书均来源于艺术类出版社、以及专业的艺术服务机构的正规授权，图书内容专业权威。</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覆盖面全：从国油版雕，延伸到摄影建筑等各大艺术门类，以大艺术的视角构建数据库资源。专业类别包括书法/篆刻、绘画、雕塑、拍卖/收藏、工艺美术、建筑、民间美术、设计、摄影、艺术理论，使用维度包括考试用书、理论/鉴赏、作品集/画册、碑帖法书、技法教程等。</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3．偏重作品：图书内容中，作品比例超过70%，作品图片精美高清，色彩还原权威，原版原貌，再现作品神韵。</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4．艺术教育：独有的中国画、中国书法等艺术年表体系，全景展示5000年来中外艺术发展的主题脉络。</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5．艺术讲堂：大师讲解，技法介绍，剖析作品，传承艺术。</w:t>
            </w:r>
          </w:p>
          <w:p w14:paraId="14EA85CC">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6．采购方式：在线服务，电子图书11000余册，视频3000余个，并不断在实时更新。</w:t>
            </w:r>
          </w:p>
          <w:p w14:paraId="153748F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DEEE8F">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389F81">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9F6B07">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1D9FD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2D1063">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471FF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03B035</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AA666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创新树-全球创新知识服务平台</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B1D818">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技术规格标准：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1、从引发读者创新兴趣，到保护创新成果，知识体系需要贯穿创新的全过程。</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2、为了开阔读者的全球创新视野，资源需覆盖世界顶级创新强国的优秀创新案例，需包括创新美国、创新英国、创新芬兰、创新瑞典、创新瑞士、创新韩国、创新以色列、创新丹麦、创新新加坡等创新强国。</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资源需聚焦世界高新技术领域前沿，具体包括机器人、智能制造、医学创新、艺术创意、区块链、物联网、人工智能、无人技术、大数据、虚拟现实等高新技术领域，内容以视频形式呈现，能引发读者无限的好奇心与想象力。</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4、创新思维决定创新结果，资源需包括世界主流的创新思维及脑科学等内容，内容以视频形式呈现，激发读者的创新思维。</w:t>
            </w:r>
          </w:p>
          <w:p w14:paraId="15EF897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5、诺贝尔奖是科学的桂冠，它汇聚了世界上顶级的科学家，资源需要包括诺贝尔奖与创新精神板块，以诺贝奖为引领，培养读者创新精神</w:t>
            </w:r>
          </w:p>
          <w:p w14:paraId="1C90ED41">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6、知识产权是创新的生命线，对创新成果进行知识产权保护尤为重要，资源需要包括商标、专利、国际知识产权工具等内容。提高读者的知识产权意识。</w:t>
            </w:r>
          </w:p>
          <w:p w14:paraId="5520A0DD">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平台拥有国家版权局颁发的著作权登记证书。售后服务标准：通过网络访问方式为读者提供服务，使用期内免费进行数据的更新，数据库使用中出现任何问题保证1小时内作出响应、24小时内解决问题，专业技术人员上门安装，每年提供两次培训。</w:t>
            </w:r>
          </w:p>
          <w:p w14:paraId="5F4B0450">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F20326">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7F193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3A91CA">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28B6FD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2FD97A">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4E97DA">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03B036</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BBD9C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中国财经教育资源共享平台</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34218C">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平台具备机构知识库的全部功能，包括中国财经教育资源共享联盟的共享资源，可以构建《学者成果库》、《学位论文库》、《特色资源库》，支持数字知识资产管理的全系列功能模块，包括“知识内容采集管理”、“元数据描述与封装组织”、“长期保存管理、权益政策及传播管理”、“检索与发现服务”、“分析审计功能”、“知识图谱”、“个人知识履历（个人主页）”等各种基础功能和增值服务功能。通过动态可扩展元数据框架及动态内容类型模板化定义管理等技术的运用，可以扩展管理任何文本类型数字知识资产（如论文、报告、成果、管理文件等）或非文本类型数字知识资产（如数据、图像、音视频资料等）的管理。同时，支持多种开放互操作接口，能够方便地与机构内外相关信息系统进行嵌入和集成应用。可形成了具有规模的机构知识库群和开放科研知识成果共享网络。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FCDB39">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C0603F">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209A11">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08B0D9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1963CC">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87A41E">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03B037</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F44737">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worldlib Excel国外优秀学术论文数据库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8CBFA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平台包括国际四大出版商Springer、Elsevier、Wiley、Taylor&amp;amp;Francis的期刊约3510种，共计100余万篇学术论文。全部论文均可下载全文数据，并实现全文数据的永久保存和使用。具体要求如下：</w:t>
            </w:r>
          </w:p>
          <w:p w14:paraId="447BA35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1、平台支持跨库检索且平均检索速度必须&lt;0.1S，系统词表涵盖所有语种。</w:t>
            </w:r>
          </w:p>
          <w:p w14:paraId="11DDE148">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2、提供方便快捷的安装维护，内置Sqlserver、文本等可视化导入工具、自带Web服务器功能，包括用户认证管理、数据存储服务、搜索引擎服务、WEB发布服务、访问监控服务等功能。</w:t>
            </w:r>
          </w:p>
          <w:p w14:paraId="136BBC61">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3、做好安全加密工作，平台网站及数据库文件都应该加密，确保网络数据安全。</w:t>
            </w:r>
          </w:p>
          <w:p w14:paraId="121B389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4、平台易用性，可以按照检索点导航、分类导航、日期导航、语种导航等多种途径导航且允许用户修改或自定义分类法。</w:t>
            </w:r>
          </w:p>
          <w:p w14:paraId="10D7237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5、平台提供域名绑定功能，具备统计访问数据文件大小流量功能，具备用户检索记录还原功能,具备B类ip访问地址统计功能，对用户访问实时监控并追踪用户IP和访问资源url。</w:t>
            </w:r>
          </w:p>
          <w:p w14:paraId="5EF0DDC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6、免费赠送微信文献服务群一个（500人群）。</w:t>
            </w:r>
          </w:p>
          <w:p w14:paraId="7E6E582F">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2EE36D">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540E4F">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019F58">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r w14:paraId="6A5E6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E59190">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w:t>
            </w:r>
          </w:p>
        </w:tc>
        <w:tc>
          <w:tcPr>
            <w:tcW w:w="10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63A579">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03B038</w:t>
            </w:r>
          </w:p>
        </w:tc>
        <w:tc>
          <w:tcPr>
            <w:tcW w:w="123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602585">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北京畅想之星电子书阅读数据库V1.0</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2E26A3">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1、可提供不少于8万种社科精品中文电子；</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2、提供电子图书的CN-MARC编目数据入馆藏系统，也可导出excel表格；</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3、用户采购的电子书可以整合到OPAC系统上；</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4、所有中文电子图书有出版社和作者的双重授权；所有电子书全文均有出版社的数字授权水印；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5、支持包括授权IP范围、读者账号的组合控制；</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6、电子书保持纸书原有版式和原貌，高保真显示，越放大越清晰；电子书的文件格式为：ebk、cxbf，APP还可以阅读PDF、TXT文件；提供部分数字版电子书的听书服务；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7、平台上所有电子书支持安卓手机、苹果手机、安卓PAD、IPAD、墨水屏阅读器等移动终端设备的使用；</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8、电子书无需安装app即可微信阅读，并可嵌入图书馆微信公众号，并绑定读者卡号实现免登录使用；</w:t>
            </w:r>
          </w:p>
          <w:p w14:paraId="3535282E">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客户端、app阅读具有调节字体放大、缩小、透明度、夜间模式、清除缓存、变换背景颜色、界面旋转、界面的最大(小)化、高亮、书签、内容复制、标示、下划线、前后翻页、上下翻页、直接跳转到指定的页面、翻到首末页等功能；</w:t>
            </w:r>
          </w:p>
          <w:p w14:paraId="0BBBA1E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10、电子书平台支持收藏书及书架管理功能，可以对图书分类、查找、管理等，允许用户添加、删除、阅读图书并对图书进行排序、分类和备份；</w:t>
            </w:r>
          </w:p>
          <w:p w14:paraId="46AF7D5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11、提供电子书管理平台免费升级，保证所购电子书的正常使用。</w:t>
            </w:r>
          </w:p>
          <w:p w14:paraId="42201046">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12、服务方式：远程。</w:t>
            </w:r>
          </w:p>
          <w:p w14:paraId="27D1353B">
            <w:pPr>
              <w:keepNext w:val="0"/>
              <w:keepLines w:val="0"/>
              <w:pageBreakBefore w:val="0"/>
              <w:widowControl/>
              <w:suppressLineNumbers w:val="0"/>
              <w:kinsoku/>
              <w:wordWrap/>
              <w:overflowPunct/>
              <w:topLinePunct w:val="0"/>
              <w:autoSpaceDE/>
              <w:autoSpaceDN/>
              <w:bidi w:val="0"/>
              <w:adjustRightInd/>
              <w:snapToGrid/>
              <w:spacing w:line="0" w:lineRule="atLeas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06CCF8">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68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520AA1">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92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3D703C">
            <w:pPr>
              <w:keepNext w:val="0"/>
              <w:keepLines w:val="0"/>
              <w:pageBreakBefore w:val="0"/>
              <w:widowControl/>
              <w:suppressLineNumbers w:val="0"/>
              <w:kinsoku/>
              <w:wordWrap/>
              <w:overflowPunct/>
              <w:topLinePunct w:val="0"/>
              <w:autoSpaceDE/>
              <w:autoSpaceDN/>
              <w:bidi w:val="0"/>
              <w:adjustRightInd/>
              <w:snapToGrid/>
              <w:spacing w:line="0" w:lineRule="atLeas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1年</w:t>
            </w:r>
          </w:p>
        </w:tc>
      </w:tr>
    </w:tbl>
    <w:p w14:paraId="3993704C">
      <w:pPr>
        <w:numPr>
          <w:ilvl w:val="0"/>
          <w:numId w:val="0"/>
        </w:numPr>
        <w:rPr>
          <w:rFonts w:hint="default" w:ascii="宋体" w:hAnsi="宋体" w:eastAsia="宋体" w:cs="宋体"/>
          <w:b/>
          <w:bCs/>
          <w:color w:val="auto"/>
          <w:sz w:val="36"/>
          <w:szCs w:val="36"/>
          <w:highlight w:val="none"/>
          <w:lang w:val="en-US" w:eastAsia="zh-CN"/>
        </w:rPr>
      </w:pPr>
      <w:r>
        <w:rPr>
          <w:rFonts w:hint="eastAsia" w:ascii="宋体" w:hAnsi="宋体" w:eastAsia="宋体" w:cs="宋体"/>
          <w:b/>
          <w:bCs/>
          <w:color w:val="auto"/>
          <w:sz w:val="21"/>
          <w:szCs w:val="21"/>
          <w:highlight w:val="none"/>
          <w:lang w:val="zh-CN" w:eastAsia="zh-CN"/>
        </w:rPr>
        <w:t>请投标人注意：投标文件对招标文件各种设备所要求的主要功能配置及其技术指标必须全部满足，不允许有缺项或者负偏离，如果不满足将导致</w:t>
      </w:r>
      <w:r>
        <w:rPr>
          <w:rFonts w:hint="eastAsia" w:ascii="宋体" w:hAnsi="宋体" w:eastAsia="宋体" w:cs="宋体"/>
          <w:b/>
          <w:bCs/>
          <w:color w:val="auto"/>
          <w:sz w:val="21"/>
          <w:szCs w:val="21"/>
          <w:highlight w:val="none"/>
          <w:lang w:val="en-US" w:eastAsia="zh-CN"/>
        </w:rPr>
        <w:t>投标被否决</w:t>
      </w:r>
      <w:r>
        <w:rPr>
          <w:rFonts w:hint="eastAsia" w:ascii="宋体" w:hAnsi="宋体" w:eastAsia="宋体" w:cs="宋体"/>
          <w:b/>
          <w:bCs/>
          <w:color w:val="auto"/>
          <w:sz w:val="21"/>
          <w:szCs w:val="21"/>
          <w:highlight w:val="none"/>
          <w:lang w:val="zh-CN" w:eastAsia="zh-CN"/>
        </w:rPr>
        <w:t>。</w:t>
      </w:r>
      <w:r>
        <w:rPr>
          <w:rFonts w:hint="eastAsia" w:ascii="宋体" w:hAnsi="宋体" w:eastAsia="宋体" w:cs="宋体"/>
          <w:color w:val="auto"/>
          <w:sz w:val="36"/>
          <w:szCs w:val="36"/>
          <w:highlight w:val="none"/>
          <w:lang w:val="zh-CN" w:eastAsia="zh-CN"/>
        </w:rPr>
        <w:br w:type="page"/>
      </w:r>
      <w:r>
        <w:rPr>
          <w:rFonts w:hint="eastAsia"/>
          <w:b/>
          <w:bCs/>
          <w:color w:val="auto"/>
          <w:highlight w:val="none"/>
          <w:lang w:val="en-US" w:eastAsia="zh-CN"/>
        </w:rPr>
        <w:t>第二包参数</w:t>
      </w:r>
    </w:p>
    <w:tbl>
      <w:tblPr>
        <w:tblStyle w:val="25"/>
        <w:tblW w:w="1008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68"/>
        <w:gridCol w:w="902"/>
        <w:gridCol w:w="1425"/>
        <w:gridCol w:w="4573"/>
        <w:gridCol w:w="805"/>
        <w:gridCol w:w="804"/>
        <w:gridCol w:w="804"/>
      </w:tblGrid>
      <w:tr w14:paraId="3EF49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blHeader/>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21B6A6A">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序号</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C4A15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sz w:val="20"/>
                <w:szCs w:val="20"/>
                <w:highlight w:val="none"/>
                <w:u w:val="none"/>
                <w:lang w:val="en-US" w:eastAsia="zh-CN"/>
              </w:rPr>
              <w:t>项目编码</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36037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名称</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93B13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sz w:val="20"/>
                <w:szCs w:val="20"/>
                <w:highlight w:val="none"/>
                <w:u w:val="none"/>
              </w:rPr>
              <w:t>主要功能配置及技术指标要求</w:t>
            </w:r>
          </w:p>
        </w:tc>
        <w:tc>
          <w:tcPr>
            <w:tcW w:w="805" w:type="dxa"/>
            <w:tcBorders>
              <w:top w:val="single" w:color="000000" w:sz="4" w:space="0"/>
              <w:left w:val="single" w:color="000000" w:sz="4" w:space="0"/>
              <w:bottom w:val="single" w:color="000000" w:sz="4" w:space="0"/>
              <w:right w:val="single" w:color="000000" w:sz="4" w:space="0"/>
            </w:tcBorders>
            <w:noWrap w:val="0"/>
            <w:vAlign w:val="center"/>
          </w:tcPr>
          <w:p w14:paraId="38A93E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zh-CN" w:eastAsia="zh-CN"/>
              </w:rPr>
            </w:pPr>
            <w:r>
              <w:rPr>
                <w:rFonts w:hint="eastAsia" w:ascii="宋体" w:hAnsi="宋体" w:eastAsia="宋体" w:cs="宋体"/>
                <w:i w:val="0"/>
                <w:iCs w:val="0"/>
                <w:color w:val="auto"/>
                <w:sz w:val="20"/>
                <w:szCs w:val="20"/>
                <w:highlight w:val="none"/>
                <w:u w:val="none"/>
                <w:lang w:val="zh-CN"/>
              </w:rPr>
              <w:t>数量单位</w:t>
            </w:r>
          </w:p>
        </w:tc>
        <w:tc>
          <w:tcPr>
            <w:tcW w:w="804" w:type="dxa"/>
            <w:tcBorders>
              <w:top w:val="single" w:color="000000" w:sz="4" w:space="0"/>
              <w:left w:val="single" w:color="000000" w:sz="4" w:space="0"/>
              <w:bottom w:val="single" w:color="000000" w:sz="4" w:space="0"/>
              <w:right w:val="single" w:color="000000" w:sz="4" w:space="0"/>
            </w:tcBorders>
            <w:noWrap w:val="0"/>
            <w:vAlign w:val="center"/>
          </w:tcPr>
          <w:p w14:paraId="362155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zh-CN" w:eastAsia="zh-CN"/>
              </w:rPr>
            </w:pPr>
            <w:r>
              <w:rPr>
                <w:rFonts w:hint="eastAsia" w:ascii="宋体" w:hAnsi="宋体" w:eastAsia="宋体" w:cs="宋体"/>
                <w:i w:val="0"/>
                <w:iCs w:val="0"/>
                <w:color w:val="auto"/>
                <w:sz w:val="20"/>
                <w:szCs w:val="20"/>
                <w:highlight w:val="none"/>
                <w:u w:val="none"/>
                <w:lang w:val="zh-CN"/>
              </w:rPr>
              <w:t>数量</w:t>
            </w:r>
          </w:p>
        </w:tc>
        <w:tc>
          <w:tcPr>
            <w:tcW w:w="804" w:type="dxa"/>
            <w:tcBorders>
              <w:top w:val="single" w:color="000000" w:sz="4" w:space="0"/>
              <w:left w:val="single" w:color="000000" w:sz="4" w:space="0"/>
              <w:bottom w:val="single" w:color="000000" w:sz="4" w:space="0"/>
              <w:right w:val="single" w:color="000000" w:sz="4" w:space="0"/>
            </w:tcBorders>
            <w:noWrap w:val="0"/>
            <w:vAlign w:val="center"/>
          </w:tcPr>
          <w:p w14:paraId="30E0D1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质量保证期</w:t>
            </w:r>
          </w:p>
        </w:tc>
      </w:tr>
      <w:tr w14:paraId="1F938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5"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8197677">
            <w:pPr>
              <w:keepNext w:val="0"/>
              <w:keepLines w:val="0"/>
              <w:widowControl/>
              <w:suppressLineNumbers w:val="0"/>
              <w:jc w:val="center"/>
              <w:textAlignment w:val="center"/>
              <w:rPr>
                <w:rFonts w:hint="default" w:ascii="宋体" w:hAnsi="宋体" w:eastAsia="宋体" w:cs="宋体"/>
                <w:i w:val="0"/>
                <w:iCs w:val="0"/>
                <w:color w:val="auto"/>
                <w:kern w:val="2"/>
                <w:sz w:val="20"/>
                <w:szCs w:val="20"/>
                <w:highlight w:val="none"/>
                <w:u w:val="none"/>
                <w:lang w:val="en-US" w:eastAsia="zh-CN" w:bidi="ar-SA"/>
              </w:rPr>
            </w:pPr>
            <w:r>
              <w:rPr>
                <w:rFonts w:hint="eastAsia" w:ascii="宋体" w:hAnsi="宋体" w:eastAsia="宋体" w:cs="宋体"/>
                <w:i w:val="0"/>
                <w:iCs w:val="0"/>
                <w:color w:val="auto"/>
                <w:kern w:val="2"/>
                <w:sz w:val="20"/>
                <w:szCs w:val="20"/>
                <w:highlight w:val="none"/>
                <w:u w:val="none"/>
                <w:lang w:val="en-US" w:eastAsia="zh-CN" w:bidi="ar-SA"/>
              </w:rPr>
              <w:t>1</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782924A">
            <w:pPr>
              <w:keepNext w:val="0"/>
              <w:keepLines w:val="0"/>
              <w:widowControl/>
              <w:suppressLineNumbers w:val="0"/>
              <w:jc w:val="left"/>
              <w:textAlignment w:val="center"/>
              <w:rPr>
                <w:rFonts w:hint="eastAsia" w:ascii="宋体" w:hAnsi="宋体" w:eastAsia="宋体" w:cs="宋体"/>
                <w:i w:val="0"/>
                <w:iCs w:val="0"/>
                <w:color w:val="auto"/>
                <w:kern w:val="2"/>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03B001</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D411209">
            <w:pPr>
              <w:keepNext w:val="0"/>
              <w:keepLines w:val="0"/>
              <w:widowControl/>
              <w:suppressLineNumbers w:val="0"/>
              <w:jc w:val="left"/>
              <w:textAlignment w:val="center"/>
              <w:rPr>
                <w:rFonts w:hint="eastAsia" w:ascii="宋体" w:hAnsi="宋体" w:eastAsia="宋体" w:cs="宋体"/>
                <w:i w:val="0"/>
                <w:iCs w:val="0"/>
                <w:color w:val="auto"/>
                <w:kern w:val="2"/>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金图数据库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B11353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一、寻知学术文献数据库系统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1.系统可检索的外文期刊不少于2.4万种，图书不少于70万种。涵盖自然科学、哲学、历史、医学、文学、社会科学等学科。并提供时间、领域、机构、期刊及出版商等多维度的聚类。</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2.提供引文分析功能，实现图书与图书之间、论文与论文之间的相互参考、相互引证关系分析。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3.支持多语种检索（英、日、韩、俄、德、法、西班牙、葡萄牙等）。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系统提供增值的文献信使服务，用户只需设置关键词、推送频率等条件，即可通过邮箱接收到寻知系统推荐的最新、最重要、最相关学术文献。5.系统提供全文下载地址、文献互助、图书馆已购资源整合、OA文献获取四种形式阅读下载文献全文。</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6.系统使用形式为远程访问模式，每天自动更新所有相关内容。其中论文年更新300万篇，图书10万册以上。</w:t>
            </w:r>
          </w:p>
          <w:p w14:paraId="7BD8762D">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7.赠送镜像外文图书10000种（其中包括小语种日语等专业图书2500种，其它英语专业图书7500种）。</w:t>
            </w:r>
          </w:p>
          <w:p w14:paraId="58715F9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二、区域研究数据库系统</w:t>
            </w:r>
          </w:p>
          <w:p w14:paraId="592F2B3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区域研究数据库—“东北亚”收录了研究东北亚国家和区域的期刊论文、学术专著、研究报告、相关资讯、数据指标等资源，该综合数据库为从事经济、政治、外交、法律、能源、社会等领域研究的专业学者提供一站式文献情报信息服务。</w:t>
            </w:r>
          </w:p>
          <w:p w14:paraId="6C6C08B7">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2、系统包括基础文献库、国内智库、国外智库、资讯与观察库、国家指标库五个板块内容。</w:t>
            </w:r>
          </w:p>
          <w:p w14:paraId="6085509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3、资源类型构成为期刊、图书、报告、综述、短讯、评论、会议摘要、统计数据。</w:t>
            </w:r>
          </w:p>
          <w:p w14:paraId="204CE95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4、系统使用形式为远程访问模式，每天自动更新所有相关内容。</w:t>
            </w:r>
          </w:p>
          <w:p w14:paraId="54874875">
            <w:pPr>
              <w:keepNext w:val="0"/>
              <w:keepLines w:val="0"/>
              <w:widowControl/>
              <w:suppressLineNumbers w:val="0"/>
              <w:jc w:val="left"/>
              <w:textAlignment w:val="center"/>
              <w:rPr>
                <w:rFonts w:hint="eastAsia" w:ascii="宋体" w:hAnsi="宋体" w:eastAsia="宋体" w:cs="宋体"/>
                <w:i w:val="0"/>
                <w:iCs w:val="0"/>
                <w:color w:val="auto"/>
                <w:kern w:val="2"/>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5C9AE4D">
            <w:pPr>
              <w:keepNext w:val="0"/>
              <w:keepLines w:val="0"/>
              <w:widowControl/>
              <w:suppressLineNumbers w:val="0"/>
              <w:jc w:val="center"/>
              <w:textAlignment w:val="center"/>
              <w:rPr>
                <w:rFonts w:hint="eastAsia" w:ascii="宋体" w:hAnsi="宋体" w:eastAsia="宋体" w:cs="宋体"/>
                <w:i w:val="0"/>
                <w:iCs w:val="0"/>
                <w:color w:val="auto"/>
                <w:kern w:val="2"/>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B72D1DD">
            <w:pPr>
              <w:keepNext w:val="0"/>
              <w:keepLines w:val="0"/>
              <w:widowControl/>
              <w:suppressLineNumbers w:val="0"/>
              <w:jc w:val="center"/>
              <w:textAlignment w:val="center"/>
              <w:rPr>
                <w:rFonts w:hint="eastAsia" w:ascii="宋体" w:hAnsi="宋体" w:eastAsia="宋体" w:cs="宋体"/>
                <w:i w:val="0"/>
                <w:iCs w:val="0"/>
                <w:color w:val="auto"/>
                <w:kern w:val="2"/>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A4FC269">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02705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5"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548E005">
            <w:pPr>
              <w:keepNext w:val="0"/>
              <w:keepLines w:val="0"/>
              <w:widowControl/>
              <w:suppressLineNumbers w:val="0"/>
              <w:jc w:val="center"/>
              <w:textAlignment w:val="center"/>
              <w:rPr>
                <w:rFonts w:hint="eastAsia" w:ascii="宋体" w:hAnsi="宋体" w:eastAsia="宋体" w:cs="宋体"/>
                <w:i w:val="0"/>
                <w:iCs w:val="0"/>
                <w:color w:val="auto"/>
                <w:kern w:val="2"/>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1EA81D0">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03B002</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0F8165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CNKI系列数据库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36C659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(1)【中国学术期刊（网络版）】数学A002、哲学与人文科学F、社会科学Ⅰ辑G、社会科学Ⅱ辑H、信息科技I、经济与管理科学J专辑，包含个刊。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(2)【中国博士学位论文全文数据库】数学A002、哲学与人文科学F、社会科学Ⅰ辑G、社会科学Ⅱ辑H、信息科技I、经济与管理科学J专辑。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中国优秀硕士学位论文全文数据库】数学A002、哲学与人文科学F、社会科学Ⅰ辑G、社会科学Ⅱ辑H、信息科技I、经济与管理科学J专辑。(4)【国际会议论文全文数据库】数学A002、社会科学Ⅰ辑G、社会科学Ⅱ辑H、经济与管理科学J专辑、哲学与人文科学F、信息科技I。</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(5)【中国重要会议论文全文数据库】数学A002、社会科学Ⅰ辑G、社会科学Ⅱ辑H、经济与管理科学J专辑、哲学与人文科学F、信息科技I。</w:t>
            </w:r>
          </w:p>
          <w:p w14:paraId="7D18B592">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(6)【中国重要报纸全文数据库】数学A002、社会科学Ⅰ辑G、社会科学Ⅱ辑H、经济与管理科学J专辑、哲学与人文科学F、信息科技I。</w:t>
            </w:r>
          </w:p>
          <w:p w14:paraId="2D5B85A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(7)【中国年鉴网络出版总库】数学A002、社会科学Ⅰ辑G、社会科学Ⅱ辑H、经济与管理科学J专辑、哲学与人文科学F、信息科技I。</w:t>
            </w:r>
          </w:p>
          <w:p w14:paraId="3E09068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(8)【经济社会大数据研究平台】J2,J3,J4,J5,J6,J7,J8,VIP,CISD</w:t>
            </w:r>
          </w:p>
          <w:p w14:paraId="6923316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(9)【中国工具书网络出版总库】数学A002、社会科学Ⅰ辑G、社会科学Ⅱ辑H、经济与管理科学J专辑、哲学与人文科学F、信息科技I。</w:t>
            </w:r>
          </w:p>
          <w:p w14:paraId="1372C06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(10)【党政领导决策参考信息库】</w:t>
            </w:r>
          </w:p>
          <w:p w14:paraId="614717E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(11)【党政领导决策参考信息库】</w:t>
            </w:r>
          </w:p>
          <w:p w14:paraId="5136D1C7">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(12)【中国政报公报期刊文献总库】</w:t>
            </w:r>
          </w:p>
          <w:p w14:paraId="481AA2E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4570FB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9CBB9F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979BED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475FB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5"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DAE2F1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3A72C8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03B004</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6F92DDE">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中经网数据库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FE97BD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一、中国经济统计数据库：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1、宏观月度库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2、宏观年度库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3、分省宏观月度库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4、分省宏观年度库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5、海关月度库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6、城市年度库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7、县域年度库世界经济统计数据库：OECD月度库和OECD年度库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二、中经专网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三、中经网产业数据库：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1、宏观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2、农业</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3、商贸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4、金融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5、保险</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6、房地产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7、旅游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四、访问方式：远程包库使用，学校ip段范围内。</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购买2026年、2027年两年的使用权。</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CA7699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FDD170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65938B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30AC4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CA4541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3B9A7F7">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03B005</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B82BDA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国研网数据库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206B7D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1、国研网教育版。</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2、国研网世经版。</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3、经济管理案例库。</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4、一带一路战略支撑平台。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F10CD2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87439C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A46B1B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253F39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0CDFBC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5</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553941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03B008</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5F1E51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博看人文社科期刊数据库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BA34AC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一、博看人文社科期刊数据库PC版</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1、全库期刊总量应达到3800种。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2、数据库主要分为十个子数据库，时尚生活、时政新闻、管理财经、文摘文学、教育教学、娱乐休闲、学术学报、科学技术、文化艺术、家庭健康。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3、产品每日更新100期以上新刊，每月更新3000期以上。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4、保证基本与纸质期刊同步更新。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5、所提供的电子期刊均具有原文原貌版，且保持刊物的版式、插图，该呈现模式的电子期刊须确保内容清晰准确，样式精美，具备较好的内容完整性。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6、具备完全的知识产权，与3800多家期刊社逐一签约授权，服务稳定。2010年至今无一版权纠纷或判处侵权的官司。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7、专区模块功能：子库及行业分类、每日最新推荐期刊、读者推荐期刊、期刊阅读排行榜、名刊荟萃、报刊信息、推荐阅读、刚才阅读过的报刊、往期报刊、期刊目录、博看导读、文章排行、每日热点文章等。</w:t>
            </w:r>
          </w:p>
          <w:p w14:paraId="02A4CA8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8、检索功能：电子期刊承载平台需要具备一定的检索、收藏功能。检索功能支持按期刊名称、文章标题、作者、年份、期号、邮发代号等多功能检索方式。</w:t>
            </w:r>
          </w:p>
          <w:p w14:paraId="734C83B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9、购买2026年、2027年两年的使用权。</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FD5441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A64A5B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C1F745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38A0CF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6641FD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6</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1DE30D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03B012</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C68F4C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维普考试资源数据库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E75FDF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1.专辑分类：语言类、计算机类、经济类、医学类、研究生类、从业资格类、公务员类、法律类、工程类、综合类，10个专辑试卷量达16万余套。</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2.自建资源：教师可根据教学任务和计划将部分教学课件、教案、课程预习笔记等上传到该平台上，供学生下载。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3.试卷管理：允许管理员对系统现有试卷的名称、试卷类型和试卷内的试题进行修改、删除、修改参考答案解析、添加新试卷等操作。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在线考试：通过在线考试功能，被授权的学生可以通过计算机网络参加教师组织的各种随堂考试、正式考试或作业考试。考试结束后，VERS系统将对所有考生的客观题试卷部分自动判分，教师可通过后台查看每个考生的具体试卷，并可以人工阅卷评分，掌握每个考生的学习情况。考生可以从“我的题库”中查看自己的最终成绩，并随时可以打开考卷查阅复习。</w:t>
            </w:r>
          </w:p>
          <w:p w14:paraId="2EBCE57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5.退出续答：系统采用实时动态保存答题进度功能，如正在答卷的过程中意外退出，如突然关闭浏览器、死机、断电等情况，当重新进入后系统会提示你是否继续上次未完的答题，点确定后就能恢复到退出前的答题状态。</w:t>
            </w:r>
          </w:p>
          <w:p w14:paraId="05818CD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6.答题板：从答题板可以直接看出该试卷有几种题型、题量多少；已答题和未答题标号用不同颜色区分显示，有效防止漏答。</w:t>
            </w:r>
          </w:p>
          <w:p w14:paraId="7264FA3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7.随机组卷：通过随机组卷功能，学生可以根据系统默认模板或自定义模板，在特定的题库中随机抽取试题组合成模拟试卷进行自我测试。模拟试卷中的全部试题均为历年考试真题或者相关科目教学专家最新编写的模拟试题，具有很强的针对性和很高的模拟练习价值。清晰易用的在线考试功能。</w:t>
            </w:r>
          </w:p>
          <w:p w14:paraId="39FD897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8.灵活的移动端应用“维普考典”移动APP功能能够支持读者随时随地调用、练习系统题库资源考题，使用碎片化时间进行学习；提供每日练题、离线题库、我的错题库、做题记录、我的收藏等多种功能。</w:t>
            </w:r>
          </w:p>
          <w:p w14:paraId="329D5502">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D0C858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F7D2C4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B8AA89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454AB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884C05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7</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03CE2B2">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03B013</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7BFA567">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爱迪科森职业全能培训库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EB0C219">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职业全能培训库》是我国第一套以就业为导向的综合性多媒体教育培训平台，它涵盖了找工作、考研、留学、创业、考公务员等多个分流方向。整套产品以职业规划理论为设计理念，成为集课程学习、职业资讯、学习评估、网上考试、互动社区、职业速配、系统管理等先进、全面的学习与管理功能为一体的在线学习平台，并与全面的通用职业资格考试和技能培训课程相结合，为图书馆提供了高效、便捷、优质的资源建设方案，让所有用户体验数字化时代全新的学习方式，享受完全免费的最优资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2.平台提供具体专业领域相关的就业前景岗位视频，内容涉及多个领域视频内容。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3.培训课程中心的资源包括职业教育、学历教育、外语培训、IT/互联网、公务员考试、就业创业、馆员发展培训课程内容。</w:t>
            </w:r>
          </w:p>
          <w:p w14:paraId="0FCA190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AD6374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2C108E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B2A915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14443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331EE4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21EED5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03B014</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B8668C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中科UMajor大学专业课学习数据库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6D566DD">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学科范围：UMajor子库的镜像站点包含经济学、管理学、法学专辑，远程站点包含整库12大学科门类。购买2026年使用权一年。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D11BC3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A07300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1C069D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588A30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6818D0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9</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6D36929">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03B015</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A48293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FiF外语学习资源库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694E28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FiF外语学习资源库主要包括外语文库、视听资源、多媒体课堂、多语种学习、名师讲堂、自测中心和移动学习系列。课程设计遵循网络学习规律，符合自主学习特点，体系严谨而完备，学习目标、学前热身、学习任务、复习测试各个学习环节设计紧密相扣，相辅相成。课程充分利用多媒体手段，在学习过程中与学生进行实时交互，帮助学生有效提升外语水平。网络包库。购买多媒体课堂、多语种学习、名师讲堂等模块，其它模块同期赠送。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62A254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DB9FB6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2DA432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74FE2B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F90C58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10</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FF8A6C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03B018</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71B4BB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中国法律资源库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1C6AFA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包括法规数据库群、案例数据库群、法学辞典、法学文献、司法考试等内容。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法规数据库群内容包括中国法律法规库、中英文本对照库、新旧版本对照库、香港法规库、澳门法规库、台湾法规库、外国法规库、国际条约库、法规解读库、古近代法规库。其中中国法律法规库数据量达中国法律法规库1515998；中英文本对照库3759；新旧版本对照库213；香港法规库3050；澳门法规库32368；台湾法规库10550；外国法规库1016；国际条约库5668；法规解读库1840；古代近代法规库648。</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案例数据库群内容包括由中国裁判文书库、精品案例库、精选案例库、中国媒体案例库、行政执法案例库、国际法院案例库、外国法院案例库、中国古代案例库、教学参考案例库、香港法院案例库、澳门法院案例库、台湾法院案例库。其中中国裁判文书库数据量超过中国裁判文书库27224297；精品案例库24816；精选案例库4286669；中国媒体案例库55753；行政执法案例库1918；国际法院案例库115；外国法院案例库808；中国古代案例库467；教学参考案例库438；香港法院案例库89704；澳门法院案例库17720；台湾法院案例库610832。</w:t>
            </w:r>
          </w:p>
          <w:p w14:paraId="477B70F2">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司法考试在线模考系统包含历年考试真题、近万套模拟试卷，每年度的考试大纲以及配套的司法考试文书，在海量数据基础之上，提供灵活的试卷生成机制，用户可以按照来源、学科、试卷、题型、数量自助生成适合自己满意的试卷，节约买书买题的成本，提升复习的效率，顺利跨越司法考试，是广大考生备战司考的首选工具。</w:t>
            </w:r>
          </w:p>
          <w:p w14:paraId="1A903A0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合同范本数据库共收录5000余部中文合同范本。数据量级在同行业数据库产品处于领先地位。根据合同类型，将合同分为买卖合同、房地产合同、承揽合同、建设工程合同、租赁合同等24个大类，为用户提供更快、更直观的检索，力求契合各种合同在不同领域和行业中的实际应用效果。</w:t>
            </w:r>
          </w:p>
          <w:p w14:paraId="0A2A63C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5、法学辞典库共有数据1606条，法学文献库提供187718条文献目录索引，包括七百多条授权文献。使用方式：远程访问。</w:t>
            </w:r>
          </w:p>
          <w:p w14:paraId="1A7F38FA">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36E384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0DDC84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EB961C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23218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129A935">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11</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1D73A30">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03B020</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2FC62C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中科IBCET大学英语四六级网考学习数据库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57D975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主要功能：学生应用前台包括课程学习、专项练习、综合模拟自测、错题记录、错题组卷、在线考试等26个主要功能模块；后台管理系统包括自建题库、访问统计、组织在线考试、考试统计等18个主要功能模块。检索方式：提供快速检索、标准检索、高级检索和学科导航检索。检索字段包括课程名称、试卷名称、知识模块、题干、答案及解析等字段。技术标准：基于WindowsNT架构和SQL、IIS平台，提供B/S方式的WEB数据库服务。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02455F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15B325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45EF5A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75835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8056705">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12</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755D07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03B021</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11E87A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森途学院—职业能力与创业学习资源总库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9BEC28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（一）就业方面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1、产品数据资源内容为正式电子出版物，具有电子出版物刊号。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2、针对专业进行相关职业推荐，覆盖专业不少于500个，提供职业解析数量不少于700个。</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3、提供行业就业分析，覆盖30个以上行业。</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4、提供城市求职分析，覆盖我国重点城市数量不少于50个。</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5、提供就业真题、模拟试题，试卷数量不少于5万套，题目数量不少于400万道，涉及职业大类不少于20个。</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6、提供就业测评，实现就业力（8个维度）测评。</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7、提供就业资讯及关于就业方面的法律政策法规，数量不少于500条，各地就业政策不少于500条；就业资讯每日更新。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8、提供就业视频，数量不少于500部。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9、提供职场视频，数量不少于2000部，展现形式需以微课Flash动画模拟职场场景。10.提供简历模板，包括通用型和专业化简历模板，涵盖不少于30个热门领域，支持下载，数量不少于900份。</w:t>
            </w:r>
          </w:p>
          <w:p w14:paraId="473E9D0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（二）创业方面</w:t>
            </w:r>
          </w:p>
          <w:p w14:paraId="10B7CD0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1、产品包含创业理论知识与模拟实践内容，包括创业测评、计划书、实训、视频、政策法规、案例等模块。</w:t>
            </w:r>
          </w:p>
          <w:p w14:paraId="4D20F3AE">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2、创业测评分为创业性格、能力、精神、兴趣4类测试，测试题目不少于300道。</w:t>
            </w:r>
          </w:p>
          <w:p w14:paraId="6F90023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3、每年对创业计划书内容更新。数量不少于200份。</w:t>
            </w:r>
          </w:p>
          <w:p w14:paraId="210A93D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4、创业实训模拟有限责任公司和个体经营商户等模式，涉及工商、税务、社会保障、银行等各个环节，并提供企业经营模拟系统。</w:t>
            </w:r>
          </w:p>
          <w:p w14:paraId="4DEBD36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5、创业视频包括教授讲解创业理论知识、名人分享创业经验、企业生存管理和行业创业知识的学习，视频数量不少于1500部。</w:t>
            </w:r>
          </w:p>
          <w:p w14:paraId="07B3CF7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6、创业政策法规将创业的政策法规类问题划分，涉及创业相关法律，不少于800个法条，创业政策不少于1000条。以每年10%左右的幅度递增。</w:t>
            </w:r>
          </w:p>
          <w:p w14:paraId="1E7305AD">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7、创业人物精选，每月一期。</w:t>
            </w:r>
          </w:p>
          <w:p w14:paraId="31C2D677">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8、创业案例汇集具有代表性的企业案例，年更新不少于50个。</w:t>
            </w:r>
          </w:p>
          <w:p w14:paraId="75BF0362">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（三）能力提升方面</w:t>
            </w:r>
          </w:p>
          <w:p w14:paraId="571E072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提供专业认证、职业知识考试、个人应聘素质测试以及外语能力测试等试题资源。数量不低于5万套，需包括历年真题、模拟题以及相关的热门试题。功能上需满足在线答题、在线保存功能，提供自动阅卷评分以及试题解析等服务。</w:t>
            </w:r>
          </w:p>
          <w:p w14:paraId="25EB26CA">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2、提供公务员行测、申论真题及模拟题，数量不低于2万套。</w:t>
            </w:r>
          </w:p>
          <w:p w14:paraId="6BC0FCB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3、提供不少于10个专业门类的视频课程，需涵盖知名高校及国际名校的视频课程。数量不低于2万部。</w:t>
            </w:r>
          </w:p>
          <w:p w14:paraId="10FACAD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(四）售后服务要求：IP终端远程服务，IP内注册专属账号，可实现IP外访问。服务响应时间不超过2小时。</w:t>
            </w:r>
          </w:p>
          <w:p w14:paraId="2FD2B19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（五）技术培训要求：</w:t>
            </w:r>
          </w:p>
          <w:p w14:paraId="3872B62E">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1、每年不少于2次的技术培训</w:t>
            </w:r>
          </w:p>
          <w:p w14:paraId="6546789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2、每年不少于2次的读者使用培训</w:t>
            </w:r>
          </w:p>
          <w:p w14:paraId="292B8F8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3、按照用户要求，提供个性化培训服务。</w:t>
            </w:r>
          </w:p>
          <w:p w14:paraId="0630D137">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D8CF00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A06177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72C42D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68F974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6ABAC17">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13</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59CDDC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03B026</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2084F1E">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科学智库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C5F352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一、经济发展智库：数据库内容：“经济发展智库”以宏微观经济理论和政策为专长的决策咨询智库，具体的二级栏目包括《宏观经济》、《产业经济》、《财政与金融》、《贸易经济》、《城市与区域政策》、《农业经济》、《劳动经济》、《房地产经济》、《战略性新兴产业》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管理科学智库：数据库内容：“管理科学智库”面向企事业单位的管理者和高校从事管理教学和科研的教师和研究生，二级栏目主要涵盖《管理思想》、管理学、《管理与决策方法》、《人力资源管理》、《企业管理》、《市场营销》、《财务会计》、《物流与供应链》、《运作管理》、《项目管理》、《工程管理》、《信息管理与电子商务》、《旅游管理》、《图书情报与档案》、《知识管理》、《战略管理》等多个子库。数据库来源：科学出版社每年出版大量的智库研究报告和智库类研究专著，其中大部分为中国科学院、中国工程院等国家高端智库的成果以及科技部、国家自然科学基金委员会和国家哲学社会科学规划办等国家级科研主管部门资助的相关课题成果。这些研究报告和专著以解决经济、社会、政府和企业等的重大需求为目标，很多研究成果得到过党和国家领导人的批示以及行业主管部门的采纳，产生了深远的政策影响和经济社会效益。版权归属：科学智库下属的经济发展智库和管理科学智库版权完全归中国科技出版传媒股份有限公司（科学出版社）所有，无任何版权纠纷。资源形式：报告，图书，图表，资讯.使用形式：在线访问，无下载和浏览次数限制。检索方式：一键检索、主题分类、高级检索、相关推荐</w:t>
            </w:r>
          </w:p>
          <w:p w14:paraId="01431C9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79FA8F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DC7338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71B67F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350111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F4035DF">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14</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7E2C2C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03B027</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AAE3D9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国道数据库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5D21439">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1.国道外文数据库（SpecialSciDBS）是目前国内最大的一个外文、全文数据库平台；是以学科或问题为核心构建的资源。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2.此次采购以下专题：法学、管理学，经济学，金融与财务会计。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3.资源类型涉及学术论文、技术报告、会议记录、议题议案、专栏评述、法规标准、新产品资讯、专利、机构出版物及其他等10余种，以专题区分。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4.平台包括四种检索方式:快速检索、高级检索、专业检索、二次检索;包含学术导航、分类导航、机构导航、电子杂志、奖项导航等不同的导航方式。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5.访问方式：远程访问。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F99A11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95B96A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674900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4A622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F3B4D7E">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15</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BCD22AD">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03B030</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4207D9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商学院教育视频资源服务平台</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0D002B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1.产品要求及技术参数：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1.1平台资源整合了国内外名校课程，以及商界传奇人物现场经验分享等视频数据。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要求产品采用流媒体技术，高清、流畅、稳定的播放效果，先进的分布式云存储，资源本地化存储，本地访问更流畅，不占用出口带宽。要求供应商视频格式是flv流媒体格式，支持本地缓存播放。800*600分辨率、25帧、视频平均500kb、音频是96k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1.3要求产品平台页面设计人性化，页面简洁、操作简单，符合学习者使用习惯。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1.4要求年更新累积超过3000集.以便于作为采购本项目数据库的主要依据之一。</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要求视频资源库点播系统（Vicworl）模块是流媒体服务平台，可以独立运营。整个模块基于B/S架构，采用Vicworl自主知识产权的VConnect服务内核，除支持MPEG-1（mpg、dat、mp3）、MPEG-4（avi、asf、wmv）、REAL（rm、rmvb）、REAL10、FLV、CSF等众多主流媒体格式外，还支持所有非媒体流格式，同时采用NoDelay独创技术，支持广域网任意拖拽，响应时间极短。采用标准HTTP协议，全面实现对多网卡、跨网段、跨路由、跨防火墙的支持。单服务器支持1000并发流（无缓冲）。</w:t>
            </w:r>
          </w:p>
          <w:p w14:paraId="40666BF7">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1.6为了保证课程质量。要求供应商产品,必须提供相关的授权文件，由此而发生的知识产权纠纷由供货商承担全部责任。</w:t>
            </w:r>
          </w:p>
          <w:p w14:paraId="3D5D39B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1.7要求需要有技术手段对课程进行保护，防止课程被非法传播，由此而发生的损失由供货商承担。1.8要求产品平台有ip地址授权：吉林财经大学IP地址段访问，无需用户帐号登录，即可访问互联网资源库站和访问所授权的内容。用户帐户授权：是指通过在IP地址段内注册个人帐户登录后，可通过任意ip地址访问所授权的资源库内容。</w:t>
            </w:r>
          </w:p>
          <w:p w14:paraId="4154273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2.服务方式和范围：根据吉林财经大学IP地址段提供网络服务，版权问题由供应商负责。</w:t>
            </w:r>
          </w:p>
          <w:p w14:paraId="61FE446A">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3.售后服务要求：</w:t>
            </w:r>
          </w:p>
          <w:p w14:paraId="27E8CBC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3.1免费的数据库讲座及学习培训保证每年至少一次。</w:t>
            </w:r>
          </w:p>
          <w:p w14:paraId="13CCEA0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3.2免费为学校提供的校内宣传及推广服务。</w:t>
            </w:r>
          </w:p>
          <w:p w14:paraId="7A2342A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3.3免费提供介绍及使用指导、课程说明及易拉宝等宣传物品。</w:t>
            </w:r>
          </w:p>
          <w:p w14:paraId="4627754E">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3.4免费安装调试、人员培训、技术支持。</w:t>
            </w:r>
          </w:p>
          <w:p w14:paraId="04D99A57">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3.5定期进行用户回访，及时处理用户意见。</w:t>
            </w:r>
          </w:p>
          <w:p w14:paraId="2E2835D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3.6须教育网公网均架设了服务器，保障资源库平稳、顺畅使用。</w:t>
            </w:r>
          </w:p>
          <w:p w14:paraId="57100C3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3.7须一年内免费进行数据的更新，数据库使用中出现任何问题保证2小时内作出响应，48小时内解决问题。</w:t>
            </w:r>
          </w:p>
          <w:p w14:paraId="19C286F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3.8应按用户相关要求以中文文本形式及时提供本数据库年度访问情况的统计分析报告。</w:t>
            </w:r>
          </w:p>
          <w:p w14:paraId="111A582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其他要求：全部内容均通过网络实现访问，由保证7*24小时的客户服务，不间断进行数据更新及维护服务。故障天数一年内累计不得超过5天次，并保证有相应补救措施以不影响用户正常使用，课程远程服务；质量保修期：签协议后及时数据更新。</w:t>
            </w:r>
          </w:p>
          <w:p w14:paraId="14AF505A">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0DA0B9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55F4C9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2EC298D">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756265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 w:hRule="atLeast"/>
          <w:jc w:val="center"/>
        </w:trPr>
        <w:tc>
          <w:tcPr>
            <w:tcW w:w="768"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5DE3B0C">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16</w:t>
            </w:r>
          </w:p>
        </w:tc>
        <w:tc>
          <w:tcPr>
            <w:tcW w:w="902"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5ABFB5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03B031</w:t>
            </w:r>
          </w:p>
        </w:tc>
        <w:tc>
          <w:tcPr>
            <w:tcW w:w="142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D9C96E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威斯外文数据库</w:t>
            </w:r>
          </w:p>
        </w:tc>
        <w:tc>
          <w:tcPr>
            <w:tcW w:w="457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44F292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购买以下专题：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社会科学专题Socialsciences，主要收录此库主要收录内容*H社会科学(总论)*HA统计学*HB经济理论.人口学*HC经济史和经济状况*HD工业.土地使用.劳动经济*HE交通运输和通信*HF商业*HG金融*HJ公共财政*HM社会学(总论)*HN社会发展史和社会状况.社会问题.社会改革*等专业内容，数据起始年限1996年，年更新量不低于15000篇。</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政治科学专题PoliticalScience，主要收录一般性立法与执行文件卷宗*JA政治科学(总论)*JC政治理论*JF政治制度和公共管理*JJ政治制度和公共管理(北美)*JK政治制度和公共管理(美国)*JL政治制度和公共管理(加拿大,拉丁美洲,等.)*JN政治制度和公共管理(欧洲)*JQ政治制度和公共管理(亚洲,非洲,大洋洲,太平洋地区,等.)国际关系等专业内容，收录起始年限从1993年开始，年更新量不低于13000篇。</w:t>
            </w:r>
          </w:p>
          <w:p w14:paraId="6991258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法律专题Law主要收录法律总论.比较法和统一法.法学*KB宗教法总论.比较宗教法.法学*KBM犹太法*KBP伊斯兰法*KBR教会法历史*KBU罗马天主教会法，圣座*KD-KDK英国与爱尔兰*KDZ美洲.北美洲*KE加拿大*KF美国*KG拉丁美洲-墨西哥和中美洲-西印度群岛.加勒比地区*KH南美洲*KJ-KKZ欧洲等专业内容，数据起始时间1996年，年更新量不低于10000篇资源。提供方式：远程包库。</w:t>
            </w:r>
          </w:p>
          <w:p w14:paraId="5ADA09DA">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6582E0F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8C0AD4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387F8C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bl>
    <w:p w14:paraId="5D42B84E">
      <w:pPr>
        <w:rPr>
          <w:rFonts w:hint="default" w:ascii="宋体" w:hAnsi="宋体" w:eastAsia="宋体" w:cs="宋体"/>
          <w:color w:val="auto"/>
          <w:sz w:val="36"/>
          <w:szCs w:val="36"/>
          <w:highlight w:val="none"/>
          <w:lang w:val="en-US" w:eastAsia="zh-CN"/>
        </w:rPr>
      </w:pPr>
      <w:r>
        <w:rPr>
          <w:rFonts w:hint="eastAsia" w:ascii="宋体" w:hAnsi="宋体" w:eastAsia="宋体" w:cs="宋体"/>
          <w:b/>
          <w:bCs/>
          <w:color w:val="auto"/>
          <w:sz w:val="21"/>
          <w:szCs w:val="21"/>
          <w:highlight w:val="none"/>
          <w:lang w:val="zh-CN" w:eastAsia="zh-CN"/>
        </w:rPr>
        <w:t>请投标人注意：投标文件对招标文件各种设备所要求的主要功能配置及其技术指标必须全部满足，不允许有缺项或者负偏离，如果不满足将导致</w:t>
      </w:r>
      <w:r>
        <w:rPr>
          <w:rFonts w:hint="eastAsia" w:ascii="宋体" w:hAnsi="宋体" w:eastAsia="宋体" w:cs="宋体"/>
          <w:b/>
          <w:bCs/>
          <w:color w:val="auto"/>
          <w:sz w:val="21"/>
          <w:szCs w:val="21"/>
          <w:highlight w:val="none"/>
          <w:lang w:val="en-US" w:eastAsia="zh-CN"/>
        </w:rPr>
        <w:t>投标被否决</w:t>
      </w:r>
      <w:r>
        <w:rPr>
          <w:rFonts w:hint="eastAsia" w:ascii="宋体" w:hAnsi="宋体" w:eastAsia="宋体" w:cs="宋体"/>
          <w:b/>
          <w:bCs/>
          <w:color w:val="auto"/>
          <w:sz w:val="21"/>
          <w:szCs w:val="21"/>
          <w:highlight w:val="none"/>
          <w:lang w:val="zh-CN" w:eastAsia="zh-CN"/>
        </w:rPr>
        <w:t>。</w:t>
      </w:r>
    </w:p>
    <w:p w14:paraId="668DC7DE">
      <w:pPr>
        <w:rPr>
          <w:rFonts w:hint="eastAsia" w:ascii="宋体" w:hAnsi="宋体" w:eastAsia="宋体" w:cs="宋体"/>
          <w:color w:val="auto"/>
          <w:sz w:val="36"/>
          <w:szCs w:val="36"/>
          <w:highlight w:val="none"/>
          <w:lang w:val="zh-CN" w:eastAsia="zh-CN"/>
        </w:rPr>
      </w:pPr>
      <w:r>
        <w:rPr>
          <w:rFonts w:hint="eastAsia" w:ascii="宋体" w:hAnsi="宋体" w:eastAsia="宋体" w:cs="宋体"/>
          <w:color w:val="auto"/>
          <w:sz w:val="36"/>
          <w:szCs w:val="36"/>
          <w:highlight w:val="none"/>
          <w:lang w:val="zh-CN" w:eastAsia="zh-CN"/>
        </w:rPr>
        <w:br w:type="page"/>
      </w:r>
    </w:p>
    <w:p w14:paraId="330EED3F">
      <w:pPr>
        <w:numPr>
          <w:ilvl w:val="0"/>
          <w:numId w:val="0"/>
        </w:numPr>
        <w:rPr>
          <w:rFonts w:hint="eastAsia"/>
          <w:b/>
          <w:bCs/>
          <w:color w:val="auto"/>
          <w:highlight w:val="none"/>
          <w:lang w:val="en-US" w:eastAsia="zh-CN"/>
        </w:rPr>
      </w:pPr>
      <w:r>
        <w:rPr>
          <w:rFonts w:hint="eastAsia"/>
          <w:b/>
          <w:bCs/>
          <w:color w:val="auto"/>
          <w:highlight w:val="none"/>
          <w:lang w:val="en-US" w:eastAsia="zh-CN"/>
        </w:rPr>
        <w:t>第三包参数</w:t>
      </w:r>
    </w:p>
    <w:tbl>
      <w:tblPr>
        <w:tblStyle w:val="25"/>
        <w:tblW w:w="1008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44"/>
        <w:gridCol w:w="900"/>
        <w:gridCol w:w="1163"/>
        <w:gridCol w:w="4961"/>
        <w:gridCol w:w="805"/>
        <w:gridCol w:w="804"/>
        <w:gridCol w:w="804"/>
      </w:tblGrid>
      <w:tr w14:paraId="71EF8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blHeader/>
          <w:jc w:val="center"/>
        </w:trPr>
        <w:tc>
          <w:tcPr>
            <w:tcW w:w="64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3045CA5">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序号</w:t>
            </w:r>
          </w:p>
        </w:tc>
        <w:tc>
          <w:tcPr>
            <w:tcW w:w="9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8D5E9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sz w:val="20"/>
                <w:szCs w:val="20"/>
                <w:highlight w:val="none"/>
                <w:u w:val="none"/>
                <w:lang w:val="en-US" w:eastAsia="zh-CN"/>
              </w:rPr>
              <w:t>项目编码</w:t>
            </w:r>
          </w:p>
        </w:tc>
        <w:tc>
          <w:tcPr>
            <w:tcW w:w="116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99E37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名称</w:t>
            </w:r>
          </w:p>
        </w:tc>
        <w:tc>
          <w:tcPr>
            <w:tcW w:w="4961"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085F0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sz w:val="20"/>
                <w:szCs w:val="20"/>
                <w:highlight w:val="none"/>
                <w:u w:val="none"/>
              </w:rPr>
              <w:t>主要功能配置及技术指标要求</w:t>
            </w:r>
          </w:p>
        </w:tc>
        <w:tc>
          <w:tcPr>
            <w:tcW w:w="805" w:type="dxa"/>
            <w:tcBorders>
              <w:top w:val="single" w:color="000000" w:sz="4" w:space="0"/>
              <w:left w:val="single" w:color="000000" w:sz="4" w:space="0"/>
              <w:bottom w:val="single" w:color="000000" w:sz="4" w:space="0"/>
              <w:right w:val="single" w:color="000000" w:sz="4" w:space="0"/>
            </w:tcBorders>
            <w:noWrap w:val="0"/>
            <w:vAlign w:val="center"/>
          </w:tcPr>
          <w:p w14:paraId="21735A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zh-CN" w:eastAsia="zh-CN"/>
              </w:rPr>
            </w:pPr>
            <w:r>
              <w:rPr>
                <w:rFonts w:hint="eastAsia" w:ascii="宋体" w:hAnsi="宋体" w:eastAsia="宋体" w:cs="宋体"/>
                <w:i w:val="0"/>
                <w:iCs w:val="0"/>
                <w:color w:val="auto"/>
                <w:sz w:val="20"/>
                <w:szCs w:val="20"/>
                <w:highlight w:val="none"/>
                <w:u w:val="none"/>
                <w:lang w:val="zh-CN"/>
              </w:rPr>
              <w:t>数量单位</w:t>
            </w:r>
          </w:p>
        </w:tc>
        <w:tc>
          <w:tcPr>
            <w:tcW w:w="804" w:type="dxa"/>
            <w:tcBorders>
              <w:top w:val="single" w:color="000000" w:sz="4" w:space="0"/>
              <w:left w:val="single" w:color="000000" w:sz="4" w:space="0"/>
              <w:bottom w:val="single" w:color="000000" w:sz="4" w:space="0"/>
              <w:right w:val="single" w:color="000000" w:sz="4" w:space="0"/>
            </w:tcBorders>
            <w:noWrap w:val="0"/>
            <w:vAlign w:val="center"/>
          </w:tcPr>
          <w:p w14:paraId="6C86BB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zh-CN" w:eastAsia="zh-CN"/>
              </w:rPr>
            </w:pPr>
            <w:r>
              <w:rPr>
                <w:rFonts w:hint="eastAsia" w:ascii="宋体" w:hAnsi="宋体" w:eastAsia="宋体" w:cs="宋体"/>
                <w:i w:val="0"/>
                <w:iCs w:val="0"/>
                <w:color w:val="auto"/>
                <w:sz w:val="20"/>
                <w:szCs w:val="20"/>
                <w:highlight w:val="none"/>
                <w:u w:val="none"/>
                <w:lang w:val="zh-CN"/>
              </w:rPr>
              <w:t>数量</w:t>
            </w:r>
          </w:p>
        </w:tc>
        <w:tc>
          <w:tcPr>
            <w:tcW w:w="804" w:type="dxa"/>
            <w:tcBorders>
              <w:top w:val="single" w:color="000000" w:sz="4" w:space="0"/>
              <w:left w:val="single" w:color="000000" w:sz="4" w:space="0"/>
              <w:bottom w:val="single" w:color="000000" w:sz="4" w:space="0"/>
              <w:right w:val="single" w:color="000000" w:sz="4" w:space="0"/>
            </w:tcBorders>
            <w:noWrap w:val="0"/>
            <w:vAlign w:val="center"/>
          </w:tcPr>
          <w:p w14:paraId="51AD0C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质量保证期</w:t>
            </w:r>
          </w:p>
        </w:tc>
      </w:tr>
      <w:tr w14:paraId="115A4E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58F14FD">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1</w:t>
            </w:r>
          </w:p>
        </w:tc>
        <w:tc>
          <w:tcPr>
            <w:tcW w:w="9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6A45060">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03B019</w:t>
            </w:r>
          </w:p>
        </w:tc>
        <w:tc>
          <w:tcPr>
            <w:tcW w:w="116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27B442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EBSCO(ASP+BSC)外文数据库</w:t>
            </w:r>
          </w:p>
        </w:tc>
        <w:tc>
          <w:tcPr>
            <w:tcW w:w="4961"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92F0549">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购买ASP和BSC。</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AcademicSearchPremier(ASP)综合学科全文数据库（商管财经除外）收录年限：1887年-至今主题范畴：涵盖多元化的学术研究领域，包括物理、化学、航空、天文、工程技术、教育、法律、医学、语言学、农学、人文、信息科技、通讯传播、生物科学、公共管理、社会科学、历史学、计算机、军事、文化、健康卫生医疗、宗教与神学、艺术、心理学、哲学、国际关系、各国文学等。数据内容：ASP收录13,800多种刊物的索摘，4,785种全文期刊[其中4,000多种为同行评审(peer-reviewed)]及800多种非期刊类全文出版物,如书籍专著及会议论文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BusinessSourceComplete商管财经全文数据库收录年限：1886年-至今BSC包括营销、管理等学科3,700多种全文期刊以及书籍、专题论文、参考工具资料、书摘、会议论文、案例研究、投资研究报告、产业报告、市场研究报告、国家报告、企业公司档案、SWOT分析等等。远程包库使用。</w:t>
            </w:r>
          </w:p>
          <w:p w14:paraId="386FB10E">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38049E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zh-CN"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ACBA3B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zh-CN"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5955A6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375BC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4501A98">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2</w:t>
            </w:r>
          </w:p>
        </w:tc>
        <w:tc>
          <w:tcPr>
            <w:tcW w:w="9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514932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03B033</w:t>
            </w:r>
          </w:p>
        </w:tc>
        <w:tc>
          <w:tcPr>
            <w:tcW w:w="116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E7E2B40">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Web of Science(SCI&amp;SSCI)</w:t>
            </w:r>
          </w:p>
        </w:tc>
        <w:tc>
          <w:tcPr>
            <w:tcW w:w="4961"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F844322">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SCI&amp;SSCI，购买2026年使用权一年。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B940D6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7ADF67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290206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r w14:paraId="12728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4FEE87B1">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eastAsia="zh-CN"/>
              </w:rPr>
            </w:pPr>
            <w:r>
              <w:rPr>
                <w:rFonts w:hint="eastAsia" w:ascii="宋体" w:hAnsi="宋体" w:eastAsia="宋体" w:cs="宋体"/>
                <w:i w:val="0"/>
                <w:iCs w:val="0"/>
                <w:color w:val="auto"/>
                <w:sz w:val="20"/>
                <w:szCs w:val="20"/>
                <w:highlight w:val="none"/>
                <w:u w:val="none"/>
                <w:lang w:val="en-US" w:eastAsia="zh-CN"/>
              </w:rPr>
              <w:t>3</w:t>
            </w:r>
          </w:p>
        </w:tc>
        <w:tc>
          <w:tcPr>
            <w:tcW w:w="9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2DC12CF">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03B034</w:t>
            </w:r>
          </w:p>
        </w:tc>
        <w:tc>
          <w:tcPr>
            <w:tcW w:w="1163"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53365778">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Emerald管理学全文数据库</w:t>
            </w:r>
          </w:p>
        </w:tc>
        <w:tc>
          <w:tcPr>
            <w:tcW w:w="4961"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604A1CD">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1.出版社来自英国，具有管理学科权威和影响力，全部出版内容（期刊、图书、案例）均为出版社原创出版（非集成），对所有内容具有独立版权。</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2.期刊库包含的全文期刊内容与出版发行同步，管理学领域数量达到283种，超过40万篇全文；在线全文内容可回溯至1994年。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3.出版社能提供回溯内容全国在线的免费使用，该回溯内容包含近180种期刊，超过11万篇全文，结合回溯内容，可确保在线全文期刊内容可回溯至第一卷第一期。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4.同时能够提供其他学科相关的资源，学术科研资源、期刊文章写作投稿指南、案例分析写作指南、教学辅助内容、期刊创办与运营资源、新闻与资讯文章等等。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5.订购年份的数据能够提供永久使用权。</w:t>
            </w:r>
          </w:p>
          <w:p w14:paraId="2C33A159">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6.数据平台访问无并发用户限制，不产生国际流量费用，允许设置VPN远程访问。</w:t>
            </w:r>
          </w:p>
          <w:p w14:paraId="5D973F2D">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7.数据库的订购使用可按月份跨年度进行，文献格式为国际通用的PDF和HTML格式，可在线浏览、下载阅读。</w:t>
            </w:r>
          </w:p>
          <w:p w14:paraId="73C043A4">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平台具备全文检索功能，可以在文章内容中进行关键字查找。检索入口丰富，提供导航检索、一次检索、二次检索、高级检索、专业检索等检索入口，并提供主题、题名、关键词、摘要、作者、刊名、年限、来源等多种检索字段。</w:t>
            </w:r>
          </w:p>
          <w:p w14:paraId="7294F2D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购买2026年使用权一年。</w:t>
            </w:r>
          </w:p>
        </w:tc>
        <w:tc>
          <w:tcPr>
            <w:tcW w:w="80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769B63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508D6A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14D843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1年</w:t>
            </w:r>
          </w:p>
        </w:tc>
      </w:tr>
    </w:tbl>
    <w:p w14:paraId="777785E7">
      <w:pPr>
        <w:rPr>
          <w:rFonts w:hint="eastAsia" w:ascii="宋体" w:hAnsi="宋体" w:eastAsia="宋体" w:cs="宋体"/>
          <w:color w:val="auto"/>
          <w:sz w:val="36"/>
          <w:szCs w:val="36"/>
          <w:highlight w:val="none"/>
          <w:lang w:val="en-US" w:eastAsia="zh-CN"/>
        </w:rPr>
      </w:pPr>
      <w:r>
        <w:rPr>
          <w:rFonts w:hint="eastAsia" w:ascii="宋体" w:hAnsi="宋体" w:eastAsia="宋体" w:cs="宋体"/>
          <w:b/>
          <w:bCs/>
          <w:color w:val="auto"/>
          <w:sz w:val="21"/>
          <w:szCs w:val="21"/>
          <w:highlight w:val="none"/>
          <w:lang w:val="zh-CN" w:eastAsia="zh-CN"/>
        </w:rPr>
        <w:t>请投标人注意：投标文件对招标文件各种设备所要求的主要功能配置及其技术指标必须全部满足，不允许有缺项或者负偏离，如果不满足将导致</w:t>
      </w:r>
      <w:r>
        <w:rPr>
          <w:rFonts w:hint="eastAsia" w:ascii="宋体" w:hAnsi="宋体" w:eastAsia="宋体" w:cs="宋体"/>
          <w:b/>
          <w:bCs/>
          <w:color w:val="auto"/>
          <w:sz w:val="21"/>
          <w:szCs w:val="21"/>
          <w:highlight w:val="none"/>
          <w:lang w:val="en-US" w:eastAsia="zh-CN"/>
        </w:rPr>
        <w:t>投标被否决</w:t>
      </w:r>
      <w:r>
        <w:rPr>
          <w:rFonts w:hint="eastAsia" w:ascii="宋体" w:hAnsi="宋体" w:eastAsia="宋体" w:cs="宋体"/>
          <w:b/>
          <w:bCs/>
          <w:color w:val="auto"/>
          <w:sz w:val="21"/>
          <w:szCs w:val="21"/>
          <w:highlight w:val="none"/>
          <w:lang w:val="zh-CN" w:eastAsia="zh-CN"/>
        </w:rPr>
        <w:t>。</w:t>
      </w:r>
      <w:r>
        <w:rPr>
          <w:rFonts w:hint="eastAsia" w:ascii="宋体" w:hAnsi="宋体" w:eastAsia="宋体" w:cs="宋体"/>
          <w:color w:val="auto"/>
          <w:sz w:val="36"/>
          <w:szCs w:val="36"/>
          <w:highlight w:val="none"/>
          <w:lang w:val="en-US" w:eastAsia="zh-CN"/>
        </w:rPr>
        <w:br w:type="page"/>
      </w:r>
    </w:p>
    <w:p w14:paraId="35186FD2">
      <w:pPr>
        <w:pStyle w:val="5"/>
        <w:bidi w:val="0"/>
        <w:spacing w:line="240" w:lineRule="auto"/>
        <w:jc w:val="center"/>
        <w:rPr>
          <w:rFonts w:hint="eastAsia" w:ascii="宋体" w:hAnsi="宋体" w:eastAsia="宋体" w:cs="宋体"/>
          <w:color w:val="auto"/>
          <w:sz w:val="36"/>
          <w:szCs w:val="36"/>
          <w:highlight w:val="none"/>
          <w:lang w:val="zh-CN" w:eastAsia="zh-CN"/>
        </w:rPr>
      </w:pPr>
      <w:r>
        <w:rPr>
          <w:rFonts w:hint="eastAsia" w:ascii="宋体" w:hAnsi="宋体" w:eastAsia="宋体" w:cs="宋体"/>
          <w:color w:val="auto"/>
          <w:sz w:val="36"/>
          <w:szCs w:val="36"/>
          <w:highlight w:val="none"/>
          <w:lang w:val="zh-CN" w:eastAsia="zh-CN"/>
        </w:rPr>
        <w:t>第六章  投标文件构成、要求及格式</w:t>
      </w:r>
      <w:bookmarkEnd w:id="130"/>
      <w:bookmarkEnd w:id="131"/>
      <w:bookmarkEnd w:id="132"/>
      <w:bookmarkEnd w:id="133"/>
      <w:bookmarkEnd w:id="134"/>
      <w:bookmarkEnd w:id="135"/>
    </w:p>
    <w:p w14:paraId="63DD0B97">
      <w:pPr>
        <w:rPr>
          <w:rFonts w:hint="eastAsia" w:ascii="宋体" w:hAnsi="宋体" w:eastAsia="宋体" w:cs="宋体"/>
          <w:bCs/>
          <w:color w:val="auto"/>
          <w:sz w:val="32"/>
          <w:szCs w:val="32"/>
          <w:highlight w:val="none"/>
        </w:rPr>
      </w:pPr>
      <w:bookmarkStart w:id="136" w:name="_Toc11558"/>
      <w:bookmarkStart w:id="137" w:name="_Toc1898"/>
      <w:r>
        <w:rPr>
          <w:rFonts w:hint="eastAsia" w:ascii="宋体" w:hAnsi="宋体" w:eastAsia="宋体" w:cs="宋体"/>
          <w:bCs/>
          <w:color w:val="auto"/>
          <w:sz w:val="32"/>
          <w:szCs w:val="32"/>
          <w:highlight w:val="none"/>
        </w:rPr>
        <w:br w:type="page"/>
      </w:r>
    </w:p>
    <w:p w14:paraId="1BD5A346">
      <w:pPr>
        <w:spacing w:line="500" w:lineRule="exact"/>
        <w:jc w:val="right"/>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（正本/副本）</w:t>
      </w:r>
    </w:p>
    <w:p w14:paraId="1AC14554">
      <w:pPr>
        <w:spacing w:line="780" w:lineRule="exact"/>
        <w:jc w:val="center"/>
        <w:rPr>
          <w:rFonts w:hint="eastAsia" w:ascii="宋体" w:hAnsi="宋体" w:eastAsia="宋体" w:cs="宋体"/>
          <w:b/>
          <w:color w:val="auto"/>
          <w:sz w:val="44"/>
          <w:szCs w:val="44"/>
          <w:highlight w:val="none"/>
        </w:rPr>
      </w:pPr>
    </w:p>
    <w:p w14:paraId="7196B150">
      <w:pPr>
        <w:spacing w:line="780" w:lineRule="exac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u w:val="single"/>
        </w:rPr>
        <w:t>（项目名称</w:t>
      </w:r>
      <w:r>
        <w:rPr>
          <w:rFonts w:hint="eastAsia" w:ascii="宋体" w:hAnsi="宋体" w:eastAsia="宋体" w:cs="宋体"/>
          <w:b/>
          <w:color w:val="auto"/>
          <w:sz w:val="44"/>
          <w:szCs w:val="44"/>
          <w:highlight w:val="none"/>
          <w:u w:val="single"/>
          <w:lang w:val="en-US" w:eastAsia="zh-CN"/>
        </w:rPr>
        <w:t>/标包</w:t>
      </w:r>
      <w:r>
        <w:rPr>
          <w:rFonts w:hint="eastAsia" w:ascii="宋体" w:hAnsi="宋体" w:eastAsia="宋体" w:cs="宋体"/>
          <w:b/>
          <w:color w:val="auto"/>
          <w:sz w:val="44"/>
          <w:szCs w:val="44"/>
          <w:highlight w:val="none"/>
          <w:u w:val="single"/>
        </w:rPr>
        <w:t>）</w:t>
      </w:r>
    </w:p>
    <w:p w14:paraId="6A2BB006">
      <w:pPr>
        <w:tabs>
          <w:tab w:val="left" w:pos="2700"/>
        </w:tabs>
        <w:spacing w:line="500" w:lineRule="exac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ab/>
      </w:r>
    </w:p>
    <w:p w14:paraId="09F04C08">
      <w:pPr>
        <w:spacing w:line="500" w:lineRule="exact"/>
        <w:rPr>
          <w:rFonts w:hint="eastAsia" w:ascii="宋体" w:hAnsi="宋体" w:eastAsia="宋体" w:cs="宋体"/>
          <w:bCs/>
          <w:color w:val="auto"/>
          <w:sz w:val="28"/>
          <w:szCs w:val="28"/>
          <w:highlight w:val="none"/>
        </w:rPr>
      </w:pPr>
    </w:p>
    <w:p w14:paraId="46C96495">
      <w:pPr>
        <w:spacing w:line="500" w:lineRule="exact"/>
        <w:rPr>
          <w:rFonts w:hint="eastAsia" w:ascii="宋体" w:hAnsi="宋体" w:eastAsia="宋体" w:cs="宋体"/>
          <w:bCs/>
          <w:color w:val="auto"/>
          <w:sz w:val="28"/>
          <w:szCs w:val="28"/>
          <w:highlight w:val="none"/>
        </w:rPr>
      </w:pPr>
    </w:p>
    <w:p w14:paraId="20F9A62E">
      <w:pPr>
        <w:spacing w:line="500" w:lineRule="exact"/>
        <w:rPr>
          <w:rFonts w:hint="eastAsia" w:ascii="宋体" w:hAnsi="宋体" w:eastAsia="宋体" w:cs="宋体"/>
          <w:bCs/>
          <w:color w:val="auto"/>
          <w:sz w:val="28"/>
          <w:szCs w:val="28"/>
          <w:highlight w:val="none"/>
        </w:rPr>
      </w:pPr>
    </w:p>
    <w:p w14:paraId="6F457C97">
      <w:pPr>
        <w:spacing w:line="500" w:lineRule="exact"/>
        <w:rPr>
          <w:rFonts w:hint="eastAsia" w:ascii="宋体" w:hAnsi="宋体" w:eastAsia="宋体" w:cs="宋体"/>
          <w:bCs/>
          <w:color w:val="auto"/>
          <w:sz w:val="28"/>
          <w:szCs w:val="28"/>
          <w:highlight w:val="none"/>
        </w:rPr>
      </w:pPr>
    </w:p>
    <w:p w14:paraId="030B4D30">
      <w:pPr>
        <w:spacing w:line="500" w:lineRule="exact"/>
        <w:jc w:val="center"/>
        <w:rPr>
          <w:rFonts w:hint="eastAsia" w:ascii="宋体" w:hAnsi="宋体" w:eastAsia="宋体" w:cs="宋体"/>
          <w:bCs/>
          <w:color w:val="auto"/>
          <w:sz w:val="44"/>
          <w:szCs w:val="44"/>
          <w:highlight w:val="none"/>
        </w:rPr>
      </w:pPr>
      <w:r>
        <w:rPr>
          <w:rFonts w:hint="eastAsia" w:ascii="宋体" w:hAnsi="宋体" w:eastAsia="宋体" w:cs="宋体"/>
          <w:bCs/>
          <w:color w:val="auto"/>
          <w:sz w:val="44"/>
          <w:szCs w:val="44"/>
          <w:highlight w:val="none"/>
        </w:rPr>
        <w:t>投   标   文   件</w:t>
      </w:r>
    </w:p>
    <w:p w14:paraId="6A2EE429">
      <w:pPr>
        <w:spacing w:line="500" w:lineRule="exact"/>
        <w:jc w:val="center"/>
        <w:rPr>
          <w:rFonts w:hint="default" w:ascii="宋体" w:hAnsi="宋体" w:eastAsia="宋体" w:cs="宋体"/>
          <w:color w:val="auto"/>
          <w:kern w:val="44"/>
          <w:sz w:val="44"/>
          <w:szCs w:val="44"/>
          <w:highlight w:val="none"/>
          <w:lang w:val="en-US" w:eastAsia="zh-CN"/>
        </w:rPr>
      </w:pPr>
      <w:r>
        <w:rPr>
          <w:rFonts w:hint="eastAsia" w:ascii="宋体" w:hAnsi="宋体" w:eastAsia="宋体" w:cs="宋体"/>
          <w:color w:val="auto"/>
          <w:kern w:val="44"/>
          <w:sz w:val="30"/>
          <w:szCs w:val="30"/>
          <w:highlight w:val="none"/>
          <w:lang w:val="en-US" w:eastAsia="zh-CN"/>
        </w:rPr>
        <w:t>项目编号：</w:t>
      </w:r>
    </w:p>
    <w:p w14:paraId="2D83C9E8">
      <w:pPr>
        <w:spacing w:line="500" w:lineRule="exact"/>
        <w:jc w:val="center"/>
        <w:rPr>
          <w:rFonts w:hint="eastAsia" w:ascii="宋体" w:hAnsi="宋体" w:eastAsia="宋体" w:cs="宋体"/>
          <w:b/>
          <w:color w:val="auto"/>
          <w:sz w:val="32"/>
          <w:szCs w:val="32"/>
          <w:highlight w:val="none"/>
          <w:u w:val="single"/>
        </w:rPr>
      </w:pPr>
    </w:p>
    <w:p w14:paraId="1DEF8F1F">
      <w:pPr>
        <w:spacing w:line="500" w:lineRule="exact"/>
        <w:jc w:val="center"/>
        <w:rPr>
          <w:rFonts w:hint="eastAsia" w:ascii="宋体" w:hAnsi="宋体" w:eastAsia="宋体" w:cs="宋体"/>
          <w:b/>
          <w:color w:val="auto"/>
          <w:sz w:val="32"/>
          <w:szCs w:val="32"/>
          <w:highlight w:val="none"/>
          <w:u w:val="single"/>
        </w:rPr>
      </w:pPr>
    </w:p>
    <w:p w14:paraId="3C26E8A0">
      <w:pPr>
        <w:spacing w:line="500" w:lineRule="exact"/>
        <w:rPr>
          <w:rFonts w:hint="eastAsia" w:ascii="宋体" w:hAnsi="宋体" w:eastAsia="宋体" w:cs="宋体"/>
          <w:color w:val="auto"/>
          <w:sz w:val="28"/>
          <w:szCs w:val="28"/>
          <w:highlight w:val="none"/>
        </w:rPr>
      </w:pPr>
    </w:p>
    <w:p w14:paraId="435574C4">
      <w:pPr>
        <w:spacing w:line="500" w:lineRule="exact"/>
        <w:rPr>
          <w:rFonts w:hint="eastAsia" w:ascii="宋体" w:hAnsi="宋体" w:eastAsia="宋体" w:cs="宋体"/>
          <w:color w:val="auto"/>
          <w:sz w:val="28"/>
          <w:szCs w:val="28"/>
          <w:highlight w:val="none"/>
        </w:rPr>
      </w:pPr>
    </w:p>
    <w:p w14:paraId="1C04A9B2">
      <w:pPr>
        <w:spacing w:line="500" w:lineRule="exact"/>
        <w:rPr>
          <w:rFonts w:hint="eastAsia" w:ascii="宋体" w:hAnsi="宋体" w:eastAsia="宋体" w:cs="宋体"/>
          <w:color w:val="auto"/>
          <w:sz w:val="28"/>
          <w:szCs w:val="28"/>
          <w:highlight w:val="none"/>
        </w:rPr>
      </w:pPr>
    </w:p>
    <w:p w14:paraId="39295AE5">
      <w:pPr>
        <w:spacing w:line="50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项目编号：</w:t>
      </w:r>
      <w:r>
        <w:rPr>
          <w:rFonts w:hint="eastAsia" w:ascii="宋体" w:hAnsi="宋体" w:eastAsia="宋体" w:cs="宋体"/>
          <w:b/>
          <w:color w:val="auto"/>
          <w:sz w:val="28"/>
          <w:szCs w:val="28"/>
          <w:highlight w:val="none"/>
          <w:lang w:val="en-US" w:eastAsia="zh-CN"/>
        </w:rPr>
        <w:t>___________________________________________</w:t>
      </w:r>
      <w:r>
        <w:rPr>
          <w:rFonts w:hint="eastAsia" w:ascii="宋体" w:hAnsi="宋体" w:eastAsia="宋体" w:cs="宋体"/>
          <w:b/>
          <w:color w:val="auto"/>
          <w:sz w:val="28"/>
          <w:szCs w:val="28"/>
          <w:highlight w:val="none"/>
          <w:u w:val="none"/>
          <w:lang w:val="en-US" w:eastAsia="zh-CN"/>
        </w:rPr>
        <w:t xml:space="preserve">                                           </w:t>
      </w:r>
      <w:r>
        <w:rPr>
          <w:rFonts w:hint="eastAsia" w:ascii="宋体" w:hAnsi="宋体" w:eastAsia="宋体" w:cs="宋体"/>
          <w:b/>
          <w:color w:val="auto"/>
          <w:sz w:val="28"/>
          <w:szCs w:val="28"/>
          <w:highlight w:val="none"/>
          <w:u w:val="none"/>
        </w:rPr>
        <w:t xml:space="preserve"> </w:t>
      </w:r>
      <w:r>
        <w:rPr>
          <w:rFonts w:hint="eastAsia" w:ascii="宋体" w:hAnsi="宋体" w:eastAsia="宋体" w:cs="宋体"/>
          <w:b/>
          <w:color w:val="auto"/>
          <w:sz w:val="28"/>
          <w:szCs w:val="28"/>
          <w:highlight w:val="none"/>
          <w:u w:val="single"/>
        </w:rPr>
        <w:t xml:space="preserve">                                      </w:t>
      </w:r>
    </w:p>
    <w:p w14:paraId="7688DE8B">
      <w:pPr>
        <w:spacing w:line="50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供应商</w:t>
      </w:r>
      <w:r>
        <w:rPr>
          <w:rFonts w:hint="eastAsia" w:ascii="宋体" w:hAnsi="宋体" w:eastAsia="宋体" w:cs="宋体"/>
          <w:b/>
          <w:color w:val="auto"/>
          <w:sz w:val="28"/>
          <w:szCs w:val="28"/>
          <w:highlight w:val="none"/>
        </w:rPr>
        <w:t>全称：</w:t>
      </w:r>
      <w:r>
        <w:rPr>
          <w:rFonts w:hint="eastAsia" w:ascii="宋体" w:hAnsi="宋体" w:eastAsia="宋体" w:cs="宋体"/>
          <w:b/>
          <w:color w:val="auto"/>
          <w:sz w:val="28"/>
          <w:szCs w:val="28"/>
          <w:highlight w:val="none"/>
          <w:u w:val="single"/>
        </w:rPr>
        <w:t xml:space="preserve">                          （加盖单位公章）</w:t>
      </w:r>
      <w:r>
        <w:rPr>
          <w:rFonts w:hint="eastAsia" w:ascii="宋体" w:hAnsi="宋体" w:eastAsia="宋体" w:cs="宋体"/>
          <w:b/>
          <w:color w:val="auto"/>
          <w:sz w:val="28"/>
          <w:szCs w:val="28"/>
          <w:highlight w:val="none"/>
        </w:rPr>
        <w:t xml:space="preserve"> </w:t>
      </w:r>
    </w:p>
    <w:p w14:paraId="6EEB2903">
      <w:pPr>
        <w:autoSpaceDE w:val="0"/>
        <w:autoSpaceDN w:val="0"/>
        <w:adjustRightInd w:val="0"/>
        <w:outlineLvl w:val="1"/>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法定代表人：</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签字</w:t>
      </w:r>
      <w:r>
        <w:rPr>
          <w:rFonts w:hint="eastAsia" w:ascii="宋体" w:hAnsi="宋体" w:eastAsia="宋体" w:cs="宋体"/>
          <w:b/>
          <w:color w:val="auto"/>
          <w:sz w:val="28"/>
          <w:szCs w:val="28"/>
          <w:highlight w:val="none"/>
          <w:u w:val="single"/>
        </w:rPr>
        <w:t>）</w:t>
      </w:r>
    </w:p>
    <w:p w14:paraId="0AB39CED">
      <w:pPr>
        <w:autoSpaceDE w:val="0"/>
        <w:autoSpaceDN w:val="0"/>
        <w:adjustRightInd w:val="0"/>
        <w:outlineLvl w:val="1"/>
        <w:rPr>
          <w:rFonts w:hint="eastAsia" w:ascii="宋体" w:hAnsi="宋体" w:eastAsia="宋体" w:cs="宋体"/>
          <w:b/>
          <w:color w:val="auto"/>
          <w:sz w:val="28"/>
          <w:szCs w:val="28"/>
          <w:highlight w:val="none"/>
          <w:u w:val="single"/>
        </w:rPr>
      </w:pPr>
      <w:r>
        <w:rPr>
          <w:rFonts w:hint="eastAsia" w:ascii="宋体" w:hAnsi="宋体" w:eastAsia="宋体" w:cs="宋体"/>
          <w:b/>
          <w:color w:val="auto"/>
          <w:sz w:val="28"/>
          <w:szCs w:val="28"/>
          <w:highlight w:val="none"/>
        </w:rPr>
        <w:t>日  期：</w:t>
      </w:r>
      <w:r>
        <w:rPr>
          <w:rFonts w:hint="eastAsia" w:ascii="宋体" w:hAnsi="宋体" w:eastAsia="宋体" w:cs="宋体"/>
          <w:b/>
          <w:color w:val="auto"/>
          <w:sz w:val="28"/>
          <w:szCs w:val="28"/>
          <w:highlight w:val="none"/>
          <w:u w:val="single"/>
        </w:rPr>
        <w:t xml:space="preserve">                                  年   月   日</w:t>
      </w:r>
    </w:p>
    <w:p w14:paraId="32668518">
      <w:pPr>
        <w:rPr>
          <w:rFonts w:hint="eastAsia" w:ascii="宋体" w:hAnsi="宋体" w:eastAsia="宋体" w:cs="宋体"/>
          <w:b/>
          <w:color w:val="auto"/>
          <w:sz w:val="28"/>
          <w:szCs w:val="28"/>
          <w:highlight w:val="none"/>
          <w:u w:val="single"/>
        </w:rPr>
      </w:pPr>
      <w:r>
        <w:rPr>
          <w:rFonts w:hint="eastAsia" w:ascii="宋体" w:hAnsi="宋体" w:eastAsia="宋体" w:cs="宋体"/>
          <w:b/>
          <w:color w:val="auto"/>
          <w:sz w:val="28"/>
          <w:szCs w:val="28"/>
          <w:highlight w:val="none"/>
          <w:u w:val="single"/>
        </w:rPr>
        <w:br w:type="page"/>
      </w:r>
    </w:p>
    <w:p w14:paraId="51655BB9">
      <w:pPr>
        <w:autoSpaceDE w:val="0"/>
        <w:autoSpaceDN w:val="0"/>
        <w:adjustRightInd w:val="0"/>
        <w:outlineLvl w:val="1"/>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格式一</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lang w:val="zh-CN"/>
        </w:rPr>
        <w:t>投标函</w:t>
      </w:r>
      <w:bookmarkEnd w:id="136"/>
      <w:bookmarkEnd w:id="137"/>
    </w:p>
    <w:p w14:paraId="7CDB1469">
      <w:pPr>
        <w:autoSpaceDE w:val="0"/>
        <w:autoSpaceDN w:val="0"/>
        <w:adjustRightInd w:val="0"/>
        <w:outlineLvl w:val="9"/>
        <w:rPr>
          <w:rFonts w:hint="eastAsia" w:ascii="宋体" w:hAnsi="宋体" w:eastAsia="宋体" w:cs="宋体"/>
          <w:color w:val="auto"/>
          <w:kern w:val="0"/>
          <w:szCs w:val="21"/>
          <w:highlight w:val="none"/>
          <w:u w:val="single"/>
          <w:lang w:val="zh-CN"/>
        </w:rPr>
      </w:pPr>
      <w:r>
        <w:rPr>
          <w:rFonts w:hint="eastAsia" w:ascii="宋体" w:hAnsi="宋体" w:eastAsia="宋体" w:cs="宋体"/>
          <w:color w:val="auto"/>
          <w:kern w:val="0"/>
          <w:szCs w:val="21"/>
          <w:highlight w:val="none"/>
          <w:u w:val="single"/>
          <w:lang w:val="zh-CN"/>
        </w:rPr>
        <w:t xml:space="preserve">                          ：</w:t>
      </w:r>
    </w:p>
    <w:p w14:paraId="67F071BF">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根据你方</w:t>
      </w:r>
      <w:r>
        <w:rPr>
          <w:rFonts w:hint="eastAsia" w:ascii="宋体" w:hAnsi="宋体" w:eastAsia="宋体" w:cs="宋体"/>
          <w:color w:val="auto"/>
          <w:szCs w:val="21"/>
          <w:highlight w:val="none"/>
          <w:u w:val="single"/>
          <w:lang w:val="zh-CN"/>
        </w:rPr>
        <w:t xml:space="preserve">  （项目名称） </w:t>
      </w:r>
      <w:r>
        <w:rPr>
          <w:rFonts w:hint="eastAsia" w:ascii="宋体" w:hAnsi="宋体" w:eastAsia="宋体" w:cs="宋体"/>
          <w:color w:val="auto"/>
          <w:szCs w:val="21"/>
          <w:highlight w:val="none"/>
          <w:lang w:val="zh-CN"/>
        </w:rPr>
        <w:t>项目的编号为</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招标文件，我方正式授权的下述签字人</w:t>
      </w:r>
      <w:r>
        <w:rPr>
          <w:rFonts w:hint="eastAsia" w:ascii="宋体" w:hAnsi="宋体" w:eastAsia="宋体" w:cs="宋体"/>
          <w:color w:val="auto"/>
          <w:szCs w:val="21"/>
          <w:highlight w:val="none"/>
          <w:u w:val="single"/>
          <w:lang w:val="zh-CN"/>
        </w:rPr>
        <w:t xml:space="preserve">  （姓名和职务）  </w:t>
      </w:r>
      <w:r>
        <w:rPr>
          <w:rFonts w:hint="eastAsia" w:ascii="宋体" w:hAnsi="宋体" w:eastAsia="宋体" w:cs="宋体"/>
          <w:color w:val="auto"/>
          <w:szCs w:val="21"/>
          <w:highlight w:val="none"/>
          <w:lang w:val="zh-CN"/>
        </w:rPr>
        <w:t>代表我方</w:t>
      </w:r>
      <w:r>
        <w:rPr>
          <w:rFonts w:hint="eastAsia" w:ascii="宋体" w:hAnsi="宋体" w:eastAsia="宋体" w:cs="宋体"/>
          <w:color w:val="auto"/>
          <w:szCs w:val="21"/>
          <w:highlight w:val="none"/>
          <w:u w:val="single"/>
          <w:lang w:val="zh-CN"/>
        </w:rPr>
        <w:t xml:space="preserve">  （供应商的名称）  </w:t>
      </w:r>
      <w:r>
        <w:rPr>
          <w:rFonts w:hint="eastAsia" w:ascii="宋体" w:hAnsi="宋体" w:eastAsia="宋体" w:cs="宋体"/>
          <w:color w:val="auto"/>
          <w:szCs w:val="21"/>
          <w:highlight w:val="none"/>
          <w:lang w:val="zh-CN"/>
        </w:rPr>
        <w:t>，按照你方招标文件的规定，提交《供应商须知》</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投标文件构成</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要求的全部文件，并保证所提供的全部文件是真实的、有效的和准确的。</w:t>
      </w:r>
    </w:p>
    <w:p w14:paraId="7E95CE44">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据此函，签字人兹宣布同意如下：</w:t>
      </w:r>
    </w:p>
    <w:p w14:paraId="53A6833A">
      <w:pPr>
        <w:tabs>
          <w:tab w:val="left" w:pos="8175"/>
        </w:tabs>
        <w:autoSpaceDE w:val="0"/>
        <w:autoSpaceDN w:val="0"/>
        <w:adjustRightInd w:val="0"/>
        <w:ind w:firstLine="420" w:firstLineChars="20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1.按招标文件规定提供货物及服务的</w:t>
      </w:r>
      <w:r>
        <w:rPr>
          <w:rFonts w:hint="eastAsia" w:ascii="宋体" w:hAnsi="宋体" w:eastAsia="宋体" w:cs="宋体"/>
          <w:color w:val="auto"/>
          <w:szCs w:val="21"/>
          <w:highlight w:val="none"/>
          <w:lang w:val="en-US" w:eastAsia="zh-CN"/>
        </w:rPr>
        <w:t>投标报价</w:t>
      </w:r>
      <w:r>
        <w:rPr>
          <w:rFonts w:hint="eastAsia" w:ascii="宋体" w:hAnsi="宋体" w:eastAsia="宋体" w:cs="宋体"/>
          <w:color w:val="auto"/>
          <w:szCs w:val="21"/>
          <w:highlight w:val="none"/>
          <w:lang w:val="zh-CN"/>
        </w:rPr>
        <w:t>为（</w:t>
      </w:r>
      <w:r>
        <w:rPr>
          <w:rFonts w:hint="eastAsia" w:ascii="宋体" w:hAnsi="宋体" w:eastAsia="宋体" w:cs="宋体"/>
          <w:color w:val="auto"/>
          <w:szCs w:val="21"/>
          <w:highlight w:val="none"/>
          <w:lang w:val="en-US" w:eastAsia="zh-CN"/>
        </w:rPr>
        <w:t>大写</w:t>
      </w: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zh-CN"/>
        </w:rPr>
        <w:t>。</w:t>
      </w:r>
    </w:p>
    <w:p w14:paraId="26E310E1">
      <w:pPr>
        <w:tabs>
          <w:tab w:val="left" w:pos="8175"/>
        </w:tabs>
        <w:autoSpaceDE w:val="0"/>
        <w:autoSpaceDN w:val="0"/>
        <w:adjustRightInd w:val="0"/>
        <w:ind w:firstLine="420" w:firstLineChars="20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2.如果我方中标，我们保证根据招标文件规定履行合同责任和义务。具体</w:t>
      </w:r>
      <w:r>
        <w:rPr>
          <w:rFonts w:hint="eastAsia" w:ascii="宋体" w:hAnsi="宋体" w:eastAsia="宋体" w:cs="宋体"/>
          <w:color w:val="auto"/>
          <w:szCs w:val="21"/>
          <w:highlight w:val="none"/>
          <w:lang w:val="zh-CN" w:eastAsia="zh-CN"/>
        </w:rPr>
        <w:t>合同履行期限</w:t>
      </w:r>
      <w:r>
        <w:rPr>
          <w:rFonts w:hint="eastAsia" w:ascii="宋体" w:hAnsi="宋体" w:eastAsia="宋体" w:cs="宋体"/>
          <w:color w:val="auto"/>
          <w:szCs w:val="21"/>
          <w:highlight w:val="none"/>
          <w:lang w:val="zh-CN"/>
        </w:rPr>
        <w:t>承诺如下：</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zh-CN"/>
        </w:rPr>
        <w:t>。</w:t>
      </w:r>
    </w:p>
    <w:p w14:paraId="68E1B527">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3.我方人民币</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u w:val="single"/>
          <w:lang w:val="en-US" w:eastAsia="zh-CN"/>
        </w:rPr>
        <w:t>/</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元的投标保证金与本投标文件同时提交。</w:t>
      </w:r>
    </w:p>
    <w:p w14:paraId="2E00682F">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4.如果我方中标，我方保证按照招标文件规定提交履约保证金，承担履约责任。</w:t>
      </w:r>
    </w:p>
    <w:p w14:paraId="416C73D6">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5.我们已详细阅读了全部招标文件，包括招标文件的修改、补充文件、参考资料及有关的附件，我们接受招标文件的全部条款和条件，我们知道必须放弃提出含糊不清或误解的问题的权利。</w:t>
      </w:r>
    </w:p>
    <w:p w14:paraId="1D99A241">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6.我们对招标文件关于时限、程序方面的规定没有异议，保证按照招标文件规定的时限和程序参加投标活动。</w:t>
      </w:r>
    </w:p>
    <w:p w14:paraId="2D70F2EC">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7.我们同意在供应商须知规定的开标时间起遵循本投标书，并在供应商须知规定的投标有效期满之前均具有约束力，并有可能中标。</w:t>
      </w:r>
    </w:p>
    <w:p w14:paraId="0FC17E0E">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8.我们如果在规定的投标有效期内撤回投标，则你方可不予退还我们的投标保证金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Cs w:val="21"/>
          <w:highlight w:val="none"/>
          <w:lang w:val="zh-CN"/>
        </w:rPr>
        <w:t>。</w:t>
      </w:r>
    </w:p>
    <w:p w14:paraId="49CB9B39">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9.我们保证向你方提供你方可能要求的与本投标有关的任何证据或资料。</w:t>
      </w:r>
    </w:p>
    <w:p w14:paraId="7D86DC9D">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10.我们完全理解你方不一定要接受最低报价的投标或收到的任何投标。</w:t>
      </w:r>
    </w:p>
    <w:p w14:paraId="18272FCF">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11.本投标自开标之时起90天内有效。</w:t>
      </w:r>
    </w:p>
    <w:p w14:paraId="5EC09BBE">
      <w:pPr>
        <w:tabs>
          <w:tab w:val="left" w:pos="709"/>
        </w:tabs>
        <w:autoSpaceDE w:val="0"/>
        <w:autoSpaceDN w:val="0"/>
        <w:adjustRightInd w:val="0"/>
        <w:ind w:firstLine="482"/>
        <w:outlineLvl w:val="9"/>
        <w:rPr>
          <w:rFonts w:hint="eastAsia" w:ascii="宋体" w:hAnsi="宋体" w:eastAsia="宋体" w:cs="宋体"/>
          <w:color w:val="auto"/>
          <w:kern w:val="0"/>
          <w:szCs w:val="21"/>
          <w:highlight w:val="none"/>
          <w:lang w:val="zh-CN"/>
        </w:rPr>
      </w:pPr>
      <w:r>
        <w:rPr>
          <w:rFonts w:hint="eastAsia" w:ascii="宋体" w:hAnsi="宋体" w:eastAsia="宋体" w:cs="宋体"/>
          <w:color w:val="auto"/>
          <w:kern w:val="0"/>
          <w:szCs w:val="21"/>
          <w:highlight w:val="none"/>
          <w:lang w:val="zh-CN"/>
        </w:rPr>
        <w:t>12.我方保证严格遵守《中华人民共和国政府采购法实施条例》的有关规定，若有下列情形之一的，我方将被处不予退还投标保证金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Cs w:val="21"/>
          <w:highlight w:val="none"/>
          <w:lang w:val="zh-CN"/>
        </w:rPr>
        <w:t>，列入不良行为记录名单，在一至三年内禁止参加政府招标活动，并予以公告：</w:t>
      </w:r>
    </w:p>
    <w:p w14:paraId="247E7837">
      <w:pPr>
        <w:autoSpaceDE w:val="0"/>
        <w:autoSpaceDN w:val="0"/>
        <w:adjustRightInd w:val="0"/>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zh-CN"/>
        </w:rPr>
        <w:t>）提供虚假材料谋取中标、成交的；</w:t>
      </w:r>
    </w:p>
    <w:p w14:paraId="7A18C2A7">
      <w:pPr>
        <w:autoSpaceDE w:val="0"/>
        <w:autoSpaceDN w:val="0"/>
        <w:adjustRightInd w:val="0"/>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zh-CN"/>
        </w:rPr>
        <w:t>）采取不正当手段诋毁、排挤其他供应商的；</w:t>
      </w:r>
    </w:p>
    <w:p w14:paraId="283A4998">
      <w:pPr>
        <w:autoSpaceDE w:val="0"/>
        <w:autoSpaceDN w:val="0"/>
        <w:adjustRightInd w:val="0"/>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zh-CN"/>
        </w:rPr>
        <w:t>）与其他供应商、招标机构或者招标单位人员或者其他有关人员恶意串通的；</w:t>
      </w:r>
    </w:p>
    <w:p w14:paraId="49F5617A">
      <w:pPr>
        <w:autoSpaceDE w:val="0"/>
        <w:autoSpaceDN w:val="0"/>
        <w:adjustRightInd w:val="0"/>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zh-CN"/>
        </w:rPr>
        <w:t>）向评标委员会成员、招标机构或者招标单位人员或者其他有关人员行贿或者提供其他不正当利益的；</w:t>
      </w:r>
    </w:p>
    <w:p w14:paraId="62466C2D">
      <w:pPr>
        <w:autoSpaceDE w:val="0"/>
        <w:autoSpaceDN w:val="0"/>
        <w:adjustRightInd w:val="0"/>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5</w:t>
      </w:r>
      <w:r>
        <w:rPr>
          <w:rFonts w:hint="eastAsia" w:ascii="宋体" w:hAnsi="宋体" w:eastAsia="宋体" w:cs="宋体"/>
          <w:color w:val="auto"/>
          <w:szCs w:val="21"/>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061CFC1C">
      <w:pPr>
        <w:autoSpaceDE w:val="0"/>
        <w:autoSpaceDN w:val="0"/>
        <w:adjustRightInd w:val="0"/>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6</w:t>
      </w:r>
      <w:r>
        <w:rPr>
          <w:rFonts w:hint="eastAsia" w:ascii="宋体" w:hAnsi="宋体" w:eastAsia="宋体" w:cs="宋体"/>
          <w:color w:val="auto"/>
          <w:szCs w:val="21"/>
          <w:highlight w:val="none"/>
          <w:lang w:val="zh-CN"/>
        </w:rPr>
        <w:t>）将中标项目转让给他人或者将中标项目分包给他人的；</w:t>
      </w:r>
    </w:p>
    <w:p w14:paraId="1E476926">
      <w:pPr>
        <w:autoSpaceDE w:val="0"/>
        <w:autoSpaceDN w:val="0"/>
        <w:adjustRightInd w:val="0"/>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7</w:t>
      </w:r>
      <w:r>
        <w:rPr>
          <w:rFonts w:hint="eastAsia" w:ascii="宋体" w:hAnsi="宋体" w:eastAsia="宋体" w:cs="宋体"/>
          <w:color w:val="auto"/>
          <w:szCs w:val="21"/>
          <w:highlight w:val="none"/>
          <w:lang w:val="zh-CN"/>
        </w:rPr>
        <w:t>）签订合同后拒绝履行合同义务的；</w:t>
      </w:r>
    </w:p>
    <w:p w14:paraId="4766F0B9">
      <w:pPr>
        <w:autoSpaceDE w:val="0"/>
        <w:autoSpaceDN w:val="0"/>
        <w:adjustRightInd w:val="0"/>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val="zh-CN"/>
        </w:rPr>
        <w:t>）拒绝有关部门监督检查或提供虚假情况的。</w:t>
      </w:r>
    </w:p>
    <w:p w14:paraId="7B44D5B3">
      <w:pPr>
        <w:autoSpaceDE w:val="0"/>
        <w:autoSpaceDN w:val="0"/>
        <w:adjustRightInd w:val="0"/>
        <w:ind w:firstLine="482"/>
        <w:outlineLvl w:val="9"/>
        <w:rPr>
          <w:rFonts w:hint="eastAsia" w:ascii="宋体" w:hAnsi="宋体" w:eastAsia="宋体" w:cs="宋体"/>
          <w:color w:val="auto"/>
          <w:szCs w:val="21"/>
          <w:highlight w:val="none"/>
          <w:u w:val="single"/>
          <w:lang w:val="zh-CN"/>
        </w:rPr>
      </w:pPr>
      <w:r>
        <w:rPr>
          <w:rFonts w:hint="eastAsia" w:ascii="宋体" w:hAnsi="宋体" w:eastAsia="宋体" w:cs="宋体"/>
          <w:color w:val="auto"/>
          <w:szCs w:val="21"/>
          <w:highlight w:val="none"/>
          <w:lang w:val="zh-CN"/>
        </w:rPr>
        <w:t>供应商印刷体名称（加盖公章）：</w:t>
      </w:r>
      <w:r>
        <w:rPr>
          <w:rFonts w:hint="eastAsia" w:ascii="宋体" w:hAnsi="宋体" w:eastAsia="宋体" w:cs="宋体"/>
          <w:color w:val="auto"/>
          <w:szCs w:val="21"/>
          <w:highlight w:val="none"/>
          <w:u w:val="single"/>
          <w:lang w:val="zh-CN"/>
        </w:rPr>
        <w:t xml:space="preserve">                      </w:t>
      </w:r>
    </w:p>
    <w:p w14:paraId="4698E858">
      <w:pPr>
        <w:autoSpaceDE w:val="0"/>
        <w:autoSpaceDN w:val="0"/>
        <w:adjustRightInd w:val="0"/>
        <w:ind w:firstLine="482"/>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en-US" w:eastAsia="zh-CN"/>
        </w:rPr>
        <w:t>法定代表人</w:t>
      </w:r>
      <w:r>
        <w:rPr>
          <w:rFonts w:hint="eastAsia" w:ascii="宋体" w:hAnsi="宋体" w:eastAsia="宋体" w:cs="宋体"/>
          <w:color w:val="auto"/>
          <w:szCs w:val="21"/>
          <w:highlight w:val="none"/>
          <w:lang w:val="zh-CN"/>
        </w:rPr>
        <w:t>或授权代理人（签字或盖章）：</w:t>
      </w:r>
      <w:r>
        <w:rPr>
          <w:rFonts w:hint="eastAsia" w:ascii="宋体" w:hAnsi="宋体" w:eastAsia="宋体" w:cs="宋体"/>
          <w:color w:val="auto"/>
          <w:szCs w:val="21"/>
          <w:highlight w:val="none"/>
          <w:u w:val="single"/>
          <w:lang w:val="zh-CN"/>
        </w:rPr>
        <w:t xml:space="preserve">                  </w:t>
      </w:r>
    </w:p>
    <w:p w14:paraId="4BF91540">
      <w:pPr>
        <w:autoSpaceDE w:val="0"/>
        <w:autoSpaceDN w:val="0"/>
        <w:adjustRightInd w:val="0"/>
        <w:ind w:firstLine="480"/>
        <w:outlineLvl w:val="9"/>
        <w:rPr>
          <w:rFonts w:hint="eastAsia" w:ascii="宋体" w:hAnsi="宋体" w:eastAsia="宋体" w:cs="宋体"/>
          <w:color w:val="auto"/>
          <w:szCs w:val="21"/>
          <w:highlight w:val="none"/>
          <w:u w:val="single"/>
          <w:lang w:val="zh-CN"/>
        </w:rPr>
      </w:pPr>
      <w:r>
        <w:rPr>
          <w:rFonts w:hint="eastAsia" w:ascii="宋体" w:hAnsi="宋体" w:eastAsia="宋体" w:cs="宋体"/>
          <w:color w:val="auto"/>
          <w:szCs w:val="21"/>
          <w:highlight w:val="none"/>
          <w:lang w:val="zh-CN"/>
        </w:rPr>
        <w:t>地址：</w:t>
      </w:r>
      <w:r>
        <w:rPr>
          <w:rFonts w:hint="eastAsia" w:ascii="宋体" w:hAnsi="宋体" w:eastAsia="宋体" w:cs="宋体"/>
          <w:color w:val="auto"/>
          <w:szCs w:val="21"/>
          <w:highlight w:val="none"/>
          <w:u w:val="single"/>
          <w:lang w:val="zh-CN"/>
        </w:rPr>
        <w:t xml:space="preserve">                                       </w:t>
      </w:r>
    </w:p>
    <w:p w14:paraId="009660A9">
      <w:pPr>
        <w:autoSpaceDE w:val="0"/>
        <w:autoSpaceDN w:val="0"/>
        <w:adjustRightInd w:val="0"/>
        <w:ind w:firstLine="480"/>
        <w:outlineLvl w:val="9"/>
        <w:rPr>
          <w:rFonts w:hint="eastAsia" w:ascii="宋体" w:hAnsi="宋体" w:eastAsia="宋体" w:cs="宋体"/>
          <w:color w:val="auto"/>
          <w:szCs w:val="21"/>
          <w:highlight w:val="none"/>
          <w:u w:val="single"/>
          <w:lang w:val="zh-CN"/>
        </w:rPr>
      </w:pPr>
      <w:r>
        <w:rPr>
          <w:rFonts w:hint="eastAsia" w:ascii="宋体" w:hAnsi="宋体" w:eastAsia="宋体" w:cs="宋体"/>
          <w:color w:val="auto"/>
          <w:szCs w:val="21"/>
          <w:highlight w:val="none"/>
          <w:lang w:val="zh-CN"/>
        </w:rPr>
        <w:t>电话、传真或电传：</w:t>
      </w:r>
      <w:r>
        <w:rPr>
          <w:rFonts w:hint="eastAsia" w:ascii="宋体" w:hAnsi="宋体" w:eastAsia="宋体" w:cs="宋体"/>
          <w:color w:val="auto"/>
          <w:szCs w:val="21"/>
          <w:highlight w:val="none"/>
          <w:u w:val="single"/>
          <w:lang w:val="zh-CN"/>
        </w:rPr>
        <w:t xml:space="preserve">                           </w:t>
      </w:r>
    </w:p>
    <w:p w14:paraId="1A6A2688">
      <w:pPr>
        <w:autoSpaceDE w:val="0"/>
        <w:autoSpaceDN w:val="0"/>
        <w:adjustRightInd w:val="0"/>
        <w:ind w:firstLine="480"/>
        <w:outlineLvl w:val="9"/>
        <w:rPr>
          <w:rFonts w:hint="eastAsia" w:ascii="宋体" w:hAnsi="宋体" w:eastAsia="宋体" w:cs="宋体"/>
          <w:color w:val="auto"/>
          <w:szCs w:val="21"/>
          <w:highlight w:val="none"/>
          <w:u w:val="single"/>
          <w:lang w:val="zh-CN"/>
        </w:rPr>
      </w:pPr>
      <w:r>
        <w:rPr>
          <w:rFonts w:hint="eastAsia" w:ascii="宋体" w:hAnsi="宋体" w:eastAsia="宋体" w:cs="宋体"/>
          <w:color w:val="auto"/>
          <w:szCs w:val="21"/>
          <w:highlight w:val="none"/>
          <w:lang w:val="zh-CN"/>
        </w:rPr>
        <w:t>邮政编码：</w:t>
      </w:r>
      <w:r>
        <w:rPr>
          <w:rFonts w:hint="eastAsia" w:ascii="宋体" w:hAnsi="宋体" w:eastAsia="宋体" w:cs="宋体"/>
          <w:color w:val="auto"/>
          <w:szCs w:val="21"/>
          <w:highlight w:val="none"/>
          <w:u w:val="single"/>
          <w:lang w:val="zh-CN"/>
        </w:rPr>
        <w:t xml:space="preserve">                                   </w:t>
      </w:r>
    </w:p>
    <w:p w14:paraId="0272BC96">
      <w:pPr>
        <w:autoSpaceDE w:val="0"/>
        <w:autoSpaceDN w:val="0"/>
        <w:adjustRightInd w:val="0"/>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日期：</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年</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月</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日</w:t>
      </w:r>
    </w:p>
    <w:p w14:paraId="3B418076">
      <w:pPr>
        <w:autoSpaceDE w:val="0"/>
        <w:autoSpaceDN w:val="0"/>
        <w:adjustRightInd w:val="0"/>
        <w:ind w:firstLine="480"/>
        <w:outlineLvl w:val="9"/>
        <w:rPr>
          <w:rFonts w:hint="eastAsia" w:ascii="宋体" w:hAnsi="宋体" w:eastAsia="宋体" w:cs="宋体"/>
          <w:color w:val="auto"/>
          <w:szCs w:val="21"/>
          <w:highlight w:val="none"/>
          <w:lang w:val="zh-CN"/>
        </w:rPr>
      </w:pPr>
    </w:p>
    <w:p w14:paraId="77C505F6">
      <w:pPr>
        <w:autoSpaceDE w:val="0"/>
        <w:autoSpaceDN w:val="0"/>
        <w:adjustRightInd w:val="0"/>
        <w:ind w:firstLine="472"/>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请供应商注意：投标函必须按规定有效签署和加盖公章。</w:t>
      </w:r>
    </w:p>
    <w:p w14:paraId="06918421">
      <w:pPr>
        <w:rPr>
          <w:rFonts w:hint="eastAsia" w:ascii="宋体" w:hAnsi="宋体" w:eastAsia="宋体" w:cs="宋体"/>
          <w:b/>
          <w:color w:val="auto"/>
          <w:sz w:val="24"/>
          <w:highlight w:val="none"/>
          <w:lang w:val="zh-CN"/>
        </w:rPr>
      </w:pPr>
      <w:bookmarkStart w:id="138" w:name="_Toc29556"/>
      <w:bookmarkStart w:id="139" w:name="_Toc12567"/>
      <w:r>
        <w:rPr>
          <w:rFonts w:hint="eastAsia" w:ascii="宋体" w:hAnsi="宋体" w:eastAsia="宋体" w:cs="宋体"/>
          <w:b/>
          <w:color w:val="auto"/>
          <w:sz w:val="24"/>
          <w:highlight w:val="none"/>
          <w:lang w:val="zh-CN"/>
        </w:rPr>
        <w:br w:type="page"/>
      </w:r>
    </w:p>
    <w:p w14:paraId="07B6F666">
      <w:pPr>
        <w:autoSpaceDE w:val="0"/>
        <w:autoSpaceDN w:val="0"/>
        <w:adjustRightInd w:val="0"/>
        <w:outlineLvl w:val="1"/>
        <w:rPr>
          <w:rFonts w:hint="eastAsia" w:ascii="宋体" w:hAnsi="宋体" w:eastAsia="宋体" w:cs="宋体"/>
          <w:b/>
          <w:color w:val="auto"/>
          <w:sz w:val="24"/>
          <w:highlight w:val="none"/>
          <w:u w:val="single"/>
          <w:lang w:val="zh-CN"/>
        </w:rPr>
      </w:pPr>
      <w:r>
        <w:rPr>
          <w:rFonts w:hint="eastAsia" w:ascii="宋体" w:hAnsi="宋体" w:eastAsia="宋体" w:cs="宋体"/>
          <w:b/>
          <w:color w:val="auto"/>
          <w:sz w:val="24"/>
          <w:highlight w:val="none"/>
          <w:lang w:val="zh-CN"/>
        </w:rPr>
        <w:t>格式二</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lang w:val="zh-CN"/>
        </w:rPr>
        <w:t>开标一览表</w:t>
      </w:r>
      <w:bookmarkEnd w:id="138"/>
      <w:bookmarkEnd w:id="139"/>
      <w:r>
        <w:rPr>
          <w:rFonts w:hint="eastAsia" w:ascii="宋体" w:hAnsi="宋体" w:eastAsia="宋体" w:cs="宋体"/>
          <w:b/>
          <w:color w:val="auto"/>
          <w:sz w:val="24"/>
          <w:highlight w:val="none"/>
          <w:lang w:val="zh-CN"/>
        </w:rPr>
        <w:t xml:space="preserve"> </w:t>
      </w:r>
    </w:p>
    <w:p w14:paraId="1AB356AF">
      <w:pPr>
        <w:autoSpaceDE w:val="0"/>
        <w:autoSpaceDN w:val="0"/>
        <w:adjustRightInd w:val="0"/>
        <w:spacing w:line="360" w:lineRule="auto"/>
        <w:outlineLvl w:val="9"/>
        <w:rPr>
          <w:rFonts w:hint="eastAsia" w:ascii="宋体" w:hAnsi="宋体" w:eastAsia="宋体" w:cs="宋体"/>
          <w:color w:val="auto"/>
          <w:sz w:val="24"/>
          <w:highlight w:val="none"/>
          <w:lang w:val="zh-CN"/>
        </w:rPr>
      </w:pPr>
    </w:p>
    <w:p w14:paraId="5C4B77E0">
      <w:pPr>
        <w:autoSpaceDE w:val="0"/>
        <w:autoSpaceDN w:val="0"/>
        <w:adjustRightInd w:val="0"/>
        <w:spacing w:line="360" w:lineRule="auto"/>
        <w:outlineLvl w:val="9"/>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项目名称：</w:t>
      </w:r>
    </w:p>
    <w:p w14:paraId="4701C405">
      <w:pPr>
        <w:autoSpaceDE w:val="0"/>
        <w:autoSpaceDN w:val="0"/>
        <w:adjustRightInd w:val="0"/>
        <w:spacing w:line="360" w:lineRule="auto"/>
        <w:outlineLvl w:val="9"/>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项目编号：</w:t>
      </w:r>
    </w:p>
    <w:p w14:paraId="54CFA9DC">
      <w:pPr>
        <w:autoSpaceDE w:val="0"/>
        <w:autoSpaceDN w:val="0"/>
        <w:adjustRightInd w:val="0"/>
        <w:spacing w:line="360" w:lineRule="auto"/>
        <w:jc w:val="right"/>
        <w:outlineLvl w:val="9"/>
        <w:rPr>
          <w:rFonts w:hint="eastAsia" w:ascii="宋体" w:hAnsi="宋体" w:eastAsia="宋体" w:cs="宋体"/>
          <w:color w:val="auto"/>
          <w:sz w:val="24"/>
          <w:szCs w:val="24"/>
          <w:highlight w:val="none"/>
          <w:lang w:val="zh-CN"/>
        </w:rPr>
      </w:pPr>
      <w:r>
        <w:rPr>
          <w:rFonts w:hint="eastAsia" w:ascii="宋体" w:hAnsi="宋体" w:eastAsia="宋体" w:cs="宋体"/>
          <w:bCs/>
          <w:color w:val="auto"/>
          <w:szCs w:val="21"/>
          <w:highlight w:val="none"/>
          <w:lang w:val="en-US" w:eastAsia="zh-CN"/>
        </w:rPr>
        <w:t xml:space="preserve">                            </w:t>
      </w:r>
      <w:bookmarkStart w:id="202" w:name="_GoBack"/>
      <w:bookmarkEnd w:id="202"/>
      <w:r>
        <w:rPr>
          <w:rFonts w:hint="eastAsia" w:ascii="宋体" w:hAnsi="宋体" w:eastAsia="宋体" w:cs="宋体"/>
          <w:bCs/>
          <w:color w:val="auto"/>
          <w:szCs w:val="21"/>
          <w:highlight w:val="none"/>
          <w:lang w:val="zh-CN"/>
        </w:rPr>
        <w:t>202</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lang w:val="zh-CN"/>
        </w:rPr>
        <w:t xml:space="preserve">年  月   日  </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 xml:space="preserve">                            </w:t>
      </w:r>
    </w:p>
    <w:tbl>
      <w:tblPr>
        <w:tblStyle w:val="25"/>
        <w:tblW w:w="9699"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87"/>
        <w:gridCol w:w="3466"/>
        <w:gridCol w:w="2263"/>
        <w:gridCol w:w="2083"/>
      </w:tblGrid>
      <w:tr w14:paraId="6FC2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1887" w:type="dxa"/>
            <w:tcBorders>
              <w:top w:val="single" w:color="auto" w:sz="4" w:space="0"/>
              <w:left w:val="single" w:color="auto" w:sz="4" w:space="0"/>
              <w:bottom w:val="single" w:color="auto" w:sz="4" w:space="0"/>
              <w:right w:val="single" w:color="auto" w:sz="4" w:space="0"/>
            </w:tcBorders>
            <w:noWrap w:val="0"/>
            <w:vAlign w:val="center"/>
          </w:tcPr>
          <w:p w14:paraId="42170064">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lang w:val="en-US" w:eastAsia="zh-CN"/>
              </w:rPr>
              <w:t>名称</w:t>
            </w:r>
          </w:p>
        </w:tc>
        <w:tc>
          <w:tcPr>
            <w:tcW w:w="7812" w:type="dxa"/>
            <w:gridSpan w:val="3"/>
            <w:tcBorders>
              <w:top w:val="single" w:color="auto" w:sz="4" w:space="0"/>
              <w:left w:val="single" w:color="auto" w:sz="4" w:space="0"/>
              <w:bottom w:val="single" w:color="auto" w:sz="4" w:space="0"/>
              <w:right w:val="single" w:color="auto" w:sz="4" w:space="0"/>
            </w:tcBorders>
            <w:noWrap w:val="0"/>
            <w:vAlign w:val="center"/>
          </w:tcPr>
          <w:p w14:paraId="044A2C85">
            <w:pPr>
              <w:jc w:val="center"/>
              <w:rPr>
                <w:rFonts w:hint="eastAsia" w:ascii="宋体" w:hAnsi="宋体" w:eastAsia="宋体" w:cs="宋体"/>
                <w:color w:val="auto"/>
                <w:sz w:val="21"/>
                <w:szCs w:val="21"/>
                <w:highlight w:val="none"/>
              </w:rPr>
            </w:pPr>
          </w:p>
        </w:tc>
      </w:tr>
      <w:tr w14:paraId="6A583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51" w:hRule="atLeast"/>
        </w:trPr>
        <w:tc>
          <w:tcPr>
            <w:tcW w:w="1887" w:type="dxa"/>
            <w:tcBorders>
              <w:top w:val="single" w:color="auto" w:sz="4" w:space="0"/>
              <w:left w:val="single" w:color="auto" w:sz="4" w:space="0"/>
              <w:bottom w:val="single" w:color="auto" w:sz="4" w:space="0"/>
              <w:right w:val="single" w:color="auto" w:sz="4" w:space="0"/>
            </w:tcBorders>
            <w:noWrap w:val="0"/>
            <w:vAlign w:val="center"/>
          </w:tcPr>
          <w:p w14:paraId="43BF6507">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eastAsia="zh-CN"/>
              </w:rPr>
              <w:t>总</w:t>
            </w:r>
            <w:r>
              <w:rPr>
                <w:rFonts w:hint="eastAsia" w:ascii="宋体" w:hAnsi="宋体" w:eastAsia="宋体" w:cs="宋体"/>
                <w:color w:val="auto"/>
                <w:sz w:val="21"/>
                <w:szCs w:val="21"/>
                <w:highlight w:val="none"/>
              </w:rPr>
              <w:t>价</w:t>
            </w:r>
            <w:r>
              <w:rPr>
                <w:rFonts w:hint="eastAsia" w:hAnsi="宋体" w:cs="宋体"/>
                <w:color w:val="auto"/>
                <w:sz w:val="21"/>
                <w:szCs w:val="21"/>
                <w:highlight w:val="none"/>
                <w:lang w:eastAsia="zh-CN"/>
              </w:rPr>
              <w:t>（</w:t>
            </w:r>
            <w:r>
              <w:rPr>
                <w:rFonts w:hint="eastAsia" w:hAnsi="宋体" w:cs="宋体"/>
                <w:color w:val="auto"/>
                <w:sz w:val="21"/>
                <w:szCs w:val="21"/>
                <w:highlight w:val="none"/>
                <w:lang w:val="en-US" w:eastAsia="zh-CN"/>
              </w:rPr>
              <w:t>元</w:t>
            </w:r>
            <w:r>
              <w:rPr>
                <w:rFonts w:hint="eastAsia" w:hAnsi="宋体" w:cs="宋体"/>
                <w:color w:val="auto"/>
                <w:sz w:val="21"/>
                <w:szCs w:val="21"/>
                <w:highlight w:val="none"/>
                <w:lang w:eastAsia="zh-CN"/>
              </w:rPr>
              <w:t>）</w:t>
            </w:r>
          </w:p>
        </w:tc>
        <w:tc>
          <w:tcPr>
            <w:tcW w:w="7812" w:type="dxa"/>
            <w:gridSpan w:val="3"/>
            <w:tcBorders>
              <w:top w:val="single" w:color="auto" w:sz="4" w:space="0"/>
              <w:left w:val="single" w:color="auto" w:sz="4" w:space="0"/>
              <w:bottom w:val="single" w:color="auto" w:sz="4" w:space="0"/>
              <w:right w:val="single" w:color="auto" w:sz="4" w:space="0"/>
            </w:tcBorders>
            <w:noWrap w:val="0"/>
            <w:vAlign w:val="center"/>
          </w:tcPr>
          <w:p w14:paraId="12B4A7C4">
            <w:pPr>
              <w:jc w:val="center"/>
              <w:rPr>
                <w:rFonts w:hint="eastAsia" w:ascii="宋体" w:hAnsi="宋体" w:eastAsia="宋体" w:cs="宋体"/>
                <w:color w:val="auto"/>
                <w:sz w:val="21"/>
                <w:szCs w:val="21"/>
                <w:highlight w:val="none"/>
              </w:rPr>
            </w:pPr>
          </w:p>
        </w:tc>
      </w:tr>
      <w:tr w14:paraId="7152E1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1887" w:type="dxa"/>
            <w:tcBorders>
              <w:top w:val="single" w:color="auto" w:sz="4" w:space="0"/>
              <w:left w:val="single" w:color="auto" w:sz="4" w:space="0"/>
              <w:bottom w:val="single" w:color="auto" w:sz="4" w:space="0"/>
              <w:right w:val="single" w:color="auto" w:sz="4" w:space="0"/>
            </w:tcBorders>
            <w:noWrap w:val="0"/>
            <w:vAlign w:val="center"/>
          </w:tcPr>
          <w:p w14:paraId="5BB766E5">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质量</w:t>
            </w:r>
            <w:r>
              <w:rPr>
                <w:rFonts w:hint="eastAsia" w:ascii="宋体" w:hAnsi="宋体" w:eastAsia="宋体" w:cs="宋体"/>
                <w:color w:val="auto"/>
                <w:sz w:val="21"/>
                <w:szCs w:val="21"/>
                <w:highlight w:val="none"/>
                <w:lang w:val="en-US" w:eastAsia="zh-CN"/>
              </w:rPr>
              <w:t>标准</w:t>
            </w:r>
          </w:p>
        </w:tc>
        <w:tc>
          <w:tcPr>
            <w:tcW w:w="3466" w:type="dxa"/>
            <w:tcBorders>
              <w:top w:val="single" w:color="auto" w:sz="4" w:space="0"/>
              <w:left w:val="single" w:color="auto" w:sz="4" w:space="0"/>
              <w:bottom w:val="single" w:color="auto" w:sz="4" w:space="0"/>
              <w:right w:val="single" w:color="auto" w:sz="4" w:space="0"/>
            </w:tcBorders>
            <w:noWrap w:val="0"/>
            <w:vAlign w:val="center"/>
          </w:tcPr>
          <w:p w14:paraId="0D51B877">
            <w:pPr>
              <w:jc w:val="center"/>
              <w:rPr>
                <w:rFonts w:hint="eastAsia" w:ascii="宋体" w:hAnsi="宋体" w:eastAsia="宋体" w:cs="宋体"/>
                <w:color w:val="auto"/>
                <w:sz w:val="21"/>
                <w:szCs w:val="21"/>
                <w:highlight w:val="none"/>
              </w:rPr>
            </w:pPr>
          </w:p>
        </w:tc>
        <w:tc>
          <w:tcPr>
            <w:tcW w:w="2263" w:type="dxa"/>
            <w:tcBorders>
              <w:top w:val="single" w:color="auto" w:sz="4" w:space="0"/>
              <w:left w:val="single" w:color="auto" w:sz="4" w:space="0"/>
              <w:bottom w:val="single" w:color="auto" w:sz="4" w:space="0"/>
              <w:right w:val="single" w:color="auto" w:sz="4" w:space="0"/>
            </w:tcBorders>
            <w:noWrap w:val="0"/>
            <w:vAlign w:val="center"/>
          </w:tcPr>
          <w:p w14:paraId="2F9905CA">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合同履行期限</w:t>
            </w:r>
          </w:p>
        </w:tc>
        <w:tc>
          <w:tcPr>
            <w:tcW w:w="2083" w:type="dxa"/>
            <w:tcBorders>
              <w:top w:val="single" w:color="auto" w:sz="4" w:space="0"/>
              <w:left w:val="single" w:color="auto" w:sz="4" w:space="0"/>
              <w:bottom w:val="single" w:color="auto" w:sz="4" w:space="0"/>
              <w:right w:val="single" w:color="auto" w:sz="4" w:space="0"/>
            </w:tcBorders>
            <w:noWrap w:val="0"/>
            <w:vAlign w:val="center"/>
          </w:tcPr>
          <w:p w14:paraId="54CE0E27">
            <w:pPr>
              <w:jc w:val="center"/>
              <w:rPr>
                <w:rFonts w:hint="eastAsia" w:ascii="宋体" w:hAnsi="宋体" w:eastAsia="宋体" w:cs="宋体"/>
                <w:color w:val="auto"/>
                <w:sz w:val="21"/>
                <w:szCs w:val="21"/>
                <w:highlight w:val="none"/>
              </w:rPr>
            </w:pPr>
          </w:p>
        </w:tc>
      </w:tr>
      <w:tr w14:paraId="010274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06" w:hRule="atLeast"/>
        </w:trPr>
        <w:tc>
          <w:tcPr>
            <w:tcW w:w="9699" w:type="dxa"/>
            <w:gridSpan w:val="4"/>
            <w:tcBorders>
              <w:top w:val="single" w:color="auto" w:sz="4" w:space="0"/>
              <w:left w:val="single" w:color="auto" w:sz="4" w:space="0"/>
              <w:bottom w:val="single" w:color="auto" w:sz="4" w:space="0"/>
              <w:right w:val="single" w:color="auto" w:sz="4" w:space="0"/>
            </w:tcBorders>
            <w:noWrap w:val="0"/>
            <w:vAlign w:val="center"/>
          </w:tcPr>
          <w:p w14:paraId="49A6712A">
            <w:pPr>
              <w:rPr>
                <w:rFonts w:hint="eastAsia" w:ascii="宋体" w:hAnsi="宋体" w:eastAsia="宋体" w:cs="宋体"/>
                <w:color w:val="auto"/>
                <w:sz w:val="21"/>
                <w:szCs w:val="21"/>
                <w:highlight w:val="none"/>
              </w:rPr>
            </w:pPr>
          </w:p>
          <w:p w14:paraId="4944FFB5">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：（盖章）</w:t>
            </w:r>
          </w:p>
          <w:p w14:paraId="4D5E8479">
            <w:pPr>
              <w:rPr>
                <w:rFonts w:hint="eastAsia" w:ascii="宋体" w:hAnsi="宋体" w:eastAsia="宋体" w:cs="宋体"/>
                <w:color w:val="auto"/>
                <w:sz w:val="21"/>
                <w:szCs w:val="21"/>
                <w:highlight w:val="none"/>
              </w:rPr>
            </w:pPr>
          </w:p>
          <w:p w14:paraId="5F48AEE0">
            <w:pPr>
              <w:rPr>
                <w:rFonts w:hint="eastAsia" w:ascii="宋体" w:hAnsi="宋体" w:eastAsia="宋体" w:cs="宋体"/>
                <w:color w:val="auto"/>
                <w:sz w:val="21"/>
                <w:szCs w:val="21"/>
                <w:highlight w:val="none"/>
              </w:rPr>
            </w:pPr>
          </w:p>
          <w:p w14:paraId="0051BCDD">
            <w:pPr>
              <w:rPr>
                <w:rFonts w:hint="eastAsia" w:ascii="宋体" w:hAnsi="宋体" w:eastAsia="宋体" w:cs="宋体"/>
                <w:color w:val="auto"/>
                <w:sz w:val="21"/>
                <w:szCs w:val="21"/>
                <w:highlight w:val="none"/>
              </w:rPr>
            </w:pPr>
          </w:p>
          <w:p w14:paraId="6BA22F4F">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法定代表人或委托代理人：（签字或盖章）</w:t>
            </w:r>
          </w:p>
          <w:p w14:paraId="485EBE07">
            <w:pPr>
              <w:rPr>
                <w:rFonts w:hint="eastAsia" w:ascii="宋体" w:hAnsi="宋体" w:eastAsia="宋体" w:cs="宋体"/>
                <w:color w:val="auto"/>
                <w:sz w:val="21"/>
                <w:szCs w:val="21"/>
                <w:highlight w:val="none"/>
              </w:rPr>
            </w:pPr>
          </w:p>
        </w:tc>
      </w:tr>
    </w:tbl>
    <w:p w14:paraId="694B45ED">
      <w:pPr>
        <w:autoSpaceDE w:val="0"/>
        <w:autoSpaceDN w:val="0"/>
        <w:adjustRightInd w:val="0"/>
        <w:spacing w:line="360" w:lineRule="auto"/>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投标要求：</w:t>
      </w:r>
    </w:p>
    <w:p w14:paraId="6BCD2D8D">
      <w:pPr>
        <w:widowControl/>
        <w:tabs>
          <w:tab w:val="left" w:pos="525"/>
        </w:tabs>
        <w:autoSpaceDE w:val="0"/>
        <w:autoSpaceDN w:val="0"/>
        <w:spacing w:line="360" w:lineRule="auto"/>
        <w:ind w:right="1" w:firstLine="420" w:firstLineChars="200"/>
        <w:textAlignment w:val="bottom"/>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rPr>
        <w:t>.只允许有一个报价，任何有选择性的报价或者有附加条件的报价采购人将不予接受。</w:t>
      </w:r>
    </w:p>
    <w:p w14:paraId="215BD0DF">
      <w:pPr>
        <w:widowControl/>
        <w:tabs>
          <w:tab w:val="left" w:pos="525"/>
        </w:tabs>
        <w:autoSpaceDE w:val="0"/>
        <w:autoSpaceDN w:val="0"/>
        <w:spacing w:line="360" w:lineRule="auto"/>
        <w:ind w:right="1" w:firstLine="420" w:firstLineChars="200"/>
        <w:textAlignment w:val="bottom"/>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rPr>
        <w:t>投标总价应包括如果授予合同将要缴纳的包括增值税在内的销售税和其他税。</w:t>
      </w:r>
      <w:bookmarkStart w:id="140" w:name="_Toc14114"/>
      <w:bookmarkStart w:id="141" w:name="_Toc20872"/>
    </w:p>
    <w:p w14:paraId="79DBFF51">
      <w:pP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br w:type="page"/>
      </w:r>
    </w:p>
    <w:p w14:paraId="66C80AED">
      <w:pPr>
        <w:widowControl/>
        <w:tabs>
          <w:tab w:val="left" w:pos="525"/>
        </w:tabs>
        <w:autoSpaceDE w:val="0"/>
        <w:autoSpaceDN w:val="0"/>
        <w:spacing w:line="360" w:lineRule="auto"/>
        <w:ind w:right="1"/>
        <w:textAlignment w:val="bottom"/>
        <w:outlineLvl w:val="9"/>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格式三</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lang w:val="zh-CN"/>
        </w:rPr>
        <w:t>供应商基本情况（加盖供应商公章或有效签署）</w:t>
      </w:r>
      <w:bookmarkEnd w:id="140"/>
      <w:bookmarkEnd w:id="141"/>
    </w:p>
    <w:p w14:paraId="1B8CCFFC">
      <w:pPr>
        <w:autoSpaceDE w:val="0"/>
        <w:autoSpaceDN w:val="0"/>
        <w:adjustRightInd w:val="0"/>
        <w:spacing w:line="360" w:lineRule="auto"/>
        <w:outlineLvl w:val="9"/>
        <w:rPr>
          <w:rFonts w:hint="eastAsia" w:ascii="宋体" w:hAnsi="宋体" w:eastAsia="宋体" w:cs="宋体"/>
          <w:bCs/>
          <w:color w:val="auto"/>
          <w:szCs w:val="21"/>
          <w:highlight w:val="none"/>
          <w:lang w:val="zh-CN"/>
        </w:rPr>
      </w:pPr>
    </w:p>
    <w:p w14:paraId="219DF61B">
      <w:pPr>
        <w:autoSpaceDE w:val="0"/>
        <w:autoSpaceDN w:val="0"/>
        <w:adjustRightInd w:val="0"/>
        <w:spacing w:line="360" w:lineRule="auto"/>
        <w:outlineLvl w:val="9"/>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1、文字描述：企业性质、发展历程、经营规模、服务理念、技术力量等。</w:t>
      </w:r>
    </w:p>
    <w:p w14:paraId="547B8064">
      <w:pPr>
        <w:autoSpaceDE w:val="0"/>
        <w:autoSpaceDN w:val="0"/>
        <w:adjustRightInd w:val="0"/>
        <w:spacing w:line="360" w:lineRule="auto"/>
        <w:outlineLvl w:val="9"/>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2、图片描述：经营场所、主要产品、生产场所、工艺流程等。</w:t>
      </w:r>
    </w:p>
    <w:p w14:paraId="07B794A4">
      <w:pPr>
        <w:autoSpaceDE w:val="0"/>
        <w:autoSpaceDN w:val="0"/>
        <w:adjustRightInd w:val="0"/>
        <w:spacing w:line="360" w:lineRule="auto"/>
        <w:outlineLvl w:val="9"/>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格式自拟</w:t>
      </w:r>
    </w:p>
    <w:p w14:paraId="10B0C8DE">
      <w:pPr>
        <w:autoSpaceDE w:val="0"/>
        <w:autoSpaceDN w:val="0"/>
        <w:adjustRightInd w:val="0"/>
        <w:outlineLvl w:val="9"/>
        <w:rPr>
          <w:rFonts w:hint="eastAsia" w:ascii="宋体" w:hAnsi="宋体" w:eastAsia="宋体" w:cs="宋体"/>
          <w:color w:val="auto"/>
          <w:sz w:val="24"/>
          <w:highlight w:val="none"/>
        </w:rPr>
      </w:pPr>
    </w:p>
    <w:p w14:paraId="7B653BB9">
      <w:pPr>
        <w:autoSpaceDE w:val="0"/>
        <w:autoSpaceDN w:val="0"/>
        <w:adjustRightInd w:val="0"/>
        <w:outlineLvl w:val="9"/>
        <w:rPr>
          <w:rFonts w:hint="eastAsia" w:ascii="宋体" w:hAnsi="宋体" w:eastAsia="宋体" w:cs="宋体"/>
          <w:color w:val="auto"/>
          <w:sz w:val="24"/>
          <w:highlight w:val="none"/>
        </w:rPr>
      </w:pPr>
    </w:p>
    <w:p w14:paraId="05236F2E">
      <w:pPr>
        <w:autoSpaceDE w:val="0"/>
        <w:autoSpaceDN w:val="0"/>
        <w:adjustRightInd w:val="0"/>
        <w:outlineLvl w:val="9"/>
        <w:rPr>
          <w:rFonts w:hint="eastAsia" w:ascii="宋体" w:hAnsi="宋体" w:eastAsia="宋体" w:cs="宋体"/>
          <w:color w:val="auto"/>
          <w:sz w:val="24"/>
          <w:highlight w:val="none"/>
        </w:rPr>
      </w:pPr>
    </w:p>
    <w:p w14:paraId="7D2F8288">
      <w:pPr>
        <w:autoSpaceDE w:val="0"/>
        <w:autoSpaceDN w:val="0"/>
        <w:adjustRightInd w:val="0"/>
        <w:outlineLvl w:val="9"/>
        <w:rPr>
          <w:rFonts w:hint="eastAsia" w:ascii="宋体" w:hAnsi="宋体" w:eastAsia="宋体" w:cs="宋体"/>
          <w:color w:val="auto"/>
          <w:sz w:val="24"/>
          <w:highlight w:val="none"/>
        </w:rPr>
      </w:pPr>
    </w:p>
    <w:p w14:paraId="0DED3600">
      <w:pPr>
        <w:autoSpaceDE w:val="0"/>
        <w:autoSpaceDN w:val="0"/>
        <w:adjustRightInd w:val="0"/>
        <w:outlineLvl w:val="9"/>
        <w:rPr>
          <w:rFonts w:hint="eastAsia" w:ascii="宋体" w:hAnsi="宋体" w:eastAsia="宋体" w:cs="宋体"/>
          <w:color w:val="auto"/>
          <w:sz w:val="24"/>
          <w:highlight w:val="none"/>
        </w:rPr>
      </w:pPr>
    </w:p>
    <w:p w14:paraId="39C8AAB8">
      <w:pPr>
        <w:autoSpaceDE w:val="0"/>
        <w:autoSpaceDN w:val="0"/>
        <w:adjustRightInd w:val="0"/>
        <w:outlineLvl w:val="9"/>
        <w:rPr>
          <w:rFonts w:hint="eastAsia" w:ascii="宋体" w:hAnsi="宋体" w:eastAsia="宋体" w:cs="宋体"/>
          <w:color w:val="auto"/>
          <w:sz w:val="24"/>
          <w:highlight w:val="none"/>
        </w:rPr>
      </w:pPr>
    </w:p>
    <w:p w14:paraId="3D64915A">
      <w:pPr>
        <w:autoSpaceDE w:val="0"/>
        <w:autoSpaceDN w:val="0"/>
        <w:adjustRightInd w:val="0"/>
        <w:outlineLvl w:val="9"/>
        <w:rPr>
          <w:rFonts w:hint="eastAsia" w:ascii="宋体" w:hAnsi="宋体" w:eastAsia="宋体" w:cs="宋体"/>
          <w:color w:val="auto"/>
          <w:sz w:val="24"/>
          <w:highlight w:val="none"/>
        </w:rPr>
      </w:pPr>
    </w:p>
    <w:p w14:paraId="776AF6BA">
      <w:pPr>
        <w:autoSpaceDE w:val="0"/>
        <w:autoSpaceDN w:val="0"/>
        <w:adjustRightInd w:val="0"/>
        <w:outlineLvl w:val="9"/>
        <w:rPr>
          <w:rFonts w:hint="eastAsia" w:ascii="宋体" w:hAnsi="宋体" w:eastAsia="宋体" w:cs="宋体"/>
          <w:color w:val="auto"/>
          <w:sz w:val="24"/>
          <w:highlight w:val="none"/>
        </w:rPr>
      </w:pPr>
    </w:p>
    <w:p w14:paraId="47735382">
      <w:pPr>
        <w:autoSpaceDE w:val="0"/>
        <w:autoSpaceDN w:val="0"/>
        <w:adjustRightInd w:val="0"/>
        <w:outlineLvl w:val="9"/>
        <w:rPr>
          <w:rFonts w:hint="eastAsia" w:ascii="宋体" w:hAnsi="宋体" w:eastAsia="宋体" w:cs="宋体"/>
          <w:color w:val="auto"/>
          <w:sz w:val="24"/>
          <w:highlight w:val="none"/>
        </w:rPr>
      </w:pPr>
    </w:p>
    <w:p w14:paraId="38E97882">
      <w:pPr>
        <w:autoSpaceDE w:val="0"/>
        <w:autoSpaceDN w:val="0"/>
        <w:adjustRightInd w:val="0"/>
        <w:outlineLvl w:val="9"/>
        <w:rPr>
          <w:rFonts w:hint="eastAsia" w:ascii="宋体" w:hAnsi="宋体" w:eastAsia="宋体" w:cs="宋体"/>
          <w:color w:val="auto"/>
          <w:sz w:val="24"/>
          <w:highlight w:val="none"/>
        </w:rPr>
      </w:pPr>
    </w:p>
    <w:p w14:paraId="67A5C7AA">
      <w:pPr>
        <w:autoSpaceDE w:val="0"/>
        <w:autoSpaceDN w:val="0"/>
        <w:adjustRightInd w:val="0"/>
        <w:outlineLvl w:val="9"/>
        <w:rPr>
          <w:rFonts w:hint="eastAsia" w:ascii="宋体" w:hAnsi="宋体" w:eastAsia="宋体" w:cs="宋体"/>
          <w:color w:val="auto"/>
          <w:sz w:val="24"/>
          <w:highlight w:val="none"/>
        </w:rPr>
      </w:pPr>
    </w:p>
    <w:p w14:paraId="3E5494F5">
      <w:pPr>
        <w:autoSpaceDE w:val="0"/>
        <w:autoSpaceDN w:val="0"/>
        <w:adjustRightInd w:val="0"/>
        <w:outlineLvl w:val="9"/>
        <w:rPr>
          <w:rFonts w:hint="eastAsia" w:ascii="宋体" w:hAnsi="宋体" w:eastAsia="宋体" w:cs="宋体"/>
          <w:color w:val="auto"/>
          <w:sz w:val="24"/>
          <w:highlight w:val="none"/>
        </w:rPr>
      </w:pPr>
    </w:p>
    <w:p w14:paraId="6A086485">
      <w:pPr>
        <w:autoSpaceDE w:val="0"/>
        <w:autoSpaceDN w:val="0"/>
        <w:adjustRightInd w:val="0"/>
        <w:outlineLvl w:val="9"/>
        <w:rPr>
          <w:rFonts w:hint="eastAsia" w:ascii="宋体" w:hAnsi="宋体" w:eastAsia="宋体" w:cs="宋体"/>
          <w:color w:val="auto"/>
          <w:sz w:val="24"/>
          <w:highlight w:val="none"/>
        </w:rPr>
      </w:pPr>
    </w:p>
    <w:p w14:paraId="320A159E">
      <w:pPr>
        <w:autoSpaceDE w:val="0"/>
        <w:autoSpaceDN w:val="0"/>
        <w:adjustRightInd w:val="0"/>
        <w:outlineLvl w:val="9"/>
        <w:rPr>
          <w:rFonts w:hint="eastAsia" w:ascii="宋体" w:hAnsi="宋体" w:eastAsia="宋体" w:cs="宋体"/>
          <w:color w:val="auto"/>
          <w:sz w:val="24"/>
          <w:highlight w:val="none"/>
        </w:rPr>
      </w:pPr>
    </w:p>
    <w:p w14:paraId="253097EA">
      <w:pPr>
        <w:autoSpaceDE w:val="0"/>
        <w:autoSpaceDN w:val="0"/>
        <w:adjustRightInd w:val="0"/>
        <w:outlineLvl w:val="9"/>
        <w:rPr>
          <w:rFonts w:hint="eastAsia" w:ascii="宋体" w:hAnsi="宋体" w:eastAsia="宋体" w:cs="宋体"/>
          <w:color w:val="auto"/>
          <w:sz w:val="24"/>
          <w:highlight w:val="none"/>
        </w:rPr>
      </w:pPr>
    </w:p>
    <w:p w14:paraId="38D86369">
      <w:pPr>
        <w:autoSpaceDE w:val="0"/>
        <w:autoSpaceDN w:val="0"/>
        <w:adjustRightInd w:val="0"/>
        <w:outlineLvl w:val="9"/>
        <w:rPr>
          <w:rFonts w:hint="eastAsia" w:ascii="宋体" w:hAnsi="宋体" w:eastAsia="宋体" w:cs="宋体"/>
          <w:color w:val="auto"/>
          <w:sz w:val="24"/>
          <w:highlight w:val="none"/>
        </w:rPr>
      </w:pPr>
    </w:p>
    <w:p w14:paraId="7F10661E">
      <w:pPr>
        <w:autoSpaceDE w:val="0"/>
        <w:autoSpaceDN w:val="0"/>
        <w:adjustRightInd w:val="0"/>
        <w:outlineLvl w:val="9"/>
        <w:rPr>
          <w:rFonts w:hint="eastAsia" w:ascii="宋体" w:hAnsi="宋体" w:eastAsia="宋体" w:cs="宋体"/>
          <w:color w:val="auto"/>
          <w:sz w:val="24"/>
          <w:highlight w:val="none"/>
        </w:rPr>
      </w:pPr>
    </w:p>
    <w:p w14:paraId="4C116F21">
      <w:pPr>
        <w:autoSpaceDE w:val="0"/>
        <w:autoSpaceDN w:val="0"/>
        <w:adjustRightInd w:val="0"/>
        <w:outlineLvl w:val="9"/>
        <w:rPr>
          <w:rFonts w:hint="eastAsia" w:ascii="宋体" w:hAnsi="宋体" w:eastAsia="宋体" w:cs="宋体"/>
          <w:color w:val="auto"/>
          <w:sz w:val="24"/>
          <w:highlight w:val="none"/>
        </w:rPr>
      </w:pPr>
    </w:p>
    <w:p w14:paraId="135F0C93">
      <w:pPr>
        <w:autoSpaceDE w:val="0"/>
        <w:autoSpaceDN w:val="0"/>
        <w:adjustRightInd w:val="0"/>
        <w:outlineLvl w:val="9"/>
        <w:rPr>
          <w:rFonts w:hint="eastAsia" w:ascii="宋体" w:hAnsi="宋体" w:eastAsia="宋体" w:cs="宋体"/>
          <w:color w:val="auto"/>
          <w:sz w:val="24"/>
          <w:highlight w:val="none"/>
        </w:rPr>
      </w:pPr>
    </w:p>
    <w:p w14:paraId="78FBFD01">
      <w:pPr>
        <w:autoSpaceDE w:val="0"/>
        <w:autoSpaceDN w:val="0"/>
        <w:adjustRightInd w:val="0"/>
        <w:outlineLvl w:val="9"/>
        <w:rPr>
          <w:rFonts w:hint="eastAsia" w:ascii="宋体" w:hAnsi="宋体" w:eastAsia="宋体" w:cs="宋体"/>
          <w:color w:val="auto"/>
          <w:sz w:val="24"/>
          <w:highlight w:val="none"/>
        </w:rPr>
      </w:pPr>
    </w:p>
    <w:p w14:paraId="18B8D252">
      <w:pPr>
        <w:autoSpaceDE w:val="0"/>
        <w:autoSpaceDN w:val="0"/>
        <w:adjustRightInd w:val="0"/>
        <w:outlineLvl w:val="9"/>
        <w:rPr>
          <w:rFonts w:hint="eastAsia" w:ascii="宋体" w:hAnsi="宋体" w:eastAsia="宋体" w:cs="宋体"/>
          <w:color w:val="auto"/>
          <w:sz w:val="24"/>
          <w:highlight w:val="none"/>
        </w:rPr>
      </w:pPr>
    </w:p>
    <w:p w14:paraId="78F9509D">
      <w:pPr>
        <w:autoSpaceDE w:val="0"/>
        <w:autoSpaceDN w:val="0"/>
        <w:adjustRightInd w:val="0"/>
        <w:outlineLvl w:val="9"/>
        <w:rPr>
          <w:rFonts w:hint="eastAsia" w:ascii="宋体" w:hAnsi="宋体" w:eastAsia="宋体" w:cs="宋体"/>
          <w:color w:val="auto"/>
          <w:sz w:val="24"/>
          <w:highlight w:val="none"/>
        </w:rPr>
      </w:pPr>
    </w:p>
    <w:p w14:paraId="6857066E">
      <w:pPr>
        <w:autoSpaceDE w:val="0"/>
        <w:autoSpaceDN w:val="0"/>
        <w:adjustRightInd w:val="0"/>
        <w:outlineLvl w:val="9"/>
        <w:rPr>
          <w:rFonts w:hint="eastAsia" w:ascii="宋体" w:hAnsi="宋体" w:eastAsia="宋体" w:cs="宋体"/>
          <w:color w:val="auto"/>
          <w:sz w:val="24"/>
          <w:highlight w:val="none"/>
        </w:rPr>
      </w:pPr>
    </w:p>
    <w:p w14:paraId="679FFC40">
      <w:pPr>
        <w:autoSpaceDE w:val="0"/>
        <w:autoSpaceDN w:val="0"/>
        <w:adjustRightInd w:val="0"/>
        <w:outlineLvl w:val="9"/>
        <w:rPr>
          <w:rFonts w:hint="eastAsia" w:ascii="宋体" w:hAnsi="宋体" w:eastAsia="宋体" w:cs="宋体"/>
          <w:color w:val="auto"/>
          <w:sz w:val="24"/>
          <w:highlight w:val="none"/>
        </w:rPr>
      </w:pPr>
    </w:p>
    <w:p w14:paraId="582E2611">
      <w:pPr>
        <w:autoSpaceDE w:val="0"/>
        <w:autoSpaceDN w:val="0"/>
        <w:adjustRightInd w:val="0"/>
        <w:outlineLvl w:val="9"/>
        <w:rPr>
          <w:rFonts w:hint="eastAsia" w:ascii="宋体" w:hAnsi="宋体" w:eastAsia="宋体" w:cs="宋体"/>
          <w:color w:val="auto"/>
          <w:sz w:val="24"/>
          <w:highlight w:val="none"/>
        </w:rPr>
      </w:pPr>
    </w:p>
    <w:p w14:paraId="700ED7E5">
      <w:pPr>
        <w:rPr>
          <w:rFonts w:hint="eastAsia" w:ascii="宋体" w:hAnsi="宋体" w:eastAsia="宋体" w:cs="宋体"/>
          <w:b/>
          <w:color w:val="auto"/>
          <w:sz w:val="24"/>
          <w:highlight w:val="none"/>
          <w:lang w:val="zh-CN"/>
        </w:rPr>
      </w:pPr>
      <w:bookmarkStart w:id="142" w:name="_Toc125"/>
      <w:bookmarkStart w:id="143" w:name="_Toc22598"/>
      <w:r>
        <w:rPr>
          <w:rFonts w:hint="eastAsia" w:ascii="宋体" w:hAnsi="宋体" w:eastAsia="宋体" w:cs="宋体"/>
          <w:b/>
          <w:color w:val="auto"/>
          <w:sz w:val="24"/>
          <w:highlight w:val="none"/>
          <w:lang w:val="zh-CN"/>
        </w:rPr>
        <w:br w:type="page"/>
      </w:r>
    </w:p>
    <w:p w14:paraId="2EBA1512">
      <w:pPr>
        <w:autoSpaceDE w:val="0"/>
        <w:autoSpaceDN w:val="0"/>
        <w:adjustRightInd w:val="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格式四</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lang w:val="zh-CN"/>
        </w:rPr>
        <w:t>供应商的资格声明</w:t>
      </w:r>
      <w:bookmarkEnd w:id="142"/>
      <w:bookmarkEnd w:id="143"/>
    </w:p>
    <w:p w14:paraId="61245BAD">
      <w:pPr>
        <w:autoSpaceDE w:val="0"/>
        <w:autoSpaceDN w:val="0"/>
        <w:adjustRightInd w:val="0"/>
        <w:outlineLvl w:val="9"/>
        <w:rPr>
          <w:rFonts w:hint="eastAsia" w:ascii="宋体" w:hAnsi="宋体" w:eastAsia="宋体" w:cs="宋体"/>
          <w:b/>
          <w:color w:val="auto"/>
          <w:sz w:val="24"/>
          <w:highlight w:val="none"/>
        </w:rPr>
      </w:pPr>
    </w:p>
    <w:p w14:paraId="5C5A5B04">
      <w:pPr>
        <w:autoSpaceDE w:val="0"/>
        <w:autoSpaceDN w:val="0"/>
        <w:adjustRightInd w:val="0"/>
        <w:spacing w:line="360" w:lineRule="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致吉林省中泽云项目管理有限公司：</w:t>
      </w:r>
    </w:p>
    <w:p w14:paraId="22754B83">
      <w:pPr>
        <w:autoSpaceDE w:val="0"/>
        <w:autoSpaceDN w:val="0"/>
        <w:adjustRightInd w:val="0"/>
        <w:spacing w:line="360" w:lineRule="auto"/>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按照《中华人民共和国政府采购法》、《中华人民共和国政府采购法实施条例》</w:t>
      </w:r>
      <w:r>
        <w:rPr>
          <w:rFonts w:hint="eastAsia" w:ascii="宋体" w:hAnsi="宋体" w:eastAsia="宋体" w:cs="宋体"/>
          <w:color w:val="auto"/>
          <w:szCs w:val="21"/>
          <w:highlight w:val="none"/>
          <w:lang w:val="en-US" w:eastAsia="zh-CN"/>
        </w:rPr>
        <w:t>及</w:t>
      </w:r>
      <w:r>
        <w:rPr>
          <w:rFonts w:hint="eastAsia" w:ascii="宋体" w:hAnsi="宋体" w:eastAsia="宋体" w:cs="宋体"/>
          <w:color w:val="auto"/>
          <w:szCs w:val="21"/>
          <w:highlight w:val="none"/>
          <w:lang w:val="zh-CN"/>
        </w:rPr>
        <w:t>发布的《</w:t>
      </w:r>
      <w:r>
        <w:rPr>
          <w:rFonts w:hint="eastAsia" w:ascii="宋体" w:hAnsi="宋体" w:eastAsia="宋体" w:cs="宋体"/>
          <w:color w:val="auto"/>
          <w:szCs w:val="21"/>
          <w:highlight w:val="none"/>
          <w:u w:val="single"/>
          <w:lang w:val="zh-CN"/>
        </w:rPr>
        <w:t xml:space="preserve">项目名称 </w:t>
      </w:r>
      <w:r>
        <w:rPr>
          <w:rFonts w:hint="eastAsia" w:ascii="宋体" w:hAnsi="宋体" w:eastAsia="宋体" w:cs="宋体"/>
          <w:color w:val="auto"/>
          <w:szCs w:val="21"/>
          <w:highlight w:val="none"/>
          <w:lang w:val="zh-CN"/>
        </w:rPr>
        <w:t>招标文件》的规定，我公司郑重声明如下：</w:t>
      </w:r>
    </w:p>
    <w:p w14:paraId="6B9C0397">
      <w:pPr>
        <w:autoSpaceDE w:val="0"/>
        <w:autoSpaceDN w:val="0"/>
        <w:adjustRightInd w:val="0"/>
        <w:spacing w:line="360" w:lineRule="auto"/>
        <w:ind w:firstLine="480"/>
        <w:jc w:val="left"/>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zh-CN"/>
        </w:rPr>
        <w:t>、满足《中华人民共和国政府采购法》第二十二条规定。</w:t>
      </w:r>
    </w:p>
    <w:p w14:paraId="2BE84686">
      <w:pPr>
        <w:autoSpaceDE w:val="0"/>
        <w:autoSpaceDN w:val="0"/>
        <w:adjustRightInd w:val="0"/>
        <w:spacing w:line="360" w:lineRule="auto"/>
        <w:ind w:firstLine="480"/>
        <w:jc w:val="left"/>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（一）具有独立承担民事责任的能力；</w:t>
      </w:r>
    </w:p>
    <w:p w14:paraId="007451EC">
      <w:pPr>
        <w:autoSpaceDE w:val="0"/>
        <w:autoSpaceDN w:val="0"/>
        <w:adjustRightInd w:val="0"/>
        <w:spacing w:line="360" w:lineRule="auto"/>
        <w:ind w:firstLine="480"/>
        <w:jc w:val="left"/>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（二）具有良好的商业信誉和健全的财务会计制度；</w:t>
      </w:r>
    </w:p>
    <w:p w14:paraId="2E3D9893">
      <w:pPr>
        <w:autoSpaceDE w:val="0"/>
        <w:autoSpaceDN w:val="0"/>
        <w:adjustRightInd w:val="0"/>
        <w:spacing w:line="360" w:lineRule="auto"/>
        <w:ind w:firstLine="480"/>
        <w:jc w:val="left"/>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（三）具有履行合同所必需的设备和专业技术能力；</w:t>
      </w:r>
    </w:p>
    <w:p w14:paraId="02361ADC">
      <w:pPr>
        <w:autoSpaceDE w:val="0"/>
        <w:autoSpaceDN w:val="0"/>
        <w:adjustRightInd w:val="0"/>
        <w:spacing w:line="360" w:lineRule="auto"/>
        <w:ind w:firstLine="480"/>
        <w:jc w:val="left"/>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（四）有依法缴纳税收和社会保障资金的良好记录；</w:t>
      </w:r>
    </w:p>
    <w:p w14:paraId="3BE46005">
      <w:pPr>
        <w:autoSpaceDE w:val="0"/>
        <w:autoSpaceDN w:val="0"/>
        <w:adjustRightInd w:val="0"/>
        <w:spacing w:line="360" w:lineRule="auto"/>
        <w:ind w:firstLine="480"/>
        <w:jc w:val="left"/>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（五）参加政府采购活动前三年内，在经营活动中没有重大违法记录；</w:t>
      </w:r>
    </w:p>
    <w:p w14:paraId="30038B59">
      <w:pPr>
        <w:autoSpaceDE w:val="0"/>
        <w:autoSpaceDN w:val="0"/>
        <w:adjustRightInd w:val="0"/>
        <w:spacing w:line="360" w:lineRule="auto"/>
        <w:ind w:firstLine="480"/>
        <w:jc w:val="left"/>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（六）法律、行政法规规定的其他条件。</w:t>
      </w:r>
    </w:p>
    <w:p w14:paraId="5386DFF9">
      <w:pPr>
        <w:autoSpaceDE w:val="0"/>
        <w:autoSpaceDN w:val="0"/>
        <w:adjustRightInd w:val="0"/>
        <w:spacing w:line="360" w:lineRule="auto"/>
        <w:ind w:firstLine="480"/>
        <w:jc w:val="left"/>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eastAsia="zh-CN"/>
        </w:rPr>
        <w:t>2.不存在</w:t>
      </w:r>
      <w:r>
        <w:rPr>
          <w:rFonts w:hint="eastAsia" w:ascii="宋体" w:hAnsi="宋体" w:eastAsia="宋体" w:cs="宋体"/>
          <w:color w:val="auto"/>
          <w:szCs w:val="21"/>
          <w:highlight w:val="none"/>
          <w:lang w:val="zh-CN"/>
        </w:rPr>
        <w:t>与采购人存在利害关系可能影响采购公正性的法人、其它组织或者个人参加投标；</w:t>
      </w:r>
      <w:r>
        <w:rPr>
          <w:rFonts w:hint="eastAsia" w:ascii="宋体" w:hAnsi="宋体" w:eastAsia="宋体" w:cs="宋体"/>
          <w:color w:val="auto"/>
          <w:szCs w:val="21"/>
          <w:highlight w:val="none"/>
          <w:lang w:val="zh-CN" w:eastAsia="zh-CN"/>
        </w:rPr>
        <w:t>不存在</w:t>
      </w:r>
      <w:r>
        <w:rPr>
          <w:rFonts w:hint="eastAsia" w:ascii="宋体" w:hAnsi="宋体" w:eastAsia="宋体" w:cs="宋体"/>
          <w:color w:val="auto"/>
          <w:szCs w:val="21"/>
          <w:highlight w:val="none"/>
          <w:lang w:val="zh-CN"/>
        </w:rPr>
        <w:t>单位负责人为同一人或者存在直接控股、管理关系的不同</w:t>
      </w:r>
      <w:r>
        <w:rPr>
          <w:rFonts w:hint="eastAsia" w:ascii="宋体" w:hAnsi="宋体" w:eastAsia="宋体" w:cs="宋体"/>
          <w:color w:val="auto"/>
          <w:szCs w:val="21"/>
          <w:highlight w:val="none"/>
          <w:lang w:val="zh-CN" w:eastAsia="zh-CN"/>
        </w:rPr>
        <w:t>供应商</w:t>
      </w:r>
      <w:r>
        <w:rPr>
          <w:rFonts w:hint="eastAsia" w:ascii="宋体" w:hAnsi="宋体" w:eastAsia="宋体" w:cs="宋体"/>
          <w:color w:val="auto"/>
          <w:szCs w:val="21"/>
          <w:highlight w:val="none"/>
          <w:lang w:val="zh-CN"/>
        </w:rPr>
        <w:t>，参加同一合同项下的政府采购活动。违反这两款规定的，相关投标均无效。</w:t>
      </w:r>
    </w:p>
    <w:p w14:paraId="29101483">
      <w:pPr>
        <w:autoSpaceDE w:val="0"/>
        <w:autoSpaceDN w:val="0"/>
        <w:adjustRightInd w:val="0"/>
        <w:spacing w:line="360" w:lineRule="auto"/>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val="zh-CN"/>
        </w:rPr>
        <w:t>我公司在参与本次政府招标活动时未受到任何地方政府招标部门作出的暂停参加政府招标活动的处罚。</w:t>
      </w:r>
    </w:p>
    <w:p w14:paraId="2DF071AA">
      <w:pPr>
        <w:autoSpaceDE w:val="0"/>
        <w:autoSpaceDN w:val="0"/>
        <w:adjustRightInd w:val="0"/>
        <w:spacing w:line="360" w:lineRule="auto"/>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我公司保证上述声明的事项都是真实的，如有虚假，我公司承担相应的法律责任，并承担因此给你中心以及本项目采购人所造成的损失。</w:t>
      </w:r>
    </w:p>
    <w:p w14:paraId="0C6D8A3F">
      <w:pPr>
        <w:autoSpaceDE w:val="0"/>
        <w:autoSpaceDN w:val="0"/>
        <w:adjustRightInd w:val="0"/>
        <w:spacing w:line="360" w:lineRule="auto"/>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我公司已经按照你公司招标文件的要求提交了所要求提交的能够证明上述声明事项真实性的全部文件材料，并保证随时按照你公司的要求提供能够证明上述声明事项真实性的任何有效文件。</w:t>
      </w:r>
    </w:p>
    <w:p w14:paraId="262C3429">
      <w:pPr>
        <w:autoSpaceDE w:val="0"/>
        <w:autoSpaceDN w:val="0"/>
        <w:adjustRightInd w:val="0"/>
        <w:spacing w:line="360" w:lineRule="auto"/>
        <w:ind w:firstLine="480"/>
        <w:outlineLvl w:val="9"/>
        <w:rPr>
          <w:rFonts w:hint="eastAsia" w:ascii="宋体" w:hAnsi="宋体" w:eastAsia="宋体" w:cs="宋体"/>
          <w:color w:val="auto"/>
          <w:szCs w:val="21"/>
          <w:highlight w:val="none"/>
        </w:rPr>
      </w:pPr>
    </w:p>
    <w:p w14:paraId="312A7943">
      <w:pPr>
        <w:autoSpaceDE w:val="0"/>
        <w:autoSpaceDN w:val="0"/>
        <w:adjustRightInd w:val="0"/>
        <w:spacing w:line="360" w:lineRule="auto"/>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供应商名称全称：</w:t>
      </w:r>
    </w:p>
    <w:p w14:paraId="58DADC82">
      <w:pPr>
        <w:autoSpaceDE w:val="0"/>
        <w:autoSpaceDN w:val="0"/>
        <w:adjustRightInd w:val="0"/>
        <w:spacing w:line="360" w:lineRule="auto"/>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供应商单位公章：</w:t>
      </w:r>
    </w:p>
    <w:p w14:paraId="7E1A853A">
      <w:pPr>
        <w:autoSpaceDE w:val="0"/>
        <w:autoSpaceDN w:val="0"/>
        <w:adjustRightInd w:val="0"/>
        <w:spacing w:line="360" w:lineRule="auto"/>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法定代表人或授权代理人签字：</w:t>
      </w:r>
    </w:p>
    <w:p w14:paraId="4C2FA5E3">
      <w:pPr>
        <w:autoSpaceDE w:val="0"/>
        <w:autoSpaceDN w:val="0"/>
        <w:adjustRightInd w:val="0"/>
        <w:spacing w:line="360" w:lineRule="auto"/>
        <w:ind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时间：</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val="zh-CN"/>
        </w:rPr>
        <w:t>年</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月</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日</w:t>
      </w:r>
    </w:p>
    <w:p w14:paraId="762B50E3">
      <w:pPr>
        <w:autoSpaceDE w:val="0"/>
        <w:autoSpaceDN w:val="0"/>
        <w:adjustRightInd w:val="0"/>
        <w:ind w:firstLine="480"/>
        <w:outlineLvl w:val="9"/>
        <w:rPr>
          <w:rFonts w:hint="eastAsia" w:ascii="宋体" w:hAnsi="宋体" w:eastAsia="宋体" w:cs="宋体"/>
          <w:color w:val="auto"/>
          <w:sz w:val="24"/>
          <w:highlight w:val="none"/>
        </w:rPr>
      </w:pPr>
    </w:p>
    <w:p w14:paraId="42263DC9">
      <w:pPr>
        <w:autoSpaceDE w:val="0"/>
        <w:autoSpaceDN w:val="0"/>
        <w:adjustRightInd w:val="0"/>
        <w:outlineLvl w:val="9"/>
        <w:rPr>
          <w:rFonts w:hint="eastAsia" w:ascii="宋体" w:hAnsi="宋体" w:eastAsia="宋体" w:cs="宋体"/>
          <w:b/>
          <w:color w:val="auto"/>
          <w:sz w:val="24"/>
          <w:highlight w:val="none"/>
          <w:lang w:val="zh-CN"/>
        </w:rPr>
      </w:pPr>
    </w:p>
    <w:p w14:paraId="0262B376">
      <w:pPr>
        <w:autoSpaceDE w:val="0"/>
        <w:autoSpaceDN w:val="0"/>
        <w:adjustRightInd w:val="0"/>
        <w:outlineLvl w:val="9"/>
        <w:rPr>
          <w:rFonts w:hint="eastAsia" w:ascii="宋体" w:hAnsi="宋体" w:eastAsia="宋体" w:cs="宋体"/>
          <w:b/>
          <w:color w:val="auto"/>
          <w:sz w:val="24"/>
          <w:highlight w:val="none"/>
          <w:lang w:val="zh-CN"/>
        </w:rPr>
      </w:pPr>
    </w:p>
    <w:p w14:paraId="52F85721">
      <w:pPr>
        <w:autoSpaceDE w:val="0"/>
        <w:autoSpaceDN w:val="0"/>
        <w:adjustRightInd w:val="0"/>
        <w:outlineLvl w:val="9"/>
        <w:rPr>
          <w:rFonts w:hint="eastAsia" w:ascii="宋体" w:hAnsi="宋体" w:eastAsia="宋体" w:cs="宋体"/>
          <w:b/>
          <w:color w:val="auto"/>
          <w:sz w:val="24"/>
          <w:highlight w:val="none"/>
          <w:lang w:val="zh-CN"/>
        </w:rPr>
      </w:pPr>
    </w:p>
    <w:p w14:paraId="07C43478">
      <w:pPr>
        <w:autoSpaceDE w:val="0"/>
        <w:autoSpaceDN w:val="0"/>
        <w:adjustRightInd w:val="0"/>
        <w:outlineLvl w:val="9"/>
        <w:rPr>
          <w:rFonts w:hint="eastAsia" w:ascii="宋体" w:hAnsi="宋体" w:eastAsia="宋体" w:cs="宋体"/>
          <w:b/>
          <w:color w:val="auto"/>
          <w:sz w:val="24"/>
          <w:highlight w:val="none"/>
          <w:lang w:val="zh-CN"/>
        </w:rPr>
      </w:pPr>
    </w:p>
    <w:p w14:paraId="72F8F04A">
      <w:pPr>
        <w:autoSpaceDE w:val="0"/>
        <w:autoSpaceDN w:val="0"/>
        <w:adjustRightInd w:val="0"/>
        <w:outlineLvl w:val="9"/>
        <w:rPr>
          <w:rFonts w:hint="eastAsia" w:ascii="宋体" w:hAnsi="宋体" w:eastAsia="宋体" w:cs="宋体"/>
          <w:b/>
          <w:color w:val="auto"/>
          <w:sz w:val="24"/>
          <w:highlight w:val="none"/>
          <w:lang w:val="zh-CN"/>
        </w:rPr>
      </w:pPr>
    </w:p>
    <w:p w14:paraId="24D28FA9">
      <w:pPr>
        <w:autoSpaceDE w:val="0"/>
        <w:autoSpaceDN w:val="0"/>
        <w:adjustRightInd w:val="0"/>
        <w:outlineLvl w:val="9"/>
        <w:rPr>
          <w:rFonts w:hint="eastAsia" w:ascii="宋体" w:hAnsi="宋体" w:eastAsia="宋体" w:cs="宋体"/>
          <w:b/>
          <w:color w:val="auto"/>
          <w:sz w:val="24"/>
          <w:highlight w:val="none"/>
          <w:lang w:val="zh-CN"/>
        </w:rPr>
      </w:pPr>
    </w:p>
    <w:p w14:paraId="6D85F7A3">
      <w:pPr>
        <w:autoSpaceDE w:val="0"/>
        <w:autoSpaceDN w:val="0"/>
        <w:adjustRightInd w:val="0"/>
        <w:outlineLvl w:val="9"/>
        <w:rPr>
          <w:rFonts w:hint="eastAsia" w:ascii="宋体" w:hAnsi="宋体" w:eastAsia="宋体" w:cs="宋体"/>
          <w:b/>
          <w:color w:val="auto"/>
          <w:sz w:val="24"/>
          <w:highlight w:val="none"/>
          <w:lang w:val="zh-CN"/>
        </w:rPr>
      </w:pPr>
    </w:p>
    <w:p w14:paraId="77DA61B8">
      <w:pPr>
        <w:autoSpaceDE w:val="0"/>
        <w:autoSpaceDN w:val="0"/>
        <w:adjustRightInd w:val="0"/>
        <w:outlineLvl w:val="9"/>
        <w:rPr>
          <w:rFonts w:hint="eastAsia" w:ascii="宋体" w:hAnsi="宋体" w:eastAsia="宋体" w:cs="宋体"/>
          <w:b/>
          <w:color w:val="auto"/>
          <w:sz w:val="24"/>
          <w:highlight w:val="none"/>
          <w:lang w:val="zh-CN"/>
        </w:rPr>
      </w:pPr>
    </w:p>
    <w:p w14:paraId="52DF94C1">
      <w:pPr>
        <w:autoSpaceDE w:val="0"/>
        <w:autoSpaceDN w:val="0"/>
        <w:adjustRightInd w:val="0"/>
        <w:outlineLvl w:val="9"/>
        <w:rPr>
          <w:rFonts w:hint="eastAsia" w:ascii="宋体" w:hAnsi="宋体" w:eastAsia="宋体" w:cs="宋体"/>
          <w:b/>
          <w:color w:val="auto"/>
          <w:sz w:val="24"/>
          <w:highlight w:val="none"/>
          <w:lang w:val="zh-CN"/>
        </w:rPr>
      </w:pPr>
    </w:p>
    <w:p w14:paraId="2C09B67E">
      <w:pPr>
        <w:autoSpaceDE w:val="0"/>
        <w:autoSpaceDN w:val="0"/>
        <w:adjustRightInd w:val="0"/>
        <w:outlineLvl w:val="9"/>
        <w:rPr>
          <w:rFonts w:hint="eastAsia" w:ascii="宋体" w:hAnsi="宋体" w:eastAsia="宋体" w:cs="宋体"/>
          <w:b/>
          <w:color w:val="auto"/>
          <w:sz w:val="24"/>
          <w:highlight w:val="none"/>
          <w:lang w:val="zh-CN"/>
        </w:rPr>
      </w:pPr>
    </w:p>
    <w:p w14:paraId="667FBE85">
      <w:pPr>
        <w:autoSpaceDE w:val="0"/>
        <w:autoSpaceDN w:val="0"/>
        <w:adjustRightInd w:val="0"/>
        <w:jc w:val="left"/>
        <w:outlineLvl w:val="1"/>
        <w:rPr>
          <w:rFonts w:hint="eastAsia" w:ascii="宋体" w:hAnsi="宋体" w:eastAsia="宋体" w:cs="宋体"/>
          <w:b/>
          <w:color w:val="auto"/>
          <w:sz w:val="24"/>
          <w:highlight w:val="none"/>
          <w:lang w:val="en-US" w:eastAsia="zh-CN"/>
        </w:rPr>
      </w:pPr>
      <w:bookmarkStart w:id="144" w:name="_Toc9192"/>
      <w:bookmarkStart w:id="145" w:name="_Toc1355"/>
      <w:r>
        <w:rPr>
          <w:rFonts w:hint="eastAsia" w:ascii="宋体" w:hAnsi="宋体" w:eastAsia="宋体" w:cs="宋体"/>
          <w:b/>
          <w:color w:val="auto"/>
          <w:sz w:val="24"/>
          <w:highlight w:val="none"/>
          <w:lang w:val="zh-CN"/>
        </w:rPr>
        <w:t>格式五</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szCs w:val="28"/>
          <w:highlight w:val="none"/>
        </w:rPr>
        <w:t>法定代表人</w:t>
      </w:r>
      <w:r>
        <w:rPr>
          <w:rFonts w:hint="eastAsia" w:ascii="宋体" w:hAnsi="宋体" w:eastAsia="宋体" w:cs="宋体"/>
          <w:b/>
          <w:color w:val="auto"/>
          <w:sz w:val="24"/>
          <w:szCs w:val="28"/>
          <w:highlight w:val="none"/>
          <w:lang w:val="en-US" w:eastAsia="zh-CN"/>
        </w:rPr>
        <w:t>身份</w:t>
      </w:r>
      <w:r>
        <w:rPr>
          <w:rFonts w:hint="eastAsia" w:ascii="宋体" w:hAnsi="宋体" w:eastAsia="宋体" w:cs="宋体"/>
          <w:b/>
          <w:color w:val="auto"/>
          <w:sz w:val="24"/>
          <w:szCs w:val="28"/>
          <w:highlight w:val="none"/>
        </w:rPr>
        <w:t>证明书</w:t>
      </w:r>
      <w:bookmarkEnd w:id="144"/>
    </w:p>
    <w:p w14:paraId="5F82D12D">
      <w:pPr>
        <w:pStyle w:val="19"/>
        <w:outlineLvl w:val="9"/>
        <w:rPr>
          <w:rFonts w:hint="eastAsia" w:ascii="宋体" w:hAnsi="宋体" w:eastAsia="宋体" w:cs="宋体"/>
          <w:b/>
          <w:color w:val="auto"/>
          <w:sz w:val="24"/>
          <w:highlight w:val="none"/>
          <w:lang w:val="en-US" w:eastAsia="zh-CN"/>
        </w:rPr>
      </w:pPr>
    </w:p>
    <w:p w14:paraId="3F8BD5B1">
      <w:pPr>
        <w:spacing w:line="360" w:lineRule="auto"/>
        <w:jc w:val="center"/>
        <w:outlineLvl w:val="9"/>
        <w:rPr>
          <w:rFonts w:hint="eastAsia" w:ascii="宋体" w:hAnsi="宋体" w:eastAsia="宋体" w:cs="宋体"/>
          <w:b/>
          <w:color w:val="auto"/>
          <w:sz w:val="24"/>
          <w:szCs w:val="28"/>
          <w:highlight w:val="none"/>
        </w:rPr>
      </w:pPr>
      <w:r>
        <w:rPr>
          <w:rFonts w:hint="eastAsia" w:ascii="宋体" w:hAnsi="宋体" w:eastAsia="宋体" w:cs="宋体"/>
          <w:b/>
          <w:color w:val="auto"/>
          <w:sz w:val="24"/>
          <w:szCs w:val="28"/>
          <w:highlight w:val="none"/>
        </w:rPr>
        <w:t>法定代表人</w:t>
      </w:r>
      <w:r>
        <w:rPr>
          <w:rFonts w:hint="eastAsia" w:ascii="宋体" w:hAnsi="宋体" w:eastAsia="宋体" w:cs="宋体"/>
          <w:b/>
          <w:color w:val="auto"/>
          <w:sz w:val="24"/>
          <w:szCs w:val="28"/>
          <w:highlight w:val="none"/>
          <w:lang w:val="en-US" w:eastAsia="zh-CN"/>
        </w:rPr>
        <w:t>身份</w:t>
      </w:r>
      <w:r>
        <w:rPr>
          <w:rFonts w:hint="eastAsia" w:ascii="宋体" w:hAnsi="宋体" w:eastAsia="宋体" w:cs="宋体"/>
          <w:b/>
          <w:color w:val="auto"/>
          <w:sz w:val="24"/>
          <w:szCs w:val="28"/>
          <w:highlight w:val="none"/>
        </w:rPr>
        <w:t>证明书（格式）</w:t>
      </w:r>
    </w:p>
    <w:p w14:paraId="397F2EBC">
      <w:pPr>
        <w:spacing w:line="360" w:lineRule="auto"/>
        <w:jc w:val="center"/>
        <w:outlineLvl w:val="9"/>
        <w:rPr>
          <w:rFonts w:hint="eastAsia" w:ascii="宋体" w:hAnsi="宋体" w:eastAsia="宋体" w:cs="宋体"/>
          <w:color w:val="auto"/>
          <w:sz w:val="24"/>
          <w:highlight w:val="none"/>
        </w:rPr>
      </w:pPr>
    </w:p>
    <w:p w14:paraId="6BDA0F02">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供应商名称：</w:t>
      </w:r>
    </w:p>
    <w:p w14:paraId="6DB84613">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单位性质：</w:t>
      </w:r>
    </w:p>
    <w:p w14:paraId="5036AAB5">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地址：</w:t>
      </w:r>
    </w:p>
    <w:p w14:paraId="292A6167">
      <w:pPr>
        <w:autoSpaceDE w:val="0"/>
        <w:autoSpaceDN w:val="0"/>
        <w:adjustRightInd w:val="0"/>
        <w:spacing w:line="600" w:lineRule="exact"/>
        <w:ind w:left="718" w:leftChars="342"/>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成立时间：年月日</w:t>
      </w:r>
    </w:p>
    <w:p w14:paraId="5586AA73">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经营期限：</w:t>
      </w:r>
    </w:p>
    <w:p w14:paraId="479AF2D9">
      <w:pPr>
        <w:autoSpaceDE w:val="0"/>
        <w:autoSpaceDN w:val="0"/>
        <w:adjustRightInd w:val="0"/>
        <w:spacing w:line="600" w:lineRule="exact"/>
        <w:ind w:left="718" w:leftChars="342"/>
        <w:jc w:val="lef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rPr>
        <w:t>姓名：性别：年龄：职务：</w:t>
      </w:r>
    </w:p>
    <w:p w14:paraId="78E7D3FA">
      <w:pPr>
        <w:autoSpaceDE w:val="0"/>
        <w:autoSpaceDN w:val="0"/>
        <w:adjustRightInd w:val="0"/>
        <w:spacing w:line="600" w:lineRule="exact"/>
        <w:ind w:left="718" w:leftChars="342"/>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系</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的法定代表人。</w:t>
      </w:r>
    </w:p>
    <w:p w14:paraId="7B5B123F">
      <w:pPr>
        <w:autoSpaceDE w:val="0"/>
        <w:autoSpaceDN w:val="0"/>
        <w:adjustRightInd w:val="0"/>
        <w:spacing w:line="600" w:lineRule="exact"/>
        <w:ind w:left="718" w:leftChars="342"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特此证明。</w:t>
      </w:r>
    </w:p>
    <w:p w14:paraId="20B5F5F9">
      <w:pPr>
        <w:autoSpaceDE w:val="0"/>
        <w:autoSpaceDN w:val="0"/>
        <w:adjustRightInd w:val="0"/>
        <w:spacing w:line="600" w:lineRule="exact"/>
        <w:jc w:val="center"/>
        <w:rPr>
          <w:rFonts w:hint="eastAsia" w:ascii="宋体" w:hAnsi="宋体" w:eastAsia="宋体" w:cs="宋体"/>
          <w:color w:val="auto"/>
          <w:kern w:val="0"/>
          <w:sz w:val="24"/>
          <w:highlight w:val="none"/>
        </w:rPr>
      </w:pPr>
    </w:p>
    <w:p w14:paraId="2DBC20F5">
      <w:pPr>
        <w:autoSpaceDE w:val="0"/>
        <w:autoSpaceDN w:val="0"/>
        <w:adjustRightInd w:val="0"/>
        <w:spacing w:line="6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（法定代表人身份证正反面扫描件</w:t>
      </w:r>
      <w:r>
        <w:rPr>
          <w:rFonts w:hint="eastAsia" w:ascii="宋体" w:hAnsi="宋体" w:eastAsia="宋体" w:cs="宋体"/>
          <w:color w:val="auto"/>
          <w:kern w:val="0"/>
          <w:sz w:val="24"/>
          <w:highlight w:val="none"/>
          <w:lang w:val="en-US" w:eastAsia="zh-CN"/>
        </w:rPr>
        <w:t>加盖公章</w:t>
      </w:r>
      <w:r>
        <w:rPr>
          <w:rFonts w:hint="eastAsia" w:ascii="宋体" w:hAnsi="宋体" w:eastAsia="宋体" w:cs="宋体"/>
          <w:color w:val="auto"/>
          <w:kern w:val="0"/>
          <w:sz w:val="24"/>
          <w:highlight w:val="none"/>
        </w:rPr>
        <w:t>）</w:t>
      </w:r>
    </w:p>
    <w:p w14:paraId="453423CA">
      <w:pPr>
        <w:autoSpaceDE w:val="0"/>
        <w:autoSpaceDN w:val="0"/>
        <w:adjustRightInd w:val="0"/>
        <w:spacing w:line="600" w:lineRule="exact"/>
        <w:ind w:left="718" w:leftChars="342"/>
        <w:jc w:val="right"/>
        <w:rPr>
          <w:rFonts w:hint="eastAsia" w:ascii="宋体" w:hAnsi="宋体" w:eastAsia="宋体" w:cs="宋体"/>
          <w:color w:val="auto"/>
          <w:kern w:val="0"/>
          <w:sz w:val="24"/>
          <w:highlight w:val="none"/>
        </w:rPr>
      </w:pPr>
    </w:p>
    <w:p w14:paraId="287BDB9F">
      <w:pPr>
        <w:autoSpaceDE w:val="0"/>
        <w:autoSpaceDN w:val="0"/>
        <w:adjustRightInd w:val="0"/>
        <w:spacing w:line="600" w:lineRule="exact"/>
        <w:ind w:left="718" w:leftChars="342"/>
        <w:jc w:val="right"/>
        <w:rPr>
          <w:rFonts w:hint="eastAsia" w:ascii="宋体" w:hAnsi="宋体" w:eastAsia="宋体" w:cs="宋体"/>
          <w:color w:val="auto"/>
          <w:kern w:val="0"/>
          <w:sz w:val="24"/>
          <w:highlight w:val="none"/>
        </w:rPr>
      </w:pPr>
    </w:p>
    <w:p w14:paraId="2A010F92">
      <w:pPr>
        <w:autoSpaceDE w:val="0"/>
        <w:autoSpaceDN w:val="0"/>
        <w:adjustRightInd w:val="0"/>
        <w:spacing w:line="600" w:lineRule="exact"/>
        <w:ind w:left="718" w:leftChars="342"/>
        <w:jc w:val="righ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供应商：(盖单位公章)</w:t>
      </w:r>
    </w:p>
    <w:p w14:paraId="232F285C">
      <w:pPr>
        <w:spacing w:line="600" w:lineRule="exact"/>
        <w:ind w:firstLine="2880" w:firstLineChars="1200"/>
        <w:jc w:val="righ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年月日</w:t>
      </w:r>
    </w:p>
    <w:p w14:paraId="2D3892B7">
      <w:pPr>
        <w:rPr>
          <w:rFonts w:hint="eastAsia" w:ascii="宋体" w:hAnsi="宋体" w:eastAsia="宋体" w:cs="宋体"/>
          <w:color w:val="auto"/>
          <w:highlight w:val="none"/>
          <w:lang w:val="en-US" w:eastAsia="zh-CN"/>
        </w:rPr>
        <w:sectPr>
          <w:headerReference r:id="rId7" w:type="default"/>
          <w:pgSz w:w="11906" w:h="16838"/>
          <w:pgMar w:top="1440" w:right="1080" w:bottom="1440" w:left="1080" w:header="851" w:footer="737" w:gutter="0"/>
          <w:pgBorders>
            <w:top w:val="none" w:sz="0" w:space="0"/>
            <w:left w:val="none" w:sz="0" w:space="0"/>
            <w:bottom w:val="none" w:sz="0" w:space="0"/>
            <w:right w:val="none" w:sz="0" w:space="0"/>
          </w:pgBorders>
          <w:pgNumType w:fmt="decimal"/>
          <w:cols w:space="720" w:num="1"/>
          <w:titlePg/>
          <w:docGrid w:linePitch="490" w:charSpace="0"/>
        </w:sectPr>
      </w:pPr>
    </w:p>
    <w:p w14:paraId="3AF5F93A">
      <w:pPr>
        <w:autoSpaceDE w:val="0"/>
        <w:autoSpaceDN w:val="0"/>
        <w:adjustRightInd w:val="0"/>
        <w:jc w:val="left"/>
        <w:outlineLvl w:val="1"/>
        <w:rPr>
          <w:rFonts w:hint="eastAsia" w:ascii="宋体" w:hAnsi="宋体" w:eastAsia="宋体" w:cs="宋体"/>
          <w:b/>
          <w:color w:val="auto"/>
          <w:sz w:val="24"/>
          <w:highlight w:val="none"/>
          <w:lang w:val="en-US" w:eastAsia="zh-CN"/>
        </w:rPr>
      </w:pPr>
      <w:bookmarkStart w:id="146" w:name="_Toc17761"/>
      <w:r>
        <w:rPr>
          <w:rFonts w:hint="eastAsia" w:ascii="宋体" w:hAnsi="宋体" w:eastAsia="宋体" w:cs="宋体"/>
          <w:b/>
          <w:color w:val="auto"/>
          <w:sz w:val="24"/>
          <w:highlight w:val="none"/>
          <w:lang w:val="zh-CN"/>
        </w:rPr>
        <w:t>格式六</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szCs w:val="28"/>
          <w:highlight w:val="none"/>
        </w:rPr>
        <w:t>法定代表人授权</w:t>
      </w:r>
      <w:r>
        <w:rPr>
          <w:rFonts w:hint="eastAsia" w:ascii="宋体" w:hAnsi="宋体" w:eastAsia="宋体" w:cs="宋体"/>
          <w:b/>
          <w:color w:val="auto"/>
          <w:sz w:val="24"/>
          <w:szCs w:val="28"/>
          <w:highlight w:val="none"/>
          <w:lang w:val="en-US" w:eastAsia="zh-CN"/>
        </w:rPr>
        <w:t>委托</w:t>
      </w:r>
      <w:r>
        <w:rPr>
          <w:rFonts w:hint="eastAsia" w:ascii="宋体" w:hAnsi="宋体" w:eastAsia="宋体" w:cs="宋体"/>
          <w:b/>
          <w:color w:val="auto"/>
          <w:sz w:val="24"/>
          <w:szCs w:val="28"/>
          <w:highlight w:val="none"/>
        </w:rPr>
        <w:t>书</w:t>
      </w:r>
      <w:bookmarkEnd w:id="146"/>
    </w:p>
    <w:p w14:paraId="46490769">
      <w:pPr>
        <w:autoSpaceDE w:val="0"/>
        <w:autoSpaceDN w:val="0"/>
        <w:adjustRightInd w:val="0"/>
        <w:jc w:val="left"/>
        <w:outlineLvl w:val="9"/>
        <w:rPr>
          <w:rFonts w:hint="eastAsia" w:ascii="宋体" w:hAnsi="宋体" w:eastAsia="宋体" w:cs="宋体"/>
          <w:b/>
          <w:color w:val="auto"/>
          <w:sz w:val="24"/>
          <w:szCs w:val="28"/>
          <w:highlight w:val="none"/>
        </w:rPr>
      </w:pPr>
    </w:p>
    <w:p w14:paraId="3CC98452">
      <w:pPr>
        <w:autoSpaceDE w:val="0"/>
        <w:autoSpaceDN w:val="0"/>
        <w:adjustRightInd w:val="0"/>
        <w:jc w:val="center"/>
        <w:outlineLvl w:val="9"/>
        <w:rPr>
          <w:rFonts w:hint="eastAsia" w:ascii="宋体" w:hAnsi="宋体" w:eastAsia="宋体" w:cs="宋体"/>
          <w:color w:val="auto"/>
          <w:sz w:val="24"/>
          <w:highlight w:val="none"/>
          <w:lang w:val="zh-CN"/>
        </w:rPr>
      </w:pPr>
      <w:r>
        <w:rPr>
          <w:rFonts w:hint="eastAsia" w:ascii="宋体" w:hAnsi="宋体" w:eastAsia="宋体" w:cs="宋体"/>
          <w:b/>
          <w:color w:val="auto"/>
          <w:sz w:val="24"/>
          <w:szCs w:val="28"/>
          <w:highlight w:val="none"/>
        </w:rPr>
        <w:t>法定代表人授权</w:t>
      </w:r>
      <w:r>
        <w:rPr>
          <w:rFonts w:hint="eastAsia" w:ascii="宋体" w:hAnsi="宋体" w:eastAsia="宋体" w:cs="宋体"/>
          <w:b/>
          <w:color w:val="auto"/>
          <w:sz w:val="24"/>
          <w:szCs w:val="28"/>
          <w:highlight w:val="none"/>
          <w:lang w:val="en-US" w:eastAsia="zh-CN"/>
        </w:rPr>
        <w:t>委托</w:t>
      </w:r>
      <w:r>
        <w:rPr>
          <w:rFonts w:hint="eastAsia" w:ascii="宋体" w:hAnsi="宋体" w:eastAsia="宋体" w:cs="宋体"/>
          <w:b/>
          <w:color w:val="auto"/>
          <w:sz w:val="24"/>
          <w:szCs w:val="28"/>
          <w:highlight w:val="none"/>
        </w:rPr>
        <w:t>书</w:t>
      </w:r>
      <w:r>
        <w:rPr>
          <w:rFonts w:hint="eastAsia" w:ascii="宋体" w:hAnsi="宋体" w:eastAsia="宋体" w:cs="宋体"/>
          <w:color w:val="auto"/>
          <w:sz w:val="24"/>
          <w:highlight w:val="none"/>
          <w:lang w:val="zh-CN"/>
        </w:rPr>
        <w:t>（法定代表人投标的可不提供）</w:t>
      </w:r>
      <w:bookmarkEnd w:id="145"/>
    </w:p>
    <w:p w14:paraId="2A94C586">
      <w:pPr>
        <w:autoSpaceDE w:val="0"/>
        <w:autoSpaceDN w:val="0"/>
        <w:adjustRightInd w:val="0"/>
        <w:ind w:firstLine="480"/>
        <w:outlineLvl w:val="9"/>
        <w:rPr>
          <w:rFonts w:hint="eastAsia" w:ascii="宋体" w:hAnsi="宋体" w:eastAsia="宋体" w:cs="宋体"/>
          <w:color w:val="auto"/>
          <w:sz w:val="24"/>
          <w:highlight w:val="none"/>
          <w:lang w:val="zh-CN"/>
        </w:rPr>
      </w:pPr>
    </w:p>
    <w:p w14:paraId="78F91A69">
      <w:pPr>
        <w:autoSpaceDE w:val="0"/>
        <w:autoSpaceDN w:val="0"/>
        <w:adjustRightInd w:val="0"/>
        <w:ind w:firstLine="480"/>
        <w:outlineLvl w:val="9"/>
        <w:rPr>
          <w:rFonts w:hint="eastAsia" w:ascii="宋体" w:hAnsi="宋体" w:eastAsia="宋体" w:cs="宋体"/>
          <w:color w:val="auto"/>
          <w:sz w:val="24"/>
          <w:highlight w:val="none"/>
          <w:lang w:val="zh-CN"/>
        </w:rPr>
      </w:pPr>
    </w:p>
    <w:p w14:paraId="0C355C9C">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本授权书声明：注册于</w:t>
      </w:r>
      <w:r>
        <w:rPr>
          <w:rFonts w:hint="eastAsia" w:ascii="宋体" w:hAnsi="宋体" w:eastAsia="宋体" w:cs="宋体"/>
          <w:color w:val="auto"/>
          <w:szCs w:val="21"/>
          <w:highlight w:val="none"/>
          <w:u w:val="single"/>
          <w:lang w:val="zh-CN"/>
        </w:rPr>
        <w:t xml:space="preserve">  （注册地点）   </w:t>
      </w:r>
      <w:r>
        <w:rPr>
          <w:rFonts w:hint="eastAsia" w:ascii="宋体" w:hAnsi="宋体" w:eastAsia="宋体" w:cs="宋体"/>
          <w:color w:val="auto"/>
          <w:szCs w:val="21"/>
          <w:highlight w:val="none"/>
          <w:lang w:val="zh-CN"/>
        </w:rPr>
        <w:t>的</w:t>
      </w:r>
      <w:r>
        <w:rPr>
          <w:rFonts w:hint="eastAsia" w:ascii="宋体" w:hAnsi="宋体" w:eastAsia="宋体" w:cs="宋体"/>
          <w:color w:val="auto"/>
          <w:szCs w:val="21"/>
          <w:highlight w:val="none"/>
          <w:u w:val="single"/>
          <w:lang w:val="zh-CN"/>
        </w:rPr>
        <w:t xml:space="preserve">   （供应商名称）   </w:t>
      </w:r>
      <w:r>
        <w:rPr>
          <w:rFonts w:hint="eastAsia" w:ascii="宋体" w:hAnsi="宋体" w:eastAsia="宋体" w:cs="宋体"/>
          <w:color w:val="auto"/>
          <w:szCs w:val="21"/>
          <w:highlight w:val="none"/>
          <w:lang w:val="zh-CN"/>
        </w:rPr>
        <w:t>公司的</w:t>
      </w:r>
      <w:r>
        <w:rPr>
          <w:rFonts w:hint="eastAsia" w:ascii="宋体" w:hAnsi="宋体" w:eastAsia="宋体" w:cs="宋体"/>
          <w:color w:val="auto"/>
          <w:szCs w:val="21"/>
          <w:highlight w:val="none"/>
          <w:u w:val="single"/>
          <w:lang w:val="zh-CN"/>
        </w:rPr>
        <w:t xml:space="preserve">  （供应商单位法定代表人姓名、职务）  </w:t>
      </w:r>
      <w:r>
        <w:rPr>
          <w:rFonts w:hint="eastAsia" w:ascii="宋体" w:hAnsi="宋体" w:eastAsia="宋体" w:cs="宋体"/>
          <w:color w:val="auto"/>
          <w:szCs w:val="21"/>
          <w:highlight w:val="none"/>
          <w:lang w:val="zh-CN"/>
        </w:rPr>
        <w:t>代表本公司授权</w:t>
      </w:r>
      <w:r>
        <w:rPr>
          <w:rFonts w:hint="eastAsia" w:ascii="宋体" w:hAnsi="宋体" w:eastAsia="宋体" w:cs="宋体"/>
          <w:color w:val="auto"/>
          <w:szCs w:val="21"/>
          <w:highlight w:val="none"/>
          <w:u w:val="single"/>
          <w:lang w:val="zh-CN"/>
        </w:rPr>
        <w:t>___（被授权人单位名称）__</w:t>
      </w:r>
      <w:r>
        <w:rPr>
          <w:rFonts w:hint="eastAsia" w:ascii="宋体" w:hAnsi="宋体" w:eastAsia="宋体" w:cs="宋体"/>
          <w:color w:val="auto"/>
          <w:szCs w:val="21"/>
          <w:highlight w:val="none"/>
          <w:lang w:val="zh-CN"/>
        </w:rPr>
        <w:t>的___</w:t>
      </w:r>
      <w:r>
        <w:rPr>
          <w:rFonts w:hint="eastAsia" w:ascii="宋体" w:hAnsi="宋体" w:eastAsia="宋体" w:cs="宋体"/>
          <w:color w:val="auto"/>
          <w:szCs w:val="21"/>
          <w:highlight w:val="none"/>
          <w:u w:val="single"/>
          <w:lang w:val="zh-CN"/>
        </w:rPr>
        <w:t xml:space="preserve">(被授权人姓名、职务)   </w:t>
      </w:r>
      <w:r>
        <w:rPr>
          <w:rFonts w:hint="eastAsia" w:ascii="宋体" w:hAnsi="宋体" w:eastAsia="宋体" w:cs="宋体"/>
          <w:color w:val="auto"/>
          <w:szCs w:val="21"/>
          <w:highlight w:val="none"/>
          <w:lang w:val="zh-CN"/>
        </w:rPr>
        <w:t>为本公司的合法代理人，就___</w:t>
      </w:r>
      <w:r>
        <w:rPr>
          <w:rFonts w:hint="eastAsia" w:ascii="宋体" w:hAnsi="宋体" w:eastAsia="宋体" w:cs="宋体"/>
          <w:color w:val="auto"/>
          <w:szCs w:val="21"/>
          <w:highlight w:val="none"/>
          <w:u w:val="single"/>
          <w:lang w:val="zh-CN"/>
        </w:rPr>
        <w:t>（招标单位名称+</w:t>
      </w:r>
      <w:r>
        <w:rPr>
          <w:rFonts w:hint="eastAsia" w:ascii="宋体" w:hAnsi="宋体" w:eastAsia="宋体" w:cs="宋体"/>
          <w:color w:val="auto"/>
          <w:szCs w:val="21"/>
          <w:highlight w:val="none"/>
          <w:u w:val="single"/>
          <w:lang w:val="en-US" w:eastAsia="zh-CN"/>
        </w:rPr>
        <w:t>项目名称</w:t>
      </w:r>
      <w:r>
        <w:rPr>
          <w:rFonts w:hint="eastAsia" w:ascii="宋体" w:hAnsi="宋体" w:eastAsia="宋体" w:cs="宋体"/>
          <w:color w:val="auto"/>
          <w:szCs w:val="21"/>
          <w:highlight w:val="none"/>
          <w:u w:val="single"/>
          <w:lang w:val="zh-CN"/>
        </w:rPr>
        <w:t>）</w:t>
      </w:r>
      <w:r>
        <w:rPr>
          <w:rFonts w:hint="eastAsia" w:ascii="宋体" w:hAnsi="宋体" w:eastAsia="宋体" w:cs="宋体"/>
          <w:color w:val="auto"/>
          <w:szCs w:val="21"/>
          <w:highlight w:val="none"/>
          <w:lang w:val="zh-CN"/>
        </w:rPr>
        <w:t>（招标编号   ）的投标以及合同的签约、执行、完成等全权负责，以本公司名义处理一切与之有关的事务。代理人在投标、开标、评标、合同签订和履行过程中所签署的一切文件和处理的与之有关的一切事务，我均予以承认。代理人无转委托权。</w:t>
      </w:r>
    </w:p>
    <w:p w14:paraId="5F6A5D93">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本授权书于</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年</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月</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日签字生效，特此声明。</w:t>
      </w:r>
    </w:p>
    <w:p w14:paraId="51B026B4">
      <w:pPr>
        <w:autoSpaceDE w:val="0"/>
        <w:autoSpaceDN w:val="0"/>
        <w:adjustRightInd w:val="0"/>
        <w:spacing w:line="360" w:lineRule="auto"/>
        <w:ind w:firstLine="480"/>
        <w:outlineLvl w:val="9"/>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附被授权人身份证正反面扫描件加盖公章。</w:t>
      </w:r>
    </w:p>
    <w:p w14:paraId="76128239">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供应商印刷体名称（加盖公章）：</w:t>
      </w:r>
    </w:p>
    <w:p w14:paraId="0A69921C">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地址：</w:t>
      </w:r>
    </w:p>
    <w:p w14:paraId="4BC4117E">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授权人印刷体姓名、手书签名：</w:t>
      </w:r>
    </w:p>
    <w:p w14:paraId="40E3FCE1">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被授权人（代理人）印刷体姓名、手书签名：</w:t>
      </w:r>
    </w:p>
    <w:p w14:paraId="34FDE5B2">
      <w:pPr>
        <w:autoSpaceDE w:val="0"/>
        <w:autoSpaceDN w:val="0"/>
        <w:adjustRightInd w:val="0"/>
        <w:spacing w:line="360" w:lineRule="auto"/>
        <w:ind w:firstLine="495"/>
        <w:outlineLvl w:val="9"/>
        <w:rPr>
          <w:rFonts w:hint="eastAsia" w:ascii="宋体" w:hAnsi="宋体" w:eastAsia="宋体" w:cs="宋体"/>
          <w:color w:val="auto"/>
          <w:szCs w:val="21"/>
          <w:highlight w:val="none"/>
          <w:lang w:val="zh-CN"/>
        </w:rPr>
      </w:pPr>
    </w:p>
    <w:p w14:paraId="1C216FF0">
      <w:pPr>
        <w:autoSpaceDE w:val="0"/>
        <w:autoSpaceDN w:val="0"/>
        <w:adjustRightInd w:val="0"/>
        <w:spacing w:line="360" w:lineRule="auto"/>
        <w:ind w:firstLine="472"/>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请供应商注意：法定代表人授权</w:t>
      </w:r>
      <w:r>
        <w:rPr>
          <w:rFonts w:hint="eastAsia" w:ascii="宋体" w:hAnsi="宋体" w:eastAsia="宋体" w:cs="宋体"/>
          <w:color w:val="auto"/>
          <w:szCs w:val="21"/>
          <w:highlight w:val="none"/>
          <w:lang w:val="en-US" w:eastAsia="zh-CN"/>
        </w:rPr>
        <w:t>委托</w:t>
      </w:r>
      <w:r>
        <w:rPr>
          <w:rFonts w:hint="eastAsia" w:ascii="宋体" w:hAnsi="宋体" w:eastAsia="宋体" w:cs="宋体"/>
          <w:color w:val="auto"/>
          <w:szCs w:val="21"/>
          <w:highlight w:val="none"/>
          <w:lang w:val="zh-CN"/>
        </w:rPr>
        <w:t>书必须按规定有效签署和加盖公章。</w:t>
      </w:r>
    </w:p>
    <w:p w14:paraId="39C13597">
      <w:pPr>
        <w:autoSpaceDE w:val="0"/>
        <w:autoSpaceDN w:val="0"/>
        <w:adjustRightInd w:val="0"/>
        <w:spacing w:line="360" w:lineRule="auto"/>
        <w:outlineLvl w:val="9"/>
        <w:rPr>
          <w:rFonts w:hint="eastAsia" w:ascii="宋体" w:hAnsi="宋体" w:eastAsia="宋体" w:cs="宋体"/>
          <w:b/>
          <w:color w:val="auto"/>
          <w:szCs w:val="21"/>
          <w:highlight w:val="none"/>
          <w:lang w:val="zh-CN"/>
        </w:rPr>
      </w:pPr>
    </w:p>
    <w:p w14:paraId="57D5B145">
      <w:pPr>
        <w:autoSpaceDE w:val="0"/>
        <w:autoSpaceDN w:val="0"/>
        <w:adjustRightInd w:val="0"/>
        <w:outlineLvl w:val="9"/>
        <w:rPr>
          <w:rFonts w:hint="eastAsia" w:ascii="宋体" w:hAnsi="宋体" w:eastAsia="宋体" w:cs="宋体"/>
          <w:b/>
          <w:color w:val="auto"/>
          <w:sz w:val="24"/>
          <w:highlight w:val="none"/>
          <w:lang w:val="zh-CN"/>
        </w:rPr>
      </w:pPr>
    </w:p>
    <w:p w14:paraId="04ECD756">
      <w:pPr>
        <w:autoSpaceDE w:val="0"/>
        <w:autoSpaceDN w:val="0"/>
        <w:adjustRightInd w:val="0"/>
        <w:outlineLvl w:val="9"/>
        <w:rPr>
          <w:rFonts w:hint="eastAsia" w:ascii="宋体" w:hAnsi="宋体" w:eastAsia="宋体" w:cs="宋体"/>
          <w:b/>
          <w:color w:val="auto"/>
          <w:sz w:val="24"/>
          <w:highlight w:val="none"/>
          <w:lang w:val="zh-CN"/>
        </w:rPr>
      </w:pPr>
    </w:p>
    <w:p w14:paraId="0E5E7F3E">
      <w:pPr>
        <w:autoSpaceDE w:val="0"/>
        <w:autoSpaceDN w:val="0"/>
        <w:adjustRightInd w:val="0"/>
        <w:outlineLvl w:val="9"/>
        <w:rPr>
          <w:rFonts w:hint="eastAsia" w:ascii="宋体" w:hAnsi="宋体" w:eastAsia="宋体" w:cs="宋体"/>
          <w:b/>
          <w:color w:val="auto"/>
          <w:sz w:val="24"/>
          <w:highlight w:val="none"/>
          <w:lang w:val="zh-CN"/>
        </w:rPr>
      </w:pPr>
    </w:p>
    <w:p w14:paraId="013A6F29">
      <w:pPr>
        <w:autoSpaceDE w:val="0"/>
        <w:autoSpaceDN w:val="0"/>
        <w:adjustRightInd w:val="0"/>
        <w:outlineLvl w:val="9"/>
        <w:rPr>
          <w:rFonts w:hint="eastAsia" w:ascii="宋体" w:hAnsi="宋体" w:eastAsia="宋体" w:cs="宋体"/>
          <w:b/>
          <w:color w:val="auto"/>
          <w:sz w:val="24"/>
          <w:highlight w:val="none"/>
          <w:lang w:val="zh-CN"/>
        </w:rPr>
      </w:pPr>
    </w:p>
    <w:p w14:paraId="3EEC9A6A">
      <w:pPr>
        <w:autoSpaceDE w:val="0"/>
        <w:autoSpaceDN w:val="0"/>
        <w:adjustRightInd w:val="0"/>
        <w:outlineLvl w:val="9"/>
        <w:rPr>
          <w:rFonts w:hint="eastAsia" w:ascii="宋体" w:hAnsi="宋体" w:eastAsia="宋体" w:cs="宋体"/>
          <w:b/>
          <w:color w:val="auto"/>
          <w:sz w:val="24"/>
          <w:highlight w:val="none"/>
          <w:lang w:val="zh-CN"/>
        </w:rPr>
      </w:pPr>
    </w:p>
    <w:p w14:paraId="79EE5099">
      <w:pPr>
        <w:autoSpaceDE w:val="0"/>
        <w:autoSpaceDN w:val="0"/>
        <w:adjustRightInd w:val="0"/>
        <w:jc w:val="center"/>
        <w:outlineLvl w:val="9"/>
        <w:rPr>
          <w:rFonts w:hint="eastAsia" w:ascii="宋体" w:hAnsi="宋体" w:eastAsia="宋体" w:cs="宋体"/>
          <w:b/>
          <w:color w:val="auto"/>
          <w:sz w:val="24"/>
          <w:highlight w:val="none"/>
          <w:lang w:val="zh-CN"/>
        </w:rPr>
      </w:pPr>
      <w:bookmarkStart w:id="147" w:name="_Toc238185767"/>
      <w:bookmarkStart w:id="148" w:name="_Toc357609772"/>
      <w:bookmarkStart w:id="149" w:name="_Toc237200085"/>
      <w:bookmarkStart w:id="150" w:name="_Toc237329052"/>
      <w:bookmarkStart w:id="151" w:name="_Toc237200209"/>
      <w:bookmarkStart w:id="152" w:name="_Toc423024745"/>
      <w:bookmarkStart w:id="153" w:name="_Toc237199966"/>
      <w:bookmarkStart w:id="154" w:name="_Toc237236997"/>
      <w:bookmarkStart w:id="155" w:name="_Toc237328730"/>
    </w:p>
    <w:p w14:paraId="1DA5EB56">
      <w:pPr>
        <w:autoSpaceDE w:val="0"/>
        <w:autoSpaceDN w:val="0"/>
        <w:adjustRightInd w:val="0"/>
        <w:jc w:val="center"/>
        <w:outlineLvl w:val="9"/>
        <w:rPr>
          <w:rFonts w:hint="eastAsia" w:ascii="宋体" w:hAnsi="宋体" w:eastAsia="宋体" w:cs="宋体"/>
          <w:b/>
          <w:color w:val="auto"/>
          <w:sz w:val="24"/>
          <w:highlight w:val="none"/>
          <w:lang w:val="zh-CN"/>
        </w:rPr>
      </w:pPr>
    </w:p>
    <w:p w14:paraId="4C205A8C">
      <w:pPr>
        <w:autoSpaceDE w:val="0"/>
        <w:autoSpaceDN w:val="0"/>
        <w:adjustRightInd w:val="0"/>
        <w:jc w:val="center"/>
        <w:outlineLvl w:val="9"/>
        <w:rPr>
          <w:rFonts w:hint="eastAsia" w:ascii="宋体" w:hAnsi="宋体" w:eastAsia="宋体" w:cs="宋体"/>
          <w:b/>
          <w:color w:val="auto"/>
          <w:sz w:val="24"/>
          <w:highlight w:val="none"/>
          <w:lang w:val="zh-CN"/>
        </w:rPr>
      </w:pPr>
    </w:p>
    <w:p w14:paraId="153FC555">
      <w:pPr>
        <w:autoSpaceDE w:val="0"/>
        <w:autoSpaceDN w:val="0"/>
        <w:adjustRightInd w:val="0"/>
        <w:jc w:val="center"/>
        <w:outlineLvl w:val="9"/>
        <w:rPr>
          <w:rFonts w:hint="eastAsia" w:ascii="宋体" w:hAnsi="宋体" w:eastAsia="宋体" w:cs="宋体"/>
          <w:b/>
          <w:color w:val="auto"/>
          <w:sz w:val="24"/>
          <w:highlight w:val="none"/>
          <w:lang w:val="zh-CN"/>
        </w:rPr>
      </w:pPr>
    </w:p>
    <w:p w14:paraId="19D02CEB">
      <w:pPr>
        <w:autoSpaceDE w:val="0"/>
        <w:autoSpaceDN w:val="0"/>
        <w:adjustRightInd w:val="0"/>
        <w:jc w:val="center"/>
        <w:outlineLvl w:val="9"/>
        <w:rPr>
          <w:rFonts w:hint="eastAsia" w:ascii="宋体" w:hAnsi="宋体" w:eastAsia="宋体" w:cs="宋体"/>
          <w:b/>
          <w:color w:val="auto"/>
          <w:sz w:val="24"/>
          <w:highlight w:val="none"/>
          <w:lang w:val="zh-CN"/>
        </w:rPr>
      </w:pPr>
    </w:p>
    <w:p w14:paraId="39DDFD26">
      <w:pPr>
        <w:rPr>
          <w:rFonts w:hint="eastAsia" w:ascii="宋体" w:hAnsi="宋体" w:eastAsia="宋体" w:cs="宋体"/>
          <w:b/>
          <w:color w:val="auto"/>
          <w:sz w:val="24"/>
          <w:highlight w:val="none"/>
          <w:lang w:val="zh-CN"/>
        </w:rPr>
      </w:pPr>
      <w:bookmarkStart w:id="156" w:name="_Toc3711"/>
      <w:bookmarkStart w:id="157" w:name="_Toc13845"/>
      <w:bookmarkStart w:id="158" w:name="_Toc24445"/>
      <w:bookmarkStart w:id="159" w:name="_Toc24378"/>
      <w:bookmarkStart w:id="160" w:name="_Toc3569"/>
      <w:r>
        <w:rPr>
          <w:rFonts w:hint="eastAsia" w:ascii="宋体" w:hAnsi="宋体" w:eastAsia="宋体" w:cs="宋体"/>
          <w:b/>
          <w:color w:val="auto"/>
          <w:sz w:val="24"/>
          <w:highlight w:val="none"/>
          <w:lang w:val="zh-CN"/>
        </w:rPr>
        <w:br w:type="page"/>
      </w:r>
    </w:p>
    <w:p w14:paraId="2D5697AA">
      <w:pPr>
        <w:autoSpaceDE w:val="0"/>
        <w:autoSpaceDN w:val="0"/>
        <w:adjustRightInd w:val="0"/>
        <w:jc w:val="left"/>
        <w:outlineLvl w:val="1"/>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格式七</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lang w:val="zh-CN"/>
        </w:rPr>
        <w:t>售后服务承诺书</w:t>
      </w:r>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p>
    <w:p w14:paraId="2AD9DC37">
      <w:pPr>
        <w:autoSpaceDE w:val="0"/>
        <w:autoSpaceDN w:val="0"/>
        <w:adjustRightInd w:val="0"/>
        <w:outlineLvl w:val="9"/>
        <w:rPr>
          <w:rFonts w:hint="eastAsia" w:ascii="宋体" w:hAnsi="宋体" w:eastAsia="宋体" w:cs="宋体"/>
          <w:color w:val="auto"/>
          <w:sz w:val="24"/>
          <w:highlight w:val="none"/>
          <w:lang w:val="zh-CN"/>
        </w:rPr>
      </w:pPr>
    </w:p>
    <w:p w14:paraId="39BFACF8">
      <w:pPr>
        <w:autoSpaceDE w:val="0"/>
        <w:autoSpaceDN w:val="0"/>
        <w:adjustRightInd w:val="0"/>
        <w:outlineLvl w:val="9"/>
        <w:rPr>
          <w:rFonts w:hint="eastAsia" w:ascii="宋体" w:hAnsi="宋体" w:eastAsia="宋体" w:cs="宋体"/>
          <w:color w:val="auto"/>
          <w:sz w:val="24"/>
          <w:highlight w:val="none"/>
          <w:lang w:val="zh-CN"/>
        </w:rPr>
      </w:pPr>
    </w:p>
    <w:p w14:paraId="5ACF37D4">
      <w:pPr>
        <w:autoSpaceDE w:val="0"/>
        <w:autoSpaceDN w:val="0"/>
        <w:adjustRightInd w:val="0"/>
        <w:spacing w:line="360" w:lineRule="auto"/>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u w:val="single"/>
          <w:lang w:val="zh-CN"/>
        </w:rPr>
        <w:t xml:space="preserve">采购人名称 </w:t>
      </w:r>
      <w:r>
        <w:rPr>
          <w:rFonts w:hint="eastAsia" w:ascii="宋体" w:hAnsi="宋体" w:eastAsia="宋体" w:cs="宋体"/>
          <w:color w:val="auto"/>
          <w:szCs w:val="21"/>
          <w:highlight w:val="none"/>
          <w:lang w:val="zh-CN"/>
        </w:rPr>
        <w:t>：</w:t>
      </w:r>
    </w:p>
    <w:p w14:paraId="223FA91C">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我公司自愿参加</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项目（招标编号</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）的投标。我公司郑重承诺，如果我公司的投标被评定为中标，我公司对于中标货物，除完全响应招标文件对伴随服务和售后服务的所有要求外，还将按照以下条款提供优质和完善的售后服务：</w:t>
      </w:r>
    </w:p>
    <w:p w14:paraId="7EC55A49">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1、我公司中标后将为采购人提供下列售后服务项目：</w:t>
      </w:r>
    </w:p>
    <w:p w14:paraId="6E2D34C9">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2、我公司的售后服务响应及到达现场的时间：</w:t>
      </w:r>
    </w:p>
    <w:p w14:paraId="133EA5F2">
      <w:pPr>
        <w:autoSpaceDE w:val="0"/>
        <w:autoSpaceDN w:val="0"/>
        <w:adjustRightInd w:val="0"/>
        <w:spacing w:line="360" w:lineRule="auto"/>
        <w:ind w:firstLine="482"/>
        <w:outlineLvl w:val="9"/>
        <w:rPr>
          <w:rFonts w:hint="eastAsia" w:ascii="宋体" w:hAnsi="宋体" w:eastAsia="宋体" w:cs="宋体"/>
          <w:b/>
          <w:color w:val="auto"/>
          <w:szCs w:val="21"/>
          <w:highlight w:val="none"/>
          <w:lang w:val="zh-CN"/>
        </w:rPr>
      </w:pPr>
    </w:p>
    <w:p w14:paraId="7DE379B3">
      <w:pPr>
        <w:autoSpaceDE w:val="0"/>
        <w:autoSpaceDN w:val="0"/>
        <w:adjustRightInd w:val="0"/>
        <w:spacing w:line="360" w:lineRule="auto"/>
        <w:jc w:val="center"/>
        <w:outlineLvl w:val="9"/>
        <w:rPr>
          <w:rFonts w:hint="eastAsia" w:ascii="宋体" w:hAnsi="宋体" w:eastAsia="宋体" w:cs="宋体"/>
          <w:b/>
          <w:color w:val="auto"/>
          <w:szCs w:val="21"/>
          <w:highlight w:val="none"/>
          <w:lang w:val="zh-CN"/>
        </w:rPr>
      </w:pPr>
      <w:bookmarkStart w:id="161" w:name="_Toc25373"/>
      <w:bookmarkStart w:id="162" w:name="_Toc237328731"/>
      <w:bookmarkStart w:id="163" w:name="_Toc237236998"/>
      <w:bookmarkStart w:id="164" w:name="_Toc237329053"/>
      <w:bookmarkStart w:id="165" w:name="_Toc237200210"/>
      <w:bookmarkStart w:id="166" w:name="_Toc237199967"/>
      <w:bookmarkStart w:id="167" w:name="_Toc423024746"/>
      <w:bookmarkStart w:id="168" w:name="_Toc17078"/>
      <w:bookmarkStart w:id="169" w:name="_Toc238185768"/>
      <w:bookmarkStart w:id="170" w:name="_Toc22283"/>
      <w:bookmarkStart w:id="171" w:name="_Toc357609773"/>
      <w:bookmarkStart w:id="172" w:name="_Toc237200086"/>
      <w:r>
        <w:rPr>
          <w:rFonts w:hint="eastAsia" w:ascii="宋体" w:hAnsi="宋体" w:eastAsia="宋体" w:cs="宋体"/>
          <w:b/>
          <w:color w:val="auto"/>
          <w:szCs w:val="21"/>
          <w:highlight w:val="none"/>
          <w:lang w:val="zh-CN"/>
        </w:rPr>
        <w:t>制造厂商和我公司在本项目所在地（实施地）设立的售后服务机构一览表</w:t>
      </w:r>
      <w:bookmarkEnd w:id="161"/>
      <w:bookmarkEnd w:id="162"/>
      <w:bookmarkEnd w:id="163"/>
      <w:bookmarkEnd w:id="164"/>
      <w:bookmarkEnd w:id="165"/>
      <w:bookmarkEnd w:id="166"/>
      <w:bookmarkEnd w:id="167"/>
      <w:bookmarkEnd w:id="168"/>
      <w:bookmarkEnd w:id="169"/>
      <w:bookmarkEnd w:id="170"/>
      <w:bookmarkEnd w:id="171"/>
      <w:bookmarkEnd w:id="172"/>
    </w:p>
    <w:tbl>
      <w:tblPr>
        <w:tblStyle w:val="25"/>
        <w:tblW w:w="9588" w:type="dxa"/>
        <w:jc w:val="center"/>
        <w:tblLayout w:type="fixed"/>
        <w:tblCellMar>
          <w:top w:w="0" w:type="dxa"/>
          <w:left w:w="108" w:type="dxa"/>
          <w:bottom w:w="0" w:type="dxa"/>
          <w:right w:w="108" w:type="dxa"/>
        </w:tblCellMar>
      </w:tblPr>
      <w:tblGrid>
        <w:gridCol w:w="734"/>
        <w:gridCol w:w="1918"/>
        <w:gridCol w:w="2450"/>
        <w:gridCol w:w="1228"/>
        <w:gridCol w:w="1626"/>
        <w:gridCol w:w="1632"/>
      </w:tblGrid>
      <w:tr w14:paraId="6EDE75E9">
        <w:tblPrEx>
          <w:tblCellMar>
            <w:top w:w="0" w:type="dxa"/>
            <w:left w:w="108" w:type="dxa"/>
            <w:bottom w:w="0" w:type="dxa"/>
            <w:right w:w="108" w:type="dxa"/>
          </w:tblCellMar>
        </w:tblPrEx>
        <w:trPr>
          <w:trHeight w:val="749" w:hRule="atLeast"/>
          <w:jc w:val="center"/>
        </w:trPr>
        <w:tc>
          <w:tcPr>
            <w:tcW w:w="734" w:type="dxa"/>
            <w:tcBorders>
              <w:top w:val="single" w:color="auto" w:sz="6" w:space="0"/>
              <w:left w:val="single" w:color="auto" w:sz="6" w:space="0"/>
              <w:bottom w:val="single" w:color="auto" w:sz="6" w:space="0"/>
              <w:right w:val="single" w:color="auto" w:sz="6" w:space="0"/>
            </w:tcBorders>
            <w:noWrap w:val="0"/>
            <w:vAlign w:val="center"/>
          </w:tcPr>
          <w:p w14:paraId="76405B83">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序号</w:t>
            </w:r>
          </w:p>
        </w:tc>
        <w:tc>
          <w:tcPr>
            <w:tcW w:w="1918" w:type="dxa"/>
            <w:tcBorders>
              <w:top w:val="single" w:color="auto" w:sz="6" w:space="0"/>
              <w:left w:val="single" w:color="auto" w:sz="6" w:space="0"/>
              <w:bottom w:val="single" w:color="auto" w:sz="6" w:space="0"/>
              <w:right w:val="single" w:color="auto" w:sz="6" w:space="0"/>
            </w:tcBorders>
            <w:noWrap w:val="0"/>
            <w:vAlign w:val="center"/>
          </w:tcPr>
          <w:p w14:paraId="2F9D9339">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售后服务机构名称</w:t>
            </w:r>
          </w:p>
        </w:tc>
        <w:tc>
          <w:tcPr>
            <w:tcW w:w="2450" w:type="dxa"/>
            <w:tcBorders>
              <w:top w:val="single" w:color="auto" w:sz="6" w:space="0"/>
              <w:left w:val="single" w:color="auto" w:sz="6" w:space="0"/>
              <w:bottom w:val="single" w:color="auto" w:sz="6" w:space="0"/>
              <w:right w:val="single" w:color="auto" w:sz="6" w:space="0"/>
            </w:tcBorders>
            <w:noWrap w:val="0"/>
            <w:vAlign w:val="center"/>
          </w:tcPr>
          <w:p w14:paraId="7172552C">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所在市县及街区门牌号</w:t>
            </w:r>
          </w:p>
        </w:tc>
        <w:tc>
          <w:tcPr>
            <w:tcW w:w="1228" w:type="dxa"/>
            <w:tcBorders>
              <w:top w:val="single" w:color="auto" w:sz="6" w:space="0"/>
              <w:left w:val="single" w:color="auto" w:sz="6" w:space="0"/>
              <w:bottom w:val="single" w:color="auto" w:sz="6" w:space="0"/>
              <w:right w:val="single" w:color="auto" w:sz="6" w:space="0"/>
            </w:tcBorders>
            <w:noWrap w:val="0"/>
            <w:vAlign w:val="center"/>
          </w:tcPr>
          <w:p w14:paraId="3AB2FBAF">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联系人</w:t>
            </w:r>
          </w:p>
        </w:tc>
        <w:tc>
          <w:tcPr>
            <w:tcW w:w="1626" w:type="dxa"/>
            <w:tcBorders>
              <w:top w:val="single" w:color="auto" w:sz="6" w:space="0"/>
              <w:left w:val="single" w:color="auto" w:sz="6" w:space="0"/>
              <w:bottom w:val="single" w:color="auto" w:sz="6" w:space="0"/>
              <w:right w:val="single" w:color="auto" w:sz="6" w:space="0"/>
            </w:tcBorders>
            <w:noWrap w:val="0"/>
            <w:vAlign w:val="center"/>
          </w:tcPr>
          <w:p w14:paraId="1E9B0DD5">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移动电话</w:t>
            </w:r>
          </w:p>
        </w:tc>
        <w:tc>
          <w:tcPr>
            <w:tcW w:w="1632" w:type="dxa"/>
            <w:tcBorders>
              <w:top w:val="single" w:color="auto" w:sz="6" w:space="0"/>
              <w:left w:val="single" w:color="auto" w:sz="6" w:space="0"/>
              <w:bottom w:val="single" w:color="auto" w:sz="6" w:space="0"/>
              <w:right w:val="single" w:color="auto" w:sz="6" w:space="0"/>
            </w:tcBorders>
            <w:noWrap w:val="0"/>
            <w:vAlign w:val="center"/>
          </w:tcPr>
          <w:p w14:paraId="68278ACB">
            <w:pPr>
              <w:autoSpaceDE w:val="0"/>
              <w:autoSpaceDN w:val="0"/>
              <w:adjustRightInd w:val="0"/>
              <w:spacing w:line="36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固定电话</w:t>
            </w:r>
          </w:p>
        </w:tc>
      </w:tr>
      <w:tr w14:paraId="1B61F77E">
        <w:tblPrEx>
          <w:tblCellMar>
            <w:top w:w="0" w:type="dxa"/>
            <w:left w:w="108" w:type="dxa"/>
            <w:bottom w:w="0" w:type="dxa"/>
            <w:right w:w="108" w:type="dxa"/>
          </w:tblCellMar>
        </w:tblPrEx>
        <w:trPr>
          <w:trHeight w:val="749" w:hRule="atLeast"/>
          <w:jc w:val="center"/>
        </w:trPr>
        <w:tc>
          <w:tcPr>
            <w:tcW w:w="734" w:type="dxa"/>
            <w:tcBorders>
              <w:top w:val="single" w:color="auto" w:sz="6" w:space="0"/>
              <w:left w:val="single" w:color="auto" w:sz="6" w:space="0"/>
              <w:bottom w:val="single" w:color="auto" w:sz="6" w:space="0"/>
              <w:right w:val="single" w:color="auto" w:sz="6" w:space="0"/>
            </w:tcBorders>
            <w:noWrap w:val="0"/>
            <w:vAlign w:val="center"/>
          </w:tcPr>
          <w:p w14:paraId="3B71B2CD">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918" w:type="dxa"/>
            <w:tcBorders>
              <w:top w:val="single" w:color="auto" w:sz="6" w:space="0"/>
              <w:left w:val="single" w:color="auto" w:sz="6" w:space="0"/>
              <w:bottom w:val="single" w:color="auto" w:sz="6" w:space="0"/>
              <w:right w:val="single" w:color="auto" w:sz="6" w:space="0"/>
            </w:tcBorders>
            <w:noWrap w:val="0"/>
            <w:vAlign w:val="center"/>
          </w:tcPr>
          <w:p w14:paraId="36CD1ECF">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2450" w:type="dxa"/>
            <w:tcBorders>
              <w:top w:val="single" w:color="auto" w:sz="6" w:space="0"/>
              <w:left w:val="single" w:color="auto" w:sz="6" w:space="0"/>
              <w:bottom w:val="single" w:color="auto" w:sz="6" w:space="0"/>
              <w:right w:val="single" w:color="auto" w:sz="6" w:space="0"/>
            </w:tcBorders>
            <w:noWrap w:val="0"/>
            <w:vAlign w:val="center"/>
          </w:tcPr>
          <w:p w14:paraId="47CBB268">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noWrap w:val="0"/>
            <w:vAlign w:val="center"/>
          </w:tcPr>
          <w:p w14:paraId="0A256209">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626" w:type="dxa"/>
            <w:tcBorders>
              <w:top w:val="single" w:color="auto" w:sz="6" w:space="0"/>
              <w:left w:val="single" w:color="auto" w:sz="6" w:space="0"/>
              <w:bottom w:val="single" w:color="auto" w:sz="6" w:space="0"/>
              <w:right w:val="single" w:color="auto" w:sz="6" w:space="0"/>
            </w:tcBorders>
            <w:noWrap w:val="0"/>
            <w:vAlign w:val="center"/>
          </w:tcPr>
          <w:p w14:paraId="62514106">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632" w:type="dxa"/>
            <w:tcBorders>
              <w:top w:val="single" w:color="auto" w:sz="6" w:space="0"/>
              <w:left w:val="single" w:color="auto" w:sz="6" w:space="0"/>
              <w:bottom w:val="single" w:color="auto" w:sz="6" w:space="0"/>
              <w:right w:val="single" w:color="auto" w:sz="6" w:space="0"/>
            </w:tcBorders>
            <w:noWrap w:val="0"/>
            <w:vAlign w:val="center"/>
          </w:tcPr>
          <w:p w14:paraId="6A316619">
            <w:pPr>
              <w:autoSpaceDE w:val="0"/>
              <w:autoSpaceDN w:val="0"/>
              <w:adjustRightInd w:val="0"/>
              <w:spacing w:line="360" w:lineRule="auto"/>
              <w:jc w:val="center"/>
              <w:outlineLvl w:val="9"/>
              <w:rPr>
                <w:rFonts w:hint="eastAsia" w:ascii="宋体" w:hAnsi="宋体" w:eastAsia="宋体" w:cs="宋体"/>
                <w:color w:val="auto"/>
                <w:szCs w:val="21"/>
                <w:highlight w:val="none"/>
              </w:rPr>
            </w:pPr>
          </w:p>
        </w:tc>
      </w:tr>
      <w:tr w14:paraId="6A66AE97">
        <w:tblPrEx>
          <w:tblCellMar>
            <w:top w:w="0" w:type="dxa"/>
            <w:left w:w="108" w:type="dxa"/>
            <w:bottom w:w="0" w:type="dxa"/>
            <w:right w:w="108" w:type="dxa"/>
          </w:tblCellMar>
        </w:tblPrEx>
        <w:trPr>
          <w:trHeight w:val="749" w:hRule="atLeast"/>
          <w:jc w:val="center"/>
        </w:trPr>
        <w:tc>
          <w:tcPr>
            <w:tcW w:w="734" w:type="dxa"/>
            <w:tcBorders>
              <w:top w:val="single" w:color="auto" w:sz="6" w:space="0"/>
              <w:left w:val="single" w:color="auto" w:sz="6" w:space="0"/>
              <w:bottom w:val="single" w:color="auto" w:sz="6" w:space="0"/>
              <w:right w:val="single" w:color="auto" w:sz="6" w:space="0"/>
            </w:tcBorders>
            <w:noWrap w:val="0"/>
            <w:vAlign w:val="center"/>
          </w:tcPr>
          <w:p w14:paraId="3B4D6B05">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918" w:type="dxa"/>
            <w:tcBorders>
              <w:top w:val="single" w:color="auto" w:sz="6" w:space="0"/>
              <w:left w:val="single" w:color="auto" w:sz="6" w:space="0"/>
              <w:bottom w:val="single" w:color="auto" w:sz="6" w:space="0"/>
              <w:right w:val="single" w:color="auto" w:sz="6" w:space="0"/>
            </w:tcBorders>
            <w:noWrap w:val="0"/>
            <w:vAlign w:val="center"/>
          </w:tcPr>
          <w:p w14:paraId="038E39AA">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2450" w:type="dxa"/>
            <w:tcBorders>
              <w:top w:val="single" w:color="auto" w:sz="6" w:space="0"/>
              <w:left w:val="single" w:color="auto" w:sz="6" w:space="0"/>
              <w:bottom w:val="single" w:color="auto" w:sz="6" w:space="0"/>
              <w:right w:val="single" w:color="auto" w:sz="6" w:space="0"/>
            </w:tcBorders>
            <w:noWrap w:val="0"/>
            <w:vAlign w:val="center"/>
          </w:tcPr>
          <w:p w14:paraId="10765860">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noWrap w:val="0"/>
            <w:vAlign w:val="center"/>
          </w:tcPr>
          <w:p w14:paraId="2B060A9B">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626" w:type="dxa"/>
            <w:tcBorders>
              <w:top w:val="single" w:color="auto" w:sz="6" w:space="0"/>
              <w:left w:val="single" w:color="auto" w:sz="6" w:space="0"/>
              <w:bottom w:val="single" w:color="auto" w:sz="6" w:space="0"/>
              <w:right w:val="single" w:color="auto" w:sz="6" w:space="0"/>
            </w:tcBorders>
            <w:noWrap w:val="0"/>
            <w:vAlign w:val="center"/>
          </w:tcPr>
          <w:p w14:paraId="77DA0D77">
            <w:pPr>
              <w:autoSpaceDE w:val="0"/>
              <w:autoSpaceDN w:val="0"/>
              <w:adjustRightInd w:val="0"/>
              <w:spacing w:line="360" w:lineRule="auto"/>
              <w:jc w:val="center"/>
              <w:outlineLvl w:val="9"/>
              <w:rPr>
                <w:rFonts w:hint="eastAsia" w:ascii="宋体" w:hAnsi="宋体" w:eastAsia="宋体" w:cs="宋体"/>
                <w:color w:val="auto"/>
                <w:szCs w:val="21"/>
                <w:highlight w:val="none"/>
              </w:rPr>
            </w:pPr>
          </w:p>
        </w:tc>
        <w:tc>
          <w:tcPr>
            <w:tcW w:w="1632" w:type="dxa"/>
            <w:tcBorders>
              <w:top w:val="single" w:color="auto" w:sz="6" w:space="0"/>
              <w:left w:val="single" w:color="auto" w:sz="6" w:space="0"/>
              <w:bottom w:val="single" w:color="auto" w:sz="6" w:space="0"/>
              <w:right w:val="single" w:color="auto" w:sz="6" w:space="0"/>
            </w:tcBorders>
            <w:noWrap w:val="0"/>
            <w:vAlign w:val="center"/>
          </w:tcPr>
          <w:p w14:paraId="75185141">
            <w:pPr>
              <w:autoSpaceDE w:val="0"/>
              <w:autoSpaceDN w:val="0"/>
              <w:adjustRightInd w:val="0"/>
              <w:spacing w:line="360" w:lineRule="auto"/>
              <w:jc w:val="center"/>
              <w:outlineLvl w:val="9"/>
              <w:rPr>
                <w:rFonts w:hint="eastAsia" w:ascii="宋体" w:hAnsi="宋体" w:eastAsia="宋体" w:cs="宋体"/>
                <w:color w:val="auto"/>
                <w:szCs w:val="21"/>
                <w:highlight w:val="none"/>
              </w:rPr>
            </w:pPr>
          </w:p>
        </w:tc>
      </w:tr>
    </w:tbl>
    <w:p w14:paraId="29F34FC4">
      <w:pPr>
        <w:autoSpaceDE w:val="0"/>
        <w:autoSpaceDN w:val="0"/>
        <w:adjustRightInd w:val="0"/>
        <w:spacing w:line="360" w:lineRule="auto"/>
        <w:ind w:firstLine="482"/>
        <w:outlineLvl w:val="9"/>
        <w:rPr>
          <w:rFonts w:hint="eastAsia" w:ascii="宋体" w:hAnsi="宋体" w:eastAsia="宋体" w:cs="宋体"/>
          <w:color w:val="auto"/>
          <w:szCs w:val="21"/>
          <w:highlight w:val="none"/>
          <w:lang w:val="zh-CN"/>
        </w:rPr>
      </w:pPr>
    </w:p>
    <w:p w14:paraId="4EC86713">
      <w:pPr>
        <w:autoSpaceDE w:val="0"/>
        <w:autoSpaceDN w:val="0"/>
        <w:adjustRightInd w:val="0"/>
        <w:spacing w:line="360" w:lineRule="auto"/>
        <w:ind w:firstLine="480"/>
        <w:outlineLvl w:val="9"/>
        <w:rPr>
          <w:rFonts w:hint="eastAsia" w:ascii="宋体" w:hAnsi="宋体" w:eastAsia="宋体" w:cs="宋体"/>
          <w:color w:val="auto"/>
          <w:szCs w:val="21"/>
          <w:highlight w:val="none"/>
          <w:lang w:val="zh-CN"/>
        </w:rPr>
      </w:pPr>
    </w:p>
    <w:p w14:paraId="0B9DC410">
      <w:pPr>
        <w:autoSpaceDE w:val="0"/>
        <w:autoSpaceDN w:val="0"/>
        <w:adjustRightInd w:val="0"/>
        <w:spacing w:line="360" w:lineRule="auto"/>
        <w:ind w:firstLine="482"/>
        <w:outlineLvl w:val="9"/>
        <w:rPr>
          <w:rFonts w:hint="eastAsia" w:ascii="宋体" w:hAnsi="宋体" w:eastAsia="宋体" w:cs="宋体"/>
          <w:color w:val="auto"/>
          <w:szCs w:val="21"/>
          <w:highlight w:val="none"/>
          <w:lang w:val="zh-CN"/>
        </w:rPr>
      </w:pPr>
      <w:bookmarkStart w:id="173" w:name="_Toc237199968"/>
      <w:bookmarkStart w:id="174" w:name="_Toc26564"/>
      <w:bookmarkStart w:id="175" w:name="_Toc423024747"/>
      <w:bookmarkStart w:id="176" w:name="_Toc28846"/>
      <w:bookmarkStart w:id="177" w:name="_Toc238185769"/>
      <w:bookmarkStart w:id="178" w:name="_Toc237329054"/>
      <w:bookmarkStart w:id="179" w:name="_Toc237328732"/>
      <w:bookmarkStart w:id="180" w:name="_Toc357609774"/>
      <w:bookmarkStart w:id="181" w:name="_Toc237200087"/>
      <w:bookmarkStart w:id="182" w:name="_Toc7868"/>
      <w:bookmarkStart w:id="183" w:name="_Toc237236999"/>
      <w:bookmarkStart w:id="184" w:name="_Toc237200211"/>
      <w:r>
        <w:rPr>
          <w:rFonts w:hint="eastAsia" w:ascii="宋体" w:hAnsi="宋体" w:eastAsia="宋体" w:cs="宋体"/>
          <w:color w:val="auto"/>
          <w:szCs w:val="21"/>
          <w:highlight w:val="none"/>
          <w:lang w:val="zh-CN"/>
        </w:rPr>
        <w:t>供应商全称（加盖供应商公章和/或有效签署）：</w:t>
      </w:r>
      <w:bookmarkEnd w:id="173"/>
      <w:bookmarkEnd w:id="174"/>
      <w:bookmarkEnd w:id="175"/>
      <w:bookmarkEnd w:id="176"/>
      <w:bookmarkEnd w:id="177"/>
      <w:bookmarkEnd w:id="178"/>
      <w:bookmarkEnd w:id="179"/>
      <w:bookmarkEnd w:id="180"/>
      <w:bookmarkEnd w:id="181"/>
      <w:bookmarkEnd w:id="182"/>
      <w:bookmarkEnd w:id="183"/>
      <w:bookmarkEnd w:id="184"/>
    </w:p>
    <w:p w14:paraId="0848AA76">
      <w:pPr>
        <w:autoSpaceDE w:val="0"/>
        <w:autoSpaceDN w:val="0"/>
        <w:adjustRightInd w:val="0"/>
        <w:spacing w:line="360" w:lineRule="auto"/>
        <w:ind w:firstLine="482"/>
        <w:outlineLvl w:val="9"/>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20</w:t>
      </w:r>
      <w:r>
        <w:rPr>
          <w:rFonts w:hint="eastAsia" w:ascii="宋体" w:hAnsi="宋体" w:eastAsia="宋体" w:cs="宋体"/>
          <w:color w:val="auto"/>
          <w:szCs w:val="21"/>
          <w:highlight w:val="none"/>
        </w:rPr>
        <w:t>2</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年</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月</w:t>
      </w:r>
      <w:r>
        <w:rPr>
          <w:rFonts w:hint="eastAsia" w:ascii="宋体" w:hAnsi="宋体" w:eastAsia="宋体" w:cs="宋体"/>
          <w:color w:val="auto"/>
          <w:szCs w:val="21"/>
          <w:highlight w:val="none"/>
          <w:u w:val="single"/>
          <w:lang w:val="zh-CN"/>
        </w:rPr>
        <w:t xml:space="preserve">   </w:t>
      </w:r>
      <w:r>
        <w:rPr>
          <w:rFonts w:hint="eastAsia" w:ascii="宋体" w:hAnsi="宋体" w:eastAsia="宋体" w:cs="宋体"/>
          <w:color w:val="auto"/>
          <w:szCs w:val="21"/>
          <w:highlight w:val="none"/>
          <w:lang w:val="zh-CN"/>
        </w:rPr>
        <w:t>日</w:t>
      </w:r>
    </w:p>
    <w:p w14:paraId="249C2A5C">
      <w:pPr>
        <w:autoSpaceDE w:val="0"/>
        <w:autoSpaceDN w:val="0"/>
        <w:adjustRightInd w:val="0"/>
        <w:outlineLvl w:val="9"/>
        <w:rPr>
          <w:rFonts w:hint="eastAsia" w:ascii="宋体" w:hAnsi="宋体" w:eastAsia="宋体" w:cs="宋体"/>
          <w:b/>
          <w:color w:val="auto"/>
          <w:sz w:val="24"/>
          <w:highlight w:val="none"/>
          <w:lang w:val="zh-CN"/>
        </w:rPr>
      </w:pPr>
    </w:p>
    <w:p w14:paraId="0B77333F">
      <w:pPr>
        <w:autoSpaceDE w:val="0"/>
        <w:autoSpaceDN w:val="0"/>
        <w:adjustRightInd w:val="0"/>
        <w:outlineLvl w:val="9"/>
        <w:rPr>
          <w:rFonts w:hint="eastAsia" w:ascii="宋体" w:hAnsi="宋体" w:eastAsia="宋体" w:cs="宋体"/>
          <w:b/>
          <w:color w:val="auto"/>
          <w:sz w:val="24"/>
          <w:highlight w:val="none"/>
          <w:lang w:val="zh-CN"/>
        </w:rPr>
      </w:pPr>
    </w:p>
    <w:p w14:paraId="1F1ACFA4">
      <w:pPr>
        <w:autoSpaceDE w:val="0"/>
        <w:autoSpaceDN w:val="0"/>
        <w:adjustRightInd w:val="0"/>
        <w:outlineLvl w:val="9"/>
        <w:rPr>
          <w:rFonts w:hint="eastAsia" w:ascii="宋体" w:hAnsi="宋体" w:eastAsia="宋体" w:cs="宋体"/>
          <w:b/>
          <w:color w:val="auto"/>
          <w:sz w:val="24"/>
          <w:highlight w:val="none"/>
          <w:lang w:val="zh-CN"/>
        </w:rPr>
      </w:pPr>
    </w:p>
    <w:p w14:paraId="6C775A06">
      <w:pPr>
        <w:autoSpaceDE w:val="0"/>
        <w:autoSpaceDN w:val="0"/>
        <w:adjustRightInd w:val="0"/>
        <w:outlineLvl w:val="9"/>
        <w:rPr>
          <w:rFonts w:hint="eastAsia" w:ascii="宋体" w:hAnsi="宋体" w:eastAsia="宋体" w:cs="宋体"/>
          <w:b/>
          <w:color w:val="auto"/>
          <w:sz w:val="24"/>
          <w:highlight w:val="none"/>
          <w:lang w:val="zh-CN"/>
        </w:rPr>
      </w:pPr>
    </w:p>
    <w:p w14:paraId="0FFA242A">
      <w:pPr>
        <w:autoSpaceDE w:val="0"/>
        <w:autoSpaceDN w:val="0"/>
        <w:adjustRightInd w:val="0"/>
        <w:outlineLvl w:val="9"/>
        <w:rPr>
          <w:rFonts w:hint="eastAsia" w:ascii="宋体" w:hAnsi="宋体" w:eastAsia="宋体" w:cs="宋体"/>
          <w:b/>
          <w:color w:val="auto"/>
          <w:sz w:val="24"/>
          <w:highlight w:val="none"/>
          <w:lang w:val="zh-CN"/>
        </w:rPr>
      </w:pPr>
    </w:p>
    <w:p w14:paraId="7F247762">
      <w:pPr>
        <w:autoSpaceDE w:val="0"/>
        <w:autoSpaceDN w:val="0"/>
        <w:adjustRightInd w:val="0"/>
        <w:outlineLvl w:val="9"/>
        <w:rPr>
          <w:rFonts w:hint="eastAsia" w:ascii="宋体" w:hAnsi="宋体" w:eastAsia="宋体" w:cs="宋体"/>
          <w:b/>
          <w:color w:val="auto"/>
          <w:sz w:val="24"/>
          <w:highlight w:val="none"/>
          <w:lang w:val="zh-CN"/>
        </w:rPr>
      </w:pPr>
    </w:p>
    <w:p w14:paraId="510B0895">
      <w:pPr>
        <w:autoSpaceDE w:val="0"/>
        <w:autoSpaceDN w:val="0"/>
        <w:adjustRightInd w:val="0"/>
        <w:outlineLvl w:val="9"/>
        <w:rPr>
          <w:rFonts w:hint="eastAsia" w:ascii="宋体" w:hAnsi="宋体" w:eastAsia="宋体" w:cs="宋体"/>
          <w:b/>
          <w:color w:val="auto"/>
          <w:sz w:val="24"/>
          <w:highlight w:val="none"/>
          <w:lang w:val="zh-CN"/>
        </w:rPr>
      </w:pPr>
    </w:p>
    <w:p w14:paraId="23A0BA3F">
      <w:pPr>
        <w:autoSpaceDE w:val="0"/>
        <w:autoSpaceDN w:val="0"/>
        <w:adjustRightInd w:val="0"/>
        <w:outlineLvl w:val="9"/>
        <w:rPr>
          <w:rFonts w:hint="eastAsia" w:ascii="宋体" w:hAnsi="宋体" w:eastAsia="宋体" w:cs="宋体"/>
          <w:b/>
          <w:color w:val="auto"/>
          <w:sz w:val="24"/>
          <w:highlight w:val="none"/>
          <w:lang w:val="zh-CN"/>
        </w:rPr>
      </w:pPr>
    </w:p>
    <w:p w14:paraId="796EDB3C">
      <w:pPr>
        <w:autoSpaceDE w:val="0"/>
        <w:autoSpaceDN w:val="0"/>
        <w:adjustRightInd w:val="0"/>
        <w:outlineLvl w:val="9"/>
        <w:rPr>
          <w:rFonts w:hint="eastAsia" w:ascii="宋体" w:hAnsi="宋体" w:eastAsia="宋体" w:cs="宋体"/>
          <w:b/>
          <w:color w:val="auto"/>
          <w:sz w:val="24"/>
          <w:highlight w:val="none"/>
          <w:lang w:val="zh-CN"/>
        </w:rPr>
      </w:pPr>
    </w:p>
    <w:p w14:paraId="668D5C81">
      <w:pPr>
        <w:autoSpaceDE w:val="0"/>
        <w:autoSpaceDN w:val="0"/>
        <w:adjustRightInd w:val="0"/>
        <w:outlineLvl w:val="9"/>
        <w:rPr>
          <w:rFonts w:hint="eastAsia" w:ascii="宋体" w:hAnsi="宋体" w:eastAsia="宋体" w:cs="宋体"/>
          <w:b/>
          <w:color w:val="auto"/>
          <w:sz w:val="24"/>
          <w:highlight w:val="none"/>
          <w:lang w:val="zh-CN"/>
        </w:rPr>
      </w:pPr>
    </w:p>
    <w:p w14:paraId="1F280491">
      <w:pPr>
        <w:autoSpaceDE w:val="0"/>
        <w:autoSpaceDN w:val="0"/>
        <w:adjustRightInd w:val="0"/>
        <w:outlineLvl w:val="9"/>
        <w:rPr>
          <w:rFonts w:hint="eastAsia" w:ascii="宋体" w:hAnsi="宋体" w:eastAsia="宋体" w:cs="宋体"/>
          <w:b/>
          <w:color w:val="auto"/>
          <w:sz w:val="24"/>
          <w:highlight w:val="none"/>
          <w:lang w:val="zh-CN"/>
        </w:rPr>
      </w:pPr>
    </w:p>
    <w:p w14:paraId="76DF031A">
      <w:pPr>
        <w:rPr>
          <w:rFonts w:hint="eastAsia" w:ascii="宋体" w:hAnsi="宋体" w:eastAsia="宋体" w:cs="宋体"/>
          <w:b/>
          <w:color w:val="auto"/>
          <w:sz w:val="24"/>
          <w:highlight w:val="none"/>
          <w:lang w:val="zh-CN"/>
        </w:rPr>
      </w:pPr>
      <w:bookmarkStart w:id="185" w:name="_Toc29332"/>
      <w:bookmarkStart w:id="186" w:name="_Toc2702"/>
      <w:r>
        <w:rPr>
          <w:rFonts w:hint="eastAsia" w:ascii="宋体" w:hAnsi="宋体" w:eastAsia="宋体" w:cs="宋体"/>
          <w:b/>
          <w:color w:val="auto"/>
          <w:sz w:val="24"/>
          <w:highlight w:val="none"/>
          <w:lang w:val="zh-CN"/>
        </w:rPr>
        <w:br w:type="page"/>
      </w:r>
    </w:p>
    <w:p w14:paraId="120923E8">
      <w:pPr>
        <w:autoSpaceDE w:val="0"/>
        <w:autoSpaceDN w:val="0"/>
        <w:adjustRightInd w:val="0"/>
        <w:jc w:val="left"/>
        <w:outlineLvl w:val="1"/>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zh-CN"/>
        </w:rPr>
        <w:t>格式</w:t>
      </w:r>
      <w:r>
        <w:rPr>
          <w:rFonts w:hint="eastAsia" w:ascii="宋体" w:hAnsi="宋体" w:eastAsia="宋体" w:cs="宋体"/>
          <w:b/>
          <w:color w:val="auto"/>
          <w:sz w:val="24"/>
          <w:highlight w:val="none"/>
          <w:lang w:val="en-US" w:eastAsia="zh-CN"/>
        </w:rPr>
        <w:t xml:space="preserve">八 </w:t>
      </w:r>
      <w:bookmarkEnd w:id="185"/>
      <w:bookmarkEnd w:id="186"/>
      <w:r>
        <w:rPr>
          <w:rFonts w:hint="eastAsia" w:ascii="宋体" w:hAnsi="宋体" w:eastAsia="宋体" w:cs="宋体"/>
          <w:b/>
          <w:color w:val="auto"/>
          <w:sz w:val="24"/>
          <w:highlight w:val="none"/>
          <w:lang w:val="en-US" w:eastAsia="zh-CN"/>
        </w:rPr>
        <w:t xml:space="preserve"> 营业执照</w:t>
      </w:r>
    </w:p>
    <w:p w14:paraId="40B10D0D">
      <w:pP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br w:type="page"/>
      </w:r>
    </w:p>
    <w:p w14:paraId="5A86432A">
      <w:pPr>
        <w:autoSpaceDE w:val="0"/>
        <w:autoSpaceDN w:val="0"/>
        <w:adjustRightInd w:val="0"/>
        <w:jc w:val="left"/>
        <w:outlineLvl w:val="1"/>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en-US" w:eastAsia="zh-CN"/>
        </w:rPr>
        <w:t xml:space="preserve">格式九  </w:t>
      </w:r>
      <w:r>
        <w:rPr>
          <w:rFonts w:hint="eastAsia" w:ascii="宋体" w:hAnsi="宋体" w:eastAsia="宋体" w:cs="宋体"/>
          <w:b/>
          <w:color w:val="auto"/>
          <w:sz w:val="24"/>
          <w:highlight w:val="none"/>
          <w:lang w:val="zh-CN"/>
        </w:rPr>
        <w:t>具备履行合同所必需的设备和专业技术能力</w:t>
      </w:r>
    </w:p>
    <w:p w14:paraId="7CD49122">
      <w:pPr>
        <w:spacing w:before="120" w:beforeLines="50" w:after="120" w:afterLines="50"/>
        <w:jc w:val="center"/>
        <w:rPr>
          <w:rFonts w:hint="eastAsia" w:ascii="宋体" w:hAnsi="宋体" w:eastAsia="宋体" w:cs="宋体"/>
          <w:color w:val="auto"/>
          <w:sz w:val="24"/>
          <w:highlight w:val="none"/>
        </w:rPr>
      </w:pPr>
    </w:p>
    <w:p w14:paraId="5B1C1E9A">
      <w:pPr>
        <w:spacing w:before="120" w:beforeLines="50" w:after="120" w:afterLines="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供应商有关资格条件声明函</w:t>
      </w:r>
    </w:p>
    <w:p w14:paraId="62DB9122">
      <w:pPr>
        <w:pStyle w:val="90"/>
        <w:spacing w:line="40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(采购人名称)</w:t>
      </w:r>
      <w:r>
        <w:rPr>
          <w:rFonts w:hint="eastAsia" w:ascii="宋体" w:hAnsi="宋体" w:eastAsia="宋体" w:cs="宋体"/>
          <w:color w:val="auto"/>
          <w:sz w:val="24"/>
          <w:szCs w:val="24"/>
          <w:highlight w:val="none"/>
        </w:rPr>
        <w:t>：</w:t>
      </w:r>
    </w:p>
    <w:p w14:paraId="53EE1882">
      <w:pPr>
        <w:pStyle w:val="90"/>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我方参加贵方组织的(项目名称、项目编号)的采购活动，现就有关资格条件声明如下：</w:t>
      </w:r>
    </w:p>
    <w:p w14:paraId="7F3BA9DB">
      <w:pPr>
        <w:pStyle w:val="90"/>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我方具备《中华人民共和国政府采购法》第二十二条所规定的条件，并已清楚</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文件的要求及有关文件规定。</w:t>
      </w:r>
    </w:p>
    <w:p w14:paraId="7AD3001C">
      <w:pPr>
        <w:pStyle w:val="90"/>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(一)具有履行本采购项目合同所必需的设备和专业技术能力；</w:t>
      </w:r>
    </w:p>
    <w:p w14:paraId="3EBA6646">
      <w:pPr>
        <w:pStyle w:val="90"/>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(二)符合法律、行政法规规定的其他条件，包括但不限于：</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文件未要求提供但生产、销售这些产品，提供这些服务必须取得有关主管部门的行政许可，任何情况下，我方将无条件按照贵方的要求提供上述证明材料。</w:t>
      </w:r>
    </w:p>
    <w:p w14:paraId="1B8C8F08">
      <w:pPr>
        <w:pStyle w:val="90"/>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我方对上述声明的真实性负责。如有虚假，将依法承担相应责任。</w:t>
      </w:r>
    </w:p>
    <w:p w14:paraId="02CEFE15">
      <w:pPr>
        <w:pStyle w:val="90"/>
        <w:ind w:left="560" w:right="84" w:rightChars="40" w:firstLine="482"/>
        <w:rPr>
          <w:rFonts w:hint="eastAsia" w:ascii="宋体" w:hAnsi="宋体" w:eastAsia="宋体" w:cs="宋体"/>
          <w:b/>
          <w:color w:val="auto"/>
          <w:sz w:val="24"/>
          <w:szCs w:val="24"/>
          <w:highlight w:val="none"/>
        </w:rPr>
      </w:pPr>
    </w:p>
    <w:p w14:paraId="5BD32FDA">
      <w:pPr>
        <w:pStyle w:val="90"/>
        <w:ind w:left="560" w:right="84" w:rightChars="40" w:firstLine="482"/>
        <w:rPr>
          <w:rFonts w:hint="eastAsia" w:ascii="宋体" w:hAnsi="宋体" w:eastAsia="宋体" w:cs="宋体"/>
          <w:b/>
          <w:color w:val="auto"/>
          <w:sz w:val="24"/>
          <w:szCs w:val="24"/>
          <w:highlight w:val="none"/>
        </w:rPr>
      </w:pPr>
    </w:p>
    <w:p w14:paraId="5E312315">
      <w:pPr>
        <w:spacing w:line="360" w:lineRule="auto"/>
        <w:jc w:val="right"/>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zh-CN"/>
        </w:rPr>
        <w:t>供应商(全称)：(盖单位公章)</w:t>
      </w:r>
    </w:p>
    <w:p w14:paraId="1C40D51C">
      <w:pPr>
        <w:spacing w:line="480" w:lineRule="auto"/>
        <w:ind w:right="-1"/>
        <w:jc w:val="righ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法定代表人或授权委托代理人：(签字)</w:t>
      </w:r>
    </w:p>
    <w:p w14:paraId="18E0CF16">
      <w:pPr>
        <w:jc w:val="right"/>
        <w:rPr>
          <w:rFonts w:hint="eastAsia" w:ascii="宋体" w:hAnsi="宋体" w:eastAsia="宋体" w:cs="宋体"/>
          <w:color w:val="auto"/>
          <w:sz w:val="24"/>
          <w:highlight w:val="none"/>
        </w:rPr>
      </w:pPr>
    </w:p>
    <w:p w14:paraId="27FCE4A8">
      <w:pPr>
        <w:autoSpaceDE w:val="0"/>
        <w:autoSpaceDN w:val="0"/>
        <w:adjustRightInd w:val="0"/>
        <w:jc w:val="right"/>
        <w:outlineLvl w:val="9"/>
        <w:rPr>
          <w:rFonts w:hint="eastAsia" w:ascii="宋体" w:hAnsi="宋体" w:eastAsia="宋体" w:cs="宋体"/>
          <w:b/>
          <w:color w:val="auto"/>
          <w:sz w:val="24"/>
          <w:highlight w:val="none"/>
          <w:lang w:val="zh-CN"/>
        </w:rPr>
      </w:pPr>
      <w:r>
        <w:rPr>
          <w:rFonts w:hint="eastAsia" w:ascii="宋体" w:hAnsi="宋体" w:eastAsia="宋体" w:cs="宋体"/>
          <w:bCs/>
          <w:color w:val="auto"/>
          <w:sz w:val="24"/>
          <w:szCs w:val="24"/>
          <w:highlight w:val="none"/>
        </w:rPr>
        <w:t>日期</w:t>
      </w:r>
      <w:r>
        <w:rPr>
          <w:rFonts w:hint="eastAsia" w:ascii="宋体" w:hAnsi="宋体" w:eastAsia="宋体" w:cs="宋体"/>
          <w:b/>
          <w:color w:val="auto"/>
          <w:sz w:val="24"/>
          <w:szCs w:val="24"/>
          <w:highlight w:val="none"/>
        </w:rPr>
        <w:t>：</w:t>
      </w:r>
      <w:r>
        <w:rPr>
          <w:rFonts w:hint="eastAsia" w:ascii="宋体" w:hAnsi="宋体" w:eastAsia="宋体" w:cs="宋体"/>
          <w:color w:val="auto"/>
          <w:sz w:val="24"/>
          <w:szCs w:val="24"/>
          <w:highlight w:val="none"/>
        </w:rPr>
        <w:t>年月日</w:t>
      </w:r>
    </w:p>
    <w:p w14:paraId="4D663C4A">
      <w:pPr>
        <w:autoSpaceDE w:val="0"/>
        <w:autoSpaceDN w:val="0"/>
        <w:adjustRightInd w:val="0"/>
        <w:outlineLvl w:val="9"/>
        <w:rPr>
          <w:rFonts w:hint="eastAsia" w:ascii="宋体" w:hAnsi="宋体" w:eastAsia="宋体" w:cs="宋体"/>
          <w:b/>
          <w:color w:val="auto"/>
          <w:sz w:val="24"/>
          <w:highlight w:val="none"/>
          <w:lang w:val="zh-CN"/>
        </w:rPr>
      </w:pPr>
    </w:p>
    <w:p w14:paraId="6FC69A1D">
      <w:pPr>
        <w:autoSpaceDE w:val="0"/>
        <w:autoSpaceDN w:val="0"/>
        <w:adjustRightInd w:val="0"/>
        <w:outlineLvl w:val="9"/>
        <w:rPr>
          <w:rFonts w:hint="eastAsia" w:ascii="宋体" w:hAnsi="宋体" w:eastAsia="宋体" w:cs="宋体"/>
          <w:b/>
          <w:color w:val="auto"/>
          <w:sz w:val="24"/>
          <w:highlight w:val="none"/>
          <w:lang w:val="zh-CN"/>
        </w:rPr>
      </w:pPr>
    </w:p>
    <w:p w14:paraId="7DEC4C0D">
      <w:pPr>
        <w:autoSpaceDE w:val="0"/>
        <w:autoSpaceDN w:val="0"/>
        <w:adjustRightInd w:val="0"/>
        <w:outlineLvl w:val="9"/>
        <w:rPr>
          <w:rFonts w:hint="eastAsia" w:ascii="宋体" w:hAnsi="宋体" w:eastAsia="宋体" w:cs="宋体"/>
          <w:b/>
          <w:color w:val="auto"/>
          <w:sz w:val="24"/>
          <w:highlight w:val="none"/>
          <w:lang w:val="zh-CN"/>
        </w:rPr>
      </w:pPr>
    </w:p>
    <w:p w14:paraId="51270417">
      <w:pPr>
        <w:autoSpaceDE w:val="0"/>
        <w:autoSpaceDN w:val="0"/>
        <w:adjustRightInd w:val="0"/>
        <w:outlineLvl w:val="9"/>
        <w:rPr>
          <w:rFonts w:hint="eastAsia" w:ascii="宋体" w:hAnsi="宋体" w:eastAsia="宋体" w:cs="宋体"/>
          <w:b/>
          <w:color w:val="auto"/>
          <w:sz w:val="24"/>
          <w:highlight w:val="none"/>
          <w:lang w:val="zh-CN"/>
        </w:rPr>
      </w:pPr>
    </w:p>
    <w:p w14:paraId="61418B55">
      <w:pPr>
        <w:autoSpaceDE w:val="0"/>
        <w:autoSpaceDN w:val="0"/>
        <w:adjustRightInd w:val="0"/>
        <w:outlineLvl w:val="9"/>
        <w:rPr>
          <w:rFonts w:hint="eastAsia" w:ascii="宋体" w:hAnsi="宋体" w:eastAsia="宋体" w:cs="宋体"/>
          <w:b/>
          <w:color w:val="auto"/>
          <w:sz w:val="24"/>
          <w:highlight w:val="none"/>
          <w:lang w:val="zh-CN"/>
        </w:rPr>
      </w:pPr>
    </w:p>
    <w:p w14:paraId="21B8A67B">
      <w:pPr>
        <w:autoSpaceDE w:val="0"/>
        <w:autoSpaceDN w:val="0"/>
        <w:adjustRightInd w:val="0"/>
        <w:outlineLvl w:val="9"/>
        <w:rPr>
          <w:rFonts w:hint="eastAsia" w:ascii="宋体" w:hAnsi="宋体" w:eastAsia="宋体" w:cs="宋体"/>
          <w:b/>
          <w:color w:val="auto"/>
          <w:sz w:val="24"/>
          <w:highlight w:val="none"/>
          <w:lang w:val="zh-CN"/>
        </w:rPr>
      </w:pPr>
    </w:p>
    <w:p w14:paraId="627C0EC6">
      <w:pPr>
        <w:autoSpaceDE w:val="0"/>
        <w:autoSpaceDN w:val="0"/>
        <w:adjustRightInd w:val="0"/>
        <w:outlineLvl w:val="9"/>
        <w:rPr>
          <w:rFonts w:hint="eastAsia" w:ascii="宋体" w:hAnsi="宋体" w:eastAsia="宋体" w:cs="宋体"/>
          <w:b/>
          <w:color w:val="auto"/>
          <w:sz w:val="24"/>
          <w:highlight w:val="none"/>
          <w:lang w:val="zh-CN"/>
        </w:rPr>
      </w:pPr>
    </w:p>
    <w:p w14:paraId="488F1590">
      <w:pPr>
        <w:autoSpaceDE w:val="0"/>
        <w:autoSpaceDN w:val="0"/>
        <w:adjustRightInd w:val="0"/>
        <w:outlineLvl w:val="9"/>
        <w:rPr>
          <w:rFonts w:hint="eastAsia" w:ascii="宋体" w:hAnsi="宋体" w:eastAsia="宋体" w:cs="宋体"/>
          <w:b/>
          <w:color w:val="auto"/>
          <w:sz w:val="24"/>
          <w:highlight w:val="none"/>
          <w:lang w:val="zh-CN"/>
        </w:rPr>
      </w:pPr>
    </w:p>
    <w:p w14:paraId="5C81109C">
      <w:pPr>
        <w:autoSpaceDE w:val="0"/>
        <w:autoSpaceDN w:val="0"/>
        <w:adjustRightInd w:val="0"/>
        <w:outlineLvl w:val="9"/>
        <w:rPr>
          <w:rFonts w:hint="eastAsia" w:ascii="宋体" w:hAnsi="宋体" w:eastAsia="宋体" w:cs="宋体"/>
          <w:b/>
          <w:color w:val="auto"/>
          <w:sz w:val="24"/>
          <w:highlight w:val="none"/>
          <w:lang w:val="zh-CN"/>
        </w:rPr>
      </w:pPr>
    </w:p>
    <w:p w14:paraId="56037854">
      <w:pPr>
        <w:autoSpaceDE w:val="0"/>
        <w:autoSpaceDN w:val="0"/>
        <w:adjustRightInd w:val="0"/>
        <w:outlineLvl w:val="9"/>
        <w:rPr>
          <w:rFonts w:hint="eastAsia" w:ascii="宋体" w:hAnsi="宋体" w:eastAsia="宋体" w:cs="宋体"/>
          <w:b/>
          <w:color w:val="auto"/>
          <w:sz w:val="24"/>
          <w:highlight w:val="none"/>
          <w:lang w:val="zh-CN"/>
        </w:rPr>
      </w:pPr>
    </w:p>
    <w:p w14:paraId="56B981C1">
      <w:pPr>
        <w:autoSpaceDE w:val="0"/>
        <w:autoSpaceDN w:val="0"/>
        <w:adjustRightInd w:val="0"/>
        <w:outlineLvl w:val="9"/>
        <w:rPr>
          <w:rFonts w:hint="eastAsia" w:ascii="宋体" w:hAnsi="宋体" w:eastAsia="宋体" w:cs="宋体"/>
          <w:b/>
          <w:color w:val="auto"/>
          <w:sz w:val="24"/>
          <w:highlight w:val="none"/>
          <w:lang w:val="zh-CN"/>
        </w:rPr>
      </w:pPr>
    </w:p>
    <w:p w14:paraId="31E641C7">
      <w:pPr>
        <w:autoSpaceDE w:val="0"/>
        <w:autoSpaceDN w:val="0"/>
        <w:adjustRightInd w:val="0"/>
        <w:outlineLvl w:val="9"/>
        <w:rPr>
          <w:rFonts w:hint="eastAsia" w:ascii="宋体" w:hAnsi="宋体" w:eastAsia="宋体" w:cs="宋体"/>
          <w:b/>
          <w:color w:val="auto"/>
          <w:sz w:val="24"/>
          <w:highlight w:val="none"/>
          <w:lang w:val="zh-CN"/>
        </w:rPr>
      </w:pPr>
    </w:p>
    <w:p w14:paraId="3C627C7F">
      <w:pPr>
        <w:autoSpaceDE w:val="0"/>
        <w:autoSpaceDN w:val="0"/>
        <w:adjustRightInd w:val="0"/>
        <w:outlineLvl w:val="9"/>
        <w:rPr>
          <w:rFonts w:hint="eastAsia" w:ascii="宋体" w:hAnsi="宋体" w:eastAsia="宋体" w:cs="宋体"/>
          <w:b/>
          <w:color w:val="auto"/>
          <w:sz w:val="24"/>
          <w:highlight w:val="none"/>
          <w:lang w:val="zh-CN"/>
        </w:rPr>
      </w:pPr>
    </w:p>
    <w:p w14:paraId="47119D77">
      <w:pPr>
        <w:autoSpaceDE w:val="0"/>
        <w:autoSpaceDN w:val="0"/>
        <w:adjustRightInd w:val="0"/>
        <w:outlineLvl w:val="9"/>
        <w:rPr>
          <w:rFonts w:hint="eastAsia" w:ascii="宋体" w:hAnsi="宋体" w:eastAsia="宋体" w:cs="宋体"/>
          <w:b/>
          <w:color w:val="auto"/>
          <w:sz w:val="24"/>
          <w:highlight w:val="none"/>
          <w:lang w:val="zh-CN"/>
        </w:rPr>
      </w:pPr>
    </w:p>
    <w:p w14:paraId="3265311C">
      <w:pPr>
        <w:autoSpaceDE w:val="0"/>
        <w:autoSpaceDN w:val="0"/>
        <w:adjustRightInd w:val="0"/>
        <w:outlineLvl w:val="9"/>
        <w:rPr>
          <w:rFonts w:hint="eastAsia" w:ascii="宋体" w:hAnsi="宋体" w:eastAsia="宋体" w:cs="宋体"/>
          <w:b/>
          <w:color w:val="auto"/>
          <w:sz w:val="24"/>
          <w:highlight w:val="none"/>
          <w:lang w:val="zh-CN"/>
        </w:rPr>
      </w:pPr>
    </w:p>
    <w:p w14:paraId="5E29E00A">
      <w:pPr>
        <w:autoSpaceDE w:val="0"/>
        <w:autoSpaceDN w:val="0"/>
        <w:adjustRightInd w:val="0"/>
        <w:outlineLvl w:val="9"/>
        <w:rPr>
          <w:rFonts w:hint="eastAsia" w:ascii="宋体" w:hAnsi="宋体" w:eastAsia="宋体" w:cs="宋体"/>
          <w:b/>
          <w:color w:val="auto"/>
          <w:sz w:val="24"/>
          <w:highlight w:val="none"/>
          <w:lang w:val="zh-CN"/>
        </w:rPr>
      </w:pPr>
    </w:p>
    <w:p w14:paraId="2803A27A">
      <w:pPr>
        <w:autoSpaceDE w:val="0"/>
        <w:autoSpaceDN w:val="0"/>
        <w:adjustRightInd w:val="0"/>
        <w:outlineLvl w:val="9"/>
        <w:rPr>
          <w:rFonts w:hint="eastAsia" w:ascii="宋体" w:hAnsi="宋体" w:eastAsia="宋体" w:cs="宋体"/>
          <w:b/>
          <w:color w:val="auto"/>
          <w:sz w:val="24"/>
          <w:highlight w:val="none"/>
          <w:lang w:val="zh-CN"/>
        </w:rPr>
      </w:pPr>
    </w:p>
    <w:p w14:paraId="25228C67">
      <w:pPr>
        <w:autoSpaceDE w:val="0"/>
        <w:autoSpaceDN w:val="0"/>
        <w:adjustRightInd w:val="0"/>
        <w:outlineLvl w:val="9"/>
        <w:rPr>
          <w:rFonts w:hint="eastAsia" w:ascii="宋体" w:hAnsi="宋体" w:eastAsia="宋体" w:cs="宋体"/>
          <w:b/>
          <w:color w:val="auto"/>
          <w:sz w:val="24"/>
          <w:highlight w:val="none"/>
          <w:lang w:val="zh-CN"/>
        </w:rPr>
      </w:pPr>
    </w:p>
    <w:p w14:paraId="66E76378">
      <w:pPr>
        <w:autoSpaceDE w:val="0"/>
        <w:autoSpaceDN w:val="0"/>
        <w:adjustRightInd w:val="0"/>
        <w:outlineLvl w:val="9"/>
        <w:rPr>
          <w:rFonts w:hint="eastAsia" w:ascii="宋体" w:hAnsi="宋体" w:eastAsia="宋体" w:cs="宋体"/>
          <w:b/>
          <w:color w:val="auto"/>
          <w:sz w:val="24"/>
          <w:highlight w:val="none"/>
          <w:lang w:val="zh-CN"/>
        </w:rPr>
      </w:pPr>
    </w:p>
    <w:p w14:paraId="6349C6CD">
      <w:pPr>
        <w:autoSpaceDE w:val="0"/>
        <w:autoSpaceDN w:val="0"/>
        <w:adjustRightInd w:val="0"/>
        <w:outlineLvl w:val="9"/>
        <w:rPr>
          <w:rFonts w:hint="eastAsia" w:ascii="宋体" w:hAnsi="宋体" w:eastAsia="宋体" w:cs="宋体"/>
          <w:b/>
          <w:color w:val="auto"/>
          <w:sz w:val="24"/>
          <w:highlight w:val="none"/>
          <w:lang w:val="zh-CN"/>
        </w:rPr>
      </w:pPr>
    </w:p>
    <w:p w14:paraId="3B3B9756">
      <w:pPr>
        <w:pStyle w:val="70"/>
        <w:outlineLvl w:val="9"/>
        <w:rPr>
          <w:rFonts w:hint="eastAsia" w:ascii="宋体" w:hAnsi="宋体" w:eastAsia="宋体" w:cs="宋体"/>
          <w:color w:val="auto"/>
          <w:highlight w:val="none"/>
          <w:lang w:val="zh-CN"/>
        </w:rPr>
      </w:pPr>
    </w:p>
    <w:p w14:paraId="190790DD">
      <w:pPr>
        <w:widowControl/>
        <w:adjustRightInd w:val="0"/>
        <w:snapToGrid w:val="0"/>
        <w:spacing w:before="36" w:beforeLines="15" w:line="360" w:lineRule="auto"/>
        <w:jc w:val="left"/>
        <w:outlineLvl w:val="1"/>
        <w:rPr>
          <w:rFonts w:hint="eastAsia" w:ascii="宋体" w:hAnsi="宋体" w:eastAsia="宋体" w:cs="宋体"/>
          <w:b/>
          <w:color w:val="auto"/>
          <w:sz w:val="24"/>
          <w:szCs w:val="24"/>
          <w:highlight w:val="none"/>
        </w:rPr>
      </w:pPr>
      <w:bookmarkStart w:id="187" w:name="_Toc16378"/>
      <w:bookmarkStart w:id="188" w:name="_Toc17092"/>
      <w:r>
        <w:rPr>
          <w:rFonts w:hint="eastAsia" w:ascii="宋体" w:hAnsi="宋体" w:eastAsia="宋体" w:cs="宋体"/>
          <w:b/>
          <w:color w:val="auto"/>
          <w:sz w:val="24"/>
          <w:highlight w:val="none"/>
          <w:lang w:val="zh-CN"/>
        </w:rPr>
        <w:t>格式</w:t>
      </w:r>
      <w:r>
        <w:rPr>
          <w:rFonts w:hint="eastAsia" w:ascii="宋体" w:hAnsi="宋体" w:eastAsia="宋体" w:cs="宋体"/>
          <w:b/>
          <w:color w:val="auto"/>
          <w:sz w:val="24"/>
          <w:szCs w:val="24"/>
          <w:highlight w:val="none"/>
          <w:lang w:val="zh-CN"/>
        </w:rPr>
        <w:t>十</w:t>
      </w:r>
      <w:r>
        <w:rPr>
          <w:rFonts w:hint="eastAsia" w:ascii="宋体" w:hAnsi="宋体" w:eastAsia="宋体" w:cs="宋体"/>
          <w:b/>
          <w:color w:val="auto"/>
          <w:sz w:val="24"/>
          <w:highlight w:val="none"/>
        </w:rPr>
        <w:t xml:space="preserve"> </w:t>
      </w:r>
      <w:r>
        <w:rPr>
          <w:rFonts w:hint="eastAsia" w:ascii="宋体" w:hAnsi="宋体" w:eastAsia="宋体" w:cs="宋体"/>
          <w:b/>
          <w:color w:val="auto"/>
          <w:sz w:val="24"/>
          <w:szCs w:val="24"/>
          <w:highlight w:val="none"/>
        </w:rPr>
        <w:t xml:space="preserve"> </w:t>
      </w:r>
      <w:bookmarkEnd w:id="187"/>
      <w:bookmarkEnd w:id="188"/>
      <w:r>
        <w:rPr>
          <w:rFonts w:hint="eastAsia" w:ascii="宋体" w:hAnsi="宋体" w:eastAsia="宋体" w:cs="宋体"/>
          <w:b/>
          <w:color w:val="auto"/>
          <w:sz w:val="24"/>
          <w:szCs w:val="24"/>
          <w:highlight w:val="none"/>
        </w:rPr>
        <w:t>财务状况证明材料</w:t>
      </w:r>
    </w:p>
    <w:p w14:paraId="1DC7508A">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1E27407B">
      <w:pPr>
        <w:widowControl/>
        <w:adjustRightInd w:val="0"/>
        <w:snapToGrid w:val="0"/>
        <w:spacing w:before="36" w:beforeLines="15" w:line="360" w:lineRule="auto"/>
        <w:jc w:val="left"/>
        <w:outlineLvl w:val="1"/>
        <w:rPr>
          <w:rFonts w:hint="eastAsia" w:ascii="宋体" w:hAnsi="宋体" w:eastAsia="宋体" w:cs="宋体"/>
          <w:color w:val="auto"/>
          <w:sz w:val="28"/>
          <w:szCs w:val="28"/>
          <w:highlight w:val="none"/>
          <w:lang w:val="en-US" w:eastAsia="zh-CN"/>
        </w:rPr>
      </w:pPr>
      <w:r>
        <w:rPr>
          <w:rFonts w:hint="eastAsia" w:ascii="宋体" w:hAnsi="宋体" w:eastAsia="宋体" w:cs="宋体"/>
          <w:b/>
          <w:color w:val="auto"/>
          <w:sz w:val="24"/>
          <w:szCs w:val="24"/>
          <w:highlight w:val="none"/>
          <w:lang w:val="en-US" w:eastAsia="zh-CN"/>
        </w:rPr>
        <w:t xml:space="preserve">格式十一  </w:t>
      </w:r>
      <w:r>
        <w:rPr>
          <w:rFonts w:hint="eastAsia" w:ascii="宋体" w:hAnsi="宋体" w:eastAsia="宋体" w:cs="宋体"/>
          <w:b/>
          <w:color w:val="auto"/>
          <w:sz w:val="24"/>
          <w:szCs w:val="24"/>
          <w:highlight w:val="none"/>
        </w:rPr>
        <w:t>依法缴纳税收</w:t>
      </w:r>
      <w:r>
        <w:rPr>
          <w:rFonts w:hint="eastAsia" w:ascii="宋体" w:hAnsi="宋体" w:eastAsia="宋体" w:cs="宋体"/>
          <w:b/>
          <w:color w:val="auto"/>
          <w:sz w:val="24"/>
          <w:szCs w:val="24"/>
          <w:highlight w:val="none"/>
          <w:lang w:eastAsia="zh-CN"/>
        </w:rPr>
        <w:t>证明</w:t>
      </w:r>
      <w:r>
        <w:rPr>
          <w:rFonts w:hint="eastAsia" w:ascii="宋体" w:hAnsi="宋体" w:eastAsia="宋体" w:cs="宋体"/>
          <w:b/>
          <w:color w:val="auto"/>
          <w:sz w:val="24"/>
          <w:szCs w:val="24"/>
          <w:highlight w:val="none"/>
          <w:lang w:val="en-US" w:eastAsia="zh-CN"/>
        </w:rPr>
        <w:t>材料</w:t>
      </w:r>
    </w:p>
    <w:p w14:paraId="0A49DE57">
      <w:pPr>
        <w:adjustRightInd w:val="0"/>
        <w:snapToGrid w:val="0"/>
        <w:spacing w:before="36" w:beforeLines="15" w:line="360" w:lineRule="auto"/>
        <w:outlineLvl w:val="1"/>
        <w:rPr>
          <w:rFonts w:hint="default" w:ascii="宋体" w:hAnsi="宋体" w:eastAsia="宋体" w:cs="宋体"/>
          <w:b/>
          <w:color w:val="auto"/>
          <w:sz w:val="24"/>
          <w:szCs w:val="24"/>
          <w:highlight w:val="none"/>
          <w:lang w:val="en-US" w:eastAsia="zh-CN"/>
        </w:rPr>
      </w:pPr>
      <w:r>
        <w:rPr>
          <w:rFonts w:hint="eastAsia" w:ascii="宋体" w:hAnsi="宋体" w:eastAsia="宋体" w:cs="宋体"/>
          <w:color w:val="auto"/>
          <w:highlight w:val="none"/>
        </w:rPr>
        <w:br w:type="page"/>
      </w:r>
      <w:bookmarkStart w:id="189" w:name="_Toc27822"/>
      <w:bookmarkStart w:id="190" w:name="_Toc4381"/>
      <w:r>
        <w:rPr>
          <w:rFonts w:hint="eastAsia" w:ascii="宋体" w:hAnsi="宋体" w:eastAsia="宋体" w:cs="宋体"/>
          <w:b/>
          <w:color w:val="auto"/>
          <w:sz w:val="24"/>
          <w:szCs w:val="24"/>
          <w:highlight w:val="none"/>
          <w:lang w:val="zh-CN"/>
        </w:rPr>
        <w:t>格式十</w:t>
      </w:r>
      <w:r>
        <w:rPr>
          <w:rFonts w:hint="eastAsia" w:ascii="宋体" w:hAnsi="宋体" w:eastAsia="宋体" w:cs="宋体"/>
          <w:b/>
          <w:color w:val="auto"/>
          <w:sz w:val="24"/>
          <w:szCs w:val="24"/>
          <w:highlight w:val="none"/>
          <w:lang w:val="en-US" w:eastAsia="zh-CN"/>
        </w:rPr>
        <w:t xml:space="preserve">二  </w:t>
      </w:r>
      <w:r>
        <w:rPr>
          <w:rFonts w:hint="eastAsia" w:ascii="宋体" w:hAnsi="宋体" w:eastAsia="宋体" w:cs="宋体"/>
          <w:b/>
          <w:color w:val="auto"/>
          <w:sz w:val="24"/>
          <w:szCs w:val="24"/>
          <w:highlight w:val="none"/>
        </w:rPr>
        <w:t>依法缴纳</w:t>
      </w:r>
      <w:r>
        <w:rPr>
          <w:rFonts w:hint="eastAsia" w:ascii="宋体" w:hAnsi="宋体" w:eastAsia="宋体" w:cs="宋体"/>
          <w:b/>
          <w:color w:val="auto"/>
          <w:sz w:val="24"/>
          <w:szCs w:val="24"/>
          <w:highlight w:val="none"/>
          <w:lang w:eastAsia="zh-CN"/>
        </w:rPr>
        <w:t>社会保障资金证明</w:t>
      </w:r>
      <w:r>
        <w:rPr>
          <w:rFonts w:hint="eastAsia" w:ascii="宋体" w:hAnsi="宋体" w:eastAsia="宋体" w:cs="宋体"/>
          <w:b/>
          <w:color w:val="auto"/>
          <w:sz w:val="24"/>
          <w:szCs w:val="24"/>
          <w:highlight w:val="none"/>
          <w:lang w:val="en-US" w:eastAsia="zh-CN"/>
        </w:rPr>
        <w:t>材料</w:t>
      </w:r>
    </w:p>
    <w:p w14:paraId="7223D7F6">
      <w:pP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br w:type="page"/>
      </w:r>
    </w:p>
    <w:p w14:paraId="1DE82EB8">
      <w:pPr>
        <w:adjustRightInd w:val="0"/>
        <w:snapToGrid w:val="0"/>
        <w:spacing w:before="36" w:beforeLines="15" w:line="360" w:lineRule="auto"/>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格式十三  信誉要求</w:t>
      </w:r>
    </w:p>
    <w:p w14:paraId="34F274B0">
      <w:pPr>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br w:type="page"/>
      </w:r>
    </w:p>
    <w:bookmarkEnd w:id="189"/>
    <w:bookmarkEnd w:id="190"/>
    <w:p w14:paraId="6B46996C">
      <w:pPr>
        <w:adjustRightInd w:val="0"/>
        <w:snapToGrid w:val="0"/>
        <w:spacing w:before="36" w:beforeLines="15" w:line="360" w:lineRule="auto"/>
        <w:outlineLvl w:val="1"/>
        <w:rPr>
          <w:rFonts w:hint="eastAsia" w:ascii="宋体" w:hAnsi="宋体" w:eastAsia="宋体" w:cs="宋体"/>
          <w:b/>
          <w:color w:val="auto"/>
          <w:sz w:val="24"/>
          <w:szCs w:val="24"/>
          <w:highlight w:val="none"/>
          <w:lang w:val="en-US" w:eastAsia="zh-CN"/>
        </w:rPr>
      </w:pPr>
      <w:bookmarkStart w:id="191" w:name="_Toc13298"/>
      <w:bookmarkStart w:id="192" w:name="_Toc12272"/>
      <w:r>
        <w:rPr>
          <w:rFonts w:hint="eastAsia" w:ascii="宋体" w:hAnsi="宋体" w:eastAsia="宋体" w:cs="宋体"/>
          <w:b/>
          <w:color w:val="auto"/>
          <w:sz w:val="24"/>
          <w:szCs w:val="24"/>
          <w:highlight w:val="none"/>
          <w:lang w:val="zh-CN" w:eastAsia="zh-CN"/>
        </w:rPr>
        <w:t>格式十</w:t>
      </w:r>
      <w:r>
        <w:rPr>
          <w:rFonts w:hint="eastAsia" w:ascii="宋体" w:hAnsi="宋体" w:eastAsia="宋体" w:cs="宋体"/>
          <w:b/>
          <w:color w:val="auto"/>
          <w:sz w:val="24"/>
          <w:szCs w:val="24"/>
          <w:highlight w:val="none"/>
          <w:lang w:val="en-US" w:eastAsia="zh-CN"/>
        </w:rPr>
        <w:t xml:space="preserve">四 </w:t>
      </w:r>
      <w:r>
        <w:rPr>
          <w:rFonts w:hint="eastAsia" w:ascii="宋体" w:hAnsi="宋体" w:eastAsia="宋体" w:cs="宋体"/>
          <w:b/>
          <w:color w:val="auto"/>
          <w:sz w:val="24"/>
          <w:szCs w:val="24"/>
          <w:highlight w:val="none"/>
          <w:lang w:val="zh-CN" w:eastAsia="zh-CN"/>
        </w:rPr>
        <w:t xml:space="preserve"> </w:t>
      </w:r>
      <w:bookmarkEnd w:id="191"/>
      <w:bookmarkEnd w:id="192"/>
      <w:r>
        <w:rPr>
          <w:rFonts w:hint="eastAsia" w:ascii="宋体" w:hAnsi="宋体" w:eastAsia="宋体" w:cs="宋体"/>
          <w:b/>
          <w:color w:val="auto"/>
          <w:sz w:val="24"/>
          <w:szCs w:val="24"/>
          <w:highlight w:val="none"/>
          <w:lang w:val="en-US" w:eastAsia="zh-CN"/>
        </w:rPr>
        <w:t>中小企业声明函（如有）</w:t>
      </w:r>
    </w:p>
    <w:p w14:paraId="0674861E">
      <w:pPr>
        <w:rPr>
          <w:rFonts w:hint="eastAsia" w:ascii="宋体" w:hAnsi="宋体" w:eastAsia="宋体" w:cs="宋体"/>
          <w:color w:val="auto"/>
          <w:highlight w:val="none"/>
        </w:rPr>
      </w:pPr>
    </w:p>
    <w:p w14:paraId="6B2483B3">
      <w:pPr>
        <w:snapToGrid w:val="0"/>
        <w:spacing w:line="360" w:lineRule="auto"/>
        <w:ind w:firstLine="723" w:firstLineChars="200"/>
        <w:jc w:val="center"/>
        <w:textAlignment w:val="baseline"/>
        <w:rPr>
          <w:rStyle w:val="76"/>
          <w:rFonts w:hint="eastAsia" w:ascii="宋体" w:hAnsi="宋体" w:eastAsia="宋体" w:cs="宋体"/>
          <w:b/>
          <w:color w:val="auto"/>
          <w:sz w:val="36"/>
          <w:szCs w:val="36"/>
          <w:highlight w:val="none"/>
        </w:rPr>
      </w:pPr>
      <w:r>
        <w:rPr>
          <w:rStyle w:val="76"/>
          <w:rFonts w:hint="eastAsia" w:ascii="宋体" w:hAnsi="宋体" w:eastAsia="宋体" w:cs="宋体"/>
          <w:b/>
          <w:color w:val="auto"/>
          <w:sz w:val="36"/>
          <w:szCs w:val="36"/>
          <w:highlight w:val="none"/>
        </w:rPr>
        <w:t>中小企业声明函（货物）</w:t>
      </w:r>
    </w:p>
    <w:p w14:paraId="7F838E50">
      <w:pPr>
        <w:snapToGrid w:val="0"/>
        <w:spacing w:line="360" w:lineRule="auto"/>
        <w:ind w:firstLine="630" w:firstLineChars="300"/>
        <w:jc w:val="left"/>
        <w:textAlignment w:val="baseline"/>
        <w:rPr>
          <w:rStyle w:val="76"/>
          <w:rFonts w:hint="eastAsia" w:ascii="宋体" w:hAnsi="宋体" w:eastAsia="宋体" w:cs="宋体"/>
          <w:bCs/>
          <w:color w:val="auto"/>
          <w:szCs w:val="21"/>
          <w:highlight w:val="none"/>
        </w:rPr>
      </w:pPr>
    </w:p>
    <w:p w14:paraId="37C100F5">
      <w:pPr>
        <w:snapToGrid w:val="0"/>
        <w:spacing w:line="360" w:lineRule="auto"/>
        <w:ind w:firstLine="630" w:firstLineChars="300"/>
        <w:jc w:val="left"/>
        <w:textAlignment w:val="baseline"/>
        <w:rPr>
          <w:rStyle w:val="76"/>
          <w:rFonts w:hint="eastAsia" w:ascii="宋体" w:hAnsi="宋体" w:eastAsia="宋体" w:cs="宋体"/>
          <w:bCs/>
          <w:color w:val="auto"/>
          <w:szCs w:val="21"/>
          <w:highlight w:val="none"/>
        </w:rPr>
      </w:pPr>
      <w:r>
        <w:rPr>
          <w:rStyle w:val="76"/>
          <w:rFonts w:hint="eastAsia" w:ascii="宋体" w:hAnsi="宋体" w:eastAsia="宋体" w:cs="宋体"/>
          <w:bCs/>
          <w:color w:val="auto"/>
          <w:szCs w:val="21"/>
          <w:highlight w:val="none"/>
        </w:rPr>
        <w:t>本公司（联合体）郑重声明，根据《政府采购促进中小企业发展管理办法》（财库﹝2020﹞46号）的规定，本公司（联合体）参加</w:t>
      </w:r>
      <w:r>
        <w:rPr>
          <w:rStyle w:val="76"/>
          <w:rFonts w:hint="eastAsia" w:ascii="宋体" w:hAnsi="宋体" w:eastAsia="宋体" w:cs="宋体"/>
          <w:bCs/>
          <w:color w:val="auto"/>
          <w:szCs w:val="21"/>
          <w:highlight w:val="none"/>
          <w:u w:val="single" w:color="000000"/>
        </w:rPr>
        <w:t>（单位名称）</w:t>
      </w:r>
      <w:r>
        <w:rPr>
          <w:rStyle w:val="76"/>
          <w:rFonts w:hint="eastAsia" w:ascii="宋体" w:hAnsi="宋体" w:eastAsia="宋体" w:cs="宋体"/>
          <w:bCs/>
          <w:color w:val="auto"/>
          <w:szCs w:val="21"/>
          <w:highlight w:val="none"/>
        </w:rPr>
        <w:t>的</w:t>
      </w:r>
      <w:r>
        <w:rPr>
          <w:rStyle w:val="76"/>
          <w:rFonts w:hint="eastAsia" w:ascii="宋体" w:hAnsi="宋体" w:eastAsia="宋体" w:cs="宋体"/>
          <w:bCs/>
          <w:color w:val="auto"/>
          <w:szCs w:val="21"/>
          <w:highlight w:val="none"/>
          <w:u w:val="single" w:color="000000"/>
        </w:rPr>
        <w:t>（项目名称）</w:t>
      </w:r>
      <w:r>
        <w:rPr>
          <w:rStyle w:val="76"/>
          <w:rFonts w:hint="eastAsia" w:ascii="宋体" w:hAnsi="宋体" w:eastAsia="宋体" w:cs="宋体"/>
          <w:bCs/>
          <w:color w:val="auto"/>
          <w:szCs w:val="21"/>
          <w:highlight w:val="none"/>
        </w:rPr>
        <w:t>采购活动，提供的货物全部由符合政策要求的中小企业制造。相关企业（含联合体中的中小企业、签订分包意向协议的中小企业）的具体情况如下：</w:t>
      </w:r>
    </w:p>
    <w:p w14:paraId="1E22A2F8">
      <w:pPr>
        <w:snapToGrid w:val="0"/>
        <w:spacing w:line="360" w:lineRule="auto"/>
        <w:jc w:val="left"/>
        <w:textAlignment w:val="baseline"/>
        <w:rPr>
          <w:rStyle w:val="76"/>
          <w:rFonts w:hint="eastAsia" w:ascii="宋体" w:hAnsi="宋体" w:eastAsia="宋体" w:cs="宋体"/>
          <w:bCs/>
          <w:color w:val="auto"/>
          <w:szCs w:val="21"/>
          <w:highlight w:val="none"/>
        </w:rPr>
      </w:pPr>
      <w:r>
        <w:rPr>
          <w:rStyle w:val="76"/>
          <w:rFonts w:hint="eastAsia" w:ascii="宋体" w:hAnsi="宋体" w:eastAsia="宋体" w:cs="宋体"/>
          <w:bCs/>
          <w:color w:val="auto"/>
          <w:szCs w:val="21"/>
          <w:highlight w:val="none"/>
        </w:rPr>
        <w:t>1.</w:t>
      </w:r>
      <w:r>
        <w:rPr>
          <w:rStyle w:val="76"/>
          <w:rFonts w:hint="eastAsia" w:ascii="宋体" w:hAnsi="宋体" w:eastAsia="宋体" w:cs="宋体"/>
          <w:bCs/>
          <w:color w:val="auto"/>
          <w:szCs w:val="21"/>
          <w:highlight w:val="none"/>
          <w:u w:val="single" w:color="000000"/>
        </w:rPr>
        <w:t>（标的名称）</w:t>
      </w:r>
      <w:r>
        <w:rPr>
          <w:rStyle w:val="76"/>
          <w:rFonts w:hint="eastAsia" w:ascii="宋体" w:hAnsi="宋体" w:eastAsia="宋体" w:cs="宋体"/>
          <w:bCs/>
          <w:color w:val="auto"/>
          <w:szCs w:val="21"/>
          <w:highlight w:val="none"/>
        </w:rPr>
        <w:t>，属于</w:t>
      </w:r>
      <w:r>
        <w:rPr>
          <w:rStyle w:val="76"/>
          <w:rFonts w:hint="eastAsia" w:ascii="宋体" w:hAnsi="宋体" w:eastAsia="宋体" w:cs="宋体"/>
          <w:b/>
          <w:color w:val="auto"/>
          <w:szCs w:val="21"/>
          <w:highlight w:val="none"/>
          <w:u w:val="single" w:color="000000"/>
        </w:rPr>
        <w:t>（工业）</w:t>
      </w:r>
      <w:r>
        <w:rPr>
          <w:rStyle w:val="76"/>
          <w:rFonts w:hint="eastAsia" w:ascii="宋体" w:hAnsi="宋体" w:eastAsia="宋体" w:cs="宋体"/>
          <w:bCs/>
          <w:color w:val="auto"/>
          <w:szCs w:val="21"/>
          <w:highlight w:val="none"/>
        </w:rPr>
        <w:t>行业；制造商为（</w:t>
      </w:r>
      <w:r>
        <w:rPr>
          <w:rStyle w:val="76"/>
          <w:rFonts w:hint="eastAsia" w:ascii="宋体" w:hAnsi="宋体" w:eastAsia="宋体" w:cs="宋体"/>
          <w:bCs/>
          <w:color w:val="auto"/>
          <w:szCs w:val="21"/>
          <w:highlight w:val="none"/>
          <w:u w:val="single" w:color="000000"/>
        </w:rPr>
        <w:t>企业名称）</w:t>
      </w:r>
      <w:r>
        <w:rPr>
          <w:rStyle w:val="76"/>
          <w:rFonts w:hint="eastAsia" w:ascii="宋体" w:hAnsi="宋体" w:eastAsia="宋体" w:cs="宋体"/>
          <w:bCs/>
          <w:color w:val="auto"/>
          <w:szCs w:val="21"/>
          <w:highlight w:val="none"/>
        </w:rPr>
        <w:t>，从业人员人，营业收入为万元，资产总额为万元，属于</w:t>
      </w:r>
      <w:r>
        <w:rPr>
          <w:rStyle w:val="76"/>
          <w:rFonts w:hint="eastAsia" w:ascii="宋体" w:hAnsi="宋体" w:eastAsia="宋体" w:cs="宋体"/>
          <w:bCs/>
          <w:color w:val="auto"/>
          <w:szCs w:val="21"/>
          <w:highlight w:val="none"/>
          <w:u w:val="single" w:color="000000"/>
        </w:rPr>
        <w:t>（中型企业、小型企业、微型企业）</w:t>
      </w:r>
      <w:r>
        <w:rPr>
          <w:rStyle w:val="76"/>
          <w:rFonts w:hint="eastAsia" w:ascii="宋体" w:hAnsi="宋体" w:eastAsia="宋体" w:cs="宋体"/>
          <w:bCs/>
          <w:color w:val="auto"/>
          <w:szCs w:val="21"/>
          <w:highlight w:val="none"/>
        </w:rPr>
        <w:t>；</w:t>
      </w:r>
    </w:p>
    <w:p w14:paraId="6BC72A7D">
      <w:pPr>
        <w:snapToGrid w:val="0"/>
        <w:spacing w:line="360" w:lineRule="auto"/>
        <w:textAlignment w:val="baseline"/>
        <w:rPr>
          <w:rStyle w:val="76"/>
          <w:rFonts w:hint="eastAsia" w:ascii="宋体" w:hAnsi="宋体" w:eastAsia="宋体" w:cs="宋体"/>
          <w:bCs/>
          <w:color w:val="auto"/>
          <w:szCs w:val="21"/>
          <w:highlight w:val="none"/>
        </w:rPr>
      </w:pPr>
      <w:r>
        <w:rPr>
          <w:rStyle w:val="76"/>
          <w:rFonts w:hint="eastAsia" w:ascii="宋体" w:hAnsi="宋体" w:eastAsia="宋体" w:cs="宋体"/>
          <w:bCs/>
          <w:color w:val="auto"/>
          <w:szCs w:val="21"/>
          <w:highlight w:val="none"/>
        </w:rPr>
        <w:t>2.</w:t>
      </w:r>
      <w:r>
        <w:rPr>
          <w:rStyle w:val="76"/>
          <w:rFonts w:hint="eastAsia" w:ascii="宋体" w:hAnsi="宋体" w:eastAsia="宋体" w:cs="宋体"/>
          <w:bCs/>
          <w:color w:val="auto"/>
          <w:szCs w:val="21"/>
          <w:highlight w:val="none"/>
          <w:u w:val="single" w:color="000000"/>
        </w:rPr>
        <w:t>（标的名称）</w:t>
      </w:r>
      <w:r>
        <w:rPr>
          <w:rStyle w:val="76"/>
          <w:rFonts w:hint="eastAsia" w:ascii="宋体" w:hAnsi="宋体" w:eastAsia="宋体" w:cs="宋体"/>
          <w:bCs/>
          <w:color w:val="auto"/>
          <w:szCs w:val="21"/>
          <w:highlight w:val="none"/>
        </w:rPr>
        <w:t>，属于</w:t>
      </w:r>
      <w:r>
        <w:rPr>
          <w:rStyle w:val="76"/>
          <w:rFonts w:hint="eastAsia" w:ascii="宋体" w:hAnsi="宋体" w:eastAsia="宋体" w:cs="宋体"/>
          <w:b/>
          <w:color w:val="auto"/>
          <w:szCs w:val="21"/>
          <w:highlight w:val="none"/>
          <w:u w:val="single" w:color="000000"/>
        </w:rPr>
        <w:t>（工业）</w:t>
      </w:r>
      <w:r>
        <w:rPr>
          <w:rStyle w:val="76"/>
          <w:rFonts w:hint="eastAsia" w:ascii="宋体" w:hAnsi="宋体" w:eastAsia="宋体" w:cs="宋体"/>
          <w:bCs/>
          <w:color w:val="auto"/>
          <w:szCs w:val="21"/>
          <w:highlight w:val="none"/>
        </w:rPr>
        <w:t>行业；制造商为</w:t>
      </w:r>
      <w:r>
        <w:rPr>
          <w:rStyle w:val="76"/>
          <w:rFonts w:hint="eastAsia" w:ascii="宋体" w:hAnsi="宋体" w:eastAsia="宋体" w:cs="宋体"/>
          <w:bCs/>
          <w:color w:val="auto"/>
          <w:szCs w:val="21"/>
          <w:highlight w:val="none"/>
          <w:u w:val="single" w:color="000000"/>
        </w:rPr>
        <w:t>（企业名称）</w:t>
      </w:r>
      <w:r>
        <w:rPr>
          <w:rStyle w:val="76"/>
          <w:rFonts w:hint="eastAsia" w:ascii="宋体" w:hAnsi="宋体" w:eastAsia="宋体" w:cs="宋体"/>
          <w:bCs/>
          <w:color w:val="auto"/>
          <w:szCs w:val="21"/>
          <w:highlight w:val="none"/>
        </w:rPr>
        <w:t>，从业人员人，营业收入为万元，资产总额为万元，属于</w:t>
      </w:r>
      <w:r>
        <w:rPr>
          <w:rStyle w:val="76"/>
          <w:rFonts w:hint="eastAsia" w:ascii="宋体" w:hAnsi="宋体" w:eastAsia="宋体" w:cs="宋体"/>
          <w:bCs/>
          <w:color w:val="auto"/>
          <w:szCs w:val="21"/>
          <w:highlight w:val="none"/>
          <w:u w:val="single" w:color="000000"/>
        </w:rPr>
        <w:t>（中型企业、小型企业、微型企业）</w:t>
      </w:r>
      <w:r>
        <w:rPr>
          <w:rStyle w:val="76"/>
          <w:rFonts w:hint="eastAsia" w:ascii="宋体" w:hAnsi="宋体" w:eastAsia="宋体" w:cs="宋体"/>
          <w:bCs/>
          <w:color w:val="auto"/>
          <w:szCs w:val="21"/>
          <w:highlight w:val="none"/>
        </w:rPr>
        <w:t>；</w:t>
      </w:r>
    </w:p>
    <w:p w14:paraId="53F42D74">
      <w:pPr>
        <w:snapToGrid w:val="0"/>
        <w:spacing w:line="360" w:lineRule="auto"/>
        <w:textAlignment w:val="baseline"/>
        <w:rPr>
          <w:rStyle w:val="76"/>
          <w:rFonts w:hint="eastAsia" w:ascii="宋体" w:hAnsi="宋体" w:eastAsia="宋体" w:cs="宋体"/>
          <w:bCs/>
          <w:color w:val="auto"/>
          <w:szCs w:val="21"/>
          <w:highlight w:val="none"/>
        </w:rPr>
      </w:pPr>
      <w:r>
        <w:rPr>
          <w:rStyle w:val="76"/>
          <w:rFonts w:hint="eastAsia" w:ascii="宋体" w:hAnsi="宋体" w:eastAsia="宋体" w:cs="宋体"/>
          <w:bCs/>
          <w:color w:val="auto"/>
          <w:szCs w:val="21"/>
          <w:highlight w:val="none"/>
        </w:rPr>
        <w:t>……</w:t>
      </w:r>
    </w:p>
    <w:p w14:paraId="61B3B5F1">
      <w:pPr>
        <w:snapToGrid w:val="0"/>
        <w:spacing w:line="360" w:lineRule="auto"/>
        <w:jc w:val="left"/>
        <w:textAlignment w:val="baseline"/>
        <w:rPr>
          <w:rStyle w:val="76"/>
          <w:rFonts w:hint="eastAsia" w:ascii="宋体" w:hAnsi="宋体" w:eastAsia="宋体" w:cs="宋体"/>
          <w:bCs/>
          <w:color w:val="auto"/>
          <w:szCs w:val="21"/>
          <w:highlight w:val="none"/>
        </w:rPr>
      </w:pPr>
      <w:r>
        <w:rPr>
          <w:rStyle w:val="76"/>
          <w:rFonts w:hint="eastAsia" w:ascii="宋体" w:hAnsi="宋体" w:eastAsia="宋体" w:cs="宋体"/>
          <w:bCs/>
          <w:color w:val="auto"/>
          <w:szCs w:val="21"/>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5CE845D5">
      <w:pPr>
        <w:snapToGrid w:val="0"/>
        <w:spacing w:line="360" w:lineRule="auto"/>
        <w:jc w:val="center"/>
        <w:textAlignment w:val="baseline"/>
        <w:rPr>
          <w:rStyle w:val="76"/>
          <w:rFonts w:hint="eastAsia" w:ascii="宋体" w:hAnsi="宋体" w:eastAsia="宋体" w:cs="宋体"/>
          <w:bCs/>
          <w:color w:val="auto"/>
          <w:szCs w:val="21"/>
          <w:highlight w:val="none"/>
        </w:rPr>
      </w:pPr>
    </w:p>
    <w:p w14:paraId="2746E448">
      <w:pPr>
        <w:snapToGrid w:val="0"/>
        <w:spacing w:line="360" w:lineRule="auto"/>
        <w:ind w:firstLine="4830" w:firstLineChars="2300"/>
        <w:textAlignment w:val="baseline"/>
        <w:rPr>
          <w:rStyle w:val="76"/>
          <w:rFonts w:hint="eastAsia" w:ascii="宋体" w:hAnsi="宋体" w:eastAsia="宋体" w:cs="宋体"/>
          <w:bCs/>
          <w:color w:val="auto"/>
          <w:szCs w:val="21"/>
          <w:highlight w:val="none"/>
        </w:rPr>
      </w:pPr>
      <w:r>
        <w:rPr>
          <w:rStyle w:val="76"/>
          <w:rFonts w:hint="eastAsia" w:ascii="宋体" w:hAnsi="宋体" w:eastAsia="宋体" w:cs="宋体"/>
          <w:bCs/>
          <w:color w:val="auto"/>
          <w:szCs w:val="21"/>
          <w:highlight w:val="none"/>
        </w:rPr>
        <w:t>企业名称（盖单位公章）：</w:t>
      </w:r>
    </w:p>
    <w:p w14:paraId="2512CB6E">
      <w:pPr>
        <w:snapToGrid w:val="0"/>
        <w:spacing w:line="360" w:lineRule="auto"/>
        <w:ind w:firstLine="4830" w:firstLineChars="2300"/>
        <w:textAlignment w:val="baseline"/>
        <w:rPr>
          <w:rStyle w:val="76"/>
          <w:rFonts w:hint="eastAsia" w:ascii="宋体" w:hAnsi="宋体" w:eastAsia="宋体" w:cs="宋体"/>
          <w:bCs/>
          <w:color w:val="auto"/>
          <w:szCs w:val="21"/>
          <w:highlight w:val="none"/>
        </w:rPr>
      </w:pPr>
      <w:r>
        <w:rPr>
          <w:rStyle w:val="76"/>
          <w:rFonts w:hint="eastAsia" w:ascii="宋体" w:hAnsi="宋体" w:eastAsia="宋体" w:cs="宋体"/>
          <w:bCs/>
          <w:color w:val="auto"/>
          <w:szCs w:val="21"/>
          <w:highlight w:val="none"/>
        </w:rPr>
        <w:t>日期：</w:t>
      </w:r>
    </w:p>
    <w:p w14:paraId="57593C32">
      <w:pPr>
        <w:snapToGrid w:val="0"/>
        <w:spacing w:line="360" w:lineRule="auto"/>
        <w:textAlignment w:val="baseline"/>
        <w:rPr>
          <w:rStyle w:val="76"/>
          <w:rFonts w:hint="eastAsia" w:ascii="宋体" w:hAnsi="宋体" w:eastAsia="宋体" w:cs="宋体"/>
          <w:bCs/>
          <w:color w:val="auto"/>
          <w:szCs w:val="21"/>
          <w:highlight w:val="none"/>
        </w:rPr>
      </w:pPr>
    </w:p>
    <w:p w14:paraId="4BDFDA68">
      <w:pPr>
        <w:snapToGrid w:val="0"/>
        <w:spacing w:line="360" w:lineRule="auto"/>
        <w:textAlignment w:val="baseline"/>
        <w:rPr>
          <w:rStyle w:val="76"/>
          <w:rFonts w:hint="eastAsia" w:ascii="宋体" w:hAnsi="宋体" w:eastAsia="宋体" w:cs="宋体"/>
          <w:bCs/>
          <w:color w:val="auto"/>
          <w:szCs w:val="21"/>
          <w:highlight w:val="none"/>
        </w:rPr>
      </w:pPr>
    </w:p>
    <w:p w14:paraId="3B4460E5">
      <w:pPr>
        <w:snapToGrid w:val="0"/>
        <w:spacing w:line="360" w:lineRule="auto"/>
        <w:textAlignment w:val="baseline"/>
        <w:rPr>
          <w:rStyle w:val="76"/>
          <w:rFonts w:hint="eastAsia" w:ascii="宋体" w:hAnsi="宋体" w:eastAsia="宋体" w:cs="宋体"/>
          <w:bCs/>
          <w:color w:val="auto"/>
          <w:szCs w:val="21"/>
          <w:highlight w:val="none"/>
        </w:rPr>
      </w:pPr>
    </w:p>
    <w:p w14:paraId="4BD62B25">
      <w:pPr>
        <w:snapToGrid w:val="0"/>
        <w:spacing w:line="360" w:lineRule="auto"/>
        <w:jc w:val="center"/>
        <w:textAlignment w:val="baseline"/>
        <w:rPr>
          <w:rStyle w:val="76"/>
          <w:rFonts w:hint="eastAsia" w:ascii="宋体" w:hAnsi="宋体" w:eastAsia="宋体" w:cs="宋体"/>
          <w:b/>
          <w:color w:val="auto"/>
          <w:szCs w:val="21"/>
          <w:highlight w:val="none"/>
        </w:rPr>
      </w:pPr>
      <w:r>
        <w:rPr>
          <w:rStyle w:val="76"/>
          <w:rFonts w:hint="eastAsia" w:ascii="宋体" w:hAnsi="宋体" w:eastAsia="宋体" w:cs="宋体"/>
          <w:bCs/>
          <w:color w:val="auto"/>
          <w:szCs w:val="21"/>
          <w:highlight w:val="none"/>
        </w:rPr>
        <w:t>注：从业人员、营业收入、资产总额填报上一年度数据，无上一年度数据的新成立企业可不填报。</w:t>
      </w:r>
    </w:p>
    <w:p w14:paraId="7506FF5F">
      <w:pPr>
        <w:autoSpaceDE w:val="0"/>
        <w:autoSpaceDN w:val="0"/>
        <w:adjustRightInd w:val="0"/>
        <w:spacing w:line="360" w:lineRule="auto"/>
        <w:ind w:firstLine="6505" w:firstLineChars="2700"/>
        <w:jc w:val="left"/>
        <w:rPr>
          <w:rFonts w:hint="eastAsia" w:ascii="宋体" w:hAnsi="宋体" w:eastAsia="宋体" w:cs="宋体"/>
          <w:b/>
          <w:color w:val="auto"/>
          <w:sz w:val="24"/>
          <w:highlight w:val="none"/>
        </w:rPr>
      </w:pPr>
    </w:p>
    <w:p w14:paraId="4A61CE88">
      <w:pPr>
        <w:rPr>
          <w:rStyle w:val="76"/>
          <w:rFonts w:hint="eastAsia" w:ascii="宋体" w:hAnsi="宋体" w:eastAsia="宋体" w:cs="宋体"/>
          <w:b/>
          <w:color w:val="auto"/>
          <w:sz w:val="36"/>
          <w:szCs w:val="36"/>
          <w:highlight w:val="none"/>
        </w:rPr>
      </w:pPr>
      <w:r>
        <w:rPr>
          <w:rStyle w:val="76"/>
          <w:rFonts w:hint="eastAsia" w:ascii="宋体" w:hAnsi="宋体" w:eastAsia="宋体" w:cs="宋体"/>
          <w:b/>
          <w:color w:val="auto"/>
          <w:sz w:val="36"/>
          <w:szCs w:val="36"/>
          <w:highlight w:val="none"/>
        </w:rPr>
        <w:br w:type="page"/>
      </w:r>
    </w:p>
    <w:p w14:paraId="2BF5D8BA">
      <w:pPr>
        <w:adjustRightInd w:val="0"/>
        <w:snapToGrid w:val="0"/>
        <w:spacing w:before="36" w:beforeLines="15" w:line="360" w:lineRule="auto"/>
        <w:jc w:val="center"/>
        <w:outlineLvl w:val="1"/>
        <w:rPr>
          <w:rFonts w:hint="eastAsia" w:ascii="宋体" w:hAnsi="宋体" w:eastAsia="宋体" w:cs="宋体"/>
          <w:b/>
          <w:color w:val="auto"/>
          <w:sz w:val="24"/>
          <w:szCs w:val="24"/>
          <w:highlight w:val="none"/>
          <w:lang w:val="zh-CN" w:eastAsia="zh-CN"/>
        </w:rPr>
      </w:pPr>
      <w:r>
        <w:rPr>
          <w:rFonts w:hint="eastAsia" w:ascii="宋体" w:hAnsi="宋体" w:eastAsia="宋体" w:cs="宋体"/>
          <w:b/>
          <w:color w:val="auto"/>
          <w:sz w:val="24"/>
          <w:szCs w:val="24"/>
          <w:highlight w:val="none"/>
          <w:lang w:val="zh-CN" w:eastAsia="zh-CN"/>
        </w:rPr>
        <w:t>残疾人福利性单位声明函（如是</w:t>
      </w:r>
      <w:bookmarkStart w:id="193" w:name="OLE_LINK22"/>
      <w:r>
        <w:rPr>
          <w:rFonts w:hint="eastAsia" w:ascii="宋体" w:hAnsi="宋体" w:eastAsia="宋体" w:cs="宋体"/>
          <w:b/>
          <w:color w:val="auto"/>
          <w:sz w:val="24"/>
          <w:szCs w:val="24"/>
          <w:highlight w:val="none"/>
          <w:lang w:val="zh-CN" w:eastAsia="zh-CN"/>
        </w:rPr>
        <w:t>，提供</w:t>
      </w:r>
      <w:bookmarkEnd w:id="193"/>
      <w:r>
        <w:rPr>
          <w:rFonts w:hint="eastAsia" w:ascii="宋体" w:hAnsi="宋体" w:eastAsia="宋体" w:cs="宋体"/>
          <w:b/>
          <w:color w:val="auto"/>
          <w:sz w:val="24"/>
          <w:szCs w:val="24"/>
          <w:highlight w:val="none"/>
          <w:lang w:val="zh-CN" w:eastAsia="zh-CN"/>
        </w:rPr>
        <w:t>）</w:t>
      </w:r>
    </w:p>
    <w:p w14:paraId="75307191">
      <w:pPr>
        <w:spacing w:line="360" w:lineRule="auto"/>
        <w:ind w:firstLine="630" w:firstLineChars="3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CC9F541">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本单位对上述声明的真实性负责。如有虚假，将依法承担相应责任。</w:t>
      </w:r>
    </w:p>
    <w:p w14:paraId="65C9D3E6">
      <w:pPr>
        <w:spacing w:line="360" w:lineRule="auto"/>
        <w:jc w:val="left"/>
        <w:rPr>
          <w:rFonts w:hint="eastAsia" w:ascii="宋体" w:hAnsi="宋体" w:eastAsia="宋体" w:cs="宋体"/>
          <w:color w:val="auto"/>
          <w:szCs w:val="21"/>
          <w:highlight w:val="none"/>
        </w:rPr>
      </w:pPr>
    </w:p>
    <w:p w14:paraId="2427EE69">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供应商名称（加盖供应商公章）：</w:t>
      </w:r>
    </w:p>
    <w:p w14:paraId="4A2D82C4">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年月日</w:t>
      </w:r>
    </w:p>
    <w:p w14:paraId="7C58D8FD">
      <w:pPr>
        <w:spacing w:line="360" w:lineRule="auto"/>
        <w:rPr>
          <w:rFonts w:hint="eastAsia" w:ascii="宋体" w:hAnsi="宋体" w:eastAsia="宋体" w:cs="宋体"/>
          <w:color w:val="auto"/>
          <w:highlight w:val="none"/>
        </w:rPr>
      </w:pPr>
    </w:p>
    <w:p w14:paraId="7B9740DC">
      <w:pPr>
        <w:pStyle w:val="2"/>
        <w:spacing w:line="360" w:lineRule="auto"/>
        <w:rPr>
          <w:rFonts w:hint="eastAsia" w:ascii="宋体" w:hAnsi="宋体" w:eastAsia="宋体" w:cs="宋体"/>
          <w:color w:val="auto"/>
          <w:highlight w:val="none"/>
        </w:rPr>
      </w:pPr>
    </w:p>
    <w:p w14:paraId="78935BE2">
      <w:pPr>
        <w:pStyle w:val="2"/>
        <w:spacing w:line="360" w:lineRule="auto"/>
        <w:rPr>
          <w:rFonts w:hint="eastAsia" w:ascii="宋体" w:hAnsi="宋体" w:eastAsia="宋体" w:cs="宋体"/>
          <w:color w:val="auto"/>
          <w:highlight w:val="none"/>
        </w:rPr>
      </w:pPr>
    </w:p>
    <w:p w14:paraId="712E2097">
      <w:pPr>
        <w:pStyle w:val="2"/>
        <w:spacing w:line="360" w:lineRule="auto"/>
        <w:rPr>
          <w:rFonts w:hint="eastAsia" w:ascii="宋体" w:hAnsi="宋体" w:eastAsia="宋体" w:cs="宋体"/>
          <w:color w:val="auto"/>
          <w:highlight w:val="none"/>
        </w:rPr>
      </w:pPr>
    </w:p>
    <w:p w14:paraId="5750DE6D">
      <w:pPr>
        <w:pStyle w:val="2"/>
        <w:spacing w:line="360" w:lineRule="auto"/>
        <w:rPr>
          <w:rFonts w:hint="eastAsia" w:ascii="宋体" w:hAnsi="宋体" w:eastAsia="宋体" w:cs="宋体"/>
          <w:color w:val="auto"/>
          <w:highlight w:val="none"/>
        </w:rPr>
      </w:pPr>
    </w:p>
    <w:p w14:paraId="78548CE2">
      <w:pPr>
        <w:pStyle w:val="2"/>
        <w:spacing w:line="360" w:lineRule="auto"/>
        <w:rPr>
          <w:rFonts w:hint="eastAsia" w:ascii="宋体" w:hAnsi="宋体" w:eastAsia="宋体" w:cs="宋体"/>
          <w:color w:val="auto"/>
          <w:highlight w:val="none"/>
        </w:rPr>
      </w:pPr>
    </w:p>
    <w:p w14:paraId="3F231336">
      <w:pPr>
        <w:pStyle w:val="2"/>
        <w:spacing w:line="360" w:lineRule="auto"/>
        <w:rPr>
          <w:rFonts w:hint="eastAsia" w:ascii="宋体" w:hAnsi="宋体" w:eastAsia="宋体" w:cs="宋体"/>
          <w:color w:val="auto"/>
          <w:highlight w:val="none"/>
        </w:rPr>
      </w:pPr>
    </w:p>
    <w:p w14:paraId="661F53F3">
      <w:pPr>
        <w:pStyle w:val="2"/>
        <w:spacing w:line="360" w:lineRule="auto"/>
        <w:rPr>
          <w:rFonts w:hint="eastAsia" w:ascii="宋体" w:hAnsi="宋体" w:eastAsia="宋体" w:cs="宋体"/>
          <w:color w:val="auto"/>
          <w:highlight w:val="none"/>
        </w:rPr>
      </w:pPr>
    </w:p>
    <w:p w14:paraId="3A88F3B2">
      <w:pPr>
        <w:pStyle w:val="2"/>
        <w:spacing w:line="360" w:lineRule="auto"/>
        <w:rPr>
          <w:rFonts w:hint="eastAsia" w:ascii="宋体" w:hAnsi="宋体" w:eastAsia="宋体" w:cs="宋体"/>
          <w:color w:val="auto"/>
          <w:highlight w:val="none"/>
        </w:rPr>
      </w:pPr>
    </w:p>
    <w:p w14:paraId="65D96CAB">
      <w:pPr>
        <w:pStyle w:val="2"/>
        <w:spacing w:line="360" w:lineRule="auto"/>
        <w:rPr>
          <w:rFonts w:hint="eastAsia" w:ascii="宋体" w:hAnsi="宋体" w:eastAsia="宋体" w:cs="宋体"/>
          <w:color w:val="auto"/>
          <w:highlight w:val="none"/>
        </w:rPr>
      </w:pPr>
    </w:p>
    <w:p w14:paraId="459EF4F8">
      <w:pPr>
        <w:pStyle w:val="2"/>
        <w:spacing w:line="360" w:lineRule="auto"/>
        <w:rPr>
          <w:rFonts w:hint="eastAsia" w:ascii="宋体" w:hAnsi="宋体" w:eastAsia="宋体" w:cs="宋体"/>
          <w:color w:val="auto"/>
          <w:highlight w:val="none"/>
        </w:rPr>
      </w:pPr>
    </w:p>
    <w:p w14:paraId="46B8BFAB">
      <w:pPr>
        <w:pStyle w:val="2"/>
        <w:spacing w:line="360" w:lineRule="auto"/>
        <w:rPr>
          <w:rFonts w:hint="eastAsia" w:ascii="宋体" w:hAnsi="宋体" w:eastAsia="宋体" w:cs="宋体"/>
          <w:color w:val="auto"/>
          <w:highlight w:val="none"/>
        </w:rPr>
      </w:pPr>
    </w:p>
    <w:p w14:paraId="2914AE73">
      <w:pPr>
        <w:pStyle w:val="2"/>
        <w:spacing w:line="360" w:lineRule="auto"/>
        <w:rPr>
          <w:rFonts w:hint="eastAsia" w:ascii="宋体" w:hAnsi="宋体" w:eastAsia="宋体" w:cs="宋体"/>
          <w:color w:val="auto"/>
          <w:highlight w:val="none"/>
        </w:rPr>
      </w:pPr>
    </w:p>
    <w:p w14:paraId="39673FDB">
      <w:pPr>
        <w:pStyle w:val="2"/>
        <w:spacing w:line="360" w:lineRule="auto"/>
        <w:rPr>
          <w:rFonts w:hint="eastAsia" w:ascii="宋体" w:hAnsi="宋体" w:eastAsia="宋体" w:cs="宋体"/>
          <w:color w:val="auto"/>
          <w:highlight w:val="none"/>
        </w:rPr>
      </w:pPr>
    </w:p>
    <w:p w14:paraId="42E34AB6">
      <w:pPr>
        <w:pStyle w:val="2"/>
        <w:spacing w:line="360" w:lineRule="auto"/>
        <w:rPr>
          <w:rFonts w:hint="eastAsia" w:ascii="宋体" w:hAnsi="宋体" w:eastAsia="宋体" w:cs="宋体"/>
          <w:color w:val="auto"/>
          <w:highlight w:val="none"/>
        </w:rPr>
      </w:pPr>
    </w:p>
    <w:p w14:paraId="31F33F62">
      <w:pPr>
        <w:pStyle w:val="2"/>
        <w:spacing w:line="360" w:lineRule="auto"/>
        <w:rPr>
          <w:rFonts w:hint="eastAsia" w:ascii="宋体" w:hAnsi="宋体" w:eastAsia="宋体" w:cs="宋体"/>
          <w:color w:val="auto"/>
          <w:highlight w:val="none"/>
        </w:rPr>
      </w:pPr>
    </w:p>
    <w:p w14:paraId="6469187F">
      <w:pPr>
        <w:pStyle w:val="2"/>
        <w:spacing w:line="360" w:lineRule="auto"/>
        <w:rPr>
          <w:rFonts w:hint="eastAsia" w:ascii="宋体" w:hAnsi="宋体" w:eastAsia="宋体" w:cs="宋体"/>
          <w:color w:val="auto"/>
          <w:highlight w:val="none"/>
        </w:rPr>
      </w:pPr>
    </w:p>
    <w:p w14:paraId="5B8D73F8">
      <w:pPr>
        <w:pStyle w:val="2"/>
        <w:spacing w:line="360" w:lineRule="auto"/>
        <w:rPr>
          <w:rFonts w:hint="eastAsia" w:ascii="宋体" w:hAnsi="宋体" w:eastAsia="宋体" w:cs="宋体"/>
          <w:color w:val="auto"/>
          <w:highlight w:val="none"/>
        </w:rPr>
      </w:pPr>
    </w:p>
    <w:p w14:paraId="1A2F35D2">
      <w:pPr>
        <w:pStyle w:val="2"/>
        <w:spacing w:line="360" w:lineRule="auto"/>
        <w:rPr>
          <w:rFonts w:hint="eastAsia" w:ascii="宋体" w:hAnsi="宋体" w:eastAsia="宋体" w:cs="宋体"/>
          <w:color w:val="auto"/>
          <w:highlight w:val="none"/>
        </w:rPr>
      </w:pPr>
    </w:p>
    <w:p w14:paraId="5823B6EB">
      <w:pPr>
        <w:pStyle w:val="2"/>
        <w:spacing w:line="360" w:lineRule="auto"/>
        <w:rPr>
          <w:rFonts w:hint="eastAsia" w:ascii="宋体" w:hAnsi="宋体" w:eastAsia="宋体" w:cs="宋体"/>
          <w:color w:val="auto"/>
          <w:highlight w:val="none"/>
        </w:rPr>
      </w:pPr>
    </w:p>
    <w:p w14:paraId="7E854B5A">
      <w:pPr>
        <w:rPr>
          <w:rFonts w:hint="eastAsia" w:ascii="宋体" w:hAnsi="宋体" w:eastAsia="宋体" w:cs="宋体"/>
          <w:b/>
          <w:color w:val="auto"/>
          <w:spacing w:val="20"/>
          <w:sz w:val="36"/>
          <w:szCs w:val="36"/>
          <w:highlight w:val="none"/>
        </w:rPr>
      </w:pPr>
      <w:r>
        <w:rPr>
          <w:rFonts w:hint="eastAsia" w:ascii="宋体" w:hAnsi="宋体" w:eastAsia="宋体" w:cs="宋体"/>
          <w:b/>
          <w:color w:val="auto"/>
          <w:spacing w:val="20"/>
          <w:sz w:val="36"/>
          <w:szCs w:val="36"/>
          <w:highlight w:val="none"/>
        </w:rPr>
        <w:br w:type="page"/>
      </w:r>
    </w:p>
    <w:p w14:paraId="4E685E07">
      <w:pPr>
        <w:adjustRightInd w:val="0"/>
        <w:snapToGrid w:val="0"/>
        <w:spacing w:before="36" w:beforeLines="15" w:line="360" w:lineRule="auto"/>
        <w:jc w:val="center"/>
        <w:outlineLvl w:val="1"/>
        <w:rPr>
          <w:rFonts w:hint="eastAsia" w:ascii="宋体" w:hAnsi="宋体" w:eastAsia="宋体" w:cs="宋体"/>
          <w:b/>
          <w:color w:val="auto"/>
          <w:sz w:val="24"/>
          <w:szCs w:val="24"/>
          <w:highlight w:val="none"/>
          <w:lang w:val="zh-CN" w:eastAsia="zh-CN"/>
        </w:rPr>
      </w:pPr>
      <w:r>
        <w:rPr>
          <w:rFonts w:hint="eastAsia" w:ascii="宋体" w:hAnsi="宋体" w:eastAsia="宋体" w:cs="宋体"/>
          <w:b/>
          <w:color w:val="auto"/>
          <w:sz w:val="24"/>
          <w:szCs w:val="24"/>
          <w:highlight w:val="none"/>
          <w:lang w:val="zh-CN" w:eastAsia="zh-CN"/>
        </w:rPr>
        <w:t>监狱企业的证明文件（如是，提供）</w:t>
      </w:r>
    </w:p>
    <w:p w14:paraId="0FD0505F">
      <w:pPr>
        <w:spacing w:line="44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说明：监狱企业参加政府采购活动时，应当提供由省级以上监狱管理局、戒毒管理局（含新疆生产建设兵团）出具的属于监狱企业的证明文件并加盖</w:t>
      </w:r>
      <w:r>
        <w:rPr>
          <w:rFonts w:hint="eastAsia" w:ascii="宋体" w:hAnsi="宋体" w:eastAsia="宋体" w:cs="宋体"/>
          <w:color w:val="auto"/>
          <w:szCs w:val="21"/>
          <w:highlight w:val="none"/>
        </w:rPr>
        <w:t>供应商</w:t>
      </w:r>
      <w:r>
        <w:rPr>
          <w:rFonts w:hint="eastAsia" w:ascii="宋体" w:hAnsi="宋体" w:eastAsia="宋体" w:cs="宋体"/>
          <w:bCs/>
          <w:color w:val="auto"/>
          <w:szCs w:val="21"/>
          <w:highlight w:val="none"/>
        </w:rPr>
        <w:t>公章。</w:t>
      </w:r>
    </w:p>
    <w:p w14:paraId="091A0CDA">
      <w:pPr>
        <w:pStyle w:val="16"/>
        <w:rPr>
          <w:rFonts w:hint="eastAsia" w:ascii="宋体" w:hAnsi="宋体" w:eastAsia="宋体" w:cs="宋体"/>
          <w:bCs/>
          <w:color w:val="auto"/>
          <w:sz w:val="21"/>
          <w:szCs w:val="21"/>
          <w:highlight w:val="none"/>
        </w:rPr>
      </w:pPr>
    </w:p>
    <w:p w14:paraId="17E4B2F0">
      <w:pPr>
        <w:rPr>
          <w:rFonts w:hint="eastAsia" w:ascii="宋体" w:hAnsi="宋体" w:eastAsia="宋体" w:cs="宋体"/>
          <w:bCs/>
          <w:color w:val="auto"/>
          <w:szCs w:val="21"/>
          <w:highlight w:val="none"/>
        </w:rPr>
      </w:pPr>
    </w:p>
    <w:p w14:paraId="13B5B4CD">
      <w:pPr>
        <w:pStyle w:val="16"/>
        <w:rPr>
          <w:rFonts w:hint="eastAsia" w:ascii="宋体" w:hAnsi="宋体" w:eastAsia="宋体" w:cs="宋体"/>
          <w:bCs/>
          <w:color w:val="auto"/>
          <w:sz w:val="21"/>
          <w:szCs w:val="21"/>
          <w:highlight w:val="none"/>
        </w:rPr>
      </w:pPr>
    </w:p>
    <w:p w14:paraId="64ECB4D4">
      <w:pPr>
        <w:rPr>
          <w:rFonts w:hint="eastAsia" w:ascii="宋体" w:hAnsi="宋体" w:eastAsia="宋体" w:cs="宋体"/>
          <w:bCs/>
          <w:color w:val="auto"/>
          <w:szCs w:val="21"/>
          <w:highlight w:val="none"/>
        </w:rPr>
      </w:pPr>
    </w:p>
    <w:p w14:paraId="37C6F4FE">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供应商名称（加盖供应商公章）：</w:t>
      </w:r>
    </w:p>
    <w:p w14:paraId="0C3880FD">
      <w:pPr>
        <w:jc w:val="left"/>
        <w:rPr>
          <w:rFonts w:hint="eastAsia" w:ascii="宋体" w:hAnsi="宋体" w:eastAsia="宋体" w:cs="宋体"/>
          <w:color w:val="auto"/>
          <w:sz w:val="24"/>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年月日</w:t>
      </w:r>
    </w:p>
    <w:p w14:paraId="159C33AE">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6D9E76F6">
      <w:pPr>
        <w:autoSpaceDE w:val="0"/>
        <w:autoSpaceDN w:val="0"/>
        <w:adjustRightInd w:val="0"/>
        <w:jc w:val="left"/>
        <w:outlineLvl w:val="1"/>
        <w:rPr>
          <w:rFonts w:hint="eastAsia" w:ascii="宋体" w:hAnsi="宋体" w:eastAsia="宋体" w:cs="宋体"/>
          <w:b/>
          <w:color w:val="auto"/>
          <w:sz w:val="36"/>
          <w:highlight w:val="none"/>
        </w:rPr>
      </w:pPr>
      <w:r>
        <w:rPr>
          <w:rFonts w:hint="eastAsia" w:ascii="宋体" w:hAnsi="宋体" w:eastAsia="宋体" w:cs="宋体"/>
          <w:b/>
          <w:color w:val="auto"/>
          <w:sz w:val="24"/>
          <w:szCs w:val="24"/>
          <w:highlight w:val="none"/>
        </w:rPr>
        <w:t>格式</w:t>
      </w:r>
      <w:r>
        <w:rPr>
          <w:rFonts w:hint="eastAsia" w:ascii="宋体" w:hAnsi="宋体" w:eastAsia="宋体" w:cs="宋体"/>
          <w:b/>
          <w:color w:val="auto"/>
          <w:sz w:val="24"/>
          <w:szCs w:val="24"/>
          <w:highlight w:val="none"/>
          <w:lang w:val="en-US" w:eastAsia="zh-CN"/>
        </w:rPr>
        <w:t xml:space="preserve">十五 </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8"/>
          <w:highlight w:val="none"/>
        </w:rPr>
        <w:t>商务条款偏离表</w:t>
      </w:r>
    </w:p>
    <w:p w14:paraId="35781208">
      <w:pPr>
        <w:spacing w:line="360" w:lineRule="auto"/>
        <w:jc w:val="center"/>
        <w:outlineLvl w:val="9"/>
        <w:rPr>
          <w:rFonts w:hint="eastAsia" w:ascii="宋体" w:hAnsi="宋体" w:eastAsia="宋体" w:cs="宋体"/>
          <w:b/>
          <w:color w:val="auto"/>
          <w:sz w:val="24"/>
          <w:szCs w:val="28"/>
          <w:highlight w:val="none"/>
        </w:rPr>
      </w:pPr>
      <w:r>
        <w:rPr>
          <w:rFonts w:hint="eastAsia" w:ascii="宋体" w:hAnsi="宋体" w:eastAsia="宋体" w:cs="宋体"/>
          <w:b/>
          <w:color w:val="auto"/>
          <w:sz w:val="24"/>
          <w:szCs w:val="28"/>
          <w:highlight w:val="none"/>
        </w:rPr>
        <w:t>商务条款偏离表（格式）</w:t>
      </w:r>
    </w:p>
    <w:p w14:paraId="72F34189">
      <w:pPr>
        <w:pStyle w:val="2"/>
        <w:spacing w:line="360" w:lineRule="auto"/>
        <w:ind w:firstLine="422" w:firstLineChars="200"/>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项目名称：</w:t>
      </w:r>
    </w:p>
    <w:p w14:paraId="5F5EFBC1">
      <w:pPr>
        <w:pStyle w:val="2"/>
        <w:spacing w:line="360" w:lineRule="auto"/>
        <w:ind w:firstLine="422" w:firstLineChars="200"/>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项目编号：</w:t>
      </w:r>
    </w:p>
    <w:p w14:paraId="5F89A537">
      <w:pPr>
        <w:pStyle w:val="70"/>
        <w:outlineLvl w:val="9"/>
        <w:rPr>
          <w:rFonts w:hint="eastAsia" w:ascii="宋体" w:hAnsi="宋体" w:eastAsia="宋体" w:cs="宋体"/>
          <w:color w:val="auto"/>
          <w:highlight w:val="none"/>
        </w:rPr>
      </w:pPr>
    </w:p>
    <w:tbl>
      <w:tblPr>
        <w:tblStyle w:val="25"/>
        <w:tblW w:w="95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1200"/>
        <w:gridCol w:w="2998"/>
        <w:gridCol w:w="2912"/>
        <w:gridCol w:w="888"/>
        <w:gridCol w:w="748"/>
      </w:tblGrid>
      <w:tr w14:paraId="20C2A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8" w:type="dxa"/>
            <w:noWrap w:val="0"/>
            <w:vAlign w:val="center"/>
          </w:tcPr>
          <w:p w14:paraId="61E61125">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200" w:type="dxa"/>
            <w:noWrap w:val="0"/>
            <w:vAlign w:val="center"/>
          </w:tcPr>
          <w:p w14:paraId="159C8A6F">
            <w:pPr>
              <w:spacing w:line="360" w:lineRule="auto"/>
              <w:jc w:val="center"/>
              <w:outlineLvl w:val="9"/>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名称</w:t>
            </w:r>
            <w:r>
              <w:rPr>
                <w:rFonts w:hint="eastAsia" w:ascii="宋体" w:hAnsi="宋体" w:eastAsia="宋体" w:cs="宋体"/>
                <w:color w:val="auto"/>
                <w:sz w:val="24"/>
                <w:highlight w:val="none"/>
                <w:lang w:val="en-US" w:eastAsia="zh-CN"/>
              </w:rPr>
              <w:t>及项目编码</w:t>
            </w:r>
          </w:p>
        </w:tc>
        <w:tc>
          <w:tcPr>
            <w:tcW w:w="2998" w:type="dxa"/>
            <w:noWrap w:val="0"/>
            <w:vAlign w:val="center"/>
          </w:tcPr>
          <w:p w14:paraId="04874D5A">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招标文件规定的商务条款</w:t>
            </w:r>
          </w:p>
        </w:tc>
        <w:tc>
          <w:tcPr>
            <w:tcW w:w="2912" w:type="dxa"/>
            <w:noWrap w:val="0"/>
            <w:vAlign w:val="center"/>
          </w:tcPr>
          <w:p w14:paraId="0BB12661">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投标文件对应的商务条款</w:t>
            </w:r>
          </w:p>
        </w:tc>
        <w:tc>
          <w:tcPr>
            <w:tcW w:w="888" w:type="dxa"/>
            <w:noWrap w:val="0"/>
            <w:vAlign w:val="center"/>
          </w:tcPr>
          <w:p w14:paraId="730F5C71">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是否偏离</w:t>
            </w:r>
          </w:p>
        </w:tc>
        <w:tc>
          <w:tcPr>
            <w:tcW w:w="748" w:type="dxa"/>
            <w:noWrap w:val="0"/>
            <w:vAlign w:val="center"/>
          </w:tcPr>
          <w:p w14:paraId="649F050D">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1CF3B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8" w:type="dxa"/>
            <w:noWrap w:val="0"/>
            <w:vAlign w:val="top"/>
          </w:tcPr>
          <w:p w14:paraId="4A19D630">
            <w:pPr>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200" w:type="dxa"/>
            <w:noWrap w:val="0"/>
            <w:vAlign w:val="top"/>
          </w:tcPr>
          <w:p w14:paraId="29D547A9">
            <w:pPr>
              <w:spacing w:line="360" w:lineRule="auto"/>
              <w:outlineLvl w:val="9"/>
              <w:rPr>
                <w:rFonts w:hint="eastAsia" w:ascii="宋体" w:hAnsi="宋体" w:eastAsia="宋体" w:cs="宋体"/>
                <w:color w:val="auto"/>
                <w:sz w:val="24"/>
                <w:highlight w:val="none"/>
              </w:rPr>
            </w:pPr>
          </w:p>
        </w:tc>
        <w:tc>
          <w:tcPr>
            <w:tcW w:w="2998" w:type="dxa"/>
            <w:noWrap w:val="0"/>
            <w:vAlign w:val="top"/>
          </w:tcPr>
          <w:p w14:paraId="71917BA9">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2912" w:type="dxa"/>
            <w:noWrap w:val="0"/>
            <w:vAlign w:val="top"/>
          </w:tcPr>
          <w:p w14:paraId="2D5B9F17">
            <w:pPr>
              <w:spacing w:line="360" w:lineRule="auto"/>
              <w:outlineLvl w:val="9"/>
              <w:rPr>
                <w:rFonts w:hint="eastAsia" w:ascii="宋体" w:hAnsi="宋体" w:eastAsia="宋体" w:cs="宋体"/>
                <w:color w:val="auto"/>
                <w:sz w:val="24"/>
                <w:highlight w:val="none"/>
              </w:rPr>
            </w:pPr>
          </w:p>
        </w:tc>
        <w:tc>
          <w:tcPr>
            <w:tcW w:w="888" w:type="dxa"/>
            <w:noWrap w:val="0"/>
            <w:vAlign w:val="top"/>
          </w:tcPr>
          <w:p w14:paraId="4A1CA0A5">
            <w:pPr>
              <w:spacing w:line="360" w:lineRule="auto"/>
              <w:outlineLvl w:val="9"/>
              <w:rPr>
                <w:rFonts w:hint="eastAsia" w:ascii="宋体" w:hAnsi="宋体" w:eastAsia="宋体" w:cs="宋体"/>
                <w:color w:val="auto"/>
                <w:sz w:val="24"/>
                <w:highlight w:val="none"/>
              </w:rPr>
            </w:pPr>
          </w:p>
        </w:tc>
        <w:tc>
          <w:tcPr>
            <w:tcW w:w="748" w:type="dxa"/>
            <w:noWrap w:val="0"/>
            <w:vAlign w:val="top"/>
          </w:tcPr>
          <w:p w14:paraId="5672B23D">
            <w:pPr>
              <w:spacing w:line="360" w:lineRule="auto"/>
              <w:outlineLvl w:val="9"/>
              <w:rPr>
                <w:rFonts w:hint="eastAsia" w:ascii="宋体" w:hAnsi="宋体" w:eastAsia="宋体" w:cs="宋体"/>
                <w:color w:val="auto"/>
                <w:sz w:val="24"/>
                <w:highlight w:val="none"/>
              </w:rPr>
            </w:pPr>
          </w:p>
        </w:tc>
      </w:tr>
      <w:tr w14:paraId="6E5D6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8" w:type="dxa"/>
            <w:noWrap w:val="0"/>
            <w:vAlign w:val="top"/>
          </w:tcPr>
          <w:p w14:paraId="0A610008">
            <w:pPr>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200" w:type="dxa"/>
            <w:noWrap w:val="0"/>
            <w:vAlign w:val="top"/>
          </w:tcPr>
          <w:p w14:paraId="438CC570">
            <w:pPr>
              <w:spacing w:line="360" w:lineRule="auto"/>
              <w:outlineLvl w:val="9"/>
              <w:rPr>
                <w:rFonts w:hint="eastAsia" w:ascii="宋体" w:hAnsi="宋体" w:eastAsia="宋体" w:cs="宋体"/>
                <w:color w:val="auto"/>
                <w:sz w:val="24"/>
                <w:highlight w:val="none"/>
              </w:rPr>
            </w:pPr>
          </w:p>
        </w:tc>
        <w:tc>
          <w:tcPr>
            <w:tcW w:w="2998" w:type="dxa"/>
            <w:noWrap w:val="0"/>
            <w:vAlign w:val="top"/>
          </w:tcPr>
          <w:p w14:paraId="276A04EA">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2912" w:type="dxa"/>
            <w:noWrap w:val="0"/>
            <w:vAlign w:val="top"/>
          </w:tcPr>
          <w:p w14:paraId="25930F32">
            <w:pPr>
              <w:spacing w:line="360" w:lineRule="auto"/>
              <w:outlineLvl w:val="9"/>
              <w:rPr>
                <w:rFonts w:hint="eastAsia" w:ascii="宋体" w:hAnsi="宋体" w:eastAsia="宋体" w:cs="宋体"/>
                <w:color w:val="auto"/>
                <w:sz w:val="24"/>
                <w:highlight w:val="none"/>
              </w:rPr>
            </w:pPr>
          </w:p>
        </w:tc>
        <w:tc>
          <w:tcPr>
            <w:tcW w:w="888" w:type="dxa"/>
            <w:noWrap w:val="0"/>
            <w:vAlign w:val="top"/>
          </w:tcPr>
          <w:p w14:paraId="5C5C97E8">
            <w:pPr>
              <w:spacing w:line="360" w:lineRule="auto"/>
              <w:outlineLvl w:val="9"/>
              <w:rPr>
                <w:rFonts w:hint="eastAsia" w:ascii="宋体" w:hAnsi="宋体" w:eastAsia="宋体" w:cs="宋体"/>
                <w:color w:val="auto"/>
                <w:sz w:val="24"/>
                <w:highlight w:val="none"/>
              </w:rPr>
            </w:pPr>
          </w:p>
        </w:tc>
        <w:tc>
          <w:tcPr>
            <w:tcW w:w="748" w:type="dxa"/>
            <w:noWrap w:val="0"/>
            <w:vAlign w:val="top"/>
          </w:tcPr>
          <w:p w14:paraId="196FE349">
            <w:pPr>
              <w:spacing w:line="360" w:lineRule="auto"/>
              <w:outlineLvl w:val="9"/>
              <w:rPr>
                <w:rFonts w:hint="eastAsia" w:ascii="宋体" w:hAnsi="宋体" w:eastAsia="宋体" w:cs="宋体"/>
                <w:color w:val="auto"/>
                <w:sz w:val="24"/>
                <w:highlight w:val="none"/>
              </w:rPr>
            </w:pPr>
          </w:p>
        </w:tc>
      </w:tr>
      <w:tr w14:paraId="53155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8" w:type="dxa"/>
            <w:noWrap w:val="0"/>
            <w:vAlign w:val="top"/>
          </w:tcPr>
          <w:p w14:paraId="173A4C91">
            <w:pPr>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200" w:type="dxa"/>
            <w:noWrap w:val="0"/>
            <w:vAlign w:val="top"/>
          </w:tcPr>
          <w:p w14:paraId="2F3E31EB">
            <w:pPr>
              <w:spacing w:line="360" w:lineRule="auto"/>
              <w:outlineLvl w:val="9"/>
              <w:rPr>
                <w:rFonts w:hint="eastAsia" w:ascii="宋体" w:hAnsi="宋体" w:eastAsia="宋体" w:cs="宋体"/>
                <w:color w:val="auto"/>
                <w:sz w:val="24"/>
                <w:highlight w:val="none"/>
              </w:rPr>
            </w:pPr>
          </w:p>
        </w:tc>
        <w:tc>
          <w:tcPr>
            <w:tcW w:w="2998" w:type="dxa"/>
            <w:noWrap w:val="0"/>
            <w:vAlign w:val="top"/>
          </w:tcPr>
          <w:p w14:paraId="1B59549C">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招标文件的其他商务条款</w:t>
            </w:r>
          </w:p>
        </w:tc>
        <w:tc>
          <w:tcPr>
            <w:tcW w:w="2912" w:type="dxa"/>
            <w:noWrap w:val="0"/>
            <w:vAlign w:val="top"/>
          </w:tcPr>
          <w:p w14:paraId="72744203">
            <w:pPr>
              <w:spacing w:line="360" w:lineRule="auto"/>
              <w:outlineLvl w:val="9"/>
              <w:rPr>
                <w:rFonts w:hint="eastAsia" w:ascii="宋体" w:hAnsi="宋体" w:eastAsia="宋体" w:cs="宋体"/>
                <w:color w:val="auto"/>
                <w:sz w:val="24"/>
                <w:highlight w:val="none"/>
              </w:rPr>
            </w:pPr>
          </w:p>
        </w:tc>
        <w:tc>
          <w:tcPr>
            <w:tcW w:w="888" w:type="dxa"/>
            <w:noWrap w:val="0"/>
            <w:vAlign w:val="top"/>
          </w:tcPr>
          <w:p w14:paraId="3CE324F3">
            <w:pPr>
              <w:spacing w:line="360" w:lineRule="auto"/>
              <w:outlineLvl w:val="9"/>
              <w:rPr>
                <w:rFonts w:hint="eastAsia" w:ascii="宋体" w:hAnsi="宋体" w:eastAsia="宋体" w:cs="宋体"/>
                <w:color w:val="auto"/>
                <w:sz w:val="24"/>
                <w:highlight w:val="none"/>
              </w:rPr>
            </w:pPr>
          </w:p>
        </w:tc>
        <w:tc>
          <w:tcPr>
            <w:tcW w:w="748" w:type="dxa"/>
            <w:noWrap w:val="0"/>
            <w:vAlign w:val="top"/>
          </w:tcPr>
          <w:p w14:paraId="64439A1D">
            <w:pPr>
              <w:spacing w:line="360" w:lineRule="auto"/>
              <w:outlineLvl w:val="9"/>
              <w:rPr>
                <w:rFonts w:hint="eastAsia" w:ascii="宋体" w:hAnsi="宋体" w:eastAsia="宋体" w:cs="宋体"/>
                <w:color w:val="auto"/>
                <w:sz w:val="24"/>
                <w:highlight w:val="none"/>
              </w:rPr>
            </w:pPr>
          </w:p>
        </w:tc>
      </w:tr>
    </w:tbl>
    <w:p w14:paraId="16C5C74F">
      <w:pPr>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3053A7EC">
      <w:pPr>
        <w:pStyle w:val="10"/>
        <w:spacing w:line="360" w:lineRule="auto"/>
        <w:ind w:firstLine="57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1.商务条款均应根据投标文件对招标文件的偏离情况相对应地填列。</w:t>
      </w:r>
    </w:p>
    <w:p w14:paraId="0CD81982">
      <w:pPr>
        <w:pStyle w:val="10"/>
        <w:spacing w:line="360" w:lineRule="auto"/>
        <w:ind w:firstLine="570"/>
        <w:outlineLvl w:val="9"/>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rPr>
        <w:t>2.商务条款主要填列</w:t>
      </w:r>
      <w:r>
        <w:rPr>
          <w:rFonts w:hint="eastAsia" w:hAnsi="宋体" w:eastAsia="宋体" w:cs="宋体"/>
          <w:b w:val="0"/>
          <w:bCs w:val="0"/>
          <w:color w:val="auto"/>
          <w:sz w:val="24"/>
          <w:highlight w:val="none"/>
          <w:lang w:val="en-US" w:eastAsia="zh-CN"/>
        </w:rPr>
        <w:t>项目</w:t>
      </w:r>
      <w:r>
        <w:rPr>
          <w:rFonts w:hint="eastAsia" w:ascii="宋体" w:hAnsi="宋体" w:eastAsia="宋体" w:cs="宋体"/>
          <w:b w:val="0"/>
          <w:bCs w:val="0"/>
          <w:color w:val="auto"/>
          <w:sz w:val="24"/>
          <w:highlight w:val="none"/>
        </w:rPr>
        <w:t>地点</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rPr>
        <w:t>合同履行期限</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rPr>
        <w:t>质量</w:t>
      </w:r>
      <w:r>
        <w:rPr>
          <w:rFonts w:hint="eastAsia" w:hAnsi="宋体" w:eastAsia="宋体" w:cs="宋体"/>
          <w:b w:val="0"/>
          <w:bCs w:val="0"/>
          <w:color w:val="auto"/>
          <w:sz w:val="24"/>
          <w:highlight w:val="none"/>
          <w:lang w:val="en-US" w:eastAsia="zh-CN"/>
        </w:rPr>
        <w:t>标准</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rPr>
        <w:t>付款方式等投标须知前附表加注*号的重要条款方面的偏离情况，但不限于以上条款。其他非*号的商务条</w:t>
      </w:r>
      <w:r>
        <w:rPr>
          <w:rFonts w:hint="eastAsia" w:ascii="宋体" w:hAnsi="宋体" w:eastAsia="宋体" w:cs="宋体"/>
          <w:color w:val="auto"/>
          <w:sz w:val="24"/>
          <w:highlight w:val="none"/>
        </w:rPr>
        <w:t>款如未填列，视为</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实质性响应招标文件条款。</w:t>
      </w:r>
    </w:p>
    <w:p w14:paraId="0AFBCF35">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3.表内如果填列不全，可另外附页说明并按规定签字和加盖公章。             </w:t>
      </w:r>
    </w:p>
    <w:p w14:paraId="13EEFC5E">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4.采购人要求</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认真填写本表。</w:t>
      </w:r>
    </w:p>
    <w:p w14:paraId="37C95AD0">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5.此表可根据需要自行拉长加宽。</w:t>
      </w:r>
    </w:p>
    <w:p w14:paraId="0BF106DA">
      <w:pPr>
        <w:spacing w:line="360" w:lineRule="auto"/>
        <w:ind w:firstLine="480" w:firstLineChars="200"/>
        <w:outlineLvl w:val="9"/>
        <w:rPr>
          <w:rFonts w:hint="eastAsia" w:ascii="宋体" w:hAnsi="宋体" w:eastAsia="宋体" w:cs="宋体"/>
          <w:color w:val="auto"/>
          <w:sz w:val="24"/>
          <w:highlight w:val="none"/>
        </w:rPr>
      </w:pPr>
    </w:p>
    <w:p w14:paraId="4FFB8031">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供应商名称</w:t>
      </w:r>
      <w:r>
        <w:rPr>
          <w:rFonts w:hint="eastAsia" w:ascii="宋体" w:hAnsi="宋体" w:eastAsia="宋体" w:cs="宋体"/>
          <w:color w:val="auto"/>
          <w:sz w:val="24"/>
          <w:highlight w:val="none"/>
        </w:rPr>
        <w:t>（</w:t>
      </w:r>
      <w:r>
        <w:rPr>
          <w:rFonts w:hint="eastAsia" w:ascii="宋体" w:hAnsi="宋体" w:eastAsia="宋体" w:cs="宋体"/>
          <w:color w:val="auto"/>
          <w:szCs w:val="21"/>
          <w:highlight w:val="none"/>
        </w:rPr>
        <w:t>加盖供应商公章</w:t>
      </w:r>
      <w:r>
        <w:rPr>
          <w:rFonts w:hint="eastAsia" w:ascii="宋体" w:hAnsi="宋体" w:eastAsia="宋体" w:cs="宋体"/>
          <w:color w:val="auto"/>
          <w:sz w:val="24"/>
          <w:highlight w:val="none"/>
        </w:rPr>
        <w:t>）：</w:t>
      </w:r>
    </w:p>
    <w:p w14:paraId="6B35BB4D">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法定代表人或授权代理人（签字）：</w:t>
      </w:r>
    </w:p>
    <w:p w14:paraId="5D1AF4A6">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时间：     年  月  日</w:t>
      </w:r>
    </w:p>
    <w:p w14:paraId="718BE078">
      <w:pPr>
        <w:rPr>
          <w:rFonts w:hint="eastAsia" w:ascii="宋体" w:hAnsi="宋体" w:eastAsia="宋体" w:cs="宋体"/>
          <w:b/>
          <w:color w:val="auto"/>
          <w:sz w:val="24"/>
          <w:szCs w:val="24"/>
          <w:highlight w:val="none"/>
        </w:rPr>
      </w:pPr>
      <w:bookmarkStart w:id="194" w:name="_Toc22747"/>
      <w:bookmarkStart w:id="195" w:name="_Toc28520"/>
      <w:r>
        <w:rPr>
          <w:rFonts w:hint="eastAsia" w:ascii="宋体" w:hAnsi="宋体" w:eastAsia="宋体" w:cs="宋体"/>
          <w:b/>
          <w:color w:val="auto"/>
          <w:sz w:val="24"/>
          <w:szCs w:val="24"/>
          <w:highlight w:val="none"/>
        </w:rPr>
        <w:br w:type="page"/>
      </w:r>
    </w:p>
    <w:p w14:paraId="0E2AB6E2">
      <w:pPr>
        <w:pStyle w:val="2"/>
        <w:rPr>
          <w:rFonts w:hint="eastAsia" w:ascii="宋体" w:hAnsi="宋体" w:eastAsia="宋体" w:cs="宋体"/>
          <w:b/>
          <w:color w:val="auto"/>
          <w:sz w:val="24"/>
          <w:szCs w:val="24"/>
          <w:highlight w:val="none"/>
        </w:rPr>
        <w:sectPr>
          <w:headerReference r:id="rId8" w:type="default"/>
          <w:footerReference r:id="rId9"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4DD793BD">
      <w:pPr>
        <w:spacing w:line="360" w:lineRule="auto"/>
        <w:jc w:val="left"/>
        <w:outlineLvl w:val="1"/>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t>格式十</w:t>
      </w:r>
      <w:r>
        <w:rPr>
          <w:rFonts w:hint="eastAsia" w:ascii="宋体" w:hAnsi="宋体" w:eastAsia="宋体" w:cs="宋体"/>
          <w:b/>
          <w:color w:val="auto"/>
          <w:sz w:val="24"/>
          <w:szCs w:val="24"/>
          <w:highlight w:val="none"/>
          <w:lang w:val="en-US" w:eastAsia="zh-CN"/>
        </w:rPr>
        <w:t xml:space="preserve">六  </w:t>
      </w:r>
      <w:r>
        <w:rPr>
          <w:rFonts w:hint="eastAsia" w:ascii="宋体" w:hAnsi="宋体" w:eastAsia="宋体" w:cs="宋体"/>
          <w:b/>
          <w:color w:val="auto"/>
          <w:sz w:val="24"/>
          <w:szCs w:val="24"/>
          <w:highlight w:val="none"/>
          <w:lang w:eastAsia="zh-CN"/>
        </w:rPr>
        <w:t>技术偏离及报价明细表</w:t>
      </w:r>
    </w:p>
    <w:p w14:paraId="7BF0FBF3">
      <w:pPr>
        <w:spacing w:line="360" w:lineRule="auto"/>
        <w:jc w:val="center"/>
        <w:outlineLvl w:val="9"/>
        <w:rPr>
          <w:rFonts w:hint="eastAsia" w:ascii="宋体" w:hAnsi="宋体" w:eastAsia="宋体" w:cs="宋体"/>
          <w:b/>
          <w:color w:val="auto"/>
          <w:sz w:val="24"/>
          <w:szCs w:val="28"/>
          <w:highlight w:val="none"/>
        </w:rPr>
      </w:pPr>
      <w:r>
        <w:rPr>
          <w:rFonts w:hint="eastAsia" w:ascii="宋体" w:hAnsi="宋体" w:eastAsia="宋体" w:cs="宋体"/>
          <w:b/>
          <w:color w:val="auto"/>
          <w:sz w:val="24"/>
          <w:szCs w:val="28"/>
          <w:highlight w:val="none"/>
          <w:lang w:eastAsia="zh-CN"/>
        </w:rPr>
        <w:t>技术偏离及报价明细表</w:t>
      </w:r>
      <w:r>
        <w:rPr>
          <w:rFonts w:hint="eastAsia" w:ascii="宋体" w:hAnsi="宋体" w:eastAsia="宋体" w:cs="宋体"/>
          <w:b/>
          <w:color w:val="auto"/>
          <w:sz w:val="24"/>
          <w:szCs w:val="28"/>
          <w:highlight w:val="none"/>
        </w:rPr>
        <w:t>（格式）</w:t>
      </w:r>
    </w:p>
    <w:p w14:paraId="4BD1D06E">
      <w:pPr>
        <w:pStyle w:val="2"/>
        <w:spacing w:line="360" w:lineRule="auto"/>
        <w:ind w:firstLine="482" w:firstLineChars="200"/>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项目名称：</w:t>
      </w:r>
    </w:p>
    <w:p w14:paraId="7CAF6D53">
      <w:pPr>
        <w:pStyle w:val="2"/>
        <w:spacing w:line="360" w:lineRule="auto"/>
        <w:ind w:firstLine="482" w:firstLineChars="200"/>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项目编号：</w:t>
      </w:r>
    </w:p>
    <w:tbl>
      <w:tblPr>
        <w:tblStyle w:val="25"/>
        <w:tblW w:w="14294" w:type="dxa"/>
        <w:tblInd w:w="-1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1718"/>
        <w:gridCol w:w="2369"/>
        <w:gridCol w:w="2422"/>
        <w:gridCol w:w="850"/>
        <w:gridCol w:w="1519"/>
        <w:gridCol w:w="1198"/>
        <w:gridCol w:w="1250"/>
        <w:gridCol w:w="1041"/>
        <w:gridCol w:w="936"/>
      </w:tblGrid>
      <w:tr w14:paraId="03937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1" w:hRule="atLeast"/>
        </w:trPr>
        <w:tc>
          <w:tcPr>
            <w:tcW w:w="991" w:type="dxa"/>
            <w:noWrap w:val="0"/>
            <w:vAlign w:val="center"/>
          </w:tcPr>
          <w:p w14:paraId="1AA7AD95">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718" w:type="dxa"/>
            <w:noWrap w:val="0"/>
            <w:vAlign w:val="center"/>
          </w:tcPr>
          <w:p w14:paraId="362FF83D">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r>
              <w:rPr>
                <w:rFonts w:hint="eastAsia" w:ascii="宋体" w:hAnsi="宋体" w:eastAsia="宋体" w:cs="宋体"/>
                <w:color w:val="auto"/>
                <w:sz w:val="24"/>
                <w:highlight w:val="none"/>
                <w:lang w:val="en-US" w:eastAsia="zh-CN"/>
              </w:rPr>
              <w:t>及项目编码</w:t>
            </w:r>
          </w:p>
        </w:tc>
        <w:tc>
          <w:tcPr>
            <w:tcW w:w="2369" w:type="dxa"/>
            <w:noWrap w:val="0"/>
            <w:vAlign w:val="center"/>
          </w:tcPr>
          <w:p w14:paraId="2DE74C41">
            <w:pPr>
              <w:spacing w:line="360" w:lineRule="auto"/>
              <w:jc w:val="center"/>
              <w:outlineLvl w:val="9"/>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招标文件规定的</w:t>
            </w:r>
            <w:r>
              <w:rPr>
                <w:rFonts w:hint="eastAsia" w:ascii="宋体" w:hAnsi="宋体" w:eastAsia="宋体" w:cs="宋体"/>
                <w:color w:val="auto"/>
                <w:sz w:val="24"/>
                <w:highlight w:val="none"/>
                <w:lang w:val="en-US" w:eastAsia="zh-CN"/>
              </w:rPr>
              <w:t>技术要求</w:t>
            </w:r>
          </w:p>
        </w:tc>
        <w:tc>
          <w:tcPr>
            <w:tcW w:w="2422" w:type="dxa"/>
            <w:noWrap w:val="0"/>
            <w:vAlign w:val="center"/>
          </w:tcPr>
          <w:p w14:paraId="7C1E63B3">
            <w:pPr>
              <w:spacing w:line="360" w:lineRule="auto"/>
              <w:jc w:val="center"/>
              <w:outlineLvl w:val="9"/>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投标文件对应的</w:t>
            </w:r>
            <w:r>
              <w:rPr>
                <w:rFonts w:hint="eastAsia" w:ascii="宋体" w:hAnsi="宋体" w:eastAsia="宋体" w:cs="宋体"/>
                <w:color w:val="auto"/>
                <w:sz w:val="24"/>
                <w:highlight w:val="none"/>
                <w:lang w:val="en-US" w:eastAsia="zh-CN"/>
              </w:rPr>
              <w:t>技术要求</w:t>
            </w:r>
          </w:p>
        </w:tc>
        <w:tc>
          <w:tcPr>
            <w:tcW w:w="850" w:type="dxa"/>
            <w:noWrap w:val="0"/>
            <w:vAlign w:val="center"/>
          </w:tcPr>
          <w:p w14:paraId="2B5F3261">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是否偏离</w:t>
            </w:r>
          </w:p>
        </w:tc>
        <w:tc>
          <w:tcPr>
            <w:tcW w:w="1519" w:type="dxa"/>
            <w:noWrap w:val="0"/>
            <w:vAlign w:val="center"/>
          </w:tcPr>
          <w:p w14:paraId="44A08595">
            <w:pPr>
              <w:spacing w:line="360" w:lineRule="auto"/>
              <w:jc w:val="center"/>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数量及单位</w:t>
            </w:r>
          </w:p>
        </w:tc>
        <w:tc>
          <w:tcPr>
            <w:tcW w:w="1198" w:type="dxa"/>
            <w:noWrap w:val="0"/>
            <w:vAlign w:val="center"/>
          </w:tcPr>
          <w:p w14:paraId="32834AC3">
            <w:pPr>
              <w:spacing w:line="360" w:lineRule="auto"/>
              <w:jc w:val="center"/>
              <w:outlineLvl w:val="9"/>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单价（元）</w:t>
            </w:r>
          </w:p>
        </w:tc>
        <w:tc>
          <w:tcPr>
            <w:tcW w:w="1250" w:type="dxa"/>
            <w:noWrap w:val="0"/>
            <w:vAlign w:val="center"/>
          </w:tcPr>
          <w:p w14:paraId="7169910C">
            <w:pPr>
              <w:spacing w:line="360" w:lineRule="auto"/>
              <w:jc w:val="center"/>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合计（元）</w:t>
            </w:r>
          </w:p>
        </w:tc>
        <w:tc>
          <w:tcPr>
            <w:tcW w:w="1041" w:type="dxa"/>
            <w:noWrap w:val="0"/>
            <w:vAlign w:val="center"/>
          </w:tcPr>
          <w:p w14:paraId="23349DD1">
            <w:pPr>
              <w:spacing w:line="360" w:lineRule="auto"/>
              <w:jc w:val="center"/>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质保期</w:t>
            </w:r>
          </w:p>
        </w:tc>
        <w:tc>
          <w:tcPr>
            <w:tcW w:w="936" w:type="dxa"/>
            <w:noWrap w:val="0"/>
            <w:vAlign w:val="center"/>
          </w:tcPr>
          <w:p w14:paraId="73ABF18A">
            <w:pPr>
              <w:spacing w:line="360" w:lineRule="auto"/>
              <w:jc w:val="center"/>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01429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991" w:type="dxa"/>
            <w:noWrap w:val="0"/>
            <w:vAlign w:val="top"/>
          </w:tcPr>
          <w:p w14:paraId="18ACBBD2">
            <w:pPr>
              <w:spacing w:line="360" w:lineRule="auto"/>
              <w:outlineLvl w:val="9"/>
              <w:rPr>
                <w:rFonts w:hint="eastAsia" w:ascii="宋体" w:hAnsi="宋体" w:eastAsia="宋体" w:cs="宋体"/>
                <w:color w:val="auto"/>
                <w:sz w:val="24"/>
                <w:highlight w:val="none"/>
              </w:rPr>
            </w:pPr>
          </w:p>
        </w:tc>
        <w:tc>
          <w:tcPr>
            <w:tcW w:w="1718" w:type="dxa"/>
            <w:noWrap w:val="0"/>
            <w:vAlign w:val="top"/>
          </w:tcPr>
          <w:p w14:paraId="2FB45896">
            <w:pPr>
              <w:spacing w:line="360" w:lineRule="auto"/>
              <w:outlineLvl w:val="9"/>
              <w:rPr>
                <w:rFonts w:hint="eastAsia" w:ascii="宋体" w:hAnsi="宋体" w:eastAsia="宋体" w:cs="宋体"/>
                <w:color w:val="auto"/>
                <w:sz w:val="24"/>
                <w:highlight w:val="none"/>
              </w:rPr>
            </w:pPr>
          </w:p>
        </w:tc>
        <w:tc>
          <w:tcPr>
            <w:tcW w:w="2369" w:type="dxa"/>
            <w:noWrap w:val="0"/>
            <w:vAlign w:val="top"/>
          </w:tcPr>
          <w:p w14:paraId="062F5944">
            <w:pPr>
              <w:spacing w:line="360" w:lineRule="auto"/>
              <w:outlineLvl w:val="9"/>
              <w:rPr>
                <w:rFonts w:hint="eastAsia" w:ascii="宋体" w:hAnsi="宋体" w:eastAsia="宋体" w:cs="宋体"/>
                <w:color w:val="auto"/>
                <w:sz w:val="24"/>
                <w:highlight w:val="none"/>
              </w:rPr>
            </w:pPr>
          </w:p>
        </w:tc>
        <w:tc>
          <w:tcPr>
            <w:tcW w:w="2422" w:type="dxa"/>
            <w:noWrap w:val="0"/>
            <w:vAlign w:val="top"/>
          </w:tcPr>
          <w:p w14:paraId="15860F7E">
            <w:pPr>
              <w:spacing w:line="360" w:lineRule="auto"/>
              <w:outlineLvl w:val="9"/>
              <w:rPr>
                <w:rFonts w:hint="eastAsia" w:ascii="宋体" w:hAnsi="宋体" w:eastAsia="宋体" w:cs="宋体"/>
                <w:color w:val="auto"/>
                <w:sz w:val="24"/>
                <w:highlight w:val="none"/>
              </w:rPr>
            </w:pPr>
          </w:p>
        </w:tc>
        <w:tc>
          <w:tcPr>
            <w:tcW w:w="850" w:type="dxa"/>
            <w:noWrap w:val="0"/>
            <w:vAlign w:val="top"/>
          </w:tcPr>
          <w:p w14:paraId="5CC22435">
            <w:pPr>
              <w:spacing w:line="360" w:lineRule="auto"/>
              <w:outlineLvl w:val="9"/>
              <w:rPr>
                <w:rFonts w:hint="eastAsia" w:ascii="宋体" w:hAnsi="宋体" w:eastAsia="宋体" w:cs="宋体"/>
                <w:color w:val="auto"/>
                <w:sz w:val="24"/>
                <w:highlight w:val="none"/>
              </w:rPr>
            </w:pPr>
          </w:p>
        </w:tc>
        <w:tc>
          <w:tcPr>
            <w:tcW w:w="1519" w:type="dxa"/>
            <w:noWrap w:val="0"/>
            <w:vAlign w:val="top"/>
          </w:tcPr>
          <w:p w14:paraId="2F9F29C8">
            <w:pPr>
              <w:spacing w:line="360" w:lineRule="auto"/>
              <w:outlineLvl w:val="9"/>
              <w:rPr>
                <w:rFonts w:hint="eastAsia" w:ascii="宋体" w:hAnsi="宋体" w:eastAsia="宋体" w:cs="宋体"/>
                <w:color w:val="auto"/>
                <w:sz w:val="24"/>
                <w:highlight w:val="none"/>
              </w:rPr>
            </w:pPr>
          </w:p>
        </w:tc>
        <w:tc>
          <w:tcPr>
            <w:tcW w:w="1198" w:type="dxa"/>
            <w:noWrap w:val="0"/>
            <w:vAlign w:val="top"/>
          </w:tcPr>
          <w:p w14:paraId="0522F579">
            <w:pPr>
              <w:spacing w:line="360" w:lineRule="auto"/>
              <w:outlineLvl w:val="9"/>
              <w:rPr>
                <w:rFonts w:hint="eastAsia" w:ascii="宋体" w:hAnsi="宋体" w:eastAsia="宋体" w:cs="宋体"/>
                <w:color w:val="auto"/>
                <w:sz w:val="24"/>
                <w:highlight w:val="none"/>
              </w:rPr>
            </w:pPr>
          </w:p>
        </w:tc>
        <w:tc>
          <w:tcPr>
            <w:tcW w:w="1250" w:type="dxa"/>
            <w:noWrap w:val="0"/>
            <w:vAlign w:val="top"/>
          </w:tcPr>
          <w:p w14:paraId="174B3412">
            <w:pPr>
              <w:spacing w:line="360" w:lineRule="auto"/>
              <w:outlineLvl w:val="9"/>
              <w:rPr>
                <w:rFonts w:hint="eastAsia" w:ascii="宋体" w:hAnsi="宋体" w:eastAsia="宋体" w:cs="宋体"/>
                <w:color w:val="auto"/>
                <w:sz w:val="24"/>
                <w:highlight w:val="none"/>
              </w:rPr>
            </w:pPr>
          </w:p>
        </w:tc>
        <w:tc>
          <w:tcPr>
            <w:tcW w:w="1041" w:type="dxa"/>
            <w:noWrap w:val="0"/>
            <w:vAlign w:val="top"/>
          </w:tcPr>
          <w:p w14:paraId="46F2D917">
            <w:pPr>
              <w:spacing w:line="360" w:lineRule="auto"/>
              <w:outlineLvl w:val="9"/>
              <w:rPr>
                <w:rFonts w:hint="eastAsia" w:ascii="宋体" w:hAnsi="宋体" w:eastAsia="宋体" w:cs="宋体"/>
                <w:color w:val="auto"/>
                <w:sz w:val="24"/>
                <w:highlight w:val="none"/>
              </w:rPr>
            </w:pPr>
          </w:p>
        </w:tc>
        <w:tc>
          <w:tcPr>
            <w:tcW w:w="936" w:type="dxa"/>
            <w:noWrap w:val="0"/>
            <w:vAlign w:val="top"/>
          </w:tcPr>
          <w:p w14:paraId="70360038">
            <w:pPr>
              <w:spacing w:line="360" w:lineRule="auto"/>
              <w:outlineLvl w:val="9"/>
              <w:rPr>
                <w:rFonts w:hint="eastAsia" w:ascii="宋体" w:hAnsi="宋体" w:eastAsia="宋体" w:cs="宋体"/>
                <w:color w:val="auto"/>
                <w:sz w:val="24"/>
                <w:highlight w:val="none"/>
              </w:rPr>
            </w:pPr>
          </w:p>
        </w:tc>
      </w:tr>
      <w:tr w14:paraId="08760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991" w:type="dxa"/>
            <w:noWrap w:val="0"/>
            <w:vAlign w:val="top"/>
          </w:tcPr>
          <w:p w14:paraId="5D900687">
            <w:pPr>
              <w:spacing w:line="360" w:lineRule="auto"/>
              <w:outlineLvl w:val="9"/>
              <w:rPr>
                <w:rFonts w:hint="eastAsia" w:ascii="宋体" w:hAnsi="宋体" w:eastAsia="宋体" w:cs="宋体"/>
                <w:color w:val="auto"/>
                <w:sz w:val="24"/>
                <w:highlight w:val="none"/>
              </w:rPr>
            </w:pPr>
          </w:p>
        </w:tc>
        <w:tc>
          <w:tcPr>
            <w:tcW w:w="1718" w:type="dxa"/>
            <w:noWrap w:val="0"/>
            <w:vAlign w:val="top"/>
          </w:tcPr>
          <w:p w14:paraId="2B497088">
            <w:pPr>
              <w:spacing w:line="360" w:lineRule="auto"/>
              <w:outlineLvl w:val="9"/>
              <w:rPr>
                <w:rFonts w:hint="eastAsia" w:ascii="宋体" w:hAnsi="宋体" w:eastAsia="宋体" w:cs="宋体"/>
                <w:color w:val="auto"/>
                <w:sz w:val="24"/>
                <w:highlight w:val="none"/>
              </w:rPr>
            </w:pPr>
          </w:p>
        </w:tc>
        <w:tc>
          <w:tcPr>
            <w:tcW w:w="2369" w:type="dxa"/>
            <w:noWrap w:val="0"/>
            <w:vAlign w:val="top"/>
          </w:tcPr>
          <w:p w14:paraId="6E87329C">
            <w:pPr>
              <w:spacing w:line="360" w:lineRule="auto"/>
              <w:outlineLvl w:val="9"/>
              <w:rPr>
                <w:rFonts w:hint="eastAsia" w:ascii="宋体" w:hAnsi="宋体" w:eastAsia="宋体" w:cs="宋体"/>
                <w:color w:val="auto"/>
                <w:sz w:val="24"/>
                <w:highlight w:val="none"/>
              </w:rPr>
            </w:pPr>
          </w:p>
        </w:tc>
        <w:tc>
          <w:tcPr>
            <w:tcW w:w="2422" w:type="dxa"/>
            <w:noWrap w:val="0"/>
            <w:vAlign w:val="top"/>
          </w:tcPr>
          <w:p w14:paraId="77A76896">
            <w:pPr>
              <w:spacing w:line="360" w:lineRule="auto"/>
              <w:outlineLvl w:val="9"/>
              <w:rPr>
                <w:rFonts w:hint="eastAsia" w:ascii="宋体" w:hAnsi="宋体" w:eastAsia="宋体" w:cs="宋体"/>
                <w:color w:val="auto"/>
                <w:sz w:val="24"/>
                <w:highlight w:val="none"/>
              </w:rPr>
            </w:pPr>
          </w:p>
        </w:tc>
        <w:tc>
          <w:tcPr>
            <w:tcW w:w="850" w:type="dxa"/>
            <w:noWrap w:val="0"/>
            <w:vAlign w:val="top"/>
          </w:tcPr>
          <w:p w14:paraId="2F8B6CC5">
            <w:pPr>
              <w:spacing w:line="360" w:lineRule="auto"/>
              <w:outlineLvl w:val="9"/>
              <w:rPr>
                <w:rFonts w:hint="eastAsia" w:ascii="宋体" w:hAnsi="宋体" w:eastAsia="宋体" w:cs="宋体"/>
                <w:color w:val="auto"/>
                <w:sz w:val="24"/>
                <w:highlight w:val="none"/>
              </w:rPr>
            </w:pPr>
          </w:p>
        </w:tc>
        <w:tc>
          <w:tcPr>
            <w:tcW w:w="1519" w:type="dxa"/>
            <w:noWrap w:val="0"/>
            <w:vAlign w:val="top"/>
          </w:tcPr>
          <w:p w14:paraId="4DD70C78">
            <w:pPr>
              <w:spacing w:line="360" w:lineRule="auto"/>
              <w:outlineLvl w:val="9"/>
              <w:rPr>
                <w:rFonts w:hint="eastAsia" w:ascii="宋体" w:hAnsi="宋体" w:eastAsia="宋体" w:cs="宋体"/>
                <w:color w:val="auto"/>
                <w:sz w:val="24"/>
                <w:highlight w:val="none"/>
              </w:rPr>
            </w:pPr>
          </w:p>
        </w:tc>
        <w:tc>
          <w:tcPr>
            <w:tcW w:w="1198" w:type="dxa"/>
            <w:noWrap w:val="0"/>
            <w:vAlign w:val="top"/>
          </w:tcPr>
          <w:p w14:paraId="741FC20B">
            <w:pPr>
              <w:spacing w:line="360" w:lineRule="auto"/>
              <w:outlineLvl w:val="9"/>
              <w:rPr>
                <w:rFonts w:hint="eastAsia" w:ascii="宋体" w:hAnsi="宋体" w:eastAsia="宋体" w:cs="宋体"/>
                <w:color w:val="auto"/>
                <w:sz w:val="24"/>
                <w:highlight w:val="none"/>
              </w:rPr>
            </w:pPr>
          </w:p>
        </w:tc>
        <w:tc>
          <w:tcPr>
            <w:tcW w:w="1250" w:type="dxa"/>
            <w:noWrap w:val="0"/>
            <w:vAlign w:val="top"/>
          </w:tcPr>
          <w:p w14:paraId="50573F2C">
            <w:pPr>
              <w:spacing w:line="360" w:lineRule="auto"/>
              <w:outlineLvl w:val="9"/>
              <w:rPr>
                <w:rFonts w:hint="eastAsia" w:ascii="宋体" w:hAnsi="宋体" w:eastAsia="宋体" w:cs="宋体"/>
                <w:color w:val="auto"/>
                <w:sz w:val="24"/>
                <w:highlight w:val="none"/>
              </w:rPr>
            </w:pPr>
          </w:p>
        </w:tc>
        <w:tc>
          <w:tcPr>
            <w:tcW w:w="1041" w:type="dxa"/>
            <w:noWrap w:val="0"/>
            <w:vAlign w:val="top"/>
          </w:tcPr>
          <w:p w14:paraId="21A898F6">
            <w:pPr>
              <w:spacing w:line="360" w:lineRule="auto"/>
              <w:outlineLvl w:val="9"/>
              <w:rPr>
                <w:rFonts w:hint="eastAsia" w:ascii="宋体" w:hAnsi="宋体" w:eastAsia="宋体" w:cs="宋体"/>
                <w:color w:val="auto"/>
                <w:sz w:val="24"/>
                <w:highlight w:val="none"/>
              </w:rPr>
            </w:pPr>
          </w:p>
        </w:tc>
        <w:tc>
          <w:tcPr>
            <w:tcW w:w="936" w:type="dxa"/>
            <w:noWrap w:val="0"/>
            <w:vAlign w:val="top"/>
          </w:tcPr>
          <w:p w14:paraId="107B2DED">
            <w:pPr>
              <w:spacing w:line="360" w:lineRule="auto"/>
              <w:outlineLvl w:val="9"/>
              <w:rPr>
                <w:rFonts w:hint="eastAsia" w:ascii="宋体" w:hAnsi="宋体" w:eastAsia="宋体" w:cs="宋体"/>
                <w:color w:val="auto"/>
                <w:sz w:val="24"/>
                <w:highlight w:val="none"/>
              </w:rPr>
            </w:pPr>
          </w:p>
        </w:tc>
      </w:tr>
      <w:tr w14:paraId="5A121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trPr>
        <w:tc>
          <w:tcPr>
            <w:tcW w:w="991" w:type="dxa"/>
            <w:noWrap w:val="0"/>
            <w:vAlign w:val="top"/>
          </w:tcPr>
          <w:p w14:paraId="26F4D243">
            <w:pPr>
              <w:spacing w:line="360" w:lineRule="auto"/>
              <w:outlineLvl w:val="9"/>
              <w:rPr>
                <w:rFonts w:hint="eastAsia" w:ascii="宋体" w:hAnsi="宋体" w:eastAsia="宋体" w:cs="宋体"/>
                <w:color w:val="auto"/>
                <w:sz w:val="24"/>
                <w:highlight w:val="none"/>
              </w:rPr>
            </w:pPr>
          </w:p>
        </w:tc>
        <w:tc>
          <w:tcPr>
            <w:tcW w:w="1718" w:type="dxa"/>
            <w:noWrap w:val="0"/>
            <w:vAlign w:val="top"/>
          </w:tcPr>
          <w:p w14:paraId="66D02D87">
            <w:pPr>
              <w:spacing w:line="360" w:lineRule="auto"/>
              <w:outlineLvl w:val="9"/>
              <w:rPr>
                <w:rFonts w:hint="eastAsia" w:ascii="宋体" w:hAnsi="宋体" w:eastAsia="宋体" w:cs="宋体"/>
                <w:color w:val="auto"/>
                <w:sz w:val="24"/>
                <w:highlight w:val="none"/>
              </w:rPr>
            </w:pPr>
          </w:p>
        </w:tc>
        <w:tc>
          <w:tcPr>
            <w:tcW w:w="2369" w:type="dxa"/>
            <w:noWrap w:val="0"/>
            <w:vAlign w:val="top"/>
          </w:tcPr>
          <w:p w14:paraId="70934E22">
            <w:pPr>
              <w:spacing w:line="360" w:lineRule="auto"/>
              <w:outlineLvl w:val="9"/>
              <w:rPr>
                <w:rFonts w:hint="eastAsia" w:ascii="宋体" w:hAnsi="宋体" w:eastAsia="宋体" w:cs="宋体"/>
                <w:color w:val="auto"/>
                <w:sz w:val="24"/>
                <w:highlight w:val="none"/>
              </w:rPr>
            </w:pPr>
          </w:p>
        </w:tc>
        <w:tc>
          <w:tcPr>
            <w:tcW w:w="2422" w:type="dxa"/>
            <w:noWrap w:val="0"/>
            <w:vAlign w:val="top"/>
          </w:tcPr>
          <w:p w14:paraId="1A163A42">
            <w:pPr>
              <w:spacing w:line="360" w:lineRule="auto"/>
              <w:outlineLvl w:val="9"/>
              <w:rPr>
                <w:rFonts w:hint="eastAsia" w:ascii="宋体" w:hAnsi="宋体" w:eastAsia="宋体" w:cs="宋体"/>
                <w:color w:val="auto"/>
                <w:sz w:val="24"/>
                <w:highlight w:val="none"/>
              </w:rPr>
            </w:pPr>
          </w:p>
        </w:tc>
        <w:tc>
          <w:tcPr>
            <w:tcW w:w="850" w:type="dxa"/>
            <w:noWrap w:val="0"/>
            <w:vAlign w:val="top"/>
          </w:tcPr>
          <w:p w14:paraId="03A7029F">
            <w:pPr>
              <w:spacing w:line="360" w:lineRule="auto"/>
              <w:outlineLvl w:val="9"/>
              <w:rPr>
                <w:rFonts w:hint="eastAsia" w:ascii="宋体" w:hAnsi="宋体" w:eastAsia="宋体" w:cs="宋体"/>
                <w:color w:val="auto"/>
                <w:sz w:val="24"/>
                <w:highlight w:val="none"/>
              </w:rPr>
            </w:pPr>
          </w:p>
        </w:tc>
        <w:tc>
          <w:tcPr>
            <w:tcW w:w="1519" w:type="dxa"/>
            <w:noWrap w:val="0"/>
            <w:vAlign w:val="top"/>
          </w:tcPr>
          <w:p w14:paraId="6BB62D43">
            <w:pPr>
              <w:spacing w:line="360" w:lineRule="auto"/>
              <w:outlineLvl w:val="9"/>
              <w:rPr>
                <w:rFonts w:hint="eastAsia" w:ascii="宋体" w:hAnsi="宋体" w:eastAsia="宋体" w:cs="宋体"/>
                <w:color w:val="auto"/>
                <w:sz w:val="24"/>
                <w:highlight w:val="none"/>
              </w:rPr>
            </w:pPr>
          </w:p>
        </w:tc>
        <w:tc>
          <w:tcPr>
            <w:tcW w:w="1198" w:type="dxa"/>
            <w:noWrap w:val="0"/>
            <w:vAlign w:val="top"/>
          </w:tcPr>
          <w:p w14:paraId="2F7F44E8">
            <w:pPr>
              <w:spacing w:line="360" w:lineRule="auto"/>
              <w:outlineLvl w:val="9"/>
              <w:rPr>
                <w:rFonts w:hint="eastAsia" w:ascii="宋体" w:hAnsi="宋体" w:eastAsia="宋体" w:cs="宋体"/>
                <w:color w:val="auto"/>
                <w:sz w:val="24"/>
                <w:highlight w:val="none"/>
              </w:rPr>
            </w:pPr>
          </w:p>
        </w:tc>
        <w:tc>
          <w:tcPr>
            <w:tcW w:w="1250" w:type="dxa"/>
            <w:noWrap w:val="0"/>
            <w:vAlign w:val="top"/>
          </w:tcPr>
          <w:p w14:paraId="67507BE8">
            <w:pPr>
              <w:spacing w:line="360" w:lineRule="auto"/>
              <w:outlineLvl w:val="9"/>
              <w:rPr>
                <w:rFonts w:hint="eastAsia" w:ascii="宋体" w:hAnsi="宋体" w:eastAsia="宋体" w:cs="宋体"/>
                <w:color w:val="auto"/>
                <w:sz w:val="24"/>
                <w:highlight w:val="none"/>
              </w:rPr>
            </w:pPr>
          </w:p>
        </w:tc>
        <w:tc>
          <w:tcPr>
            <w:tcW w:w="1041" w:type="dxa"/>
            <w:noWrap w:val="0"/>
            <w:vAlign w:val="top"/>
          </w:tcPr>
          <w:p w14:paraId="3237F9EA">
            <w:pPr>
              <w:spacing w:line="360" w:lineRule="auto"/>
              <w:outlineLvl w:val="9"/>
              <w:rPr>
                <w:rFonts w:hint="eastAsia" w:ascii="宋体" w:hAnsi="宋体" w:eastAsia="宋体" w:cs="宋体"/>
                <w:color w:val="auto"/>
                <w:sz w:val="24"/>
                <w:highlight w:val="none"/>
              </w:rPr>
            </w:pPr>
          </w:p>
        </w:tc>
        <w:tc>
          <w:tcPr>
            <w:tcW w:w="936" w:type="dxa"/>
            <w:noWrap w:val="0"/>
            <w:vAlign w:val="top"/>
          </w:tcPr>
          <w:p w14:paraId="6DBAF942">
            <w:pPr>
              <w:spacing w:line="360" w:lineRule="auto"/>
              <w:outlineLvl w:val="9"/>
              <w:rPr>
                <w:rFonts w:hint="eastAsia" w:ascii="宋体" w:hAnsi="宋体" w:eastAsia="宋体" w:cs="宋体"/>
                <w:color w:val="auto"/>
                <w:sz w:val="24"/>
                <w:highlight w:val="none"/>
              </w:rPr>
            </w:pPr>
          </w:p>
        </w:tc>
      </w:tr>
      <w:tr w14:paraId="3150B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trPr>
        <w:tc>
          <w:tcPr>
            <w:tcW w:w="991" w:type="dxa"/>
            <w:noWrap w:val="0"/>
            <w:vAlign w:val="top"/>
          </w:tcPr>
          <w:p w14:paraId="31B3ACDF">
            <w:pPr>
              <w:spacing w:line="360" w:lineRule="auto"/>
              <w:outlineLvl w:val="9"/>
              <w:rPr>
                <w:rFonts w:hint="eastAsia" w:ascii="宋体" w:hAnsi="宋体" w:eastAsia="宋体" w:cs="宋体"/>
                <w:color w:val="auto"/>
                <w:sz w:val="24"/>
                <w:highlight w:val="none"/>
              </w:rPr>
            </w:pPr>
          </w:p>
        </w:tc>
        <w:tc>
          <w:tcPr>
            <w:tcW w:w="1718" w:type="dxa"/>
            <w:noWrap w:val="0"/>
            <w:vAlign w:val="top"/>
          </w:tcPr>
          <w:p w14:paraId="01E21B2A">
            <w:pPr>
              <w:spacing w:line="360" w:lineRule="auto"/>
              <w:outlineLvl w:val="9"/>
              <w:rPr>
                <w:rFonts w:hint="eastAsia" w:ascii="宋体" w:hAnsi="宋体" w:eastAsia="宋体" w:cs="宋体"/>
                <w:color w:val="auto"/>
                <w:sz w:val="24"/>
                <w:highlight w:val="none"/>
              </w:rPr>
            </w:pPr>
          </w:p>
        </w:tc>
        <w:tc>
          <w:tcPr>
            <w:tcW w:w="2369" w:type="dxa"/>
            <w:noWrap w:val="0"/>
            <w:vAlign w:val="top"/>
          </w:tcPr>
          <w:p w14:paraId="191E12F6">
            <w:pPr>
              <w:spacing w:line="360" w:lineRule="auto"/>
              <w:outlineLvl w:val="9"/>
              <w:rPr>
                <w:rFonts w:hint="eastAsia" w:ascii="宋体" w:hAnsi="宋体" w:eastAsia="宋体" w:cs="宋体"/>
                <w:color w:val="auto"/>
                <w:sz w:val="24"/>
                <w:highlight w:val="none"/>
              </w:rPr>
            </w:pPr>
          </w:p>
        </w:tc>
        <w:tc>
          <w:tcPr>
            <w:tcW w:w="2422" w:type="dxa"/>
            <w:noWrap w:val="0"/>
            <w:vAlign w:val="top"/>
          </w:tcPr>
          <w:p w14:paraId="0C263785">
            <w:pPr>
              <w:spacing w:line="360" w:lineRule="auto"/>
              <w:outlineLvl w:val="9"/>
              <w:rPr>
                <w:rFonts w:hint="eastAsia" w:ascii="宋体" w:hAnsi="宋体" w:eastAsia="宋体" w:cs="宋体"/>
                <w:color w:val="auto"/>
                <w:sz w:val="24"/>
                <w:highlight w:val="none"/>
              </w:rPr>
            </w:pPr>
          </w:p>
        </w:tc>
        <w:tc>
          <w:tcPr>
            <w:tcW w:w="850" w:type="dxa"/>
            <w:noWrap w:val="0"/>
            <w:vAlign w:val="top"/>
          </w:tcPr>
          <w:p w14:paraId="7226AEA3">
            <w:pPr>
              <w:spacing w:line="360" w:lineRule="auto"/>
              <w:outlineLvl w:val="9"/>
              <w:rPr>
                <w:rFonts w:hint="eastAsia" w:ascii="宋体" w:hAnsi="宋体" w:eastAsia="宋体" w:cs="宋体"/>
                <w:color w:val="auto"/>
                <w:sz w:val="24"/>
                <w:highlight w:val="none"/>
              </w:rPr>
            </w:pPr>
          </w:p>
        </w:tc>
        <w:tc>
          <w:tcPr>
            <w:tcW w:w="1519" w:type="dxa"/>
            <w:noWrap w:val="0"/>
            <w:vAlign w:val="top"/>
          </w:tcPr>
          <w:p w14:paraId="55D61EE6">
            <w:pPr>
              <w:spacing w:line="360" w:lineRule="auto"/>
              <w:outlineLvl w:val="9"/>
              <w:rPr>
                <w:rFonts w:hint="eastAsia" w:ascii="宋体" w:hAnsi="宋体" w:eastAsia="宋体" w:cs="宋体"/>
                <w:color w:val="auto"/>
                <w:sz w:val="24"/>
                <w:highlight w:val="none"/>
              </w:rPr>
            </w:pPr>
          </w:p>
        </w:tc>
        <w:tc>
          <w:tcPr>
            <w:tcW w:w="1198" w:type="dxa"/>
            <w:noWrap w:val="0"/>
            <w:vAlign w:val="top"/>
          </w:tcPr>
          <w:p w14:paraId="58E2E323">
            <w:pPr>
              <w:spacing w:line="360" w:lineRule="auto"/>
              <w:outlineLvl w:val="9"/>
              <w:rPr>
                <w:rFonts w:hint="eastAsia" w:ascii="宋体" w:hAnsi="宋体" w:eastAsia="宋体" w:cs="宋体"/>
                <w:color w:val="auto"/>
                <w:sz w:val="24"/>
                <w:highlight w:val="none"/>
              </w:rPr>
            </w:pPr>
          </w:p>
        </w:tc>
        <w:tc>
          <w:tcPr>
            <w:tcW w:w="1250" w:type="dxa"/>
            <w:noWrap w:val="0"/>
            <w:vAlign w:val="top"/>
          </w:tcPr>
          <w:p w14:paraId="04B56C1B">
            <w:pPr>
              <w:spacing w:line="360" w:lineRule="auto"/>
              <w:outlineLvl w:val="9"/>
              <w:rPr>
                <w:rFonts w:hint="eastAsia" w:ascii="宋体" w:hAnsi="宋体" w:eastAsia="宋体" w:cs="宋体"/>
                <w:color w:val="auto"/>
                <w:sz w:val="24"/>
                <w:highlight w:val="none"/>
              </w:rPr>
            </w:pPr>
          </w:p>
        </w:tc>
        <w:tc>
          <w:tcPr>
            <w:tcW w:w="1041" w:type="dxa"/>
            <w:noWrap w:val="0"/>
            <w:vAlign w:val="top"/>
          </w:tcPr>
          <w:p w14:paraId="28B98AEE">
            <w:pPr>
              <w:spacing w:line="360" w:lineRule="auto"/>
              <w:outlineLvl w:val="9"/>
              <w:rPr>
                <w:rFonts w:hint="eastAsia" w:ascii="宋体" w:hAnsi="宋体" w:eastAsia="宋体" w:cs="宋体"/>
                <w:color w:val="auto"/>
                <w:sz w:val="24"/>
                <w:highlight w:val="none"/>
              </w:rPr>
            </w:pPr>
          </w:p>
        </w:tc>
        <w:tc>
          <w:tcPr>
            <w:tcW w:w="936" w:type="dxa"/>
            <w:noWrap w:val="0"/>
            <w:vAlign w:val="top"/>
          </w:tcPr>
          <w:p w14:paraId="67812A12">
            <w:pPr>
              <w:spacing w:line="360" w:lineRule="auto"/>
              <w:outlineLvl w:val="9"/>
              <w:rPr>
                <w:rFonts w:hint="eastAsia" w:ascii="宋体" w:hAnsi="宋体" w:eastAsia="宋体" w:cs="宋体"/>
                <w:color w:val="auto"/>
                <w:sz w:val="24"/>
                <w:highlight w:val="none"/>
              </w:rPr>
            </w:pPr>
          </w:p>
        </w:tc>
      </w:tr>
      <w:tr w14:paraId="29A77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trPr>
        <w:tc>
          <w:tcPr>
            <w:tcW w:w="991" w:type="dxa"/>
            <w:noWrap w:val="0"/>
            <w:vAlign w:val="top"/>
          </w:tcPr>
          <w:p w14:paraId="7C8371A7">
            <w:pPr>
              <w:spacing w:line="360" w:lineRule="auto"/>
              <w:outlineLvl w:val="9"/>
              <w:rPr>
                <w:rFonts w:hint="eastAsia" w:ascii="宋体" w:hAnsi="宋体" w:eastAsia="宋体" w:cs="宋体"/>
                <w:color w:val="auto"/>
                <w:sz w:val="24"/>
                <w:highlight w:val="none"/>
              </w:rPr>
            </w:pPr>
          </w:p>
        </w:tc>
        <w:tc>
          <w:tcPr>
            <w:tcW w:w="1718" w:type="dxa"/>
            <w:noWrap w:val="0"/>
            <w:vAlign w:val="top"/>
          </w:tcPr>
          <w:p w14:paraId="0051B605">
            <w:pPr>
              <w:spacing w:line="360" w:lineRule="auto"/>
              <w:outlineLvl w:val="9"/>
              <w:rPr>
                <w:rFonts w:hint="eastAsia" w:ascii="宋体" w:hAnsi="宋体" w:eastAsia="宋体" w:cs="宋体"/>
                <w:color w:val="auto"/>
                <w:sz w:val="24"/>
                <w:highlight w:val="none"/>
              </w:rPr>
            </w:pPr>
          </w:p>
        </w:tc>
        <w:tc>
          <w:tcPr>
            <w:tcW w:w="2369" w:type="dxa"/>
            <w:noWrap w:val="0"/>
            <w:vAlign w:val="top"/>
          </w:tcPr>
          <w:p w14:paraId="3323517A">
            <w:pPr>
              <w:spacing w:line="360" w:lineRule="auto"/>
              <w:outlineLvl w:val="9"/>
              <w:rPr>
                <w:rFonts w:hint="eastAsia" w:ascii="宋体" w:hAnsi="宋体" w:eastAsia="宋体" w:cs="宋体"/>
                <w:color w:val="auto"/>
                <w:sz w:val="24"/>
                <w:highlight w:val="none"/>
              </w:rPr>
            </w:pPr>
          </w:p>
        </w:tc>
        <w:tc>
          <w:tcPr>
            <w:tcW w:w="2422" w:type="dxa"/>
            <w:noWrap w:val="0"/>
            <w:vAlign w:val="top"/>
          </w:tcPr>
          <w:p w14:paraId="124B69BB">
            <w:pPr>
              <w:spacing w:line="360" w:lineRule="auto"/>
              <w:outlineLvl w:val="9"/>
              <w:rPr>
                <w:rFonts w:hint="eastAsia" w:ascii="宋体" w:hAnsi="宋体" w:eastAsia="宋体" w:cs="宋体"/>
                <w:color w:val="auto"/>
                <w:sz w:val="24"/>
                <w:highlight w:val="none"/>
              </w:rPr>
            </w:pPr>
          </w:p>
        </w:tc>
        <w:tc>
          <w:tcPr>
            <w:tcW w:w="850" w:type="dxa"/>
            <w:noWrap w:val="0"/>
            <w:vAlign w:val="top"/>
          </w:tcPr>
          <w:p w14:paraId="3E082A5B">
            <w:pPr>
              <w:spacing w:line="360" w:lineRule="auto"/>
              <w:outlineLvl w:val="9"/>
              <w:rPr>
                <w:rFonts w:hint="eastAsia" w:ascii="宋体" w:hAnsi="宋体" w:eastAsia="宋体" w:cs="宋体"/>
                <w:color w:val="auto"/>
                <w:sz w:val="24"/>
                <w:highlight w:val="none"/>
              </w:rPr>
            </w:pPr>
          </w:p>
        </w:tc>
        <w:tc>
          <w:tcPr>
            <w:tcW w:w="1519" w:type="dxa"/>
            <w:noWrap w:val="0"/>
            <w:vAlign w:val="top"/>
          </w:tcPr>
          <w:p w14:paraId="3F90B134">
            <w:pPr>
              <w:spacing w:line="360" w:lineRule="auto"/>
              <w:outlineLvl w:val="9"/>
              <w:rPr>
                <w:rFonts w:hint="eastAsia" w:ascii="宋体" w:hAnsi="宋体" w:eastAsia="宋体" w:cs="宋体"/>
                <w:color w:val="auto"/>
                <w:sz w:val="24"/>
                <w:highlight w:val="none"/>
              </w:rPr>
            </w:pPr>
          </w:p>
        </w:tc>
        <w:tc>
          <w:tcPr>
            <w:tcW w:w="1198" w:type="dxa"/>
            <w:noWrap w:val="0"/>
            <w:vAlign w:val="top"/>
          </w:tcPr>
          <w:p w14:paraId="712663D0">
            <w:pPr>
              <w:spacing w:line="360" w:lineRule="auto"/>
              <w:outlineLvl w:val="9"/>
              <w:rPr>
                <w:rFonts w:hint="eastAsia" w:ascii="宋体" w:hAnsi="宋体" w:eastAsia="宋体" w:cs="宋体"/>
                <w:color w:val="auto"/>
                <w:sz w:val="24"/>
                <w:highlight w:val="none"/>
              </w:rPr>
            </w:pPr>
          </w:p>
        </w:tc>
        <w:tc>
          <w:tcPr>
            <w:tcW w:w="1250" w:type="dxa"/>
            <w:noWrap w:val="0"/>
            <w:vAlign w:val="top"/>
          </w:tcPr>
          <w:p w14:paraId="0B59A886">
            <w:pPr>
              <w:spacing w:line="360" w:lineRule="auto"/>
              <w:outlineLvl w:val="9"/>
              <w:rPr>
                <w:rFonts w:hint="eastAsia" w:ascii="宋体" w:hAnsi="宋体" w:eastAsia="宋体" w:cs="宋体"/>
                <w:color w:val="auto"/>
                <w:sz w:val="24"/>
                <w:highlight w:val="none"/>
              </w:rPr>
            </w:pPr>
          </w:p>
        </w:tc>
        <w:tc>
          <w:tcPr>
            <w:tcW w:w="1041" w:type="dxa"/>
            <w:noWrap w:val="0"/>
            <w:vAlign w:val="top"/>
          </w:tcPr>
          <w:p w14:paraId="2FF8672A">
            <w:pPr>
              <w:spacing w:line="360" w:lineRule="auto"/>
              <w:outlineLvl w:val="9"/>
              <w:rPr>
                <w:rFonts w:hint="eastAsia" w:ascii="宋体" w:hAnsi="宋体" w:eastAsia="宋体" w:cs="宋体"/>
                <w:color w:val="auto"/>
                <w:sz w:val="24"/>
                <w:highlight w:val="none"/>
              </w:rPr>
            </w:pPr>
          </w:p>
        </w:tc>
        <w:tc>
          <w:tcPr>
            <w:tcW w:w="936" w:type="dxa"/>
            <w:noWrap w:val="0"/>
            <w:vAlign w:val="top"/>
          </w:tcPr>
          <w:p w14:paraId="73E56C4B">
            <w:pPr>
              <w:spacing w:line="360" w:lineRule="auto"/>
              <w:outlineLvl w:val="9"/>
              <w:rPr>
                <w:rFonts w:hint="eastAsia" w:ascii="宋体" w:hAnsi="宋体" w:eastAsia="宋体" w:cs="宋体"/>
                <w:color w:val="auto"/>
                <w:sz w:val="24"/>
                <w:highlight w:val="none"/>
              </w:rPr>
            </w:pPr>
          </w:p>
        </w:tc>
      </w:tr>
      <w:tr w14:paraId="52770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7" w:hRule="atLeast"/>
        </w:trPr>
        <w:tc>
          <w:tcPr>
            <w:tcW w:w="11067" w:type="dxa"/>
            <w:gridSpan w:val="7"/>
            <w:noWrap w:val="0"/>
            <w:vAlign w:val="top"/>
          </w:tcPr>
          <w:p w14:paraId="0A05FA14">
            <w:pPr>
              <w:spacing w:line="360" w:lineRule="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投标总价（人民币：元）</w:t>
            </w:r>
          </w:p>
        </w:tc>
        <w:tc>
          <w:tcPr>
            <w:tcW w:w="3227" w:type="dxa"/>
            <w:gridSpan w:val="3"/>
            <w:noWrap w:val="0"/>
            <w:vAlign w:val="top"/>
          </w:tcPr>
          <w:p w14:paraId="3C66085D">
            <w:pPr>
              <w:spacing w:line="360" w:lineRule="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大写：</w:t>
            </w:r>
          </w:p>
          <w:p w14:paraId="1F78CA1E">
            <w:pPr>
              <w:pStyle w:val="2"/>
              <w:rPr>
                <w:rFonts w:hint="default"/>
                <w:color w:val="auto"/>
                <w:highlight w:val="none"/>
                <w:lang w:val="en-US" w:eastAsia="zh-CN"/>
              </w:rPr>
            </w:pPr>
            <w:r>
              <w:rPr>
                <w:rFonts w:hint="eastAsia" w:hAnsi="宋体" w:eastAsia="宋体" w:cs="宋体"/>
                <w:color w:val="auto"/>
                <w:sz w:val="24"/>
                <w:highlight w:val="none"/>
                <w:lang w:val="en-US" w:eastAsia="zh-CN"/>
              </w:rPr>
              <w:t>小写：</w:t>
            </w:r>
          </w:p>
        </w:tc>
      </w:tr>
    </w:tbl>
    <w:p w14:paraId="767EDB87">
      <w:pPr>
        <w:pStyle w:val="10"/>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1.技术条款均应根据投标文件对招标文件第</w:t>
      </w:r>
      <w:r>
        <w:rPr>
          <w:rFonts w:hint="eastAsia" w:ascii="宋体" w:hAnsi="宋体" w:eastAsia="宋体" w:cs="宋体"/>
          <w:color w:val="auto"/>
          <w:sz w:val="24"/>
          <w:highlight w:val="none"/>
          <w:lang w:eastAsia="zh-CN"/>
        </w:rPr>
        <w:t>五</w:t>
      </w:r>
      <w:r>
        <w:rPr>
          <w:rFonts w:hint="eastAsia" w:ascii="宋体" w:hAnsi="宋体" w:eastAsia="宋体" w:cs="宋体"/>
          <w:color w:val="auto"/>
          <w:sz w:val="24"/>
          <w:highlight w:val="none"/>
        </w:rPr>
        <w:t>章</w:t>
      </w:r>
      <w:r>
        <w:rPr>
          <w:rFonts w:hint="eastAsia" w:hAnsi="宋体" w:eastAsia="宋体" w:cs="宋体"/>
          <w:color w:val="auto"/>
          <w:sz w:val="24"/>
          <w:highlight w:val="none"/>
          <w:lang w:eastAsia="zh-CN"/>
        </w:rPr>
        <w:t>技术要求</w:t>
      </w:r>
      <w:r>
        <w:rPr>
          <w:rFonts w:hint="eastAsia" w:ascii="宋体" w:hAnsi="宋体" w:eastAsia="宋体" w:cs="宋体"/>
          <w:color w:val="auto"/>
          <w:sz w:val="24"/>
          <w:highlight w:val="none"/>
        </w:rPr>
        <w:t>的偏离情况</w:t>
      </w:r>
      <w:r>
        <w:rPr>
          <w:rFonts w:hint="eastAsia" w:ascii="宋体" w:hAnsi="宋体" w:eastAsia="宋体" w:cs="宋体"/>
          <w:color w:val="auto"/>
          <w:sz w:val="24"/>
          <w:highlight w:val="none"/>
          <w:lang w:val="en-US" w:eastAsia="zh-CN"/>
        </w:rPr>
        <w:t>逐条</w:t>
      </w:r>
      <w:r>
        <w:rPr>
          <w:rFonts w:hint="eastAsia" w:ascii="宋体" w:hAnsi="宋体" w:eastAsia="宋体" w:cs="宋体"/>
          <w:color w:val="auto"/>
          <w:sz w:val="24"/>
          <w:highlight w:val="none"/>
        </w:rPr>
        <w:t>相对应地填列。</w:t>
      </w:r>
    </w:p>
    <w:p w14:paraId="67B4490A">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2.表内如果填列不全，可另外附页说明并按规定签字和加盖公章。             </w:t>
      </w:r>
    </w:p>
    <w:p w14:paraId="520495FA">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3.采购人要求</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rPr>
        <w:t>人认真填写本表，不允许有缺项或者负偏离，</w:t>
      </w:r>
      <w:r>
        <w:rPr>
          <w:rFonts w:hint="eastAsia" w:ascii="宋体" w:hAnsi="宋体" w:eastAsia="宋体" w:cs="宋体"/>
          <w:color w:val="auto"/>
          <w:sz w:val="24"/>
          <w:highlight w:val="none"/>
          <w:lang w:val="en-US" w:eastAsia="zh-CN"/>
        </w:rPr>
        <w:t>报价明细需要填写齐全，</w:t>
      </w:r>
      <w:r>
        <w:rPr>
          <w:rFonts w:hint="eastAsia" w:ascii="宋体" w:hAnsi="宋体" w:eastAsia="宋体" w:cs="宋体"/>
          <w:color w:val="auto"/>
          <w:sz w:val="24"/>
          <w:highlight w:val="none"/>
        </w:rPr>
        <w:t>如果不满足将导致投标被否决。</w:t>
      </w:r>
    </w:p>
    <w:p w14:paraId="6C295617">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4.此表可根据需要自行拉长加宽。</w:t>
      </w:r>
    </w:p>
    <w:p w14:paraId="1A08AB9D">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供应商名称（加盖供应商公章）</w:t>
      </w:r>
      <w:r>
        <w:rPr>
          <w:rFonts w:hint="eastAsia" w:ascii="宋体" w:hAnsi="宋体" w:eastAsia="宋体" w:cs="宋体"/>
          <w:color w:val="auto"/>
          <w:sz w:val="24"/>
          <w:highlight w:val="none"/>
        </w:rPr>
        <w:t>：</w:t>
      </w:r>
    </w:p>
    <w:p w14:paraId="46807DE6">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法定代表人或授权代理人（签字）：</w:t>
      </w:r>
    </w:p>
    <w:p w14:paraId="3BC72F6B">
      <w:pPr>
        <w:pStyle w:val="2"/>
        <w:ind w:firstLine="480" w:firstLineChars="200"/>
        <w:rPr>
          <w:rFonts w:hint="eastAsia" w:ascii="宋体" w:hAnsi="宋体" w:eastAsia="宋体" w:cs="宋体"/>
          <w:b/>
          <w:color w:val="auto"/>
          <w:sz w:val="24"/>
          <w:szCs w:val="24"/>
          <w:highlight w:val="none"/>
        </w:rPr>
        <w:sectPr>
          <w:pgSz w:w="16838" w:h="11906" w:orient="landscape"/>
          <w:pgMar w:top="1080" w:right="1440" w:bottom="1080" w:left="144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color w:val="auto"/>
          <w:sz w:val="24"/>
          <w:highlight w:val="none"/>
        </w:rPr>
        <w:t>时间：     年  月  日</w:t>
      </w:r>
    </w:p>
    <w:bookmarkEnd w:id="194"/>
    <w:bookmarkEnd w:id="195"/>
    <w:p w14:paraId="083AFEFE">
      <w:pPr>
        <w:adjustRightInd w:val="0"/>
        <w:snapToGrid w:val="0"/>
        <w:spacing w:before="36" w:beforeLines="15" w:line="360" w:lineRule="auto"/>
        <w:jc w:val="left"/>
        <w:outlineLvl w:val="1"/>
        <w:rPr>
          <w:rFonts w:hint="eastAsia" w:ascii="宋体" w:hAnsi="宋体" w:eastAsia="宋体" w:cs="宋体"/>
          <w:b/>
          <w:color w:val="auto"/>
          <w:sz w:val="24"/>
          <w:szCs w:val="24"/>
          <w:highlight w:val="none"/>
          <w:lang w:val="zh-CN" w:eastAsia="zh-CN"/>
        </w:rPr>
      </w:pPr>
      <w:r>
        <w:rPr>
          <w:rFonts w:hint="eastAsia" w:ascii="宋体" w:hAnsi="宋体" w:eastAsia="宋体" w:cs="宋体"/>
          <w:b/>
          <w:color w:val="auto"/>
          <w:sz w:val="24"/>
          <w:szCs w:val="24"/>
          <w:highlight w:val="none"/>
          <w:lang w:val="en-US" w:eastAsia="zh-CN"/>
        </w:rPr>
        <w:t>格式</w:t>
      </w:r>
      <w:r>
        <w:rPr>
          <w:rFonts w:hint="eastAsia" w:ascii="宋体" w:hAnsi="宋体" w:eastAsia="宋体" w:cs="宋体"/>
          <w:b/>
          <w:color w:val="auto"/>
          <w:sz w:val="24"/>
          <w:szCs w:val="24"/>
          <w:highlight w:val="none"/>
          <w:lang w:val="zh-CN" w:eastAsia="zh-CN"/>
        </w:rPr>
        <w:t>十</w:t>
      </w:r>
      <w:r>
        <w:rPr>
          <w:rFonts w:hint="eastAsia" w:ascii="宋体" w:hAnsi="宋体" w:eastAsia="宋体" w:cs="宋体"/>
          <w:b/>
          <w:color w:val="auto"/>
          <w:sz w:val="24"/>
          <w:szCs w:val="24"/>
          <w:highlight w:val="none"/>
          <w:lang w:val="en-US" w:eastAsia="zh-CN"/>
        </w:rPr>
        <w:t xml:space="preserve">七  </w:t>
      </w:r>
      <w:r>
        <w:rPr>
          <w:rFonts w:hint="eastAsia" w:ascii="宋体" w:hAnsi="宋体" w:eastAsia="宋体" w:cs="宋体"/>
          <w:b/>
          <w:color w:val="auto"/>
          <w:sz w:val="24"/>
          <w:szCs w:val="24"/>
          <w:highlight w:val="none"/>
          <w:lang w:val="zh-CN" w:eastAsia="zh-CN"/>
        </w:rPr>
        <w:t>节能产品、环境标志产品政府强制采购认证证书一览表</w:t>
      </w:r>
    </w:p>
    <w:p w14:paraId="4E5847B0">
      <w:pPr>
        <w:pStyle w:val="11"/>
        <w:spacing w:before="78" w:line="219" w:lineRule="auto"/>
        <w:jc w:val="center"/>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（如果有，提供）</w:t>
      </w:r>
    </w:p>
    <w:p w14:paraId="50B4D31C">
      <w:pPr>
        <w:spacing w:line="203" w:lineRule="exact"/>
        <w:rPr>
          <w:rFonts w:hint="eastAsia" w:ascii="宋体" w:hAnsi="宋体" w:eastAsia="宋体" w:cs="宋体"/>
          <w:color w:val="auto"/>
          <w:highlight w:val="none"/>
        </w:rPr>
      </w:pPr>
    </w:p>
    <w:tbl>
      <w:tblPr>
        <w:tblStyle w:val="88"/>
        <w:tblW w:w="996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6"/>
        <w:gridCol w:w="1847"/>
        <w:gridCol w:w="1342"/>
        <w:gridCol w:w="1342"/>
        <w:gridCol w:w="1342"/>
        <w:gridCol w:w="1845"/>
        <w:gridCol w:w="1437"/>
      </w:tblGrid>
      <w:tr w14:paraId="04A517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1" w:hRule="atLeast"/>
          <w:jc w:val="center"/>
        </w:trPr>
        <w:tc>
          <w:tcPr>
            <w:tcW w:w="806" w:type="dxa"/>
            <w:tcBorders>
              <w:top w:val="single" w:color="000000" w:sz="6" w:space="0"/>
              <w:left w:val="single" w:color="000000" w:sz="6" w:space="0"/>
            </w:tcBorders>
          </w:tcPr>
          <w:p w14:paraId="50C9DB08">
            <w:pPr>
              <w:pStyle w:val="87"/>
              <w:spacing w:before="267" w:line="229" w:lineRule="auto"/>
              <w:ind w:left="191"/>
              <w:rPr>
                <w:rFonts w:hint="eastAsia" w:ascii="宋体" w:hAnsi="宋体" w:eastAsia="宋体" w:cs="宋体"/>
                <w:color w:val="auto"/>
                <w:highlight w:val="none"/>
              </w:rPr>
            </w:pPr>
            <w:r>
              <w:rPr>
                <w:rFonts w:hint="eastAsia" w:ascii="宋体" w:hAnsi="宋体" w:eastAsia="宋体" w:cs="宋体"/>
                <w:color w:val="auto"/>
                <w:spacing w:val="5"/>
                <w:highlight w:val="none"/>
              </w:rPr>
              <w:t>序号</w:t>
            </w:r>
          </w:p>
        </w:tc>
        <w:tc>
          <w:tcPr>
            <w:tcW w:w="1847" w:type="dxa"/>
            <w:tcBorders>
              <w:top w:val="single" w:color="000000" w:sz="6" w:space="0"/>
            </w:tcBorders>
          </w:tcPr>
          <w:p w14:paraId="5EB52DA5">
            <w:pPr>
              <w:pStyle w:val="87"/>
              <w:spacing w:before="266" w:line="231" w:lineRule="auto"/>
              <w:ind w:left="731"/>
              <w:rPr>
                <w:rFonts w:hint="eastAsia" w:ascii="宋体" w:hAnsi="宋体" w:eastAsia="宋体" w:cs="宋体"/>
                <w:color w:val="auto"/>
                <w:highlight w:val="none"/>
              </w:rPr>
            </w:pPr>
            <w:r>
              <w:rPr>
                <w:rFonts w:hint="eastAsia" w:ascii="宋体" w:hAnsi="宋体" w:eastAsia="宋体" w:cs="宋体"/>
                <w:color w:val="auto"/>
                <w:spacing w:val="-4"/>
                <w:highlight w:val="none"/>
              </w:rPr>
              <w:t>品目</w:t>
            </w:r>
          </w:p>
        </w:tc>
        <w:tc>
          <w:tcPr>
            <w:tcW w:w="1342" w:type="dxa"/>
            <w:tcBorders>
              <w:top w:val="single" w:color="000000" w:sz="6" w:space="0"/>
            </w:tcBorders>
          </w:tcPr>
          <w:p w14:paraId="53636EA2">
            <w:pPr>
              <w:pStyle w:val="87"/>
              <w:spacing w:before="267" w:line="228" w:lineRule="auto"/>
              <w:ind w:left="254"/>
              <w:rPr>
                <w:rFonts w:hint="eastAsia" w:ascii="宋体" w:hAnsi="宋体" w:eastAsia="宋体" w:cs="宋体"/>
                <w:color w:val="auto"/>
                <w:highlight w:val="none"/>
              </w:rPr>
            </w:pPr>
            <w:r>
              <w:rPr>
                <w:rFonts w:hint="eastAsia" w:ascii="宋体" w:hAnsi="宋体" w:eastAsia="宋体" w:cs="宋体"/>
                <w:color w:val="auto"/>
                <w:spacing w:val="7"/>
                <w:highlight w:val="none"/>
              </w:rPr>
              <w:t>产品名称</w:t>
            </w:r>
          </w:p>
        </w:tc>
        <w:tc>
          <w:tcPr>
            <w:tcW w:w="1342" w:type="dxa"/>
            <w:tcBorders>
              <w:top w:val="single" w:color="000000" w:sz="6" w:space="0"/>
            </w:tcBorders>
          </w:tcPr>
          <w:p w14:paraId="0A9827E7">
            <w:pPr>
              <w:pStyle w:val="87"/>
              <w:spacing w:before="267" w:line="228" w:lineRule="auto"/>
              <w:ind w:left="257"/>
              <w:rPr>
                <w:rFonts w:hint="eastAsia" w:ascii="宋体" w:hAnsi="宋体" w:eastAsia="宋体" w:cs="宋体"/>
                <w:color w:val="auto"/>
                <w:highlight w:val="none"/>
              </w:rPr>
            </w:pPr>
            <w:r>
              <w:rPr>
                <w:rFonts w:hint="eastAsia" w:ascii="宋体" w:hAnsi="宋体" w:eastAsia="宋体" w:cs="宋体"/>
                <w:color w:val="auto"/>
                <w:spacing w:val="7"/>
                <w:highlight w:val="none"/>
              </w:rPr>
              <w:t>规格型号</w:t>
            </w:r>
          </w:p>
        </w:tc>
        <w:tc>
          <w:tcPr>
            <w:tcW w:w="1342" w:type="dxa"/>
            <w:tcBorders>
              <w:top w:val="single" w:color="000000" w:sz="6" w:space="0"/>
            </w:tcBorders>
          </w:tcPr>
          <w:p w14:paraId="0C24BFA4">
            <w:pPr>
              <w:pStyle w:val="87"/>
              <w:spacing w:before="267" w:line="227" w:lineRule="auto"/>
              <w:ind w:left="258"/>
              <w:rPr>
                <w:rFonts w:hint="eastAsia" w:ascii="宋体" w:hAnsi="宋体" w:eastAsia="宋体" w:cs="宋体"/>
                <w:color w:val="auto"/>
                <w:highlight w:val="none"/>
              </w:rPr>
            </w:pPr>
            <w:r>
              <w:rPr>
                <w:rFonts w:hint="eastAsia" w:ascii="宋体" w:hAnsi="宋体" w:eastAsia="宋体" w:cs="宋体"/>
                <w:color w:val="auto"/>
                <w:spacing w:val="7"/>
                <w:highlight w:val="none"/>
              </w:rPr>
              <w:t>证书编号</w:t>
            </w:r>
          </w:p>
        </w:tc>
        <w:tc>
          <w:tcPr>
            <w:tcW w:w="1845" w:type="dxa"/>
            <w:tcBorders>
              <w:top w:val="single" w:color="000000" w:sz="6" w:space="0"/>
            </w:tcBorders>
          </w:tcPr>
          <w:p w14:paraId="0DE29BF4">
            <w:pPr>
              <w:pStyle w:val="87"/>
              <w:spacing w:before="267" w:line="227" w:lineRule="auto"/>
              <w:ind w:left="303"/>
              <w:rPr>
                <w:rFonts w:hint="eastAsia" w:ascii="宋体" w:hAnsi="宋体" w:eastAsia="宋体" w:cs="宋体"/>
                <w:color w:val="auto"/>
                <w:highlight w:val="none"/>
              </w:rPr>
            </w:pPr>
            <w:r>
              <w:rPr>
                <w:rFonts w:hint="eastAsia" w:ascii="宋体" w:hAnsi="宋体" w:eastAsia="宋体" w:cs="宋体"/>
                <w:color w:val="auto"/>
                <w:spacing w:val="8"/>
                <w:highlight w:val="none"/>
              </w:rPr>
              <w:t>证书到期日期</w:t>
            </w:r>
          </w:p>
        </w:tc>
        <w:tc>
          <w:tcPr>
            <w:tcW w:w="1437" w:type="dxa"/>
            <w:tcBorders>
              <w:top w:val="single" w:color="000000" w:sz="6" w:space="0"/>
              <w:right w:val="single" w:color="000000" w:sz="6" w:space="0"/>
            </w:tcBorders>
          </w:tcPr>
          <w:p w14:paraId="1145CB22">
            <w:pPr>
              <w:pStyle w:val="87"/>
              <w:spacing w:before="267" w:line="227" w:lineRule="auto"/>
              <w:ind w:left="309"/>
              <w:rPr>
                <w:rFonts w:hint="eastAsia" w:ascii="宋体" w:hAnsi="宋体" w:eastAsia="宋体" w:cs="宋体"/>
                <w:color w:val="auto"/>
                <w:highlight w:val="none"/>
              </w:rPr>
            </w:pPr>
            <w:r>
              <w:rPr>
                <w:rFonts w:hint="eastAsia" w:ascii="宋体" w:hAnsi="宋体" w:eastAsia="宋体" w:cs="宋体"/>
                <w:color w:val="auto"/>
                <w:spacing w:val="6"/>
                <w:highlight w:val="none"/>
              </w:rPr>
              <w:t>发证机构</w:t>
            </w:r>
          </w:p>
        </w:tc>
      </w:tr>
      <w:tr w14:paraId="427B87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3B2B9E62">
            <w:pPr>
              <w:pStyle w:val="87"/>
              <w:spacing w:before="67" w:line="189" w:lineRule="auto"/>
              <w:ind w:left="364"/>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1847" w:type="dxa"/>
          </w:tcPr>
          <w:p w14:paraId="21C5E292">
            <w:pPr>
              <w:rPr>
                <w:rFonts w:hint="eastAsia" w:ascii="宋体" w:hAnsi="宋体" w:eastAsia="宋体" w:cs="宋体"/>
                <w:color w:val="auto"/>
                <w:highlight w:val="none"/>
              </w:rPr>
            </w:pPr>
          </w:p>
        </w:tc>
        <w:tc>
          <w:tcPr>
            <w:tcW w:w="1342" w:type="dxa"/>
          </w:tcPr>
          <w:p w14:paraId="1F17C743">
            <w:pPr>
              <w:rPr>
                <w:rFonts w:hint="eastAsia" w:ascii="宋体" w:hAnsi="宋体" w:eastAsia="宋体" w:cs="宋体"/>
                <w:color w:val="auto"/>
                <w:highlight w:val="none"/>
              </w:rPr>
            </w:pPr>
          </w:p>
        </w:tc>
        <w:tc>
          <w:tcPr>
            <w:tcW w:w="1342" w:type="dxa"/>
          </w:tcPr>
          <w:p w14:paraId="11A317CC">
            <w:pPr>
              <w:rPr>
                <w:rFonts w:hint="eastAsia" w:ascii="宋体" w:hAnsi="宋体" w:eastAsia="宋体" w:cs="宋体"/>
                <w:color w:val="auto"/>
                <w:highlight w:val="none"/>
              </w:rPr>
            </w:pPr>
          </w:p>
        </w:tc>
        <w:tc>
          <w:tcPr>
            <w:tcW w:w="1342" w:type="dxa"/>
          </w:tcPr>
          <w:p w14:paraId="6971E975">
            <w:pPr>
              <w:rPr>
                <w:rFonts w:hint="eastAsia" w:ascii="宋体" w:hAnsi="宋体" w:eastAsia="宋体" w:cs="宋体"/>
                <w:color w:val="auto"/>
                <w:highlight w:val="none"/>
              </w:rPr>
            </w:pPr>
          </w:p>
        </w:tc>
        <w:tc>
          <w:tcPr>
            <w:tcW w:w="1845" w:type="dxa"/>
          </w:tcPr>
          <w:p w14:paraId="4FF3B925">
            <w:pPr>
              <w:rPr>
                <w:rFonts w:hint="eastAsia" w:ascii="宋体" w:hAnsi="宋体" w:eastAsia="宋体" w:cs="宋体"/>
                <w:color w:val="auto"/>
                <w:highlight w:val="none"/>
              </w:rPr>
            </w:pPr>
          </w:p>
        </w:tc>
        <w:tc>
          <w:tcPr>
            <w:tcW w:w="1437" w:type="dxa"/>
            <w:tcBorders>
              <w:right w:val="single" w:color="000000" w:sz="6" w:space="0"/>
            </w:tcBorders>
          </w:tcPr>
          <w:p w14:paraId="74A577EA">
            <w:pPr>
              <w:rPr>
                <w:rFonts w:hint="eastAsia" w:ascii="宋体" w:hAnsi="宋体" w:eastAsia="宋体" w:cs="宋体"/>
                <w:color w:val="auto"/>
                <w:highlight w:val="none"/>
              </w:rPr>
            </w:pPr>
          </w:p>
        </w:tc>
      </w:tr>
      <w:tr w14:paraId="2D965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06" w:type="dxa"/>
            <w:tcBorders>
              <w:left w:val="single" w:color="000000" w:sz="6" w:space="0"/>
            </w:tcBorders>
          </w:tcPr>
          <w:p w14:paraId="0F1EA416">
            <w:pPr>
              <w:pStyle w:val="87"/>
              <w:spacing w:before="68" w:line="189" w:lineRule="auto"/>
              <w:ind w:left="351"/>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847" w:type="dxa"/>
          </w:tcPr>
          <w:p w14:paraId="09488A4C">
            <w:pPr>
              <w:rPr>
                <w:rFonts w:hint="eastAsia" w:ascii="宋体" w:hAnsi="宋体" w:eastAsia="宋体" w:cs="宋体"/>
                <w:color w:val="auto"/>
                <w:highlight w:val="none"/>
              </w:rPr>
            </w:pPr>
          </w:p>
        </w:tc>
        <w:tc>
          <w:tcPr>
            <w:tcW w:w="1342" w:type="dxa"/>
          </w:tcPr>
          <w:p w14:paraId="162B461B">
            <w:pPr>
              <w:rPr>
                <w:rFonts w:hint="eastAsia" w:ascii="宋体" w:hAnsi="宋体" w:eastAsia="宋体" w:cs="宋体"/>
                <w:color w:val="auto"/>
                <w:highlight w:val="none"/>
              </w:rPr>
            </w:pPr>
          </w:p>
        </w:tc>
        <w:tc>
          <w:tcPr>
            <w:tcW w:w="1342" w:type="dxa"/>
          </w:tcPr>
          <w:p w14:paraId="0F439153">
            <w:pPr>
              <w:rPr>
                <w:rFonts w:hint="eastAsia" w:ascii="宋体" w:hAnsi="宋体" w:eastAsia="宋体" w:cs="宋体"/>
                <w:color w:val="auto"/>
                <w:highlight w:val="none"/>
              </w:rPr>
            </w:pPr>
          </w:p>
        </w:tc>
        <w:tc>
          <w:tcPr>
            <w:tcW w:w="1342" w:type="dxa"/>
          </w:tcPr>
          <w:p w14:paraId="076EE9F9">
            <w:pPr>
              <w:rPr>
                <w:rFonts w:hint="eastAsia" w:ascii="宋体" w:hAnsi="宋体" w:eastAsia="宋体" w:cs="宋体"/>
                <w:color w:val="auto"/>
                <w:highlight w:val="none"/>
              </w:rPr>
            </w:pPr>
          </w:p>
        </w:tc>
        <w:tc>
          <w:tcPr>
            <w:tcW w:w="1845" w:type="dxa"/>
          </w:tcPr>
          <w:p w14:paraId="06941C9D">
            <w:pPr>
              <w:rPr>
                <w:rFonts w:hint="eastAsia" w:ascii="宋体" w:hAnsi="宋体" w:eastAsia="宋体" w:cs="宋体"/>
                <w:color w:val="auto"/>
                <w:highlight w:val="none"/>
              </w:rPr>
            </w:pPr>
          </w:p>
        </w:tc>
        <w:tc>
          <w:tcPr>
            <w:tcW w:w="1437" w:type="dxa"/>
            <w:tcBorders>
              <w:right w:val="single" w:color="000000" w:sz="6" w:space="0"/>
            </w:tcBorders>
          </w:tcPr>
          <w:p w14:paraId="7AF62D13">
            <w:pPr>
              <w:rPr>
                <w:rFonts w:hint="eastAsia" w:ascii="宋体" w:hAnsi="宋体" w:eastAsia="宋体" w:cs="宋体"/>
                <w:color w:val="auto"/>
                <w:highlight w:val="none"/>
              </w:rPr>
            </w:pPr>
          </w:p>
        </w:tc>
      </w:tr>
      <w:tr w14:paraId="31B84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076A909D">
            <w:pPr>
              <w:pStyle w:val="87"/>
              <w:spacing w:before="72" w:line="189" w:lineRule="auto"/>
              <w:ind w:left="352"/>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1847" w:type="dxa"/>
          </w:tcPr>
          <w:p w14:paraId="5432D067">
            <w:pPr>
              <w:rPr>
                <w:rFonts w:hint="eastAsia" w:ascii="宋体" w:hAnsi="宋体" w:eastAsia="宋体" w:cs="宋体"/>
                <w:color w:val="auto"/>
                <w:highlight w:val="none"/>
              </w:rPr>
            </w:pPr>
          </w:p>
        </w:tc>
        <w:tc>
          <w:tcPr>
            <w:tcW w:w="1342" w:type="dxa"/>
          </w:tcPr>
          <w:p w14:paraId="7A6A176C">
            <w:pPr>
              <w:rPr>
                <w:rFonts w:hint="eastAsia" w:ascii="宋体" w:hAnsi="宋体" w:eastAsia="宋体" w:cs="宋体"/>
                <w:color w:val="auto"/>
                <w:highlight w:val="none"/>
              </w:rPr>
            </w:pPr>
          </w:p>
        </w:tc>
        <w:tc>
          <w:tcPr>
            <w:tcW w:w="1342" w:type="dxa"/>
          </w:tcPr>
          <w:p w14:paraId="6DC6545A">
            <w:pPr>
              <w:rPr>
                <w:rFonts w:hint="eastAsia" w:ascii="宋体" w:hAnsi="宋体" w:eastAsia="宋体" w:cs="宋体"/>
                <w:color w:val="auto"/>
                <w:highlight w:val="none"/>
              </w:rPr>
            </w:pPr>
          </w:p>
        </w:tc>
        <w:tc>
          <w:tcPr>
            <w:tcW w:w="1342" w:type="dxa"/>
          </w:tcPr>
          <w:p w14:paraId="20E0BC84">
            <w:pPr>
              <w:rPr>
                <w:rFonts w:hint="eastAsia" w:ascii="宋体" w:hAnsi="宋体" w:eastAsia="宋体" w:cs="宋体"/>
                <w:color w:val="auto"/>
                <w:highlight w:val="none"/>
              </w:rPr>
            </w:pPr>
          </w:p>
        </w:tc>
        <w:tc>
          <w:tcPr>
            <w:tcW w:w="1845" w:type="dxa"/>
          </w:tcPr>
          <w:p w14:paraId="7945480D">
            <w:pPr>
              <w:rPr>
                <w:rFonts w:hint="eastAsia" w:ascii="宋体" w:hAnsi="宋体" w:eastAsia="宋体" w:cs="宋体"/>
                <w:color w:val="auto"/>
                <w:highlight w:val="none"/>
              </w:rPr>
            </w:pPr>
          </w:p>
        </w:tc>
        <w:tc>
          <w:tcPr>
            <w:tcW w:w="1437" w:type="dxa"/>
            <w:tcBorders>
              <w:right w:val="single" w:color="000000" w:sz="6" w:space="0"/>
            </w:tcBorders>
          </w:tcPr>
          <w:p w14:paraId="70F7F8DA">
            <w:pPr>
              <w:rPr>
                <w:rFonts w:hint="eastAsia" w:ascii="宋体" w:hAnsi="宋体" w:eastAsia="宋体" w:cs="宋体"/>
                <w:color w:val="auto"/>
                <w:highlight w:val="none"/>
              </w:rPr>
            </w:pPr>
          </w:p>
        </w:tc>
      </w:tr>
      <w:tr w14:paraId="050B93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06" w:type="dxa"/>
            <w:tcBorders>
              <w:left w:val="single" w:color="000000" w:sz="6" w:space="0"/>
            </w:tcBorders>
          </w:tcPr>
          <w:p w14:paraId="4117D434">
            <w:pPr>
              <w:pStyle w:val="87"/>
              <w:spacing w:before="72" w:line="189" w:lineRule="auto"/>
              <w:ind w:left="347"/>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1847" w:type="dxa"/>
          </w:tcPr>
          <w:p w14:paraId="3B775536">
            <w:pPr>
              <w:rPr>
                <w:rFonts w:hint="eastAsia" w:ascii="宋体" w:hAnsi="宋体" w:eastAsia="宋体" w:cs="宋体"/>
                <w:color w:val="auto"/>
                <w:highlight w:val="none"/>
              </w:rPr>
            </w:pPr>
          </w:p>
        </w:tc>
        <w:tc>
          <w:tcPr>
            <w:tcW w:w="1342" w:type="dxa"/>
          </w:tcPr>
          <w:p w14:paraId="5098F41A">
            <w:pPr>
              <w:rPr>
                <w:rFonts w:hint="eastAsia" w:ascii="宋体" w:hAnsi="宋体" w:eastAsia="宋体" w:cs="宋体"/>
                <w:color w:val="auto"/>
                <w:highlight w:val="none"/>
              </w:rPr>
            </w:pPr>
          </w:p>
        </w:tc>
        <w:tc>
          <w:tcPr>
            <w:tcW w:w="1342" w:type="dxa"/>
          </w:tcPr>
          <w:p w14:paraId="39E3D005">
            <w:pPr>
              <w:rPr>
                <w:rFonts w:hint="eastAsia" w:ascii="宋体" w:hAnsi="宋体" w:eastAsia="宋体" w:cs="宋体"/>
                <w:color w:val="auto"/>
                <w:highlight w:val="none"/>
              </w:rPr>
            </w:pPr>
          </w:p>
        </w:tc>
        <w:tc>
          <w:tcPr>
            <w:tcW w:w="1342" w:type="dxa"/>
          </w:tcPr>
          <w:p w14:paraId="0307FB92">
            <w:pPr>
              <w:rPr>
                <w:rFonts w:hint="eastAsia" w:ascii="宋体" w:hAnsi="宋体" w:eastAsia="宋体" w:cs="宋体"/>
                <w:color w:val="auto"/>
                <w:highlight w:val="none"/>
              </w:rPr>
            </w:pPr>
          </w:p>
        </w:tc>
        <w:tc>
          <w:tcPr>
            <w:tcW w:w="1845" w:type="dxa"/>
          </w:tcPr>
          <w:p w14:paraId="085296C7">
            <w:pPr>
              <w:rPr>
                <w:rFonts w:hint="eastAsia" w:ascii="宋体" w:hAnsi="宋体" w:eastAsia="宋体" w:cs="宋体"/>
                <w:color w:val="auto"/>
                <w:highlight w:val="none"/>
              </w:rPr>
            </w:pPr>
          </w:p>
        </w:tc>
        <w:tc>
          <w:tcPr>
            <w:tcW w:w="1437" w:type="dxa"/>
            <w:tcBorders>
              <w:right w:val="single" w:color="000000" w:sz="6" w:space="0"/>
            </w:tcBorders>
          </w:tcPr>
          <w:p w14:paraId="24B7F935">
            <w:pPr>
              <w:rPr>
                <w:rFonts w:hint="eastAsia" w:ascii="宋体" w:hAnsi="宋体" w:eastAsia="宋体" w:cs="宋体"/>
                <w:color w:val="auto"/>
                <w:highlight w:val="none"/>
              </w:rPr>
            </w:pPr>
          </w:p>
        </w:tc>
      </w:tr>
      <w:tr w14:paraId="386BDA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03D3C265">
            <w:pPr>
              <w:pStyle w:val="87"/>
              <w:spacing w:before="79" w:line="187" w:lineRule="auto"/>
              <w:ind w:left="352"/>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1847" w:type="dxa"/>
          </w:tcPr>
          <w:p w14:paraId="269DB70D">
            <w:pPr>
              <w:rPr>
                <w:rFonts w:hint="eastAsia" w:ascii="宋体" w:hAnsi="宋体" w:eastAsia="宋体" w:cs="宋体"/>
                <w:color w:val="auto"/>
                <w:highlight w:val="none"/>
              </w:rPr>
            </w:pPr>
          </w:p>
        </w:tc>
        <w:tc>
          <w:tcPr>
            <w:tcW w:w="1342" w:type="dxa"/>
          </w:tcPr>
          <w:p w14:paraId="421A7C23">
            <w:pPr>
              <w:rPr>
                <w:rFonts w:hint="eastAsia" w:ascii="宋体" w:hAnsi="宋体" w:eastAsia="宋体" w:cs="宋体"/>
                <w:color w:val="auto"/>
                <w:highlight w:val="none"/>
              </w:rPr>
            </w:pPr>
          </w:p>
        </w:tc>
        <w:tc>
          <w:tcPr>
            <w:tcW w:w="1342" w:type="dxa"/>
          </w:tcPr>
          <w:p w14:paraId="45A306C4">
            <w:pPr>
              <w:rPr>
                <w:rFonts w:hint="eastAsia" w:ascii="宋体" w:hAnsi="宋体" w:eastAsia="宋体" w:cs="宋体"/>
                <w:color w:val="auto"/>
                <w:highlight w:val="none"/>
              </w:rPr>
            </w:pPr>
          </w:p>
        </w:tc>
        <w:tc>
          <w:tcPr>
            <w:tcW w:w="1342" w:type="dxa"/>
          </w:tcPr>
          <w:p w14:paraId="71E328B8">
            <w:pPr>
              <w:rPr>
                <w:rFonts w:hint="eastAsia" w:ascii="宋体" w:hAnsi="宋体" w:eastAsia="宋体" w:cs="宋体"/>
                <w:color w:val="auto"/>
                <w:highlight w:val="none"/>
              </w:rPr>
            </w:pPr>
          </w:p>
        </w:tc>
        <w:tc>
          <w:tcPr>
            <w:tcW w:w="1845" w:type="dxa"/>
          </w:tcPr>
          <w:p w14:paraId="4FF816EF">
            <w:pPr>
              <w:rPr>
                <w:rFonts w:hint="eastAsia" w:ascii="宋体" w:hAnsi="宋体" w:eastAsia="宋体" w:cs="宋体"/>
                <w:color w:val="auto"/>
                <w:highlight w:val="none"/>
              </w:rPr>
            </w:pPr>
          </w:p>
        </w:tc>
        <w:tc>
          <w:tcPr>
            <w:tcW w:w="1437" w:type="dxa"/>
            <w:tcBorders>
              <w:right w:val="single" w:color="000000" w:sz="6" w:space="0"/>
            </w:tcBorders>
          </w:tcPr>
          <w:p w14:paraId="3B2830CB">
            <w:pPr>
              <w:rPr>
                <w:rFonts w:hint="eastAsia" w:ascii="宋体" w:hAnsi="宋体" w:eastAsia="宋体" w:cs="宋体"/>
                <w:color w:val="auto"/>
                <w:highlight w:val="none"/>
              </w:rPr>
            </w:pPr>
          </w:p>
        </w:tc>
      </w:tr>
      <w:tr w14:paraId="1E9C7A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806" w:type="dxa"/>
            <w:tcBorders>
              <w:left w:val="single" w:color="000000" w:sz="6" w:space="0"/>
              <w:bottom w:val="single" w:color="000000" w:sz="6" w:space="0"/>
            </w:tcBorders>
          </w:tcPr>
          <w:p w14:paraId="0F86EE65">
            <w:pPr>
              <w:pStyle w:val="87"/>
              <w:spacing w:before="198" w:line="84" w:lineRule="exact"/>
              <w:ind w:left="116"/>
              <w:rPr>
                <w:rFonts w:hint="eastAsia" w:ascii="宋体" w:hAnsi="宋体" w:eastAsia="宋体" w:cs="宋体"/>
                <w:color w:val="auto"/>
                <w:highlight w:val="none"/>
              </w:rPr>
            </w:pPr>
            <w:r>
              <w:rPr>
                <w:rFonts w:hint="eastAsia" w:ascii="宋体" w:hAnsi="宋体" w:eastAsia="宋体" w:cs="宋体"/>
                <w:color w:val="auto"/>
                <w:spacing w:val="3"/>
                <w:position w:val="1"/>
                <w:highlight w:val="none"/>
              </w:rPr>
              <w:t>...</w:t>
            </w:r>
          </w:p>
        </w:tc>
        <w:tc>
          <w:tcPr>
            <w:tcW w:w="1847" w:type="dxa"/>
            <w:tcBorders>
              <w:bottom w:val="single" w:color="000000" w:sz="6" w:space="0"/>
            </w:tcBorders>
          </w:tcPr>
          <w:p w14:paraId="52AA9F71">
            <w:pPr>
              <w:rPr>
                <w:rFonts w:hint="eastAsia" w:ascii="宋体" w:hAnsi="宋体" w:eastAsia="宋体" w:cs="宋体"/>
                <w:color w:val="auto"/>
                <w:highlight w:val="none"/>
              </w:rPr>
            </w:pPr>
          </w:p>
        </w:tc>
        <w:tc>
          <w:tcPr>
            <w:tcW w:w="1342" w:type="dxa"/>
            <w:tcBorders>
              <w:bottom w:val="single" w:color="000000" w:sz="6" w:space="0"/>
            </w:tcBorders>
          </w:tcPr>
          <w:p w14:paraId="259A4CDF">
            <w:pPr>
              <w:rPr>
                <w:rFonts w:hint="eastAsia" w:ascii="宋体" w:hAnsi="宋体" w:eastAsia="宋体" w:cs="宋体"/>
                <w:color w:val="auto"/>
                <w:highlight w:val="none"/>
              </w:rPr>
            </w:pPr>
          </w:p>
        </w:tc>
        <w:tc>
          <w:tcPr>
            <w:tcW w:w="1342" w:type="dxa"/>
            <w:tcBorders>
              <w:bottom w:val="single" w:color="000000" w:sz="6" w:space="0"/>
            </w:tcBorders>
          </w:tcPr>
          <w:p w14:paraId="35F4EE18">
            <w:pPr>
              <w:rPr>
                <w:rFonts w:hint="eastAsia" w:ascii="宋体" w:hAnsi="宋体" w:eastAsia="宋体" w:cs="宋体"/>
                <w:color w:val="auto"/>
                <w:highlight w:val="none"/>
              </w:rPr>
            </w:pPr>
          </w:p>
        </w:tc>
        <w:tc>
          <w:tcPr>
            <w:tcW w:w="1342" w:type="dxa"/>
            <w:tcBorders>
              <w:bottom w:val="single" w:color="000000" w:sz="6" w:space="0"/>
            </w:tcBorders>
          </w:tcPr>
          <w:p w14:paraId="587CFF7A">
            <w:pPr>
              <w:rPr>
                <w:rFonts w:hint="eastAsia" w:ascii="宋体" w:hAnsi="宋体" w:eastAsia="宋体" w:cs="宋体"/>
                <w:color w:val="auto"/>
                <w:highlight w:val="none"/>
              </w:rPr>
            </w:pPr>
          </w:p>
        </w:tc>
        <w:tc>
          <w:tcPr>
            <w:tcW w:w="1845" w:type="dxa"/>
            <w:tcBorders>
              <w:bottom w:val="single" w:color="000000" w:sz="6" w:space="0"/>
            </w:tcBorders>
          </w:tcPr>
          <w:p w14:paraId="7740C21C">
            <w:pPr>
              <w:rPr>
                <w:rFonts w:hint="eastAsia" w:ascii="宋体" w:hAnsi="宋体" w:eastAsia="宋体" w:cs="宋体"/>
                <w:color w:val="auto"/>
                <w:highlight w:val="none"/>
              </w:rPr>
            </w:pPr>
          </w:p>
        </w:tc>
        <w:tc>
          <w:tcPr>
            <w:tcW w:w="1437" w:type="dxa"/>
            <w:tcBorders>
              <w:bottom w:val="single" w:color="000000" w:sz="6" w:space="0"/>
              <w:right w:val="single" w:color="000000" w:sz="6" w:space="0"/>
            </w:tcBorders>
          </w:tcPr>
          <w:p w14:paraId="2D451112">
            <w:pPr>
              <w:rPr>
                <w:rFonts w:hint="eastAsia" w:ascii="宋体" w:hAnsi="宋体" w:eastAsia="宋体" w:cs="宋体"/>
                <w:color w:val="auto"/>
                <w:highlight w:val="none"/>
              </w:rPr>
            </w:pPr>
          </w:p>
        </w:tc>
      </w:tr>
    </w:tbl>
    <w:p w14:paraId="5B77441F">
      <w:pPr>
        <w:pStyle w:val="11"/>
        <w:spacing w:before="33" w:line="232" w:lineRule="auto"/>
        <w:ind w:left="2"/>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注：</w:t>
      </w:r>
    </w:p>
    <w:p w14:paraId="5240A308">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431BED70">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2.《节能产品政府采购品目清单》《环境标志产品政府采购品目清单》请登录中国政府采购网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"http://www.ccgp.gov.cn"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lang w:bidi="ar"/>
        </w:rPr>
        <w:t>http://www.ccgp.gov.cn</w:t>
      </w:r>
      <w:r>
        <w:rPr>
          <w:rFonts w:hint="eastAsia" w:ascii="宋体" w:hAnsi="宋体" w:eastAsia="宋体" w:cs="宋体"/>
          <w:color w:val="auto"/>
          <w:szCs w:val="21"/>
          <w:highlight w:val="none"/>
          <w:lang w:bidi="ar"/>
        </w:rPr>
        <w:fldChar w:fldCharType="end"/>
      </w:r>
      <w:r>
        <w:rPr>
          <w:rFonts w:hint="eastAsia" w:ascii="宋体" w:hAnsi="宋体" w:eastAsia="宋体" w:cs="宋体"/>
          <w:color w:val="auto"/>
          <w:szCs w:val="21"/>
          <w:highlight w:val="none"/>
          <w:lang w:bidi="ar"/>
        </w:rPr>
        <w:t>查询。</w:t>
      </w:r>
    </w:p>
    <w:p w14:paraId="6AFB551C">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3.供应商应在本表后提供表内所列认证证书扫描件。</w:t>
      </w:r>
    </w:p>
    <w:p w14:paraId="74CF0371">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0F7C27D1">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5B688C0E">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40D51C41">
      <w:pPr>
        <w:spacing w:line="274" w:lineRule="auto"/>
        <w:rPr>
          <w:rFonts w:hint="eastAsia" w:ascii="宋体" w:hAnsi="宋体" w:eastAsia="宋体" w:cs="宋体"/>
          <w:color w:val="auto"/>
          <w:highlight w:val="none"/>
        </w:rPr>
      </w:pPr>
    </w:p>
    <w:p w14:paraId="45F56180">
      <w:pPr>
        <w:spacing w:line="275" w:lineRule="auto"/>
        <w:rPr>
          <w:rFonts w:hint="eastAsia" w:ascii="宋体" w:hAnsi="宋体" w:eastAsia="宋体" w:cs="宋体"/>
          <w:color w:val="auto"/>
          <w:highlight w:val="none"/>
        </w:rPr>
      </w:pPr>
    </w:p>
    <w:p w14:paraId="4FB949C9">
      <w:pPr>
        <w:spacing w:line="275" w:lineRule="auto"/>
        <w:rPr>
          <w:rFonts w:hint="eastAsia" w:ascii="宋体" w:hAnsi="宋体" w:eastAsia="宋体" w:cs="宋体"/>
          <w:color w:val="auto"/>
          <w:highlight w:val="none"/>
        </w:rPr>
      </w:pPr>
    </w:p>
    <w:p w14:paraId="08D2B941">
      <w:pPr>
        <w:pStyle w:val="11"/>
        <w:spacing w:before="66" w:line="227" w:lineRule="auto"/>
        <w:ind w:left="5"/>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供应商名称（盖单位公章</w:t>
      </w:r>
      <w:r>
        <w:rPr>
          <w:rFonts w:hint="eastAsia" w:ascii="宋体" w:hAnsi="宋体" w:eastAsia="宋体" w:cs="宋体"/>
          <w:color w:val="auto"/>
          <w:spacing w:val="12"/>
          <w:sz w:val="20"/>
          <w:szCs w:val="20"/>
          <w:highlight w:val="none"/>
        </w:rPr>
        <w:t>）：</w:t>
      </w:r>
    </w:p>
    <w:p w14:paraId="7AA35548">
      <w:pPr>
        <w:spacing w:line="420" w:lineRule="auto"/>
        <w:rPr>
          <w:rFonts w:hint="eastAsia" w:ascii="宋体" w:hAnsi="宋体" w:eastAsia="宋体" w:cs="宋体"/>
          <w:color w:val="auto"/>
          <w:highlight w:val="none"/>
        </w:rPr>
      </w:pPr>
    </w:p>
    <w:p w14:paraId="19B76FE9">
      <w:pPr>
        <w:pStyle w:val="11"/>
        <w:spacing w:before="66" w:line="228" w:lineRule="auto"/>
        <w:ind w:left="3"/>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法定代表人或授权代表（签字或盖单位公章</w:t>
      </w:r>
      <w:r>
        <w:rPr>
          <w:rFonts w:hint="eastAsia" w:ascii="宋体" w:hAnsi="宋体" w:eastAsia="宋体" w:cs="宋体"/>
          <w:color w:val="auto"/>
          <w:spacing w:val="14"/>
          <w:sz w:val="20"/>
          <w:szCs w:val="20"/>
          <w:highlight w:val="none"/>
        </w:rPr>
        <w:t>）：</w:t>
      </w:r>
    </w:p>
    <w:p w14:paraId="4C98DCAC">
      <w:pPr>
        <w:spacing w:line="420" w:lineRule="auto"/>
        <w:rPr>
          <w:rFonts w:hint="eastAsia" w:ascii="宋体" w:hAnsi="宋体" w:eastAsia="宋体" w:cs="宋体"/>
          <w:color w:val="auto"/>
          <w:highlight w:val="none"/>
        </w:rPr>
      </w:pPr>
    </w:p>
    <w:p w14:paraId="327CC9F3">
      <w:pPr>
        <w:pStyle w:val="11"/>
        <w:spacing w:before="66" w:line="228" w:lineRule="auto"/>
        <w:ind w:left="38"/>
        <w:rPr>
          <w:rFonts w:hint="eastAsia" w:ascii="宋体" w:hAnsi="宋体" w:eastAsia="宋体" w:cs="宋体"/>
          <w:color w:val="auto"/>
          <w:sz w:val="20"/>
          <w:szCs w:val="20"/>
          <w:highlight w:val="none"/>
        </w:rPr>
      </w:pPr>
      <w:r>
        <w:rPr>
          <w:rFonts w:hint="eastAsia" w:ascii="宋体" w:hAnsi="宋体" w:eastAsia="宋体" w:cs="宋体"/>
          <w:color w:val="auto"/>
          <w:spacing w:val="-11"/>
          <w:sz w:val="20"/>
          <w:szCs w:val="20"/>
          <w:highlight w:val="none"/>
        </w:rPr>
        <w:t>日期:年月日</w:t>
      </w:r>
    </w:p>
    <w:p w14:paraId="32913220">
      <w:pPr>
        <w:rPr>
          <w:rFonts w:hint="eastAsia" w:ascii="宋体" w:hAnsi="宋体" w:eastAsia="宋体" w:cs="宋体"/>
          <w:b/>
          <w:color w:val="auto"/>
          <w:sz w:val="36"/>
          <w:highlight w:val="none"/>
        </w:rPr>
      </w:pPr>
      <w:r>
        <w:rPr>
          <w:rFonts w:hint="eastAsia" w:ascii="宋体" w:hAnsi="宋体" w:eastAsia="宋体" w:cs="宋体"/>
          <w:b/>
          <w:color w:val="auto"/>
          <w:sz w:val="36"/>
          <w:highlight w:val="none"/>
        </w:rPr>
        <w:br w:type="page"/>
      </w:r>
    </w:p>
    <w:p w14:paraId="266AA4CB">
      <w:pPr>
        <w:adjustRightInd w:val="0"/>
        <w:snapToGrid w:val="0"/>
        <w:spacing w:before="36" w:beforeLines="15" w:line="360" w:lineRule="auto"/>
        <w:jc w:val="left"/>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格式十八  节能产品、环境标志产品政府优先采购认证证书一览表</w:t>
      </w:r>
    </w:p>
    <w:p w14:paraId="61E58279">
      <w:pPr>
        <w:pStyle w:val="11"/>
        <w:spacing w:before="78" w:line="219" w:lineRule="auto"/>
        <w:jc w:val="center"/>
        <w:rPr>
          <w:rFonts w:hint="eastAsia" w:ascii="宋体" w:hAnsi="宋体" w:eastAsia="宋体" w:cs="宋体"/>
          <w:color w:val="auto"/>
          <w:sz w:val="24"/>
          <w:highlight w:val="none"/>
        </w:rPr>
      </w:pPr>
      <w:r>
        <w:rPr>
          <w:rFonts w:hint="eastAsia" w:ascii="宋体" w:hAnsi="宋体" w:eastAsia="宋体" w:cs="宋体"/>
          <w:color w:val="auto"/>
          <w:spacing w:val="-3"/>
          <w:sz w:val="24"/>
          <w:highlight w:val="none"/>
        </w:rPr>
        <w:t>（如果有，提供）</w:t>
      </w:r>
    </w:p>
    <w:p w14:paraId="4C6F6918">
      <w:pPr>
        <w:spacing w:line="203" w:lineRule="exact"/>
        <w:rPr>
          <w:rFonts w:hint="eastAsia" w:ascii="宋体" w:hAnsi="宋体" w:eastAsia="宋体" w:cs="宋体"/>
          <w:color w:val="auto"/>
          <w:highlight w:val="none"/>
        </w:rPr>
      </w:pPr>
    </w:p>
    <w:tbl>
      <w:tblPr>
        <w:tblStyle w:val="88"/>
        <w:tblW w:w="996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6"/>
        <w:gridCol w:w="1847"/>
        <w:gridCol w:w="1342"/>
        <w:gridCol w:w="1342"/>
        <w:gridCol w:w="1342"/>
        <w:gridCol w:w="1845"/>
        <w:gridCol w:w="1437"/>
      </w:tblGrid>
      <w:tr w14:paraId="52EDDD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1" w:hRule="atLeast"/>
          <w:jc w:val="center"/>
        </w:trPr>
        <w:tc>
          <w:tcPr>
            <w:tcW w:w="806" w:type="dxa"/>
            <w:tcBorders>
              <w:top w:val="single" w:color="000000" w:sz="6" w:space="0"/>
              <w:left w:val="single" w:color="000000" w:sz="6" w:space="0"/>
            </w:tcBorders>
          </w:tcPr>
          <w:p w14:paraId="4132916A">
            <w:pPr>
              <w:pStyle w:val="87"/>
              <w:spacing w:before="267" w:line="229" w:lineRule="auto"/>
              <w:ind w:left="191"/>
              <w:rPr>
                <w:rFonts w:hint="eastAsia" w:ascii="宋体" w:hAnsi="宋体" w:eastAsia="宋体" w:cs="宋体"/>
                <w:color w:val="auto"/>
                <w:highlight w:val="none"/>
              </w:rPr>
            </w:pPr>
            <w:r>
              <w:rPr>
                <w:rFonts w:hint="eastAsia" w:ascii="宋体" w:hAnsi="宋体" w:eastAsia="宋体" w:cs="宋体"/>
                <w:color w:val="auto"/>
                <w:spacing w:val="5"/>
                <w:highlight w:val="none"/>
              </w:rPr>
              <w:t>序号</w:t>
            </w:r>
          </w:p>
        </w:tc>
        <w:tc>
          <w:tcPr>
            <w:tcW w:w="1847" w:type="dxa"/>
            <w:tcBorders>
              <w:top w:val="single" w:color="000000" w:sz="6" w:space="0"/>
            </w:tcBorders>
          </w:tcPr>
          <w:p w14:paraId="648E5A60">
            <w:pPr>
              <w:pStyle w:val="87"/>
              <w:spacing w:before="266" w:line="231" w:lineRule="auto"/>
              <w:ind w:left="731"/>
              <w:rPr>
                <w:rFonts w:hint="eastAsia" w:ascii="宋体" w:hAnsi="宋体" w:eastAsia="宋体" w:cs="宋体"/>
                <w:color w:val="auto"/>
                <w:highlight w:val="none"/>
              </w:rPr>
            </w:pPr>
            <w:r>
              <w:rPr>
                <w:rFonts w:hint="eastAsia" w:ascii="宋体" w:hAnsi="宋体" w:eastAsia="宋体" w:cs="宋体"/>
                <w:color w:val="auto"/>
                <w:spacing w:val="-4"/>
                <w:highlight w:val="none"/>
              </w:rPr>
              <w:t>品目</w:t>
            </w:r>
          </w:p>
        </w:tc>
        <w:tc>
          <w:tcPr>
            <w:tcW w:w="1342" w:type="dxa"/>
            <w:tcBorders>
              <w:top w:val="single" w:color="000000" w:sz="6" w:space="0"/>
            </w:tcBorders>
          </w:tcPr>
          <w:p w14:paraId="4D47ABB8">
            <w:pPr>
              <w:pStyle w:val="87"/>
              <w:spacing w:before="267" w:line="228" w:lineRule="auto"/>
              <w:ind w:left="254"/>
              <w:rPr>
                <w:rFonts w:hint="eastAsia" w:ascii="宋体" w:hAnsi="宋体" w:eastAsia="宋体" w:cs="宋体"/>
                <w:color w:val="auto"/>
                <w:highlight w:val="none"/>
              </w:rPr>
            </w:pPr>
            <w:r>
              <w:rPr>
                <w:rFonts w:hint="eastAsia" w:ascii="宋体" w:hAnsi="宋体" w:eastAsia="宋体" w:cs="宋体"/>
                <w:color w:val="auto"/>
                <w:spacing w:val="7"/>
                <w:highlight w:val="none"/>
              </w:rPr>
              <w:t>产品名称</w:t>
            </w:r>
          </w:p>
        </w:tc>
        <w:tc>
          <w:tcPr>
            <w:tcW w:w="1342" w:type="dxa"/>
            <w:tcBorders>
              <w:top w:val="single" w:color="000000" w:sz="6" w:space="0"/>
            </w:tcBorders>
          </w:tcPr>
          <w:p w14:paraId="26045886">
            <w:pPr>
              <w:pStyle w:val="87"/>
              <w:spacing w:before="267" w:line="228" w:lineRule="auto"/>
              <w:ind w:left="257"/>
              <w:rPr>
                <w:rFonts w:hint="eastAsia" w:ascii="宋体" w:hAnsi="宋体" w:eastAsia="宋体" w:cs="宋体"/>
                <w:color w:val="auto"/>
                <w:highlight w:val="none"/>
              </w:rPr>
            </w:pPr>
            <w:r>
              <w:rPr>
                <w:rFonts w:hint="eastAsia" w:ascii="宋体" w:hAnsi="宋体" w:eastAsia="宋体" w:cs="宋体"/>
                <w:color w:val="auto"/>
                <w:spacing w:val="7"/>
                <w:highlight w:val="none"/>
              </w:rPr>
              <w:t>规格型号</w:t>
            </w:r>
          </w:p>
        </w:tc>
        <w:tc>
          <w:tcPr>
            <w:tcW w:w="1342" w:type="dxa"/>
            <w:tcBorders>
              <w:top w:val="single" w:color="000000" w:sz="6" w:space="0"/>
            </w:tcBorders>
          </w:tcPr>
          <w:p w14:paraId="5C6B8FA9">
            <w:pPr>
              <w:pStyle w:val="87"/>
              <w:spacing w:before="267" w:line="227" w:lineRule="auto"/>
              <w:ind w:left="258"/>
              <w:rPr>
                <w:rFonts w:hint="eastAsia" w:ascii="宋体" w:hAnsi="宋体" w:eastAsia="宋体" w:cs="宋体"/>
                <w:color w:val="auto"/>
                <w:highlight w:val="none"/>
              </w:rPr>
            </w:pPr>
            <w:r>
              <w:rPr>
                <w:rFonts w:hint="eastAsia" w:ascii="宋体" w:hAnsi="宋体" w:eastAsia="宋体" w:cs="宋体"/>
                <w:color w:val="auto"/>
                <w:spacing w:val="7"/>
                <w:highlight w:val="none"/>
              </w:rPr>
              <w:t>证书编号</w:t>
            </w:r>
          </w:p>
        </w:tc>
        <w:tc>
          <w:tcPr>
            <w:tcW w:w="1845" w:type="dxa"/>
            <w:tcBorders>
              <w:top w:val="single" w:color="000000" w:sz="6" w:space="0"/>
            </w:tcBorders>
          </w:tcPr>
          <w:p w14:paraId="437C1DC1">
            <w:pPr>
              <w:pStyle w:val="87"/>
              <w:spacing w:before="267" w:line="227" w:lineRule="auto"/>
              <w:ind w:left="303"/>
              <w:rPr>
                <w:rFonts w:hint="eastAsia" w:ascii="宋体" w:hAnsi="宋体" w:eastAsia="宋体" w:cs="宋体"/>
                <w:color w:val="auto"/>
                <w:highlight w:val="none"/>
              </w:rPr>
            </w:pPr>
            <w:r>
              <w:rPr>
                <w:rFonts w:hint="eastAsia" w:ascii="宋体" w:hAnsi="宋体" w:eastAsia="宋体" w:cs="宋体"/>
                <w:color w:val="auto"/>
                <w:spacing w:val="8"/>
                <w:highlight w:val="none"/>
              </w:rPr>
              <w:t>证书到期日期</w:t>
            </w:r>
          </w:p>
        </w:tc>
        <w:tc>
          <w:tcPr>
            <w:tcW w:w="1437" w:type="dxa"/>
            <w:tcBorders>
              <w:top w:val="single" w:color="000000" w:sz="6" w:space="0"/>
              <w:right w:val="single" w:color="000000" w:sz="6" w:space="0"/>
            </w:tcBorders>
          </w:tcPr>
          <w:p w14:paraId="664003FD">
            <w:pPr>
              <w:pStyle w:val="87"/>
              <w:spacing w:before="267" w:line="227" w:lineRule="auto"/>
              <w:ind w:left="309"/>
              <w:rPr>
                <w:rFonts w:hint="eastAsia" w:ascii="宋体" w:hAnsi="宋体" w:eastAsia="宋体" w:cs="宋体"/>
                <w:color w:val="auto"/>
                <w:highlight w:val="none"/>
              </w:rPr>
            </w:pPr>
            <w:r>
              <w:rPr>
                <w:rFonts w:hint="eastAsia" w:ascii="宋体" w:hAnsi="宋体" w:eastAsia="宋体" w:cs="宋体"/>
                <w:color w:val="auto"/>
                <w:spacing w:val="6"/>
                <w:highlight w:val="none"/>
              </w:rPr>
              <w:t>发证机构</w:t>
            </w:r>
          </w:p>
        </w:tc>
      </w:tr>
      <w:tr w14:paraId="084261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620AFF75">
            <w:pPr>
              <w:pStyle w:val="87"/>
              <w:spacing w:before="67" w:line="189" w:lineRule="auto"/>
              <w:ind w:left="364"/>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1847" w:type="dxa"/>
          </w:tcPr>
          <w:p w14:paraId="71B8863A">
            <w:pPr>
              <w:rPr>
                <w:rFonts w:hint="eastAsia" w:ascii="宋体" w:hAnsi="宋体" w:eastAsia="宋体" w:cs="宋体"/>
                <w:color w:val="auto"/>
                <w:highlight w:val="none"/>
              </w:rPr>
            </w:pPr>
          </w:p>
        </w:tc>
        <w:tc>
          <w:tcPr>
            <w:tcW w:w="1342" w:type="dxa"/>
          </w:tcPr>
          <w:p w14:paraId="4F9CC3E7">
            <w:pPr>
              <w:rPr>
                <w:rFonts w:hint="eastAsia" w:ascii="宋体" w:hAnsi="宋体" w:eastAsia="宋体" w:cs="宋体"/>
                <w:color w:val="auto"/>
                <w:highlight w:val="none"/>
              </w:rPr>
            </w:pPr>
          </w:p>
        </w:tc>
        <w:tc>
          <w:tcPr>
            <w:tcW w:w="1342" w:type="dxa"/>
          </w:tcPr>
          <w:p w14:paraId="443B2A58">
            <w:pPr>
              <w:rPr>
                <w:rFonts w:hint="eastAsia" w:ascii="宋体" w:hAnsi="宋体" w:eastAsia="宋体" w:cs="宋体"/>
                <w:color w:val="auto"/>
                <w:highlight w:val="none"/>
              </w:rPr>
            </w:pPr>
          </w:p>
        </w:tc>
        <w:tc>
          <w:tcPr>
            <w:tcW w:w="1342" w:type="dxa"/>
          </w:tcPr>
          <w:p w14:paraId="659DC660">
            <w:pPr>
              <w:rPr>
                <w:rFonts w:hint="eastAsia" w:ascii="宋体" w:hAnsi="宋体" w:eastAsia="宋体" w:cs="宋体"/>
                <w:color w:val="auto"/>
                <w:highlight w:val="none"/>
              </w:rPr>
            </w:pPr>
          </w:p>
        </w:tc>
        <w:tc>
          <w:tcPr>
            <w:tcW w:w="1845" w:type="dxa"/>
          </w:tcPr>
          <w:p w14:paraId="4A9B6976">
            <w:pPr>
              <w:rPr>
                <w:rFonts w:hint="eastAsia" w:ascii="宋体" w:hAnsi="宋体" w:eastAsia="宋体" w:cs="宋体"/>
                <w:color w:val="auto"/>
                <w:highlight w:val="none"/>
              </w:rPr>
            </w:pPr>
          </w:p>
        </w:tc>
        <w:tc>
          <w:tcPr>
            <w:tcW w:w="1437" w:type="dxa"/>
            <w:tcBorders>
              <w:right w:val="single" w:color="000000" w:sz="6" w:space="0"/>
            </w:tcBorders>
          </w:tcPr>
          <w:p w14:paraId="61650528">
            <w:pPr>
              <w:rPr>
                <w:rFonts w:hint="eastAsia" w:ascii="宋体" w:hAnsi="宋体" w:eastAsia="宋体" w:cs="宋体"/>
                <w:color w:val="auto"/>
                <w:highlight w:val="none"/>
              </w:rPr>
            </w:pPr>
          </w:p>
        </w:tc>
      </w:tr>
      <w:tr w14:paraId="441CB0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06" w:type="dxa"/>
            <w:tcBorders>
              <w:left w:val="single" w:color="000000" w:sz="6" w:space="0"/>
            </w:tcBorders>
          </w:tcPr>
          <w:p w14:paraId="7240E3C4">
            <w:pPr>
              <w:pStyle w:val="87"/>
              <w:spacing w:before="68" w:line="189" w:lineRule="auto"/>
              <w:ind w:left="351"/>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847" w:type="dxa"/>
          </w:tcPr>
          <w:p w14:paraId="4CEE6449">
            <w:pPr>
              <w:rPr>
                <w:rFonts w:hint="eastAsia" w:ascii="宋体" w:hAnsi="宋体" w:eastAsia="宋体" w:cs="宋体"/>
                <w:color w:val="auto"/>
                <w:highlight w:val="none"/>
              </w:rPr>
            </w:pPr>
          </w:p>
        </w:tc>
        <w:tc>
          <w:tcPr>
            <w:tcW w:w="1342" w:type="dxa"/>
          </w:tcPr>
          <w:p w14:paraId="2A9864A2">
            <w:pPr>
              <w:rPr>
                <w:rFonts w:hint="eastAsia" w:ascii="宋体" w:hAnsi="宋体" w:eastAsia="宋体" w:cs="宋体"/>
                <w:color w:val="auto"/>
                <w:highlight w:val="none"/>
              </w:rPr>
            </w:pPr>
          </w:p>
        </w:tc>
        <w:tc>
          <w:tcPr>
            <w:tcW w:w="1342" w:type="dxa"/>
          </w:tcPr>
          <w:p w14:paraId="7F18A4B2">
            <w:pPr>
              <w:rPr>
                <w:rFonts w:hint="eastAsia" w:ascii="宋体" w:hAnsi="宋体" w:eastAsia="宋体" w:cs="宋体"/>
                <w:color w:val="auto"/>
                <w:highlight w:val="none"/>
              </w:rPr>
            </w:pPr>
          </w:p>
        </w:tc>
        <w:tc>
          <w:tcPr>
            <w:tcW w:w="1342" w:type="dxa"/>
          </w:tcPr>
          <w:p w14:paraId="7FB514BF">
            <w:pPr>
              <w:rPr>
                <w:rFonts w:hint="eastAsia" w:ascii="宋体" w:hAnsi="宋体" w:eastAsia="宋体" w:cs="宋体"/>
                <w:color w:val="auto"/>
                <w:highlight w:val="none"/>
              </w:rPr>
            </w:pPr>
          </w:p>
        </w:tc>
        <w:tc>
          <w:tcPr>
            <w:tcW w:w="1845" w:type="dxa"/>
          </w:tcPr>
          <w:p w14:paraId="4DD8646D">
            <w:pPr>
              <w:rPr>
                <w:rFonts w:hint="eastAsia" w:ascii="宋体" w:hAnsi="宋体" w:eastAsia="宋体" w:cs="宋体"/>
                <w:color w:val="auto"/>
                <w:highlight w:val="none"/>
              </w:rPr>
            </w:pPr>
          </w:p>
        </w:tc>
        <w:tc>
          <w:tcPr>
            <w:tcW w:w="1437" w:type="dxa"/>
            <w:tcBorders>
              <w:right w:val="single" w:color="000000" w:sz="6" w:space="0"/>
            </w:tcBorders>
          </w:tcPr>
          <w:p w14:paraId="748235F8">
            <w:pPr>
              <w:rPr>
                <w:rFonts w:hint="eastAsia" w:ascii="宋体" w:hAnsi="宋体" w:eastAsia="宋体" w:cs="宋体"/>
                <w:color w:val="auto"/>
                <w:highlight w:val="none"/>
              </w:rPr>
            </w:pPr>
          </w:p>
        </w:tc>
      </w:tr>
      <w:tr w14:paraId="16862F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5220F413">
            <w:pPr>
              <w:pStyle w:val="87"/>
              <w:spacing w:before="72" w:line="189" w:lineRule="auto"/>
              <w:ind w:left="352"/>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1847" w:type="dxa"/>
          </w:tcPr>
          <w:p w14:paraId="026EDDB0">
            <w:pPr>
              <w:rPr>
                <w:rFonts w:hint="eastAsia" w:ascii="宋体" w:hAnsi="宋体" w:eastAsia="宋体" w:cs="宋体"/>
                <w:color w:val="auto"/>
                <w:highlight w:val="none"/>
              </w:rPr>
            </w:pPr>
          </w:p>
        </w:tc>
        <w:tc>
          <w:tcPr>
            <w:tcW w:w="1342" w:type="dxa"/>
          </w:tcPr>
          <w:p w14:paraId="627735A8">
            <w:pPr>
              <w:rPr>
                <w:rFonts w:hint="eastAsia" w:ascii="宋体" w:hAnsi="宋体" w:eastAsia="宋体" w:cs="宋体"/>
                <w:color w:val="auto"/>
                <w:highlight w:val="none"/>
              </w:rPr>
            </w:pPr>
          </w:p>
        </w:tc>
        <w:tc>
          <w:tcPr>
            <w:tcW w:w="1342" w:type="dxa"/>
          </w:tcPr>
          <w:p w14:paraId="5E9EDD89">
            <w:pPr>
              <w:rPr>
                <w:rFonts w:hint="eastAsia" w:ascii="宋体" w:hAnsi="宋体" w:eastAsia="宋体" w:cs="宋体"/>
                <w:color w:val="auto"/>
                <w:highlight w:val="none"/>
              </w:rPr>
            </w:pPr>
          </w:p>
        </w:tc>
        <w:tc>
          <w:tcPr>
            <w:tcW w:w="1342" w:type="dxa"/>
          </w:tcPr>
          <w:p w14:paraId="734DBB87">
            <w:pPr>
              <w:rPr>
                <w:rFonts w:hint="eastAsia" w:ascii="宋体" w:hAnsi="宋体" w:eastAsia="宋体" w:cs="宋体"/>
                <w:color w:val="auto"/>
                <w:highlight w:val="none"/>
              </w:rPr>
            </w:pPr>
          </w:p>
        </w:tc>
        <w:tc>
          <w:tcPr>
            <w:tcW w:w="1845" w:type="dxa"/>
          </w:tcPr>
          <w:p w14:paraId="39E5FF03">
            <w:pPr>
              <w:rPr>
                <w:rFonts w:hint="eastAsia" w:ascii="宋体" w:hAnsi="宋体" w:eastAsia="宋体" w:cs="宋体"/>
                <w:color w:val="auto"/>
                <w:highlight w:val="none"/>
              </w:rPr>
            </w:pPr>
          </w:p>
        </w:tc>
        <w:tc>
          <w:tcPr>
            <w:tcW w:w="1437" w:type="dxa"/>
            <w:tcBorders>
              <w:right w:val="single" w:color="000000" w:sz="6" w:space="0"/>
            </w:tcBorders>
          </w:tcPr>
          <w:p w14:paraId="24B21BDF">
            <w:pPr>
              <w:rPr>
                <w:rFonts w:hint="eastAsia" w:ascii="宋体" w:hAnsi="宋体" w:eastAsia="宋体" w:cs="宋体"/>
                <w:color w:val="auto"/>
                <w:highlight w:val="none"/>
              </w:rPr>
            </w:pPr>
          </w:p>
        </w:tc>
      </w:tr>
      <w:tr w14:paraId="55180D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06" w:type="dxa"/>
            <w:tcBorders>
              <w:left w:val="single" w:color="000000" w:sz="6" w:space="0"/>
            </w:tcBorders>
          </w:tcPr>
          <w:p w14:paraId="31C68BB3">
            <w:pPr>
              <w:pStyle w:val="87"/>
              <w:spacing w:before="72" w:line="189" w:lineRule="auto"/>
              <w:ind w:left="347"/>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1847" w:type="dxa"/>
          </w:tcPr>
          <w:p w14:paraId="0EFEB95F">
            <w:pPr>
              <w:rPr>
                <w:rFonts w:hint="eastAsia" w:ascii="宋体" w:hAnsi="宋体" w:eastAsia="宋体" w:cs="宋体"/>
                <w:color w:val="auto"/>
                <w:highlight w:val="none"/>
              </w:rPr>
            </w:pPr>
          </w:p>
        </w:tc>
        <w:tc>
          <w:tcPr>
            <w:tcW w:w="1342" w:type="dxa"/>
          </w:tcPr>
          <w:p w14:paraId="66EBCC5F">
            <w:pPr>
              <w:rPr>
                <w:rFonts w:hint="eastAsia" w:ascii="宋体" w:hAnsi="宋体" w:eastAsia="宋体" w:cs="宋体"/>
                <w:color w:val="auto"/>
                <w:highlight w:val="none"/>
              </w:rPr>
            </w:pPr>
          </w:p>
        </w:tc>
        <w:tc>
          <w:tcPr>
            <w:tcW w:w="1342" w:type="dxa"/>
          </w:tcPr>
          <w:p w14:paraId="5CC3D6B1">
            <w:pPr>
              <w:rPr>
                <w:rFonts w:hint="eastAsia" w:ascii="宋体" w:hAnsi="宋体" w:eastAsia="宋体" w:cs="宋体"/>
                <w:color w:val="auto"/>
                <w:highlight w:val="none"/>
              </w:rPr>
            </w:pPr>
          </w:p>
        </w:tc>
        <w:tc>
          <w:tcPr>
            <w:tcW w:w="1342" w:type="dxa"/>
          </w:tcPr>
          <w:p w14:paraId="702AE6DF">
            <w:pPr>
              <w:rPr>
                <w:rFonts w:hint="eastAsia" w:ascii="宋体" w:hAnsi="宋体" w:eastAsia="宋体" w:cs="宋体"/>
                <w:color w:val="auto"/>
                <w:highlight w:val="none"/>
              </w:rPr>
            </w:pPr>
          </w:p>
        </w:tc>
        <w:tc>
          <w:tcPr>
            <w:tcW w:w="1845" w:type="dxa"/>
          </w:tcPr>
          <w:p w14:paraId="122BD29E">
            <w:pPr>
              <w:rPr>
                <w:rFonts w:hint="eastAsia" w:ascii="宋体" w:hAnsi="宋体" w:eastAsia="宋体" w:cs="宋体"/>
                <w:color w:val="auto"/>
                <w:highlight w:val="none"/>
              </w:rPr>
            </w:pPr>
          </w:p>
        </w:tc>
        <w:tc>
          <w:tcPr>
            <w:tcW w:w="1437" w:type="dxa"/>
            <w:tcBorders>
              <w:right w:val="single" w:color="000000" w:sz="6" w:space="0"/>
            </w:tcBorders>
          </w:tcPr>
          <w:p w14:paraId="40C14931">
            <w:pPr>
              <w:rPr>
                <w:rFonts w:hint="eastAsia" w:ascii="宋体" w:hAnsi="宋体" w:eastAsia="宋体" w:cs="宋体"/>
                <w:color w:val="auto"/>
                <w:highlight w:val="none"/>
              </w:rPr>
            </w:pPr>
          </w:p>
        </w:tc>
      </w:tr>
      <w:tr w14:paraId="14102E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806" w:type="dxa"/>
            <w:tcBorders>
              <w:left w:val="single" w:color="000000" w:sz="6" w:space="0"/>
            </w:tcBorders>
          </w:tcPr>
          <w:p w14:paraId="054D6E9E">
            <w:pPr>
              <w:pStyle w:val="87"/>
              <w:spacing w:before="79" w:line="187" w:lineRule="auto"/>
              <w:ind w:left="352"/>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1847" w:type="dxa"/>
          </w:tcPr>
          <w:p w14:paraId="2263DBE1">
            <w:pPr>
              <w:rPr>
                <w:rFonts w:hint="eastAsia" w:ascii="宋体" w:hAnsi="宋体" w:eastAsia="宋体" w:cs="宋体"/>
                <w:color w:val="auto"/>
                <w:highlight w:val="none"/>
              </w:rPr>
            </w:pPr>
          </w:p>
        </w:tc>
        <w:tc>
          <w:tcPr>
            <w:tcW w:w="1342" w:type="dxa"/>
          </w:tcPr>
          <w:p w14:paraId="701E2C8E">
            <w:pPr>
              <w:rPr>
                <w:rFonts w:hint="eastAsia" w:ascii="宋体" w:hAnsi="宋体" w:eastAsia="宋体" w:cs="宋体"/>
                <w:color w:val="auto"/>
                <w:highlight w:val="none"/>
              </w:rPr>
            </w:pPr>
          </w:p>
        </w:tc>
        <w:tc>
          <w:tcPr>
            <w:tcW w:w="1342" w:type="dxa"/>
          </w:tcPr>
          <w:p w14:paraId="515B63B4">
            <w:pPr>
              <w:rPr>
                <w:rFonts w:hint="eastAsia" w:ascii="宋体" w:hAnsi="宋体" w:eastAsia="宋体" w:cs="宋体"/>
                <w:color w:val="auto"/>
                <w:highlight w:val="none"/>
              </w:rPr>
            </w:pPr>
          </w:p>
        </w:tc>
        <w:tc>
          <w:tcPr>
            <w:tcW w:w="1342" w:type="dxa"/>
          </w:tcPr>
          <w:p w14:paraId="4F01AAE4">
            <w:pPr>
              <w:rPr>
                <w:rFonts w:hint="eastAsia" w:ascii="宋体" w:hAnsi="宋体" w:eastAsia="宋体" w:cs="宋体"/>
                <w:color w:val="auto"/>
                <w:highlight w:val="none"/>
              </w:rPr>
            </w:pPr>
          </w:p>
        </w:tc>
        <w:tc>
          <w:tcPr>
            <w:tcW w:w="1845" w:type="dxa"/>
          </w:tcPr>
          <w:p w14:paraId="43753CFE">
            <w:pPr>
              <w:rPr>
                <w:rFonts w:hint="eastAsia" w:ascii="宋体" w:hAnsi="宋体" w:eastAsia="宋体" w:cs="宋体"/>
                <w:color w:val="auto"/>
                <w:highlight w:val="none"/>
              </w:rPr>
            </w:pPr>
          </w:p>
        </w:tc>
        <w:tc>
          <w:tcPr>
            <w:tcW w:w="1437" w:type="dxa"/>
            <w:tcBorders>
              <w:right w:val="single" w:color="000000" w:sz="6" w:space="0"/>
            </w:tcBorders>
          </w:tcPr>
          <w:p w14:paraId="15401E5D">
            <w:pPr>
              <w:rPr>
                <w:rFonts w:hint="eastAsia" w:ascii="宋体" w:hAnsi="宋体" w:eastAsia="宋体" w:cs="宋体"/>
                <w:color w:val="auto"/>
                <w:highlight w:val="none"/>
              </w:rPr>
            </w:pPr>
          </w:p>
        </w:tc>
      </w:tr>
      <w:tr w14:paraId="72778A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806" w:type="dxa"/>
            <w:tcBorders>
              <w:left w:val="single" w:color="000000" w:sz="6" w:space="0"/>
              <w:bottom w:val="single" w:color="000000" w:sz="6" w:space="0"/>
            </w:tcBorders>
          </w:tcPr>
          <w:p w14:paraId="0384FCF4">
            <w:pPr>
              <w:pStyle w:val="87"/>
              <w:spacing w:before="198" w:line="84" w:lineRule="exact"/>
              <w:ind w:left="248"/>
              <w:rPr>
                <w:rFonts w:hint="eastAsia" w:ascii="宋体" w:hAnsi="宋体" w:eastAsia="宋体" w:cs="宋体"/>
                <w:color w:val="auto"/>
                <w:highlight w:val="none"/>
              </w:rPr>
            </w:pPr>
            <w:r>
              <w:rPr>
                <w:rFonts w:hint="eastAsia" w:ascii="宋体" w:hAnsi="宋体" w:eastAsia="宋体" w:cs="宋体"/>
                <w:color w:val="auto"/>
                <w:spacing w:val="3"/>
                <w:position w:val="1"/>
                <w:highlight w:val="none"/>
              </w:rPr>
              <w:t>...</w:t>
            </w:r>
          </w:p>
        </w:tc>
        <w:tc>
          <w:tcPr>
            <w:tcW w:w="1847" w:type="dxa"/>
            <w:tcBorders>
              <w:bottom w:val="single" w:color="000000" w:sz="6" w:space="0"/>
            </w:tcBorders>
          </w:tcPr>
          <w:p w14:paraId="637BBA6C">
            <w:pPr>
              <w:rPr>
                <w:rFonts w:hint="eastAsia" w:ascii="宋体" w:hAnsi="宋体" w:eastAsia="宋体" w:cs="宋体"/>
                <w:color w:val="auto"/>
                <w:highlight w:val="none"/>
              </w:rPr>
            </w:pPr>
          </w:p>
        </w:tc>
        <w:tc>
          <w:tcPr>
            <w:tcW w:w="1342" w:type="dxa"/>
            <w:tcBorders>
              <w:bottom w:val="single" w:color="000000" w:sz="6" w:space="0"/>
            </w:tcBorders>
          </w:tcPr>
          <w:p w14:paraId="4D07C52F">
            <w:pPr>
              <w:rPr>
                <w:rFonts w:hint="eastAsia" w:ascii="宋体" w:hAnsi="宋体" w:eastAsia="宋体" w:cs="宋体"/>
                <w:color w:val="auto"/>
                <w:highlight w:val="none"/>
              </w:rPr>
            </w:pPr>
          </w:p>
        </w:tc>
        <w:tc>
          <w:tcPr>
            <w:tcW w:w="1342" w:type="dxa"/>
            <w:tcBorders>
              <w:bottom w:val="single" w:color="000000" w:sz="6" w:space="0"/>
            </w:tcBorders>
          </w:tcPr>
          <w:p w14:paraId="2071E4F5">
            <w:pPr>
              <w:rPr>
                <w:rFonts w:hint="eastAsia" w:ascii="宋体" w:hAnsi="宋体" w:eastAsia="宋体" w:cs="宋体"/>
                <w:color w:val="auto"/>
                <w:highlight w:val="none"/>
              </w:rPr>
            </w:pPr>
          </w:p>
        </w:tc>
        <w:tc>
          <w:tcPr>
            <w:tcW w:w="1342" w:type="dxa"/>
            <w:tcBorders>
              <w:bottom w:val="single" w:color="000000" w:sz="6" w:space="0"/>
            </w:tcBorders>
          </w:tcPr>
          <w:p w14:paraId="38CF7796">
            <w:pPr>
              <w:rPr>
                <w:rFonts w:hint="eastAsia" w:ascii="宋体" w:hAnsi="宋体" w:eastAsia="宋体" w:cs="宋体"/>
                <w:color w:val="auto"/>
                <w:highlight w:val="none"/>
              </w:rPr>
            </w:pPr>
          </w:p>
        </w:tc>
        <w:tc>
          <w:tcPr>
            <w:tcW w:w="1845" w:type="dxa"/>
            <w:tcBorders>
              <w:bottom w:val="single" w:color="000000" w:sz="6" w:space="0"/>
            </w:tcBorders>
          </w:tcPr>
          <w:p w14:paraId="041DAED0">
            <w:pPr>
              <w:rPr>
                <w:rFonts w:hint="eastAsia" w:ascii="宋体" w:hAnsi="宋体" w:eastAsia="宋体" w:cs="宋体"/>
                <w:color w:val="auto"/>
                <w:highlight w:val="none"/>
              </w:rPr>
            </w:pPr>
          </w:p>
        </w:tc>
        <w:tc>
          <w:tcPr>
            <w:tcW w:w="1437" w:type="dxa"/>
            <w:tcBorders>
              <w:bottom w:val="single" w:color="000000" w:sz="6" w:space="0"/>
              <w:right w:val="single" w:color="000000" w:sz="6" w:space="0"/>
            </w:tcBorders>
          </w:tcPr>
          <w:p w14:paraId="78BB5486">
            <w:pPr>
              <w:rPr>
                <w:rFonts w:hint="eastAsia" w:ascii="宋体" w:hAnsi="宋体" w:eastAsia="宋体" w:cs="宋体"/>
                <w:color w:val="auto"/>
                <w:highlight w:val="none"/>
              </w:rPr>
            </w:pPr>
          </w:p>
        </w:tc>
      </w:tr>
    </w:tbl>
    <w:p w14:paraId="79AF7945">
      <w:pPr>
        <w:pStyle w:val="11"/>
        <w:spacing w:before="33" w:line="232" w:lineRule="auto"/>
        <w:ind w:left="2"/>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注：</w:t>
      </w:r>
    </w:p>
    <w:p w14:paraId="3A68652B">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3AD4CE37">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2.《节能产品政府采购品目清单》、《环境标志产品政府采购品目清单》请登录中国政府采购网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"http://www.ccgp.gov.cn"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lang w:bidi="ar"/>
        </w:rPr>
        <w:t>http://www.ccgp.gov.cn</w:t>
      </w:r>
      <w:r>
        <w:rPr>
          <w:rFonts w:hint="eastAsia" w:ascii="宋体" w:hAnsi="宋体" w:eastAsia="宋体" w:cs="宋体"/>
          <w:color w:val="auto"/>
          <w:szCs w:val="21"/>
          <w:highlight w:val="none"/>
          <w:lang w:bidi="ar"/>
        </w:rPr>
        <w:fldChar w:fldCharType="end"/>
      </w:r>
      <w:r>
        <w:rPr>
          <w:rFonts w:hint="eastAsia" w:ascii="宋体" w:hAnsi="宋体" w:eastAsia="宋体" w:cs="宋体"/>
          <w:color w:val="auto"/>
          <w:szCs w:val="21"/>
          <w:highlight w:val="none"/>
          <w:lang w:bidi="ar"/>
        </w:rPr>
        <w:t>查询。</w:t>
      </w:r>
    </w:p>
    <w:p w14:paraId="6B5AA222">
      <w:pPr>
        <w:adjustRightInd w:val="0"/>
        <w:snapToGrid w:val="0"/>
        <w:spacing w:line="360" w:lineRule="auto"/>
        <w:ind w:right="28"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3.供应商应在本表后提供表内所列认证证书扫描件。</w:t>
      </w:r>
    </w:p>
    <w:p w14:paraId="786A3613">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76F9BB97">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79F1E576">
      <w:pPr>
        <w:adjustRightInd w:val="0"/>
        <w:snapToGrid w:val="0"/>
        <w:spacing w:line="360" w:lineRule="auto"/>
        <w:ind w:right="28" w:firstLine="420" w:firstLineChars="200"/>
        <w:rPr>
          <w:rFonts w:hint="eastAsia" w:ascii="宋体" w:hAnsi="宋体" w:eastAsia="宋体" w:cs="宋体"/>
          <w:color w:val="auto"/>
          <w:szCs w:val="21"/>
          <w:highlight w:val="none"/>
          <w:lang w:bidi="ar"/>
        </w:rPr>
      </w:pPr>
    </w:p>
    <w:p w14:paraId="48C82BC5">
      <w:pPr>
        <w:spacing w:line="250" w:lineRule="auto"/>
        <w:rPr>
          <w:rFonts w:hint="eastAsia" w:ascii="宋体" w:hAnsi="宋体" w:eastAsia="宋体" w:cs="宋体"/>
          <w:color w:val="auto"/>
          <w:highlight w:val="none"/>
        </w:rPr>
      </w:pPr>
    </w:p>
    <w:p w14:paraId="00D001F6">
      <w:pPr>
        <w:spacing w:line="250" w:lineRule="auto"/>
        <w:rPr>
          <w:rFonts w:hint="eastAsia" w:ascii="宋体" w:hAnsi="宋体" w:eastAsia="宋体" w:cs="宋体"/>
          <w:color w:val="auto"/>
          <w:highlight w:val="none"/>
        </w:rPr>
      </w:pPr>
    </w:p>
    <w:p w14:paraId="798F8030">
      <w:pPr>
        <w:pStyle w:val="11"/>
        <w:spacing w:before="66" w:line="227" w:lineRule="auto"/>
        <w:ind w:left="5"/>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供应商名称（盖单位公章</w:t>
      </w:r>
      <w:r>
        <w:rPr>
          <w:rFonts w:hint="eastAsia" w:ascii="宋体" w:hAnsi="宋体" w:eastAsia="宋体" w:cs="宋体"/>
          <w:color w:val="auto"/>
          <w:spacing w:val="12"/>
          <w:sz w:val="20"/>
          <w:szCs w:val="20"/>
          <w:highlight w:val="none"/>
        </w:rPr>
        <w:t>）：</w:t>
      </w:r>
    </w:p>
    <w:p w14:paraId="5BF31E21">
      <w:pPr>
        <w:spacing w:line="422" w:lineRule="auto"/>
        <w:rPr>
          <w:rFonts w:hint="eastAsia" w:ascii="宋体" w:hAnsi="宋体" w:eastAsia="宋体" w:cs="宋体"/>
          <w:color w:val="auto"/>
          <w:highlight w:val="none"/>
        </w:rPr>
      </w:pPr>
    </w:p>
    <w:p w14:paraId="33747E8F">
      <w:pPr>
        <w:pStyle w:val="11"/>
        <w:spacing w:before="66" w:line="228" w:lineRule="auto"/>
        <w:ind w:left="3"/>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法定代表人或授权代表（签字或盖单位公章</w:t>
      </w:r>
      <w:r>
        <w:rPr>
          <w:rFonts w:hint="eastAsia" w:ascii="宋体" w:hAnsi="宋体" w:eastAsia="宋体" w:cs="宋体"/>
          <w:color w:val="auto"/>
          <w:spacing w:val="14"/>
          <w:sz w:val="20"/>
          <w:szCs w:val="20"/>
          <w:highlight w:val="none"/>
        </w:rPr>
        <w:t>）：</w:t>
      </w:r>
    </w:p>
    <w:p w14:paraId="70083770">
      <w:pPr>
        <w:spacing w:line="420" w:lineRule="auto"/>
        <w:rPr>
          <w:rFonts w:hint="eastAsia" w:ascii="宋体" w:hAnsi="宋体" w:eastAsia="宋体" w:cs="宋体"/>
          <w:color w:val="auto"/>
          <w:highlight w:val="none"/>
        </w:rPr>
      </w:pPr>
    </w:p>
    <w:p w14:paraId="0A624541">
      <w:pPr>
        <w:rPr>
          <w:rFonts w:hint="eastAsia" w:ascii="宋体" w:hAnsi="宋体" w:eastAsia="宋体" w:cs="宋体"/>
          <w:b/>
          <w:color w:val="auto"/>
          <w:sz w:val="36"/>
          <w:highlight w:val="none"/>
        </w:rPr>
      </w:pPr>
      <w:r>
        <w:rPr>
          <w:rFonts w:hint="eastAsia" w:ascii="宋体" w:hAnsi="宋体" w:eastAsia="宋体" w:cs="宋体"/>
          <w:color w:val="auto"/>
          <w:spacing w:val="-11"/>
          <w:sz w:val="20"/>
          <w:szCs w:val="20"/>
          <w:highlight w:val="none"/>
        </w:rPr>
        <w:t>日期:年月日</w:t>
      </w:r>
    </w:p>
    <w:p w14:paraId="26ED4B21">
      <w:pPr>
        <w:jc w:val="center"/>
        <w:outlineLvl w:val="9"/>
        <w:rPr>
          <w:rFonts w:hint="eastAsia" w:ascii="宋体" w:hAnsi="宋体" w:eastAsia="宋体" w:cs="宋体"/>
          <w:b/>
          <w:color w:val="auto"/>
          <w:sz w:val="36"/>
          <w:highlight w:val="none"/>
          <w:lang w:eastAsia="zh-CN"/>
        </w:rPr>
      </w:pPr>
    </w:p>
    <w:p w14:paraId="430C3726">
      <w:pPr>
        <w:rPr>
          <w:rFonts w:hint="eastAsia" w:ascii="宋体" w:hAnsi="宋体" w:eastAsia="宋体" w:cs="宋体"/>
          <w:b/>
          <w:bCs/>
          <w:color w:val="auto"/>
          <w:sz w:val="24"/>
          <w:szCs w:val="24"/>
          <w:highlight w:val="none"/>
        </w:rPr>
      </w:pPr>
      <w:bookmarkStart w:id="196" w:name="_Toc23524"/>
      <w:bookmarkStart w:id="197" w:name="_Toc29968"/>
      <w:r>
        <w:rPr>
          <w:rFonts w:hint="eastAsia" w:ascii="宋体" w:hAnsi="宋体" w:eastAsia="宋体" w:cs="宋体"/>
          <w:b/>
          <w:bCs/>
          <w:color w:val="auto"/>
          <w:sz w:val="24"/>
          <w:szCs w:val="24"/>
          <w:highlight w:val="none"/>
        </w:rPr>
        <w:br w:type="page"/>
      </w:r>
    </w:p>
    <w:p w14:paraId="3D135130">
      <w:pPr>
        <w:outlineLvl w:val="1"/>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格式</w:t>
      </w:r>
      <w:r>
        <w:rPr>
          <w:rFonts w:hint="eastAsia" w:ascii="宋体" w:hAnsi="宋体" w:eastAsia="宋体" w:cs="宋体"/>
          <w:b/>
          <w:bCs/>
          <w:color w:val="auto"/>
          <w:sz w:val="24"/>
          <w:szCs w:val="24"/>
          <w:highlight w:val="none"/>
          <w:lang w:val="en-US" w:eastAsia="zh-CN"/>
        </w:rPr>
        <w:t>十九</w:t>
      </w:r>
      <w:r>
        <w:rPr>
          <w:rFonts w:hint="eastAsia" w:ascii="宋体" w:hAnsi="宋体" w:eastAsia="宋体" w:cs="宋体"/>
          <w:b/>
          <w:bCs/>
          <w:color w:val="auto"/>
          <w:sz w:val="24"/>
          <w:szCs w:val="24"/>
          <w:highlight w:val="none"/>
        </w:rPr>
        <w:t xml:space="preserve">  </w:t>
      </w:r>
      <w:r>
        <w:rPr>
          <w:rFonts w:hint="eastAsia" w:ascii="宋体" w:hAnsi="宋体" w:eastAsia="宋体" w:cs="宋体"/>
          <w:b/>
          <w:bCs/>
          <w:color w:val="auto"/>
          <w:sz w:val="24"/>
          <w:szCs w:val="24"/>
          <w:highlight w:val="none"/>
          <w:lang w:val="en-US" w:eastAsia="zh-CN"/>
        </w:rPr>
        <w:t>技术文件</w:t>
      </w:r>
    </w:p>
    <w:p w14:paraId="598E3A8F">
      <w:pPr>
        <w:rPr>
          <w:rFonts w:hint="eastAsia" w:ascii="宋体" w:hAnsi="宋体" w:eastAsia="宋体" w:cs="宋体"/>
          <w:b/>
          <w:bCs/>
          <w:color w:val="auto"/>
          <w:sz w:val="24"/>
          <w:szCs w:val="24"/>
          <w:highlight w:val="none"/>
        </w:rPr>
      </w:pPr>
    </w:p>
    <w:p w14:paraId="1FB2DD28">
      <w:pPr>
        <w:tabs>
          <w:tab w:val="left" w:pos="405"/>
        </w:tabs>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编制要求：</w:t>
      </w:r>
    </w:p>
    <w:p w14:paraId="1A929945">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1、供货、安装、调试、验收方案</w:t>
      </w:r>
    </w:p>
    <w:p w14:paraId="177FCD58">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2、售后方案与技术措施</w:t>
      </w:r>
    </w:p>
    <w:p w14:paraId="6C2F830F">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3、质量管理体系与措施</w:t>
      </w:r>
    </w:p>
    <w:p w14:paraId="0D902683">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4、优惠条件（如有）</w:t>
      </w:r>
    </w:p>
    <w:p w14:paraId="4E267AFE">
      <w:pPr>
        <w:spacing w:before="181" w:line="22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5、服务承诺</w:t>
      </w:r>
    </w:p>
    <w:p w14:paraId="4B61461C">
      <w:pPr>
        <w:spacing w:before="181" w:line="220" w:lineRule="auto"/>
        <w:rPr>
          <w:rFonts w:hint="eastAsia" w:ascii="宋体" w:hAnsi="宋体" w:eastAsia="宋体" w:cs="宋体"/>
          <w:color w:val="auto"/>
          <w:sz w:val="24"/>
          <w:highlight w:val="none"/>
          <w:lang w:val="zh-CN"/>
        </w:rPr>
      </w:pPr>
    </w:p>
    <w:p w14:paraId="5F315805">
      <w:pPr>
        <w:spacing w:before="181" w:line="220" w:lineRule="auto"/>
        <w:rPr>
          <w:rFonts w:hint="eastAsia" w:ascii="宋体" w:hAnsi="宋体" w:eastAsia="宋体" w:cs="宋体"/>
          <w:color w:val="auto"/>
          <w:sz w:val="24"/>
          <w:highlight w:val="none"/>
          <w:lang w:val="zh-CN"/>
        </w:rPr>
      </w:pPr>
    </w:p>
    <w:p w14:paraId="2CA812F3">
      <w:pPr>
        <w:rPr>
          <w:rFonts w:hint="eastAsia" w:ascii="宋体" w:hAnsi="宋体" w:eastAsia="宋体" w:cs="宋体"/>
          <w:b/>
          <w:bCs/>
          <w:color w:val="auto"/>
          <w:sz w:val="24"/>
          <w:szCs w:val="24"/>
          <w:highlight w:val="none"/>
        </w:rPr>
      </w:pPr>
    </w:p>
    <w:p w14:paraId="50B112B1">
      <w:pP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p>
    <w:p w14:paraId="76AA7686">
      <w:pPr>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格式二十  </w:t>
      </w:r>
      <w:r>
        <w:rPr>
          <w:rFonts w:hint="eastAsia" w:ascii="宋体" w:hAnsi="宋体" w:eastAsia="宋体" w:cs="宋体"/>
          <w:b/>
          <w:bCs/>
          <w:color w:val="auto"/>
          <w:sz w:val="24"/>
          <w:szCs w:val="24"/>
          <w:highlight w:val="none"/>
        </w:rPr>
        <w:t>提供招标文件内要求的承诺书及</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认为有必要提交的其他材料</w:t>
      </w:r>
      <w:bookmarkEnd w:id="196"/>
      <w:bookmarkEnd w:id="197"/>
    </w:p>
    <w:p w14:paraId="6CDE0A57">
      <w:pPr>
        <w:pStyle w:val="19"/>
        <w:rPr>
          <w:rFonts w:hint="eastAsia" w:ascii="宋体" w:hAnsi="宋体" w:eastAsia="宋体" w:cs="宋体"/>
          <w:b w:val="0"/>
          <w:bCs w:val="0"/>
          <w:color w:val="auto"/>
          <w:sz w:val="24"/>
          <w:szCs w:val="24"/>
          <w:highlight w:val="none"/>
        </w:rPr>
      </w:pPr>
    </w:p>
    <w:p w14:paraId="2B153BDD">
      <w:pPr>
        <w:pStyle w:val="19"/>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（格式自拟，</w:t>
      </w:r>
      <w:r>
        <w:rPr>
          <w:rFonts w:hint="eastAsia" w:ascii="宋体" w:hAnsi="宋体" w:eastAsia="宋体" w:cs="宋体"/>
          <w:b w:val="0"/>
          <w:bCs w:val="0"/>
          <w:color w:val="auto"/>
          <w:sz w:val="24"/>
          <w:szCs w:val="24"/>
          <w:highlight w:val="none"/>
          <w:lang w:val="en-US" w:eastAsia="zh-CN"/>
        </w:rPr>
        <w:t>包括但不限于评标办法中要求的相关材料，但应注意提交的资料应与本项目评审相关</w:t>
      </w:r>
      <w:r>
        <w:rPr>
          <w:rFonts w:hint="eastAsia" w:ascii="宋体" w:hAnsi="宋体" w:eastAsia="宋体" w:cs="宋体"/>
          <w:b w:val="0"/>
          <w:bCs w:val="0"/>
          <w:color w:val="auto"/>
          <w:sz w:val="24"/>
          <w:szCs w:val="24"/>
          <w:highlight w:val="none"/>
          <w:lang w:eastAsia="zh-CN"/>
        </w:rPr>
        <w:t>）</w:t>
      </w:r>
    </w:p>
    <w:p w14:paraId="0683FEB9">
      <w:pP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br w:type="page"/>
      </w:r>
    </w:p>
    <w:p w14:paraId="64799208">
      <w:pPr>
        <w:pStyle w:val="1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附件：</w:t>
      </w:r>
    </w:p>
    <w:p w14:paraId="32BEE9B5">
      <w:pPr>
        <w:keepNext w:val="0"/>
        <w:keepLines w:val="0"/>
        <w:widowControl/>
        <w:shd w:val="clear" w:color="auto" w:fill="FFFFFF"/>
        <w:adjustRightInd w:val="0"/>
        <w:snapToGrid w:val="0"/>
        <w:spacing w:before="0" w:after="0" w:line="360" w:lineRule="auto"/>
        <w:jc w:val="center"/>
        <w:outlineLvl w:val="9"/>
        <w:rPr>
          <w:rFonts w:hint="eastAsia" w:ascii="宋体" w:hAnsi="宋体" w:eastAsia="宋体" w:cs="宋体"/>
          <w:color w:val="auto"/>
          <w:spacing w:val="7"/>
          <w:sz w:val="21"/>
          <w:szCs w:val="21"/>
          <w:highlight w:val="none"/>
        </w:rPr>
      </w:pPr>
      <w:bookmarkStart w:id="198" w:name="_Toc63327628"/>
      <w:r>
        <w:rPr>
          <w:rStyle w:val="28"/>
          <w:rFonts w:hint="eastAsia" w:ascii="宋体" w:hAnsi="宋体" w:eastAsia="宋体" w:cs="宋体"/>
          <w:b w:val="0"/>
          <w:bCs w:val="0"/>
          <w:color w:val="auto"/>
          <w:spacing w:val="7"/>
          <w:sz w:val="21"/>
          <w:szCs w:val="21"/>
          <w:highlight w:val="none"/>
          <w:shd w:val="clear" w:color="auto" w:fill="FFFFFF"/>
        </w:rPr>
        <w:t>关于印发《政府采购促进中小企业发展管理办法》的通知</w:t>
      </w:r>
      <w:bookmarkEnd w:id="198"/>
    </w:p>
    <w:p w14:paraId="6D093A8F">
      <w:pPr>
        <w:pStyle w:val="21"/>
        <w:shd w:val="clear" w:color="auto" w:fill="FFFFFF"/>
        <w:adjustRightInd w:val="0"/>
        <w:snapToGrid w:val="0"/>
        <w:spacing w:before="0" w:beforeAutospacing="0" w:after="0" w:afterAutospacing="0" w:line="360" w:lineRule="auto"/>
        <w:jc w:val="center"/>
        <w:rPr>
          <w:rStyle w:val="28"/>
          <w:rFonts w:hint="eastAsia" w:ascii="宋体" w:hAnsi="宋体" w:eastAsia="宋体" w:cs="宋体"/>
          <w:color w:val="auto"/>
          <w:spacing w:val="7"/>
          <w:sz w:val="21"/>
          <w:szCs w:val="21"/>
          <w:highlight w:val="none"/>
          <w:shd w:val="clear" w:color="auto" w:fill="FFFFFF"/>
        </w:rPr>
      </w:pPr>
      <w:r>
        <w:rPr>
          <w:rStyle w:val="28"/>
          <w:rFonts w:hint="eastAsia" w:ascii="宋体" w:hAnsi="宋体" w:eastAsia="宋体" w:cs="宋体"/>
          <w:color w:val="auto"/>
          <w:spacing w:val="7"/>
          <w:sz w:val="21"/>
          <w:szCs w:val="21"/>
          <w:highlight w:val="none"/>
          <w:shd w:val="clear" w:color="auto" w:fill="FFFFFF"/>
        </w:rPr>
        <w:t>财库[2020]46号</w:t>
      </w:r>
    </w:p>
    <w:p w14:paraId="5EAA4DE3">
      <w:pPr>
        <w:pStyle w:val="21"/>
        <w:shd w:val="clear" w:color="auto" w:fill="FFFFFF"/>
        <w:adjustRightInd w:val="0"/>
        <w:snapToGrid w:val="0"/>
        <w:spacing w:before="0" w:beforeAutospacing="0" w:after="0" w:afterAutospacing="0" w:line="276" w:lineRule="auto"/>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各中央预算单位办公厅（室），各省、自治区、直辖市、计划单列市财政厅（局）、工业和信息化主管部门，新疆生产建设兵团财政局、工业和信息化主管部门：</w:t>
      </w:r>
    </w:p>
    <w:p w14:paraId="7484F9DE">
      <w:pPr>
        <w:pStyle w:val="21"/>
        <w:shd w:val="clear" w:color="auto" w:fill="FFFFFF"/>
        <w:adjustRightInd w:val="0"/>
        <w:snapToGrid w:val="0"/>
        <w:spacing w:before="0" w:beforeAutospacing="0" w:after="0" w:afterAutospacing="0" w:line="276" w:lineRule="auto"/>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199631AC">
      <w:pPr>
        <w:pStyle w:val="21"/>
        <w:shd w:val="clear" w:color="auto" w:fill="FFFFFF"/>
        <w:adjustRightInd w:val="0"/>
        <w:snapToGrid w:val="0"/>
        <w:spacing w:before="0" w:beforeAutospacing="0" w:after="0" w:afterAutospacing="0" w:line="276" w:lineRule="auto"/>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附件：政府采购促进中小企业发展管理办法</w:t>
      </w:r>
    </w:p>
    <w:p w14:paraId="2689F7C0">
      <w:pPr>
        <w:pStyle w:val="21"/>
        <w:shd w:val="clear" w:color="auto" w:fill="FFFFFF"/>
        <w:adjustRightInd w:val="0"/>
        <w:snapToGrid w:val="0"/>
        <w:spacing w:before="0" w:beforeAutospacing="0" w:after="0" w:afterAutospacing="0" w:line="360" w:lineRule="auto"/>
        <w:jc w:val="right"/>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 财  政  部</w:t>
      </w:r>
    </w:p>
    <w:p w14:paraId="7298A15F">
      <w:pPr>
        <w:pStyle w:val="21"/>
        <w:shd w:val="clear" w:color="auto" w:fill="FFFFFF"/>
        <w:adjustRightInd w:val="0"/>
        <w:snapToGrid w:val="0"/>
        <w:spacing w:before="0" w:beforeAutospacing="0" w:after="0" w:afterAutospacing="0" w:line="360" w:lineRule="auto"/>
        <w:jc w:val="right"/>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工业和信息化部</w:t>
      </w:r>
    </w:p>
    <w:p w14:paraId="5730E91D">
      <w:pPr>
        <w:pStyle w:val="21"/>
        <w:shd w:val="clear" w:color="auto" w:fill="FFFFFF"/>
        <w:adjustRightInd w:val="0"/>
        <w:snapToGrid w:val="0"/>
        <w:spacing w:before="0" w:beforeAutospacing="0" w:after="0" w:afterAutospacing="0" w:line="360" w:lineRule="auto"/>
        <w:jc w:val="right"/>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shd w:val="clear" w:color="auto" w:fill="FFFFFF"/>
        </w:rPr>
        <w:t>2020年12月18日</w:t>
      </w:r>
    </w:p>
    <w:p w14:paraId="3DE6D221">
      <w:pPr>
        <w:keepNext w:val="0"/>
        <w:keepLines w:val="0"/>
        <w:widowControl/>
        <w:shd w:val="clear" w:color="auto" w:fill="FFFFFF"/>
        <w:adjustRightInd w:val="0"/>
        <w:snapToGrid w:val="0"/>
        <w:spacing w:before="0" w:after="0" w:line="360" w:lineRule="auto"/>
        <w:jc w:val="center"/>
        <w:outlineLvl w:val="9"/>
        <w:rPr>
          <w:rStyle w:val="28"/>
          <w:rFonts w:hint="eastAsia" w:ascii="宋体" w:hAnsi="宋体" w:eastAsia="宋体" w:cs="宋体"/>
          <w:b w:val="0"/>
          <w:bCs w:val="0"/>
          <w:color w:val="auto"/>
          <w:spacing w:val="7"/>
          <w:sz w:val="21"/>
          <w:szCs w:val="21"/>
          <w:highlight w:val="none"/>
          <w:shd w:val="clear" w:color="auto" w:fill="FFFFFF"/>
        </w:rPr>
      </w:pPr>
      <w:bookmarkStart w:id="199" w:name="_Toc63327629"/>
      <w:r>
        <w:rPr>
          <w:rStyle w:val="28"/>
          <w:rFonts w:hint="eastAsia" w:ascii="宋体" w:hAnsi="宋体" w:eastAsia="宋体" w:cs="宋体"/>
          <w:b w:val="0"/>
          <w:bCs w:val="0"/>
          <w:color w:val="auto"/>
          <w:spacing w:val="7"/>
          <w:sz w:val="21"/>
          <w:szCs w:val="21"/>
          <w:highlight w:val="none"/>
          <w:shd w:val="clear" w:color="auto" w:fill="FFFFFF"/>
        </w:rPr>
        <w:t>政府采购促进中小企业发展管理办法</w:t>
      </w:r>
      <w:bookmarkEnd w:id="199"/>
    </w:p>
    <w:p w14:paraId="61E9CCE0">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第一条　</w:t>
      </w:r>
      <w:r>
        <w:rPr>
          <w:rFonts w:hint="eastAsia" w:ascii="宋体" w:hAnsi="宋体" w:eastAsia="宋体" w:cs="宋体"/>
          <w:color w:val="auto"/>
          <w:spacing w:val="7"/>
          <w:sz w:val="21"/>
          <w:szCs w:val="21"/>
          <w:highlight w:val="none"/>
        </w:rPr>
        <w:t>为了发挥政府采购的政策功能，促进中小企业健康发展，根据《中华人民共和国政府采购法》、《中华人民共和国中小企业促进法》等有关法律法规，制定本办法。</w:t>
      </w:r>
    </w:p>
    <w:p w14:paraId="66B2FAC3">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第二条　</w:t>
      </w:r>
      <w:r>
        <w:rPr>
          <w:rFonts w:hint="eastAsia" w:ascii="宋体" w:hAnsi="宋体" w:eastAsia="宋体" w:cs="宋体"/>
          <w:color w:val="auto"/>
          <w:spacing w:val="7"/>
          <w:sz w:val="21"/>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FA226A9">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符合中小企业划分标准的个体工商户，在政府采购活动中视同中小企业。</w:t>
      </w:r>
    </w:p>
    <w:p w14:paraId="6DFDD429">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第三条　</w:t>
      </w:r>
      <w:r>
        <w:rPr>
          <w:rFonts w:hint="eastAsia" w:ascii="宋体" w:hAnsi="宋体" w:eastAsia="宋体" w:cs="宋体"/>
          <w:color w:val="auto"/>
          <w:spacing w:val="7"/>
          <w:sz w:val="21"/>
          <w:szCs w:val="21"/>
          <w:highlight w:val="none"/>
        </w:rPr>
        <w:t>采购人在政府采购活动中应当通过加强采购需求管理，落实预留采购份额、价格评审优惠、优先采购等措施，提高中小企业在政府采购中的份额，支持中小企业发展。</w:t>
      </w:r>
    </w:p>
    <w:p w14:paraId="341E0026">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第四条　</w:t>
      </w:r>
      <w:r>
        <w:rPr>
          <w:rFonts w:hint="eastAsia" w:ascii="宋体" w:hAnsi="宋体" w:eastAsia="宋体" w:cs="宋体"/>
          <w:color w:val="auto"/>
          <w:spacing w:val="7"/>
          <w:sz w:val="21"/>
          <w:szCs w:val="21"/>
          <w:highlight w:val="none"/>
        </w:rPr>
        <w:t>在政府采购活动中，供应商提供的货物、工程或者服务符合下列情形的，享受本办法规定的中小企业扶持政策：</w:t>
      </w:r>
    </w:p>
    <w:p w14:paraId="2D2C76CF">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（一）在货物采购项目中，货物由中小企业制造，即货物由中小企业生产且使用该中小企业商号或者注册商标；</w:t>
      </w:r>
    </w:p>
    <w:p w14:paraId="09BF2E91">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（二）在工程采购项目中，工程由中小企业承建，即工程施工单位为中小企业；</w:t>
      </w:r>
    </w:p>
    <w:p w14:paraId="5469E01E">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（三）在服务采购项目中，服务由中小企业承接，即提供服务的人员为中小企业依照《中华人民共和国劳动合同法》订立劳动合同的从业人员。</w:t>
      </w:r>
    </w:p>
    <w:p w14:paraId="3B48FBA7">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在货物采购项目中，供应商提供的货物既有中小企业制造货物，也有大型企业制造货物的，不享受本办法规定的中小企业扶持政策。</w:t>
      </w:r>
    </w:p>
    <w:p w14:paraId="1A5E5CF8">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以联合体形式参加政府采购活动，联合体各方均为中小企业的，联合体视同中小企业。其中，联合体各方均为小微企业的，联合体视同小微企业。</w:t>
      </w:r>
    </w:p>
    <w:p w14:paraId="347E6655">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第五条　</w:t>
      </w:r>
      <w:r>
        <w:rPr>
          <w:rFonts w:hint="eastAsia" w:ascii="宋体" w:hAnsi="宋体" w:eastAsia="宋体" w:cs="宋体"/>
          <w:color w:val="auto"/>
          <w:spacing w:val="7"/>
          <w:sz w:val="21"/>
          <w:szCs w:val="21"/>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26CAF8DA">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第六条</w:t>
      </w:r>
      <w:r>
        <w:rPr>
          <w:rFonts w:hint="eastAsia" w:ascii="宋体" w:hAnsi="宋体" w:eastAsia="宋体" w:cs="宋体"/>
          <w:color w:val="auto"/>
          <w:spacing w:val="7"/>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28D039FE">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符合下列情形之一的，可不专门面向中小企业预留采购份额：</w:t>
      </w:r>
    </w:p>
    <w:p w14:paraId="4CF25AED">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（一）法律法规和国家有关政策明确规定优先或者应当面向事业单位、社会组织等非企业主体采购的；</w:t>
      </w:r>
    </w:p>
    <w:p w14:paraId="1DC3F088">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（二）因确需使用不可替代的专利、专有技术，基础设施限制，或者提供特定公共服务等原因，只能从中小企业之外的供应商处采购的；</w:t>
      </w:r>
    </w:p>
    <w:p w14:paraId="567EEC0D">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（三）按照本办法规定预留采购份额无法确保充分供应、充分竞争，或者存在可能影响政府采购目标实现的情形；</w:t>
      </w:r>
    </w:p>
    <w:p w14:paraId="70371C70">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（四）框架协议采购项目；</w:t>
      </w:r>
    </w:p>
    <w:p w14:paraId="26728C59">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（五）省级以上人民政府财政部门规定的其他情形。</w:t>
      </w:r>
    </w:p>
    <w:p w14:paraId="61BA856A">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除上述情形外，其他均为适宜由中小企业提供的情形。</w:t>
      </w:r>
    </w:p>
    <w:p w14:paraId="5F35CC5F">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第七条　</w:t>
      </w:r>
      <w:r>
        <w:rPr>
          <w:rFonts w:hint="eastAsia" w:ascii="宋体" w:hAnsi="宋体" w:eastAsia="宋体" w:cs="宋体"/>
          <w:color w:val="auto"/>
          <w:spacing w:val="7"/>
          <w:sz w:val="21"/>
          <w:szCs w:val="21"/>
          <w:highlight w:val="none"/>
        </w:rPr>
        <w:t>采购限额标准以上，200万元以下的货物和服务采购项目、400万元以下的工程采购项目，适宜由中小企业提供的，采购人应当专门面向中小企业采购。</w:t>
      </w:r>
    </w:p>
    <w:p w14:paraId="72586CD1">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第八条</w:t>
      </w:r>
      <w:r>
        <w:rPr>
          <w:rFonts w:hint="eastAsia" w:ascii="宋体" w:hAnsi="宋体" w:eastAsia="宋体" w:cs="宋体"/>
          <w:color w:val="auto"/>
          <w:spacing w:val="7"/>
          <w:sz w:val="21"/>
          <w:szCs w:val="21"/>
          <w:highlight w:val="none"/>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45735C7E">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（一）将采购项目整体或者设置采购包专门面向中小企业采购；</w:t>
      </w:r>
    </w:p>
    <w:p w14:paraId="573391A5">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（二）要求供应商以联合体形式参加采购活动，且联合体中中小企业承担的部分达到一定比例；</w:t>
      </w:r>
    </w:p>
    <w:p w14:paraId="78C84DBA">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（三）要求获得采购合同的供应商将采购项目中的一定比例分包给一家或者多家中小企业。</w:t>
      </w:r>
    </w:p>
    <w:p w14:paraId="6130D9D6">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组成联合体或者接受分包合同的中小企业与联合体内其他企业、分包企业之间不得存在直接控股、管理关系。</w:t>
      </w:r>
    </w:p>
    <w:p w14:paraId="1509945F">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第九条　</w:t>
      </w:r>
      <w:r>
        <w:rPr>
          <w:rFonts w:hint="eastAsia" w:ascii="宋体" w:hAnsi="宋体" w:eastAsia="宋体" w:cs="宋体"/>
          <w:color w:val="auto"/>
          <w:spacing w:val="7"/>
          <w:sz w:val="21"/>
          <w:szCs w:val="21"/>
          <w:highlight w:val="none"/>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495AF38">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7908BFBD">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119EECB">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第十条　</w:t>
      </w:r>
      <w:r>
        <w:rPr>
          <w:rFonts w:hint="eastAsia" w:ascii="宋体" w:hAnsi="宋体" w:eastAsia="宋体" w:cs="宋体"/>
          <w:color w:val="auto"/>
          <w:spacing w:val="7"/>
          <w:sz w:val="21"/>
          <w:szCs w:val="21"/>
          <w:highlight w:val="none"/>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A1093CC">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第十一条　</w:t>
      </w:r>
      <w:r>
        <w:rPr>
          <w:rFonts w:hint="eastAsia" w:ascii="宋体" w:hAnsi="宋体" w:eastAsia="宋体" w:cs="宋体"/>
          <w:color w:val="auto"/>
          <w:spacing w:val="7"/>
          <w:sz w:val="21"/>
          <w:szCs w:val="21"/>
          <w:highlight w:val="none"/>
        </w:rPr>
        <w:t>中小企业参加政府采购活动，应当出具本办法规定的《中小企业声明函》（附1），否则不得享受相关中小企业扶持政策。任何单位和个人不得要求供应商提供《中小企业声明函》之外的中小企业身份证明文件。</w:t>
      </w:r>
    </w:p>
    <w:p w14:paraId="59EEF7FE">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Style w:val="28"/>
          <w:rFonts w:hint="eastAsia" w:ascii="宋体" w:hAnsi="宋体" w:eastAsia="宋体" w:cs="宋体"/>
          <w:color w:val="auto"/>
          <w:spacing w:val="7"/>
          <w:sz w:val="21"/>
          <w:szCs w:val="21"/>
          <w:highlight w:val="none"/>
        </w:rPr>
        <w:t>第十二条　</w:t>
      </w:r>
      <w:r>
        <w:rPr>
          <w:rFonts w:hint="eastAsia" w:ascii="宋体" w:hAnsi="宋体" w:eastAsia="宋体" w:cs="宋体"/>
          <w:color w:val="auto"/>
          <w:spacing w:val="7"/>
          <w:sz w:val="21"/>
          <w:szCs w:val="21"/>
          <w:highlight w:val="none"/>
        </w:rPr>
        <w:t>采购项目涉及中小企业采购的，采购文件应当明确以下内容：</w:t>
      </w:r>
    </w:p>
    <w:p w14:paraId="541D5EF8">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（一）预留份额的采购项目或者采购包，明确该项目或相关采购包专门面向中小企业采购，以及相关标的及预算金额；</w:t>
      </w:r>
    </w:p>
    <w:p w14:paraId="33C6120A">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（二）要求以联合体形式参加或者合同分包的，明确联合协议或者分包意向协议中中小企业合同金额应当达到的比例，并作为供应商资格条件；</w:t>
      </w:r>
    </w:p>
    <w:p w14:paraId="1ADCF77D">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（三）非预留份额的采购项目或者采购包，明确有关价格扣除比例或者价格分加分比例；</w:t>
      </w:r>
    </w:p>
    <w:p w14:paraId="3D436143">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（四）规定依据本办法规定享受扶持政策获得政府采购合同的，小微企业不得将合同分包给大中型企业，中型企业不得将合同分包给大型企业；</w:t>
      </w:r>
    </w:p>
    <w:p w14:paraId="2B80C809">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（五）采购人认为具备相关条件的，明确对中小企业在资金支付期限、预付款比例等方面的优惠措施；</w:t>
      </w:r>
    </w:p>
    <w:p w14:paraId="2747F8C2">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（六）明确采购标的对应的中小企业划分标准所属行业；</w:t>
      </w:r>
    </w:p>
    <w:p w14:paraId="6E268424">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（七）法律法规和省级以上人民政府财政部门规定的其他事项。</w:t>
      </w:r>
    </w:p>
    <w:p w14:paraId="31823107">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第十三条　</w:t>
      </w:r>
      <w:r>
        <w:rPr>
          <w:rFonts w:hint="eastAsia" w:ascii="宋体" w:hAnsi="宋体" w:eastAsia="宋体" w:cs="宋体"/>
          <w:color w:val="auto"/>
          <w:spacing w:val="7"/>
          <w:sz w:val="21"/>
          <w:szCs w:val="21"/>
          <w:highlight w:val="none"/>
        </w:rPr>
        <w:t>中标、成交供应商享受本办法规定的中小企业扶持政策的，采购人、采购代理机构应当随中标、成交结果公开中标、成交供应商的《中小企业声明函》。</w:t>
      </w:r>
    </w:p>
    <w:p w14:paraId="2A931A53">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适用招标投标法的政府采购工程建设项目，应当在公示中标候选人时公开中标候选人的《中小企业声明函》。</w:t>
      </w:r>
    </w:p>
    <w:p w14:paraId="12766886">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第十四条</w:t>
      </w:r>
      <w:r>
        <w:rPr>
          <w:rFonts w:hint="eastAsia" w:ascii="宋体" w:hAnsi="宋体" w:eastAsia="宋体" w:cs="宋体"/>
          <w:color w:val="auto"/>
          <w:spacing w:val="7"/>
          <w:sz w:val="21"/>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6417B31">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第十五条　</w:t>
      </w:r>
      <w:r>
        <w:rPr>
          <w:rFonts w:hint="eastAsia" w:ascii="宋体" w:hAnsi="宋体" w:eastAsia="宋体" w:cs="宋体"/>
          <w:color w:val="auto"/>
          <w:spacing w:val="7"/>
          <w:sz w:val="21"/>
          <w:szCs w:val="21"/>
          <w:highlight w:val="none"/>
        </w:rPr>
        <w:t>鼓励各地区、各部门在采购活动中允许中小企业引入信用担保手段，为中小企业在投标（响应）保证、履约保证等方面提供专业化服务。鼓励中小企业依法合规通过政府采购合同融资。</w:t>
      </w:r>
    </w:p>
    <w:p w14:paraId="16DF9AD4">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第十六条　</w:t>
      </w:r>
      <w:r>
        <w:rPr>
          <w:rFonts w:hint="eastAsia" w:ascii="宋体" w:hAnsi="宋体" w:eastAsia="宋体" w:cs="宋体"/>
          <w:color w:val="auto"/>
          <w:spacing w:val="7"/>
          <w:sz w:val="21"/>
          <w:szCs w:val="21"/>
          <w:highlight w:val="none"/>
        </w:rPr>
        <w:t>政府采购监督检查、投诉处理及政府采购行政处罚中对中小企业的认定，由货物制造商或者工程、服务供应商注册登记所在地的县级以上人民政府中小企业主管部门负责。</w:t>
      </w:r>
    </w:p>
    <w:p w14:paraId="14A037CA">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中小企业主管部门应当在收到财政部门或者有关招标投标行政监督部门关于协助开展中小企业认定函后10个工作日内做出书面答复。</w:t>
      </w:r>
    </w:p>
    <w:p w14:paraId="6501C28A">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第十七条　</w:t>
      </w:r>
      <w:r>
        <w:rPr>
          <w:rFonts w:hint="eastAsia" w:ascii="宋体" w:hAnsi="宋体" w:eastAsia="宋体" w:cs="宋体"/>
          <w:color w:val="auto"/>
          <w:spacing w:val="7"/>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6AA2A4C5">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第十八条　</w:t>
      </w:r>
      <w:r>
        <w:rPr>
          <w:rFonts w:hint="eastAsia" w:ascii="宋体" w:hAnsi="宋体" w:eastAsia="宋体" w:cs="宋体"/>
          <w:color w:val="auto"/>
          <w:spacing w:val="7"/>
          <w:sz w:val="21"/>
          <w:szCs w:val="21"/>
          <w:highlight w:val="none"/>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7299100">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第十九条</w:t>
      </w:r>
      <w:r>
        <w:rPr>
          <w:rFonts w:hint="eastAsia" w:ascii="宋体" w:hAnsi="宋体" w:eastAsia="宋体" w:cs="宋体"/>
          <w:color w:val="auto"/>
          <w:spacing w:val="7"/>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19BD5EC">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第二十条</w:t>
      </w:r>
      <w:r>
        <w:rPr>
          <w:rFonts w:hint="eastAsia" w:ascii="宋体" w:hAnsi="宋体" w:eastAsia="宋体" w:cs="宋体"/>
          <w:color w:val="auto"/>
          <w:spacing w:val="7"/>
          <w:sz w:val="21"/>
          <w:szCs w:val="21"/>
          <w:highlight w:val="none"/>
        </w:rPr>
        <w:t>　供应商按照本办法规定提供声明函内容不实的，属于提供虚假材料谋取中标、成交，依照《中华人民共和国政府采购法》等国家有关规定追究相应责任。</w:t>
      </w:r>
    </w:p>
    <w:p w14:paraId="638A890B">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适用招标投标法的政府采购工程建设项目，</w:t>
      </w:r>
      <w:r>
        <w:rPr>
          <w:rFonts w:hint="eastAsia" w:ascii="宋体" w:hAnsi="宋体" w:eastAsia="宋体" w:cs="宋体"/>
          <w:color w:val="auto"/>
          <w:spacing w:val="7"/>
          <w:sz w:val="21"/>
          <w:szCs w:val="21"/>
          <w:highlight w:val="none"/>
          <w:lang w:eastAsia="zh-CN"/>
        </w:rPr>
        <w:t>供应商</w:t>
      </w:r>
      <w:r>
        <w:rPr>
          <w:rFonts w:hint="eastAsia" w:ascii="宋体" w:hAnsi="宋体" w:eastAsia="宋体" w:cs="宋体"/>
          <w:color w:val="auto"/>
          <w:spacing w:val="7"/>
          <w:sz w:val="21"/>
          <w:szCs w:val="21"/>
          <w:highlight w:val="none"/>
        </w:rPr>
        <w:t>按照本办法规定提供声明函内容不实的，属于弄虚作假骗取中标，依照《中华人民共和国招标投标法》等国家有关规定追究相应责任。</w:t>
      </w:r>
    </w:p>
    <w:p w14:paraId="75FBF9A9">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第二十一条　</w:t>
      </w:r>
      <w:r>
        <w:rPr>
          <w:rFonts w:hint="eastAsia" w:ascii="宋体" w:hAnsi="宋体" w:eastAsia="宋体" w:cs="宋体"/>
          <w:color w:val="auto"/>
          <w:spacing w:val="7"/>
          <w:sz w:val="21"/>
          <w:szCs w:val="21"/>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5E3DB312">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第二十二条</w:t>
      </w:r>
      <w:r>
        <w:rPr>
          <w:rFonts w:hint="eastAsia" w:ascii="宋体" w:hAnsi="宋体" w:eastAsia="宋体" w:cs="宋体"/>
          <w:color w:val="auto"/>
          <w:spacing w:val="7"/>
          <w:sz w:val="21"/>
          <w:szCs w:val="21"/>
          <w:highlight w:val="none"/>
        </w:rPr>
        <w:t>　对外援助项目、国家相关资格或者资质管理制度另有规定的项目，不适用本办法。</w:t>
      </w:r>
    </w:p>
    <w:p w14:paraId="4617EC39">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第二十三条　</w:t>
      </w:r>
      <w:r>
        <w:rPr>
          <w:rFonts w:hint="eastAsia" w:ascii="宋体" w:hAnsi="宋体" w:eastAsia="宋体" w:cs="宋体"/>
          <w:color w:val="auto"/>
          <w:spacing w:val="7"/>
          <w:sz w:val="21"/>
          <w:szCs w:val="21"/>
          <w:highlight w:val="none"/>
        </w:rPr>
        <w:t>关于视同中小企业的其他主体的政府采购扶持政策，由财政部会同有关部门另行规定。</w:t>
      </w:r>
    </w:p>
    <w:p w14:paraId="51DC6C94">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第二十四条</w:t>
      </w:r>
      <w:r>
        <w:rPr>
          <w:rFonts w:hint="eastAsia" w:ascii="宋体" w:hAnsi="宋体" w:eastAsia="宋体" w:cs="宋体"/>
          <w:color w:val="auto"/>
          <w:spacing w:val="7"/>
          <w:sz w:val="21"/>
          <w:szCs w:val="21"/>
          <w:highlight w:val="none"/>
        </w:rPr>
        <w:t>　省级财政部门可以会同中小企业主管部门根据本办法的规定制定具体实施办法。</w:t>
      </w:r>
    </w:p>
    <w:p w14:paraId="7C500A4F">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第二十五条</w:t>
      </w:r>
      <w:r>
        <w:rPr>
          <w:rFonts w:hint="eastAsia" w:ascii="宋体" w:hAnsi="宋体" w:eastAsia="宋体" w:cs="宋体"/>
          <w:color w:val="auto"/>
          <w:spacing w:val="7"/>
          <w:sz w:val="21"/>
          <w:szCs w:val="21"/>
          <w:highlight w:val="none"/>
        </w:rPr>
        <w:t>　本办法自2021年1月1日起施行。《财政部工业和信息化部关于印发〈政府采购促进中小企业发展暂行办法〉的通知》（财库﹝2011﹞181号）同时废止。</w:t>
      </w:r>
    </w:p>
    <w:p w14:paraId="7D7C89D5">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Style w:val="28"/>
          <w:rFonts w:hint="eastAsia" w:ascii="宋体" w:hAnsi="宋体" w:eastAsia="宋体" w:cs="宋体"/>
          <w:color w:val="auto"/>
          <w:spacing w:val="7"/>
          <w:sz w:val="21"/>
          <w:szCs w:val="21"/>
          <w:highlight w:val="none"/>
        </w:rPr>
        <w:t>附：</w:t>
      </w:r>
    </w:p>
    <w:p w14:paraId="46B523B1">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1.中小企业声明函</w:t>
      </w:r>
    </w:p>
    <w:p w14:paraId="203770C7">
      <w:pPr>
        <w:pStyle w:val="21"/>
        <w:adjustRightInd w:val="0"/>
        <w:snapToGrid w:val="0"/>
        <w:spacing w:before="0" w:beforeAutospacing="0" w:after="0" w:afterAutospacing="0" w:line="340" w:lineRule="exact"/>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2.面向中小企业预留项目执行情况公告</w:t>
      </w:r>
    </w:p>
    <w:p w14:paraId="7BC1482D">
      <w:pP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br w:type="page"/>
      </w:r>
    </w:p>
    <w:p w14:paraId="4BE7CE65">
      <w:pPr>
        <w:spacing w:line="360" w:lineRule="auto"/>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关于印发《吉林省强化政府采购政策支持中小企业发展落实举措》</w:t>
      </w:r>
    </w:p>
    <w:p w14:paraId="2E65FF18">
      <w:pPr>
        <w:spacing w:line="360" w:lineRule="auto"/>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的通知</w:t>
      </w:r>
    </w:p>
    <w:p w14:paraId="23C0ED1B">
      <w:pPr>
        <w:pStyle w:val="11"/>
        <w:spacing w:line="360" w:lineRule="auto"/>
        <w:ind w:left="63" w:right="63" w:firstLine="482" w:firstLineChars="20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吉财采购〔2022〕478号</w:t>
      </w:r>
    </w:p>
    <w:p w14:paraId="240FBF09">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各省级主管预算单位，各市（州）、县（市、区）财政局，长白山管委会、长春新区、中韩（长春）国际合作示范区管委会财政局，各政府采购代理机构：</w:t>
      </w:r>
    </w:p>
    <w:p w14:paraId="4CD87B5A">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现将《吉林省强化政府采购政策支持中小企业发展落实举措》印发给你们，请遵照执行。</w:t>
      </w:r>
    </w:p>
    <w:p w14:paraId="526C1578">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附件：吉林省强化政府采购政策支持中小企业发展落实举措</w:t>
      </w:r>
    </w:p>
    <w:p w14:paraId="3B0DEBF6">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p w14:paraId="1702F426">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吉林省财政厅</w:t>
      </w:r>
    </w:p>
    <w:p w14:paraId="1217BA32">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2022年6月6日</w:t>
      </w:r>
    </w:p>
    <w:p w14:paraId="1D1412C3">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p>
    <w:p w14:paraId="41332241">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吉林省强化政府采购政策支持中小企业发展落实举措</w:t>
      </w:r>
    </w:p>
    <w:p w14:paraId="0EBA88FA">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 </w:t>
      </w:r>
    </w:p>
    <w:p w14:paraId="76CDD614">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p>
    <w:p w14:paraId="55B16D0F">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一、强化政策落实支持中小企业发展</w:t>
      </w:r>
    </w:p>
    <w:p w14:paraId="0E578EBF">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07A90984">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 </w:t>
      </w:r>
    </w:p>
    <w:p w14:paraId="37FD7127">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二、提高政府采购项目价格评审优惠幅度</w:t>
      </w:r>
    </w:p>
    <w:p w14:paraId="67F3F99D">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p>
    <w:p w14:paraId="6577775A">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三、提高政府采购工程项目预留份额比例</w:t>
      </w:r>
    </w:p>
    <w:p w14:paraId="6919D158">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04D464E6">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四、降低经营成本提高履约能力</w:t>
      </w:r>
    </w:p>
    <w:p w14:paraId="161C92DD">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p>
    <w:p w14:paraId="3B86432C">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五、优化政府采购程序推进全流程电子化</w:t>
      </w:r>
    </w:p>
    <w:p w14:paraId="2CAC5D70">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p>
    <w:p w14:paraId="5D506289">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六、加强项目执行管理提升政府采购透明度</w:t>
      </w:r>
    </w:p>
    <w:p w14:paraId="57594B03">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599588E6">
      <w:pPr>
        <w:pStyle w:val="21"/>
        <w:adjustRightInd w:val="0"/>
        <w:snapToGrid w:val="0"/>
        <w:spacing w:before="0" w:beforeAutospacing="0" w:after="0" w:afterAutospacing="0" w:line="34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67FD6420">
      <w:pP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br w:type="page"/>
      </w:r>
    </w:p>
    <w:p w14:paraId="31FFF388">
      <w:pPr>
        <w:pStyle w:val="21"/>
        <w:adjustRightInd w:val="0"/>
        <w:snapToGrid w:val="0"/>
        <w:spacing w:before="0" w:beforeAutospacing="0" w:after="0" w:afterAutospacing="0" w:line="340" w:lineRule="exact"/>
        <w:ind w:firstLine="482" w:firstLineChars="200"/>
        <w:jc w:val="both"/>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关于促进残疾人就业政府采购政策的通知</w:t>
      </w:r>
    </w:p>
    <w:p w14:paraId="44FC8865">
      <w:pPr>
        <w:pStyle w:val="21"/>
        <w:spacing w:before="0" w:beforeAutospacing="0" w:after="0" w:afterAutospacing="0" w:line="360" w:lineRule="auto"/>
        <w:ind w:firstLine="480" w:firstLineChars="200"/>
        <w:jc w:val="center"/>
        <w:rPr>
          <w:rFonts w:hint="eastAsia" w:ascii="宋体" w:hAnsi="宋体" w:eastAsia="宋体" w:cs="宋体"/>
          <w:b/>
          <w:color w:val="auto"/>
          <w:kern w:val="2"/>
          <w:szCs w:val="24"/>
          <w:highlight w:val="none"/>
        </w:rPr>
      </w:pPr>
      <w:bookmarkStart w:id="200" w:name="sendNo"/>
      <w:r>
        <w:rPr>
          <w:rFonts w:hint="eastAsia" w:ascii="宋体" w:hAnsi="宋体" w:eastAsia="宋体" w:cs="宋体"/>
          <w:color w:val="auto"/>
          <w:kern w:val="2"/>
          <w:highlight w:val="none"/>
        </w:rPr>
        <w:t>财库〔</w:t>
      </w:r>
      <w:bookmarkEnd w:id="200"/>
      <w:r>
        <w:rPr>
          <w:rFonts w:hint="eastAsia" w:ascii="宋体" w:hAnsi="宋体" w:eastAsia="宋体" w:cs="宋体"/>
          <w:color w:val="auto"/>
          <w:kern w:val="2"/>
          <w:highlight w:val="none"/>
        </w:rPr>
        <w:t>2017〕141号</w:t>
      </w:r>
    </w:p>
    <w:p w14:paraId="52422FD2">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bookmarkStart w:id="201" w:name="toDeptId"/>
      <w:r>
        <w:rPr>
          <w:rFonts w:hint="eastAsia" w:ascii="宋体" w:hAnsi="宋体" w:eastAsia="宋体" w:cs="宋体"/>
          <w:color w:val="auto"/>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201"/>
      <w:r>
        <w:rPr>
          <w:rFonts w:hint="eastAsia" w:ascii="宋体" w:hAnsi="宋体" w:eastAsia="宋体" w:cs="宋体"/>
          <w:color w:val="auto"/>
          <w:sz w:val="21"/>
          <w:szCs w:val="21"/>
          <w:highlight w:val="none"/>
          <w:shd w:val="clear" w:color="auto" w:fill="FFFFFF"/>
        </w:rPr>
        <w:t>：</w:t>
      </w:r>
    </w:p>
    <w:p w14:paraId="10AC6491">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14:paraId="0BD2900F">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一、享受政府采购支持政策的残疾人福利性单位应当同时满足以下条件：</w:t>
      </w:r>
    </w:p>
    <w:p w14:paraId="6DAF494E">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（一）安置的残疾人占本单位在职职工人数的比例不低于25%（含25%），并且安置的残疾人人数不少于10人（含10人）；</w:t>
      </w:r>
    </w:p>
    <w:p w14:paraId="67E360F4">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（二）依法与安置的每位残疾人签订了一年以上（含一年）的劳动合同或服务协议；</w:t>
      </w:r>
    </w:p>
    <w:p w14:paraId="2D1DB383">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（三）为安置的每位残疾人按月足额缴纳了基本养老保险、基本医疗保险、失业保险、工伤保险和生育保险等社会保险费；</w:t>
      </w:r>
    </w:p>
    <w:p w14:paraId="08E21143">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（四）通过银行等金融机构向安置的每位残疾人，按月支付了不低于单位所在区县适用的经省级人民政府批准的月最低工资标准的工资；</w:t>
      </w:r>
    </w:p>
    <w:p w14:paraId="1CF880DC">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（五）提供本单位制造的货物、承担的工程或者服务（以下简称产品），或者提供其他残疾人福利性单位制造的货物（不包括使用非残疾人福利性单位注册商标的货物）。</w:t>
      </w:r>
    </w:p>
    <w:p w14:paraId="595A8EA9">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5459E91">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018448FB">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中标、成交供应商为残疾人福利性单位的，采购人或者其委托的采购代理机构应当随中标、成交结果同时公告其《残疾人福利性单位声明函》，接受社会监督。</w:t>
      </w:r>
    </w:p>
    <w:p w14:paraId="380F2452">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供应商提供的《残疾人福利性单位声明函》与事实不符的，依照《政府采购法》第七十七条第一款的规定追究法律责任。</w:t>
      </w:r>
    </w:p>
    <w:p w14:paraId="03A121D0">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56079E5F">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四、采购人采购公开招标数额标准以上的货物或者服务，因落实促进残疾人就业政策的需要，依法履行有关报批程序后，可采用公开招标以外的采购方式。</w:t>
      </w:r>
    </w:p>
    <w:p w14:paraId="2CBDAC29">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2B2E5F4">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8511CEF">
      <w:pPr>
        <w:pStyle w:val="21"/>
        <w:spacing w:before="0" w:beforeAutospacing="0" w:after="0" w:afterAutospacing="0"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七、本通知自2017年10月1日起执行。</w:t>
      </w:r>
    </w:p>
    <w:p w14:paraId="1774D9EC">
      <w:pPr>
        <w:pStyle w:val="21"/>
        <w:spacing w:before="0" w:beforeAutospacing="0" w:after="0" w:afterAutospacing="0" w:line="360" w:lineRule="auto"/>
        <w:ind w:firstLine="420" w:firstLineChars="20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财政部民政部中国残疾人联合会</w:t>
      </w:r>
    </w:p>
    <w:p w14:paraId="04B29525">
      <w:pPr>
        <w:spacing w:line="312"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24"/>
          <w:highlight w:val="none"/>
        </w:rPr>
        <w:t>财政部司法部关于政府采购支持监狱企业发展有关问题的通知</w:t>
      </w:r>
    </w:p>
    <w:p w14:paraId="520E71F3">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财库〔2014〕68号</w:t>
      </w:r>
    </w:p>
    <w:p w14:paraId="59C70E72">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A0A068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2F11C19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EE82B5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0487688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3BBD038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641D5F9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30CA0CB1">
      <w:pPr>
        <w:spacing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中华人民共和国财政部</w:t>
      </w:r>
    </w:p>
    <w:p w14:paraId="59D2A045">
      <w:pPr>
        <w:spacing w:line="360" w:lineRule="auto"/>
        <w:jc w:val="right"/>
        <w:rPr>
          <w:rFonts w:hint="eastAsia" w:ascii="宋体" w:hAnsi="宋体" w:eastAsia="宋体" w:cs="宋体"/>
          <w:b/>
          <w:color w:val="auto"/>
          <w:sz w:val="30"/>
          <w:szCs w:val="30"/>
          <w:highlight w:val="none"/>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color w:val="auto"/>
          <w:szCs w:val="21"/>
          <w:highlight w:val="none"/>
        </w:rPr>
        <w:t>中华人民共和国司法部</w:t>
      </w:r>
    </w:p>
    <w:p w14:paraId="41293FD9">
      <w:pPr>
        <w:spacing w:before="98" w:line="360" w:lineRule="auto"/>
        <w:ind w:firstLine="5786"/>
        <w:rPr>
          <w:rFonts w:hint="eastAsia" w:ascii="宋体" w:hAnsi="宋体" w:cs="宋体"/>
          <w:b/>
          <w:bCs/>
          <w:color w:val="auto"/>
          <w:sz w:val="30"/>
          <w:szCs w:val="30"/>
          <w:highlight w:val="none"/>
        </w:rPr>
      </w:pPr>
      <w:r>
        <w:rPr>
          <w:rFonts w:hint="eastAsia" w:ascii="宋体" w:hAnsi="宋体" w:cs="宋体"/>
          <w:b/>
          <w:bCs/>
          <w:color w:val="auto"/>
          <w:spacing w:val="-5"/>
          <w:sz w:val="30"/>
          <w:szCs w:val="30"/>
          <w:highlight w:val="none"/>
        </w:rPr>
        <w:t>中小企业划型标准</w:t>
      </w:r>
    </w:p>
    <w:tbl>
      <w:tblPr>
        <w:tblStyle w:val="25"/>
        <w:tblW w:w="14060"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476"/>
        <w:gridCol w:w="2051"/>
        <w:gridCol w:w="1148"/>
        <w:gridCol w:w="885"/>
        <w:gridCol w:w="902"/>
        <w:gridCol w:w="1062"/>
        <w:gridCol w:w="905"/>
        <w:gridCol w:w="957"/>
        <w:gridCol w:w="1062"/>
        <w:gridCol w:w="921"/>
        <w:gridCol w:w="963"/>
        <w:gridCol w:w="1062"/>
        <w:gridCol w:w="846"/>
        <w:gridCol w:w="820"/>
      </w:tblGrid>
      <w:tr w14:paraId="288498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09" w:hRule="atLeast"/>
          <w:tblHeader/>
          <w:jc w:val="center"/>
        </w:trPr>
        <w:tc>
          <w:tcPr>
            <w:tcW w:w="476" w:type="dxa"/>
            <w:vMerge w:val="restart"/>
            <w:tcBorders>
              <w:bottom w:val="nil"/>
            </w:tcBorders>
            <w:noWrap w:val="0"/>
            <w:textDirection w:val="tbRlV"/>
            <w:vAlign w:val="top"/>
          </w:tcPr>
          <w:p w14:paraId="02A58799">
            <w:pPr>
              <w:spacing w:before="120" w:line="360" w:lineRule="auto"/>
              <w:ind w:firstLine="473"/>
              <w:rPr>
                <w:rFonts w:hint="eastAsia" w:ascii="宋体" w:hAnsi="宋体" w:cs="宋体"/>
                <w:color w:val="auto"/>
                <w:szCs w:val="21"/>
                <w:highlight w:val="none"/>
              </w:rPr>
            </w:pPr>
            <w:r>
              <w:rPr>
                <w:rFonts w:hint="eastAsia" w:ascii="宋体" w:hAnsi="宋体" w:cs="宋体"/>
                <w:color w:val="auto"/>
                <w:spacing w:val="-1"/>
                <w:szCs w:val="21"/>
                <w:highlight w:val="none"/>
              </w:rPr>
              <w:t>序</w:t>
            </w:r>
            <w:r>
              <w:rPr>
                <w:rFonts w:hint="eastAsia" w:ascii="宋体" w:hAnsi="宋体" w:cs="宋体"/>
                <w:color w:val="auto"/>
                <w:spacing w:val="6"/>
                <w:szCs w:val="21"/>
                <w:highlight w:val="none"/>
              </w:rPr>
              <w:t xml:space="preserve"> </w:t>
            </w:r>
            <w:r>
              <w:rPr>
                <w:rFonts w:hint="eastAsia" w:ascii="宋体" w:hAnsi="宋体" w:cs="宋体"/>
                <w:color w:val="auto"/>
                <w:spacing w:val="-1"/>
                <w:szCs w:val="21"/>
                <w:highlight w:val="none"/>
              </w:rPr>
              <w:t>号</w:t>
            </w:r>
          </w:p>
        </w:tc>
        <w:tc>
          <w:tcPr>
            <w:tcW w:w="2051" w:type="dxa"/>
            <w:vMerge w:val="restart"/>
            <w:tcBorders>
              <w:bottom w:val="nil"/>
            </w:tcBorders>
            <w:noWrap w:val="0"/>
            <w:vAlign w:val="top"/>
          </w:tcPr>
          <w:p w14:paraId="5BCB6828">
            <w:pPr>
              <w:spacing w:line="360" w:lineRule="auto"/>
              <w:rPr>
                <w:rFonts w:hint="eastAsia" w:ascii="宋体" w:hAnsi="宋体" w:cs="宋体"/>
                <w:color w:val="auto"/>
                <w:highlight w:val="none"/>
              </w:rPr>
            </w:pPr>
          </w:p>
          <w:p w14:paraId="366B5CA1">
            <w:pPr>
              <w:spacing w:line="360" w:lineRule="auto"/>
              <w:rPr>
                <w:rFonts w:hint="eastAsia" w:ascii="宋体" w:hAnsi="宋体" w:cs="宋体"/>
                <w:color w:val="auto"/>
                <w:highlight w:val="none"/>
              </w:rPr>
            </w:pPr>
          </w:p>
          <w:p w14:paraId="0F40361B">
            <w:pPr>
              <w:spacing w:before="68" w:line="360" w:lineRule="auto"/>
              <w:ind w:firstLine="739"/>
              <w:rPr>
                <w:rFonts w:hint="eastAsia" w:ascii="宋体" w:hAnsi="宋体" w:cs="宋体"/>
                <w:color w:val="auto"/>
                <w:szCs w:val="21"/>
                <w:highlight w:val="none"/>
              </w:rPr>
            </w:pPr>
            <w:r>
              <w:rPr>
                <w:rFonts w:hint="eastAsia" w:ascii="宋体" w:hAnsi="宋体" w:cs="宋体"/>
                <w:color w:val="auto"/>
                <w:spacing w:val="-6"/>
                <w:szCs w:val="21"/>
                <w:highlight w:val="none"/>
              </w:rPr>
              <w:t>行业</w:t>
            </w:r>
          </w:p>
        </w:tc>
        <w:tc>
          <w:tcPr>
            <w:tcW w:w="2935" w:type="dxa"/>
            <w:gridSpan w:val="3"/>
            <w:noWrap w:val="0"/>
            <w:vAlign w:val="top"/>
          </w:tcPr>
          <w:p w14:paraId="1A720022">
            <w:pPr>
              <w:spacing w:before="150" w:line="360" w:lineRule="auto"/>
              <w:ind w:firstLine="1061"/>
              <w:rPr>
                <w:rFonts w:hint="eastAsia" w:ascii="宋体" w:hAnsi="宋体" w:cs="宋体"/>
                <w:color w:val="auto"/>
                <w:szCs w:val="21"/>
                <w:highlight w:val="none"/>
              </w:rPr>
            </w:pPr>
            <w:r>
              <w:rPr>
                <w:rFonts w:hint="eastAsia" w:ascii="宋体" w:hAnsi="宋体" w:cs="宋体"/>
                <w:color w:val="auto"/>
                <w:spacing w:val="-3"/>
                <w:szCs w:val="21"/>
                <w:highlight w:val="none"/>
              </w:rPr>
              <w:t>大型企业</w:t>
            </w:r>
          </w:p>
        </w:tc>
        <w:tc>
          <w:tcPr>
            <w:tcW w:w="2924" w:type="dxa"/>
            <w:gridSpan w:val="3"/>
            <w:noWrap w:val="0"/>
            <w:vAlign w:val="top"/>
          </w:tcPr>
          <w:p w14:paraId="49FBB944">
            <w:pPr>
              <w:spacing w:before="150" w:line="360" w:lineRule="auto"/>
              <w:ind w:firstLine="1076"/>
              <w:rPr>
                <w:rFonts w:hint="eastAsia" w:ascii="宋体" w:hAnsi="宋体" w:cs="宋体"/>
                <w:color w:val="auto"/>
                <w:szCs w:val="21"/>
                <w:highlight w:val="none"/>
              </w:rPr>
            </w:pPr>
            <w:r>
              <w:rPr>
                <w:rFonts w:hint="eastAsia" w:ascii="宋体" w:hAnsi="宋体" w:cs="宋体"/>
                <w:color w:val="auto"/>
                <w:spacing w:val="-7"/>
                <w:szCs w:val="21"/>
                <w:highlight w:val="none"/>
              </w:rPr>
              <w:t>中型企业</w:t>
            </w:r>
          </w:p>
        </w:tc>
        <w:tc>
          <w:tcPr>
            <w:tcW w:w="2946" w:type="dxa"/>
            <w:gridSpan w:val="3"/>
            <w:noWrap w:val="0"/>
            <w:vAlign w:val="top"/>
          </w:tcPr>
          <w:p w14:paraId="2E8D2950">
            <w:pPr>
              <w:spacing w:before="150" w:line="360" w:lineRule="auto"/>
              <w:ind w:firstLine="1073"/>
              <w:rPr>
                <w:rFonts w:hint="eastAsia" w:ascii="宋体" w:hAnsi="宋体" w:cs="宋体"/>
                <w:color w:val="auto"/>
                <w:szCs w:val="21"/>
                <w:highlight w:val="none"/>
              </w:rPr>
            </w:pPr>
            <w:r>
              <w:rPr>
                <w:rFonts w:hint="eastAsia" w:ascii="宋体" w:hAnsi="宋体" w:cs="宋体"/>
                <w:color w:val="auto"/>
                <w:spacing w:val="-3"/>
                <w:szCs w:val="21"/>
                <w:highlight w:val="none"/>
              </w:rPr>
              <w:t>小型企业</w:t>
            </w:r>
          </w:p>
        </w:tc>
        <w:tc>
          <w:tcPr>
            <w:tcW w:w="2728" w:type="dxa"/>
            <w:gridSpan w:val="3"/>
            <w:noWrap w:val="0"/>
            <w:vAlign w:val="top"/>
          </w:tcPr>
          <w:p w14:paraId="28A2B427">
            <w:pPr>
              <w:spacing w:before="150" w:line="360" w:lineRule="auto"/>
              <w:ind w:firstLine="958"/>
              <w:rPr>
                <w:rFonts w:hint="eastAsia" w:ascii="宋体" w:hAnsi="宋体" w:cs="宋体"/>
                <w:color w:val="auto"/>
                <w:szCs w:val="21"/>
                <w:highlight w:val="none"/>
              </w:rPr>
            </w:pPr>
            <w:r>
              <w:rPr>
                <w:rFonts w:hint="eastAsia" w:ascii="宋体" w:hAnsi="宋体" w:cs="宋体"/>
                <w:color w:val="auto"/>
                <w:spacing w:val="-2"/>
                <w:szCs w:val="21"/>
                <w:highlight w:val="none"/>
              </w:rPr>
              <w:t>微型企业</w:t>
            </w:r>
          </w:p>
        </w:tc>
      </w:tr>
      <w:tr w14:paraId="3626B0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961" w:hRule="atLeast"/>
          <w:tblHeader/>
          <w:jc w:val="center"/>
        </w:trPr>
        <w:tc>
          <w:tcPr>
            <w:tcW w:w="476" w:type="dxa"/>
            <w:vMerge w:val="continue"/>
            <w:tcBorders>
              <w:top w:val="nil"/>
            </w:tcBorders>
            <w:noWrap w:val="0"/>
            <w:textDirection w:val="tbRlV"/>
            <w:vAlign w:val="top"/>
          </w:tcPr>
          <w:p w14:paraId="35262F5C">
            <w:pPr>
              <w:spacing w:line="360" w:lineRule="auto"/>
              <w:rPr>
                <w:rFonts w:hint="eastAsia" w:ascii="宋体" w:hAnsi="宋体" w:cs="宋体"/>
                <w:color w:val="auto"/>
                <w:highlight w:val="none"/>
              </w:rPr>
            </w:pPr>
          </w:p>
        </w:tc>
        <w:tc>
          <w:tcPr>
            <w:tcW w:w="2051" w:type="dxa"/>
            <w:vMerge w:val="continue"/>
            <w:tcBorders>
              <w:top w:val="nil"/>
            </w:tcBorders>
            <w:noWrap w:val="0"/>
            <w:vAlign w:val="top"/>
          </w:tcPr>
          <w:p w14:paraId="367E26D5">
            <w:pPr>
              <w:spacing w:line="360" w:lineRule="auto"/>
              <w:rPr>
                <w:rFonts w:hint="eastAsia" w:ascii="宋体" w:hAnsi="宋体" w:cs="宋体"/>
                <w:color w:val="auto"/>
                <w:highlight w:val="none"/>
              </w:rPr>
            </w:pPr>
          </w:p>
        </w:tc>
        <w:tc>
          <w:tcPr>
            <w:tcW w:w="1148" w:type="dxa"/>
            <w:noWrap w:val="0"/>
            <w:vAlign w:val="top"/>
          </w:tcPr>
          <w:p w14:paraId="7DA75676">
            <w:pPr>
              <w:spacing w:before="213" w:line="360" w:lineRule="auto"/>
              <w:ind w:left="307" w:right="142" w:hanging="135"/>
              <w:rPr>
                <w:rFonts w:hint="eastAsia" w:ascii="宋体" w:hAnsi="宋体" w:cs="宋体"/>
                <w:color w:val="auto"/>
                <w:szCs w:val="21"/>
                <w:highlight w:val="none"/>
              </w:rPr>
            </w:pPr>
            <w:r>
              <w:rPr>
                <w:rFonts w:hint="eastAsia" w:ascii="宋体" w:hAnsi="宋体" w:cs="宋体"/>
                <w:color w:val="auto"/>
                <w:spacing w:val="-4"/>
                <w:szCs w:val="21"/>
                <w:highlight w:val="none"/>
              </w:rPr>
              <w:t>营业收入</w:t>
            </w:r>
            <w:r>
              <w:rPr>
                <w:rFonts w:hint="eastAsia" w:ascii="宋体" w:hAnsi="宋体" w:cs="宋体"/>
                <w:color w:val="auto"/>
                <w:spacing w:val="3"/>
                <w:szCs w:val="21"/>
                <w:highlight w:val="none"/>
              </w:rPr>
              <w:t xml:space="preserve"> </w:t>
            </w:r>
            <w:r>
              <w:rPr>
                <w:rFonts w:hint="eastAsia" w:ascii="宋体" w:hAnsi="宋体" w:cs="宋体"/>
                <w:color w:val="auto"/>
                <w:spacing w:val="-10"/>
                <w:w w:val="99"/>
                <w:szCs w:val="21"/>
                <w:highlight w:val="none"/>
              </w:rPr>
              <w:t>(万元)</w:t>
            </w:r>
          </w:p>
        </w:tc>
        <w:tc>
          <w:tcPr>
            <w:tcW w:w="885" w:type="dxa"/>
            <w:noWrap w:val="0"/>
            <w:vAlign w:val="top"/>
          </w:tcPr>
          <w:p w14:paraId="74CBACFB">
            <w:pPr>
              <w:spacing w:before="56" w:line="360" w:lineRule="auto"/>
              <w:ind w:firstLine="143"/>
              <w:rPr>
                <w:rFonts w:hint="eastAsia" w:ascii="宋体" w:hAnsi="宋体" w:cs="宋体"/>
                <w:color w:val="auto"/>
                <w:szCs w:val="21"/>
                <w:highlight w:val="none"/>
              </w:rPr>
            </w:pPr>
            <w:r>
              <w:rPr>
                <w:rFonts w:hint="eastAsia" w:ascii="宋体" w:hAnsi="宋体" w:cs="宋体"/>
                <w:color w:val="auto"/>
                <w:spacing w:val="-4"/>
                <w:szCs w:val="21"/>
                <w:highlight w:val="none"/>
              </w:rPr>
              <w:t>从业人</w:t>
            </w:r>
          </w:p>
          <w:p w14:paraId="444C71C4">
            <w:pPr>
              <w:spacing w:before="109" w:line="360" w:lineRule="auto"/>
              <w:ind w:firstLine="358"/>
              <w:rPr>
                <w:rFonts w:hint="eastAsia" w:ascii="宋体" w:hAnsi="宋体" w:cs="宋体"/>
                <w:color w:val="auto"/>
                <w:szCs w:val="21"/>
                <w:highlight w:val="none"/>
              </w:rPr>
            </w:pPr>
            <w:r>
              <w:rPr>
                <w:rFonts w:hint="eastAsia" w:ascii="宋体" w:hAnsi="宋体" w:cs="宋体"/>
                <w:color w:val="auto"/>
                <w:szCs w:val="21"/>
                <w:highlight w:val="none"/>
              </w:rPr>
              <w:t>员</w:t>
            </w:r>
          </w:p>
          <w:p w14:paraId="018DD21B">
            <w:pPr>
              <w:spacing w:before="109" w:line="360" w:lineRule="auto"/>
              <w:ind w:firstLine="283"/>
              <w:rPr>
                <w:rFonts w:hint="eastAsia" w:ascii="宋体" w:hAnsi="宋体" w:cs="宋体"/>
                <w:color w:val="auto"/>
                <w:szCs w:val="21"/>
                <w:highlight w:val="none"/>
              </w:rPr>
            </w:pPr>
            <w:r>
              <w:rPr>
                <w:rFonts w:hint="eastAsia" w:ascii="宋体" w:hAnsi="宋体" w:cs="宋体"/>
                <w:color w:val="auto"/>
                <w:spacing w:val="-10"/>
                <w:w w:val="96"/>
                <w:szCs w:val="21"/>
                <w:highlight w:val="none"/>
              </w:rPr>
              <w:t>(人)</w:t>
            </w:r>
          </w:p>
        </w:tc>
        <w:tc>
          <w:tcPr>
            <w:tcW w:w="902" w:type="dxa"/>
            <w:noWrap w:val="0"/>
            <w:vAlign w:val="top"/>
          </w:tcPr>
          <w:p w14:paraId="64B821FF">
            <w:pPr>
              <w:spacing w:before="213" w:line="360" w:lineRule="auto"/>
              <w:ind w:left="185" w:right="123" w:hanging="34"/>
              <w:rPr>
                <w:rFonts w:hint="eastAsia" w:ascii="宋体" w:hAnsi="宋体" w:cs="宋体"/>
                <w:color w:val="auto"/>
                <w:szCs w:val="21"/>
                <w:highlight w:val="none"/>
              </w:rPr>
            </w:pPr>
            <w:r>
              <w:rPr>
                <w:rFonts w:hint="eastAsia" w:ascii="宋体" w:hAnsi="宋体" w:cs="宋体"/>
                <w:color w:val="auto"/>
                <w:spacing w:val="-4"/>
                <w:szCs w:val="21"/>
                <w:highlight w:val="none"/>
              </w:rPr>
              <w:t>总资产</w:t>
            </w:r>
            <w:r>
              <w:rPr>
                <w:rFonts w:hint="eastAsia" w:ascii="宋体" w:hAnsi="宋体" w:cs="宋体"/>
                <w:color w:val="auto"/>
                <w:spacing w:val="2"/>
                <w:szCs w:val="21"/>
                <w:highlight w:val="none"/>
              </w:rPr>
              <w:t xml:space="preserve"> </w:t>
            </w:r>
            <w:r>
              <w:rPr>
                <w:rFonts w:hint="eastAsia" w:ascii="宋体" w:hAnsi="宋体" w:cs="宋体"/>
                <w:color w:val="auto"/>
                <w:spacing w:val="-10"/>
                <w:w w:val="99"/>
                <w:szCs w:val="21"/>
                <w:highlight w:val="none"/>
              </w:rPr>
              <w:t>(万元)</w:t>
            </w:r>
          </w:p>
        </w:tc>
        <w:tc>
          <w:tcPr>
            <w:tcW w:w="1062" w:type="dxa"/>
            <w:noWrap w:val="0"/>
            <w:vAlign w:val="top"/>
          </w:tcPr>
          <w:p w14:paraId="03ECF292">
            <w:pPr>
              <w:spacing w:before="213" w:line="360" w:lineRule="auto"/>
              <w:ind w:left="266" w:right="97" w:hanging="135"/>
              <w:rPr>
                <w:rFonts w:hint="eastAsia" w:ascii="宋体" w:hAnsi="宋体" w:cs="宋体"/>
                <w:color w:val="auto"/>
                <w:szCs w:val="21"/>
                <w:highlight w:val="none"/>
              </w:rPr>
            </w:pPr>
            <w:r>
              <w:rPr>
                <w:rFonts w:hint="eastAsia" w:ascii="宋体" w:hAnsi="宋体" w:cs="宋体"/>
                <w:color w:val="auto"/>
                <w:spacing w:val="-4"/>
                <w:szCs w:val="21"/>
                <w:highlight w:val="none"/>
              </w:rPr>
              <w:t>营业收入</w:t>
            </w:r>
            <w:r>
              <w:rPr>
                <w:rFonts w:hint="eastAsia" w:ascii="宋体" w:hAnsi="宋体" w:cs="宋体"/>
                <w:color w:val="auto"/>
                <w:spacing w:val="3"/>
                <w:szCs w:val="21"/>
                <w:highlight w:val="none"/>
              </w:rPr>
              <w:t xml:space="preserve"> </w:t>
            </w:r>
            <w:r>
              <w:rPr>
                <w:rFonts w:hint="eastAsia" w:ascii="宋体" w:hAnsi="宋体" w:cs="宋体"/>
                <w:color w:val="auto"/>
                <w:spacing w:val="-10"/>
                <w:w w:val="99"/>
                <w:szCs w:val="21"/>
                <w:highlight w:val="none"/>
              </w:rPr>
              <w:t>(万元)</w:t>
            </w:r>
          </w:p>
        </w:tc>
        <w:tc>
          <w:tcPr>
            <w:tcW w:w="905" w:type="dxa"/>
            <w:noWrap w:val="0"/>
            <w:vAlign w:val="top"/>
          </w:tcPr>
          <w:p w14:paraId="355E616A">
            <w:pPr>
              <w:spacing w:before="56" w:line="360" w:lineRule="auto"/>
              <w:ind w:firstLine="155"/>
              <w:rPr>
                <w:rFonts w:hint="eastAsia" w:ascii="宋体" w:hAnsi="宋体" w:cs="宋体"/>
                <w:color w:val="auto"/>
                <w:szCs w:val="21"/>
                <w:highlight w:val="none"/>
              </w:rPr>
            </w:pPr>
            <w:r>
              <w:rPr>
                <w:rFonts w:hint="eastAsia" w:ascii="宋体" w:hAnsi="宋体" w:cs="宋体"/>
                <w:color w:val="auto"/>
                <w:spacing w:val="-4"/>
                <w:szCs w:val="21"/>
                <w:highlight w:val="none"/>
              </w:rPr>
              <w:t>从业人</w:t>
            </w:r>
          </w:p>
          <w:p w14:paraId="11F0304E">
            <w:pPr>
              <w:spacing w:before="109" w:line="360" w:lineRule="auto"/>
              <w:ind w:firstLine="369"/>
              <w:rPr>
                <w:rFonts w:hint="eastAsia" w:ascii="宋体" w:hAnsi="宋体" w:cs="宋体"/>
                <w:color w:val="auto"/>
                <w:szCs w:val="21"/>
                <w:highlight w:val="none"/>
              </w:rPr>
            </w:pPr>
            <w:r>
              <w:rPr>
                <w:rFonts w:hint="eastAsia" w:ascii="宋体" w:hAnsi="宋体" w:cs="宋体"/>
                <w:color w:val="auto"/>
                <w:szCs w:val="21"/>
                <w:highlight w:val="none"/>
              </w:rPr>
              <w:t>员</w:t>
            </w:r>
          </w:p>
          <w:p w14:paraId="2EA0D26B">
            <w:pPr>
              <w:spacing w:before="109" w:line="360" w:lineRule="auto"/>
              <w:ind w:firstLine="292"/>
              <w:rPr>
                <w:rFonts w:hint="eastAsia" w:ascii="宋体" w:hAnsi="宋体" w:cs="宋体"/>
                <w:color w:val="auto"/>
                <w:szCs w:val="21"/>
                <w:highlight w:val="none"/>
              </w:rPr>
            </w:pPr>
            <w:r>
              <w:rPr>
                <w:rFonts w:hint="eastAsia" w:ascii="宋体" w:hAnsi="宋体" w:cs="宋体"/>
                <w:color w:val="auto"/>
                <w:spacing w:val="-10"/>
                <w:w w:val="96"/>
                <w:szCs w:val="21"/>
                <w:highlight w:val="none"/>
              </w:rPr>
              <w:t>(人)</w:t>
            </w:r>
          </w:p>
        </w:tc>
        <w:tc>
          <w:tcPr>
            <w:tcW w:w="957" w:type="dxa"/>
            <w:noWrap w:val="0"/>
            <w:vAlign w:val="top"/>
          </w:tcPr>
          <w:p w14:paraId="49617394">
            <w:pPr>
              <w:spacing w:before="213" w:line="360" w:lineRule="auto"/>
              <w:ind w:left="213" w:right="150" w:hanging="34"/>
              <w:rPr>
                <w:rFonts w:hint="eastAsia" w:ascii="宋体" w:hAnsi="宋体" w:cs="宋体"/>
                <w:color w:val="auto"/>
                <w:szCs w:val="21"/>
                <w:highlight w:val="none"/>
              </w:rPr>
            </w:pPr>
            <w:r>
              <w:rPr>
                <w:rFonts w:hint="eastAsia" w:ascii="宋体" w:hAnsi="宋体" w:cs="宋体"/>
                <w:color w:val="auto"/>
                <w:spacing w:val="-4"/>
                <w:szCs w:val="21"/>
                <w:highlight w:val="none"/>
              </w:rPr>
              <w:t>总资产</w:t>
            </w:r>
            <w:r>
              <w:rPr>
                <w:rFonts w:hint="eastAsia" w:ascii="宋体" w:hAnsi="宋体" w:cs="宋体"/>
                <w:color w:val="auto"/>
                <w:spacing w:val="2"/>
                <w:szCs w:val="21"/>
                <w:highlight w:val="none"/>
              </w:rPr>
              <w:t xml:space="preserve"> </w:t>
            </w:r>
            <w:r>
              <w:rPr>
                <w:rFonts w:hint="eastAsia" w:ascii="宋体" w:hAnsi="宋体" w:cs="宋体"/>
                <w:color w:val="auto"/>
                <w:spacing w:val="-10"/>
                <w:w w:val="99"/>
                <w:szCs w:val="21"/>
                <w:highlight w:val="none"/>
              </w:rPr>
              <w:t>(万元)</w:t>
            </w:r>
          </w:p>
        </w:tc>
        <w:tc>
          <w:tcPr>
            <w:tcW w:w="1062" w:type="dxa"/>
            <w:noWrap w:val="0"/>
            <w:vAlign w:val="top"/>
          </w:tcPr>
          <w:p w14:paraId="2FAF0F85">
            <w:pPr>
              <w:spacing w:before="213" w:line="360" w:lineRule="auto"/>
              <w:ind w:left="266" w:right="95" w:hanging="133"/>
              <w:rPr>
                <w:rFonts w:hint="eastAsia" w:ascii="宋体" w:hAnsi="宋体" w:cs="宋体"/>
                <w:color w:val="auto"/>
                <w:szCs w:val="21"/>
                <w:highlight w:val="none"/>
              </w:rPr>
            </w:pPr>
            <w:r>
              <w:rPr>
                <w:rFonts w:hint="eastAsia" w:ascii="宋体" w:hAnsi="宋体" w:cs="宋体"/>
                <w:color w:val="auto"/>
                <w:spacing w:val="-4"/>
                <w:szCs w:val="21"/>
                <w:highlight w:val="none"/>
              </w:rPr>
              <w:t>营业收入</w:t>
            </w:r>
            <w:r>
              <w:rPr>
                <w:rFonts w:hint="eastAsia" w:ascii="宋体" w:hAnsi="宋体" w:cs="宋体"/>
                <w:color w:val="auto"/>
                <w:spacing w:val="3"/>
                <w:szCs w:val="21"/>
                <w:highlight w:val="none"/>
              </w:rPr>
              <w:t xml:space="preserve"> </w:t>
            </w:r>
            <w:r>
              <w:rPr>
                <w:rFonts w:hint="eastAsia" w:ascii="宋体" w:hAnsi="宋体" w:cs="宋体"/>
                <w:color w:val="auto"/>
                <w:spacing w:val="-10"/>
                <w:w w:val="99"/>
                <w:szCs w:val="21"/>
                <w:highlight w:val="none"/>
              </w:rPr>
              <w:t>(万元)</w:t>
            </w:r>
          </w:p>
        </w:tc>
        <w:tc>
          <w:tcPr>
            <w:tcW w:w="921" w:type="dxa"/>
            <w:noWrap w:val="0"/>
            <w:vAlign w:val="top"/>
          </w:tcPr>
          <w:p w14:paraId="3A30AA0E">
            <w:pPr>
              <w:spacing w:before="56" w:line="360" w:lineRule="auto"/>
              <w:ind w:firstLine="164"/>
              <w:rPr>
                <w:rFonts w:hint="eastAsia" w:ascii="宋体" w:hAnsi="宋体" w:cs="宋体"/>
                <w:color w:val="auto"/>
                <w:szCs w:val="21"/>
                <w:highlight w:val="none"/>
              </w:rPr>
            </w:pPr>
            <w:r>
              <w:rPr>
                <w:rFonts w:hint="eastAsia" w:ascii="宋体" w:hAnsi="宋体" w:cs="宋体"/>
                <w:color w:val="auto"/>
                <w:spacing w:val="-4"/>
                <w:szCs w:val="21"/>
                <w:highlight w:val="none"/>
              </w:rPr>
              <w:t>从业人</w:t>
            </w:r>
          </w:p>
          <w:p w14:paraId="4F132E04">
            <w:pPr>
              <w:spacing w:before="109" w:line="360" w:lineRule="auto"/>
              <w:ind w:firstLine="462"/>
              <w:rPr>
                <w:rFonts w:hint="eastAsia" w:ascii="宋体" w:hAnsi="宋体" w:cs="宋体"/>
                <w:color w:val="auto"/>
                <w:szCs w:val="21"/>
                <w:highlight w:val="none"/>
              </w:rPr>
            </w:pPr>
            <w:r>
              <w:rPr>
                <w:rFonts w:hint="eastAsia" w:ascii="宋体" w:hAnsi="宋体" w:cs="宋体"/>
                <w:color w:val="auto"/>
                <w:position w:val="7"/>
                <w:szCs w:val="21"/>
                <w:highlight w:val="none"/>
              </w:rPr>
              <w:t>员</w:t>
            </w:r>
          </w:p>
          <w:p w14:paraId="51BD4DD6">
            <w:pPr>
              <w:spacing w:line="360" w:lineRule="auto"/>
              <w:ind w:firstLine="301"/>
              <w:rPr>
                <w:rFonts w:hint="eastAsia" w:ascii="宋体" w:hAnsi="宋体" w:cs="宋体"/>
                <w:color w:val="auto"/>
                <w:szCs w:val="21"/>
                <w:highlight w:val="none"/>
              </w:rPr>
            </w:pPr>
            <w:r>
              <w:rPr>
                <w:rFonts w:hint="eastAsia" w:ascii="宋体" w:hAnsi="宋体" w:cs="宋体"/>
                <w:color w:val="auto"/>
                <w:spacing w:val="-10"/>
                <w:w w:val="96"/>
                <w:szCs w:val="21"/>
                <w:highlight w:val="none"/>
              </w:rPr>
              <w:t>(人)</w:t>
            </w:r>
          </w:p>
        </w:tc>
        <w:tc>
          <w:tcPr>
            <w:tcW w:w="963" w:type="dxa"/>
            <w:noWrap w:val="0"/>
            <w:vAlign w:val="top"/>
          </w:tcPr>
          <w:p w14:paraId="1A375E70">
            <w:pPr>
              <w:spacing w:before="213" w:line="360" w:lineRule="auto"/>
              <w:ind w:left="218" w:right="152" w:hanging="34"/>
              <w:rPr>
                <w:rFonts w:hint="eastAsia" w:ascii="宋体" w:hAnsi="宋体" w:cs="宋体"/>
                <w:color w:val="auto"/>
                <w:szCs w:val="21"/>
                <w:highlight w:val="none"/>
              </w:rPr>
            </w:pPr>
            <w:r>
              <w:rPr>
                <w:rFonts w:hint="eastAsia" w:ascii="宋体" w:hAnsi="宋体" w:cs="宋体"/>
                <w:color w:val="auto"/>
                <w:spacing w:val="-4"/>
                <w:szCs w:val="21"/>
                <w:highlight w:val="none"/>
              </w:rPr>
              <w:t>总资产</w:t>
            </w:r>
            <w:r>
              <w:rPr>
                <w:rFonts w:hint="eastAsia" w:ascii="宋体" w:hAnsi="宋体" w:cs="宋体"/>
                <w:color w:val="auto"/>
                <w:spacing w:val="2"/>
                <w:szCs w:val="21"/>
                <w:highlight w:val="none"/>
              </w:rPr>
              <w:t xml:space="preserve"> </w:t>
            </w:r>
            <w:r>
              <w:rPr>
                <w:rFonts w:hint="eastAsia" w:ascii="宋体" w:hAnsi="宋体" w:cs="宋体"/>
                <w:color w:val="auto"/>
                <w:spacing w:val="-10"/>
                <w:w w:val="99"/>
                <w:szCs w:val="21"/>
                <w:highlight w:val="none"/>
              </w:rPr>
              <w:t>(万元)</w:t>
            </w:r>
          </w:p>
        </w:tc>
        <w:tc>
          <w:tcPr>
            <w:tcW w:w="1062" w:type="dxa"/>
            <w:noWrap w:val="0"/>
            <w:vAlign w:val="top"/>
          </w:tcPr>
          <w:p w14:paraId="7946BD49">
            <w:pPr>
              <w:spacing w:before="213" w:line="360" w:lineRule="auto"/>
              <w:ind w:left="267" w:right="96" w:hanging="135"/>
              <w:rPr>
                <w:rFonts w:hint="eastAsia" w:ascii="宋体" w:hAnsi="宋体" w:cs="宋体"/>
                <w:color w:val="auto"/>
                <w:szCs w:val="21"/>
                <w:highlight w:val="none"/>
              </w:rPr>
            </w:pPr>
            <w:r>
              <w:rPr>
                <w:rFonts w:hint="eastAsia" w:ascii="宋体" w:hAnsi="宋体" w:cs="宋体"/>
                <w:color w:val="auto"/>
                <w:spacing w:val="-4"/>
                <w:szCs w:val="21"/>
                <w:highlight w:val="none"/>
              </w:rPr>
              <w:t>营业收入</w:t>
            </w:r>
            <w:r>
              <w:rPr>
                <w:rFonts w:hint="eastAsia" w:ascii="宋体" w:hAnsi="宋体" w:cs="宋体"/>
                <w:color w:val="auto"/>
                <w:spacing w:val="3"/>
                <w:szCs w:val="21"/>
                <w:highlight w:val="none"/>
              </w:rPr>
              <w:t xml:space="preserve"> </w:t>
            </w:r>
            <w:r>
              <w:rPr>
                <w:rFonts w:hint="eastAsia" w:ascii="宋体" w:hAnsi="宋体" w:cs="宋体"/>
                <w:color w:val="auto"/>
                <w:spacing w:val="-10"/>
                <w:w w:val="99"/>
                <w:szCs w:val="21"/>
                <w:highlight w:val="none"/>
              </w:rPr>
              <w:t>(万元)</w:t>
            </w:r>
          </w:p>
        </w:tc>
        <w:tc>
          <w:tcPr>
            <w:tcW w:w="846" w:type="dxa"/>
            <w:noWrap w:val="0"/>
            <w:vAlign w:val="top"/>
          </w:tcPr>
          <w:p w14:paraId="4FB4CB92">
            <w:pPr>
              <w:spacing w:before="56" w:line="360" w:lineRule="auto"/>
              <w:ind w:firstLine="127"/>
              <w:rPr>
                <w:rFonts w:hint="eastAsia" w:ascii="宋体" w:hAnsi="宋体" w:cs="宋体"/>
                <w:color w:val="auto"/>
                <w:szCs w:val="21"/>
                <w:highlight w:val="none"/>
              </w:rPr>
            </w:pPr>
            <w:r>
              <w:rPr>
                <w:rFonts w:hint="eastAsia" w:ascii="宋体" w:hAnsi="宋体" w:cs="宋体"/>
                <w:color w:val="auto"/>
                <w:spacing w:val="-4"/>
                <w:szCs w:val="21"/>
                <w:highlight w:val="none"/>
              </w:rPr>
              <w:t>从业人</w:t>
            </w:r>
          </w:p>
          <w:p w14:paraId="7FBC5FA1">
            <w:pPr>
              <w:spacing w:before="109" w:line="360" w:lineRule="auto"/>
              <w:ind w:firstLine="341"/>
              <w:rPr>
                <w:rFonts w:hint="eastAsia" w:ascii="宋体" w:hAnsi="宋体" w:cs="宋体"/>
                <w:color w:val="auto"/>
                <w:szCs w:val="21"/>
                <w:highlight w:val="none"/>
              </w:rPr>
            </w:pPr>
            <w:r>
              <w:rPr>
                <w:rFonts w:hint="eastAsia" w:ascii="宋体" w:hAnsi="宋体" w:cs="宋体"/>
                <w:color w:val="auto"/>
                <w:szCs w:val="21"/>
                <w:highlight w:val="none"/>
              </w:rPr>
              <w:t>员</w:t>
            </w:r>
          </w:p>
          <w:p w14:paraId="60B0856F">
            <w:pPr>
              <w:spacing w:before="109" w:line="360" w:lineRule="auto"/>
              <w:ind w:firstLine="264"/>
              <w:rPr>
                <w:rFonts w:hint="eastAsia" w:ascii="宋体" w:hAnsi="宋体" w:cs="宋体"/>
                <w:color w:val="auto"/>
                <w:szCs w:val="21"/>
                <w:highlight w:val="none"/>
              </w:rPr>
            </w:pPr>
            <w:r>
              <w:rPr>
                <w:rFonts w:hint="eastAsia" w:ascii="宋体" w:hAnsi="宋体" w:cs="宋体"/>
                <w:color w:val="auto"/>
                <w:spacing w:val="-10"/>
                <w:w w:val="96"/>
                <w:szCs w:val="21"/>
                <w:highlight w:val="none"/>
              </w:rPr>
              <w:t>(人)</w:t>
            </w:r>
          </w:p>
        </w:tc>
        <w:tc>
          <w:tcPr>
            <w:tcW w:w="820" w:type="dxa"/>
            <w:noWrap w:val="0"/>
            <w:vAlign w:val="top"/>
          </w:tcPr>
          <w:p w14:paraId="0006411A">
            <w:pPr>
              <w:spacing w:before="213" w:line="360" w:lineRule="auto"/>
              <w:ind w:left="145" w:right="81" w:hanging="34"/>
              <w:rPr>
                <w:rFonts w:hint="eastAsia" w:ascii="宋体" w:hAnsi="宋体" w:cs="宋体"/>
                <w:color w:val="auto"/>
                <w:szCs w:val="21"/>
                <w:highlight w:val="none"/>
              </w:rPr>
            </w:pPr>
            <w:r>
              <w:rPr>
                <w:rFonts w:hint="eastAsia" w:ascii="宋体" w:hAnsi="宋体" w:cs="宋体"/>
                <w:color w:val="auto"/>
                <w:spacing w:val="-4"/>
                <w:szCs w:val="21"/>
                <w:highlight w:val="none"/>
              </w:rPr>
              <w:t>总资产</w:t>
            </w:r>
            <w:r>
              <w:rPr>
                <w:rFonts w:hint="eastAsia" w:ascii="宋体" w:hAnsi="宋体" w:cs="宋体"/>
                <w:color w:val="auto"/>
                <w:spacing w:val="2"/>
                <w:szCs w:val="21"/>
                <w:highlight w:val="none"/>
              </w:rPr>
              <w:t xml:space="preserve"> </w:t>
            </w:r>
            <w:r>
              <w:rPr>
                <w:rFonts w:hint="eastAsia" w:ascii="宋体" w:hAnsi="宋体" w:cs="宋体"/>
                <w:color w:val="auto"/>
                <w:spacing w:val="-10"/>
                <w:w w:val="99"/>
                <w:szCs w:val="21"/>
                <w:highlight w:val="none"/>
              </w:rPr>
              <w:t>(万元)</w:t>
            </w:r>
          </w:p>
        </w:tc>
      </w:tr>
      <w:tr w14:paraId="7A83AF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3" w:hRule="atLeast"/>
          <w:jc w:val="center"/>
        </w:trPr>
        <w:tc>
          <w:tcPr>
            <w:tcW w:w="476" w:type="dxa"/>
            <w:noWrap w:val="0"/>
            <w:vAlign w:val="top"/>
          </w:tcPr>
          <w:p w14:paraId="426C47EE">
            <w:pPr>
              <w:spacing w:before="112" w:line="360" w:lineRule="auto"/>
              <w:ind w:firstLine="204"/>
              <w:rPr>
                <w:rFonts w:hint="eastAsia" w:ascii="宋体" w:hAnsi="宋体" w:cs="宋体"/>
                <w:color w:val="auto"/>
                <w:szCs w:val="21"/>
                <w:highlight w:val="none"/>
              </w:rPr>
            </w:pPr>
            <w:r>
              <w:rPr>
                <w:rFonts w:hint="eastAsia" w:ascii="宋体" w:hAnsi="宋体" w:cs="宋体"/>
                <w:color w:val="auto"/>
                <w:szCs w:val="21"/>
                <w:highlight w:val="none"/>
              </w:rPr>
              <w:t>1</w:t>
            </w:r>
          </w:p>
        </w:tc>
        <w:tc>
          <w:tcPr>
            <w:tcW w:w="2051" w:type="dxa"/>
            <w:noWrap w:val="0"/>
            <w:vAlign w:val="top"/>
          </w:tcPr>
          <w:p w14:paraId="0F190244">
            <w:pPr>
              <w:spacing w:before="81" w:line="360" w:lineRule="auto"/>
              <w:ind w:firstLine="83"/>
              <w:rPr>
                <w:rFonts w:hint="eastAsia" w:ascii="宋体" w:hAnsi="宋体" w:cs="宋体"/>
                <w:color w:val="auto"/>
                <w:szCs w:val="21"/>
                <w:highlight w:val="none"/>
              </w:rPr>
            </w:pPr>
            <w:r>
              <w:rPr>
                <w:rFonts w:hint="eastAsia" w:ascii="宋体" w:hAnsi="宋体" w:cs="宋体"/>
                <w:color w:val="auto"/>
                <w:spacing w:val="-1"/>
                <w:szCs w:val="21"/>
                <w:highlight w:val="none"/>
              </w:rPr>
              <w:t>农、林、牧、渔业</w:t>
            </w:r>
          </w:p>
        </w:tc>
        <w:tc>
          <w:tcPr>
            <w:tcW w:w="1148" w:type="dxa"/>
            <w:noWrap w:val="0"/>
            <w:vAlign w:val="top"/>
          </w:tcPr>
          <w:p w14:paraId="03559082">
            <w:pPr>
              <w:spacing w:before="81"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≥20000</w:t>
            </w:r>
          </w:p>
        </w:tc>
        <w:tc>
          <w:tcPr>
            <w:tcW w:w="885" w:type="dxa"/>
            <w:noWrap w:val="0"/>
            <w:vAlign w:val="top"/>
          </w:tcPr>
          <w:p w14:paraId="3B54AD5C">
            <w:pPr>
              <w:spacing w:line="360" w:lineRule="auto"/>
              <w:rPr>
                <w:rFonts w:hint="eastAsia" w:ascii="宋体" w:hAnsi="宋体" w:cs="宋体"/>
                <w:color w:val="auto"/>
                <w:highlight w:val="none"/>
              </w:rPr>
            </w:pPr>
          </w:p>
        </w:tc>
        <w:tc>
          <w:tcPr>
            <w:tcW w:w="902" w:type="dxa"/>
            <w:noWrap w:val="0"/>
            <w:vAlign w:val="top"/>
          </w:tcPr>
          <w:p w14:paraId="3C657F4F">
            <w:pPr>
              <w:spacing w:line="360" w:lineRule="auto"/>
              <w:rPr>
                <w:rFonts w:hint="eastAsia" w:ascii="宋体" w:hAnsi="宋体" w:cs="宋体"/>
                <w:color w:val="auto"/>
                <w:highlight w:val="none"/>
              </w:rPr>
            </w:pPr>
          </w:p>
        </w:tc>
        <w:tc>
          <w:tcPr>
            <w:tcW w:w="1062" w:type="dxa"/>
            <w:noWrap w:val="0"/>
            <w:vAlign w:val="top"/>
          </w:tcPr>
          <w:p w14:paraId="497A61DF">
            <w:pPr>
              <w:spacing w:before="81" w:line="360" w:lineRule="auto"/>
              <w:ind w:firstLine="294"/>
              <w:rPr>
                <w:rFonts w:hint="eastAsia" w:ascii="宋体" w:hAnsi="宋体" w:cs="宋体"/>
                <w:color w:val="auto"/>
                <w:szCs w:val="21"/>
                <w:highlight w:val="none"/>
              </w:rPr>
            </w:pPr>
            <w:r>
              <w:rPr>
                <w:rFonts w:hint="eastAsia" w:ascii="宋体" w:hAnsi="宋体" w:cs="宋体"/>
                <w:color w:val="auto"/>
                <w:spacing w:val="-8"/>
                <w:szCs w:val="21"/>
                <w:highlight w:val="none"/>
              </w:rPr>
              <w:t>≥500</w:t>
            </w:r>
          </w:p>
        </w:tc>
        <w:tc>
          <w:tcPr>
            <w:tcW w:w="905" w:type="dxa"/>
            <w:noWrap w:val="0"/>
            <w:vAlign w:val="top"/>
          </w:tcPr>
          <w:p w14:paraId="1E29C306">
            <w:pPr>
              <w:spacing w:line="360" w:lineRule="auto"/>
              <w:rPr>
                <w:rFonts w:hint="eastAsia" w:ascii="宋体" w:hAnsi="宋体" w:cs="宋体"/>
                <w:color w:val="auto"/>
                <w:highlight w:val="none"/>
              </w:rPr>
            </w:pPr>
          </w:p>
        </w:tc>
        <w:tc>
          <w:tcPr>
            <w:tcW w:w="957" w:type="dxa"/>
            <w:noWrap w:val="0"/>
            <w:vAlign w:val="top"/>
          </w:tcPr>
          <w:p w14:paraId="7BED9630">
            <w:pPr>
              <w:spacing w:line="360" w:lineRule="auto"/>
              <w:rPr>
                <w:rFonts w:hint="eastAsia" w:ascii="宋体" w:hAnsi="宋体" w:cs="宋体"/>
                <w:color w:val="auto"/>
                <w:highlight w:val="none"/>
              </w:rPr>
            </w:pPr>
          </w:p>
        </w:tc>
        <w:tc>
          <w:tcPr>
            <w:tcW w:w="1062" w:type="dxa"/>
            <w:noWrap w:val="0"/>
            <w:vAlign w:val="top"/>
          </w:tcPr>
          <w:p w14:paraId="043998AA">
            <w:pPr>
              <w:spacing w:before="81" w:line="360" w:lineRule="auto"/>
              <w:ind w:firstLine="346"/>
              <w:rPr>
                <w:rFonts w:hint="eastAsia" w:ascii="宋体" w:hAnsi="宋体" w:cs="宋体"/>
                <w:color w:val="auto"/>
                <w:szCs w:val="21"/>
                <w:highlight w:val="none"/>
              </w:rPr>
            </w:pPr>
            <w:r>
              <w:rPr>
                <w:rFonts w:hint="eastAsia" w:ascii="宋体" w:hAnsi="宋体" w:cs="宋体"/>
                <w:color w:val="auto"/>
                <w:spacing w:val="-10"/>
                <w:szCs w:val="21"/>
                <w:highlight w:val="none"/>
              </w:rPr>
              <w:t>≥50</w:t>
            </w:r>
          </w:p>
        </w:tc>
        <w:tc>
          <w:tcPr>
            <w:tcW w:w="921" w:type="dxa"/>
            <w:noWrap w:val="0"/>
            <w:vAlign w:val="top"/>
          </w:tcPr>
          <w:p w14:paraId="5671B211">
            <w:pPr>
              <w:spacing w:line="360" w:lineRule="auto"/>
              <w:rPr>
                <w:rFonts w:hint="eastAsia" w:ascii="宋体" w:hAnsi="宋体" w:cs="宋体"/>
                <w:color w:val="auto"/>
                <w:highlight w:val="none"/>
              </w:rPr>
            </w:pPr>
          </w:p>
        </w:tc>
        <w:tc>
          <w:tcPr>
            <w:tcW w:w="963" w:type="dxa"/>
            <w:noWrap w:val="0"/>
            <w:vAlign w:val="top"/>
          </w:tcPr>
          <w:p w14:paraId="2E74BD54">
            <w:pPr>
              <w:spacing w:line="360" w:lineRule="auto"/>
              <w:rPr>
                <w:rFonts w:hint="eastAsia" w:ascii="宋体" w:hAnsi="宋体" w:cs="宋体"/>
                <w:color w:val="auto"/>
                <w:highlight w:val="none"/>
              </w:rPr>
            </w:pPr>
          </w:p>
        </w:tc>
        <w:tc>
          <w:tcPr>
            <w:tcW w:w="1062" w:type="dxa"/>
            <w:noWrap w:val="0"/>
            <w:vAlign w:val="top"/>
          </w:tcPr>
          <w:p w14:paraId="786B4138">
            <w:pPr>
              <w:spacing w:before="81" w:line="360" w:lineRule="auto"/>
              <w:ind w:firstLine="342"/>
              <w:rPr>
                <w:rFonts w:hint="eastAsia" w:ascii="宋体" w:hAnsi="宋体" w:cs="宋体"/>
                <w:color w:val="auto"/>
                <w:szCs w:val="21"/>
                <w:highlight w:val="none"/>
              </w:rPr>
            </w:pPr>
            <w:r>
              <w:rPr>
                <w:rFonts w:hint="eastAsia" w:ascii="宋体" w:hAnsi="宋体" w:cs="宋体"/>
                <w:color w:val="auto"/>
                <w:spacing w:val="-8"/>
                <w:szCs w:val="21"/>
                <w:highlight w:val="none"/>
              </w:rPr>
              <w:t>＜50</w:t>
            </w:r>
          </w:p>
        </w:tc>
        <w:tc>
          <w:tcPr>
            <w:tcW w:w="846" w:type="dxa"/>
            <w:noWrap w:val="0"/>
            <w:vAlign w:val="top"/>
          </w:tcPr>
          <w:p w14:paraId="4F61631A">
            <w:pPr>
              <w:spacing w:line="360" w:lineRule="auto"/>
              <w:rPr>
                <w:rFonts w:hint="eastAsia" w:ascii="宋体" w:hAnsi="宋体" w:cs="宋体"/>
                <w:color w:val="auto"/>
                <w:highlight w:val="none"/>
              </w:rPr>
            </w:pPr>
          </w:p>
        </w:tc>
        <w:tc>
          <w:tcPr>
            <w:tcW w:w="820" w:type="dxa"/>
            <w:noWrap w:val="0"/>
            <w:vAlign w:val="top"/>
          </w:tcPr>
          <w:p w14:paraId="45D4B2DB">
            <w:pPr>
              <w:spacing w:line="360" w:lineRule="auto"/>
              <w:rPr>
                <w:rFonts w:hint="eastAsia" w:ascii="宋体" w:hAnsi="宋体" w:cs="宋体"/>
                <w:color w:val="auto"/>
                <w:highlight w:val="none"/>
              </w:rPr>
            </w:pPr>
          </w:p>
        </w:tc>
      </w:tr>
      <w:tr w14:paraId="35839D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6725A5B6">
            <w:pPr>
              <w:spacing w:before="115" w:line="360" w:lineRule="auto"/>
              <w:ind w:firstLine="191"/>
              <w:rPr>
                <w:rFonts w:hint="eastAsia" w:ascii="宋体" w:hAnsi="宋体" w:cs="宋体"/>
                <w:color w:val="auto"/>
                <w:szCs w:val="21"/>
                <w:highlight w:val="none"/>
              </w:rPr>
            </w:pPr>
            <w:r>
              <w:rPr>
                <w:rFonts w:hint="eastAsia" w:ascii="宋体" w:hAnsi="宋体" w:cs="宋体"/>
                <w:color w:val="auto"/>
                <w:szCs w:val="21"/>
                <w:highlight w:val="none"/>
              </w:rPr>
              <w:t>2</w:t>
            </w:r>
          </w:p>
        </w:tc>
        <w:tc>
          <w:tcPr>
            <w:tcW w:w="2051" w:type="dxa"/>
            <w:noWrap w:val="0"/>
            <w:vAlign w:val="top"/>
          </w:tcPr>
          <w:p w14:paraId="70B31DC4">
            <w:pPr>
              <w:spacing w:before="82" w:line="360" w:lineRule="auto"/>
              <w:ind w:firstLine="85"/>
              <w:rPr>
                <w:rFonts w:hint="eastAsia" w:ascii="宋体" w:hAnsi="宋体" w:cs="宋体"/>
                <w:color w:val="auto"/>
                <w:szCs w:val="21"/>
                <w:highlight w:val="none"/>
              </w:rPr>
            </w:pPr>
            <w:r>
              <w:rPr>
                <w:rFonts w:hint="eastAsia" w:ascii="宋体" w:hAnsi="宋体" w:cs="宋体"/>
                <w:color w:val="auto"/>
                <w:spacing w:val="-6"/>
                <w:szCs w:val="21"/>
                <w:highlight w:val="none"/>
              </w:rPr>
              <w:t>工业</w:t>
            </w:r>
          </w:p>
        </w:tc>
        <w:tc>
          <w:tcPr>
            <w:tcW w:w="1148" w:type="dxa"/>
            <w:noWrap w:val="0"/>
            <w:vAlign w:val="top"/>
          </w:tcPr>
          <w:p w14:paraId="3B131D75">
            <w:pPr>
              <w:spacing w:before="82"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≥40000</w:t>
            </w:r>
          </w:p>
        </w:tc>
        <w:tc>
          <w:tcPr>
            <w:tcW w:w="885" w:type="dxa"/>
            <w:noWrap w:val="0"/>
            <w:vAlign w:val="top"/>
          </w:tcPr>
          <w:p w14:paraId="13322E20">
            <w:pPr>
              <w:spacing w:before="82"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2" w:type="dxa"/>
            <w:noWrap w:val="0"/>
            <w:vAlign w:val="top"/>
          </w:tcPr>
          <w:p w14:paraId="7881FB52">
            <w:pPr>
              <w:spacing w:line="360" w:lineRule="auto"/>
              <w:rPr>
                <w:rFonts w:hint="eastAsia" w:ascii="宋体" w:hAnsi="宋体" w:cs="宋体"/>
                <w:color w:val="auto"/>
                <w:highlight w:val="none"/>
              </w:rPr>
            </w:pPr>
          </w:p>
        </w:tc>
        <w:tc>
          <w:tcPr>
            <w:tcW w:w="1062" w:type="dxa"/>
            <w:noWrap w:val="0"/>
            <w:vAlign w:val="top"/>
          </w:tcPr>
          <w:p w14:paraId="0E6C7990">
            <w:pPr>
              <w:spacing w:before="82"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5" w:type="dxa"/>
            <w:noWrap w:val="0"/>
            <w:vAlign w:val="top"/>
          </w:tcPr>
          <w:p w14:paraId="1908F585">
            <w:pPr>
              <w:spacing w:before="82"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57" w:type="dxa"/>
            <w:noWrap w:val="0"/>
            <w:vAlign w:val="top"/>
          </w:tcPr>
          <w:p w14:paraId="2BAEC694">
            <w:pPr>
              <w:spacing w:line="360" w:lineRule="auto"/>
              <w:rPr>
                <w:rFonts w:hint="eastAsia" w:ascii="宋体" w:hAnsi="宋体" w:cs="宋体"/>
                <w:color w:val="auto"/>
                <w:highlight w:val="none"/>
              </w:rPr>
            </w:pPr>
          </w:p>
        </w:tc>
        <w:tc>
          <w:tcPr>
            <w:tcW w:w="1062" w:type="dxa"/>
            <w:noWrap w:val="0"/>
            <w:vAlign w:val="top"/>
          </w:tcPr>
          <w:p w14:paraId="0D8B6808">
            <w:pPr>
              <w:spacing w:before="82"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21" w:type="dxa"/>
            <w:noWrap w:val="0"/>
            <w:vAlign w:val="top"/>
          </w:tcPr>
          <w:p w14:paraId="49C9D394">
            <w:pPr>
              <w:spacing w:before="82"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63" w:type="dxa"/>
            <w:noWrap w:val="0"/>
            <w:vAlign w:val="top"/>
          </w:tcPr>
          <w:p w14:paraId="68EF1CD0">
            <w:pPr>
              <w:spacing w:line="360" w:lineRule="auto"/>
              <w:rPr>
                <w:rFonts w:hint="eastAsia" w:ascii="宋体" w:hAnsi="宋体" w:cs="宋体"/>
                <w:color w:val="auto"/>
                <w:highlight w:val="none"/>
              </w:rPr>
            </w:pPr>
          </w:p>
        </w:tc>
        <w:tc>
          <w:tcPr>
            <w:tcW w:w="1062" w:type="dxa"/>
            <w:noWrap w:val="0"/>
            <w:vAlign w:val="top"/>
          </w:tcPr>
          <w:p w14:paraId="763ECAA2">
            <w:pPr>
              <w:spacing w:before="82"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846" w:type="dxa"/>
            <w:noWrap w:val="0"/>
            <w:vAlign w:val="top"/>
          </w:tcPr>
          <w:p w14:paraId="6E9204D3">
            <w:pPr>
              <w:spacing w:before="82"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＜20</w:t>
            </w:r>
          </w:p>
        </w:tc>
        <w:tc>
          <w:tcPr>
            <w:tcW w:w="820" w:type="dxa"/>
            <w:noWrap w:val="0"/>
            <w:vAlign w:val="top"/>
          </w:tcPr>
          <w:p w14:paraId="38989AFD">
            <w:pPr>
              <w:spacing w:line="360" w:lineRule="auto"/>
              <w:rPr>
                <w:rFonts w:hint="eastAsia" w:ascii="宋体" w:hAnsi="宋体" w:cs="宋体"/>
                <w:color w:val="auto"/>
                <w:highlight w:val="none"/>
              </w:rPr>
            </w:pPr>
          </w:p>
        </w:tc>
      </w:tr>
      <w:tr w14:paraId="5CAF99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74" w:hRule="atLeast"/>
          <w:jc w:val="center"/>
        </w:trPr>
        <w:tc>
          <w:tcPr>
            <w:tcW w:w="476" w:type="dxa"/>
            <w:noWrap w:val="0"/>
            <w:vAlign w:val="top"/>
          </w:tcPr>
          <w:p w14:paraId="34493895">
            <w:pPr>
              <w:spacing w:before="115" w:line="360" w:lineRule="auto"/>
              <w:ind w:firstLine="193"/>
              <w:rPr>
                <w:rFonts w:hint="eastAsia" w:ascii="宋体" w:hAnsi="宋体" w:cs="宋体"/>
                <w:color w:val="auto"/>
                <w:szCs w:val="21"/>
                <w:highlight w:val="none"/>
              </w:rPr>
            </w:pPr>
            <w:r>
              <w:rPr>
                <w:rFonts w:hint="eastAsia" w:ascii="宋体" w:hAnsi="宋体" w:cs="宋体"/>
                <w:color w:val="auto"/>
                <w:szCs w:val="21"/>
                <w:highlight w:val="none"/>
              </w:rPr>
              <w:t>3</w:t>
            </w:r>
          </w:p>
        </w:tc>
        <w:tc>
          <w:tcPr>
            <w:tcW w:w="2051" w:type="dxa"/>
            <w:noWrap w:val="0"/>
            <w:vAlign w:val="top"/>
          </w:tcPr>
          <w:p w14:paraId="40C3475D">
            <w:pPr>
              <w:spacing w:before="82" w:line="360" w:lineRule="auto"/>
              <w:ind w:firstLine="85"/>
              <w:rPr>
                <w:rFonts w:hint="eastAsia" w:ascii="宋体" w:hAnsi="宋体" w:cs="宋体"/>
                <w:color w:val="auto"/>
                <w:szCs w:val="21"/>
                <w:highlight w:val="none"/>
              </w:rPr>
            </w:pPr>
            <w:r>
              <w:rPr>
                <w:rFonts w:hint="eastAsia" w:ascii="宋体" w:hAnsi="宋体" w:cs="宋体"/>
                <w:color w:val="auto"/>
                <w:spacing w:val="-4"/>
                <w:szCs w:val="21"/>
                <w:highlight w:val="none"/>
              </w:rPr>
              <w:t>建筑业</w:t>
            </w:r>
          </w:p>
        </w:tc>
        <w:tc>
          <w:tcPr>
            <w:tcW w:w="1148" w:type="dxa"/>
            <w:noWrap w:val="0"/>
            <w:vAlign w:val="top"/>
          </w:tcPr>
          <w:p w14:paraId="7E28286E">
            <w:pPr>
              <w:spacing w:before="82"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≥80000</w:t>
            </w:r>
          </w:p>
        </w:tc>
        <w:tc>
          <w:tcPr>
            <w:tcW w:w="885" w:type="dxa"/>
            <w:noWrap w:val="0"/>
            <w:vAlign w:val="top"/>
          </w:tcPr>
          <w:p w14:paraId="3FFD138B">
            <w:pPr>
              <w:spacing w:line="360" w:lineRule="auto"/>
              <w:rPr>
                <w:rFonts w:hint="eastAsia" w:ascii="宋体" w:hAnsi="宋体" w:cs="宋体"/>
                <w:color w:val="auto"/>
                <w:highlight w:val="none"/>
              </w:rPr>
            </w:pPr>
          </w:p>
        </w:tc>
        <w:tc>
          <w:tcPr>
            <w:tcW w:w="902" w:type="dxa"/>
            <w:noWrap w:val="0"/>
            <w:vAlign w:val="top"/>
          </w:tcPr>
          <w:p w14:paraId="0B05C99A">
            <w:pPr>
              <w:spacing w:before="82" w:line="360" w:lineRule="auto"/>
              <w:ind w:firstLine="109"/>
              <w:rPr>
                <w:rFonts w:hint="eastAsia" w:ascii="宋体" w:hAnsi="宋体" w:cs="宋体"/>
                <w:color w:val="auto"/>
                <w:szCs w:val="21"/>
                <w:highlight w:val="none"/>
              </w:rPr>
            </w:pPr>
            <w:r>
              <w:rPr>
                <w:rFonts w:hint="eastAsia" w:ascii="宋体" w:hAnsi="宋体" w:cs="宋体"/>
                <w:color w:val="auto"/>
                <w:spacing w:val="-5"/>
                <w:szCs w:val="21"/>
                <w:highlight w:val="none"/>
              </w:rPr>
              <w:t>≥80000</w:t>
            </w:r>
          </w:p>
        </w:tc>
        <w:tc>
          <w:tcPr>
            <w:tcW w:w="1062" w:type="dxa"/>
            <w:noWrap w:val="0"/>
            <w:vAlign w:val="top"/>
          </w:tcPr>
          <w:p w14:paraId="624D2C90">
            <w:pPr>
              <w:spacing w:before="82"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≥5000</w:t>
            </w:r>
          </w:p>
        </w:tc>
        <w:tc>
          <w:tcPr>
            <w:tcW w:w="905" w:type="dxa"/>
            <w:noWrap w:val="0"/>
            <w:vAlign w:val="top"/>
          </w:tcPr>
          <w:p w14:paraId="694F9979">
            <w:pPr>
              <w:spacing w:line="360" w:lineRule="auto"/>
              <w:rPr>
                <w:rFonts w:hint="eastAsia" w:ascii="宋体" w:hAnsi="宋体" w:cs="宋体"/>
                <w:color w:val="auto"/>
                <w:highlight w:val="none"/>
              </w:rPr>
            </w:pPr>
          </w:p>
        </w:tc>
        <w:tc>
          <w:tcPr>
            <w:tcW w:w="957" w:type="dxa"/>
            <w:noWrap w:val="0"/>
            <w:vAlign w:val="top"/>
          </w:tcPr>
          <w:p w14:paraId="58F07032">
            <w:pPr>
              <w:spacing w:before="82" w:line="360" w:lineRule="auto"/>
              <w:ind w:firstLine="190"/>
              <w:rPr>
                <w:rFonts w:hint="eastAsia" w:ascii="宋体" w:hAnsi="宋体" w:cs="宋体"/>
                <w:color w:val="auto"/>
                <w:szCs w:val="21"/>
                <w:highlight w:val="none"/>
              </w:rPr>
            </w:pPr>
            <w:r>
              <w:rPr>
                <w:rFonts w:hint="eastAsia" w:ascii="宋体" w:hAnsi="宋体" w:cs="宋体"/>
                <w:color w:val="auto"/>
                <w:spacing w:val="-6"/>
                <w:szCs w:val="21"/>
                <w:highlight w:val="none"/>
              </w:rPr>
              <w:t>≥5000</w:t>
            </w:r>
          </w:p>
        </w:tc>
        <w:tc>
          <w:tcPr>
            <w:tcW w:w="1062" w:type="dxa"/>
            <w:noWrap w:val="0"/>
            <w:vAlign w:val="top"/>
          </w:tcPr>
          <w:p w14:paraId="000E18E0">
            <w:pPr>
              <w:spacing w:before="82"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21" w:type="dxa"/>
            <w:noWrap w:val="0"/>
            <w:vAlign w:val="top"/>
          </w:tcPr>
          <w:p w14:paraId="1D65270A">
            <w:pPr>
              <w:spacing w:line="360" w:lineRule="auto"/>
              <w:rPr>
                <w:rFonts w:hint="eastAsia" w:ascii="宋体" w:hAnsi="宋体" w:cs="宋体"/>
                <w:color w:val="auto"/>
                <w:highlight w:val="none"/>
              </w:rPr>
            </w:pPr>
          </w:p>
        </w:tc>
        <w:tc>
          <w:tcPr>
            <w:tcW w:w="963" w:type="dxa"/>
            <w:noWrap w:val="0"/>
            <w:vAlign w:val="top"/>
          </w:tcPr>
          <w:p w14:paraId="109C5226">
            <w:pPr>
              <w:spacing w:before="82" w:line="360" w:lineRule="auto"/>
              <w:ind w:firstLine="245"/>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1062" w:type="dxa"/>
            <w:noWrap w:val="0"/>
            <w:vAlign w:val="top"/>
          </w:tcPr>
          <w:p w14:paraId="1BBEA4D0">
            <w:pPr>
              <w:spacing w:before="82"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846" w:type="dxa"/>
            <w:noWrap w:val="0"/>
            <w:vAlign w:val="top"/>
          </w:tcPr>
          <w:p w14:paraId="5DBF5EA0">
            <w:pPr>
              <w:spacing w:line="360" w:lineRule="auto"/>
              <w:rPr>
                <w:rFonts w:hint="eastAsia" w:ascii="宋体" w:hAnsi="宋体" w:cs="宋体"/>
                <w:color w:val="auto"/>
                <w:highlight w:val="none"/>
              </w:rPr>
            </w:pPr>
          </w:p>
        </w:tc>
        <w:tc>
          <w:tcPr>
            <w:tcW w:w="820" w:type="dxa"/>
            <w:noWrap w:val="0"/>
            <w:vAlign w:val="top"/>
          </w:tcPr>
          <w:p w14:paraId="0AD872D7">
            <w:pPr>
              <w:spacing w:before="82" w:line="360" w:lineRule="auto"/>
              <w:ind w:firstLine="167"/>
              <w:rPr>
                <w:rFonts w:hint="eastAsia" w:ascii="宋体" w:hAnsi="宋体" w:cs="宋体"/>
                <w:color w:val="auto"/>
                <w:szCs w:val="21"/>
                <w:highlight w:val="none"/>
              </w:rPr>
            </w:pPr>
            <w:r>
              <w:rPr>
                <w:rFonts w:hint="eastAsia" w:ascii="宋体" w:hAnsi="宋体" w:cs="宋体"/>
                <w:color w:val="auto"/>
                <w:spacing w:val="-6"/>
                <w:szCs w:val="21"/>
                <w:highlight w:val="none"/>
              </w:rPr>
              <w:t>＜300</w:t>
            </w:r>
          </w:p>
        </w:tc>
      </w:tr>
      <w:tr w14:paraId="5DD8D9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1C4191E3">
            <w:pPr>
              <w:spacing w:before="115" w:line="360" w:lineRule="auto"/>
              <w:ind w:firstLine="188"/>
              <w:rPr>
                <w:rFonts w:hint="eastAsia" w:ascii="宋体" w:hAnsi="宋体" w:cs="宋体"/>
                <w:color w:val="auto"/>
                <w:szCs w:val="21"/>
                <w:highlight w:val="none"/>
              </w:rPr>
            </w:pPr>
            <w:r>
              <w:rPr>
                <w:rFonts w:hint="eastAsia" w:ascii="宋体" w:hAnsi="宋体" w:cs="宋体"/>
                <w:color w:val="auto"/>
                <w:szCs w:val="21"/>
                <w:highlight w:val="none"/>
              </w:rPr>
              <w:t>4</w:t>
            </w:r>
          </w:p>
        </w:tc>
        <w:tc>
          <w:tcPr>
            <w:tcW w:w="2051" w:type="dxa"/>
            <w:noWrap w:val="0"/>
            <w:vAlign w:val="top"/>
          </w:tcPr>
          <w:p w14:paraId="1EE732ED">
            <w:pPr>
              <w:spacing w:before="82" w:line="360" w:lineRule="auto"/>
              <w:ind w:firstLine="82"/>
              <w:rPr>
                <w:rFonts w:hint="eastAsia" w:ascii="宋体" w:hAnsi="宋体" w:cs="宋体"/>
                <w:color w:val="auto"/>
                <w:szCs w:val="21"/>
                <w:highlight w:val="none"/>
              </w:rPr>
            </w:pPr>
            <w:r>
              <w:rPr>
                <w:rFonts w:hint="eastAsia" w:ascii="宋体" w:hAnsi="宋体" w:cs="宋体"/>
                <w:color w:val="auto"/>
                <w:spacing w:val="-2"/>
                <w:szCs w:val="21"/>
                <w:highlight w:val="none"/>
              </w:rPr>
              <w:t>批发业</w:t>
            </w:r>
          </w:p>
        </w:tc>
        <w:tc>
          <w:tcPr>
            <w:tcW w:w="1148" w:type="dxa"/>
            <w:noWrap w:val="0"/>
            <w:vAlign w:val="top"/>
          </w:tcPr>
          <w:p w14:paraId="4BB3627F">
            <w:pPr>
              <w:spacing w:before="82"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≥40000</w:t>
            </w:r>
          </w:p>
        </w:tc>
        <w:tc>
          <w:tcPr>
            <w:tcW w:w="885" w:type="dxa"/>
            <w:noWrap w:val="0"/>
            <w:vAlign w:val="top"/>
          </w:tcPr>
          <w:p w14:paraId="56F98DFF">
            <w:pPr>
              <w:spacing w:before="82"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≥200</w:t>
            </w:r>
          </w:p>
        </w:tc>
        <w:tc>
          <w:tcPr>
            <w:tcW w:w="902" w:type="dxa"/>
            <w:noWrap w:val="0"/>
            <w:vAlign w:val="top"/>
          </w:tcPr>
          <w:p w14:paraId="16405494">
            <w:pPr>
              <w:spacing w:line="360" w:lineRule="auto"/>
              <w:rPr>
                <w:rFonts w:hint="eastAsia" w:ascii="宋体" w:hAnsi="宋体" w:cs="宋体"/>
                <w:color w:val="auto"/>
                <w:highlight w:val="none"/>
              </w:rPr>
            </w:pPr>
          </w:p>
        </w:tc>
        <w:tc>
          <w:tcPr>
            <w:tcW w:w="1062" w:type="dxa"/>
            <w:noWrap w:val="0"/>
            <w:vAlign w:val="top"/>
          </w:tcPr>
          <w:p w14:paraId="768BC3C6">
            <w:pPr>
              <w:spacing w:before="82"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≥5000</w:t>
            </w:r>
          </w:p>
        </w:tc>
        <w:tc>
          <w:tcPr>
            <w:tcW w:w="905" w:type="dxa"/>
            <w:noWrap w:val="0"/>
            <w:vAlign w:val="top"/>
          </w:tcPr>
          <w:p w14:paraId="3A3F72B7">
            <w:pPr>
              <w:spacing w:before="82" w:line="360" w:lineRule="auto"/>
              <w:ind w:firstLine="269"/>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57" w:type="dxa"/>
            <w:noWrap w:val="0"/>
            <w:vAlign w:val="top"/>
          </w:tcPr>
          <w:p w14:paraId="37AE7179">
            <w:pPr>
              <w:spacing w:line="360" w:lineRule="auto"/>
              <w:rPr>
                <w:rFonts w:hint="eastAsia" w:ascii="宋体" w:hAnsi="宋体" w:cs="宋体"/>
                <w:color w:val="auto"/>
                <w:highlight w:val="none"/>
              </w:rPr>
            </w:pPr>
          </w:p>
        </w:tc>
        <w:tc>
          <w:tcPr>
            <w:tcW w:w="1062" w:type="dxa"/>
            <w:noWrap w:val="0"/>
            <w:vAlign w:val="top"/>
          </w:tcPr>
          <w:p w14:paraId="5ABD5CAB">
            <w:pPr>
              <w:spacing w:before="82" w:line="360" w:lineRule="auto"/>
              <w:ind w:firstLine="243"/>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21" w:type="dxa"/>
            <w:noWrap w:val="0"/>
            <w:vAlign w:val="top"/>
          </w:tcPr>
          <w:p w14:paraId="1EE0AE1F">
            <w:pPr>
              <w:spacing w:before="82"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7C29DBF8">
            <w:pPr>
              <w:spacing w:line="360" w:lineRule="auto"/>
              <w:rPr>
                <w:rFonts w:hint="eastAsia" w:ascii="宋体" w:hAnsi="宋体" w:cs="宋体"/>
                <w:color w:val="auto"/>
                <w:highlight w:val="none"/>
              </w:rPr>
            </w:pPr>
          </w:p>
        </w:tc>
        <w:tc>
          <w:tcPr>
            <w:tcW w:w="1062" w:type="dxa"/>
            <w:noWrap w:val="0"/>
            <w:vAlign w:val="top"/>
          </w:tcPr>
          <w:p w14:paraId="0518BB05">
            <w:pPr>
              <w:spacing w:before="82" w:line="360" w:lineRule="auto"/>
              <w:ind w:firstLine="237"/>
              <w:rPr>
                <w:rFonts w:hint="eastAsia" w:ascii="宋体" w:hAnsi="宋体" w:cs="宋体"/>
                <w:color w:val="auto"/>
                <w:szCs w:val="21"/>
                <w:highlight w:val="none"/>
              </w:rPr>
            </w:pPr>
            <w:r>
              <w:rPr>
                <w:rFonts w:hint="eastAsia" w:ascii="宋体" w:hAnsi="宋体" w:cs="宋体"/>
                <w:color w:val="auto"/>
                <w:spacing w:val="-5"/>
                <w:szCs w:val="21"/>
                <w:highlight w:val="none"/>
              </w:rPr>
              <w:t>＜1000</w:t>
            </w:r>
          </w:p>
        </w:tc>
        <w:tc>
          <w:tcPr>
            <w:tcW w:w="846" w:type="dxa"/>
            <w:noWrap w:val="0"/>
            <w:vAlign w:val="top"/>
          </w:tcPr>
          <w:p w14:paraId="40A9FFEE">
            <w:pPr>
              <w:spacing w:before="82" w:line="360" w:lineRule="auto"/>
              <w:ind w:firstLine="288"/>
              <w:rPr>
                <w:rFonts w:hint="eastAsia" w:ascii="宋体" w:hAnsi="宋体" w:cs="宋体"/>
                <w:color w:val="auto"/>
                <w:szCs w:val="21"/>
                <w:highlight w:val="none"/>
              </w:rPr>
            </w:pPr>
            <w:r>
              <w:rPr>
                <w:rFonts w:hint="eastAsia" w:ascii="宋体" w:hAnsi="宋体" w:cs="宋体"/>
                <w:color w:val="auto"/>
                <w:spacing w:val="-10"/>
                <w:w w:val="98"/>
                <w:szCs w:val="21"/>
                <w:highlight w:val="none"/>
              </w:rPr>
              <w:t>＜5</w:t>
            </w:r>
          </w:p>
        </w:tc>
        <w:tc>
          <w:tcPr>
            <w:tcW w:w="820" w:type="dxa"/>
            <w:noWrap w:val="0"/>
            <w:vAlign w:val="top"/>
          </w:tcPr>
          <w:p w14:paraId="65338695">
            <w:pPr>
              <w:spacing w:line="360" w:lineRule="auto"/>
              <w:rPr>
                <w:rFonts w:hint="eastAsia" w:ascii="宋体" w:hAnsi="宋体" w:cs="宋体"/>
                <w:color w:val="auto"/>
                <w:highlight w:val="none"/>
              </w:rPr>
            </w:pPr>
          </w:p>
        </w:tc>
      </w:tr>
      <w:tr w14:paraId="44DA660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7DF8A39E">
            <w:pPr>
              <w:spacing w:before="116" w:line="360" w:lineRule="auto"/>
              <w:ind w:firstLine="193"/>
              <w:rPr>
                <w:rFonts w:hint="eastAsia" w:ascii="宋体" w:hAnsi="宋体" w:cs="宋体"/>
                <w:color w:val="auto"/>
                <w:szCs w:val="21"/>
                <w:highlight w:val="none"/>
              </w:rPr>
            </w:pPr>
            <w:r>
              <w:rPr>
                <w:rFonts w:hint="eastAsia" w:ascii="宋体" w:hAnsi="宋体" w:cs="宋体"/>
                <w:color w:val="auto"/>
                <w:szCs w:val="21"/>
                <w:highlight w:val="none"/>
              </w:rPr>
              <w:t>5</w:t>
            </w:r>
          </w:p>
        </w:tc>
        <w:tc>
          <w:tcPr>
            <w:tcW w:w="2051" w:type="dxa"/>
            <w:noWrap w:val="0"/>
            <w:vAlign w:val="top"/>
          </w:tcPr>
          <w:p w14:paraId="10A41791">
            <w:pPr>
              <w:spacing w:before="83" w:line="360" w:lineRule="auto"/>
              <w:ind w:firstLine="84"/>
              <w:rPr>
                <w:rFonts w:hint="eastAsia" w:ascii="宋体" w:hAnsi="宋体" w:cs="宋体"/>
                <w:color w:val="auto"/>
                <w:szCs w:val="21"/>
                <w:highlight w:val="none"/>
              </w:rPr>
            </w:pPr>
            <w:r>
              <w:rPr>
                <w:rFonts w:hint="eastAsia" w:ascii="宋体" w:hAnsi="宋体" w:cs="宋体"/>
                <w:color w:val="auto"/>
                <w:spacing w:val="-3"/>
                <w:szCs w:val="21"/>
                <w:highlight w:val="none"/>
              </w:rPr>
              <w:t>零售业</w:t>
            </w:r>
          </w:p>
        </w:tc>
        <w:tc>
          <w:tcPr>
            <w:tcW w:w="1148" w:type="dxa"/>
            <w:noWrap w:val="0"/>
            <w:vAlign w:val="top"/>
          </w:tcPr>
          <w:p w14:paraId="03E42965">
            <w:pPr>
              <w:spacing w:before="83"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≥20000</w:t>
            </w:r>
          </w:p>
        </w:tc>
        <w:tc>
          <w:tcPr>
            <w:tcW w:w="885" w:type="dxa"/>
            <w:noWrap w:val="0"/>
            <w:vAlign w:val="top"/>
          </w:tcPr>
          <w:p w14:paraId="4D3C252B">
            <w:pPr>
              <w:spacing w:before="83"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33013F98">
            <w:pPr>
              <w:spacing w:line="360" w:lineRule="auto"/>
              <w:rPr>
                <w:rFonts w:hint="eastAsia" w:ascii="宋体" w:hAnsi="宋体" w:cs="宋体"/>
                <w:color w:val="auto"/>
                <w:highlight w:val="none"/>
              </w:rPr>
            </w:pPr>
          </w:p>
        </w:tc>
        <w:tc>
          <w:tcPr>
            <w:tcW w:w="1062" w:type="dxa"/>
            <w:noWrap w:val="0"/>
            <w:vAlign w:val="top"/>
          </w:tcPr>
          <w:p w14:paraId="497280D0">
            <w:pPr>
              <w:spacing w:before="83" w:line="360" w:lineRule="auto"/>
              <w:ind w:firstLine="294"/>
              <w:rPr>
                <w:rFonts w:hint="eastAsia" w:ascii="宋体" w:hAnsi="宋体" w:cs="宋体"/>
                <w:color w:val="auto"/>
                <w:szCs w:val="21"/>
                <w:highlight w:val="none"/>
              </w:rPr>
            </w:pPr>
            <w:r>
              <w:rPr>
                <w:rFonts w:hint="eastAsia" w:ascii="宋体" w:hAnsi="宋体" w:cs="宋体"/>
                <w:color w:val="auto"/>
                <w:spacing w:val="-8"/>
                <w:szCs w:val="21"/>
                <w:highlight w:val="none"/>
              </w:rPr>
              <w:t>≥500</w:t>
            </w:r>
          </w:p>
        </w:tc>
        <w:tc>
          <w:tcPr>
            <w:tcW w:w="905" w:type="dxa"/>
            <w:noWrap w:val="0"/>
            <w:vAlign w:val="top"/>
          </w:tcPr>
          <w:p w14:paraId="08E3CBE1">
            <w:pPr>
              <w:spacing w:before="83" w:line="360" w:lineRule="auto"/>
              <w:ind w:firstLine="269"/>
              <w:rPr>
                <w:rFonts w:hint="eastAsia" w:ascii="宋体" w:hAnsi="宋体" w:cs="宋体"/>
                <w:color w:val="auto"/>
                <w:szCs w:val="21"/>
                <w:highlight w:val="none"/>
              </w:rPr>
            </w:pPr>
            <w:r>
              <w:rPr>
                <w:rFonts w:hint="eastAsia" w:ascii="宋体" w:hAnsi="宋体" w:cs="宋体"/>
                <w:color w:val="auto"/>
                <w:spacing w:val="-10"/>
                <w:szCs w:val="21"/>
                <w:highlight w:val="none"/>
              </w:rPr>
              <w:t>≥50</w:t>
            </w:r>
          </w:p>
        </w:tc>
        <w:tc>
          <w:tcPr>
            <w:tcW w:w="957" w:type="dxa"/>
            <w:noWrap w:val="0"/>
            <w:vAlign w:val="top"/>
          </w:tcPr>
          <w:p w14:paraId="11883CCA">
            <w:pPr>
              <w:spacing w:line="360" w:lineRule="auto"/>
              <w:rPr>
                <w:rFonts w:hint="eastAsia" w:ascii="宋体" w:hAnsi="宋体" w:cs="宋体"/>
                <w:color w:val="auto"/>
                <w:highlight w:val="none"/>
              </w:rPr>
            </w:pPr>
          </w:p>
        </w:tc>
        <w:tc>
          <w:tcPr>
            <w:tcW w:w="1062" w:type="dxa"/>
            <w:noWrap w:val="0"/>
            <w:vAlign w:val="top"/>
          </w:tcPr>
          <w:p w14:paraId="0920ADDE">
            <w:pPr>
              <w:spacing w:before="83"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6A0AA66A">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483CDADA">
            <w:pPr>
              <w:spacing w:line="360" w:lineRule="auto"/>
              <w:rPr>
                <w:rFonts w:hint="eastAsia" w:ascii="宋体" w:hAnsi="宋体" w:cs="宋体"/>
                <w:color w:val="auto"/>
                <w:highlight w:val="none"/>
              </w:rPr>
            </w:pPr>
          </w:p>
        </w:tc>
        <w:tc>
          <w:tcPr>
            <w:tcW w:w="1062" w:type="dxa"/>
            <w:noWrap w:val="0"/>
            <w:vAlign w:val="top"/>
          </w:tcPr>
          <w:p w14:paraId="25564D06">
            <w:pPr>
              <w:spacing w:before="83"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1E9D2A78">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3997E7BE">
            <w:pPr>
              <w:spacing w:line="360" w:lineRule="auto"/>
              <w:rPr>
                <w:rFonts w:hint="eastAsia" w:ascii="宋体" w:hAnsi="宋体" w:cs="宋体"/>
                <w:color w:val="auto"/>
                <w:highlight w:val="none"/>
              </w:rPr>
            </w:pPr>
          </w:p>
        </w:tc>
      </w:tr>
      <w:tr w14:paraId="339D5C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74" w:hRule="atLeast"/>
          <w:jc w:val="center"/>
        </w:trPr>
        <w:tc>
          <w:tcPr>
            <w:tcW w:w="476" w:type="dxa"/>
            <w:noWrap w:val="0"/>
            <w:vAlign w:val="top"/>
          </w:tcPr>
          <w:p w14:paraId="45BED081">
            <w:pPr>
              <w:spacing w:before="115" w:line="360" w:lineRule="auto"/>
              <w:ind w:firstLine="190"/>
              <w:rPr>
                <w:rFonts w:hint="eastAsia" w:ascii="宋体" w:hAnsi="宋体" w:cs="宋体"/>
                <w:color w:val="auto"/>
                <w:szCs w:val="21"/>
                <w:highlight w:val="none"/>
              </w:rPr>
            </w:pPr>
            <w:r>
              <w:rPr>
                <w:rFonts w:hint="eastAsia" w:ascii="宋体" w:hAnsi="宋体" w:cs="宋体"/>
                <w:color w:val="auto"/>
                <w:szCs w:val="21"/>
                <w:highlight w:val="none"/>
              </w:rPr>
              <w:t>6</w:t>
            </w:r>
          </w:p>
        </w:tc>
        <w:tc>
          <w:tcPr>
            <w:tcW w:w="2051" w:type="dxa"/>
            <w:noWrap w:val="0"/>
            <w:vAlign w:val="top"/>
          </w:tcPr>
          <w:p w14:paraId="7A522247">
            <w:pPr>
              <w:spacing w:before="83" w:line="360" w:lineRule="auto"/>
              <w:ind w:firstLine="87"/>
              <w:rPr>
                <w:rFonts w:hint="eastAsia" w:ascii="宋体" w:hAnsi="宋体" w:cs="宋体"/>
                <w:color w:val="auto"/>
                <w:szCs w:val="21"/>
                <w:highlight w:val="none"/>
              </w:rPr>
            </w:pPr>
            <w:r>
              <w:rPr>
                <w:rFonts w:hint="eastAsia" w:ascii="宋体" w:hAnsi="宋体" w:cs="宋体"/>
                <w:color w:val="auto"/>
                <w:spacing w:val="-2"/>
                <w:szCs w:val="21"/>
                <w:highlight w:val="none"/>
              </w:rPr>
              <w:t>交通运输业</w:t>
            </w:r>
          </w:p>
        </w:tc>
        <w:tc>
          <w:tcPr>
            <w:tcW w:w="1148" w:type="dxa"/>
            <w:noWrap w:val="0"/>
            <w:vAlign w:val="top"/>
          </w:tcPr>
          <w:p w14:paraId="40BDCC3A">
            <w:pPr>
              <w:spacing w:before="83"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≥30000</w:t>
            </w:r>
          </w:p>
        </w:tc>
        <w:tc>
          <w:tcPr>
            <w:tcW w:w="885" w:type="dxa"/>
            <w:noWrap w:val="0"/>
            <w:vAlign w:val="top"/>
          </w:tcPr>
          <w:p w14:paraId="49D5801D">
            <w:pPr>
              <w:spacing w:before="83"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2" w:type="dxa"/>
            <w:noWrap w:val="0"/>
            <w:vAlign w:val="top"/>
          </w:tcPr>
          <w:p w14:paraId="57255B60">
            <w:pPr>
              <w:spacing w:line="360" w:lineRule="auto"/>
              <w:rPr>
                <w:rFonts w:hint="eastAsia" w:ascii="宋体" w:hAnsi="宋体" w:cs="宋体"/>
                <w:color w:val="auto"/>
                <w:highlight w:val="none"/>
              </w:rPr>
            </w:pPr>
          </w:p>
        </w:tc>
        <w:tc>
          <w:tcPr>
            <w:tcW w:w="1062" w:type="dxa"/>
            <w:noWrap w:val="0"/>
            <w:vAlign w:val="top"/>
          </w:tcPr>
          <w:p w14:paraId="66E9F85E">
            <w:pPr>
              <w:spacing w:before="83"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≥3000</w:t>
            </w:r>
          </w:p>
        </w:tc>
        <w:tc>
          <w:tcPr>
            <w:tcW w:w="905" w:type="dxa"/>
            <w:noWrap w:val="0"/>
            <w:vAlign w:val="top"/>
          </w:tcPr>
          <w:p w14:paraId="448753EC">
            <w:pPr>
              <w:spacing w:before="83"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57" w:type="dxa"/>
            <w:noWrap w:val="0"/>
            <w:vAlign w:val="top"/>
          </w:tcPr>
          <w:p w14:paraId="18B8E918">
            <w:pPr>
              <w:spacing w:line="360" w:lineRule="auto"/>
              <w:rPr>
                <w:rFonts w:hint="eastAsia" w:ascii="宋体" w:hAnsi="宋体" w:cs="宋体"/>
                <w:color w:val="auto"/>
                <w:highlight w:val="none"/>
              </w:rPr>
            </w:pPr>
          </w:p>
        </w:tc>
        <w:tc>
          <w:tcPr>
            <w:tcW w:w="1062" w:type="dxa"/>
            <w:noWrap w:val="0"/>
            <w:vAlign w:val="top"/>
          </w:tcPr>
          <w:p w14:paraId="335B7DDC">
            <w:pPr>
              <w:spacing w:before="83"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≥200</w:t>
            </w:r>
          </w:p>
        </w:tc>
        <w:tc>
          <w:tcPr>
            <w:tcW w:w="921" w:type="dxa"/>
            <w:noWrap w:val="0"/>
            <w:vAlign w:val="top"/>
          </w:tcPr>
          <w:p w14:paraId="56DBBF85">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63" w:type="dxa"/>
            <w:noWrap w:val="0"/>
            <w:vAlign w:val="top"/>
          </w:tcPr>
          <w:p w14:paraId="431B0305">
            <w:pPr>
              <w:spacing w:line="360" w:lineRule="auto"/>
              <w:rPr>
                <w:rFonts w:hint="eastAsia" w:ascii="宋体" w:hAnsi="宋体" w:cs="宋体"/>
                <w:color w:val="auto"/>
                <w:highlight w:val="none"/>
              </w:rPr>
            </w:pPr>
          </w:p>
        </w:tc>
        <w:tc>
          <w:tcPr>
            <w:tcW w:w="1062" w:type="dxa"/>
            <w:noWrap w:val="0"/>
            <w:vAlign w:val="top"/>
          </w:tcPr>
          <w:p w14:paraId="74D538FA">
            <w:pPr>
              <w:spacing w:before="83"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＜200</w:t>
            </w:r>
          </w:p>
        </w:tc>
        <w:tc>
          <w:tcPr>
            <w:tcW w:w="846" w:type="dxa"/>
            <w:noWrap w:val="0"/>
            <w:vAlign w:val="top"/>
          </w:tcPr>
          <w:p w14:paraId="18CCAB62">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＜20</w:t>
            </w:r>
          </w:p>
        </w:tc>
        <w:tc>
          <w:tcPr>
            <w:tcW w:w="820" w:type="dxa"/>
            <w:noWrap w:val="0"/>
            <w:vAlign w:val="top"/>
          </w:tcPr>
          <w:p w14:paraId="5265EAF5">
            <w:pPr>
              <w:spacing w:line="360" w:lineRule="auto"/>
              <w:rPr>
                <w:rFonts w:hint="eastAsia" w:ascii="宋体" w:hAnsi="宋体" w:cs="宋体"/>
                <w:color w:val="auto"/>
                <w:highlight w:val="none"/>
              </w:rPr>
            </w:pPr>
          </w:p>
        </w:tc>
      </w:tr>
      <w:tr w14:paraId="0FC906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1691B488">
            <w:pPr>
              <w:spacing w:before="117" w:line="360" w:lineRule="auto"/>
              <w:ind w:firstLine="194"/>
              <w:rPr>
                <w:rFonts w:hint="eastAsia" w:ascii="宋体" w:hAnsi="宋体" w:cs="宋体"/>
                <w:color w:val="auto"/>
                <w:szCs w:val="21"/>
                <w:highlight w:val="none"/>
              </w:rPr>
            </w:pPr>
            <w:r>
              <w:rPr>
                <w:rFonts w:hint="eastAsia" w:ascii="宋体" w:hAnsi="宋体" w:cs="宋体"/>
                <w:color w:val="auto"/>
                <w:szCs w:val="21"/>
                <w:highlight w:val="none"/>
              </w:rPr>
              <w:t>7</w:t>
            </w:r>
          </w:p>
        </w:tc>
        <w:tc>
          <w:tcPr>
            <w:tcW w:w="2051" w:type="dxa"/>
            <w:noWrap w:val="0"/>
            <w:vAlign w:val="top"/>
          </w:tcPr>
          <w:p w14:paraId="029603CF">
            <w:pPr>
              <w:spacing w:before="83" w:line="360" w:lineRule="auto"/>
              <w:ind w:firstLine="82"/>
              <w:rPr>
                <w:rFonts w:hint="eastAsia" w:ascii="宋体" w:hAnsi="宋体" w:cs="宋体"/>
                <w:color w:val="auto"/>
                <w:szCs w:val="21"/>
                <w:highlight w:val="none"/>
              </w:rPr>
            </w:pPr>
            <w:r>
              <w:rPr>
                <w:rFonts w:hint="eastAsia" w:ascii="宋体" w:hAnsi="宋体" w:cs="宋体"/>
                <w:color w:val="auto"/>
                <w:spacing w:val="-2"/>
                <w:szCs w:val="21"/>
                <w:highlight w:val="none"/>
              </w:rPr>
              <w:t>仓储业</w:t>
            </w:r>
          </w:p>
        </w:tc>
        <w:tc>
          <w:tcPr>
            <w:tcW w:w="1148" w:type="dxa"/>
            <w:noWrap w:val="0"/>
            <w:vAlign w:val="top"/>
          </w:tcPr>
          <w:p w14:paraId="6295EAF2">
            <w:pPr>
              <w:spacing w:before="83"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≥30000</w:t>
            </w:r>
          </w:p>
        </w:tc>
        <w:tc>
          <w:tcPr>
            <w:tcW w:w="885" w:type="dxa"/>
            <w:noWrap w:val="0"/>
            <w:vAlign w:val="top"/>
          </w:tcPr>
          <w:p w14:paraId="2326B84B">
            <w:pPr>
              <w:spacing w:before="83"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≥200</w:t>
            </w:r>
          </w:p>
        </w:tc>
        <w:tc>
          <w:tcPr>
            <w:tcW w:w="902" w:type="dxa"/>
            <w:noWrap w:val="0"/>
            <w:vAlign w:val="top"/>
          </w:tcPr>
          <w:p w14:paraId="24338A65">
            <w:pPr>
              <w:spacing w:line="360" w:lineRule="auto"/>
              <w:rPr>
                <w:rFonts w:hint="eastAsia" w:ascii="宋体" w:hAnsi="宋体" w:cs="宋体"/>
                <w:color w:val="auto"/>
                <w:highlight w:val="none"/>
              </w:rPr>
            </w:pPr>
          </w:p>
        </w:tc>
        <w:tc>
          <w:tcPr>
            <w:tcW w:w="1062" w:type="dxa"/>
            <w:noWrap w:val="0"/>
            <w:vAlign w:val="top"/>
          </w:tcPr>
          <w:p w14:paraId="16FB44D6">
            <w:pPr>
              <w:spacing w:before="83"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1B4B4F86">
            <w:pPr>
              <w:spacing w:before="83"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5F25D131">
            <w:pPr>
              <w:spacing w:line="360" w:lineRule="auto"/>
              <w:rPr>
                <w:rFonts w:hint="eastAsia" w:ascii="宋体" w:hAnsi="宋体" w:cs="宋体"/>
                <w:color w:val="auto"/>
                <w:highlight w:val="none"/>
              </w:rPr>
            </w:pPr>
          </w:p>
        </w:tc>
        <w:tc>
          <w:tcPr>
            <w:tcW w:w="1062" w:type="dxa"/>
            <w:noWrap w:val="0"/>
            <w:vAlign w:val="top"/>
          </w:tcPr>
          <w:p w14:paraId="6101132D">
            <w:pPr>
              <w:spacing w:before="83"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06E400F6">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63" w:type="dxa"/>
            <w:noWrap w:val="0"/>
            <w:vAlign w:val="top"/>
          </w:tcPr>
          <w:p w14:paraId="328C88E5">
            <w:pPr>
              <w:spacing w:line="360" w:lineRule="auto"/>
              <w:rPr>
                <w:rFonts w:hint="eastAsia" w:ascii="宋体" w:hAnsi="宋体" w:cs="宋体"/>
                <w:color w:val="auto"/>
                <w:highlight w:val="none"/>
              </w:rPr>
            </w:pPr>
          </w:p>
        </w:tc>
        <w:tc>
          <w:tcPr>
            <w:tcW w:w="1062" w:type="dxa"/>
            <w:noWrap w:val="0"/>
            <w:vAlign w:val="top"/>
          </w:tcPr>
          <w:p w14:paraId="523D0B24">
            <w:pPr>
              <w:spacing w:before="83"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231DCA48">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＜20</w:t>
            </w:r>
          </w:p>
        </w:tc>
        <w:tc>
          <w:tcPr>
            <w:tcW w:w="820" w:type="dxa"/>
            <w:noWrap w:val="0"/>
            <w:vAlign w:val="top"/>
          </w:tcPr>
          <w:p w14:paraId="0AEC7426">
            <w:pPr>
              <w:spacing w:line="360" w:lineRule="auto"/>
              <w:rPr>
                <w:rFonts w:hint="eastAsia" w:ascii="宋体" w:hAnsi="宋体" w:cs="宋体"/>
                <w:color w:val="auto"/>
                <w:highlight w:val="none"/>
              </w:rPr>
            </w:pPr>
          </w:p>
        </w:tc>
      </w:tr>
      <w:tr w14:paraId="43522F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7E4B6C9B">
            <w:pPr>
              <w:spacing w:before="116" w:line="360" w:lineRule="auto"/>
              <w:ind w:firstLine="189"/>
              <w:rPr>
                <w:rFonts w:hint="eastAsia" w:ascii="宋体" w:hAnsi="宋体" w:cs="宋体"/>
                <w:color w:val="auto"/>
                <w:szCs w:val="21"/>
                <w:highlight w:val="none"/>
              </w:rPr>
            </w:pPr>
            <w:r>
              <w:rPr>
                <w:rFonts w:hint="eastAsia" w:ascii="宋体" w:hAnsi="宋体" w:cs="宋体"/>
                <w:color w:val="auto"/>
                <w:szCs w:val="21"/>
                <w:highlight w:val="none"/>
              </w:rPr>
              <w:t>8</w:t>
            </w:r>
          </w:p>
        </w:tc>
        <w:tc>
          <w:tcPr>
            <w:tcW w:w="2051" w:type="dxa"/>
            <w:noWrap w:val="0"/>
            <w:vAlign w:val="top"/>
          </w:tcPr>
          <w:p w14:paraId="26FBA86F">
            <w:pPr>
              <w:spacing w:before="83" w:line="360" w:lineRule="auto"/>
              <w:ind w:firstLine="98"/>
              <w:rPr>
                <w:rFonts w:hint="eastAsia" w:ascii="宋体" w:hAnsi="宋体" w:cs="宋体"/>
                <w:color w:val="auto"/>
                <w:szCs w:val="21"/>
                <w:highlight w:val="none"/>
              </w:rPr>
            </w:pPr>
            <w:r>
              <w:rPr>
                <w:rFonts w:hint="eastAsia" w:ascii="宋体" w:hAnsi="宋体" w:cs="宋体"/>
                <w:color w:val="auto"/>
                <w:spacing w:val="-8"/>
                <w:szCs w:val="21"/>
                <w:highlight w:val="none"/>
              </w:rPr>
              <w:t>邮政业</w:t>
            </w:r>
          </w:p>
        </w:tc>
        <w:tc>
          <w:tcPr>
            <w:tcW w:w="1148" w:type="dxa"/>
            <w:noWrap w:val="0"/>
            <w:vAlign w:val="top"/>
          </w:tcPr>
          <w:p w14:paraId="7491C02B">
            <w:pPr>
              <w:spacing w:before="83"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≥30000</w:t>
            </w:r>
          </w:p>
        </w:tc>
        <w:tc>
          <w:tcPr>
            <w:tcW w:w="885" w:type="dxa"/>
            <w:noWrap w:val="0"/>
            <w:vAlign w:val="top"/>
          </w:tcPr>
          <w:p w14:paraId="208E5D40">
            <w:pPr>
              <w:spacing w:before="83"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2" w:type="dxa"/>
            <w:noWrap w:val="0"/>
            <w:vAlign w:val="top"/>
          </w:tcPr>
          <w:p w14:paraId="482545F0">
            <w:pPr>
              <w:spacing w:line="360" w:lineRule="auto"/>
              <w:rPr>
                <w:rFonts w:hint="eastAsia" w:ascii="宋体" w:hAnsi="宋体" w:cs="宋体"/>
                <w:color w:val="auto"/>
                <w:highlight w:val="none"/>
              </w:rPr>
            </w:pPr>
          </w:p>
        </w:tc>
        <w:tc>
          <w:tcPr>
            <w:tcW w:w="1062" w:type="dxa"/>
            <w:noWrap w:val="0"/>
            <w:vAlign w:val="top"/>
          </w:tcPr>
          <w:p w14:paraId="25E3183B">
            <w:pPr>
              <w:spacing w:before="83"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5" w:type="dxa"/>
            <w:noWrap w:val="0"/>
            <w:vAlign w:val="top"/>
          </w:tcPr>
          <w:p w14:paraId="0528E09A">
            <w:pPr>
              <w:spacing w:before="83"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57" w:type="dxa"/>
            <w:noWrap w:val="0"/>
            <w:vAlign w:val="top"/>
          </w:tcPr>
          <w:p w14:paraId="00CFDC9F">
            <w:pPr>
              <w:spacing w:line="360" w:lineRule="auto"/>
              <w:rPr>
                <w:rFonts w:hint="eastAsia" w:ascii="宋体" w:hAnsi="宋体" w:cs="宋体"/>
                <w:color w:val="auto"/>
                <w:highlight w:val="none"/>
              </w:rPr>
            </w:pPr>
          </w:p>
        </w:tc>
        <w:tc>
          <w:tcPr>
            <w:tcW w:w="1062" w:type="dxa"/>
            <w:noWrap w:val="0"/>
            <w:vAlign w:val="top"/>
          </w:tcPr>
          <w:p w14:paraId="4C95CB0B">
            <w:pPr>
              <w:spacing w:before="83"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5E6B4F72">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≥20</w:t>
            </w:r>
          </w:p>
        </w:tc>
        <w:tc>
          <w:tcPr>
            <w:tcW w:w="963" w:type="dxa"/>
            <w:noWrap w:val="0"/>
            <w:vAlign w:val="top"/>
          </w:tcPr>
          <w:p w14:paraId="378B3DDF">
            <w:pPr>
              <w:spacing w:line="360" w:lineRule="auto"/>
              <w:rPr>
                <w:rFonts w:hint="eastAsia" w:ascii="宋体" w:hAnsi="宋体" w:cs="宋体"/>
                <w:color w:val="auto"/>
                <w:highlight w:val="none"/>
              </w:rPr>
            </w:pPr>
          </w:p>
        </w:tc>
        <w:tc>
          <w:tcPr>
            <w:tcW w:w="1062" w:type="dxa"/>
            <w:noWrap w:val="0"/>
            <w:vAlign w:val="top"/>
          </w:tcPr>
          <w:p w14:paraId="2547CC0B">
            <w:pPr>
              <w:spacing w:before="83"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544DA64D">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＜20</w:t>
            </w:r>
          </w:p>
        </w:tc>
        <w:tc>
          <w:tcPr>
            <w:tcW w:w="820" w:type="dxa"/>
            <w:noWrap w:val="0"/>
            <w:vAlign w:val="top"/>
          </w:tcPr>
          <w:p w14:paraId="13EAF947">
            <w:pPr>
              <w:spacing w:line="360" w:lineRule="auto"/>
              <w:rPr>
                <w:rFonts w:hint="eastAsia" w:ascii="宋体" w:hAnsi="宋体" w:cs="宋体"/>
                <w:color w:val="auto"/>
                <w:highlight w:val="none"/>
              </w:rPr>
            </w:pPr>
          </w:p>
        </w:tc>
      </w:tr>
      <w:tr w14:paraId="653CA17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7200F4E8">
            <w:pPr>
              <w:spacing w:before="114" w:line="360" w:lineRule="auto"/>
              <w:ind w:firstLine="189"/>
              <w:rPr>
                <w:rFonts w:hint="eastAsia" w:ascii="宋体" w:hAnsi="宋体" w:cs="宋体"/>
                <w:color w:val="auto"/>
                <w:szCs w:val="21"/>
                <w:highlight w:val="none"/>
              </w:rPr>
            </w:pPr>
            <w:r>
              <w:rPr>
                <w:rFonts w:hint="eastAsia" w:ascii="宋体" w:hAnsi="宋体" w:cs="宋体"/>
                <w:color w:val="auto"/>
                <w:szCs w:val="21"/>
                <w:highlight w:val="none"/>
              </w:rPr>
              <w:t>9</w:t>
            </w:r>
          </w:p>
        </w:tc>
        <w:tc>
          <w:tcPr>
            <w:tcW w:w="2051" w:type="dxa"/>
            <w:noWrap w:val="0"/>
            <w:vAlign w:val="top"/>
          </w:tcPr>
          <w:p w14:paraId="78424008">
            <w:pPr>
              <w:spacing w:before="81" w:line="360" w:lineRule="auto"/>
              <w:ind w:firstLine="82"/>
              <w:rPr>
                <w:rFonts w:hint="eastAsia" w:ascii="宋体" w:hAnsi="宋体" w:cs="宋体"/>
                <w:color w:val="auto"/>
                <w:szCs w:val="21"/>
                <w:highlight w:val="none"/>
              </w:rPr>
            </w:pPr>
            <w:r>
              <w:rPr>
                <w:rFonts w:hint="eastAsia" w:ascii="宋体" w:hAnsi="宋体" w:cs="宋体"/>
                <w:color w:val="auto"/>
                <w:spacing w:val="-2"/>
                <w:szCs w:val="21"/>
                <w:highlight w:val="none"/>
              </w:rPr>
              <w:t>住宿业</w:t>
            </w:r>
          </w:p>
        </w:tc>
        <w:tc>
          <w:tcPr>
            <w:tcW w:w="1148" w:type="dxa"/>
            <w:noWrap w:val="0"/>
            <w:vAlign w:val="top"/>
          </w:tcPr>
          <w:p w14:paraId="271CA044">
            <w:pPr>
              <w:spacing w:before="81"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≥10000</w:t>
            </w:r>
          </w:p>
        </w:tc>
        <w:tc>
          <w:tcPr>
            <w:tcW w:w="885" w:type="dxa"/>
            <w:noWrap w:val="0"/>
            <w:vAlign w:val="top"/>
          </w:tcPr>
          <w:p w14:paraId="66C89395">
            <w:pPr>
              <w:spacing w:before="81"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52F71356">
            <w:pPr>
              <w:spacing w:line="360" w:lineRule="auto"/>
              <w:rPr>
                <w:rFonts w:hint="eastAsia" w:ascii="宋体" w:hAnsi="宋体" w:cs="宋体"/>
                <w:color w:val="auto"/>
                <w:highlight w:val="none"/>
              </w:rPr>
            </w:pPr>
          </w:p>
        </w:tc>
        <w:tc>
          <w:tcPr>
            <w:tcW w:w="1062" w:type="dxa"/>
            <w:noWrap w:val="0"/>
            <w:vAlign w:val="top"/>
          </w:tcPr>
          <w:p w14:paraId="7586AEE9">
            <w:pPr>
              <w:spacing w:before="81"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5" w:type="dxa"/>
            <w:noWrap w:val="0"/>
            <w:vAlign w:val="top"/>
          </w:tcPr>
          <w:p w14:paraId="3F500286">
            <w:pPr>
              <w:spacing w:before="81"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4204D9E8">
            <w:pPr>
              <w:spacing w:line="360" w:lineRule="auto"/>
              <w:rPr>
                <w:rFonts w:hint="eastAsia" w:ascii="宋体" w:hAnsi="宋体" w:cs="宋体"/>
                <w:color w:val="auto"/>
                <w:highlight w:val="none"/>
              </w:rPr>
            </w:pPr>
          </w:p>
        </w:tc>
        <w:tc>
          <w:tcPr>
            <w:tcW w:w="1062" w:type="dxa"/>
            <w:noWrap w:val="0"/>
            <w:vAlign w:val="top"/>
          </w:tcPr>
          <w:p w14:paraId="5EABBD51">
            <w:pPr>
              <w:spacing w:before="81"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2552DB22">
            <w:pPr>
              <w:spacing w:before="81"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4F0B0D03">
            <w:pPr>
              <w:spacing w:line="360" w:lineRule="auto"/>
              <w:rPr>
                <w:rFonts w:hint="eastAsia" w:ascii="宋体" w:hAnsi="宋体" w:cs="宋体"/>
                <w:color w:val="auto"/>
                <w:highlight w:val="none"/>
              </w:rPr>
            </w:pPr>
          </w:p>
        </w:tc>
        <w:tc>
          <w:tcPr>
            <w:tcW w:w="1062" w:type="dxa"/>
            <w:noWrap w:val="0"/>
            <w:vAlign w:val="top"/>
          </w:tcPr>
          <w:p w14:paraId="4140CD5C">
            <w:pPr>
              <w:spacing w:before="81"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7AAF2C95">
            <w:pPr>
              <w:spacing w:before="81"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4B3BEF73">
            <w:pPr>
              <w:spacing w:line="360" w:lineRule="auto"/>
              <w:rPr>
                <w:rFonts w:hint="eastAsia" w:ascii="宋体" w:hAnsi="宋体" w:cs="宋体"/>
                <w:color w:val="auto"/>
                <w:highlight w:val="none"/>
              </w:rPr>
            </w:pPr>
          </w:p>
        </w:tc>
      </w:tr>
      <w:tr w14:paraId="04AEB3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74" w:hRule="atLeast"/>
          <w:jc w:val="center"/>
        </w:trPr>
        <w:tc>
          <w:tcPr>
            <w:tcW w:w="476" w:type="dxa"/>
            <w:noWrap w:val="0"/>
            <w:vAlign w:val="top"/>
          </w:tcPr>
          <w:p w14:paraId="181FF1B7">
            <w:pPr>
              <w:spacing w:before="113"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10</w:t>
            </w:r>
          </w:p>
        </w:tc>
        <w:tc>
          <w:tcPr>
            <w:tcW w:w="2051" w:type="dxa"/>
            <w:noWrap w:val="0"/>
            <w:vAlign w:val="top"/>
          </w:tcPr>
          <w:p w14:paraId="6A97AC7C">
            <w:pPr>
              <w:spacing w:before="81" w:line="360" w:lineRule="auto"/>
              <w:ind w:firstLine="85"/>
              <w:rPr>
                <w:rFonts w:hint="eastAsia" w:ascii="宋体" w:hAnsi="宋体" w:cs="宋体"/>
                <w:color w:val="auto"/>
                <w:szCs w:val="21"/>
                <w:highlight w:val="none"/>
              </w:rPr>
            </w:pPr>
            <w:r>
              <w:rPr>
                <w:rFonts w:hint="eastAsia" w:ascii="宋体" w:hAnsi="宋体" w:cs="宋体"/>
                <w:color w:val="auto"/>
                <w:spacing w:val="-3"/>
                <w:szCs w:val="21"/>
                <w:highlight w:val="none"/>
              </w:rPr>
              <w:t>餐饮业</w:t>
            </w:r>
          </w:p>
        </w:tc>
        <w:tc>
          <w:tcPr>
            <w:tcW w:w="1148" w:type="dxa"/>
            <w:noWrap w:val="0"/>
            <w:vAlign w:val="top"/>
          </w:tcPr>
          <w:p w14:paraId="1007C6AD">
            <w:pPr>
              <w:spacing w:before="81"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≥10000</w:t>
            </w:r>
          </w:p>
        </w:tc>
        <w:tc>
          <w:tcPr>
            <w:tcW w:w="885" w:type="dxa"/>
            <w:noWrap w:val="0"/>
            <w:vAlign w:val="top"/>
          </w:tcPr>
          <w:p w14:paraId="46482CDD">
            <w:pPr>
              <w:spacing w:before="81"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0EC1E9B3">
            <w:pPr>
              <w:spacing w:line="360" w:lineRule="auto"/>
              <w:rPr>
                <w:rFonts w:hint="eastAsia" w:ascii="宋体" w:hAnsi="宋体" w:cs="宋体"/>
                <w:color w:val="auto"/>
                <w:highlight w:val="none"/>
              </w:rPr>
            </w:pPr>
          </w:p>
        </w:tc>
        <w:tc>
          <w:tcPr>
            <w:tcW w:w="1062" w:type="dxa"/>
            <w:noWrap w:val="0"/>
            <w:vAlign w:val="top"/>
          </w:tcPr>
          <w:p w14:paraId="1708DBEC">
            <w:pPr>
              <w:spacing w:before="81"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5" w:type="dxa"/>
            <w:noWrap w:val="0"/>
            <w:vAlign w:val="top"/>
          </w:tcPr>
          <w:p w14:paraId="2023B6D8">
            <w:pPr>
              <w:spacing w:before="81"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27C43BAC">
            <w:pPr>
              <w:spacing w:line="360" w:lineRule="auto"/>
              <w:rPr>
                <w:rFonts w:hint="eastAsia" w:ascii="宋体" w:hAnsi="宋体" w:cs="宋体"/>
                <w:color w:val="auto"/>
                <w:highlight w:val="none"/>
              </w:rPr>
            </w:pPr>
          </w:p>
        </w:tc>
        <w:tc>
          <w:tcPr>
            <w:tcW w:w="1062" w:type="dxa"/>
            <w:noWrap w:val="0"/>
            <w:vAlign w:val="top"/>
          </w:tcPr>
          <w:p w14:paraId="3239B208">
            <w:pPr>
              <w:spacing w:before="81"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488B80BA">
            <w:pPr>
              <w:spacing w:before="81"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2C1A4FCA">
            <w:pPr>
              <w:spacing w:line="360" w:lineRule="auto"/>
              <w:rPr>
                <w:rFonts w:hint="eastAsia" w:ascii="宋体" w:hAnsi="宋体" w:cs="宋体"/>
                <w:color w:val="auto"/>
                <w:highlight w:val="none"/>
              </w:rPr>
            </w:pPr>
          </w:p>
        </w:tc>
        <w:tc>
          <w:tcPr>
            <w:tcW w:w="1062" w:type="dxa"/>
            <w:noWrap w:val="0"/>
            <w:vAlign w:val="top"/>
          </w:tcPr>
          <w:p w14:paraId="1FBB8569">
            <w:pPr>
              <w:spacing w:before="81"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36665E79">
            <w:pPr>
              <w:spacing w:before="81"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3318D420">
            <w:pPr>
              <w:spacing w:line="360" w:lineRule="auto"/>
              <w:rPr>
                <w:rFonts w:hint="eastAsia" w:ascii="宋体" w:hAnsi="宋体" w:cs="宋体"/>
                <w:color w:val="auto"/>
                <w:highlight w:val="none"/>
              </w:rPr>
            </w:pPr>
          </w:p>
        </w:tc>
      </w:tr>
      <w:tr w14:paraId="426F3C6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4" w:hRule="atLeast"/>
          <w:jc w:val="center"/>
        </w:trPr>
        <w:tc>
          <w:tcPr>
            <w:tcW w:w="476" w:type="dxa"/>
            <w:noWrap w:val="0"/>
            <w:vAlign w:val="top"/>
          </w:tcPr>
          <w:p w14:paraId="5285D9CC">
            <w:pPr>
              <w:spacing w:before="113"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11</w:t>
            </w:r>
          </w:p>
        </w:tc>
        <w:tc>
          <w:tcPr>
            <w:tcW w:w="2051" w:type="dxa"/>
            <w:noWrap w:val="0"/>
            <w:vAlign w:val="top"/>
          </w:tcPr>
          <w:p w14:paraId="0748C7D7">
            <w:pPr>
              <w:spacing w:before="81" w:line="360" w:lineRule="auto"/>
              <w:ind w:firstLine="83"/>
              <w:rPr>
                <w:rFonts w:hint="eastAsia" w:ascii="宋体" w:hAnsi="宋体" w:cs="宋体"/>
                <w:color w:val="auto"/>
                <w:szCs w:val="21"/>
                <w:highlight w:val="none"/>
              </w:rPr>
            </w:pPr>
            <w:r>
              <w:rPr>
                <w:rFonts w:hint="eastAsia" w:ascii="宋体" w:hAnsi="宋体" w:cs="宋体"/>
                <w:color w:val="auto"/>
                <w:spacing w:val="-2"/>
                <w:szCs w:val="21"/>
                <w:highlight w:val="none"/>
              </w:rPr>
              <w:t>信息传输业</w:t>
            </w:r>
          </w:p>
        </w:tc>
        <w:tc>
          <w:tcPr>
            <w:tcW w:w="1148" w:type="dxa"/>
            <w:noWrap w:val="0"/>
            <w:vAlign w:val="top"/>
          </w:tcPr>
          <w:p w14:paraId="3DCFFA0D">
            <w:pPr>
              <w:spacing w:before="81" w:line="360" w:lineRule="auto"/>
              <w:ind w:firstLine="179"/>
              <w:rPr>
                <w:rFonts w:hint="eastAsia" w:ascii="宋体" w:hAnsi="宋体" w:cs="宋体"/>
                <w:color w:val="auto"/>
                <w:szCs w:val="21"/>
                <w:highlight w:val="none"/>
              </w:rPr>
            </w:pPr>
            <w:r>
              <w:rPr>
                <w:rFonts w:hint="eastAsia" w:ascii="宋体" w:hAnsi="宋体" w:cs="宋体"/>
                <w:color w:val="auto"/>
                <w:spacing w:val="-5"/>
                <w:szCs w:val="21"/>
                <w:highlight w:val="none"/>
              </w:rPr>
              <w:t>≥100000</w:t>
            </w:r>
          </w:p>
        </w:tc>
        <w:tc>
          <w:tcPr>
            <w:tcW w:w="885" w:type="dxa"/>
            <w:noWrap w:val="0"/>
            <w:vAlign w:val="top"/>
          </w:tcPr>
          <w:p w14:paraId="409131D8">
            <w:pPr>
              <w:spacing w:before="81"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≥2000</w:t>
            </w:r>
          </w:p>
        </w:tc>
        <w:tc>
          <w:tcPr>
            <w:tcW w:w="902" w:type="dxa"/>
            <w:noWrap w:val="0"/>
            <w:vAlign w:val="top"/>
          </w:tcPr>
          <w:p w14:paraId="13E27AEA">
            <w:pPr>
              <w:spacing w:line="360" w:lineRule="auto"/>
              <w:rPr>
                <w:rFonts w:hint="eastAsia" w:ascii="宋体" w:hAnsi="宋体" w:cs="宋体"/>
                <w:color w:val="auto"/>
                <w:highlight w:val="none"/>
              </w:rPr>
            </w:pPr>
          </w:p>
        </w:tc>
        <w:tc>
          <w:tcPr>
            <w:tcW w:w="1062" w:type="dxa"/>
            <w:noWrap w:val="0"/>
            <w:vAlign w:val="top"/>
          </w:tcPr>
          <w:p w14:paraId="014CD4AC">
            <w:pPr>
              <w:spacing w:before="81"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4E930754">
            <w:pPr>
              <w:spacing w:before="81"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107A7717">
            <w:pPr>
              <w:spacing w:line="360" w:lineRule="auto"/>
              <w:rPr>
                <w:rFonts w:hint="eastAsia" w:ascii="宋体" w:hAnsi="宋体" w:cs="宋体"/>
                <w:color w:val="auto"/>
                <w:highlight w:val="none"/>
              </w:rPr>
            </w:pPr>
          </w:p>
        </w:tc>
        <w:tc>
          <w:tcPr>
            <w:tcW w:w="1062" w:type="dxa"/>
            <w:noWrap w:val="0"/>
            <w:vAlign w:val="top"/>
          </w:tcPr>
          <w:p w14:paraId="08EB56EA">
            <w:pPr>
              <w:spacing w:before="81"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1902AB27">
            <w:pPr>
              <w:spacing w:before="81"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6ACF2543">
            <w:pPr>
              <w:spacing w:line="360" w:lineRule="auto"/>
              <w:rPr>
                <w:rFonts w:hint="eastAsia" w:ascii="宋体" w:hAnsi="宋体" w:cs="宋体"/>
                <w:color w:val="auto"/>
                <w:highlight w:val="none"/>
              </w:rPr>
            </w:pPr>
          </w:p>
        </w:tc>
        <w:tc>
          <w:tcPr>
            <w:tcW w:w="1062" w:type="dxa"/>
            <w:noWrap w:val="0"/>
            <w:vAlign w:val="top"/>
          </w:tcPr>
          <w:p w14:paraId="567AB0F1">
            <w:pPr>
              <w:spacing w:before="81"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2D415422">
            <w:pPr>
              <w:spacing w:before="81"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2C5340CE">
            <w:pPr>
              <w:spacing w:line="360" w:lineRule="auto"/>
              <w:rPr>
                <w:rFonts w:hint="eastAsia" w:ascii="宋体" w:hAnsi="宋体" w:cs="宋体"/>
                <w:color w:val="auto"/>
                <w:highlight w:val="none"/>
              </w:rPr>
            </w:pPr>
          </w:p>
        </w:tc>
      </w:tr>
      <w:tr w14:paraId="54B583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642" w:hRule="atLeast"/>
          <w:jc w:val="center"/>
        </w:trPr>
        <w:tc>
          <w:tcPr>
            <w:tcW w:w="476" w:type="dxa"/>
            <w:noWrap w:val="0"/>
            <w:vAlign w:val="top"/>
          </w:tcPr>
          <w:p w14:paraId="4C85DAA4">
            <w:pPr>
              <w:spacing w:before="247"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12</w:t>
            </w:r>
          </w:p>
        </w:tc>
        <w:tc>
          <w:tcPr>
            <w:tcW w:w="2051" w:type="dxa"/>
            <w:noWrap w:val="0"/>
            <w:vAlign w:val="top"/>
          </w:tcPr>
          <w:p w14:paraId="38E2B7F5">
            <w:pPr>
              <w:spacing w:before="58" w:line="360" w:lineRule="auto"/>
              <w:ind w:left="83" w:right="105" w:firstLine="2"/>
              <w:rPr>
                <w:rFonts w:hint="eastAsia" w:ascii="宋体" w:hAnsi="宋体" w:cs="宋体"/>
                <w:color w:val="auto"/>
                <w:szCs w:val="21"/>
                <w:highlight w:val="none"/>
              </w:rPr>
            </w:pPr>
            <w:r>
              <w:rPr>
                <w:rFonts w:hint="eastAsia" w:ascii="宋体" w:hAnsi="宋体" w:cs="宋体"/>
                <w:color w:val="auto"/>
                <w:spacing w:val="-1"/>
                <w:szCs w:val="21"/>
                <w:highlight w:val="none"/>
              </w:rPr>
              <w:t>软件和信息技术</w:t>
            </w:r>
            <w:r>
              <w:rPr>
                <w:rFonts w:hint="eastAsia" w:ascii="宋体" w:hAnsi="宋体" w:cs="宋体"/>
                <w:color w:val="auto"/>
                <w:spacing w:val="-1"/>
                <w:szCs w:val="21"/>
                <w:highlight w:val="none"/>
                <w:lang w:val="en-US" w:eastAsia="zh-CN"/>
              </w:rPr>
              <w:t>服务</w:t>
            </w:r>
            <w:r>
              <w:rPr>
                <w:rFonts w:hint="eastAsia" w:ascii="宋体" w:hAnsi="宋体" w:cs="宋体"/>
                <w:color w:val="auto"/>
                <w:spacing w:val="-4"/>
                <w:szCs w:val="21"/>
                <w:highlight w:val="none"/>
              </w:rPr>
              <w:t>业</w:t>
            </w:r>
          </w:p>
        </w:tc>
        <w:tc>
          <w:tcPr>
            <w:tcW w:w="1148" w:type="dxa"/>
            <w:noWrap w:val="0"/>
            <w:vAlign w:val="top"/>
          </w:tcPr>
          <w:p w14:paraId="383AC884">
            <w:pPr>
              <w:spacing w:before="216" w:line="360" w:lineRule="auto"/>
              <w:ind w:firstLine="232"/>
              <w:rPr>
                <w:rFonts w:hint="eastAsia" w:ascii="宋体" w:hAnsi="宋体" w:cs="宋体"/>
                <w:color w:val="auto"/>
                <w:szCs w:val="21"/>
                <w:highlight w:val="none"/>
              </w:rPr>
            </w:pPr>
            <w:r>
              <w:rPr>
                <w:rFonts w:hint="eastAsia" w:ascii="宋体" w:hAnsi="宋体" w:cs="宋体"/>
                <w:color w:val="auto"/>
                <w:spacing w:val="-5"/>
                <w:szCs w:val="21"/>
                <w:highlight w:val="none"/>
              </w:rPr>
              <w:t>≥10000</w:t>
            </w:r>
          </w:p>
        </w:tc>
        <w:tc>
          <w:tcPr>
            <w:tcW w:w="885" w:type="dxa"/>
            <w:noWrap w:val="0"/>
            <w:vAlign w:val="top"/>
          </w:tcPr>
          <w:p w14:paraId="72DED6BB">
            <w:pPr>
              <w:spacing w:before="216"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5ABB8752">
            <w:pPr>
              <w:spacing w:line="360" w:lineRule="auto"/>
              <w:rPr>
                <w:rFonts w:hint="eastAsia" w:ascii="宋体" w:hAnsi="宋体" w:cs="宋体"/>
                <w:color w:val="auto"/>
                <w:highlight w:val="none"/>
              </w:rPr>
            </w:pPr>
          </w:p>
        </w:tc>
        <w:tc>
          <w:tcPr>
            <w:tcW w:w="1062" w:type="dxa"/>
            <w:noWrap w:val="0"/>
            <w:vAlign w:val="top"/>
          </w:tcPr>
          <w:p w14:paraId="0474EB15">
            <w:pPr>
              <w:spacing w:before="216"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49C59F8B">
            <w:pPr>
              <w:spacing w:before="216"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6D105B98">
            <w:pPr>
              <w:spacing w:line="360" w:lineRule="auto"/>
              <w:rPr>
                <w:rFonts w:hint="eastAsia" w:ascii="宋体" w:hAnsi="宋体" w:cs="宋体"/>
                <w:color w:val="auto"/>
                <w:highlight w:val="none"/>
              </w:rPr>
            </w:pPr>
          </w:p>
        </w:tc>
        <w:tc>
          <w:tcPr>
            <w:tcW w:w="1062" w:type="dxa"/>
            <w:noWrap w:val="0"/>
            <w:vAlign w:val="top"/>
          </w:tcPr>
          <w:p w14:paraId="15B6B0E3">
            <w:pPr>
              <w:spacing w:before="216" w:line="360" w:lineRule="auto"/>
              <w:ind w:firstLine="346"/>
              <w:rPr>
                <w:rFonts w:hint="eastAsia" w:ascii="宋体" w:hAnsi="宋体" w:cs="宋体"/>
                <w:color w:val="auto"/>
                <w:szCs w:val="21"/>
                <w:highlight w:val="none"/>
              </w:rPr>
            </w:pPr>
            <w:r>
              <w:rPr>
                <w:rFonts w:hint="eastAsia" w:ascii="宋体" w:hAnsi="宋体" w:cs="宋体"/>
                <w:color w:val="auto"/>
                <w:spacing w:val="-10"/>
                <w:szCs w:val="21"/>
                <w:highlight w:val="none"/>
              </w:rPr>
              <w:t>≥50</w:t>
            </w:r>
          </w:p>
        </w:tc>
        <w:tc>
          <w:tcPr>
            <w:tcW w:w="921" w:type="dxa"/>
            <w:noWrap w:val="0"/>
            <w:vAlign w:val="top"/>
          </w:tcPr>
          <w:p w14:paraId="36AFB6C2">
            <w:pPr>
              <w:spacing w:before="216"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1AF016F9">
            <w:pPr>
              <w:spacing w:line="360" w:lineRule="auto"/>
              <w:rPr>
                <w:rFonts w:hint="eastAsia" w:ascii="宋体" w:hAnsi="宋体" w:cs="宋体"/>
                <w:color w:val="auto"/>
                <w:highlight w:val="none"/>
              </w:rPr>
            </w:pPr>
          </w:p>
        </w:tc>
        <w:tc>
          <w:tcPr>
            <w:tcW w:w="1062" w:type="dxa"/>
            <w:noWrap w:val="0"/>
            <w:vAlign w:val="top"/>
          </w:tcPr>
          <w:p w14:paraId="1D78D3A5">
            <w:pPr>
              <w:spacing w:before="216" w:line="360" w:lineRule="auto"/>
              <w:ind w:firstLine="342"/>
              <w:rPr>
                <w:rFonts w:hint="eastAsia" w:ascii="宋体" w:hAnsi="宋体" w:cs="宋体"/>
                <w:color w:val="auto"/>
                <w:szCs w:val="21"/>
                <w:highlight w:val="none"/>
              </w:rPr>
            </w:pPr>
            <w:r>
              <w:rPr>
                <w:rFonts w:hint="eastAsia" w:ascii="宋体" w:hAnsi="宋体" w:cs="宋体"/>
                <w:color w:val="auto"/>
                <w:spacing w:val="-8"/>
                <w:szCs w:val="21"/>
                <w:highlight w:val="none"/>
              </w:rPr>
              <w:t>＜50</w:t>
            </w:r>
          </w:p>
        </w:tc>
        <w:tc>
          <w:tcPr>
            <w:tcW w:w="846" w:type="dxa"/>
            <w:noWrap w:val="0"/>
            <w:vAlign w:val="top"/>
          </w:tcPr>
          <w:p w14:paraId="41E72533">
            <w:pPr>
              <w:spacing w:before="216"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46DF2FE6">
            <w:pPr>
              <w:spacing w:line="360" w:lineRule="auto"/>
              <w:rPr>
                <w:rFonts w:hint="eastAsia" w:ascii="宋体" w:hAnsi="宋体" w:cs="宋体"/>
                <w:color w:val="auto"/>
                <w:highlight w:val="none"/>
              </w:rPr>
            </w:pPr>
          </w:p>
        </w:tc>
      </w:tr>
      <w:tr w14:paraId="6A8F048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642" w:hRule="atLeast"/>
          <w:jc w:val="center"/>
        </w:trPr>
        <w:tc>
          <w:tcPr>
            <w:tcW w:w="476" w:type="dxa"/>
            <w:noWrap w:val="0"/>
            <w:vAlign w:val="top"/>
          </w:tcPr>
          <w:p w14:paraId="49FF476B">
            <w:pPr>
              <w:spacing w:before="248"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13</w:t>
            </w:r>
          </w:p>
        </w:tc>
        <w:tc>
          <w:tcPr>
            <w:tcW w:w="2051" w:type="dxa"/>
            <w:noWrap w:val="0"/>
            <w:vAlign w:val="top"/>
          </w:tcPr>
          <w:p w14:paraId="13092591">
            <w:pPr>
              <w:spacing w:before="217" w:line="360" w:lineRule="auto"/>
              <w:ind w:firstLine="84"/>
              <w:rPr>
                <w:rFonts w:hint="eastAsia" w:ascii="宋体" w:hAnsi="宋体" w:cs="宋体"/>
                <w:color w:val="auto"/>
                <w:szCs w:val="21"/>
                <w:highlight w:val="none"/>
              </w:rPr>
            </w:pPr>
            <w:r>
              <w:rPr>
                <w:rFonts w:hint="eastAsia" w:ascii="宋体" w:hAnsi="宋体" w:cs="宋体"/>
                <w:color w:val="auto"/>
                <w:spacing w:val="-1"/>
                <w:szCs w:val="21"/>
                <w:highlight w:val="none"/>
              </w:rPr>
              <w:t>房地产开发经验</w:t>
            </w:r>
          </w:p>
        </w:tc>
        <w:tc>
          <w:tcPr>
            <w:tcW w:w="1148" w:type="dxa"/>
            <w:noWrap w:val="0"/>
            <w:vAlign w:val="top"/>
          </w:tcPr>
          <w:p w14:paraId="0665D6AA">
            <w:pPr>
              <w:spacing w:before="217" w:line="360" w:lineRule="auto"/>
              <w:ind w:firstLine="179"/>
              <w:rPr>
                <w:rFonts w:hint="eastAsia" w:ascii="宋体" w:hAnsi="宋体" w:cs="宋体"/>
                <w:color w:val="auto"/>
                <w:szCs w:val="21"/>
                <w:highlight w:val="none"/>
              </w:rPr>
            </w:pPr>
            <w:r>
              <w:rPr>
                <w:rFonts w:hint="eastAsia" w:ascii="宋体" w:hAnsi="宋体" w:cs="宋体"/>
                <w:color w:val="auto"/>
                <w:spacing w:val="-5"/>
                <w:szCs w:val="21"/>
                <w:highlight w:val="none"/>
              </w:rPr>
              <w:t>≥200000</w:t>
            </w:r>
          </w:p>
        </w:tc>
        <w:tc>
          <w:tcPr>
            <w:tcW w:w="885" w:type="dxa"/>
            <w:noWrap w:val="0"/>
            <w:vAlign w:val="top"/>
          </w:tcPr>
          <w:p w14:paraId="7610FCB4">
            <w:pPr>
              <w:spacing w:line="360" w:lineRule="auto"/>
              <w:rPr>
                <w:rFonts w:hint="eastAsia" w:ascii="宋体" w:hAnsi="宋体" w:cs="宋体"/>
                <w:color w:val="auto"/>
                <w:highlight w:val="none"/>
              </w:rPr>
            </w:pPr>
          </w:p>
        </w:tc>
        <w:tc>
          <w:tcPr>
            <w:tcW w:w="902" w:type="dxa"/>
            <w:noWrap w:val="0"/>
            <w:vAlign w:val="top"/>
          </w:tcPr>
          <w:p w14:paraId="5ABBFDDB">
            <w:pPr>
              <w:spacing w:before="58" w:line="360" w:lineRule="auto"/>
              <w:ind w:firstLine="194"/>
              <w:rPr>
                <w:rFonts w:hint="eastAsia" w:ascii="宋体" w:hAnsi="宋体" w:cs="宋体"/>
                <w:color w:val="auto"/>
                <w:szCs w:val="21"/>
                <w:highlight w:val="none"/>
              </w:rPr>
            </w:pPr>
            <w:r>
              <w:rPr>
                <w:rFonts w:hint="eastAsia" w:ascii="宋体" w:hAnsi="宋体" w:cs="宋体"/>
                <w:color w:val="auto"/>
                <w:spacing w:val="-4"/>
                <w:position w:val="10"/>
                <w:szCs w:val="21"/>
                <w:highlight w:val="none"/>
              </w:rPr>
              <w:t>或,</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4"/>
                <w:position w:val="10"/>
                <w:szCs w:val="21"/>
                <w:highlight w:val="none"/>
              </w:rPr>
              <w:t>≥</w:t>
            </w:r>
          </w:p>
          <w:p w14:paraId="7EDEEDCA">
            <w:pPr>
              <w:spacing w:line="360" w:lineRule="auto"/>
              <w:ind w:firstLine="207"/>
              <w:rPr>
                <w:rFonts w:hint="eastAsia" w:ascii="宋体" w:hAnsi="宋体" w:cs="宋体"/>
                <w:color w:val="auto"/>
                <w:szCs w:val="21"/>
                <w:highlight w:val="none"/>
              </w:rPr>
            </w:pPr>
            <w:r>
              <w:rPr>
                <w:rFonts w:hint="eastAsia" w:ascii="宋体" w:hAnsi="宋体" w:cs="宋体"/>
                <w:color w:val="auto"/>
                <w:spacing w:val="-5"/>
                <w:szCs w:val="21"/>
                <w:highlight w:val="none"/>
              </w:rPr>
              <w:t>10000</w:t>
            </w:r>
          </w:p>
        </w:tc>
        <w:tc>
          <w:tcPr>
            <w:tcW w:w="1062" w:type="dxa"/>
            <w:noWrap w:val="0"/>
            <w:vAlign w:val="top"/>
          </w:tcPr>
          <w:p w14:paraId="66C6B8C7">
            <w:pPr>
              <w:spacing w:before="217"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54BA62E6">
            <w:pPr>
              <w:spacing w:line="360" w:lineRule="auto"/>
              <w:rPr>
                <w:rFonts w:hint="eastAsia" w:ascii="宋体" w:hAnsi="宋体" w:cs="宋体"/>
                <w:color w:val="auto"/>
                <w:highlight w:val="none"/>
              </w:rPr>
            </w:pPr>
          </w:p>
        </w:tc>
        <w:tc>
          <w:tcPr>
            <w:tcW w:w="957" w:type="dxa"/>
            <w:noWrap w:val="0"/>
            <w:vAlign w:val="top"/>
          </w:tcPr>
          <w:p w14:paraId="5C4A3EDD">
            <w:pPr>
              <w:spacing w:before="58" w:line="360" w:lineRule="auto"/>
              <w:ind w:firstLine="222"/>
              <w:rPr>
                <w:rFonts w:hint="eastAsia" w:ascii="宋体" w:hAnsi="宋体" w:cs="宋体"/>
                <w:color w:val="auto"/>
                <w:szCs w:val="21"/>
                <w:highlight w:val="none"/>
              </w:rPr>
            </w:pPr>
            <w:r>
              <w:rPr>
                <w:rFonts w:hint="eastAsia" w:ascii="宋体" w:hAnsi="宋体" w:cs="宋体"/>
                <w:color w:val="auto"/>
                <w:spacing w:val="-4"/>
                <w:position w:val="10"/>
                <w:szCs w:val="21"/>
                <w:highlight w:val="none"/>
              </w:rPr>
              <w:t>且,</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4"/>
                <w:position w:val="10"/>
                <w:szCs w:val="21"/>
                <w:highlight w:val="none"/>
              </w:rPr>
              <w:t>≥</w:t>
            </w:r>
          </w:p>
          <w:p w14:paraId="0433FCE0">
            <w:pPr>
              <w:spacing w:before="1" w:line="360" w:lineRule="auto"/>
              <w:ind w:firstLine="276"/>
              <w:rPr>
                <w:rFonts w:hint="eastAsia" w:ascii="宋体" w:hAnsi="宋体" w:cs="宋体"/>
                <w:color w:val="auto"/>
                <w:szCs w:val="21"/>
                <w:highlight w:val="none"/>
              </w:rPr>
            </w:pPr>
            <w:r>
              <w:rPr>
                <w:rFonts w:hint="eastAsia" w:ascii="宋体" w:hAnsi="宋体" w:cs="宋体"/>
                <w:color w:val="auto"/>
                <w:spacing w:val="-3"/>
                <w:szCs w:val="21"/>
                <w:highlight w:val="none"/>
              </w:rPr>
              <w:t>5000</w:t>
            </w:r>
          </w:p>
        </w:tc>
        <w:tc>
          <w:tcPr>
            <w:tcW w:w="1062" w:type="dxa"/>
            <w:noWrap w:val="0"/>
            <w:vAlign w:val="top"/>
          </w:tcPr>
          <w:p w14:paraId="49789820">
            <w:pPr>
              <w:spacing w:before="217"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21" w:type="dxa"/>
            <w:noWrap w:val="0"/>
            <w:vAlign w:val="top"/>
          </w:tcPr>
          <w:p w14:paraId="607DF50A">
            <w:pPr>
              <w:spacing w:line="360" w:lineRule="auto"/>
              <w:rPr>
                <w:rFonts w:hint="eastAsia" w:ascii="宋体" w:hAnsi="宋体" w:cs="宋体"/>
                <w:color w:val="auto"/>
                <w:highlight w:val="none"/>
              </w:rPr>
            </w:pPr>
          </w:p>
        </w:tc>
        <w:tc>
          <w:tcPr>
            <w:tcW w:w="963" w:type="dxa"/>
            <w:noWrap w:val="0"/>
            <w:vAlign w:val="top"/>
          </w:tcPr>
          <w:p w14:paraId="3B5AC86B">
            <w:pPr>
              <w:spacing w:before="58" w:line="360" w:lineRule="auto"/>
              <w:ind w:firstLine="224"/>
              <w:rPr>
                <w:rFonts w:hint="eastAsia" w:ascii="宋体" w:hAnsi="宋体" w:cs="宋体"/>
                <w:color w:val="auto"/>
                <w:szCs w:val="21"/>
                <w:highlight w:val="none"/>
              </w:rPr>
            </w:pPr>
            <w:r>
              <w:rPr>
                <w:rFonts w:hint="eastAsia" w:ascii="宋体" w:hAnsi="宋体" w:cs="宋体"/>
                <w:color w:val="auto"/>
                <w:spacing w:val="-3"/>
                <w:position w:val="10"/>
                <w:szCs w:val="21"/>
                <w:highlight w:val="none"/>
              </w:rPr>
              <w:t>且,</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3"/>
                <w:position w:val="10"/>
                <w:szCs w:val="21"/>
                <w:highlight w:val="none"/>
              </w:rPr>
              <w:t>≥</w:t>
            </w:r>
          </w:p>
          <w:p w14:paraId="77715D20">
            <w:pPr>
              <w:spacing w:before="1" w:line="360" w:lineRule="auto"/>
              <w:ind w:firstLine="280"/>
              <w:rPr>
                <w:rFonts w:hint="eastAsia" w:ascii="宋体" w:hAnsi="宋体" w:cs="宋体"/>
                <w:color w:val="auto"/>
                <w:szCs w:val="21"/>
                <w:highlight w:val="none"/>
              </w:rPr>
            </w:pPr>
            <w:r>
              <w:rPr>
                <w:rFonts w:hint="eastAsia" w:ascii="宋体" w:hAnsi="宋体" w:cs="宋体"/>
                <w:color w:val="auto"/>
                <w:spacing w:val="-3"/>
                <w:szCs w:val="21"/>
                <w:highlight w:val="none"/>
              </w:rPr>
              <w:t>2000</w:t>
            </w:r>
          </w:p>
        </w:tc>
        <w:tc>
          <w:tcPr>
            <w:tcW w:w="1062" w:type="dxa"/>
            <w:noWrap w:val="0"/>
            <w:vAlign w:val="top"/>
          </w:tcPr>
          <w:p w14:paraId="0BCA7FF5">
            <w:pPr>
              <w:spacing w:before="217"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＜100</w:t>
            </w:r>
          </w:p>
        </w:tc>
        <w:tc>
          <w:tcPr>
            <w:tcW w:w="846" w:type="dxa"/>
            <w:noWrap w:val="0"/>
            <w:vAlign w:val="top"/>
          </w:tcPr>
          <w:p w14:paraId="02449AE1">
            <w:pPr>
              <w:spacing w:line="360" w:lineRule="auto"/>
              <w:rPr>
                <w:rFonts w:hint="eastAsia" w:ascii="宋体" w:hAnsi="宋体" w:cs="宋体"/>
                <w:color w:val="auto"/>
                <w:highlight w:val="none"/>
              </w:rPr>
            </w:pPr>
          </w:p>
        </w:tc>
        <w:tc>
          <w:tcPr>
            <w:tcW w:w="820" w:type="dxa"/>
            <w:noWrap w:val="0"/>
            <w:vAlign w:val="top"/>
          </w:tcPr>
          <w:p w14:paraId="68D2EDCD">
            <w:pPr>
              <w:spacing w:before="58" w:line="360" w:lineRule="auto"/>
              <w:ind w:firstLine="154"/>
              <w:rPr>
                <w:rFonts w:hint="eastAsia" w:ascii="宋体" w:hAnsi="宋体" w:cs="宋体"/>
                <w:color w:val="auto"/>
                <w:szCs w:val="21"/>
                <w:highlight w:val="none"/>
              </w:rPr>
            </w:pPr>
            <w:r>
              <w:rPr>
                <w:rFonts w:hint="eastAsia" w:ascii="宋体" w:hAnsi="宋体" w:cs="宋体"/>
                <w:color w:val="auto"/>
                <w:spacing w:val="-4"/>
                <w:position w:val="10"/>
                <w:szCs w:val="21"/>
                <w:highlight w:val="none"/>
              </w:rPr>
              <w:t>或,＜</w:t>
            </w:r>
          </w:p>
          <w:p w14:paraId="2AEC29A7">
            <w:pPr>
              <w:spacing w:before="1" w:line="360" w:lineRule="auto"/>
              <w:ind w:firstLine="207"/>
              <w:rPr>
                <w:rFonts w:hint="eastAsia" w:ascii="宋体" w:hAnsi="宋体" w:cs="宋体"/>
                <w:color w:val="auto"/>
                <w:szCs w:val="21"/>
                <w:highlight w:val="none"/>
              </w:rPr>
            </w:pPr>
            <w:r>
              <w:rPr>
                <w:rFonts w:hint="eastAsia" w:ascii="宋体" w:hAnsi="宋体" w:cs="宋体"/>
                <w:color w:val="auto"/>
                <w:spacing w:val="-3"/>
                <w:szCs w:val="21"/>
                <w:highlight w:val="none"/>
              </w:rPr>
              <w:t>2000</w:t>
            </w:r>
          </w:p>
        </w:tc>
      </w:tr>
      <w:tr w14:paraId="08D50B5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6" w:hRule="atLeast"/>
          <w:jc w:val="center"/>
        </w:trPr>
        <w:tc>
          <w:tcPr>
            <w:tcW w:w="476" w:type="dxa"/>
            <w:noWrap w:val="0"/>
            <w:vAlign w:val="top"/>
          </w:tcPr>
          <w:p w14:paraId="1C144C2B">
            <w:pPr>
              <w:spacing w:before="115"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14</w:t>
            </w:r>
          </w:p>
        </w:tc>
        <w:tc>
          <w:tcPr>
            <w:tcW w:w="2051" w:type="dxa"/>
            <w:noWrap w:val="0"/>
            <w:vAlign w:val="top"/>
          </w:tcPr>
          <w:p w14:paraId="392B9FA7">
            <w:pPr>
              <w:spacing w:before="84" w:line="360" w:lineRule="auto"/>
              <w:ind w:firstLine="83"/>
              <w:rPr>
                <w:rFonts w:hint="eastAsia" w:ascii="宋体" w:hAnsi="宋体" w:cs="宋体"/>
                <w:color w:val="auto"/>
                <w:szCs w:val="21"/>
                <w:highlight w:val="none"/>
              </w:rPr>
            </w:pPr>
            <w:r>
              <w:rPr>
                <w:rFonts w:hint="eastAsia" w:ascii="宋体" w:hAnsi="宋体" w:cs="宋体"/>
                <w:color w:val="auto"/>
                <w:spacing w:val="-2"/>
                <w:szCs w:val="21"/>
                <w:highlight w:val="none"/>
              </w:rPr>
              <w:t>物业管理</w:t>
            </w:r>
          </w:p>
        </w:tc>
        <w:tc>
          <w:tcPr>
            <w:tcW w:w="1148" w:type="dxa"/>
            <w:noWrap w:val="0"/>
            <w:vAlign w:val="top"/>
          </w:tcPr>
          <w:p w14:paraId="13DD3A90">
            <w:pPr>
              <w:spacing w:before="84" w:line="360" w:lineRule="auto"/>
              <w:ind w:firstLine="282"/>
              <w:rPr>
                <w:rFonts w:hint="eastAsia" w:ascii="宋体" w:hAnsi="宋体" w:cs="宋体"/>
                <w:color w:val="auto"/>
                <w:szCs w:val="21"/>
                <w:highlight w:val="none"/>
              </w:rPr>
            </w:pPr>
            <w:r>
              <w:rPr>
                <w:rFonts w:hint="eastAsia" w:ascii="宋体" w:hAnsi="宋体" w:cs="宋体"/>
                <w:color w:val="auto"/>
                <w:spacing w:val="-6"/>
                <w:szCs w:val="21"/>
                <w:highlight w:val="none"/>
              </w:rPr>
              <w:t>≥5000</w:t>
            </w:r>
          </w:p>
        </w:tc>
        <w:tc>
          <w:tcPr>
            <w:tcW w:w="885" w:type="dxa"/>
            <w:noWrap w:val="0"/>
            <w:vAlign w:val="top"/>
          </w:tcPr>
          <w:p w14:paraId="2E23EF51">
            <w:pPr>
              <w:spacing w:before="84" w:line="360" w:lineRule="auto"/>
              <w:ind w:firstLine="152"/>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2" w:type="dxa"/>
            <w:noWrap w:val="0"/>
            <w:vAlign w:val="top"/>
          </w:tcPr>
          <w:p w14:paraId="28D49544">
            <w:pPr>
              <w:spacing w:line="360" w:lineRule="auto"/>
              <w:rPr>
                <w:rFonts w:hint="eastAsia" w:ascii="宋体" w:hAnsi="宋体" w:cs="宋体"/>
                <w:color w:val="auto"/>
                <w:highlight w:val="none"/>
              </w:rPr>
            </w:pPr>
          </w:p>
        </w:tc>
        <w:tc>
          <w:tcPr>
            <w:tcW w:w="1062" w:type="dxa"/>
            <w:noWrap w:val="0"/>
            <w:vAlign w:val="top"/>
          </w:tcPr>
          <w:p w14:paraId="0EEBAAAC">
            <w:pPr>
              <w:spacing w:before="84" w:line="360" w:lineRule="auto"/>
              <w:ind w:firstLine="241"/>
              <w:rPr>
                <w:rFonts w:hint="eastAsia" w:ascii="宋体" w:hAnsi="宋体" w:cs="宋体"/>
                <w:color w:val="auto"/>
                <w:szCs w:val="21"/>
                <w:highlight w:val="none"/>
              </w:rPr>
            </w:pPr>
            <w:r>
              <w:rPr>
                <w:rFonts w:hint="eastAsia" w:ascii="宋体" w:hAnsi="宋体" w:cs="宋体"/>
                <w:color w:val="auto"/>
                <w:spacing w:val="-6"/>
                <w:szCs w:val="21"/>
                <w:highlight w:val="none"/>
              </w:rPr>
              <w:t>≥1000</w:t>
            </w:r>
          </w:p>
        </w:tc>
        <w:tc>
          <w:tcPr>
            <w:tcW w:w="905" w:type="dxa"/>
            <w:noWrap w:val="0"/>
            <w:vAlign w:val="top"/>
          </w:tcPr>
          <w:p w14:paraId="2E6C8EC0">
            <w:pPr>
              <w:spacing w:before="84"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≥300</w:t>
            </w:r>
          </w:p>
        </w:tc>
        <w:tc>
          <w:tcPr>
            <w:tcW w:w="957" w:type="dxa"/>
            <w:noWrap w:val="0"/>
            <w:vAlign w:val="top"/>
          </w:tcPr>
          <w:p w14:paraId="506F8092">
            <w:pPr>
              <w:spacing w:line="360" w:lineRule="auto"/>
              <w:rPr>
                <w:rFonts w:hint="eastAsia" w:ascii="宋体" w:hAnsi="宋体" w:cs="宋体"/>
                <w:color w:val="auto"/>
                <w:highlight w:val="none"/>
              </w:rPr>
            </w:pPr>
          </w:p>
        </w:tc>
        <w:tc>
          <w:tcPr>
            <w:tcW w:w="1062" w:type="dxa"/>
            <w:noWrap w:val="0"/>
            <w:vAlign w:val="top"/>
          </w:tcPr>
          <w:p w14:paraId="2AC8C4B7">
            <w:pPr>
              <w:spacing w:before="84" w:line="360" w:lineRule="auto"/>
              <w:ind w:firstLine="296"/>
              <w:rPr>
                <w:rFonts w:hint="eastAsia" w:ascii="宋体" w:hAnsi="宋体" w:cs="宋体"/>
                <w:color w:val="auto"/>
                <w:szCs w:val="21"/>
                <w:highlight w:val="none"/>
              </w:rPr>
            </w:pPr>
            <w:r>
              <w:rPr>
                <w:rFonts w:hint="eastAsia" w:ascii="宋体" w:hAnsi="宋体" w:cs="宋体"/>
                <w:color w:val="auto"/>
                <w:spacing w:val="-8"/>
                <w:szCs w:val="21"/>
                <w:highlight w:val="none"/>
              </w:rPr>
              <w:t>≥500</w:t>
            </w:r>
          </w:p>
        </w:tc>
        <w:tc>
          <w:tcPr>
            <w:tcW w:w="921" w:type="dxa"/>
            <w:noWrap w:val="0"/>
            <w:vAlign w:val="top"/>
          </w:tcPr>
          <w:p w14:paraId="5345AA8E">
            <w:pPr>
              <w:spacing w:before="84" w:line="360" w:lineRule="auto"/>
              <w:ind w:firstLine="225"/>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63" w:type="dxa"/>
            <w:noWrap w:val="0"/>
            <w:vAlign w:val="top"/>
          </w:tcPr>
          <w:p w14:paraId="63851EFF">
            <w:pPr>
              <w:spacing w:line="360" w:lineRule="auto"/>
              <w:rPr>
                <w:rFonts w:hint="eastAsia" w:ascii="宋体" w:hAnsi="宋体" w:cs="宋体"/>
                <w:color w:val="auto"/>
                <w:highlight w:val="none"/>
              </w:rPr>
            </w:pPr>
          </w:p>
        </w:tc>
        <w:tc>
          <w:tcPr>
            <w:tcW w:w="1062" w:type="dxa"/>
            <w:noWrap w:val="0"/>
            <w:vAlign w:val="top"/>
          </w:tcPr>
          <w:p w14:paraId="5C04D17E">
            <w:pPr>
              <w:spacing w:before="84" w:line="360" w:lineRule="auto"/>
              <w:ind w:firstLine="292"/>
              <w:rPr>
                <w:rFonts w:hint="eastAsia" w:ascii="宋体" w:hAnsi="宋体" w:cs="宋体"/>
                <w:color w:val="auto"/>
                <w:szCs w:val="21"/>
                <w:highlight w:val="none"/>
              </w:rPr>
            </w:pPr>
            <w:r>
              <w:rPr>
                <w:rFonts w:hint="eastAsia" w:ascii="宋体" w:hAnsi="宋体" w:cs="宋体"/>
                <w:color w:val="auto"/>
                <w:spacing w:val="-7"/>
                <w:szCs w:val="21"/>
                <w:highlight w:val="none"/>
              </w:rPr>
              <w:t>＜500</w:t>
            </w:r>
          </w:p>
        </w:tc>
        <w:tc>
          <w:tcPr>
            <w:tcW w:w="846" w:type="dxa"/>
            <w:noWrap w:val="0"/>
            <w:vAlign w:val="top"/>
          </w:tcPr>
          <w:p w14:paraId="673E34A8">
            <w:pPr>
              <w:spacing w:before="84" w:line="360" w:lineRule="auto"/>
              <w:ind w:firstLine="183"/>
              <w:rPr>
                <w:rFonts w:hint="eastAsia" w:ascii="宋体" w:hAnsi="宋体" w:cs="宋体"/>
                <w:color w:val="auto"/>
                <w:szCs w:val="21"/>
                <w:highlight w:val="none"/>
              </w:rPr>
            </w:pPr>
            <w:r>
              <w:rPr>
                <w:rFonts w:hint="eastAsia" w:ascii="宋体" w:hAnsi="宋体" w:cs="宋体"/>
                <w:color w:val="auto"/>
                <w:spacing w:val="-6"/>
                <w:szCs w:val="21"/>
                <w:highlight w:val="none"/>
              </w:rPr>
              <w:t>＜100</w:t>
            </w:r>
          </w:p>
        </w:tc>
        <w:tc>
          <w:tcPr>
            <w:tcW w:w="820" w:type="dxa"/>
            <w:noWrap w:val="0"/>
            <w:vAlign w:val="top"/>
          </w:tcPr>
          <w:p w14:paraId="4CF5C36D">
            <w:pPr>
              <w:spacing w:line="360" w:lineRule="auto"/>
              <w:rPr>
                <w:rFonts w:hint="eastAsia" w:ascii="宋体" w:hAnsi="宋体" w:cs="宋体"/>
                <w:color w:val="auto"/>
                <w:highlight w:val="none"/>
              </w:rPr>
            </w:pPr>
          </w:p>
        </w:tc>
      </w:tr>
      <w:tr w14:paraId="441F92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6" w:hRule="atLeast"/>
          <w:jc w:val="center"/>
        </w:trPr>
        <w:tc>
          <w:tcPr>
            <w:tcW w:w="476" w:type="dxa"/>
            <w:noWrap w:val="0"/>
            <w:vAlign w:val="top"/>
          </w:tcPr>
          <w:p w14:paraId="53F33C6E">
            <w:pPr>
              <w:spacing w:before="247"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15</w:t>
            </w:r>
          </w:p>
        </w:tc>
        <w:tc>
          <w:tcPr>
            <w:tcW w:w="2051" w:type="dxa"/>
            <w:noWrap w:val="0"/>
            <w:vAlign w:val="top"/>
          </w:tcPr>
          <w:p w14:paraId="63FFD1BC">
            <w:pPr>
              <w:spacing w:before="216" w:line="360" w:lineRule="auto"/>
              <w:ind w:firstLine="85"/>
              <w:rPr>
                <w:rFonts w:hint="eastAsia" w:ascii="宋体" w:hAnsi="宋体" w:cs="宋体"/>
                <w:color w:val="auto"/>
                <w:szCs w:val="21"/>
                <w:highlight w:val="none"/>
              </w:rPr>
            </w:pPr>
            <w:r>
              <w:rPr>
                <w:rFonts w:hint="eastAsia" w:ascii="宋体" w:hAnsi="宋体" w:cs="宋体"/>
                <w:color w:val="auto"/>
                <w:spacing w:val="-1"/>
                <w:szCs w:val="21"/>
                <w:highlight w:val="none"/>
              </w:rPr>
              <w:t>租赁和商务</w:t>
            </w:r>
            <w:r>
              <w:rPr>
                <w:rFonts w:hint="eastAsia" w:ascii="宋体" w:hAnsi="宋体" w:cs="宋体"/>
                <w:color w:val="auto"/>
                <w:spacing w:val="-1"/>
                <w:szCs w:val="21"/>
                <w:highlight w:val="none"/>
                <w:lang w:val="en-US" w:eastAsia="zh-CN"/>
              </w:rPr>
              <w:t>服务</w:t>
            </w:r>
            <w:r>
              <w:rPr>
                <w:rFonts w:hint="eastAsia" w:ascii="宋体" w:hAnsi="宋体" w:cs="宋体"/>
                <w:color w:val="auto"/>
                <w:spacing w:val="-1"/>
                <w:szCs w:val="21"/>
                <w:highlight w:val="none"/>
              </w:rPr>
              <w:t>业</w:t>
            </w:r>
          </w:p>
        </w:tc>
        <w:tc>
          <w:tcPr>
            <w:tcW w:w="1148" w:type="dxa"/>
            <w:noWrap w:val="0"/>
            <w:vAlign w:val="top"/>
          </w:tcPr>
          <w:p w14:paraId="44CB26BF">
            <w:pPr>
              <w:spacing w:line="360" w:lineRule="auto"/>
              <w:rPr>
                <w:rFonts w:hint="eastAsia" w:ascii="宋体" w:hAnsi="宋体" w:cs="宋体"/>
                <w:color w:val="auto"/>
                <w:highlight w:val="none"/>
              </w:rPr>
            </w:pPr>
          </w:p>
        </w:tc>
        <w:tc>
          <w:tcPr>
            <w:tcW w:w="885" w:type="dxa"/>
            <w:noWrap w:val="0"/>
            <w:vAlign w:val="top"/>
          </w:tcPr>
          <w:p w14:paraId="064D4B40">
            <w:pPr>
              <w:spacing w:before="216"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00CDB423">
            <w:pPr>
              <w:spacing w:before="58" w:line="360" w:lineRule="auto"/>
              <w:ind w:left="157" w:right="133" w:firstLine="37"/>
              <w:rPr>
                <w:rFonts w:hint="eastAsia" w:ascii="宋体" w:hAnsi="宋体" w:cs="宋体"/>
                <w:color w:val="auto"/>
                <w:szCs w:val="21"/>
                <w:highlight w:val="none"/>
              </w:rPr>
            </w:pPr>
            <w:r>
              <w:rPr>
                <w:rFonts w:hint="eastAsia" w:ascii="宋体" w:hAnsi="宋体" w:cs="宋体"/>
                <w:color w:val="auto"/>
                <w:spacing w:val="-10"/>
                <w:w w:val="98"/>
                <w:szCs w:val="21"/>
                <w:highlight w:val="none"/>
              </w:rPr>
              <w:t>或,</w:t>
            </w:r>
            <w:r>
              <w:rPr>
                <w:rFonts w:hint="eastAsia" w:ascii="宋体" w:hAnsi="宋体" w:cs="宋体"/>
                <w:color w:val="auto"/>
                <w:spacing w:val="-75"/>
                <w:szCs w:val="21"/>
                <w:highlight w:val="none"/>
              </w:rPr>
              <w:t xml:space="preserve"> </w:t>
            </w:r>
            <w:r>
              <w:rPr>
                <w:rFonts w:hint="eastAsia" w:ascii="宋体" w:hAnsi="宋体" w:cs="宋体"/>
                <w:color w:val="auto"/>
                <w:spacing w:val="-10"/>
                <w:w w:val="98"/>
                <w:szCs w:val="21"/>
                <w:highlight w:val="none"/>
              </w:rPr>
              <w:t>≥</w:t>
            </w:r>
            <w:r>
              <w:rPr>
                <w:rFonts w:hint="eastAsia" w:ascii="宋体" w:hAnsi="宋体" w:cs="宋体"/>
                <w:color w:val="auto"/>
                <w:szCs w:val="21"/>
                <w:highlight w:val="none"/>
              </w:rPr>
              <w:t xml:space="preserve"> </w:t>
            </w:r>
            <w:r>
              <w:rPr>
                <w:rFonts w:hint="eastAsia" w:ascii="宋体" w:hAnsi="宋体" w:cs="宋体"/>
                <w:color w:val="auto"/>
                <w:spacing w:val="-4"/>
                <w:szCs w:val="21"/>
                <w:highlight w:val="none"/>
              </w:rPr>
              <w:t>120000</w:t>
            </w:r>
          </w:p>
        </w:tc>
        <w:tc>
          <w:tcPr>
            <w:tcW w:w="1062" w:type="dxa"/>
            <w:noWrap w:val="0"/>
            <w:vAlign w:val="top"/>
          </w:tcPr>
          <w:p w14:paraId="38311A93">
            <w:pPr>
              <w:spacing w:line="360" w:lineRule="auto"/>
              <w:rPr>
                <w:rFonts w:hint="eastAsia" w:ascii="宋体" w:hAnsi="宋体" w:cs="宋体"/>
                <w:color w:val="auto"/>
                <w:highlight w:val="none"/>
              </w:rPr>
            </w:pPr>
          </w:p>
        </w:tc>
        <w:tc>
          <w:tcPr>
            <w:tcW w:w="905" w:type="dxa"/>
            <w:noWrap w:val="0"/>
            <w:vAlign w:val="top"/>
          </w:tcPr>
          <w:p w14:paraId="2FCA811A">
            <w:pPr>
              <w:spacing w:before="216"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47D15182">
            <w:pPr>
              <w:spacing w:before="57" w:line="360" w:lineRule="auto"/>
              <w:ind w:firstLine="222"/>
              <w:rPr>
                <w:rFonts w:hint="eastAsia" w:ascii="宋体" w:hAnsi="宋体" w:cs="宋体"/>
                <w:color w:val="auto"/>
                <w:szCs w:val="21"/>
                <w:highlight w:val="none"/>
              </w:rPr>
            </w:pPr>
            <w:r>
              <w:rPr>
                <w:rFonts w:hint="eastAsia" w:ascii="宋体" w:hAnsi="宋体" w:cs="宋体"/>
                <w:color w:val="auto"/>
                <w:spacing w:val="-4"/>
                <w:position w:val="10"/>
                <w:szCs w:val="21"/>
                <w:highlight w:val="none"/>
              </w:rPr>
              <w:t>且,</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4"/>
                <w:position w:val="10"/>
                <w:szCs w:val="21"/>
                <w:highlight w:val="none"/>
              </w:rPr>
              <w:t>≥</w:t>
            </w:r>
          </w:p>
          <w:p w14:paraId="49DEDB66">
            <w:pPr>
              <w:spacing w:line="360" w:lineRule="auto"/>
              <w:ind w:firstLine="273"/>
              <w:rPr>
                <w:rFonts w:hint="eastAsia" w:ascii="宋体" w:hAnsi="宋体" w:cs="宋体"/>
                <w:color w:val="auto"/>
                <w:szCs w:val="21"/>
                <w:highlight w:val="none"/>
              </w:rPr>
            </w:pPr>
            <w:r>
              <w:rPr>
                <w:rFonts w:hint="eastAsia" w:ascii="宋体" w:hAnsi="宋体" w:cs="宋体"/>
                <w:color w:val="auto"/>
                <w:spacing w:val="-2"/>
                <w:szCs w:val="21"/>
                <w:highlight w:val="none"/>
              </w:rPr>
              <w:t>8000</w:t>
            </w:r>
          </w:p>
        </w:tc>
        <w:tc>
          <w:tcPr>
            <w:tcW w:w="1062" w:type="dxa"/>
            <w:noWrap w:val="0"/>
            <w:vAlign w:val="top"/>
          </w:tcPr>
          <w:p w14:paraId="413D44CF">
            <w:pPr>
              <w:spacing w:line="360" w:lineRule="auto"/>
              <w:rPr>
                <w:rFonts w:hint="eastAsia" w:ascii="宋体" w:hAnsi="宋体" w:cs="宋体"/>
                <w:color w:val="auto"/>
                <w:highlight w:val="none"/>
              </w:rPr>
            </w:pPr>
          </w:p>
        </w:tc>
        <w:tc>
          <w:tcPr>
            <w:tcW w:w="921" w:type="dxa"/>
            <w:noWrap w:val="0"/>
            <w:vAlign w:val="top"/>
          </w:tcPr>
          <w:p w14:paraId="48B46904">
            <w:pPr>
              <w:spacing w:before="216"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2B209AC7">
            <w:pPr>
              <w:spacing w:before="57" w:line="360" w:lineRule="auto"/>
              <w:ind w:firstLine="224"/>
              <w:rPr>
                <w:rFonts w:hint="eastAsia" w:ascii="宋体" w:hAnsi="宋体" w:cs="宋体"/>
                <w:color w:val="auto"/>
                <w:szCs w:val="21"/>
                <w:highlight w:val="none"/>
              </w:rPr>
            </w:pPr>
            <w:r>
              <w:rPr>
                <w:rFonts w:hint="eastAsia" w:ascii="宋体" w:hAnsi="宋体" w:cs="宋体"/>
                <w:color w:val="auto"/>
                <w:spacing w:val="-3"/>
                <w:position w:val="10"/>
                <w:szCs w:val="21"/>
                <w:highlight w:val="none"/>
              </w:rPr>
              <w:t>且,</w:t>
            </w:r>
            <w:r>
              <w:rPr>
                <w:rFonts w:hint="eastAsia" w:ascii="宋体" w:hAnsi="宋体" w:cs="宋体"/>
                <w:color w:val="auto"/>
                <w:spacing w:val="-74"/>
                <w:position w:val="10"/>
                <w:szCs w:val="21"/>
                <w:highlight w:val="none"/>
              </w:rPr>
              <w:t xml:space="preserve"> </w:t>
            </w:r>
            <w:r>
              <w:rPr>
                <w:rFonts w:hint="eastAsia" w:ascii="宋体" w:hAnsi="宋体" w:cs="宋体"/>
                <w:color w:val="auto"/>
                <w:spacing w:val="-3"/>
                <w:position w:val="10"/>
                <w:szCs w:val="21"/>
                <w:highlight w:val="none"/>
              </w:rPr>
              <w:t>≥</w:t>
            </w:r>
          </w:p>
          <w:p w14:paraId="4B182623">
            <w:pPr>
              <w:spacing w:before="1" w:line="360" w:lineRule="auto"/>
              <w:ind w:firstLine="345"/>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1062" w:type="dxa"/>
            <w:noWrap w:val="0"/>
            <w:vAlign w:val="top"/>
          </w:tcPr>
          <w:p w14:paraId="0D918905">
            <w:pPr>
              <w:spacing w:line="360" w:lineRule="auto"/>
              <w:rPr>
                <w:rFonts w:hint="eastAsia" w:ascii="宋体" w:hAnsi="宋体" w:cs="宋体"/>
                <w:color w:val="auto"/>
                <w:highlight w:val="none"/>
              </w:rPr>
            </w:pPr>
          </w:p>
        </w:tc>
        <w:tc>
          <w:tcPr>
            <w:tcW w:w="846" w:type="dxa"/>
            <w:noWrap w:val="0"/>
            <w:vAlign w:val="top"/>
          </w:tcPr>
          <w:p w14:paraId="07B13EDB">
            <w:pPr>
              <w:spacing w:before="216"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25D13EA7">
            <w:pPr>
              <w:spacing w:before="57" w:line="360" w:lineRule="auto"/>
              <w:ind w:firstLine="154"/>
              <w:rPr>
                <w:rFonts w:hint="eastAsia" w:ascii="宋体" w:hAnsi="宋体" w:cs="宋体"/>
                <w:color w:val="auto"/>
                <w:szCs w:val="21"/>
                <w:highlight w:val="none"/>
              </w:rPr>
            </w:pPr>
            <w:r>
              <w:rPr>
                <w:rFonts w:hint="eastAsia" w:ascii="宋体" w:hAnsi="宋体" w:cs="宋体"/>
                <w:color w:val="auto"/>
                <w:spacing w:val="-4"/>
                <w:position w:val="10"/>
                <w:szCs w:val="21"/>
                <w:highlight w:val="none"/>
              </w:rPr>
              <w:t>或,＜</w:t>
            </w:r>
          </w:p>
          <w:p w14:paraId="215A6DC5">
            <w:pPr>
              <w:spacing w:before="1" w:line="360" w:lineRule="auto"/>
              <w:ind w:firstLine="273"/>
              <w:rPr>
                <w:rFonts w:hint="eastAsia" w:ascii="宋体" w:hAnsi="宋体" w:cs="宋体"/>
                <w:color w:val="auto"/>
                <w:szCs w:val="21"/>
                <w:highlight w:val="none"/>
              </w:rPr>
            </w:pPr>
            <w:r>
              <w:rPr>
                <w:rFonts w:hint="eastAsia" w:ascii="宋体" w:hAnsi="宋体" w:cs="宋体"/>
                <w:color w:val="auto"/>
                <w:spacing w:val="-8"/>
                <w:szCs w:val="21"/>
                <w:highlight w:val="none"/>
              </w:rPr>
              <w:t>100</w:t>
            </w:r>
          </w:p>
        </w:tc>
      </w:tr>
      <w:tr w14:paraId="7CB405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76" w:hRule="atLeast"/>
          <w:jc w:val="center"/>
        </w:trPr>
        <w:tc>
          <w:tcPr>
            <w:tcW w:w="476" w:type="dxa"/>
            <w:noWrap w:val="0"/>
            <w:vAlign w:val="top"/>
          </w:tcPr>
          <w:p w14:paraId="6E4CA594">
            <w:pPr>
              <w:spacing w:before="115" w:line="360" w:lineRule="auto"/>
              <w:ind w:firstLine="151"/>
              <w:rPr>
                <w:rFonts w:hint="eastAsia" w:ascii="宋体" w:hAnsi="宋体" w:cs="宋体"/>
                <w:color w:val="auto"/>
                <w:szCs w:val="21"/>
                <w:highlight w:val="none"/>
              </w:rPr>
            </w:pPr>
            <w:r>
              <w:rPr>
                <w:rFonts w:hint="eastAsia" w:ascii="宋体" w:hAnsi="宋体" w:cs="宋体"/>
                <w:color w:val="auto"/>
                <w:spacing w:val="-10"/>
                <w:w w:val="99"/>
                <w:szCs w:val="21"/>
                <w:highlight w:val="none"/>
              </w:rPr>
              <w:t>16</w:t>
            </w:r>
          </w:p>
        </w:tc>
        <w:tc>
          <w:tcPr>
            <w:tcW w:w="2051" w:type="dxa"/>
            <w:noWrap w:val="0"/>
            <w:vAlign w:val="top"/>
          </w:tcPr>
          <w:p w14:paraId="19C3051B">
            <w:pPr>
              <w:spacing w:before="83" w:line="360" w:lineRule="auto"/>
              <w:ind w:firstLine="84"/>
              <w:rPr>
                <w:rFonts w:hint="eastAsia" w:ascii="宋体" w:hAnsi="宋体" w:cs="宋体"/>
                <w:color w:val="auto"/>
                <w:szCs w:val="21"/>
                <w:highlight w:val="none"/>
              </w:rPr>
            </w:pPr>
            <w:r>
              <w:rPr>
                <w:rFonts w:hint="eastAsia" w:ascii="宋体" w:hAnsi="宋体" w:cs="宋体"/>
                <w:color w:val="auto"/>
                <w:spacing w:val="-1"/>
                <w:szCs w:val="21"/>
                <w:highlight w:val="none"/>
              </w:rPr>
              <w:t>其他未列明行业</w:t>
            </w:r>
          </w:p>
        </w:tc>
        <w:tc>
          <w:tcPr>
            <w:tcW w:w="1148" w:type="dxa"/>
            <w:noWrap w:val="0"/>
            <w:vAlign w:val="top"/>
          </w:tcPr>
          <w:p w14:paraId="092F3AE3">
            <w:pPr>
              <w:spacing w:line="360" w:lineRule="auto"/>
              <w:rPr>
                <w:rFonts w:hint="eastAsia" w:ascii="宋体" w:hAnsi="宋体" w:cs="宋体"/>
                <w:color w:val="auto"/>
                <w:highlight w:val="none"/>
              </w:rPr>
            </w:pPr>
          </w:p>
        </w:tc>
        <w:tc>
          <w:tcPr>
            <w:tcW w:w="885" w:type="dxa"/>
            <w:noWrap w:val="0"/>
            <w:vAlign w:val="top"/>
          </w:tcPr>
          <w:p w14:paraId="65EE5478">
            <w:pPr>
              <w:spacing w:before="83" w:line="360" w:lineRule="auto"/>
              <w:ind w:firstLine="204"/>
              <w:rPr>
                <w:rFonts w:hint="eastAsia" w:ascii="宋体" w:hAnsi="宋体" w:cs="宋体"/>
                <w:color w:val="auto"/>
                <w:szCs w:val="21"/>
                <w:highlight w:val="none"/>
              </w:rPr>
            </w:pPr>
            <w:r>
              <w:rPr>
                <w:rFonts w:hint="eastAsia" w:ascii="宋体" w:hAnsi="宋体" w:cs="宋体"/>
                <w:color w:val="auto"/>
                <w:spacing w:val="-7"/>
                <w:szCs w:val="21"/>
                <w:highlight w:val="none"/>
              </w:rPr>
              <w:t>≥300</w:t>
            </w:r>
          </w:p>
        </w:tc>
        <w:tc>
          <w:tcPr>
            <w:tcW w:w="902" w:type="dxa"/>
            <w:noWrap w:val="0"/>
            <w:vAlign w:val="top"/>
          </w:tcPr>
          <w:p w14:paraId="6915C575">
            <w:pPr>
              <w:spacing w:line="360" w:lineRule="auto"/>
              <w:rPr>
                <w:rFonts w:hint="eastAsia" w:ascii="宋体" w:hAnsi="宋体" w:cs="宋体"/>
                <w:color w:val="auto"/>
                <w:highlight w:val="none"/>
              </w:rPr>
            </w:pPr>
          </w:p>
        </w:tc>
        <w:tc>
          <w:tcPr>
            <w:tcW w:w="1062" w:type="dxa"/>
            <w:noWrap w:val="0"/>
            <w:vAlign w:val="top"/>
          </w:tcPr>
          <w:p w14:paraId="7A971497">
            <w:pPr>
              <w:spacing w:line="360" w:lineRule="auto"/>
              <w:rPr>
                <w:rFonts w:hint="eastAsia" w:ascii="宋体" w:hAnsi="宋体" w:cs="宋体"/>
                <w:color w:val="auto"/>
                <w:highlight w:val="none"/>
              </w:rPr>
            </w:pPr>
          </w:p>
        </w:tc>
        <w:tc>
          <w:tcPr>
            <w:tcW w:w="905" w:type="dxa"/>
            <w:noWrap w:val="0"/>
            <w:vAlign w:val="top"/>
          </w:tcPr>
          <w:p w14:paraId="55F563B6">
            <w:pPr>
              <w:spacing w:before="83" w:line="360" w:lineRule="auto"/>
              <w:ind w:firstLine="216"/>
              <w:rPr>
                <w:rFonts w:hint="eastAsia" w:ascii="宋体" w:hAnsi="宋体" w:cs="宋体"/>
                <w:color w:val="auto"/>
                <w:szCs w:val="21"/>
                <w:highlight w:val="none"/>
              </w:rPr>
            </w:pPr>
            <w:r>
              <w:rPr>
                <w:rFonts w:hint="eastAsia" w:ascii="宋体" w:hAnsi="宋体" w:cs="宋体"/>
                <w:color w:val="auto"/>
                <w:spacing w:val="-8"/>
                <w:szCs w:val="21"/>
                <w:highlight w:val="none"/>
              </w:rPr>
              <w:t>≥100</w:t>
            </w:r>
          </w:p>
        </w:tc>
        <w:tc>
          <w:tcPr>
            <w:tcW w:w="957" w:type="dxa"/>
            <w:noWrap w:val="0"/>
            <w:vAlign w:val="top"/>
          </w:tcPr>
          <w:p w14:paraId="22DDA67A">
            <w:pPr>
              <w:spacing w:line="360" w:lineRule="auto"/>
              <w:rPr>
                <w:rFonts w:hint="eastAsia" w:ascii="宋体" w:hAnsi="宋体" w:cs="宋体"/>
                <w:color w:val="auto"/>
                <w:highlight w:val="none"/>
              </w:rPr>
            </w:pPr>
          </w:p>
        </w:tc>
        <w:tc>
          <w:tcPr>
            <w:tcW w:w="1062" w:type="dxa"/>
            <w:noWrap w:val="0"/>
            <w:vAlign w:val="top"/>
          </w:tcPr>
          <w:p w14:paraId="05DBBC3E">
            <w:pPr>
              <w:spacing w:line="360" w:lineRule="auto"/>
              <w:rPr>
                <w:rFonts w:hint="eastAsia" w:ascii="宋体" w:hAnsi="宋体" w:cs="宋体"/>
                <w:color w:val="auto"/>
                <w:highlight w:val="none"/>
              </w:rPr>
            </w:pPr>
          </w:p>
        </w:tc>
        <w:tc>
          <w:tcPr>
            <w:tcW w:w="921" w:type="dxa"/>
            <w:noWrap w:val="0"/>
            <w:vAlign w:val="top"/>
          </w:tcPr>
          <w:p w14:paraId="11113520">
            <w:pPr>
              <w:spacing w:before="83" w:line="360" w:lineRule="auto"/>
              <w:ind w:firstLine="278"/>
              <w:rPr>
                <w:rFonts w:hint="eastAsia" w:ascii="宋体" w:hAnsi="宋体" w:cs="宋体"/>
                <w:color w:val="auto"/>
                <w:szCs w:val="21"/>
                <w:highlight w:val="none"/>
              </w:rPr>
            </w:pPr>
            <w:r>
              <w:rPr>
                <w:rFonts w:hint="eastAsia" w:ascii="宋体" w:hAnsi="宋体" w:cs="宋体"/>
                <w:color w:val="auto"/>
                <w:spacing w:val="-10"/>
                <w:szCs w:val="21"/>
                <w:highlight w:val="none"/>
              </w:rPr>
              <w:t>≥10</w:t>
            </w:r>
          </w:p>
        </w:tc>
        <w:tc>
          <w:tcPr>
            <w:tcW w:w="963" w:type="dxa"/>
            <w:noWrap w:val="0"/>
            <w:vAlign w:val="top"/>
          </w:tcPr>
          <w:p w14:paraId="36E93D35">
            <w:pPr>
              <w:spacing w:line="360" w:lineRule="auto"/>
              <w:rPr>
                <w:rFonts w:hint="eastAsia" w:ascii="宋体" w:hAnsi="宋体" w:cs="宋体"/>
                <w:color w:val="auto"/>
                <w:highlight w:val="none"/>
              </w:rPr>
            </w:pPr>
          </w:p>
        </w:tc>
        <w:tc>
          <w:tcPr>
            <w:tcW w:w="1062" w:type="dxa"/>
            <w:noWrap w:val="0"/>
            <w:vAlign w:val="top"/>
          </w:tcPr>
          <w:p w14:paraId="2BA51A9D">
            <w:pPr>
              <w:spacing w:line="360" w:lineRule="auto"/>
              <w:rPr>
                <w:rFonts w:hint="eastAsia" w:ascii="宋体" w:hAnsi="宋体" w:cs="宋体"/>
                <w:color w:val="auto"/>
                <w:highlight w:val="none"/>
              </w:rPr>
            </w:pPr>
          </w:p>
        </w:tc>
        <w:tc>
          <w:tcPr>
            <w:tcW w:w="846" w:type="dxa"/>
            <w:noWrap w:val="0"/>
            <w:vAlign w:val="top"/>
          </w:tcPr>
          <w:p w14:paraId="4B8F5E8E">
            <w:pPr>
              <w:spacing w:before="83" w:line="360" w:lineRule="auto"/>
              <w:ind w:firstLine="236"/>
              <w:rPr>
                <w:rFonts w:hint="eastAsia" w:ascii="宋体" w:hAnsi="宋体" w:cs="宋体"/>
                <w:color w:val="auto"/>
                <w:szCs w:val="21"/>
                <w:highlight w:val="none"/>
              </w:rPr>
            </w:pPr>
            <w:r>
              <w:rPr>
                <w:rFonts w:hint="eastAsia" w:ascii="宋体" w:hAnsi="宋体" w:cs="宋体"/>
                <w:color w:val="auto"/>
                <w:spacing w:val="-8"/>
                <w:szCs w:val="21"/>
                <w:highlight w:val="none"/>
              </w:rPr>
              <w:t>＜10</w:t>
            </w:r>
          </w:p>
        </w:tc>
        <w:tc>
          <w:tcPr>
            <w:tcW w:w="820" w:type="dxa"/>
            <w:noWrap w:val="0"/>
            <w:vAlign w:val="top"/>
          </w:tcPr>
          <w:p w14:paraId="1E2E96FA">
            <w:pPr>
              <w:spacing w:line="360" w:lineRule="auto"/>
              <w:rPr>
                <w:rFonts w:hint="eastAsia" w:ascii="宋体" w:hAnsi="宋体" w:cs="宋体"/>
                <w:color w:val="auto"/>
                <w:highlight w:val="none"/>
              </w:rPr>
            </w:pPr>
          </w:p>
        </w:tc>
      </w:tr>
    </w:tbl>
    <w:p w14:paraId="3B5CD6BB">
      <w:pPr>
        <w:pStyle w:val="42"/>
        <w:rPr>
          <w:rFonts w:hint="eastAsia" w:ascii="宋体" w:hAnsi="宋体" w:eastAsia="宋体" w:cs="宋体"/>
          <w:color w:val="auto"/>
          <w:highlight w:val="none"/>
        </w:rPr>
      </w:pPr>
    </w:p>
    <w:sectPr>
      <w:pgSz w:w="16838" w:h="11906" w:orient="landscape"/>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HelveticaNeueLT Std Lt Cn">
    <w:altName w:val="宋体"/>
    <w:panose1 w:val="00000000000000000000"/>
    <w:charset w:val="86"/>
    <w:family w:val="swiss"/>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5CAFF">
    <w:pPr>
      <w:pStyle w:val="16"/>
      <w:ind w:right="360"/>
      <w:jc w:val="both"/>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68E0D">
    <w:pPr>
      <w:pStyle w:val="16"/>
      <w:ind w:right="360"/>
      <w:jc w:val="both"/>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393489">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6393489">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76CA6">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F50D97">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AF50D97">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1E280">
    <w:pPr>
      <w:pStyle w:val="11"/>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DF0676">
                          <w:pPr>
                            <w:pStyle w:val="16"/>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CDF0676">
                    <w:pPr>
                      <w:pStyle w:val="16"/>
                    </w:pPr>
                    <w:r>
                      <w:fldChar w:fldCharType="begin"/>
                    </w:r>
                    <w:r>
                      <w:instrText xml:space="preserve"> PAGE  \* MERGEFORMAT </w:instrText>
                    </w:r>
                    <w:r>
                      <w:fldChar w:fldCharType="separate"/>
                    </w:r>
                    <w:r>
                      <w:t>67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B3D90">
    <w:pPr>
      <w:pStyle w:val="1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C21C7">
    <w:pP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DBC0E">
    <w:pP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AC0C756"/>
    <w:multiLevelType w:val="singleLevel"/>
    <w:tmpl w:val="2AC0C756"/>
    <w:lvl w:ilvl="0" w:tentative="0">
      <w:start w:val="5"/>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60"/>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Y1Y2MzZjRjM2U3MDZjYzg3ZDBlZWNmMmQ2YjYyZjkifQ=="/>
  </w:docVars>
  <w:rsids>
    <w:rsidRoot w:val="00172A27"/>
    <w:rsid w:val="00395B58"/>
    <w:rsid w:val="006D7C7A"/>
    <w:rsid w:val="00D81B6C"/>
    <w:rsid w:val="00DD3B71"/>
    <w:rsid w:val="00E83921"/>
    <w:rsid w:val="00EB1C84"/>
    <w:rsid w:val="00EC47B0"/>
    <w:rsid w:val="00F97C2F"/>
    <w:rsid w:val="00FC5547"/>
    <w:rsid w:val="010035A1"/>
    <w:rsid w:val="012A5D20"/>
    <w:rsid w:val="014A59BE"/>
    <w:rsid w:val="01742708"/>
    <w:rsid w:val="018A3284"/>
    <w:rsid w:val="01916C5A"/>
    <w:rsid w:val="01C9475E"/>
    <w:rsid w:val="01DC4A33"/>
    <w:rsid w:val="01F0269B"/>
    <w:rsid w:val="01F42148"/>
    <w:rsid w:val="01F42BFC"/>
    <w:rsid w:val="020350EF"/>
    <w:rsid w:val="02044C7F"/>
    <w:rsid w:val="020734F9"/>
    <w:rsid w:val="022475A8"/>
    <w:rsid w:val="022573A2"/>
    <w:rsid w:val="02393042"/>
    <w:rsid w:val="025F4662"/>
    <w:rsid w:val="025F77FD"/>
    <w:rsid w:val="02690772"/>
    <w:rsid w:val="02875423"/>
    <w:rsid w:val="028F052A"/>
    <w:rsid w:val="029D23D4"/>
    <w:rsid w:val="02A15803"/>
    <w:rsid w:val="02EA0AF7"/>
    <w:rsid w:val="02EF7295"/>
    <w:rsid w:val="02F55107"/>
    <w:rsid w:val="02FD6FF2"/>
    <w:rsid w:val="034C646D"/>
    <w:rsid w:val="035C715F"/>
    <w:rsid w:val="03747EDC"/>
    <w:rsid w:val="0390167B"/>
    <w:rsid w:val="03A95F4E"/>
    <w:rsid w:val="03C436E0"/>
    <w:rsid w:val="03F67248"/>
    <w:rsid w:val="04072D96"/>
    <w:rsid w:val="04461F17"/>
    <w:rsid w:val="044F55A5"/>
    <w:rsid w:val="04862ED2"/>
    <w:rsid w:val="04D07A99"/>
    <w:rsid w:val="04F14911"/>
    <w:rsid w:val="051A4B89"/>
    <w:rsid w:val="052D7D6B"/>
    <w:rsid w:val="052F6496"/>
    <w:rsid w:val="057F30A3"/>
    <w:rsid w:val="059E3A09"/>
    <w:rsid w:val="059F4E6E"/>
    <w:rsid w:val="05A22CCB"/>
    <w:rsid w:val="05A6764F"/>
    <w:rsid w:val="05B252A0"/>
    <w:rsid w:val="05EC7590"/>
    <w:rsid w:val="061E48F6"/>
    <w:rsid w:val="064B76E6"/>
    <w:rsid w:val="064E6EC7"/>
    <w:rsid w:val="066A2DA8"/>
    <w:rsid w:val="06A2692E"/>
    <w:rsid w:val="06A65148"/>
    <w:rsid w:val="06C673A5"/>
    <w:rsid w:val="06D06953"/>
    <w:rsid w:val="06DD2419"/>
    <w:rsid w:val="06DE1AC9"/>
    <w:rsid w:val="06E05BC6"/>
    <w:rsid w:val="06FB0DA0"/>
    <w:rsid w:val="07533CB0"/>
    <w:rsid w:val="07896E78"/>
    <w:rsid w:val="07DA6BA9"/>
    <w:rsid w:val="07DF3C7F"/>
    <w:rsid w:val="08026C2E"/>
    <w:rsid w:val="081B102B"/>
    <w:rsid w:val="081E7539"/>
    <w:rsid w:val="081F2D98"/>
    <w:rsid w:val="082A57A7"/>
    <w:rsid w:val="083F2C94"/>
    <w:rsid w:val="083F3BEC"/>
    <w:rsid w:val="086857D6"/>
    <w:rsid w:val="086F7397"/>
    <w:rsid w:val="08864C25"/>
    <w:rsid w:val="088C017B"/>
    <w:rsid w:val="089811AF"/>
    <w:rsid w:val="089A4974"/>
    <w:rsid w:val="08D459F0"/>
    <w:rsid w:val="08E531F4"/>
    <w:rsid w:val="08EC44FB"/>
    <w:rsid w:val="09117D6B"/>
    <w:rsid w:val="09304323"/>
    <w:rsid w:val="093700E7"/>
    <w:rsid w:val="093F4F85"/>
    <w:rsid w:val="09493CBD"/>
    <w:rsid w:val="096B494E"/>
    <w:rsid w:val="09A267F6"/>
    <w:rsid w:val="09B173FC"/>
    <w:rsid w:val="09BE4364"/>
    <w:rsid w:val="09F26260"/>
    <w:rsid w:val="09F6286C"/>
    <w:rsid w:val="0A0838DE"/>
    <w:rsid w:val="0A2515E6"/>
    <w:rsid w:val="0A2C6474"/>
    <w:rsid w:val="0A57138C"/>
    <w:rsid w:val="0A8B3D7B"/>
    <w:rsid w:val="0A8B76DE"/>
    <w:rsid w:val="0A9A0574"/>
    <w:rsid w:val="0AA23C86"/>
    <w:rsid w:val="0AB9026D"/>
    <w:rsid w:val="0AE80AC5"/>
    <w:rsid w:val="0AE84A44"/>
    <w:rsid w:val="0B070EC8"/>
    <w:rsid w:val="0B1067AD"/>
    <w:rsid w:val="0B11587B"/>
    <w:rsid w:val="0B1672F1"/>
    <w:rsid w:val="0B1D3918"/>
    <w:rsid w:val="0B4C0839"/>
    <w:rsid w:val="0B503A5B"/>
    <w:rsid w:val="0B8D6906"/>
    <w:rsid w:val="0B8E171D"/>
    <w:rsid w:val="0BD471A4"/>
    <w:rsid w:val="0BD52B1D"/>
    <w:rsid w:val="0BEA07FD"/>
    <w:rsid w:val="0BFC0893"/>
    <w:rsid w:val="0C012E0F"/>
    <w:rsid w:val="0C470A83"/>
    <w:rsid w:val="0C703387"/>
    <w:rsid w:val="0C863025"/>
    <w:rsid w:val="0CA31B45"/>
    <w:rsid w:val="0D006A41"/>
    <w:rsid w:val="0D550DDA"/>
    <w:rsid w:val="0D734853"/>
    <w:rsid w:val="0D7611DC"/>
    <w:rsid w:val="0D781EAC"/>
    <w:rsid w:val="0D8B17F4"/>
    <w:rsid w:val="0DA871EA"/>
    <w:rsid w:val="0DCF23FB"/>
    <w:rsid w:val="0DD47709"/>
    <w:rsid w:val="0DF265EC"/>
    <w:rsid w:val="0E212E81"/>
    <w:rsid w:val="0E3902EF"/>
    <w:rsid w:val="0E540CFC"/>
    <w:rsid w:val="0E851C91"/>
    <w:rsid w:val="0E874A3E"/>
    <w:rsid w:val="0E885D3D"/>
    <w:rsid w:val="0E955C7E"/>
    <w:rsid w:val="0EA97EFE"/>
    <w:rsid w:val="0EAB3E74"/>
    <w:rsid w:val="0EB275BE"/>
    <w:rsid w:val="0F0F5662"/>
    <w:rsid w:val="0F500AD8"/>
    <w:rsid w:val="0F6D38DD"/>
    <w:rsid w:val="0FAB1C03"/>
    <w:rsid w:val="0FCA203F"/>
    <w:rsid w:val="0FE17F26"/>
    <w:rsid w:val="1004433E"/>
    <w:rsid w:val="10181B0C"/>
    <w:rsid w:val="102A2EC9"/>
    <w:rsid w:val="10386635"/>
    <w:rsid w:val="10453650"/>
    <w:rsid w:val="1063075B"/>
    <w:rsid w:val="106B19F2"/>
    <w:rsid w:val="108252DB"/>
    <w:rsid w:val="108654B0"/>
    <w:rsid w:val="10A15C1D"/>
    <w:rsid w:val="10E329F6"/>
    <w:rsid w:val="11151A17"/>
    <w:rsid w:val="11221196"/>
    <w:rsid w:val="11251C17"/>
    <w:rsid w:val="114031A1"/>
    <w:rsid w:val="11451ACE"/>
    <w:rsid w:val="11757A4A"/>
    <w:rsid w:val="11786EBD"/>
    <w:rsid w:val="11A13E11"/>
    <w:rsid w:val="11C25338"/>
    <w:rsid w:val="11EA2FBC"/>
    <w:rsid w:val="11ED4340"/>
    <w:rsid w:val="11EF5A27"/>
    <w:rsid w:val="12367C1B"/>
    <w:rsid w:val="12645DB1"/>
    <w:rsid w:val="12651008"/>
    <w:rsid w:val="126F0D08"/>
    <w:rsid w:val="127103B9"/>
    <w:rsid w:val="12722BAA"/>
    <w:rsid w:val="12A01A84"/>
    <w:rsid w:val="12BC0EF8"/>
    <w:rsid w:val="12DA335B"/>
    <w:rsid w:val="12FB779B"/>
    <w:rsid w:val="130144EC"/>
    <w:rsid w:val="130A6074"/>
    <w:rsid w:val="13275AA1"/>
    <w:rsid w:val="134428A7"/>
    <w:rsid w:val="13655850"/>
    <w:rsid w:val="13867CAA"/>
    <w:rsid w:val="138C54D3"/>
    <w:rsid w:val="139F0C78"/>
    <w:rsid w:val="13B3664F"/>
    <w:rsid w:val="13D206E6"/>
    <w:rsid w:val="140137CB"/>
    <w:rsid w:val="14072F84"/>
    <w:rsid w:val="14196B13"/>
    <w:rsid w:val="14273644"/>
    <w:rsid w:val="14522BCA"/>
    <w:rsid w:val="145E4782"/>
    <w:rsid w:val="14A00569"/>
    <w:rsid w:val="14A561B7"/>
    <w:rsid w:val="14B44CE1"/>
    <w:rsid w:val="14B46A8F"/>
    <w:rsid w:val="14CF29F4"/>
    <w:rsid w:val="14F95F79"/>
    <w:rsid w:val="15127A27"/>
    <w:rsid w:val="15211C4B"/>
    <w:rsid w:val="1535483C"/>
    <w:rsid w:val="153A2726"/>
    <w:rsid w:val="156F0F1F"/>
    <w:rsid w:val="157E6F22"/>
    <w:rsid w:val="15945E76"/>
    <w:rsid w:val="15A60755"/>
    <w:rsid w:val="15AA656E"/>
    <w:rsid w:val="15D33839"/>
    <w:rsid w:val="15F227C3"/>
    <w:rsid w:val="15FF68A6"/>
    <w:rsid w:val="16154ABF"/>
    <w:rsid w:val="16165263"/>
    <w:rsid w:val="1617126C"/>
    <w:rsid w:val="163D12AD"/>
    <w:rsid w:val="16875174"/>
    <w:rsid w:val="168A0709"/>
    <w:rsid w:val="169D32AE"/>
    <w:rsid w:val="16A707AD"/>
    <w:rsid w:val="16BC5E4C"/>
    <w:rsid w:val="16EE67EE"/>
    <w:rsid w:val="17081314"/>
    <w:rsid w:val="17385EAE"/>
    <w:rsid w:val="173C4945"/>
    <w:rsid w:val="17412D5A"/>
    <w:rsid w:val="175C184B"/>
    <w:rsid w:val="17A10B0C"/>
    <w:rsid w:val="17C43F85"/>
    <w:rsid w:val="17CB1B67"/>
    <w:rsid w:val="17E5658D"/>
    <w:rsid w:val="17F97E8C"/>
    <w:rsid w:val="17FC5DC1"/>
    <w:rsid w:val="1834569B"/>
    <w:rsid w:val="184536BA"/>
    <w:rsid w:val="18481E9F"/>
    <w:rsid w:val="1858031E"/>
    <w:rsid w:val="185D22CE"/>
    <w:rsid w:val="18620079"/>
    <w:rsid w:val="1871499D"/>
    <w:rsid w:val="18842D36"/>
    <w:rsid w:val="189A41EE"/>
    <w:rsid w:val="18A5483E"/>
    <w:rsid w:val="18F61CFA"/>
    <w:rsid w:val="1914521E"/>
    <w:rsid w:val="192B668C"/>
    <w:rsid w:val="19552CD2"/>
    <w:rsid w:val="195F248B"/>
    <w:rsid w:val="198D0107"/>
    <w:rsid w:val="19C22325"/>
    <w:rsid w:val="19CD04FD"/>
    <w:rsid w:val="1A5634EF"/>
    <w:rsid w:val="1A9B0B23"/>
    <w:rsid w:val="1A9C170C"/>
    <w:rsid w:val="1AA22E1F"/>
    <w:rsid w:val="1AB43318"/>
    <w:rsid w:val="1AB63DC9"/>
    <w:rsid w:val="1AE62ABB"/>
    <w:rsid w:val="1B2C7CBD"/>
    <w:rsid w:val="1B3432A1"/>
    <w:rsid w:val="1B364F75"/>
    <w:rsid w:val="1B366A39"/>
    <w:rsid w:val="1B4E4DAB"/>
    <w:rsid w:val="1B5241D2"/>
    <w:rsid w:val="1B60686C"/>
    <w:rsid w:val="1B760DB7"/>
    <w:rsid w:val="1B7E245F"/>
    <w:rsid w:val="1B9E5610"/>
    <w:rsid w:val="1BA222ED"/>
    <w:rsid w:val="1BAF319C"/>
    <w:rsid w:val="1BAF68F2"/>
    <w:rsid w:val="1BB67FEC"/>
    <w:rsid w:val="1BB77E36"/>
    <w:rsid w:val="1BBC1B6E"/>
    <w:rsid w:val="1BDE4373"/>
    <w:rsid w:val="1BE175E3"/>
    <w:rsid w:val="1BF211B4"/>
    <w:rsid w:val="1C0C5403"/>
    <w:rsid w:val="1C2A13ED"/>
    <w:rsid w:val="1C500D77"/>
    <w:rsid w:val="1C5E1AA1"/>
    <w:rsid w:val="1C9C777B"/>
    <w:rsid w:val="1CA2245A"/>
    <w:rsid w:val="1CA47475"/>
    <w:rsid w:val="1CAF043F"/>
    <w:rsid w:val="1CB32466"/>
    <w:rsid w:val="1CB36B84"/>
    <w:rsid w:val="1CBA77F5"/>
    <w:rsid w:val="1CFE69C3"/>
    <w:rsid w:val="1D0C7170"/>
    <w:rsid w:val="1D171A07"/>
    <w:rsid w:val="1D33787D"/>
    <w:rsid w:val="1D392A66"/>
    <w:rsid w:val="1D3B4320"/>
    <w:rsid w:val="1D4604A0"/>
    <w:rsid w:val="1D496450"/>
    <w:rsid w:val="1D7D31BA"/>
    <w:rsid w:val="1D8B7418"/>
    <w:rsid w:val="1E133295"/>
    <w:rsid w:val="1E140646"/>
    <w:rsid w:val="1E1A02B2"/>
    <w:rsid w:val="1E370AA5"/>
    <w:rsid w:val="1E5858D1"/>
    <w:rsid w:val="1E725431"/>
    <w:rsid w:val="1E89515C"/>
    <w:rsid w:val="1EAB0F03"/>
    <w:rsid w:val="1EB03C19"/>
    <w:rsid w:val="1EE862BF"/>
    <w:rsid w:val="1EF42956"/>
    <w:rsid w:val="1EFA3E00"/>
    <w:rsid w:val="1F0D66C1"/>
    <w:rsid w:val="1F122A17"/>
    <w:rsid w:val="1F126D8C"/>
    <w:rsid w:val="1F3B03AF"/>
    <w:rsid w:val="1FBE4C66"/>
    <w:rsid w:val="1FC34CD5"/>
    <w:rsid w:val="1FE31339"/>
    <w:rsid w:val="201820AF"/>
    <w:rsid w:val="20513FEE"/>
    <w:rsid w:val="206156D7"/>
    <w:rsid w:val="207159F7"/>
    <w:rsid w:val="207408D4"/>
    <w:rsid w:val="20887F85"/>
    <w:rsid w:val="209E49A9"/>
    <w:rsid w:val="20BC73F6"/>
    <w:rsid w:val="20BD6CCC"/>
    <w:rsid w:val="20C54185"/>
    <w:rsid w:val="20DB35F6"/>
    <w:rsid w:val="20E20AB0"/>
    <w:rsid w:val="20EB5FEB"/>
    <w:rsid w:val="20EE1865"/>
    <w:rsid w:val="210822A7"/>
    <w:rsid w:val="21087693"/>
    <w:rsid w:val="212A6406"/>
    <w:rsid w:val="21603C14"/>
    <w:rsid w:val="21835E96"/>
    <w:rsid w:val="21D81DB2"/>
    <w:rsid w:val="22001566"/>
    <w:rsid w:val="220B11B4"/>
    <w:rsid w:val="2211568A"/>
    <w:rsid w:val="22321F41"/>
    <w:rsid w:val="2237112D"/>
    <w:rsid w:val="223F0DAE"/>
    <w:rsid w:val="224D187D"/>
    <w:rsid w:val="22534A89"/>
    <w:rsid w:val="22F230EA"/>
    <w:rsid w:val="22F95FB5"/>
    <w:rsid w:val="2302081B"/>
    <w:rsid w:val="23333575"/>
    <w:rsid w:val="23342A6A"/>
    <w:rsid w:val="2383091E"/>
    <w:rsid w:val="23863DFB"/>
    <w:rsid w:val="23964DE2"/>
    <w:rsid w:val="23AE1C91"/>
    <w:rsid w:val="23BE3486"/>
    <w:rsid w:val="23BF1144"/>
    <w:rsid w:val="23C32986"/>
    <w:rsid w:val="23E505A2"/>
    <w:rsid w:val="23F45E95"/>
    <w:rsid w:val="23F65690"/>
    <w:rsid w:val="23F8612F"/>
    <w:rsid w:val="24394B9D"/>
    <w:rsid w:val="24A91390"/>
    <w:rsid w:val="24AA264F"/>
    <w:rsid w:val="24C95072"/>
    <w:rsid w:val="24D4643D"/>
    <w:rsid w:val="24D87EB8"/>
    <w:rsid w:val="24FA263C"/>
    <w:rsid w:val="25225191"/>
    <w:rsid w:val="252B4B4C"/>
    <w:rsid w:val="254054E9"/>
    <w:rsid w:val="25AE1D42"/>
    <w:rsid w:val="25C7615D"/>
    <w:rsid w:val="25D03AAA"/>
    <w:rsid w:val="260D60B2"/>
    <w:rsid w:val="262E2F26"/>
    <w:rsid w:val="2651120D"/>
    <w:rsid w:val="26581C46"/>
    <w:rsid w:val="2666119D"/>
    <w:rsid w:val="266677F1"/>
    <w:rsid w:val="266D2F42"/>
    <w:rsid w:val="26926505"/>
    <w:rsid w:val="26A526DC"/>
    <w:rsid w:val="26B15CA8"/>
    <w:rsid w:val="26BC3C8E"/>
    <w:rsid w:val="26C1041E"/>
    <w:rsid w:val="26C54635"/>
    <w:rsid w:val="270B2B20"/>
    <w:rsid w:val="270E035A"/>
    <w:rsid w:val="271D6716"/>
    <w:rsid w:val="27243FAE"/>
    <w:rsid w:val="27261217"/>
    <w:rsid w:val="2728195E"/>
    <w:rsid w:val="27382EDD"/>
    <w:rsid w:val="27473793"/>
    <w:rsid w:val="277B343D"/>
    <w:rsid w:val="278F0C96"/>
    <w:rsid w:val="279F4A40"/>
    <w:rsid w:val="27A304B9"/>
    <w:rsid w:val="27A77AAD"/>
    <w:rsid w:val="280573D3"/>
    <w:rsid w:val="281E79D4"/>
    <w:rsid w:val="2859668E"/>
    <w:rsid w:val="286D7229"/>
    <w:rsid w:val="288A7DDB"/>
    <w:rsid w:val="288E128F"/>
    <w:rsid w:val="289B4722"/>
    <w:rsid w:val="28A101CD"/>
    <w:rsid w:val="28D0114A"/>
    <w:rsid w:val="28E4376F"/>
    <w:rsid w:val="28FE2B76"/>
    <w:rsid w:val="290651DC"/>
    <w:rsid w:val="2908618E"/>
    <w:rsid w:val="29160C34"/>
    <w:rsid w:val="29192172"/>
    <w:rsid w:val="29376BC8"/>
    <w:rsid w:val="29591FEF"/>
    <w:rsid w:val="295965F6"/>
    <w:rsid w:val="29B449E4"/>
    <w:rsid w:val="29B463BA"/>
    <w:rsid w:val="29B879D4"/>
    <w:rsid w:val="29DF6672"/>
    <w:rsid w:val="29F8767A"/>
    <w:rsid w:val="2A0718D0"/>
    <w:rsid w:val="2A0B5713"/>
    <w:rsid w:val="2A0C3B81"/>
    <w:rsid w:val="2A323AFB"/>
    <w:rsid w:val="2A486221"/>
    <w:rsid w:val="2AA85397"/>
    <w:rsid w:val="2AA947AB"/>
    <w:rsid w:val="2ABB3F65"/>
    <w:rsid w:val="2AE2201F"/>
    <w:rsid w:val="2AE30886"/>
    <w:rsid w:val="2AF90E15"/>
    <w:rsid w:val="2B02012F"/>
    <w:rsid w:val="2B4029D3"/>
    <w:rsid w:val="2B7A2E53"/>
    <w:rsid w:val="2BA315DB"/>
    <w:rsid w:val="2BF912D2"/>
    <w:rsid w:val="2C2C57A6"/>
    <w:rsid w:val="2C372033"/>
    <w:rsid w:val="2C505BF9"/>
    <w:rsid w:val="2C67362B"/>
    <w:rsid w:val="2C7E684A"/>
    <w:rsid w:val="2C923519"/>
    <w:rsid w:val="2CC679D3"/>
    <w:rsid w:val="2CCA591B"/>
    <w:rsid w:val="2CCF2901"/>
    <w:rsid w:val="2CDD6F7D"/>
    <w:rsid w:val="2CE21303"/>
    <w:rsid w:val="2D085F4B"/>
    <w:rsid w:val="2D121C43"/>
    <w:rsid w:val="2D4358F8"/>
    <w:rsid w:val="2D49177E"/>
    <w:rsid w:val="2D933BBB"/>
    <w:rsid w:val="2D987086"/>
    <w:rsid w:val="2D996EDA"/>
    <w:rsid w:val="2DBE4F31"/>
    <w:rsid w:val="2DDE4301"/>
    <w:rsid w:val="2E0E27F9"/>
    <w:rsid w:val="2E762E50"/>
    <w:rsid w:val="2E882B17"/>
    <w:rsid w:val="2ECE62A1"/>
    <w:rsid w:val="2EDB48DD"/>
    <w:rsid w:val="2EE3546C"/>
    <w:rsid w:val="2EED2804"/>
    <w:rsid w:val="2EF91817"/>
    <w:rsid w:val="2F020C7A"/>
    <w:rsid w:val="2F0D23F0"/>
    <w:rsid w:val="2F1553C8"/>
    <w:rsid w:val="2F5E55DF"/>
    <w:rsid w:val="2F6D1098"/>
    <w:rsid w:val="2FA6092B"/>
    <w:rsid w:val="2FC92972"/>
    <w:rsid w:val="2FCA68E6"/>
    <w:rsid w:val="2FD76C30"/>
    <w:rsid w:val="2FF03DBF"/>
    <w:rsid w:val="2FF516B4"/>
    <w:rsid w:val="301E2235"/>
    <w:rsid w:val="304271ED"/>
    <w:rsid w:val="30604C50"/>
    <w:rsid w:val="308D0D35"/>
    <w:rsid w:val="309D133A"/>
    <w:rsid w:val="30B575D1"/>
    <w:rsid w:val="30C85734"/>
    <w:rsid w:val="31045E10"/>
    <w:rsid w:val="31196220"/>
    <w:rsid w:val="318647B8"/>
    <w:rsid w:val="31945511"/>
    <w:rsid w:val="31A2725B"/>
    <w:rsid w:val="31BD0A75"/>
    <w:rsid w:val="31D9142E"/>
    <w:rsid w:val="31F35878"/>
    <w:rsid w:val="32023E0A"/>
    <w:rsid w:val="321B34FE"/>
    <w:rsid w:val="32235CEA"/>
    <w:rsid w:val="3238406C"/>
    <w:rsid w:val="325E222F"/>
    <w:rsid w:val="32D0500A"/>
    <w:rsid w:val="32FA30D2"/>
    <w:rsid w:val="331F55C4"/>
    <w:rsid w:val="3358706C"/>
    <w:rsid w:val="337E0A1E"/>
    <w:rsid w:val="338D0199"/>
    <w:rsid w:val="33A46D62"/>
    <w:rsid w:val="33E66022"/>
    <w:rsid w:val="340563F8"/>
    <w:rsid w:val="34160775"/>
    <w:rsid w:val="34180735"/>
    <w:rsid w:val="34372892"/>
    <w:rsid w:val="344633A1"/>
    <w:rsid w:val="345670CD"/>
    <w:rsid w:val="346A231A"/>
    <w:rsid w:val="347311D6"/>
    <w:rsid w:val="34E66AA0"/>
    <w:rsid w:val="35105238"/>
    <w:rsid w:val="35210518"/>
    <w:rsid w:val="35503048"/>
    <w:rsid w:val="35C93368"/>
    <w:rsid w:val="35D35240"/>
    <w:rsid w:val="35D65CB4"/>
    <w:rsid w:val="361A55C6"/>
    <w:rsid w:val="362D7D2D"/>
    <w:rsid w:val="362F5B1E"/>
    <w:rsid w:val="36490F24"/>
    <w:rsid w:val="36546EC1"/>
    <w:rsid w:val="365C5A21"/>
    <w:rsid w:val="36734407"/>
    <w:rsid w:val="36821CB0"/>
    <w:rsid w:val="369A318E"/>
    <w:rsid w:val="36AC3B15"/>
    <w:rsid w:val="36C11399"/>
    <w:rsid w:val="36CE2325"/>
    <w:rsid w:val="36CE7C56"/>
    <w:rsid w:val="36D405A3"/>
    <w:rsid w:val="36DC0386"/>
    <w:rsid w:val="36F44ACE"/>
    <w:rsid w:val="370D6A0A"/>
    <w:rsid w:val="373A5EAF"/>
    <w:rsid w:val="378C4001"/>
    <w:rsid w:val="37B13A18"/>
    <w:rsid w:val="37B37B17"/>
    <w:rsid w:val="37BF3C99"/>
    <w:rsid w:val="37C863CA"/>
    <w:rsid w:val="37CA0F32"/>
    <w:rsid w:val="37D55A90"/>
    <w:rsid w:val="37DE4095"/>
    <w:rsid w:val="37E62B54"/>
    <w:rsid w:val="37F22186"/>
    <w:rsid w:val="382A7D7A"/>
    <w:rsid w:val="38316036"/>
    <w:rsid w:val="38342FBF"/>
    <w:rsid w:val="38664899"/>
    <w:rsid w:val="388116E1"/>
    <w:rsid w:val="38821630"/>
    <w:rsid w:val="38866568"/>
    <w:rsid w:val="38934E7C"/>
    <w:rsid w:val="389925DE"/>
    <w:rsid w:val="38B46952"/>
    <w:rsid w:val="38DB3887"/>
    <w:rsid w:val="38DE1772"/>
    <w:rsid w:val="38F8436B"/>
    <w:rsid w:val="38FC2956"/>
    <w:rsid w:val="39171FBA"/>
    <w:rsid w:val="393157D1"/>
    <w:rsid w:val="393424EE"/>
    <w:rsid w:val="39476C76"/>
    <w:rsid w:val="39611066"/>
    <w:rsid w:val="396B5C99"/>
    <w:rsid w:val="396C0E28"/>
    <w:rsid w:val="397017EF"/>
    <w:rsid w:val="397A398F"/>
    <w:rsid w:val="39801D47"/>
    <w:rsid w:val="398E0A89"/>
    <w:rsid w:val="399B1E8F"/>
    <w:rsid w:val="39AF008B"/>
    <w:rsid w:val="39B959A2"/>
    <w:rsid w:val="3A0F71A0"/>
    <w:rsid w:val="3A4E4DC1"/>
    <w:rsid w:val="3A571AE7"/>
    <w:rsid w:val="3A652DFC"/>
    <w:rsid w:val="3A8B4A80"/>
    <w:rsid w:val="3AAD2709"/>
    <w:rsid w:val="3AB900AC"/>
    <w:rsid w:val="3AC04300"/>
    <w:rsid w:val="3AC340D5"/>
    <w:rsid w:val="3AD5036A"/>
    <w:rsid w:val="3B0F3632"/>
    <w:rsid w:val="3B182A82"/>
    <w:rsid w:val="3B245F49"/>
    <w:rsid w:val="3B2742FF"/>
    <w:rsid w:val="3B4F56DF"/>
    <w:rsid w:val="3B80043C"/>
    <w:rsid w:val="3B89333F"/>
    <w:rsid w:val="3BA754B1"/>
    <w:rsid w:val="3BC66AA5"/>
    <w:rsid w:val="3BC75DD9"/>
    <w:rsid w:val="3C084A52"/>
    <w:rsid w:val="3C3C2611"/>
    <w:rsid w:val="3C4F447F"/>
    <w:rsid w:val="3C5C16A6"/>
    <w:rsid w:val="3C784F78"/>
    <w:rsid w:val="3C896CAE"/>
    <w:rsid w:val="3C8C6288"/>
    <w:rsid w:val="3C8F32A2"/>
    <w:rsid w:val="3C9524C7"/>
    <w:rsid w:val="3CAD7EB2"/>
    <w:rsid w:val="3CBE1745"/>
    <w:rsid w:val="3CC56D98"/>
    <w:rsid w:val="3CC659DD"/>
    <w:rsid w:val="3CC9424D"/>
    <w:rsid w:val="3CEB236D"/>
    <w:rsid w:val="3D462262"/>
    <w:rsid w:val="3D856EE9"/>
    <w:rsid w:val="3DC05588"/>
    <w:rsid w:val="3DC456E6"/>
    <w:rsid w:val="3DDF52B7"/>
    <w:rsid w:val="3DE432E5"/>
    <w:rsid w:val="3E08054B"/>
    <w:rsid w:val="3E2B12C1"/>
    <w:rsid w:val="3EE56777"/>
    <w:rsid w:val="3EEA143A"/>
    <w:rsid w:val="3EEE4839"/>
    <w:rsid w:val="3EF55F3D"/>
    <w:rsid w:val="3F5D0D52"/>
    <w:rsid w:val="3F60728F"/>
    <w:rsid w:val="3F6B2967"/>
    <w:rsid w:val="3FDB1DC5"/>
    <w:rsid w:val="3FE61C9B"/>
    <w:rsid w:val="3FEF530B"/>
    <w:rsid w:val="40175DF6"/>
    <w:rsid w:val="403B1563"/>
    <w:rsid w:val="40545931"/>
    <w:rsid w:val="40852EA8"/>
    <w:rsid w:val="40872753"/>
    <w:rsid w:val="40883AB4"/>
    <w:rsid w:val="40B057B7"/>
    <w:rsid w:val="40D82A90"/>
    <w:rsid w:val="40EA5463"/>
    <w:rsid w:val="4116587D"/>
    <w:rsid w:val="412A0206"/>
    <w:rsid w:val="412E2AAC"/>
    <w:rsid w:val="41377A7F"/>
    <w:rsid w:val="413D1F41"/>
    <w:rsid w:val="413F59B5"/>
    <w:rsid w:val="415E01D2"/>
    <w:rsid w:val="415E6718"/>
    <w:rsid w:val="416A0945"/>
    <w:rsid w:val="41845E3E"/>
    <w:rsid w:val="41AA0F7B"/>
    <w:rsid w:val="41D93893"/>
    <w:rsid w:val="41DB0635"/>
    <w:rsid w:val="41F15F2C"/>
    <w:rsid w:val="41F543BB"/>
    <w:rsid w:val="41FD518C"/>
    <w:rsid w:val="42172D5F"/>
    <w:rsid w:val="421B6F49"/>
    <w:rsid w:val="421D3616"/>
    <w:rsid w:val="42236939"/>
    <w:rsid w:val="42383125"/>
    <w:rsid w:val="42D23F16"/>
    <w:rsid w:val="42FE38EE"/>
    <w:rsid w:val="431E31A2"/>
    <w:rsid w:val="432F5491"/>
    <w:rsid w:val="433A2FD8"/>
    <w:rsid w:val="434E49CF"/>
    <w:rsid w:val="435F733A"/>
    <w:rsid w:val="43634B06"/>
    <w:rsid w:val="436808C1"/>
    <w:rsid w:val="438549CD"/>
    <w:rsid w:val="438F22F2"/>
    <w:rsid w:val="438F42E8"/>
    <w:rsid w:val="43B2251C"/>
    <w:rsid w:val="43C55D14"/>
    <w:rsid w:val="43F401D0"/>
    <w:rsid w:val="43FA3C0F"/>
    <w:rsid w:val="43FF78B6"/>
    <w:rsid w:val="44242D25"/>
    <w:rsid w:val="442F692A"/>
    <w:rsid w:val="443F7874"/>
    <w:rsid w:val="44761E67"/>
    <w:rsid w:val="44BE0D1E"/>
    <w:rsid w:val="44D951DA"/>
    <w:rsid w:val="44E534DD"/>
    <w:rsid w:val="44E75E7A"/>
    <w:rsid w:val="450A2CF8"/>
    <w:rsid w:val="451B3EB1"/>
    <w:rsid w:val="45255743"/>
    <w:rsid w:val="45285F65"/>
    <w:rsid w:val="45323CD8"/>
    <w:rsid w:val="453412AC"/>
    <w:rsid w:val="45A72F21"/>
    <w:rsid w:val="45AC5CBD"/>
    <w:rsid w:val="45DE6E20"/>
    <w:rsid w:val="45F3209F"/>
    <w:rsid w:val="45FE0DF0"/>
    <w:rsid w:val="46251DE0"/>
    <w:rsid w:val="462F61DD"/>
    <w:rsid w:val="463E4A03"/>
    <w:rsid w:val="465E5706"/>
    <w:rsid w:val="46834233"/>
    <w:rsid w:val="46873754"/>
    <w:rsid w:val="46AF13FF"/>
    <w:rsid w:val="46DE4D6B"/>
    <w:rsid w:val="47027509"/>
    <w:rsid w:val="47254704"/>
    <w:rsid w:val="47296334"/>
    <w:rsid w:val="474651F6"/>
    <w:rsid w:val="47830878"/>
    <w:rsid w:val="479F3C98"/>
    <w:rsid w:val="47BA0074"/>
    <w:rsid w:val="47BA48C9"/>
    <w:rsid w:val="47C75C6A"/>
    <w:rsid w:val="481A25A4"/>
    <w:rsid w:val="483C3D23"/>
    <w:rsid w:val="48640CAA"/>
    <w:rsid w:val="486539C9"/>
    <w:rsid w:val="48842608"/>
    <w:rsid w:val="488F3392"/>
    <w:rsid w:val="489A151D"/>
    <w:rsid w:val="48A04BD6"/>
    <w:rsid w:val="48C20455"/>
    <w:rsid w:val="48C80FB1"/>
    <w:rsid w:val="48E348B9"/>
    <w:rsid w:val="48FA4CB3"/>
    <w:rsid w:val="48FB4E7E"/>
    <w:rsid w:val="490F0EA3"/>
    <w:rsid w:val="4928015B"/>
    <w:rsid w:val="492E2242"/>
    <w:rsid w:val="494469E0"/>
    <w:rsid w:val="49546E5A"/>
    <w:rsid w:val="495D7410"/>
    <w:rsid w:val="49CE74F0"/>
    <w:rsid w:val="49D04944"/>
    <w:rsid w:val="4A1D5B8D"/>
    <w:rsid w:val="4A355C53"/>
    <w:rsid w:val="4A373620"/>
    <w:rsid w:val="4A3C47C9"/>
    <w:rsid w:val="4A544985"/>
    <w:rsid w:val="4A6C5705"/>
    <w:rsid w:val="4A6E170C"/>
    <w:rsid w:val="4A800876"/>
    <w:rsid w:val="4A814BE1"/>
    <w:rsid w:val="4ABB2DCE"/>
    <w:rsid w:val="4AC3192A"/>
    <w:rsid w:val="4ACE02BF"/>
    <w:rsid w:val="4AD20CF4"/>
    <w:rsid w:val="4AF04A59"/>
    <w:rsid w:val="4B1056B8"/>
    <w:rsid w:val="4B1E7AFA"/>
    <w:rsid w:val="4B636C76"/>
    <w:rsid w:val="4B9C3D69"/>
    <w:rsid w:val="4BCC42C1"/>
    <w:rsid w:val="4BF13566"/>
    <w:rsid w:val="4BF22C33"/>
    <w:rsid w:val="4BFB49C8"/>
    <w:rsid w:val="4C2E2A8A"/>
    <w:rsid w:val="4C337134"/>
    <w:rsid w:val="4C733FA7"/>
    <w:rsid w:val="4C887540"/>
    <w:rsid w:val="4C8C1DB5"/>
    <w:rsid w:val="4CCC3053"/>
    <w:rsid w:val="4CD615D7"/>
    <w:rsid w:val="4CE25166"/>
    <w:rsid w:val="4CF62452"/>
    <w:rsid w:val="4D324917"/>
    <w:rsid w:val="4DA56B30"/>
    <w:rsid w:val="4E2811D1"/>
    <w:rsid w:val="4E4E290C"/>
    <w:rsid w:val="4E52092E"/>
    <w:rsid w:val="4E7C5765"/>
    <w:rsid w:val="4E915497"/>
    <w:rsid w:val="4E9C63DE"/>
    <w:rsid w:val="4F005FFC"/>
    <w:rsid w:val="4F037FE2"/>
    <w:rsid w:val="4F064D66"/>
    <w:rsid w:val="4F3119F3"/>
    <w:rsid w:val="4F4137F2"/>
    <w:rsid w:val="4F464A06"/>
    <w:rsid w:val="4F5006D0"/>
    <w:rsid w:val="4F6076E3"/>
    <w:rsid w:val="4F693BDE"/>
    <w:rsid w:val="4F887E26"/>
    <w:rsid w:val="4F8F019C"/>
    <w:rsid w:val="4F9449AD"/>
    <w:rsid w:val="50087F9A"/>
    <w:rsid w:val="50262A74"/>
    <w:rsid w:val="502C45F4"/>
    <w:rsid w:val="50453E87"/>
    <w:rsid w:val="50543E35"/>
    <w:rsid w:val="50984179"/>
    <w:rsid w:val="50E52CB1"/>
    <w:rsid w:val="50EA6A25"/>
    <w:rsid w:val="510460CD"/>
    <w:rsid w:val="510E6264"/>
    <w:rsid w:val="51110D87"/>
    <w:rsid w:val="51125F8B"/>
    <w:rsid w:val="51263CFD"/>
    <w:rsid w:val="513D73A2"/>
    <w:rsid w:val="514209A3"/>
    <w:rsid w:val="514526E1"/>
    <w:rsid w:val="51596C16"/>
    <w:rsid w:val="517770D7"/>
    <w:rsid w:val="519571F7"/>
    <w:rsid w:val="51993882"/>
    <w:rsid w:val="51A217D6"/>
    <w:rsid w:val="51AA0B29"/>
    <w:rsid w:val="51B40698"/>
    <w:rsid w:val="520F032D"/>
    <w:rsid w:val="52143C31"/>
    <w:rsid w:val="52146DE8"/>
    <w:rsid w:val="525D167B"/>
    <w:rsid w:val="527213AF"/>
    <w:rsid w:val="52725D43"/>
    <w:rsid w:val="52796647"/>
    <w:rsid w:val="52796A3F"/>
    <w:rsid w:val="52B61649"/>
    <w:rsid w:val="52CE708B"/>
    <w:rsid w:val="52F8157B"/>
    <w:rsid w:val="532862DE"/>
    <w:rsid w:val="535D333D"/>
    <w:rsid w:val="536224F1"/>
    <w:rsid w:val="538D587F"/>
    <w:rsid w:val="53B02B97"/>
    <w:rsid w:val="53BA131B"/>
    <w:rsid w:val="54160854"/>
    <w:rsid w:val="54170CD6"/>
    <w:rsid w:val="542B43C7"/>
    <w:rsid w:val="54417ADE"/>
    <w:rsid w:val="546222EE"/>
    <w:rsid w:val="54D96A96"/>
    <w:rsid w:val="54E51A3C"/>
    <w:rsid w:val="5509194F"/>
    <w:rsid w:val="551519F6"/>
    <w:rsid w:val="554E0F89"/>
    <w:rsid w:val="555F6B30"/>
    <w:rsid w:val="559E151D"/>
    <w:rsid w:val="55C91DC1"/>
    <w:rsid w:val="560921BB"/>
    <w:rsid w:val="5633235B"/>
    <w:rsid w:val="56607BC9"/>
    <w:rsid w:val="567B3B76"/>
    <w:rsid w:val="567C2335"/>
    <w:rsid w:val="568C7AEB"/>
    <w:rsid w:val="569B54F7"/>
    <w:rsid w:val="56B852AD"/>
    <w:rsid w:val="56C34D75"/>
    <w:rsid w:val="56E1704D"/>
    <w:rsid w:val="57052631"/>
    <w:rsid w:val="570F34A5"/>
    <w:rsid w:val="571E6A70"/>
    <w:rsid w:val="57982E98"/>
    <w:rsid w:val="57990444"/>
    <w:rsid w:val="579D4B86"/>
    <w:rsid w:val="57E767DB"/>
    <w:rsid w:val="58E978B0"/>
    <w:rsid w:val="58F56F8E"/>
    <w:rsid w:val="59220D1D"/>
    <w:rsid w:val="59243BD5"/>
    <w:rsid w:val="595314F1"/>
    <w:rsid w:val="59567DC7"/>
    <w:rsid w:val="599C071E"/>
    <w:rsid w:val="59B105E4"/>
    <w:rsid w:val="59B47F65"/>
    <w:rsid w:val="59BB183D"/>
    <w:rsid w:val="59CB4CED"/>
    <w:rsid w:val="59D92F40"/>
    <w:rsid w:val="59E9140D"/>
    <w:rsid w:val="59EE16C8"/>
    <w:rsid w:val="5A1E22D3"/>
    <w:rsid w:val="5A2F52C7"/>
    <w:rsid w:val="5A307F33"/>
    <w:rsid w:val="5A5172EE"/>
    <w:rsid w:val="5A625C12"/>
    <w:rsid w:val="5A767F63"/>
    <w:rsid w:val="5AB9795B"/>
    <w:rsid w:val="5AC8673A"/>
    <w:rsid w:val="5AD36106"/>
    <w:rsid w:val="5AE91A9D"/>
    <w:rsid w:val="5AEA1E3F"/>
    <w:rsid w:val="5B1856F4"/>
    <w:rsid w:val="5B2902CB"/>
    <w:rsid w:val="5B3C51ED"/>
    <w:rsid w:val="5B4841F9"/>
    <w:rsid w:val="5B5B5E65"/>
    <w:rsid w:val="5B78675B"/>
    <w:rsid w:val="5B786F07"/>
    <w:rsid w:val="5B7D2AB2"/>
    <w:rsid w:val="5B941CAD"/>
    <w:rsid w:val="5B9A7BBF"/>
    <w:rsid w:val="5BCE6C66"/>
    <w:rsid w:val="5BCF2503"/>
    <w:rsid w:val="5BDA0197"/>
    <w:rsid w:val="5BED4606"/>
    <w:rsid w:val="5C362559"/>
    <w:rsid w:val="5C3A3FF3"/>
    <w:rsid w:val="5C69739A"/>
    <w:rsid w:val="5C8271FC"/>
    <w:rsid w:val="5CBA67F0"/>
    <w:rsid w:val="5CE45343"/>
    <w:rsid w:val="5CF35248"/>
    <w:rsid w:val="5D1B45A3"/>
    <w:rsid w:val="5D1E440A"/>
    <w:rsid w:val="5D4305E5"/>
    <w:rsid w:val="5D5E3006"/>
    <w:rsid w:val="5D853F18"/>
    <w:rsid w:val="5D9C533F"/>
    <w:rsid w:val="5DB045FF"/>
    <w:rsid w:val="5DBA7287"/>
    <w:rsid w:val="5DCD7847"/>
    <w:rsid w:val="5DCF1F81"/>
    <w:rsid w:val="5DDA06E5"/>
    <w:rsid w:val="5DDF25B5"/>
    <w:rsid w:val="5E1511A9"/>
    <w:rsid w:val="5E226F86"/>
    <w:rsid w:val="5E87679A"/>
    <w:rsid w:val="5E896B78"/>
    <w:rsid w:val="5E92578E"/>
    <w:rsid w:val="5EC71B65"/>
    <w:rsid w:val="5F032CAD"/>
    <w:rsid w:val="5F0C7335"/>
    <w:rsid w:val="5F3156D7"/>
    <w:rsid w:val="5F3F13C6"/>
    <w:rsid w:val="5F432CA6"/>
    <w:rsid w:val="5F651516"/>
    <w:rsid w:val="5F834C6B"/>
    <w:rsid w:val="5F955AB8"/>
    <w:rsid w:val="5FBB24D0"/>
    <w:rsid w:val="5FC80ED8"/>
    <w:rsid w:val="5FCA6B24"/>
    <w:rsid w:val="5FCB7E0D"/>
    <w:rsid w:val="5FE308D8"/>
    <w:rsid w:val="5FEA0A88"/>
    <w:rsid w:val="5FEB7814"/>
    <w:rsid w:val="5FFC0490"/>
    <w:rsid w:val="600B5602"/>
    <w:rsid w:val="600C35A2"/>
    <w:rsid w:val="60594EBD"/>
    <w:rsid w:val="60887821"/>
    <w:rsid w:val="608F34D9"/>
    <w:rsid w:val="60A84F4F"/>
    <w:rsid w:val="60AC2CF1"/>
    <w:rsid w:val="60C8325D"/>
    <w:rsid w:val="60E857B6"/>
    <w:rsid w:val="60E86B97"/>
    <w:rsid w:val="60FA737C"/>
    <w:rsid w:val="60FD3B17"/>
    <w:rsid w:val="60FE4AB5"/>
    <w:rsid w:val="60FF2BAD"/>
    <w:rsid w:val="611601A9"/>
    <w:rsid w:val="614F5763"/>
    <w:rsid w:val="61555FDC"/>
    <w:rsid w:val="618B1EF3"/>
    <w:rsid w:val="61B068EB"/>
    <w:rsid w:val="61C30503"/>
    <w:rsid w:val="62015E2E"/>
    <w:rsid w:val="625D128F"/>
    <w:rsid w:val="627D3BF1"/>
    <w:rsid w:val="62D7717A"/>
    <w:rsid w:val="63285DAD"/>
    <w:rsid w:val="63500DA3"/>
    <w:rsid w:val="635B2773"/>
    <w:rsid w:val="636F1C55"/>
    <w:rsid w:val="6397392D"/>
    <w:rsid w:val="63F01C9E"/>
    <w:rsid w:val="64162907"/>
    <w:rsid w:val="64204AE0"/>
    <w:rsid w:val="6438001E"/>
    <w:rsid w:val="644F0316"/>
    <w:rsid w:val="64572560"/>
    <w:rsid w:val="645F3C33"/>
    <w:rsid w:val="6467324D"/>
    <w:rsid w:val="646D54EB"/>
    <w:rsid w:val="64762BDE"/>
    <w:rsid w:val="647F192D"/>
    <w:rsid w:val="647F48D1"/>
    <w:rsid w:val="64A745AB"/>
    <w:rsid w:val="64CF3CF1"/>
    <w:rsid w:val="64D04C86"/>
    <w:rsid w:val="64E84A93"/>
    <w:rsid w:val="65123A66"/>
    <w:rsid w:val="652677FD"/>
    <w:rsid w:val="65674143"/>
    <w:rsid w:val="6573771B"/>
    <w:rsid w:val="6593581A"/>
    <w:rsid w:val="65AC0081"/>
    <w:rsid w:val="65CA3DFC"/>
    <w:rsid w:val="65CB1F90"/>
    <w:rsid w:val="65CB447C"/>
    <w:rsid w:val="660214B0"/>
    <w:rsid w:val="660B3602"/>
    <w:rsid w:val="661A2BAD"/>
    <w:rsid w:val="662629C3"/>
    <w:rsid w:val="66262F8E"/>
    <w:rsid w:val="662D049F"/>
    <w:rsid w:val="663027B3"/>
    <w:rsid w:val="668F398C"/>
    <w:rsid w:val="669D227B"/>
    <w:rsid w:val="67197305"/>
    <w:rsid w:val="67281977"/>
    <w:rsid w:val="67346A2B"/>
    <w:rsid w:val="673F0CCA"/>
    <w:rsid w:val="6761487F"/>
    <w:rsid w:val="67B5214F"/>
    <w:rsid w:val="67ED7463"/>
    <w:rsid w:val="67F64824"/>
    <w:rsid w:val="681F5AE6"/>
    <w:rsid w:val="68376BD9"/>
    <w:rsid w:val="683E7CD5"/>
    <w:rsid w:val="6867167A"/>
    <w:rsid w:val="689870AC"/>
    <w:rsid w:val="68A1032E"/>
    <w:rsid w:val="68CA0CAE"/>
    <w:rsid w:val="68CA503A"/>
    <w:rsid w:val="68DB4DB9"/>
    <w:rsid w:val="690A1807"/>
    <w:rsid w:val="69476B41"/>
    <w:rsid w:val="697651F0"/>
    <w:rsid w:val="699D0726"/>
    <w:rsid w:val="69A730D1"/>
    <w:rsid w:val="69CF2465"/>
    <w:rsid w:val="6A0D5B9B"/>
    <w:rsid w:val="6A0E0C43"/>
    <w:rsid w:val="6A1C1627"/>
    <w:rsid w:val="6A46685B"/>
    <w:rsid w:val="6A473715"/>
    <w:rsid w:val="6A5415FD"/>
    <w:rsid w:val="6A600491"/>
    <w:rsid w:val="6A7B092A"/>
    <w:rsid w:val="6A9F44FB"/>
    <w:rsid w:val="6AE92C8D"/>
    <w:rsid w:val="6AFE1EA9"/>
    <w:rsid w:val="6B03194B"/>
    <w:rsid w:val="6B064398"/>
    <w:rsid w:val="6B0A58E5"/>
    <w:rsid w:val="6B144D07"/>
    <w:rsid w:val="6B565FDE"/>
    <w:rsid w:val="6B7235F7"/>
    <w:rsid w:val="6B785C6A"/>
    <w:rsid w:val="6B7F16AF"/>
    <w:rsid w:val="6BDC027D"/>
    <w:rsid w:val="6BE859EB"/>
    <w:rsid w:val="6C0E3CD6"/>
    <w:rsid w:val="6C12513D"/>
    <w:rsid w:val="6C345DAE"/>
    <w:rsid w:val="6C3F2E1C"/>
    <w:rsid w:val="6C557E72"/>
    <w:rsid w:val="6C5B76A8"/>
    <w:rsid w:val="6C7F4402"/>
    <w:rsid w:val="6CA210BB"/>
    <w:rsid w:val="6CE83CC8"/>
    <w:rsid w:val="6CF323DA"/>
    <w:rsid w:val="6D0112BB"/>
    <w:rsid w:val="6D252EE9"/>
    <w:rsid w:val="6D3A2B02"/>
    <w:rsid w:val="6D48513C"/>
    <w:rsid w:val="6D5D0BE7"/>
    <w:rsid w:val="6D602A51"/>
    <w:rsid w:val="6D8217D6"/>
    <w:rsid w:val="6D8B550C"/>
    <w:rsid w:val="6D9949ED"/>
    <w:rsid w:val="6DBD3434"/>
    <w:rsid w:val="6E041AB5"/>
    <w:rsid w:val="6E3000E1"/>
    <w:rsid w:val="6E387321"/>
    <w:rsid w:val="6E4849B3"/>
    <w:rsid w:val="6E5C0E9F"/>
    <w:rsid w:val="6E6A4564"/>
    <w:rsid w:val="6E7104A8"/>
    <w:rsid w:val="6E922D4C"/>
    <w:rsid w:val="6E95363D"/>
    <w:rsid w:val="6EAE1AAA"/>
    <w:rsid w:val="6EDC761D"/>
    <w:rsid w:val="6EE46F12"/>
    <w:rsid w:val="6F044E3E"/>
    <w:rsid w:val="6F050FB3"/>
    <w:rsid w:val="6F281617"/>
    <w:rsid w:val="6F32335C"/>
    <w:rsid w:val="6F3C3AA0"/>
    <w:rsid w:val="6F436987"/>
    <w:rsid w:val="6F5B769C"/>
    <w:rsid w:val="6F6C2BFD"/>
    <w:rsid w:val="6F765C12"/>
    <w:rsid w:val="6F783750"/>
    <w:rsid w:val="6F7C784D"/>
    <w:rsid w:val="6F7D660A"/>
    <w:rsid w:val="6F9014D6"/>
    <w:rsid w:val="6FB47A4E"/>
    <w:rsid w:val="6FC54878"/>
    <w:rsid w:val="6FE4132D"/>
    <w:rsid w:val="6FF87AD9"/>
    <w:rsid w:val="7016626E"/>
    <w:rsid w:val="70330B0B"/>
    <w:rsid w:val="706051B4"/>
    <w:rsid w:val="707822DA"/>
    <w:rsid w:val="70875F7B"/>
    <w:rsid w:val="70A05028"/>
    <w:rsid w:val="70A83A69"/>
    <w:rsid w:val="70BA4909"/>
    <w:rsid w:val="70E128C6"/>
    <w:rsid w:val="70E76D94"/>
    <w:rsid w:val="710739B3"/>
    <w:rsid w:val="71260839"/>
    <w:rsid w:val="713752AB"/>
    <w:rsid w:val="7195752F"/>
    <w:rsid w:val="71BF565B"/>
    <w:rsid w:val="71C26195"/>
    <w:rsid w:val="71C72529"/>
    <w:rsid w:val="72194BB5"/>
    <w:rsid w:val="722E5429"/>
    <w:rsid w:val="725E037D"/>
    <w:rsid w:val="72686206"/>
    <w:rsid w:val="726C0120"/>
    <w:rsid w:val="727267B6"/>
    <w:rsid w:val="72922FBA"/>
    <w:rsid w:val="72D930E7"/>
    <w:rsid w:val="730302F8"/>
    <w:rsid w:val="730E028E"/>
    <w:rsid w:val="730F7E4A"/>
    <w:rsid w:val="7331397E"/>
    <w:rsid w:val="733D3D42"/>
    <w:rsid w:val="735A7977"/>
    <w:rsid w:val="736743DD"/>
    <w:rsid w:val="736810C4"/>
    <w:rsid w:val="737C74B3"/>
    <w:rsid w:val="737F4531"/>
    <w:rsid w:val="73BB6A80"/>
    <w:rsid w:val="73BE72A6"/>
    <w:rsid w:val="73C82DC9"/>
    <w:rsid w:val="73DC48A4"/>
    <w:rsid w:val="73DE466C"/>
    <w:rsid w:val="73FC0A2E"/>
    <w:rsid w:val="74044778"/>
    <w:rsid w:val="7423258A"/>
    <w:rsid w:val="742D0BE7"/>
    <w:rsid w:val="74406360"/>
    <w:rsid w:val="74543118"/>
    <w:rsid w:val="74617C76"/>
    <w:rsid w:val="7466495B"/>
    <w:rsid w:val="74763DFB"/>
    <w:rsid w:val="747F7B17"/>
    <w:rsid w:val="74E44ACA"/>
    <w:rsid w:val="75065DE4"/>
    <w:rsid w:val="750E0A19"/>
    <w:rsid w:val="75272800"/>
    <w:rsid w:val="758C6B50"/>
    <w:rsid w:val="758E2CD2"/>
    <w:rsid w:val="75A57E58"/>
    <w:rsid w:val="75CA5AE5"/>
    <w:rsid w:val="75CD4610"/>
    <w:rsid w:val="75CE5976"/>
    <w:rsid w:val="75DD43B2"/>
    <w:rsid w:val="75FE5451"/>
    <w:rsid w:val="76354A40"/>
    <w:rsid w:val="763F1CCE"/>
    <w:rsid w:val="763F535A"/>
    <w:rsid w:val="76400FDD"/>
    <w:rsid w:val="76530A35"/>
    <w:rsid w:val="766C5D71"/>
    <w:rsid w:val="769B1CF5"/>
    <w:rsid w:val="76A61C59"/>
    <w:rsid w:val="76AF3B36"/>
    <w:rsid w:val="76AF53ED"/>
    <w:rsid w:val="76CF7D7A"/>
    <w:rsid w:val="76FE6510"/>
    <w:rsid w:val="77351533"/>
    <w:rsid w:val="77630534"/>
    <w:rsid w:val="779A7906"/>
    <w:rsid w:val="77B24736"/>
    <w:rsid w:val="77E03EC1"/>
    <w:rsid w:val="77F7671B"/>
    <w:rsid w:val="78000B40"/>
    <w:rsid w:val="78174088"/>
    <w:rsid w:val="783F7C0E"/>
    <w:rsid w:val="78532FC3"/>
    <w:rsid w:val="78747A8C"/>
    <w:rsid w:val="788C6B26"/>
    <w:rsid w:val="78DC79F9"/>
    <w:rsid w:val="78F91935"/>
    <w:rsid w:val="794B28B3"/>
    <w:rsid w:val="795025F4"/>
    <w:rsid w:val="797744EA"/>
    <w:rsid w:val="79843087"/>
    <w:rsid w:val="799E56AB"/>
    <w:rsid w:val="79A50EDE"/>
    <w:rsid w:val="79BE3388"/>
    <w:rsid w:val="79CB21FB"/>
    <w:rsid w:val="7A450B26"/>
    <w:rsid w:val="7A4F4C9D"/>
    <w:rsid w:val="7A6D7525"/>
    <w:rsid w:val="7A7533E8"/>
    <w:rsid w:val="7A814B61"/>
    <w:rsid w:val="7A8D23E0"/>
    <w:rsid w:val="7A9A3A3A"/>
    <w:rsid w:val="7AB665A5"/>
    <w:rsid w:val="7AD7100E"/>
    <w:rsid w:val="7AE10CB7"/>
    <w:rsid w:val="7AFE3F8C"/>
    <w:rsid w:val="7B0D351A"/>
    <w:rsid w:val="7B1B73FE"/>
    <w:rsid w:val="7B504B90"/>
    <w:rsid w:val="7B625DF6"/>
    <w:rsid w:val="7B630288"/>
    <w:rsid w:val="7BBB6C2C"/>
    <w:rsid w:val="7BCE4D30"/>
    <w:rsid w:val="7BDD7288"/>
    <w:rsid w:val="7BEB5610"/>
    <w:rsid w:val="7BF726C8"/>
    <w:rsid w:val="7BFA2056"/>
    <w:rsid w:val="7C570EF7"/>
    <w:rsid w:val="7CDA3A53"/>
    <w:rsid w:val="7CFD3E8B"/>
    <w:rsid w:val="7D0A4830"/>
    <w:rsid w:val="7D9A40AD"/>
    <w:rsid w:val="7DD01A74"/>
    <w:rsid w:val="7E0E07CF"/>
    <w:rsid w:val="7E277154"/>
    <w:rsid w:val="7E27775F"/>
    <w:rsid w:val="7E414F1B"/>
    <w:rsid w:val="7E550A2F"/>
    <w:rsid w:val="7E655DCD"/>
    <w:rsid w:val="7E671196"/>
    <w:rsid w:val="7E7C0849"/>
    <w:rsid w:val="7E830889"/>
    <w:rsid w:val="7E996A44"/>
    <w:rsid w:val="7EA87B5E"/>
    <w:rsid w:val="7EAF27D5"/>
    <w:rsid w:val="7EDB309E"/>
    <w:rsid w:val="7EE121AD"/>
    <w:rsid w:val="7EFC0FC9"/>
    <w:rsid w:val="7F2B4E5F"/>
    <w:rsid w:val="7F39685D"/>
    <w:rsid w:val="7F72234E"/>
    <w:rsid w:val="7F8B138A"/>
    <w:rsid w:val="7F9F075F"/>
    <w:rsid w:val="7FA0183F"/>
    <w:rsid w:val="7FA536FE"/>
    <w:rsid w:val="7FAA09FC"/>
    <w:rsid w:val="7FB47434"/>
    <w:rsid w:val="7FB92CE4"/>
    <w:rsid w:val="7FBC53E8"/>
    <w:rsid w:val="7FCE6BB2"/>
    <w:rsid w:val="7FD30E61"/>
    <w:rsid w:val="7FDA0A5B"/>
    <w:rsid w:val="7FDE1A66"/>
    <w:rsid w:val="7FE02F83"/>
    <w:rsid w:val="7FE061C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66"/>
    <w:qFormat/>
    <w:uiPriority w:val="0"/>
    <w:pPr>
      <w:keepNext/>
      <w:keepLines/>
      <w:spacing w:before="340" w:after="330" w:line="576" w:lineRule="auto"/>
      <w:outlineLvl w:val="0"/>
    </w:pPr>
    <w:rPr>
      <w:b/>
      <w:bCs/>
      <w:kern w:val="44"/>
      <w:sz w:val="44"/>
      <w:szCs w:val="44"/>
    </w:rPr>
  </w:style>
  <w:style w:type="paragraph" w:styleId="4">
    <w:name w:val="heading 2"/>
    <w:basedOn w:val="1"/>
    <w:next w:val="1"/>
    <w:unhideWhenUsed/>
    <w:qFormat/>
    <w:uiPriority w:val="0"/>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unhideWhenUsed/>
    <w:qFormat/>
    <w:uiPriority w:val="0"/>
    <w:pPr>
      <w:keepNext/>
      <w:keepLines/>
      <w:spacing w:before="260" w:after="260" w:line="415" w:lineRule="auto"/>
      <w:outlineLvl w:val="2"/>
    </w:pPr>
    <w:rPr>
      <w:b/>
      <w:bCs/>
      <w:sz w:val="32"/>
      <w:szCs w:val="32"/>
    </w:rPr>
  </w:style>
  <w:style w:type="paragraph" w:styleId="6">
    <w:name w:val="heading 4"/>
    <w:basedOn w:val="1"/>
    <w:next w:val="1"/>
    <w:qFormat/>
    <w:uiPriority w:val="0"/>
    <w:pPr>
      <w:keepNext/>
      <w:keepLines/>
      <w:spacing w:before="280" w:after="290" w:line="376" w:lineRule="auto"/>
      <w:outlineLvl w:val="3"/>
    </w:pPr>
    <w:rPr>
      <w:rFonts w:ascii="Cambria" w:hAnsi="Cambria"/>
      <w:b/>
      <w:bCs/>
      <w:kern w:val="0"/>
      <w:sz w:val="28"/>
      <w:szCs w:val="28"/>
    </w:rPr>
  </w:style>
  <w:style w:type="character" w:default="1" w:styleId="27">
    <w:name w:val="Default Paragraph Font"/>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7">
    <w:name w:val="Normal Indent"/>
    <w:basedOn w:val="1"/>
    <w:qFormat/>
    <w:uiPriority w:val="0"/>
    <w:pPr>
      <w:ind w:firstLine="420" w:firstLineChars="200"/>
    </w:pPr>
  </w:style>
  <w:style w:type="paragraph" w:styleId="8">
    <w:name w:val="toa heading"/>
    <w:basedOn w:val="1"/>
    <w:next w:val="1"/>
    <w:unhideWhenUsed/>
    <w:qFormat/>
    <w:uiPriority w:val="99"/>
    <w:pPr>
      <w:spacing w:before="120"/>
    </w:pPr>
    <w:rPr>
      <w:rFonts w:ascii="Cambria" w:hAnsi="Cambria" w:eastAsia="宋体" w:cs="Times New Roman"/>
      <w:sz w:val="24"/>
      <w:szCs w:val="24"/>
    </w:rPr>
  </w:style>
  <w:style w:type="paragraph" w:styleId="9">
    <w:name w:val="annotation text"/>
    <w:basedOn w:val="1"/>
    <w:qFormat/>
    <w:uiPriority w:val="0"/>
    <w:pPr>
      <w:jc w:val="left"/>
    </w:pPr>
  </w:style>
  <w:style w:type="paragraph" w:styleId="10">
    <w:name w:val="Body Text 3"/>
    <w:basedOn w:val="1"/>
    <w:qFormat/>
    <w:uiPriority w:val="0"/>
    <w:rPr>
      <w:rFonts w:ascii="宋体"/>
      <w:sz w:val="24"/>
      <w:szCs w:val="20"/>
    </w:rPr>
  </w:style>
  <w:style w:type="paragraph" w:styleId="11">
    <w:name w:val="Body Text"/>
    <w:basedOn w:val="1"/>
    <w:qFormat/>
    <w:uiPriority w:val="0"/>
    <w:pPr>
      <w:spacing w:line="0" w:lineRule="atLeast"/>
    </w:pPr>
    <w:rPr>
      <w:b/>
      <w:sz w:val="30"/>
      <w:szCs w:val="20"/>
    </w:rPr>
  </w:style>
  <w:style w:type="paragraph" w:styleId="12">
    <w:name w:val="Body Text Indent"/>
    <w:basedOn w:val="1"/>
    <w:qFormat/>
    <w:uiPriority w:val="0"/>
    <w:pPr>
      <w:spacing w:after="120" w:afterLines="0" w:afterAutospacing="0"/>
      <w:ind w:left="420" w:leftChars="200"/>
    </w:pPr>
  </w:style>
  <w:style w:type="paragraph" w:styleId="13">
    <w:name w:val="List 2"/>
    <w:basedOn w:val="1"/>
    <w:qFormat/>
    <w:uiPriority w:val="0"/>
    <w:pPr>
      <w:ind w:left="100" w:leftChars="200" w:hanging="200" w:hangingChars="200"/>
    </w:pPr>
    <w:rPr>
      <w:rFonts w:ascii="Times New Roman" w:hAnsi="Times New Roman" w:eastAsia="仿宋"/>
      <w:sz w:val="28"/>
      <w:szCs w:val="24"/>
    </w:rPr>
  </w:style>
  <w:style w:type="paragraph" w:styleId="14">
    <w:name w:val="Date"/>
    <w:basedOn w:val="1"/>
    <w:next w:val="1"/>
    <w:qFormat/>
    <w:uiPriority w:val="0"/>
    <w:rPr>
      <w:sz w:val="24"/>
      <w:szCs w:val="20"/>
    </w:rPr>
  </w:style>
  <w:style w:type="paragraph" w:styleId="15">
    <w:name w:val="Body Text Indent 2"/>
    <w:basedOn w:val="1"/>
    <w:qFormat/>
    <w:uiPriority w:val="0"/>
    <w:pPr>
      <w:spacing w:after="120" w:line="480" w:lineRule="auto"/>
      <w:ind w:left="420" w:leftChars="200"/>
    </w:pPr>
  </w:style>
  <w:style w:type="paragraph" w:styleId="16">
    <w:name w:val="footer"/>
    <w:basedOn w:val="1"/>
    <w:next w:val="1"/>
    <w:qFormat/>
    <w:uiPriority w:val="0"/>
    <w:pPr>
      <w:tabs>
        <w:tab w:val="center" w:pos="4153"/>
        <w:tab w:val="right" w:pos="8306"/>
      </w:tabs>
      <w:snapToGrid w:val="0"/>
      <w:jc w:val="left"/>
    </w:pPr>
    <w:rPr>
      <w:sz w:val="18"/>
      <w:szCs w:val="18"/>
    </w:rPr>
  </w:style>
  <w:style w:type="paragraph" w:styleId="17">
    <w:name w:val="envelope return"/>
    <w:basedOn w:val="1"/>
    <w:qFormat/>
    <w:uiPriority w:val="0"/>
    <w:pPr>
      <w:snapToGrid w:val="0"/>
    </w:pPr>
    <w:rPr>
      <w:rFonts w:ascii="Arial" w:hAnsi="Arial"/>
    </w:rPr>
  </w:style>
  <w:style w:type="paragraph" w:styleId="1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9">
    <w:name w:val="toc 1"/>
    <w:basedOn w:val="1"/>
    <w:next w:val="1"/>
    <w:qFormat/>
    <w:uiPriority w:val="0"/>
    <w:pPr>
      <w:spacing w:before="120" w:after="120"/>
      <w:jc w:val="left"/>
    </w:pPr>
    <w:rPr>
      <w:b/>
      <w:bCs/>
      <w:caps/>
      <w:sz w:val="20"/>
      <w:szCs w:val="20"/>
    </w:rPr>
  </w:style>
  <w:style w:type="paragraph" w:styleId="20">
    <w:name w:val="Body Text Indent 3"/>
    <w:basedOn w:val="1"/>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styleId="21">
    <w:name w:val="Normal (Web)"/>
    <w:basedOn w:val="1"/>
    <w:next w:val="1"/>
    <w:qFormat/>
    <w:uiPriority w:val="0"/>
    <w:pPr>
      <w:jc w:val="left"/>
    </w:pPr>
    <w:rPr>
      <w:rFonts w:cs="Times New Roman"/>
      <w:kern w:val="0"/>
      <w:sz w:val="24"/>
    </w:rPr>
  </w:style>
  <w:style w:type="paragraph" w:styleId="22">
    <w:name w:val="Title"/>
    <w:basedOn w:val="1"/>
    <w:next w:val="1"/>
    <w:qFormat/>
    <w:uiPriority w:val="0"/>
    <w:pPr>
      <w:widowControl/>
      <w:spacing w:before="240" w:beforeLines="0" w:after="60" w:afterLines="0"/>
      <w:jc w:val="center"/>
      <w:outlineLvl w:val="0"/>
    </w:pPr>
    <w:rPr>
      <w:rFonts w:ascii="Arial" w:hAnsi="Arial" w:cs="Arial"/>
      <w:b/>
      <w:bCs/>
      <w:kern w:val="0"/>
      <w:sz w:val="44"/>
      <w:szCs w:val="32"/>
    </w:rPr>
  </w:style>
  <w:style w:type="paragraph" w:styleId="23">
    <w:name w:val="Body Text First Indent"/>
    <w:basedOn w:val="1"/>
    <w:next w:val="1"/>
    <w:qFormat/>
    <w:uiPriority w:val="0"/>
    <w:pPr>
      <w:spacing w:after="120" w:afterLines="0"/>
      <w:ind w:firstLine="420" w:firstLineChars="100"/>
    </w:pPr>
    <w:rPr>
      <w:rFonts w:eastAsia="宋体"/>
      <w:sz w:val="21"/>
      <w:szCs w:val="24"/>
    </w:rPr>
  </w:style>
  <w:style w:type="paragraph" w:styleId="24">
    <w:name w:val="Body Text First Indent 2"/>
    <w:basedOn w:val="12"/>
    <w:qFormat/>
    <w:uiPriority w:val="0"/>
    <w:pPr>
      <w:spacing w:after="120"/>
      <w:ind w:left="420" w:leftChars="200" w:firstLine="420" w:firstLineChars="200"/>
    </w:pPr>
    <w:rPr>
      <w:rFonts w:ascii="Times New Roman"/>
      <w:sz w:val="21"/>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style>
  <w:style w:type="character" w:styleId="29">
    <w:name w:val="page number"/>
    <w:basedOn w:val="27"/>
    <w:qFormat/>
    <w:uiPriority w:val="0"/>
  </w:style>
  <w:style w:type="character" w:styleId="30">
    <w:name w:val="FollowedHyperlink"/>
    <w:basedOn w:val="27"/>
    <w:qFormat/>
    <w:uiPriority w:val="0"/>
    <w:rPr>
      <w:color w:val="800080"/>
      <w:u w:val="none"/>
    </w:rPr>
  </w:style>
  <w:style w:type="character" w:styleId="31">
    <w:name w:val="Emphasis"/>
    <w:basedOn w:val="27"/>
    <w:qFormat/>
    <w:uiPriority w:val="0"/>
  </w:style>
  <w:style w:type="character" w:styleId="32">
    <w:name w:val="HTML Definition"/>
    <w:basedOn w:val="27"/>
    <w:qFormat/>
    <w:uiPriority w:val="0"/>
  </w:style>
  <w:style w:type="character" w:styleId="33">
    <w:name w:val="HTML Typewriter"/>
    <w:basedOn w:val="27"/>
    <w:qFormat/>
    <w:uiPriority w:val="0"/>
    <w:rPr>
      <w:rFonts w:hint="default" w:ascii="monospace" w:hAnsi="monospace" w:eastAsia="monospace" w:cs="monospace"/>
      <w:sz w:val="20"/>
    </w:rPr>
  </w:style>
  <w:style w:type="character" w:styleId="34">
    <w:name w:val="HTML Acronym"/>
    <w:basedOn w:val="27"/>
    <w:qFormat/>
    <w:uiPriority w:val="0"/>
  </w:style>
  <w:style w:type="character" w:styleId="35">
    <w:name w:val="HTML Variable"/>
    <w:basedOn w:val="27"/>
    <w:qFormat/>
    <w:uiPriority w:val="0"/>
  </w:style>
  <w:style w:type="character" w:styleId="36">
    <w:name w:val="Hyperlink"/>
    <w:basedOn w:val="27"/>
    <w:qFormat/>
    <w:uiPriority w:val="0"/>
    <w:rPr>
      <w:color w:val="0000FF"/>
      <w:u w:val="none"/>
    </w:rPr>
  </w:style>
  <w:style w:type="character" w:styleId="37">
    <w:name w:val="HTML Code"/>
    <w:basedOn w:val="27"/>
    <w:qFormat/>
    <w:uiPriority w:val="0"/>
    <w:rPr>
      <w:rFonts w:hint="default" w:ascii="monospace" w:hAnsi="monospace" w:eastAsia="monospace" w:cs="monospace"/>
      <w:sz w:val="20"/>
    </w:rPr>
  </w:style>
  <w:style w:type="character" w:styleId="38">
    <w:name w:val="HTML Cite"/>
    <w:basedOn w:val="27"/>
    <w:qFormat/>
    <w:uiPriority w:val="0"/>
  </w:style>
  <w:style w:type="character" w:styleId="39">
    <w:name w:val="HTML Keyboard"/>
    <w:basedOn w:val="27"/>
    <w:qFormat/>
    <w:uiPriority w:val="0"/>
    <w:rPr>
      <w:rFonts w:ascii="monospace" w:hAnsi="monospace" w:eastAsia="monospace" w:cs="monospace"/>
      <w:sz w:val="20"/>
    </w:rPr>
  </w:style>
  <w:style w:type="character" w:styleId="40">
    <w:name w:val="HTML Sample"/>
    <w:basedOn w:val="27"/>
    <w:qFormat/>
    <w:uiPriority w:val="0"/>
    <w:rPr>
      <w:rFonts w:hint="default" w:ascii="monospace" w:hAnsi="monospace" w:eastAsia="monospace" w:cs="monospace"/>
    </w:rPr>
  </w:style>
  <w:style w:type="paragraph" w:customStyle="1" w:styleId="41">
    <w:name w:val="正文格式"/>
    <w:basedOn w:val="1"/>
    <w:qFormat/>
    <w:uiPriority w:val="0"/>
    <w:pPr>
      <w:adjustRightInd w:val="0"/>
      <w:snapToGrid w:val="0"/>
      <w:spacing w:line="360" w:lineRule="auto"/>
      <w:ind w:firstLine="200" w:firstLineChars="200"/>
      <w:textAlignment w:val="baseline"/>
    </w:pPr>
    <w:rPr>
      <w:rFonts w:ascii="Times New Roman" w:hAnsi="Times New Roman"/>
      <w:kern w:val="0"/>
      <w:sz w:val="24"/>
      <w:szCs w:val="20"/>
    </w:rPr>
  </w:style>
  <w:style w:type="paragraph" w:customStyle="1" w:styleId="42">
    <w:name w:val="Default"/>
    <w:next w:val="14"/>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3">
    <w:name w:val="Char Char Char"/>
    <w:basedOn w:val="1"/>
    <w:qFormat/>
    <w:uiPriority w:val="0"/>
    <w:rPr>
      <w:szCs w:val="20"/>
    </w:rPr>
  </w:style>
  <w:style w:type="character" w:customStyle="1" w:styleId="44">
    <w:name w:val="font01"/>
    <w:basedOn w:val="27"/>
    <w:qFormat/>
    <w:uiPriority w:val="0"/>
    <w:rPr>
      <w:rFonts w:hint="eastAsia" w:ascii="宋体" w:hAnsi="宋体" w:eastAsia="宋体" w:cs="宋体"/>
      <w:color w:val="000000"/>
      <w:sz w:val="28"/>
      <w:szCs w:val="28"/>
      <w:u w:val="none"/>
    </w:rPr>
  </w:style>
  <w:style w:type="paragraph" w:customStyle="1" w:styleId="45">
    <w:name w:val="目录"/>
    <w:basedOn w:val="1"/>
    <w:qFormat/>
    <w:uiPriority w:val="0"/>
    <w:pPr>
      <w:jc w:val="center"/>
    </w:pPr>
    <w:rPr>
      <w:rFonts w:ascii="宋体" w:hAnsi="Times New Roman" w:eastAsia="宋体" w:cs="Times New Roman"/>
      <w:sz w:val="36"/>
    </w:rPr>
  </w:style>
  <w:style w:type="character" w:customStyle="1" w:styleId="46">
    <w:name w:val="font51"/>
    <w:basedOn w:val="27"/>
    <w:qFormat/>
    <w:uiPriority w:val="0"/>
    <w:rPr>
      <w:rFonts w:hint="eastAsia" w:ascii="宋体" w:hAnsi="宋体" w:eastAsia="宋体" w:cs="宋体"/>
      <w:color w:val="000000"/>
      <w:sz w:val="28"/>
      <w:szCs w:val="28"/>
      <w:u w:val="none"/>
    </w:rPr>
  </w:style>
  <w:style w:type="character" w:customStyle="1" w:styleId="47">
    <w:name w:val="font21"/>
    <w:basedOn w:val="27"/>
    <w:qFormat/>
    <w:uiPriority w:val="0"/>
    <w:rPr>
      <w:rFonts w:ascii="Arial" w:hAnsi="Arial" w:cs="Arial"/>
      <w:color w:val="000000"/>
      <w:sz w:val="28"/>
      <w:szCs w:val="28"/>
      <w:u w:val="none"/>
    </w:rPr>
  </w:style>
  <w:style w:type="character" w:customStyle="1" w:styleId="48">
    <w:name w:val="font61"/>
    <w:basedOn w:val="27"/>
    <w:qFormat/>
    <w:uiPriority w:val="0"/>
    <w:rPr>
      <w:rFonts w:hint="eastAsia" w:ascii="宋体" w:hAnsi="宋体" w:eastAsia="宋体" w:cs="宋体"/>
      <w:color w:val="000000"/>
      <w:sz w:val="20"/>
      <w:szCs w:val="20"/>
      <w:u w:val="none"/>
    </w:rPr>
  </w:style>
  <w:style w:type="character" w:customStyle="1" w:styleId="49">
    <w:name w:val="font11"/>
    <w:basedOn w:val="27"/>
    <w:qFormat/>
    <w:uiPriority w:val="0"/>
    <w:rPr>
      <w:rFonts w:hint="eastAsia" w:ascii="宋体" w:hAnsi="宋体" w:eastAsia="宋体" w:cs="宋体"/>
      <w:color w:val="FF0000"/>
      <w:sz w:val="20"/>
      <w:szCs w:val="20"/>
      <w:u w:val="none"/>
    </w:rPr>
  </w:style>
  <w:style w:type="character" w:customStyle="1" w:styleId="50">
    <w:name w:val="font31"/>
    <w:basedOn w:val="27"/>
    <w:qFormat/>
    <w:uiPriority w:val="0"/>
    <w:rPr>
      <w:rFonts w:hint="default" w:ascii="Times New Roman" w:hAnsi="Times New Roman" w:cs="Times New Roman"/>
      <w:color w:val="FF0000"/>
      <w:sz w:val="21"/>
      <w:szCs w:val="21"/>
      <w:u w:val="none"/>
    </w:rPr>
  </w:style>
  <w:style w:type="character" w:customStyle="1" w:styleId="51">
    <w:name w:val="font41"/>
    <w:basedOn w:val="27"/>
    <w:qFormat/>
    <w:uiPriority w:val="0"/>
    <w:rPr>
      <w:rFonts w:hint="eastAsia" w:ascii="宋体" w:hAnsi="宋体" w:eastAsia="宋体" w:cs="宋体"/>
      <w:color w:val="FF0000"/>
      <w:sz w:val="21"/>
      <w:szCs w:val="21"/>
      <w:u w:val="none"/>
    </w:rPr>
  </w:style>
  <w:style w:type="paragraph" w:customStyle="1" w:styleId="52">
    <w:name w:val="_Style 2"/>
    <w:basedOn w:val="1"/>
    <w:qFormat/>
    <w:uiPriority w:val="34"/>
    <w:pPr>
      <w:widowControl/>
      <w:ind w:firstLine="420" w:firstLineChars="200"/>
      <w:jc w:val="left"/>
    </w:pPr>
    <w:rPr>
      <w:rFonts w:ascii="宋体" w:hAnsi="宋体" w:cs="宋体"/>
      <w:kern w:val="0"/>
      <w:sz w:val="24"/>
    </w:rPr>
  </w:style>
  <w:style w:type="character" w:customStyle="1" w:styleId="53">
    <w:name w:val="font71"/>
    <w:basedOn w:val="27"/>
    <w:qFormat/>
    <w:uiPriority w:val="0"/>
    <w:rPr>
      <w:rFonts w:hint="eastAsia" w:ascii="宋体" w:hAnsi="宋体" w:eastAsia="宋体" w:cs="宋体"/>
      <w:color w:val="000000"/>
      <w:sz w:val="28"/>
      <w:szCs w:val="28"/>
      <w:u w:val="none"/>
    </w:rPr>
  </w:style>
  <w:style w:type="paragraph" w:customStyle="1" w:styleId="54">
    <w:name w:val="方案正文"/>
    <w:basedOn w:val="1"/>
    <w:qFormat/>
    <w:uiPriority w:val="0"/>
    <w:pPr>
      <w:spacing w:before="156" w:line="360" w:lineRule="auto"/>
      <w:ind w:firstLine="359" w:firstLineChars="171"/>
      <w:jc w:val="left"/>
    </w:pPr>
    <w:rPr>
      <w:sz w:val="24"/>
    </w:rPr>
  </w:style>
  <w:style w:type="paragraph" w:customStyle="1" w:styleId="55">
    <w:name w:val="GF报告一级标题"/>
    <w:basedOn w:val="1"/>
    <w:qFormat/>
    <w:uiPriority w:val="0"/>
    <w:pPr>
      <w:widowControl/>
      <w:adjustRightInd w:val="0"/>
      <w:spacing w:before="360" w:after="360" w:line="360" w:lineRule="auto"/>
      <w:jc w:val="left"/>
      <w:textAlignment w:val="baseline"/>
    </w:pPr>
    <w:rPr>
      <w:rFonts w:ascii="黑体" w:hAnsi="Times New Roman" w:eastAsia="黑体" w:cs="Times New Roman"/>
      <w:kern w:val="0"/>
      <w:szCs w:val="20"/>
    </w:rPr>
  </w:style>
  <w:style w:type="paragraph" w:customStyle="1" w:styleId="56">
    <w:name w:val="GF报告正文"/>
    <w:basedOn w:val="1"/>
    <w:qFormat/>
    <w:uiPriority w:val="0"/>
    <w:pPr>
      <w:widowControl/>
      <w:adjustRightInd w:val="0"/>
      <w:spacing w:line="360" w:lineRule="atLeast"/>
      <w:ind w:firstLine="431"/>
      <w:jc w:val="left"/>
      <w:textAlignment w:val="baseline"/>
    </w:pPr>
    <w:rPr>
      <w:rFonts w:ascii="黑体"/>
      <w:kern w:val="0"/>
      <w:szCs w:val="20"/>
    </w:rPr>
  </w:style>
  <w:style w:type="paragraph" w:customStyle="1" w:styleId="57">
    <w:name w:val="GF报告二级标题"/>
    <w:basedOn w:val="1"/>
    <w:qFormat/>
    <w:uiPriority w:val="0"/>
    <w:pPr>
      <w:widowControl/>
      <w:adjustRightInd w:val="0"/>
      <w:spacing w:line="360" w:lineRule="atLeast"/>
      <w:jc w:val="left"/>
      <w:textAlignment w:val="baseline"/>
    </w:pPr>
    <w:rPr>
      <w:rFonts w:ascii="黑体" w:hAnsi="Times New Roman" w:eastAsia="黑体" w:cs="Times New Roman"/>
      <w:kern w:val="0"/>
      <w:szCs w:val="20"/>
    </w:rPr>
  </w:style>
  <w:style w:type="paragraph" w:customStyle="1" w:styleId="58">
    <w:name w:val="无间隔1"/>
    <w:qFormat/>
    <w:uiPriority w:val="1"/>
    <w:pPr>
      <w:widowControl w:val="0"/>
      <w:jc w:val="both"/>
    </w:pPr>
    <w:rPr>
      <w:rFonts w:ascii="Calibri" w:hAnsi="Calibri" w:eastAsia="宋体" w:cs="Times New Roman"/>
      <w:kern w:val="2"/>
      <w:sz w:val="21"/>
      <w:szCs w:val="22"/>
      <w:lang w:val="en-US" w:eastAsia="zh-CN" w:bidi="ar-SA"/>
    </w:rPr>
  </w:style>
  <w:style w:type="character" w:customStyle="1" w:styleId="59">
    <w:name w:val="redfilenumber"/>
    <w:basedOn w:val="27"/>
    <w:qFormat/>
    <w:uiPriority w:val="0"/>
    <w:rPr>
      <w:color w:val="BA2636"/>
      <w:sz w:val="18"/>
      <w:szCs w:val="18"/>
    </w:rPr>
  </w:style>
  <w:style w:type="character" w:customStyle="1" w:styleId="60">
    <w:name w:val="gjfg"/>
    <w:basedOn w:val="27"/>
    <w:qFormat/>
    <w:uiPriority w:val="0"/>
  </w:style>
  <w:style w:type="character" w:customStyle="1" w:styleId="61">
    <w:name w:val="qxdate"/>
    <w:basedOn w:val="27"/>
    <w:qFormat/>
    <w:uiPriority w:val="0"/>
    <w:rPr>
      <w:color w:val="333333"/>
      <w:sz w:val="18"/>
      <w:szCs w:val="18"/>
    </w:rPr>
  </w:style>
  <w:style w:type="character" w:customStyle="1" w:styleId="62">
    <w:name w:val="redfilefwwh"/>
    <w:basedOn w:val="27"/>
    <w:qFormat/>
    <w:uiPriority w:val="0"/>
    <w:rPr>
      <w:color w:val="BA2636"/>
      <w:sz w:val="18"/>
      <w:szCs w:val="18"/>
    </w:rPr>
  </w:style>
  <w:style w:type="character" w:customStyle="1" w:styleId="63">
    <w:name w:val="cfdate"/>
    <w:basedOn w:val="27"/>
    <w:qFormat/>
    <w:uiPriority w:val="0"/>
    <w:rPr>
      <w:color w:val="333333"/>
      <w:sz w:val="18"/>
      <w:szCs w:val="18"/>
    </w:rPr>
  </w:style>
  <w:style w:type="character" w:customStyle="1" w:styleId="64">
    <w:name w:val="displayarti"/>
    <w:basedOn w:val="27"/>
    <w:qFormat/>
    <w:uiPriority w:val="0"/>
    <w:rPr>
      <w:color w:val="FFFFFF"/>
      <w:shd w:val="clear" w:color="auto" w:fill="A00000"/>
    </w:rPr>
  </w:style>
  <w:style w:type="paragraph" w:styleId="65">
    <w:name w:val="List Paragraph"/>
    <w:basedOn w:val="1"/>
    <w:qFormat/>
    <w:uiPriority w:val="34"/>
    <w:pPr>
      <w:ind w:left="720"/>
      <w:contextualSpacing/>
    </w:pPr>
  </w:style>
  <w:style w:type="character" w:customStyle="1" w:styleId="66">
    <w:name w:val="标题 1 Char"/>
    <w:link w:val="3"/>
    <w:qFormat/>
    <w:uiPriority w:val="0"/>
    <w:rPr>
      <w:b/>
      <w:bCs/>
      <w:kern w:val="44"/>
      <w:sz w:val="44"/>
      <w:szCs w:val="44"/>
    </w:rPr>
  </w:style>
  <w:style w:type="character" w:customStyle="1" w:styleId="67">
    <w:name w:val="hover5"/>
    <w:basedOn w:val="27"/>
    <w:qFormat/>
    <w:uiPriority w:val="0"/>
    <w:rPr>
      <w:color w:val="0063BA"/>
    </w:rPr>
  </w:style>
  <w:style w:type="character" w:customStyle="1" w:styleId="68">
    <w:name w:val="before"/>
    <w:basedOn w:val="27"/>
    <w:qFormat/>
    <w:uiPriority w:val="0"/>
    <w:rPr>
      <w:shd w:val="clear" w:fill="E22323"/>
    </w:rPr>
  </w:style>
  <w:style w:type="paragraph" w:customStyle="1" w:styleId="69">
    <w:name w:val="Table Paragraph"/>
    <w:basedOn w:val="1"/>
    <w:qFormat/>
    <w:uiPriority w:val="1"/>
    <w:rPr>
      <w:rFonts w:ascii="宋体" w:hAnsi="宋体" w:eastAsia="宋体" w:cs="宋体"/>
      <w:lang w:val="zh-CN" w:eastAsia="zh-CN" w:bidi="zh-CN"/>
    </w:rPr>
  </w:style>
  <w:style w:type="paragraph" w:customStyle="1" w:styleId="70">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71">
    <w:name w:val="Pa13"/>
    <w:basedOn w:val="42"/>
    <w:next w:val="42"/>
    <w:qFormat/>
    <w:uiPriority w:val="99"/>
    <w:pPr>
      <w:spacing w:line="241" w:lineRule="atLeast"/>
    </w:pPr>
    <w:rPr>
      <w:rFonts w:ascii="HelveticaNeueLT Std Lt Cn" w:hAnsi="Calibri" w:eastAsia="HelveticaNeueLT Std Lt Cn" w:cs="Times New Roman"/>
      <w:color w:val="auto"/>
    </w:rPr>
  </w:style>
  <w:style w:type="character" w:customStyle="1" w:styleId="72">
    <w:name w:val="prev"/>
    <w:basedOn w:val="27"/>
    <w:qFormat/>
    <w:uiPriority w:val="0"/>
    <w:rPr>
      <w:rFonts w:ascii="微软雅黑" w:hAnsi="微软雅黑" w:eastAsia="微软雅黑" w:cs="微软雅黑"/>
      <w:sz w:val="21"/>
      <w:szCs w:val="21"/>
    </w:rPr>
  </w:style>
  <w:style w:type="character" w:customStyle="1" w:styleId="73">
    <w:name w:val="prev1"/>
    <w:basedOn w:val="27"/>
    <w:qFormat/>
    <w:uiPriority w:val="0"/>
    <w:rPr>
      <w:color w:val="888888"/>
    </w:rPr>
  </w:style>
  <w:style w:type="character" w:customStyle="1" w:styleId="74">
    <w:name w:val="next"/>
    <w:basedOn w:val="27"/>
    <w:qFormat/>
    <w:uiPriority w:val="0"/>
    <w:rPr>
      <w:rFonts w:hint="eastAsia" w:ascii="微软雅黑" w:hAnsi="微软雅黑" w:eastAsia="微软雅黑" w:cs="微软雅黑"/>
      <w:sz w:val="21"/>
      <w:szCs w:val="21"/>
    </w:rPr>
  </w:style>
  <w:style w:type="character" w:customStyle="1" w:styleId="75">
    <w:name w:val="next1"/>
    <w:basedOn w:val="27"/>
    <w:qFormat/>
    <w:uiPriority w:val="0"/>
    <w:rPr>
      <w:color w:val="888888"/>
    </w:rPr>
  </w:style>
  <w:style w:type="character" w:customStyle="1" w:styleId="76">
    <w:name w:val="NormalCharacter"/>
    <w:qFormat/>
    <w:uiPriority w:val="0"/>
    <w:rPr>
      <w:kern w:val="2"/>
      <w:sz w:val="21"/>
      <w:szCs w:val="22"/>
      <w:lang w:val="en-US" w:eastAsia="zh-CN" w:bidi="ar-SA"/>
    </w:rPr>
  </w:style>
  <w:style w:type="paragraph" w:customStyle="1" w:styleId="77">
    <w:name w:val="列出段落1"/>
    <w:basedOn w:val="1"/>
    <w:qFormat/>
    <w:uiPriority w:val="0"/>
    <w:pPr>
      <w:ind w:firstLine="420" w:firstLineChars="200"/>
    </w:pPr>
    <w:rPr>
      <w:szCs w:val="24"/>
    </w:rPr>
  </w:style>
  <w:style w:type="paragraph" w:customStyle="1" w:styleId="78">
    <w:name w:val="列表段落1"/>
    <w:basedOn w:val="1"/>
    <w:qFormat/>
    <w:uiPriority w:val="34"/>
    <w:pPr>
      <w:ind w:firstLine="420" w:firstLineChars="200"/>
    </w:pPr>
    <w:rPr>
      <w:szCs w:val="24"/>
    </w:rPr>
  </w:style>
  <w:style w:type="paragraph" w:customStyle="1" w:styleId="79">
    <w:name w:val="CM11"/>
    <w:basedOn w:val="42"/>
    <w:next w:val="42"/>
    <w:unhideWhenUsed/>
    <w:qFormat/>
    <w:uiPriority w:val="99"/>
    <w:pPr>
      <w:spacing w:beforeLines="0" w:afterLines="0" w:line="520" w:lineRule="atLeast"/>
    </w:pPr>
    <w:rPr>
      <w:rFonts w:hint="default"/>
      <w:sz w:val="24"/>
    </w:rPr>
  </w:style>
  <w:style w:type="paragraph" w:customStyle="1" w:styleId="80">
    <w:name w:val="CM13"/>
    <w:basedOn w:val="42"/>
    <w:next w:val="42"/>
    <w:unhideWhenUsed/>
    <w:qFormat/>
    <w:uiPriority w:val="99"/>
    <w:pPr>
      <w:spacing w:beforeLines="0" w:afterLines="0" w:line="520" w:lineRule="atLeast"/>
    </w:pPr>
    <w:rPr>
      <w:rFonts w:hint="default"/>
      <w:sz w:val="24"/>
    </w:rPr>
  </w:style>
  <w:style w:type="paragraph" w:customStyle="1" w:styleId="81">
    <w:name w:val="CM14"/>
    <w:basedOn w:val="42"/>
    <w:next w:val="42"/>
    <w:unhideWhenUsed/>
    <w:qFormat/>
    <w:uiPriority w:val="99"/>
    <w:pPr>
      <w:spacing w:beforeLines="0" w:afterLines="0" w:line="546" w:lineRule="atLeast"/>
    </w:pPr>
    <w:rPr>
      <w:rFonts w:hint="default"/>
      <w:sz w:val="24"/>
    </w:rPr>
  </w:style>
  <w:style w:type="paragraph" w:customStyle="1" w:styleId="82">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83">
    <w:name w:val="正文 A"/>
    <w:qFormat/>
    <w:uiPriority w:val="0"/>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84">
    <w:name w:val="BodyText1I2"/>
    <w:basedOn w:val="85"/>
    <w:qFormat/>
    <w:uiPriority w:val="0"/>
    <w:pPr>
      <w:spacing w:after="120"/>
      <w:ind w:left="420" w:leftChars="200" w:firstLine="420" w:firstLineChars="200"/>
    </w:pPr>
    <w:rPr>
      <w:szCs w:val="21"/>
    </w:rPr>
  </w:style>
  <w:style w:type="paragraph" w:customStyle="1" w:styleId="85">
    <w:name w:val="BodyTextIndent"/>
    <w:basedOn w:val="1"/>
    <w:qFormat/>
    <w:uiPriority w:val="0"/>
    <w:pPr>
      <w:spacing w:after="120"/>
      <w:ind w:left="420" w:leftChars="200"/>
    </w:pPr>
    <w:rPr>
      <w:szCs w:val="21"/>
    </w:rPr>
  </w:style>
  <w:style w:type="paragraph" w:customStyle="1" w:styleId="8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7">
    <w:name w:val="Table Text"/>
    <w:basedOn w:val="1"/>
    <w:semiHidden/>
    <w:qFormat/>
    <w:uiPriority w:val="0"/>
    <w:rPr>
      <w:rFonts w:ascii="宋体" w:hAnsi="宋体" w:eastAsia="宋体" w:cs="宋体"/>
      <w:sz w:val="20"/>
      <w:szCs w:val="20"/>
      <w:lang w:val="en-US" w:eastAsia="en-US" w:bidi="ar-SA"/>
    </w:rPr>
  </w:style>
  <w:style w:type="table" w:customStyle="1" w:styleId="88">
    <w:name w:val="Table Normal"/>
    <w:semiHidden/>
    <w:unhideWhenUsed/>
    <w:qFormat/>
    <w:uiPriority w:val="0"/>
    <w:tblPr>
      <w:tblCellMar>
        <w:top w:w="0" w:type="dxa"/>
        <w:left w:w="0" w:type="dxa"/>
        <w:bottom w:w="0" w:type="dxa"/>
        <w:right w:w="0" w:type="dxa"/>
      </w:tblCellMar>
    </w:tblPr>
  </w:style>
  <w:style w:type="paragraph" w:customStyle="1" w:styleId="89">
    <w:name w:val="样式2"/>
    <w:basedOn w:val="1"/>
    <w:qFormat/>
    <w:uiPriority w:val="0"/>
    <w:pPr>
      <w:widowControl w:val="0"/>
      <w:jc w:val="both"/>
    </w:pPr>
    <w:rPr>
      <w:rFonts w:ascii="仿宋_GB2312" w:hAnsi="Times New Roman" w:eastAsia="仿宋_GB2312" w:cs="Times New Roman"/>
      <w:kern w:val="2"/>
      <w:sz w:val="32"/>
      <w:szCs w:val="20"/>
    </w:rPr>
  </w:style>
  <w:style w:type="paragraph" w:customStyle="1" w:styleId="90">
    <w:name w:val="正文_0_1"/>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95</Pages>
  <Words>39137</Words>
  <Characters>42044</Characters>
  <Lines>215</Lines>
  <Paragraphs>60</Paragraphs>
  <TotalTime>27</TotalTime>
  <ScaleCrop>false</ScaleCrop>
  <LinksUpToDate>false</LinksUpToDate>
  <CharactersWithSpaces>42991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2017-07-20T02:31:00Z</dcterms:created>
  <dc:creator>Administrator</dc:creator>
  <cp:lastModifiedBy>微信用户</cp:lastModifiedBy>
  <cp:lastPrinted>2020-12-07T01:09:00Z</cp:lastPrinted>
  <dcterms:modified xsi:type="dcterms:W3CDTF">2025-03-28T08:07:23Z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F3B211243F0D43A586042B5BC99F49D0_13</vt:lpwstr>
  </property>
  <property fmtid="{D5CDD505-2E9C-101B-9397-08002B2CF9AE}" pid="4" name="KSOTemplateDocerSaveRecord">
    <vt:lpwstr>eyJoZGlkIjoiNGEyZTg3MTFiY2E0NDM3ODQ5ZDBlMTRhNTJkMDBjNDkiLCJ1c2VySWQiOiIxMjgyODg3ODAwIn0=</vt:lpwstr>
  </property>
</Properties>
</file>