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E29519">
      <w:pPr>
        <w:rPr>
          <w:rFonts w:hint="default" w:cs="宋体"/>
        </w:rPr>
      </w:pPr>
    </w:p>
    <w:p w14:paraId="2575584F">
      <w:pPr>
        <w:rPr>
          <w:rFonts w:hint="default" w:cs="宋体"/>
        </w:rPr>
      </w:pPr>
    </w:p>
    <w:p w14:paraId="03A2A1F8">
      <w:pPr>
        <w:rPr>
          <w:rFonts w:hint="default" w:cs="宋体"/>
        </w:rPr>
      </w:pPr>
    </w:p>
    <w:p w14:paraId="276ECB30">
      <w:pPr>
        <w:jc w:val="center"/>
        <w:rPr>
          <w:rFonts w:hint="default" w:cs="宋体"/>
          <w:b/>
          <w:sz w:val="48"/>
        </w:rPr>
      </w:pPr>
    </w:p>
    <w:p w14:paraId="4EAF3629">
      <w:pPr>
        <w:jc w:val="center"/>
        <w:rPr>
          <w:rFonts w:hint="eastAsia" w:eastAsia="宋体" w:cs="宋体"/>
          <w:b/>
          <w:sz w:val="52"/>
          <w:szCs w:val="52"/>
          <w:lang w:eastAsia="zh-CN"/>
        </w:rPr>
      </w:pPr>
      <w:r>
        <w:rPr>
          <w:rFonts w:hint="eastAsia" w:cs="宋体"/>
          <w:b/>
          <w:sz w:val="52"/>
          <w:szCs w:val="52"/>
          <w:lang w:eastAsia="zh-CN"/>
        </w:rPr>
        <w:t>长春市消防救援支队202</w:t>
      </w:r>
      <w:r>
        <w:rPr>
          <w:rFonts w:hint="eastAsia" w:cs="宋体"/>
          <w:b/>
          <w:sz w:val="52"/>
          <w:szCs w:val="52"/>
          <w:lang w:val="en-US" w:eastAsia="zh-CN"/>
        </w:rPr>
        <w:t>5</w:t>
      </w:r>
      <w:r>
        <w:rPr>
          <w:rFonts w:hint="eastAsia" w:cs="宋体"/>
          <w:b/>
          <w:sz w:val="52"/>
          <w:szCs w:val="52"/>
          <w:lang w:eastAsia="zh-CN"/>
        </w:rPr>
        <w:t>-202</w:t>
      </w:r>
      <w:r>
        <w:rPr>
          <w:rFonts w:hint="eastAsia" w:cs="宋体"/>
          <w:b/>
          <w:sz w:val="52"/>
          <w:szCs w:val="52"/>
          <w:lang w:val="en-US" w:eastAsia="zh-CN"/>
        </w:rPr>
        <w:t>6</w:t>
      </w:r>
      <w:r>
        <w:rPr>
          <w:rFonts w:hint="eastAsia" w:cs="宋体"/>
          <w:b/>
          <w:sz w:val="52"/>
          <w:szCs w:val="52"/>
          <w:lang w:eastAsia="zh-CN"/>
        </w:rPr>
        <w:t>年度指战员人身意外伤害保险采购项目</w:t>
      </w:r>
    </w:p>
    <w:p w14:paraId="7A975329">
      <w:pPr>
        <w:rPr>
          <w:rFonts w:hint="default" w:cs="宋体"/>
          <w:b/>
        </w:rPr>
      </w:pPr>
    </w:p>
    <w:p w14:paraId="0BDE7F8B">
      <w:pPr>
        <w:rPr>
          <w:rFonts w:hint="default" w:cs="宋体"/>
          <w:b/>
        </w:rPr>
      </w:pPr>
    </w:p>
    <w:p w14:paraId="13F46AA6">
      <w:pPr>
        <w:jc w:val="center"/>
        <w:rPr>
          <w:rFonts w:hint="default" w:cs="宋体"/>
          <w:b/>
          <w:sz w:val="48"/>
        </w:rPr>
      </w:pPr>
    </w:p>
    <w:p w14:paraId="650FCC71">
      <w:pPr>
        <w:jc w:val="center"/>
        <w:rPr>
          <w:rFonts w:hint="default" w:cs="宋体"/>
          <w:b/>
          <w:sz w:val="48"/>
        </w:rPr>
      </w:pPr>
    </w:p>
    <w:p w14:paraId="785388AA">
      <w:pPr>
        <w:jc w:val="center"/>
        <w:rPr>
          <w:rFonts w:hint="default" w:cs="宋体"/>
          <w:b/>
          <w:sz w:val="48"/>
        </w:rPr>
      </w:pPr>
    </w:p>
    <w:p w14:paraId="71E8C4A3">
      <w:pPr>
        <w:jc w:val="center"/>
        <w:rPr>
          <w:rFonts w:hint="default" w:cs="宋体"/>
          <w:b/>
          <w:sz w:val="48"/>
        </w:rPr>
      </w:pPr>
    </w:p>
    <w:p w14:paraId="16A75BBD">
      <w:pPr>
        <w:jc w:val="center"/>
        <w:rPr>
          <w:rFonts w:hint="default" w:cs="宋体"/>
          <w:b/>
          <w:sz w:val="96"/>
          <w:szCs w:val="32"/>
        </w:rPr>
      </w:pPr>
      <w:r>
        <w:rPr>
          <w:rFonts w:cs="宋体"/>
          <w:b/>
          <w:sz w:val="96"/>
          <w:szCs w:val="32"/>
        </w:rPr>
        <w:t>竞争性磋商文件</w:t>
      </w:r>
    </w:p>
    <w:p w14:paraId="696DCE4A">
      <w:pPr>
        <w:jc w:val="center"/>
        <w:rPr>
          <w:rFonts w:cs="宋体"/>
          <w:color w:val="auto"/>
          <w:sz w:val="28"/>
        </w:rPr>
      </w:pPr>
    </w:p>
    <w:p w14:paraId="56214630">
      <w:pPr>
        <w:jc w:val="center"/>
        <w:rPr>
          <w:rFonts w:hint="default" w:eastAsia="宋体" w:cs="宋体"/>
          <w:color w:val="auto"/>
          <w:sz w:val="28"/>
          <w:lang w:val="en-US" w:eastAsia="zh-CN"/>
        </w:rPr>
      </w:pPr>
      <w:r>
        <w:rPr>
          <w:rFonts w:cs="宋体"/>
          <w:color w:val="auto"/>
          <w:sz w:val="28"/>
        </w:rPr>
        <w:t>项目编号：</w:t>
      </w:r>
      <w:r>
        <w:rPr>
          <w:rFonts w:hint="eastAsia" w:cs="宋体"/>
          <w:color w:val="auto"/>
          <w:sz w:val="28"/>
          <w:lang w:val="en-US" w:eastAsia="zh-CN"/>
        </w:rPr>
        <w:t>JM-2024-12-01769</w:t>
      </w:r>
    </w:p>
    <w:p w14:paraId="6C6B49F5">
      <w:pPr>
        <w:rPr>
          <w:rFonts w:hint="default" w:cs="宋体"/>
        </w:rPr>
      </w:pPr>
    </w:p>
    <w:p w14:paraId="11F5447A">
      <w:pPr>
        <w:rPr>
          <w:rFonts w:hint="default" w:cs="宋体"/>
        </w:rPr>
      </w:pPr>
    </w:p>
    <w:p w14:paraId="49F8BB7E">
      <w:pPr>
        <w:rPr>
          <w:rFonts w:hint="default" w:cs="宋体"/>
        </w:rPr>
      </w:pPr>
    </w:p>
    <w:p w14:paraId="6427802D">
      <w:pPr>
        <w:rPr>
          <w:rFonts w:hint="default" w:cs="宋体"/>
        </w:rPr>
      </w:pPr>
    </w:p>
    <w:p w14:paraId="5CA683F9">
      <w:pPr>
        <w:rPr>
          <w:rFonts w:hint="default" w:cs="宋体"/>
        </w:rPr>
      </w:pPr>
    </w:p>
    <w:p w14:paraId="0ACCBA29">
      <w:pPr>
        <w:rPr>
          <w:rFonts w:hint="default" w:cs="宋体"/>
        </w:rPr>
      </w:pPr>
    </w:p>
    <w:p w14:paraId="0821EB56">
      <w:pPr>
        <w:rPr>
          <w:rFonts w:hint="default" w:cs="宋体"/>
          <w:sz w:val="28"/>
        </w:rPr>
      </w:pPr>
    </w:p>
    <w:p w14:paraId="0BC34A7D">
      <w:pPr>
        <w:rPr>
          <w:rFonts w:hint="default" w:cs="宋体"/>
          <w:sz w:val="28"/>
        </w:rPr>
      </w:pPr>
    </w:p>
    <w:p w14:paraId="6177A4B0">
      <w:pPr>
        <w:rPr>
          <w:rFonts w:hint="default" w:cs="宋体"/>
          <w:sz w:val="28"/>
        </w:rPr>
      </w:pPr>
    </w:p>
    <w:p w14:paraId="4C03AAAF">
      <w:pPr>
        <w:jc w:val="center"/>
        <w:rPr>
          <w:rFonts w:hint="default" w:cs="宋体"/>
          <w:sz w:val="28"/>
        </w:rPr>
      </w:pPr>
      <w:r>
        <w:rPr>
          <w:rFonts w:cs="宋体"/>
          <w:sz w:val="28"/>
        </w:rPr>
        <w:t>采购人：长春市消防救援支队</w:t>
      </w:r>
    </w:p>
    <w:p w14:paraId="17754F26">
      <w:pPr>
        <w:jc w:val="center"/>
        <w:rPr>
          <w:rFonts w:hint="default" w:cs="宋体"/>
          <w:sz w:val="28"/>
        </w:rPr>
      </w:pPr>
    </w:p>
    <w:p w14:paraId="11FFB624">
      <w:pPr>
        <w:jc w:val="center"/>
        <w:rPr>
          <w:rFonts w:hint="default" w:cs="宋体"/>
          <w:sz w:val="28"/>
        </w:rPr>
      </w:pPr>
    </w:p>
    <w:p w14:paraId="3F5EDA72">
      <w:pPr>
        <w:jc w:val="center"/>
        <w:rPr>
          <w:rFonts w:hint="eastAsia" w:cs="宋体"/>
          <w:color w:val="auto"/>
          <w:sz w:val="28"/>
          <w:lang w:eastAsia="zh-CN"/>
        </w:rPr>
      </w:pPr>
      <w:r>
        <w:rPr>
          <w:rFonts w:cs="宋体"/>
          <w:color w:val="auto"/>
          <w:sz w:val="28"/>
        </w:rPr>
        <w:t>采购代理机构：</w:t>
      </w:r>
      <w:r>
        <w:rPr>
          <w:rFonts w:hint="eastAsia" w:cs="宋体"/>
          <w:color w:val="auto"/>
          <w:sz w:val="28"/>
          <w:lang w:eastAsia="zh-CN"/>
        </w:rPr>
        <w:t>吉林省中锦工程管理有限公司</w:t>
      </w:r>
    </w:p>
    <w:p w14:paraId="36FBDFDA">
      <w:pPr>
        <w:jc w:val="center"/>
        <w:rPr>
          <w:rFonts w:hint="default" w:cs="宋体"/>
          <w:color w:val="auto"/>
          <w:sz w:val="28"/>
          <w:lang w:eastAsia="zh-CN"/>
        </w:rPr>
      </w:pPr>
    </w:p>
    <w:p w14:paraId="1D152BEE">
      <w:pPr>
        <w:jc w:val="center"/>
        <w:rPr>
          <w:rFonts w:hint="default" w:cs="宋体"/>
          <w:color w:val="auto"/>
          <w:sz w:val="28"/>
          <w:lang w:eastAsia="zh-CN"/>
        </w:rPr>
      </w:pPr>
    </w:p>
    <w:p w14:paraId="769052A5">
      <w:pPr>
        <w:jc w:val="center"/>
        <w:rPr>
          <w:rFonts w:hint="default" w:cs="宋体"/>
          <w:color w:val="auto"/>
        </w:rPr>
      </w:pPr>
      <w:r>
        <w:rPr>
          <w:rFonts w:hint="eastAsia" w:cs="宋体"/>
          <w:color w:val="auto"/>
          <w:sz w:val="28"/>
          <w:lang w:val="en-US" w:eastAsia="zh-CN"/>
        </w:rPr>
        <w:t>日期：2025</w:t>
      </w:r>
      <w:r>
        <w:rPr>
          <w:rFonts w:cs="宋体"/>
          <w:color w:val="auto"/>
          <w:sz w:val="28"/>
        </w:rPr>
        <w:t>年</w:t>
      </w:r>
      <w:r>
        <w:rPr>
          <w:rFonts w:hint="eastAsia" w:cs="宋体"/>
          <w:color w:val="auto"/>
          <w:sz w:val="28"/>
          <w:lang w:val="en-US" w:eastAsia="zh-CN"/>
        </w:rPr>
        <w:t>1</w:t>
      </w:r>
      <w:r>
        <w:rPr>
          <w:rFonts w:cs="宋体"/>
          <w:color w:val="auto"/>
          <w:sz w:val="28"/>
        </w:rPr>
        <w:t>月</w:t>
      </w:r>
    </w:p>
    <w:p w14:paraId="55088364">
      <w:pPr>
        <w:rPr>
          <w:rFonts w:hint="default" w:cs="宋体"/>
        </w:rPr>
        <w:sectPr>
          <w:type w:val="continuous"/>
          <w:pgSz w:w="11910" w:h="16840"/>
          <w:pgMar w:top="1134" w:right="1134" w:bottom="1134" w:left="1134" w:header="0" w:footer="556" w:gutter="0"/>
          <w:cols w:space="720" w:num="1"/>
        </w:sectPr>
      </w:pPr>
    </w:p>
    <w:p w14:paraId="2FDC79EE">
      <w:pPr>
        <w:spacing w:line="480" w:lineRule="auto"/>
        <w:jc w:val="center"/>
        <w:rPr>
          <w:rFonts w:hint="default" w:cs="宋体"/>
          <w:b/>
          <w:sz w:val="28"/>
        </w:rPr>
      </w:pPr>
      <w:r>
        <w:rPr>
          <w:rFonts w:cs="宋体"/>
          <w:b/>
          <w:sz w:val="28"/>
        </w:rPr>
        <w:t>目</w:t>
      </w:r>
      <w:r>
        <w:rPr>
          <w:rFonts w:cs="宋体"/>
          <w:b/>
          <w:sz w:val="28"/>
        </w:rPr>
        <w:tab/>
      </w:r>
      <w:r>
        <w:rPr>
          <w:rFonts w:cs="宋体"/>
          <w:b/>
          <w:sz w:val="28"/>
        </w:rPr>
        <w:t>录</w:t>
      </w:r>
    </w:p>
    <w:p w14:paraId="45A84966">
      <w:pPr>
        <w:spacing w:line="480" w:lineRule="auto"/>
        <w:jc w:val="center"/>
        <w:rPr>
          <w:rFonts w:hint="default" w:cs="宋体"/>
        </w:rPr>
      </w:pPr>
      <w:r>
        <w:fldChar w:fldCharType="begin"/>
      </w:r>
      <w:r>
        <w:instrText xml:space="preserve"> HYPERLINK \l "bookmark0" </w:instrText>
      </w:r>
      <w:r>
        <w:fldChar w:fldCharType="separate"/>
      </w:r>
      <w:r>
        <w:rPr>
          <w:rFonts w:cs="宋体"/>
        </w:rPr>
        <w:t>第一章 竞争性磋商公告.............................................2</w:t>
      </w:r>
      <w:r>
        <w:rPr>
          <w:rFonts w:cs="宋体"/>
        </w:rPr>
        <w:fldChar w:fldCharType="end"/>
      </w:r>
    </w:p>
    <w:p w14:paraId="50A5A243">
      <w:pPr>
        <w:spacing w:line="480" w:lineRule="auto"/>
        <w:jc w:val="center"/>
        <w:rPr>
          <w:rFonts w:hint="default" w:cs="宋体"/>
        </w:rPr>
      </w:pPr>
      <w:r>
        <w:fldChar w:fldCharType="begin"/>
      </w:r>
      <w:r>
        <w:instrText xml:space="preserve"> HYPERLINK \l "bookmark1" </w:instrText>
      </w:r>
      <w:r>
        <w:fldChar w:fldCharType="separate"/>
      </w:r>
      <w:r>
        <w:rPr>
          <w:rFonts w:cs="宋体"/>
        </w:rPr>
        <w:t>第二章 投标供应商须知.............................................</w:t>
      </w:r>
      <w:r>
        <w:rPr>
          <w:rFonts w:hint="eastAsia" w:cs="宋体"/>
          <w:lang w:val="en-US" w:eastAsia="zh-CN"/>
        </w:rPr>
        <w:t>4</w:t>
      </w:r>
      <w:r>
        <w:rPr>
          <w:rFonts w:cs="宋体"/>
        </w:rPr>
        <w:fldChar w:fldCharType="end"/>
      </w:r>
    </w:p>
    <w:p w14:paraId="3C757372">
      <w:pPr>
        <w:spacing w:line="480" w:lineRule="auto"/>
        <w:jc w:val="center"/>
        <w:rPr>
          <w:rFonts w:hint="eastAsia" w:eastAsia="宋体" w:cs="宋体"/>
          <w:lang w:val="en-US" w:eastAsia="zh-CN"/>
        </w:rPr>
      </w:pPr>
      <w:r>
        <w:fldChar w:fldCharType="begin"/>
      </w:r>
      <w:r>
        <w:instrText xml:space="preserve"> HYPERLINK \l "bookmark2" </w:instrText>
      </w:r>
      <w:r>
        <w:fldChar w:fldCharType="separate"/>
      </w:r>
      <w:r>
        <w:rPr>
          <w:rFonts w:cs="宋体"/>
        </w:rPr>
        <w:t>第三章 磋商评审办法(综合评分法)..................................</w:t>
      </w:r>
      <w:r>
        <w:rPr>
          <w:rFonts w:hint="eastAsia" w:cs="宋体"/>
          <w:lang w:val="en-US" w:eastAsia="zh-CN"/>
        </w:rPr>
        <w:t>1</w:t>
      </w:r>
      <w:r>
        <w:rPr>
          <w:rFonts w:cs="宋体"/>
        </w:rPr>
        <w:fldChar w:fldCharType="end"/>
      </w:r>
      <w:r>
        <w:rPr>
          <w:rFonts w:hint="eastAsia" w:cs="宋体"/>
          <w:lang w:val="en-US" w:eastAsia="zh-CN"/>
        </w:rPr>
        <w:t>5</w:t>
      </w:r>
    </w:p>
    <w:p w14:paraId="24E7FDD8">
      <w:pPr>
        <w:spacing w:line="480" w:lineRule="auto"/>
        <w:jc w:val="center"/>
        <w:rPr>
          <w:rFonts w:hint="eastAsia" w:eastAsia="宋体" w:cs="宋体"/>
          <w:lang w:val="en-US" w:eastAsia="zh-CN"/>
        </w:rPr>
      </w:pPr>
      <w:r>
        <w:fldChar w:fldCharType="begin"/>
      </w:r>
      <w:r>
        <w:instrText xml:space="preserve"> HYPERLINK \l "bookmark3" </w:instrText>
      </w:r>
      <w:r>
        <w:fldChar w:fldCharType="separate"/>
      </w:r>
      <w:r>
        <w:rPr>
          <w:rFonts w:cs="宋体"/>
        </w:rPr>
        <w:t>第四章 合同条款及格式............................................</w:t>
      </w:r>
      <w:r>
        <w:rPr>
          <w:rFonts w:hint="eastAsia" w:cs="宋体"/>
          <w:lang w:val="en-US" w:eastAsia="zh-CN"/>
        </w:rPr>
        <w:t>2</w:t>
      </w:r>
      <w:r>
        <w:rPr>
          <w:rFonts w:cs="宋体"/>
        </w:rPr>
        <w:fldChar w:fldCharType="end"/>
      </w:r>
      <w:r>
        <w:rPr>
          <w:rFonts w:hint="eastAsia" w:cs="宋体"/>
          <w:lang w:val="en-US" w:eastAsia="zh-CN"/>
        </w:rPr>
        <w:t>1</w:t>
      </w:r>
    </w:p>
    <w:p w14:paraId="1FEFB874">
      <w:pPr>
        <w:spacing w:line="480" w:lineRule="auto"/>
        <w:jc w:val="center"/>
        <w:rPr>
          <w:rFonts w:hint="eastAsia" w:eastAsia="宋体" w:cs="宋体"/>
          <w:lang w:val="en-US" w:eastAsia="zh-CN"/>
        </w:rPr>
      </w:pPr>
      <w:r>
        <w:fldChar w:fldCharType="begin"/>
      </w:r>
      <w:r>
        <w:instrText xml:space="preserve"> HYPERLINK \l "bookmark4" </w:instrText>
      </w:r>
      <w:r>
        <w:fldChar w:fldCharType="separate"/>
      </w:r>
      <w:r>
        <w:rPr>
          <w:rFonts w:cs="宋体"/>
        </w:rPr>
        <w:t>第五章 采购需求..................................................</w:t>
      </w:r>
      <w:r>
        <w:rPr>
          <w:rFonts w:hint="eastAsia" w:cs="宋体"/>
          <w:lang w:val="en-US" w:eastAsia="zh-CN"/>
        </w:rPr>
        <w:t>2</w:t>
      </w:r>
      <w:r>
        <w:rPr>
          <w:rFonts w:cs="宋体"/>
        </w:rPr>
        <w:fldChar w:fldCharType="end"/>
      </w:r>
      <w:r>
        <w:rPr>
          <w:rFonts w:hint="eastAsia" w:cs="宋体"/>
          <w:lang w:val="en-US" w:eastAsia="zh-CN"/>
        </w:rPr>
        <w:t>4</w:t>
      </w:r>
    </w:p>
    <w:p w14:paraId="6610859B">
      <w:pPr>
        <w:spacing w:line="480" w:lineRule="auto"/>
        <w:jc w:val="center"/>
        <w:rPr>
          <w:rFonts w:hint="eastAsia" w:eastAsia="宋体" w:cs="宋体"/>
          <w:lang w:val="en-US" w:eastAsia="zh-CN"/>
        </w:rPr>
      </w:pPr>
      <w:r>
        <w:fldChar w:fldCharType="begin"/>
      </w:r>
      <w:r>
        <w:instrText xml:space="preserve"> HYPERLINK \l "bookmark5" </w:instrText>
      </w:r>
      <w:r>
        <w:fldChar w:fldCharType="separate"/>
      </w:r>
      <w:r>
        <w:rPr>
          <w:rFonts w:cs="宋体"/>
        </w:rPr>
        <w:t>第六章 响应文件格式..............................................</w:t>
      </w:r>
      <w:r>
        <w:rPr>
          <w:rFonts w:hint="eastAsia" w:cs="宋体"/>
          <w:lang w:val="en-US" w:eastAsia="zh-CN"/>
        </w:rPr>
        <w:t>2</w:t>
      </w:r>
      <w:r>
        <w:rPr>
          <w:rFonts w:cs="宋体"/>
        </w:rPr>
        <w:fldChar w:fldCharType="end"/>
      </w:r>
      <w:r>
        <w:rPr>
          <w:rFonts w:hint="eastAsia" w:cs="宋体"/>
          <w:lang w:val="en-US" w:eastAsia="zh-CN"/>
        </w:rPr>
        <w:t>5</w:t>
      </w:r>
    </w:p>
    <w:p w14:paraId="5CA77386">
      <w:pPr>
        <w:spacing w:line="480" w:lineRule="auto"/>
        <w:rPr>
          <w:rFonts w:hint="default" w:cs="宋体"/>
        </w:rPr>
        <w:sectPr>
          <w:footerReference r:id="rId3" w:type="default"/>
          <w:pgSz w:w="11910" w:h="16840"/>
          <w:pgMar w:top="1134" w:right="1134" w:bottom="1134" w:left="1134" w:header="0" w:footer="556" w:gutter="0"/>
          <w:pgNumType w:start="1"/>
          <w:cols w:space="720" w:num="1"/>
        </w:sectPr>
      </w:pPr>
    </w:p>
    <w:p w14:paraId="0B49FAE8">
      <w:pPr>
        <w:jc w:val="center"/>
        <w:rPr>
          <w:rFonts w:hint="default" w:cs="宋体"/>
          <w:sz w:val="40"/>
          <w:szCs w:val="24"/>
        </w:rPr>
      </w:pPr>
      <w:bookmarkStart w:id="0" w:name="第一章__竞争性磋商公告"/>
      <w:bookmarkEnd w:id="0"/>
      <w:bookmarkStart w:id="1" w:name="_bookmark0"/>
      <w:bookmarkEnd w:id="1"/>
      <w:r>
        <w:rPr>
          <w:rFonts w:cs="宋体"/>
          <w:sz w:val="40"/>
          <w:szCs w:val="24"/>
        </w:rPr>
        <w:t>第一章</w:t>
      </w:r>
      <w:r>
        <w:rPr>
          <w:rFonts w:cs="宋体"/>
          <w:sz w:val="40"/>
          <w:szCs w:val="24"/>
        </w:rPr>
        <w:tab/>
      </w:r>
      <w:r>
        <w:rPr>
          <w:rFonts w:cs="宋体"/>
          <w:sz w:val="40"/>
          <w:szCs w:val="24"/>
        </w:rPr>
        <w:t>竞争性磋商公告</w:t>
      </w:r>
    </w:p>
    <w:tbl>
      <w:tblPr>
        <w:tblStyle w:val="23"/>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3"/>
      </w:tblGrid>
      <w:tr w14:paraId="2C6B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513" w:type="dxa"/>
            <w:tcBorders>
              <w:top w:val="single" w:color="auto" w:sz="4" w:space="0"/>
              <w:left w:val="single" w:color="auto" w:sz="4" w:space="0"/>
              <w:bottom w:val="single" w:color="auto" w:sz="4" w:space="0"/>
              <w:right w:val="single" w:color="auto" w:sz="4" w:space="0"/>
              <w:tl2br w:val="nil"/>
              <w:tr2bl w:val="nil"/>
            </w:tcBorders>
            <w:noWrap/>
          </w:tcPr>
          <w:p w14:paraId="307356F0">
            <w:pPr>
              <w:spacing w:line="360" w:lineRule="auto"/>
              <w:ind w:firstLine="420" w:firstLineChars="200"/>
              <w:rPr>
                <w:rFonts w:hint="default" w:cs="宋体"/>
                <w:sz w:val="21"/>
              </w:rPr>
            </w:pPr>
            <w:bookmarkStart w:id="2" w:name="第二章__投标供应商须知"/>
            <w:bookmarkEnd w:id="2"/>
            <w:bookmarkStart w:id="3" w:name="_bookmark1"/>
            <w:bookmarkEnd w:id="3"/>
            <w:r>
              <w:rPr>
                <w:rFonts w:cs="宋体"/>
                <w:sz w:val="21"/>
              </w:rPr>
              <w:t>项目概况</w:t>
            </w:r>
          </w:p>
          <w:p w14:paraId="21C8DB0F">
            <w:pPr>
              <w:spacing w:line="360" w:lineRule="auto"/>
              <w:ind w:firstLine="420" w:firstLineChars="200"/>
              <w:rPr>
                <w:rFonts w:hint="default" w:cs="宋体"/>
              </w:rPr>
            </w:pPr>
            <w:r>
              <w:rPr>
                <w:rFonts w:hint="eastAsia" w:cs="宋体"/>
                <w:sz w:val="21"/>
                <w:lang w:eastAsia="zh-CN"/>
              </w:rPr>
              <w:t>长春市消防救援支队202</w:t>
            </w:r>
            <w:r>
              <w:rPr>
                <w:rFonts w:hint="eastAsia" w:cs="宋体"/>
                <w:sz w:val="21"/>
                <w:lang w:val="en-US" w:eastAsia="zh-CN"/>
              </w:rPr>
              <w:t>5</w:t>
            </w:r>
            <w:r>
              <w:rPr>
                <w:rFonts w:hint="eastAsia" w:cs="宋体"/>
                <w:sz w:val="21"/>
                <w:lang w:eastAsia="zh-CN"/>
              </w:rPr>
              <w:t>-202</w:t>
            </w:r>
            <w:r>
              <w:rPr>
                <w:rFonts w:hint="eastAsia" w:cs="宋体"/>
                <w:sz w:val="21"/>
                <w:lang w:val="en-US" w:eastAsia="zh-CN"/>
              </w:rPr>
              <w:t>6</w:t>
            </w:r>
            <w:r>
              <w:rPr>
                <w:rFonts w:hint="eastAsia" w:cs="宋体"/>
                <w:sz w:val="21"/>
                <w:lang w:eastAsia="zh-CN"/>
              </w:rPr>
              <w:t>年度指战员人身意外伤害保险采购项目</w:t>
            </w:r>
            <w:r>
              <w:rPr>
                <w:rFonts w:cs="宋体"/>
                <w:sz w:val="21"/>
              </w:rPr>
              <w:t>的潜在供应商</w:t>
            </w:r>
            <w:r>
              <w:rPr>
                <w:rFonts w:hint="eastAsia" w:ascii="宋体" w:hAnsi="宋体" w:cs="宋体"/>
                <w:color w:val="auto"/>
                <w:szCs w:val="21"/>
                <w:highlight w:val="none"/>
              </w:rPr>
              <w:t>应</w:t>
            </w:r>
            <w:r>
              <w:rPr>
                <w:rFonts w:hint="eastAsia" w:cs="宋体"/>
                <w:sz w:val="21"/>
                <w:lang w:eastAsia="zh-CN"/>
              </w:rPr>
              <w:t>自行登录（“政采云”平台（http：//www.zcygov.cn）获取竞争性磋商文件，并于</w:t>
            </w:r>
            <w:r>
              <w:rPr>
                <w:rFonts w:hint="eastAsia" w:cs="宋体"/>
                <w:sz w:val="21"/>
                <w:lang w:val="en-US" w:eastAsia="zh-CN"/>
              </w:rPr>
              <w:t>2025</w:t>
            </w:r>
            <w:r>
              <w:rPr>
                <w:rFonts w:hint="eastAsia" w:cs="宋体"/>
                <w:sz w:val="21"/>
                <w:lang w:eastAsia="zh-CN"/>
              </w:rPr>
              <w:t>年</w:t>
            </w:r>
            <w:r>
              <w:rPr>
                <w:rFonts w:hint="eastAsia" w:cs="宋体"/>
                <w:sz w:val="21"/>
                <w:lang w:val="en-US" w:eastAsia="zh-CN"/>
              </w:rPr>
              <w:t>1月16</w:t>
            </w:r>
            <w:r>
              <w:rPr>
                <w:rFonts w:hint="eastAsia" w:cs="宋体"/>
                <w:color w:val="auto"/>
                <w:sz w:val="21"/>
                <w:highlight w:val="none"/>
                <w:lang w:val="en-US" w:eastAsia="zh-CN"/>
              </w:rPr>
              <w:t>日13</w:t>
            </w:r>
            <w:r>
              <w:rPr>
                <w:rFonts w:cs="宋体"/>
                <w:color w:val="auto"/>
                <w:sz w:val="21"/>
                <w:highlight w:val="none"/>
              </w:rPr>
              <w:t>点</w:t>
            </w:r>
            <w:r>
              <w:rPr>
                <w:rFonts w:hint="eastAsia" w:cs="宋体"/>
                <w:color w:val="auto"/>
                <w:sz w:val="21"/>
                <w:highlight w:val="none"/>
                <w:lang w:val="en-US" w:eastAsia="zh-CN"/>
              </w:rPr>
              <w:t>30</w:t>
            </w:r>
            <w:r>
              <w:rPr>
                <w:rFonts w:cs="宋体"/>
                <w:color w:val="auto"/>
                <w:sz w:val="21"/>
                <w:highlight w:val="none"/>
              </w:rPr>
              <w:t>分（北京时间）前提交响应文件。</w:t>
            </w:r>
          </w:p>
        </w:tc>
      </w:tr>
    </w:tbl>
    <w:p w14:paraId="523771E5">
      <w:pPr>
        <w:rPr>
          <w:rFonts w:hint="default" w:cs="宋体"/>
        </w:rPr>
      </w:pPr>
    </w:p>
    <w:p w14:paraId="68ACA6EC">
      <w:pPr>
        <w:spacing w:line="360" w:lineRule="auto"/>
        <w:rPr>
          <w:rFonts w:hint="default" w:cs="宋体"/>
          <w:sz w:val="21"/>
        </w:rPr>
      </w:pPr>
      <w:bookmarkStart w:id="4" w:name="_Toc28359089"/>
      <w:bookmarkStart w:id="5" w:name="_Toc35393629"/>
      <w:bookmarkStart w:id="6" w:name="_Toc35393798"/>
      <w:bookmarkStart w:id="7" w:name="_Toc28359012"/>
      <w:r>
        <w:rPr>
          <w:rFonts w:cs="宋体"/>
          <w:sz w:val="21"/>
        </w:rPr>
        <w:t>一、项目基本情况</w:t>
      </w:r>
      <w:bookmarkEnd w:id="4"/>
      <w:bookmarkEnd w:id="5"/>
      <w:bookmarkEnd w:id="6"/>
      <w:bookmarkEnd w:id="7"/>
    </w:p>
    <w:p w14:paraId="64C1E577">
      <w:pPr>
        <w:spacing w:line="360" w:lineRule="auto"/>
        <w:ind w:firstLine="420" w:firstLineChars="200"/>
        <w:rPr>
          <w:rFonts w:hint="default" w:cs="宋体"/>
          <w:sz w:val="21"/>
          <w:lang w:val="en-US"/>
        </w:rPr>
      </w:pPr>
      <w:r>
        <w:rPr>
          <w:rFonts w:cs="宋体"/>
          <w:sz w:val="21"/>
        </w:rPr>
        <w:t>项目编号：</w:t>
      </w:r>
      <w:r>
        <w:rPr>
          <w:rFonts w:hint="eastAsia" w:cs="宋体"/>
          <w:sz w:val="21"/>
        </w:rPr>
        <w:t>JM-2024-12-01769</w:t>
      </w:r>
    </w:p>
    <w:p w14:paraId="04DBA9E9">
      <w:pPr>
        <w:spacing w:line="360" w:lineRule="auto"/>
        <w:ind w:firstLine="420" w:firstLineChars="200"/>
        <w:rPr>
          <w:rFonts w:hint="default" w:cs="宋体"/>
          <w:sz w:val="21"/>
        </w:rPr>
      </w:pPr>
      <w:r>
        <w:rPr>
          <w:rFonts w:cs="宋体"/>
          <w:sz w:val="21"/>
        </w:rPr>
        <w:t>项目名称：</w:t>
      </w:r>
      <w:r>
        <w:rPr>
          <w:rFonts w:hint="eastAsia" w:cs="宋体"/>
          <w:sz w:val="21"/>
          <w:lang w:eastAsia="zh-CN"/>
        </w:rPr>
        <w:t>长春市消防救援支队202</w:t>
      </w:r>
      <w:r>
        <w:rPr>
          <w:rFonts w:hint="eastAsia" w:cs="宋体"/>
          <w:sz w:val="21"/>
          <w:lang w:val="en-US" w:eastAsia="zh-CN"/>
        </w:rPr>
        <w:t>5</w:t>
      </w:r>
      <w:r>
        <w:rPr>
          <w:rFonts w:hint="eastAsia" w:cs="宋体"/>
          <w:sz w:val="21"/>
          <w:lang w:eastAsia="zh-CN"/>
        </w:rPr>
        <w:t>-202</w:t>
      </w:r>
      <w:r>
        <w:rPr>
          <w:rFonts w:hint="eastAsia" w:cs="宋体"/>
          <w:sz w:val="21"/>
          <w:lang w:val="en-US" w:eastAsia="zh-CN"/>
        </w:rPr>
        <w:t>6</w:t>
      </w:r>
      <w:r>
        <w:rPr>
          <w:rFonts w:hint="eastAsia" w:cs="宋体"/>
          <w:sz w:val="21"/>
          <w:lang w:eastAsia="zh-CN"/>
        </w:rPr>
        <w:t>年度指战员人身意外伤害保险采购项目</w:t>
      </w:r>
      <w:r>
        <w:rPr>
          <w:rFonts w:cs="宋体"/>
          <w:sz w:val="21"/>
        </w:rPr>
        <w:t>；</w:t>
      </w:r>
    </w:p>
    <w:p w14:paraId="1D6E81A7">
      <w:pPr>
        <w:spacing w:line="360" w:lineRule="auto"/>
        <w:ind w:firstLine="420" w:firstLineChars="200"/>
        <w:rPr>
          <w:rFonts w:hint="default" w:cs="宋体"/>
          <w:sz w:val="21"/>
        </w:rPr>
      </w:pPr>
      <w:r>
        <w:rPr>
          <w:rFonts w:cs="宋体"/>
          <w:sz w:val="21"/>
        </w:rPr>
        <w:t>采购方式：竞争性磋商；</w:t>
      </w:r>
    </w:p>
    <w:p w14:paraId="100C0FB4">
      <w:pPr>
        <w:spacing w:line="360" w:lineRule="auto"/>
        <w:ind w:firstLine="420" w:firstLineChars="200"/>
        <w:rPr>
          <w:rFonts w:hint="default" w:cs="宋体"/>
          <w:sz w:val="21"/>
        </w:rPr>
      </w:pPr>
      <w:r>
        <w:rPr>
          <w:rFonts w:cs="宋体"/>
          <w:sz w:val="21"/>
        </w:rPr>
        <w:t>预算金额：</w:t>
      </w:r>
      <w:r>
        <w:rPr>
          <w:rFonts w:hint="eastAsia" w:cs="宋体"/>
          <w:sz w:val="21"/>
          <w:lang w:val="en-US" w:eastAsia="zh-CN"/>
        </w:rPr>
        <w:t>53.4750</w:t>
      </w:r>
      <w:r>
        <w:rPr>
          <w:rFonts w:cs="宋体"/>
          <w:sz w:val="21"/>
        </w:rPr>
        <w:t>万元；</w:t>
      </w:r>
    </w:p>
    <w:p w14:paraId="0E5B1EFB">
      <w:pPr>
        <w:spacing w:line="360" w:lineRule="auto"/>
        <w:ind w:firstLine="420" w:firstLineChars="200"/>
        <w:rPr>
          <w:rFonts w:hint="default" w:cs="宋体"/>
          <w:sz w:val="21"/>
          <w:highlight w:val="none"/>
        </w:rPr>
      </w:pPr>
      <w:r>
        <w:rPr>
          <w:rFonts w:cs="宋体"/>
          <w:sz w:val="21"/>
        </w:rPr>
        <w:t>最高限价：</w:t>
      </w:r>
      <w:r>
        <w:rPr>
          <w:rFonts w:hint="eastAsia" w:cs="宋体"/>
          <w:sz w:val="21"/>
        </w:rPr>
        <w:t>53.4750</w:t>
      </w:r>
      <w:r>
        <w:rPr>
          <w:rFonts w:cs="宋体"/>
          <w:sz w:val="21"/>
        </w:rPr>
        <w:t>万元；</w:t>
      </w:r>
    </w:p>
    <w:p w14:paraId="20BACFE2">
      <w:pPr>
        <w:spacing w:line="360" w:lineRule="auto"/>
        <w:ind w:firstLine="420" w:firstLineChars="200"/>
        <w:rPr>
          <w:rFonts w:hint="default" w:cs="宋体"/>
          <w:sz w:val="21"/>
          <w:highlight w:val="none"/>
        </w:rPr>
      </w:pPr>
      <w:r>
        <w:rPr>
          <w:rFonts w:cs="宋体"/>
          <w:sz w:val="21"/>
          <w:highlight w:val="none"/>
        </w:rPr>
        <w:t>采购需求：</w:t>
      </w:r>
      <w:r>
        <w:rPr>
          <w:rFonts w:hint="eastAsia" w:cs="宋体"/>
          <w:sz w:val="21"/>
          <w:highlight w:val="none"/>
        </w:rPr>
        <w:t>支队本级和直属单位购险总人数为465人（在编消防指战员303人，新招录消防员预计20人，合同制消防队员142人）</w:t>
      </w:r>
      <w:r>
        <w:rPr>
          <w:rFonts w:cs="宋体"/>
          <w:sz w:val="21"/>
          <w:highlight w:val="none"/>
        </w:rPr>
        <w:t>。最终以实际购险人数为准；</w:t>
      </w:r>
    </w:p>
    <w:p w14:paraId="31D80089">
      <w:pPr>
        <w:spacing w:line="360" w:lineRule="auto"/>
        <w:ind w:firstLine="420" w:firstLineChars="200"/>
        <w:rPr>
          <w:rFonts w:hint="default" w:cs="宋体"/>
          <w:sz w:val="21"/>
          <w:highlight w:val="none"/>
        </w:rPr>
      </w:pPr>
      <w:r>
        <w:rPr>
          <w:rFonts w:cs="宋体"/>
          <w:sz w:val="21"/>
          <w:highlight w:val="none"/>
        </w:rPr>
        <w:t>合同履行期限：自合同签订之日起1年，如在服务期限内未满足采购单位需求，采购单位有权与供应商终止合同，相关费用由投标人自行承担。</w:t>
      </w:r>
    </w:p>
    <w:p w14:paraId="254E5680">
      <w:pPr>
        <w:spacing w:line="360" w:lineRule="auto"/>
        <w:ind w:firstLine="420" w:firstLineChars="200"/>
        <w:rPr>
          <w:rFonts w:hint="default" w:cs="宋体"/>
          <w:sz w:val="21"/>
          <w:highlight w:val="none"/>
        </w:rPr>
      </w:pPr>
      <w:r>
        <w:rPr>
          <w:rFonts w:cs="宋体"/>
          <w:sz w:val="21"/>
          <w:highlight w:val="none"/>
        </w:rPr>
        <w:t>本项目不接受联合体。</w:t>
      </w:r>
    </w:p>
    <w:p w14:paraId="1AEDD5A0">
      <w:pPr>
        <w:spacing w:line="360" w:lineRule="auto"/>
        <w:rPr>
          <w:rFonts w:hint="default" w:cs="宋体"/>
          <w:sz w:val="21"/>
          <w:highlight w:val="none"/>
        </w:rPr>
      </w:pPr>
      <w:bookmarkStart w:id="8" w:name="_Toc35393799"/>
      <w:bookmarkStart w:id="9" w:name="_Toc35393630"/>
      <w:bookmarkStart w:id="10" w:name="_Toc28359090"/>
      <w:bookmarkStart w:id="11" w:name="_Toc28359013"/>
      <w:r>
        <w:rPr>
          <w:rFonts w:cs="宋体"/>
          <w:sz w:val="21"/>
          <w:highlight w:val="none"/>
        </w:rPr>
        <w:t>二、申请人的资格要求：</w:t>
      </w:r>
      <w:bookmarkEnd w:id="8"/>
      <w:bookmarkEnd w:id="9"/>
      <w:bookmarkEnd w:id="10"/>
      <w:bookmarkEnd w:id="11"/>
    </w:p>
    <w:p w14:paraId="28C5C45A">
      <w:pPr>
        <w:spacing w:line="360" w:lineRule="auto"/>
        <w:ind w:firstLine="420" w:firstLineChars="200"/>
        <w:rPr>
          <w:rFonts w:hint="default" w:cs="宋体"/>
          <w:sz w:val="21"/>
          <w:highlight w:val="none"/>
        </w:rPr>
      </w:pPr>
      <w:r>
        <w:rPr>
          <w:rFonts w:cs="宋体"/>
          <w:sz w:val="21"/>
          <w:highlight w:val="none"/>
        </w:rPr>
        <w:t>1.满足《中华人民共和国政府采购法》第二十二条规定；</w:t>
      </w:r>
    </w:p>
    <w:p w14:paraId="06785B94">
      <w:pPr>
        <w:spacing w:line="360" w:lineRule="auto"/>
        <w:ind w:firstLine="420" w:firstLineChars="200"/>
        <w:rPr>
          <w:rFonts w:hint="default" w:cs="宋体"/>
          <w:sz w:val="21"/>
          <w:highlight w:val="none"/>
        </w:rPr>
      </w:pPr>
      <w:bookmarkStart w:id="12" w:name="_Toc28359091"/>
      <w:bookmarkStart w:id="13" w:name="_Toc28359014"/>
      <w:r>
        <w:rPr>
          <w:rFonts w:cs="宋体"/>
          <w:sz w:val="21"/>
          <w:highlight w:val="none"/>
        </w:rPr>
        <w:t>2.落实政府采购政策需满足的资格要求：本项目为非专门面向中小企业采购的项目；</w:t>
      </w:r>
    </w:p>
    <w:p w14:paraId="3DACDE3D">
      <w:pPr>
        <w:spacing w:line="360" w:lineRule="auto"/>
        <w:ind w:firstLine="420" w:firstLineChars="200"/>
        <w:rPr>
          <w:rFonts w:hint="default" w:cs="宋体"/>
          <w:sz w:val="21"/>
          <w:highlight w:val="none"/>
        </w:rPr>
      </w:pPr>
      <w:r>
        <w:rPr>
          <w:rFonts w:cs="宋体"/>
          <w:sz w:val="21"/>
          <w:highlight w:val="none"/>
        </w:rPr>
        <w:t>3.本项目的特定资格要求：</w:t>
      </w:r>
    </w:p>
    <w:p w14:paraId="6CD98E1A">
      <w:pPr>
        <w:spacing w:line="360" w:lineRule="auto"/>
        <w:ind w:firstLine="420" w:firstLineChars="200"/>
        <w:rPr>
          <w:rFonts w:hint="default" w:cs="宋体"/>
          <w:sz w:val="21"/>
          <w:highlight w:val="none"/>
        </w:rPr>
      </w:pPr>
      <w:r>
        <w:rPr>
          <w:rFonts w:cs="宋体"/>
          <w:sz w:val="21"/>
          <w:highlight w:val="none"/>
        </w:rPr>
        <w:t>3.1 投标人须是在中华人民共和国境内注册的,具有有效的营业执照；</w:t>
      </w:r>
    </w:p>
    <w:p w14:paraId="4797F68C">
      <w:pPr>
        <w:spacing w:line="360" w:lineRule="auto"/>
        <w:ind w:firstLine="420" w:firstLineChars="200"/>
        <w:rPr>
          <w:rFonts w:hint="default" w:cs="宋体"/>
          <w:sz w:val="21"/>
          <w:highlight w:val="none"/>
        </w:rPr>
      </w:pPr>
      <w:r>
        <w:rPr>
          <w:rFonts w:cs="宋体"/>
          <w:sz w:val="21"/>
          <w:highlight w:val="none"/>
        </w:rPr>
        <w:t xml:space="preserve">3.2 </w:t>
      </w:r>
      <w:r>
        <w:rPr>
          <w:rFonts w:cs="宋体"/>
          <w:sz w:val="21"/>
          <w:highlight w:val="none"/>
          <w:lang w:val="zh-CN"/>
        </w:rPr>
        <w:t>投标人须是经中国保险监督管理委员会批准成立的、具有经营保险业务许可证；</w:t>
      </w:r>
    </w:p>
    <w:p w14:paraId="0FC9AD5C">
      <w:pPr>
        <w:spacing w:line="360" w:lineRule="auto"/>
        <w:ind w:firstLine="420" w:firstLineChars="200"/>
        <w:rPr>
          <w:rFonts w:hint="eastAsia" w:cs="宋体"/>
          <w:sz w:val="21"/>
        </w:rPr>
      </w:pPr>
      <w:r>
        <w:rPr>
          <w:rFonts w:hint="eastAsia" w:cs="宋体"/>
          <w:sz w:val="21"/>
          <w:lang w:val="en-US" w:eastAsia="zh-CN"/>
        </w:rPr>
        <w:t>3.</w:t>
      </w:r>
      <w:r>
        <w:rPr>
          <w:rFonts w:hint="eastAsia" w:cs="宋体"/>
          <w:sz w:val="21"/>
        </w:rPr>
        <w:t>3</w:t>
      </w:r>
      <w:r>
        <w:rPr>
          <w:rFonts w:hint="eastAsia" w:cs="宋体"/>
          <w:sz w:val="21"/>
          <w:lang w:eastAsia="zh-CN"/>
        </w:rPr>
        <w:t>具有良好的商业信誉和健全的财务会计制度，依法缴纳税收和社会保障资金的良好记录，</w:t>
      </w:r>
      <w:r>
        <w:rPr>
          <w:rFonts w:hint="eastAsia" w:cs="宋体"/>
          <w:sz w:val="21"/>
          <w:lang w:val="en-US" w:eastAsia="zh-CN"/>
        </w:rPr>
        <w:t>根据[长财采购[2022]2066号文件]关于加强政府采购信用体系建设简化供应商资格条件有关事项的通知提供资格条件承诺函</w:t>
      </w:r>
      <w:r>
        <w:rPr>
          <w:rFonts w:hint="eastAsia" w:cs="宋体"/>
          <w:sz w:val="21"/>
        </w:rPr>
        <w:t>；</w:t>
      </w:r>
    </w:p>
    <w:p w14:paraId="0E9633B9">
      <w:pPr>
        <w:spacing w:line="360" w:lineRule="auto"/>
        <w:ind w:firstLine="420" w:firstLineChars="200"/>
        <w:rPr>
          <w:rFonts w:cs="宋体"/>
          <w:sz w:val="21"/>
        </w:rPr>
      </w:pPr>
      <w:r>
        <w:rPr>
          <w:rFonts w:cs="宋体"/>
          <w:sz w:val="21"/>
        </w:rPr>
        <w:t>3.</w:t>
      </w:r>
      <w:r>
        <w:rPr>
          <w:rFonts w:hint="eastAsia" w:cs="宋体"/>
          <w:sz w:val="21"/>
          <w:lang w:val="en-US" w:eastAsia="zh-CN"/>
        </w:rPr>
        <w:t>4</w:t>
      </w:r>
      <w:r>
        <w:rPr>
          <w:rFonts w:cs="宋体"/>
          <w:sz w:val="21"/>
        </w:rPr>
        <w:t xml:space="preserve"> 信誉要求：①拒绝列入政府取消投标资格期间的企业或个人投标；②供应商近三年在经营活动中没有重大违法记录；③对在“信用中国”网站(www.creditchina.gov.cn)、中国政府采购网(www.ccgp.gov.cn)等渠道列入失信被执行人、重大税收违法</w:t>
      </w:r>
      <w:r>
        <w:rPr>
          <w:rFonts w:hint="eastAsia" w:cs="宋体"/>
          <w:sz w:val="21"/>
          <w:lang w:eastAsia="zh-CN"/>
        </w:rPr>
        <w:t>失信主体</w:t>
      </w:r>
      <w:r>
        <w:rPr>
          <w:rFonts w:cs="宋体"/>
          <w:sz w:val="21"/>
        </w:rPr>
        <w:t>、政府采购严重违法失信行为记录名单及其他不符合《中华人民共和国政府采购法》第二十二条规定条件的供应商，不得参与政府采购活动；</w:t>
      </w:r>
    </w:p>
    <w:p w14:paraId="006DE3CF">
      <w:pPr>
        <w:spacing w:line="360" w:lineRule="auto"/>
        <w:ind w:firstLine="420" w:firstLineChars="200"/>
        <w:rPr>
          <w:rFonts w:hint="default" w:cs="宋体"/>
          <w:sz w:val="21"/>
        </w:rPr>
      </w:pPr>
      <w:r>
        <w:rPr>
          <w:rFonts w:hint="eastAsia" w:cs="宋体"/>
          <w:sz w:val="21"/>
          <w:lang w:val="en-US" w:eastAsia="zh-CN"/>
        </w:rPr>
        <w:t>3.5其他要求：</w:t>
      </w:r>
      <w:r>
        <w:rPr>
          <w:rFonts w:cs="宋体"/>
          <w:sz w:val="21"/>
        </w:rPr>
        <w:t>单位负责人为同一人或存在直接控股、管理关系的不同供应商，不得参加同一合同项下的政府采购活动。</w:t>
      </w:r>
    </w:p>
    <w:p w14:paraId="02FF3F71">
      <w:pPr>
        <w:spacing w:line="360" w:lineRule="auto"/>
        <w:rPr>
          <w:rFonts w:hint="default" w:ascii="宋体" w:hAnsi="宋体" w:eastAsia="宋体" w:cs="宋体"/>
          <w:sz w:val="21"/>
        </w:rPr>
      </w:pPr>
      <w:bookmarkStart w:id="14" w:name="_Toc35393800"/>
      <w:bookmarkStart w:id="15" w:name="_Toc35393631"/>
      <w:r>
        <w:rPr>
          <w:rFonts w:ascii="宋体" w:hAnsi="宋体" w:eastAsia="宋体" w:cs="宋体"/>
          <w:sz w:val="21"/>
        </w:rPr>
        <w:t>三、获取</w:t>
      </w:r>
      <w:r>
        <w:rPr>
          <w:rFonts w:hint="eastAsia" w:ascii="宋体" w:hAnsi="宋体" w:eastAsia="宋体" w:cs="宋体"/>
          <w:sz w:val="21"/>
          <w:lang w:eastAsia="zh-CN"/>
        </w:rPr>
        <w:t>竞争性磋商</w:t>
      </w:r>
      <w:r>
        <w:rPr>
          <w:rFonts w:ascii="宋体" w:hAnsi="宋体" w:eastAsia="宋体" w:cs="宋体"/>
          <w:sz w:val="21"/>
        </w:rPr>
        <w:t>文件</w:t>
      </w:r>
      <w:bookmarkEnd w:id="12"/>
      <w:bookmarkEnd w:id="13"/>
      <w:bookmarkEnd w:id="14"/>
      <w:bookmarkEnd w:id="15"/>
    </w:p>
    <w:p w14:paraId="16B049F6">
      <w:pPr>
        <w:spacing w:line="360" w:lineRule="auto"/>
        <w:ind w:firstLine="420" w:firstLineChars="200"/>
        <w:rPr>
          <w:rFonts w:hint="eastAsia" w:ascii="宋体" w:hAnsi="宋体" w:eastAsia="宋体" w:cs="宋体"/>
          <w:sz w:val="21"/>
          <w:highlight w:val="none"/>
          <w:lang w:val="zh-CN"/>
        </w:rPr>
      </w:pPr>
      <w:r>
        <w:rPr>
          <w:rFonts w:hint="eastAsia" w:ascii="宋体" w:hAnsi="宋体" w:eastAsia="宋体" w:cs="宋体"/>
          <w:sz w:val="21"/>
          <w:highlight w:val="none"/>
          <w:lang w:val="zh-CN"/>
        </w:rPr>
        <w:t>时间：202</w:t>
      </w:r>
      <w:r>
        <w:rPr>
          <w:rFonts w:hint="eastAsia" w:cs="宋体"/>
          <w:sz w:val="21"/>
          <w:highlight w:val="none"/>
          <w:lang w:val="en-US" w:eastAsia="zh-CN"/>
        </w:rPr>
        <w:t>5</w:t>
      </w:r>
      <w:r>
        <w:rPr>
          <w:rFonts w:hint="eastAsia" w:ascii="宋体" w:hAnsi="宋体" w:eastAsia="宋体" w:cs="宋体"/>
          <w:sz w:val="21"/>
          <w:highlight w:val="none"/>
          <w:lang w:val="zh-CN"/>
        </w:rPr>
        <w:t>年</w:t>
      </w:r>
      <w:r>
        <w:rPr>
          <w:rFonts w:hint="eastAsia" w:cs="宋体"/>
          <w:sz w:val="21"/>
          <w:highlight w:val="none"/>
          <w:lang w:val="en-US" w:eastAsia="zh-CN"/>
        </w:rPr>
        <w:t>1</w:t>
      </w:r>
      <w:r>
        <w:rPr>
          <w:rFonts w:hint="eastAsia" w:ascii="宋体" w:hAnsi="宋体" w:eastAsia="宋体" w:cs="宋体"/>
          <w:sz w:val="21"/>
          <w:highlight w:val="none"/>
          <w:lang w:val="zh-CN"/>
        </w:rPr>
        <w:t>月</w:t>
      </w:r>
      <w:r>
        <w:rPr>
          <w:rFonts w:hint="eastAsia" w:cs="宋体"/>
          <w:sz w:val="21"/>
          <w:highlight w:val="none"/>
          <w:lang w:val="en-US" w:eastAsia="zh-CN"/>
        </w:rPr>
        <w:t>3</w:t>
      </w:r>
      <w:r>
        <w:rPr>
          <w:rFonts w:hint="eastAsia" w:ascii="宋体" w:hAnsi="宋体" w:eastAsia="宋体" w:cs="宋体"/>
          <w:sz w:val="21"/>
          <w:highlight w:val="none"/>
          <w:lang w:val="zh-CN"/>
        </w:rPr>
        <w:t>日上午</w:t>
      </w:r>
      <w:r>
        <w:rPr>
          <w:rFonts w:hint="eastAsia" w:cs="宋体"/>
          <w:sz w:val="21"/>
          <w:highlight w:val="none"/>
          <w:lang w:val="en-US" w:eastAsia="zh-CN"/>
        </w:rPr>
        <w:t>9</w:t>
      </w:r>
      <w:r>
        <w:rPr>
          <w:rFonts w:hint="eastAsia" w:ascii="宋体" w:hAnsi="宋体" w:eastAsia="宋体" w:cs="宋体"/>
          <w:sz w:val="21"/>
          <w:highlight w:val="none"/>
          <w:lang w:val="zh-CN"/>
        </w:rPr>
        <w:t>：</w:t>
      </w:r>
      <w:r>
        <w:rPr>
          <w:rFonts w:hint="eastAsia" w:cs="宋体"/>
          <w:sz w:val="21"/>
          <w:highlight w:val="none"/>
          <w:lang w:val="en-US" w:eastAsia="zh-CN"/>
        </w:rPr>
        <w:t>0</w:t>
      </w:r>
      <w:r>
        <w:rPr>
          <w:rFonts w:hint="eastAsia" w:ascii="宋体" w:hAnsi="宋体" w:eastAsia="宋体" w:cs="宋体"/>
          <w:sz w:val="21"/>
          <w:highlight w:val="none"/>
          <w:lang w:val="zh-CN"/>
        </w:rPr>
        <w:t>0起至202</w:t>
      </w:r>
      <w:r>
        <w:rPr>
          <w:rFonts w:hint="eastAsia" w:cs="宋体"/>
          <w:sz w:val="21"/>
          <w:highlight w:val="none"/>
          <w:lang w:val="en-US" w:eastAsia="zh-CN"/>
        </w:rPr>
        <w:t>5</w:t>
      </w:r>
      <w:r>
        <w:rPr>
          <w:rFonts w:hint="eastAsia" w:ascii="宋体" w:hAnsi="宋体" w:eastAsia="宋体" w:cs="宋体"/>
          <w:sz w:val="21"/>
          <w:highlight w:val="none"/>
          <w:lang w:val="zh-CN"/>
        </w:rPr>
        <w:t>年</w:t>
      </w:r>
      <w:r>
        <w:rPr>
          <w:rFonts w:hint="eastAsia" w:cs="宋体"/>
          <w:sz w:val="21"/>
          <w:highlight w:val="none"/>
          <w:lang w:val="en-US" w:eastAsia="zh-CN"/>
        </w:rPr>
        <w:t>1</w:t>
      </w:r>
      <w:r>
        <w:rPr>
          <w:rFonts w:hint="eastAsia" w:ascii="宋体" w:hAnsi="宋体" w:eastAsia="宋体" w:cs="宋体"/>
          <w:sz w:val="21"/>
          <w:highlight w:val="none"/>
          <w:lang w:val="zh-CN"/>
        </w:rPr>
        <w:t>月</w:t>
      </w:r>
      <w:r>
        <w:rPr>
          <w:rFonts w:hint="eastAsia" w:cs="宋体"/>
          <w:sz w:val="21"/>
          <w:highlight w:val="none"/>
          <w:lang w:val="en-US" w:eastAsia="zh-CN"/>
        </w:rPr>
        <w:t>10</w:t>
      </w:r>
      <w:r>
        <w:rPr>
          <w:rFonts w:hint="eastAsia" w:ascii="宋体" w:hAnsi="宋体" w:eastAsia="宋体" w:cs="宋体"/>
          <w:sz w:val="21"/>
          <w:highlight w:val="none"/>
          <w:lang w:val="zh-CN"/>
        </w:rPr>
        <w:t>日下午1</w:t>
      </w:r>
      <w:r>
        <w:rPr>
          <w:rFonts w:hint="eastAsia" w:ascii="宋体" w:hAnsi="宋体" w:eastAsia="宋体" w:cs="宋体"/>
          <w:sz w:val="21"/>
          <w:highlight w:val="none"/>
        </w:rPr>
        <w:t>6</w:t>
      </w:r>
      <w:r>
        <w:rPr>
          <w:rFonts w:hint="eastAsia" w:ascii="宋体" w:hAnsi="宋体" w:eastAsia="宋体" w:cs="宋体"/>
          <w:sz w:val="21"/>
          <w:highlight w:val="none"/>
          <w:lang w:val="zh-CN"/>
        </w:rPr>
        <w:t>：00止；</w:t>
      </w:r>
      <w:bookmarkStart w:id="67" w:name="_GoBack"/>
      <w:bookmarkEnd w:id="67"/>
    </w:p>
    <w:p w14:paraId="5E248961">
      <w:pPr>
        <w:spacing w:line="360" w:lineRule="auto"/>
        <w:ind w:firstLine="420" w:firstLineChars="200"/>
        <w:rPr>
          <w:rFonts w:hint="default" w:ascii="宋体" w:hAnsi="宋体" w:eastAsia="宋体" w:cs="宋体"/>
          <w:sz w:val="21"/>
          <w:lang w:val="en-US" w:eastAsia="zh-CN"/>
        </w:rPr>
      </w:pPr>
      <w:r>
        <w:rPr>
          <w:rFonts w:hint="eastAsia" w:ascii="宋体" w:hAnsi="宋体" w:eastAsia="宋体" w:cs="宋体"/>
          <w:sz w:val="21"/>
          <w:lang w:val="zh-CN"/>
        </w:rPr>
        <w:t>方式：网上免费获取（潜在供应商自行登录政府采购云平台（网址：http:// www.zcygov.cn）</w:t>
      </w:r>
      <w:r>
        <w:rPr>
          <w:rFonts w:hint="eastAsia" w:ascii="宋体" w:hAnsi="宋体" w:eastAsia="宋体" w:cs="宋体"/>
          <w:sz w:val="21"/>
          <w:lang w:val="en-US" w:eastAsia="zh-CN"/>
        </w:rPr>
        <w:t>注册</w:t>
      </w:r>
      <w:r>
        <w:rPr>
          <w:rFonts w:hint="eastAsia" w:ascii="宋体" w:hAnsi="宋体" w:eastAsia="宋体" w:cs="宋体"/>
          <w:sz w:val="21"/>
          <w:lang w:val="zh-CN"/>
        </w:rPr>
        <w:t>（https://middle.zcygov.cn/v-settle-front/registry）并下载竞争性磋商文件，其他途径获取的竞争性磋商文件开标时一律按无效投标处理）</w:t>
      </w:r>
      <w:r>
        <w:rPr>
          <w:rFonts w:hint="eastAsia" w:ascii="宋体" w:hAnsi="宋体" w:eastAsia="宋体" w:cs="宋体"/>
          <w:sz w:val="21"/>
        </w:rPr>
        <w:t>。</w:t>
      </w:r>
    </w:p>
    <w:p w14:paraId="4DCEF1C8">
      <w:pPr>
        <w:spacing w:line="360" w:lineRule="auto"/>
        <w:ind w:firstLine="420" w:firstLineChars="200"/>
        <w:rPr>
          <w:rFonts w:hint="default" w:ascii="宋体" w:hAnsi="宋体" w:eastAsia="宋体" w:cs="宋体"/>
          <w:sz w:val="21"/>
        </w:rPr>
      </w:pPr>
      <w:r>
        <w:rPr>
          <w:rFonts w:ascii="宋体" w:hAnsi="宋体" w:eastAsia="宋体" w:cs="宋体"/>
          <w:sz w:val="21"/>
        </w:rPr>
        <w:t>售价：0元。</w:t>
      </w:r>
    </w:p>
    <w:p w14:paraId="5BBBD107">
      <w:pPr>
        <w:spacing w:line="360" w:lineRule="auto"/>
        <w:rPr>
          <w:rFonts w:hint="default" w:ascii="宋体" w:hAnsi="宋体" w:eastAsia="宋体" w:cs="宋体"/>
          <w:sz w:val="21"/>
        </w:rPr>
      </w:pPr>
      <w:bookmarkStart w:id="16" w:name="_Toc28359092"/>
      <w:bookmarkStart w:id="17" w:name="_Toc35393632"/>
      <w:bookmarkStart w:id="18" w:name="_Toc35393801"/>
      <w:bookmarkStart w:id="19" w:name="_Toc28359015"/>
      <w:r>
        <w:rPr>
          <w:rFonts w:ascii="宋体" w:hAnsi="宋体" w:eastAsia="宋体" w:cs="宋体"/>
          <w:sz w:val="21"/>
        </w:rPr>
        <w:t>四、响应文件提交</w:t>
      </w:r>
      <w:bookmarkEnd w:id="16"/>
      <w:bookmarkEnd w:id="17"/>
      <w:bookmarkEnd w:id="18"/>
      <w:bookmarkEnd w:id="19"/>
    </w:p>
    <w:p w14:paraId="21FA7515">
      <w:pPr>
        <w:spacing w:line="360" w:lineRule="auto"/>
        <w:ind w:firstLine="420" w:firstLineChars="200"/>
        <w:rPr>
          <w:rFonts w:hint="eastAsia" w:ascii="宋体" w:hAnsi="宋体" w:eastAsia="宋体" w:cs="宋体"/>
          <w:sz w:val="21"/>
          <w:highlight w:val="none"/>
          <w:lang w:val="en-US" w:eastAsia="zh-CN"/>
        </w:rPr>
      </w:pPr>
      <w:bookmarkStart w:id="20" w:name="_Toc28359094"/>
      <w:bookmarkStart w:id="21" w:name="_Toc28359017"/>
      <w:bookmarkStart w:id="22" w:name="_Toc35393634"/>
      <w:bookmarkStart w:id="23" w:name="_Toc35393803"/>
      <w:r>
        <w:rPr>
          <w:rFonts w:hint="eastAsia" w:ascii="宋体" w:hAnsi="宋体" w:eastAsia="宋体" w:cs="宋体"/>
          <w:sz w:val="21"/>
          <w:lang w:val="en-US" w:eastAsia="zh-CN"/>
        </w:rPr>
        <w:t>截止时间</w:t>
      </w:r>
      <w:r>
        <w:rPr>
          <w:rFonts w:hint="eastAsia" w:ascii="宋体" w:hAnsi="宋体" w:eastAsia="宋体" w:cs="宋体"/>
          <w:sz w:val="21"/>
          <w:highlight w:val="none"/>
          <w:lang w:val="en-US" w:eastAsia="zh-CN"/>
        </w:rPr>
        <w:t>：</w:t>
      </w:r>
      <w:r>
        <w:rPr>
          <w:rFonts w:hint="eastAsia" w:cs="宋体"/>
          <w:color w:val="auto"/>
          <w:sz w:val="21"/>
          <w:highlight w:val="none"/>
          <w:lang w:val="en-US" w:eastAsia="zh-CN"/>
        </w:rPr>
        <w:t>2025</w:t>
      </w:r>
      <w:r>
        <w:rPr>
          <w:rFonts w:cs="宋体"/>
          <w:color w:val="auto"/>
          <w:sz w:val="21"/>
          <w:highlight w:val="none"/>
        </w:rPr>
        <w:t>年</w:t>
      </w:r>
      <w:r>
        <w:rPr>
          <w:rFonts w:hint="eastAsia" w:cs="宋体"/>
          <w:color w:val="auto"/>
          <w:sz w:val="21"/>
          <w:highlight w:val="none"/>
          <w:lang w:val="en-US" w:eastAsia="zh-CN"/>
        </w:rPr>
        <w:t>1月16日13</w:t>
      </w:r>
      <w:r>
        <w:rPr>
          <w:rFonts w:cs="宋体"/>
          <w:color w:val="auto"/>
          <w:sz w:val="21"/>
          <w:highlight w:val="none"/>
        </w:rPr>
        <w:t>点</w:t>
      </w:r>
      <w:r>
        <w:rPr>
          <w:rFonts w:hint="eastAsia" w:cs="宋体"/>
          <w:color w:val="auto"/>
          <w:sz w:val="21"/>
          <w:highlight w:val="none"/>
          <w:lang w:val="en-US" w:eastAsia="zh-CN"/>
        </w:rPr>
        <w:t>30</w:t>
      </w:r>
      <w:r>
        <w:rPr>
          <w:rFonts w:cs="宋体"/>
          <w:color w:val="auto"/>
          <w:sz w:val="21"/>
          <w:highlight w:val="none"/>
        </w:rPr>
        <w:t>分</w:t>
      </w:r>
      <w:r>
        <w:rPr>
          <w:rFonts w:hint="eastAsia" w:ascii="宋体" w:hAnsi="宋体" w:eastAsia="宋体" w:cs="宋体"/>
          <w:sz w:val="21"/>
          <w:highlight w:val="none"/>
          <w:lang w:val="en-US" w:eastAsia="zh-CN"/>
        </w:rPr>
        <w:t>（北京时间）；</w:t>
      </w:r>
    </w:p>
    <w:p w14:paraId="5E8530BA">
      <w:pPr>
        <w:spacing w:line="360" w:lineRule="auto"/>
        <w:ind w:firstLine="420" w:firstLineChars="20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地点：长春市二道区洋浦大街6999号凯利中心AB栋101</w:t>
      </w:r>
      <w:r>
        <w:rPr>
          <w:rFonts w:hint="eastAsia" w:cs="宋体"/>
          <w:sz w:val="21"/>
          <w:highlight w:val="none"/>
          <w:lang w:val="en-US" w:eastAsia="zh-CN"/>
        </w:rPr>
        <w:t>开标二室</w:t>
      </w:r>
      <w:r>
        <w:rPr>
          <w:rFonts w:hint="eastAsia" w:ascii="宋体" w:hAnsi="宋体" w:eastAsia="宋体" w:cs="宋体"/>
          <w:sz w:val="21"/>
          <w:highlight w:val="none"/>
          <w:lang w:val="en-US" w:eastAsia="zh-CN"/>
        </w:rPr>
        <w:t xml:space="preserve">； </w:t>
      </w:r>
    </w:p>
    <w:p w14:paraId="26DEF5A9">
      <w:pPr>
        <w:spacing w:line="360" w:lineRule="auto"/>
        <w:ind w:firstLine="420" w:firstLineChars="20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本项目执行电子化招投标，须通过政府采购云平台（网址：http:// www.zcygov.cn）递交电子版响应文件。</w:t>
      </w:r>
    </w:p>
    <w:p w14:paraId="72C819B4">
      <w:pPr>
        <w:spacing w:line="360" w:lineRule="auto"/>
        <w:ind w:firstLine="420" w:firstLineChars="20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投标操作流程：供应商在政府采购云平台网注册入库成为正式供应商后，在平台上按《政府采购项目电子交易管理操作指南-供应商》进行投标操作。</w:t>
      </w:r>
    </w:p>
    <w:p w14:paraId="2E53D5BA">
      <w:pPr>
        <w:spacing w:line="360" w:lineRule="auto"/>
        <w:ind w:firstLine="420" w:firstLineChars="20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数字证书办理及投标技术咨询：供应商须办理数字证书方可参加投标。</w:t>
      </w:r>
    </w:p>
    <w:p w14:paraId="1B1C0DA3">
      <w:pPr>
        <w:spacing w:line="360" w:lineRule="auto"/>
        <w:ind w:firstLine="420" w:firstLineChars="20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办理联系方式：95763。</w:t>
      </w:r>
    </w:p>
    <w:p w14:paraId="7C91A316">
      <w:pPr>
        <w:spacing w:line="360" w:lineRule="auto"/>
        <w:rPr>
          <w:rFonts w:hint="default" w:ascii="宋体" w:hAnsi="宋体" w:eastAsia="宋体" w:cs="宋体"/>
          <w:sz w:val="21"/>
          <w:highlight w:val="none"/>
          <w:lang w:val="en-US"/>
        </w:rPr>
      </w:pPr>
      <w:r>
        <w:rPr>
          <w:rFonts w:hint="eastAsia" w:ascii="宋体" w:hAnsi="宋体" w:eastAsia="宋体" w:cs="宋体"/>
          <w:sz w:val="21"/>
          <w:highlight w:val="none"/>
          <w:lang w:val="en-US" w:eastAsia="zh-CN"/>
        </w:rPr>
        <w:t>五、</w:t>
      </w:r>
      <w:r>
        <w:rPr>
          <w:rFonts w:hint="default" w:ascii="宋体" w:hAnsi="宋体" w:eastAsia="宋体" w:cs="宋体"/>
          <w:sz w:val="21"/>
          <w:highlight w:val="none"/>
          <w:lang w:val="en-US"/>
        </w:rPr>
        <w:t>开启</w:t>
      </w:r>
    </w:p>
    <w:p w14:paraId="798768C8">
      <w:pPr>
        <w:spacing w:line="360" w:lineRule="auto"/>
        <w:ind w:firstLine="420" w:firstLineChars="200"/>
        <w:rPr>
          <w:rFonts w:hint="default" w:ascii="宋体" w:hAnsi="宋体" w:eastAsia="宋体" w:cs="宋体"/>
          <w:sz w:val="21"/>
          <w:highlight w:val="none"/>
          <w:lang w:val="en-US"/>
        </w:rPr>
      </w:pPr>
      <w:r>
        <w:rPr>
          <w:rFonts w:hint="default" w:ascii="宋体" w:hAnsi="宋体" w:eastAsia="宋体" w:cs="宋体"/>
          <w:sz w:val="21"/>
          <w:highlight w:val="none"/>
          <w:lang w:val="en-US"/>
        </w:rPr>
        <w:t>时间：</w:t>
      </w:r>
      <w:r>
        <w:rPr>
          <w:rFonts w:hint="eastAsia" w:cs="宋体"/>
          <w:color w:val="auto"/>
          <w:sz w:val="21"/>
          <w:highlight w:val="none"/>
          <w:lang w:val="en-US" w:eastAsia="zh-CN"/>
        </w:rPr>
        <w:t>2025</w:t>
      </w:r>
      <w:r>
        <w:rPr>
          <w:rFonts w:cs="宋体"/>
          <w:color w:val="auto"/>
          <w:sz w:val="21"/>
          <w:highlight w:val="none"/>
        </w:rPr>
        <w:t>年</w:t>
      </w:r>
      <w:r>
        <w:rPr>
          <w:rFonts w:hint="eastAsia" w:cs="宋体"/>
          <w:color w:val="auto"/>
          <w:sz w:val="21"/>
          <w:highlight w:val="none"/>
          <w:lang w:val="en-US" w:eastAsia="zh-CN"/>
        </w:rPr>
        <w:t>1月16日13</w:t>
      </w:r>
      <w:r>
        <w:rPr>
          <w:rFonts w:cs="宋体"/>
          <w:color w:val="auto"/>
          <w:sz w:val="21"/>
          <w:highlight w:val="none"/>
        </w:rPr>
        <w:t>点</w:t>
      </w:r>
      <w:r>
        <w:rPr>
          <w:rFonts w:hint="eastAsia" w:cs="宋体"/>
          <w:color w:val="auto"/>
          <w:sz w:val="21"/>
          <w:highlight w:val="none"/>
          <w:lang w:val="en-US" w:eastAsia="zh-CN"/>
        </w:rPr>
        <w:t>30</w:t>
      </w:r>
      <w:r>
        <w:rPr>
          <w:rFonts w:cs="宋体"/>
          <w:color w:val="auto"/>
          <w:sz w:val="21"/>
          <w:highlight w:val="none"/>
        </w:rPr>
        <w:t>分</w:t>
      </w:r>
      <w:r>
        <w:rPr>
          <w:rFonts w:hint="default" w:ascii="宋体" w:hAnsi="宋体" w:eastAsia="宋体" w:cs="宋体"/>
          <w:sz w:val="21"/>
          <w:highlight w:val="none"/>
          <w:lang w:val="en-US"/>
        </w:rPr>
        <w:t>（北京时间）</w:t>
      </w:r>
    </w:p>
    <w:p w14:paraId="3D7C8F70">
      <w:pPr>
        <w:spacing w:line="360" w:lineRule="auto"/>
        <w:ind w:firstLine="420" w:firstLineChars="200"/>
        <w:rPr>
          <w:rFonts w:hint="default" w:ascii="宋体" w:hAnsi="宋体" w:eastAsia="宋体" w:cs="宋体"/>
          <w:sz w:val="21"/>
          <w:highlight w:val="none"/>
          <w:lang w:val="en-US"/>
        </w:rPr>
      </w:pPr>
      <w:r>
        <w:rPr>
          <w:rFonts w:hint="default" w:ascii="宋体" w:hAnsi="宋体" w:eastAsia="宋体" w:cs="宋体"/>
          <w:sz w:val="21"/>
          <w:highlight w:val="none"/>
          <w:lang w:val="en-US"/>
        </w:rPr>
        <w:t>地点：长春市二道区洋浦大街</w:t>
      </w:r>
      <w:r>
        <w:rPr>
          <w:rFonts w:hint="default" w:ascii="宋体" w:hAnsi="宋体" w:eastAsia="宋体" w:cs="宋体"/>
          <w:sz w:val="21"/>
          <w:highlight w:val="none"/>
          <w:lang w:val="en-US" w:eastAsia="zh-CN"/>
        </w:rPr>
        <w:t>6999号凯利中心AB栋101</w:t>
      </w:r>
      <w:r>
        <w:rPr>
          <w:rFonts w:hint="eastAsia" w:cs="宋体"/>
          <w:sz w:val="21"/>
          <w:highlight w:val="none"/>
          <w:lang w:val="en-US" w:eastAsia="zh-CN"/>
        </w:rPr>
        <w:t>开标二室</w:t>
      </w:r>
    </w:p>
    <w:p w14:paraId="0B9D1DF1">
      <w:pPr>
        <w:spacing w:line="360" w:lineRule="auto"/>
        <w:rPr>
          <w:rFonts w:hint="default" w:cs="宋体"/>
          <w:sz w:val="21"/>
        </w:rPr>
      </w:pPr>
      <w:r>
        <w:rPr>
          <w:rFonts w:cs="宋体"/>
          <w:sz w:val="21"/>
        </w:rPr>
        <w:t>六、公告期限</w:t>
      </w:r>
      <w:bookmarkEnd w:id="20"/>
      <w:bookmarkEnd w:id="21"/>
      <w:bookmarkEnd w:id="22"/>
      <w:bookmarkEnd w:id="23"/>
    </w:p>
    <w:p w14:paraId="587CF469">
      <w:pPr>
        <w:spacing w:line="360" w:lineRule="auto"/>
        <w:ind w:firstLine="420" w:firstLineChars="200"/>
        <w:rPr>
          <w:rFonts w:hint="default" w:cs="宋体"/>
          <w:sz w:val="21"/>
        </w:rPr>
      </w:pPr>
      <w:r>
        <w:rPr>
          <w:rFonts w:cs="宋体"/>
          <w:sz w:val="21"/>
        </w:rPr>
        <w:t>自本公告发布之日起5个工作日。</w:t>
      </w:r>
    </w:p>
    <w:p w14:paraId="2CE3BADE">
      <w:pPr>
        <w:spacing w:line="360" w:lineRule="auto"/>
        <w:rPr>
          <w:rFonts w:hint="default" w:cs="宋体"/>
          <w:sz w:val="21"/>
        </w:rPr>
      </w:pPr>
      <w:bookmarkStart w:id="24" w:name="_Toc35393804"/>
      <w:bookmarkStart w:id="25" w:name="_Toc35393635"/>
      <w:r>
        <w:rPr>
          <w:rFonts w:cs="宋体"/>
          <w:sz w:val="21"/>
        </w:rPr>
        <w:t>七、其他补充事宜</w:t>
      </w:r>
      <w:bookmarkEnd w:id="24"/>
      <w:bookmarkEnd w:id="25"/>
    </w:p>
    <w:p w14:paraId="255D252E">
      <w:pPr>
        <w:spacing w:line="360" w:lineRule="auto"/>
        <w:ind w:firstLine="420" w:firstLineChars="200"/>
        <w:rPr>
          <w:rFonts w:hint="default" w:cs="宋体"/>
          <w:sz w:val="21"/>
          <w:highlight w:val="none"/>
        </w:rPr>
      </w:pPr>
      <w:bookmarkStart w:id="26" w:name="_Toc35393805"/>
      <w:bookmarkStart w:id="27" w:name="_Toc28359018"/>
      <w:bookmarkStart w:id="28" w:name="_Toc28359095"/>
      <w:bookmarkStart w:id="29" w:name="_Toc35393636"/>
      <w:r>
        <w:rPr>
          <w:rFonts w:hint="eastAsia" w:cs="宋体"/>
          <w:sz w:val="21"/>
          <w:highlight w:val="none"/>
          <w:lang w:val="en-US" w:eastAsia="zh-CN"/>
        </w:rPr>
        <w:t>本次磋商公告同时在《政采云平台（https://www.zcygov.cn/）》、《中国政府采购网》、《长春市公共资源交易网》上发布。</w:t>
      </w:r>
    </w:p>
    <w:p w14:paraId="253CE1CC">
      <w:pPr>
        <w:spacing w:line="360" w:lineRule="auto"/>
        <w:rPr>
          <w:rFonts w:hint="default" w:cs="宋体"/>
          <w:sz w:val="21"/>
        </w:rPr>
      </w:pPr>
      <w:r>
        <w:rPr>
          <w:rFonts w:cs="宋体"/>
          <w:sz w:val="21"/>
        </w:rPr>
        <w:t>八、凡对本次采购提出询问，请按以下方式联系。</w:t>
      </w:r>
      <w:bookmarkEnd w:id="26"/>
      <w:bookmarkEnd w:id="27"/>
      <w:bookmarkEnd w:id="28"/>
      <w:bookmarkEnd w:id="29"/>
    </w:p>
    <w:p w14:paraId="4F0726F9">
      <w:pPr>
        <w:spacing w:line="360" w:lineRule="auto"/>
        <w:ind w:firstLine="420" w:firstLineChars="200"/>
        <w:rPr>
          <w:rFonts w:hint="default" w:cs="宋体"/>
          <w:sz w:val="21"/>
        </w:rPr>
      </w:pPr>
      <w:r>
        <w:rPr>
          <w:rFonts w:cs="宋体"/>
          <w:sz w:val="21"/>
        </w:rPr>
        <w:t>1.采购人信息</w:t>
      </w:r>
    </w:p>
    <w:p w14:paraId="4AC6D0BD">
      <w:pPr>
        <w:spacing w:line="360" w:lineRule="auto"/>
        <w:ind w:firstLine="420" w:firstLineChars="200"/>
        <w:rPr>
          <w:rFonts w:hint="default" w:cs="宋体"/>
          <w:sz w:val="21"/>
        </w:rPr>
      </w:pPr>
      <w:r>
        <w:rPr>
          <w:rFonts w:cs="宋体"/>
          <w:sz w:val="21"/>
        </w:rPr>
        <w:t>名    称：长春市消防救援支队</w:t>
      </w:r>
    </w:p>
    <w:p w14:paraId="6BE016F2">
      <w:pPr>
        <w:spacing w:line="360" w:lineRule="auto"/>
        <w:ind w:firstLine="420" w:firstLineChars="200"/>
        <w:rPr>
          <w:rFonts w:hint="default" w:cs="宋体"/>
          <w:sz w:val="21"/>
        </w:rPr>
      </w:pPr>
      <w:r>
        <w:rPr>
          <w:rFonts w:cs="宋体"/>
          <w:sz w:val="21"/>
        </w:rPr>
        <w:t>地    址：吉林省长春市南关区亚泰大街6555号</w:t>
      </w:r>
    </w:p>
    <w:p w14:paraId="466031E4">
      <w:pPr>
        <w:spacing w:line="360" w:lineRule="auto"/>
        <w:ind w:firstLine="420" w:firstLineChars="200"/>
        <w:rPr>
          <w:rFonts w:hint="default" w:ascii="宋体" w:hAnsi="宋体" w:eastAsia="宋体" w:cs="宋体"/>
          <w:sz w:val="21"/>
        </w:rPr>
      </w:pPr>
      <w:r>
        <w:rPr>
          <w:rFonts w:ascii="宋体" w:hAnsi="宋体" w:eastAsia="宋体" w:cs="宋体"/>
          <w:sz w:val="21"/>
        </w:rPr>
        <w:t>联系方式：单梓真、</w:t>
      </w:r>
      <w:r>
        <w:rPr>
          <w:rFonts w:hint="eastAsia" w:ascii="宋体" w:hAnsi="宋体" w:eastAsia="宋体" w:cs="宋体"/>
          <w:sz w:val="21"/>
        </w:rPr>
        <w:t>0431-80776175</w:t>
      </w:r>
    </w:p>
    <w:p w14:paraId="006AB6C2">
      <w:pPr>
        <w:spacing w:line="360" w:lineRule="auto"/>
        <w:ind w:firstLine="420" w:firstLineChars="200"/>
        <w:rPr>
          <w:rFonts w:hint="default" w:ascii="宋体" w:hAnsi="宋体" w:eastAsia="宋体" w:cs="宋体"/>
          <w:sz w:val="21"/>
        </w:rPr>
      </w:pPr>
      <w:r>
        <w:rPr>
          <w:rFonts w:ascii="宋体" w:hAnsi="宋体" w:eastAsia="宋体" w:cs="宋体"/>
          <w:sz w:val="21"/>
        </w:rPr>
        <w:t>2.采购代理机构信息</w:t>
      </w:r>
    </w:p>
    <w:p w14:paraId="613BE28B">
      <w:pPr>
        <w:spacing w:line="360" w:lineRule="auto"/>
        <w:ind w:firstLine="420" w:firstLineChars="200"/>
        <w:rPr>
          <w:rFonts w:hint="default" w:ascii="宋体" w:hAnsi="宋体" w:eastAsia="宋体" w:cs="宋体"/>
          <w:sz w:val="21"/>
        </w:rPr>
      </w:pPr>
      <w:r>
        <w:rPr>
          <w:rFonts w:ascii="宋体" w:hAnsi="宋体" w:eastAsia="宋体" w:cs="宋体"/>
          <w:sz w:val="21"/>
        </w:rPr>
        <w:t>名    称：</w:t>
      </w:r>
      <w:r>
        <w:rPr>
          <w:rFonts w:hint="eastAsia" w:ascii="宋体" w:hAnsi="宋体" w:eastAsia="宋体" w:cs="宋体"/>
          <w:sz w:val="21"/>
          <w:lang w:val="zh-CN"/>
        </w:rPr>
        <w:t>吉林省中锦工程管理有限公司</w:t>
      </w:r>
    </w:p>
    <w:p w14:paraId="0FCD0147">
      <w:pPr>
        <w:spacing w:line="360" w:lineRule="auto"/>
        <w:ind w:firstLine="420" w:firstLineChars="200"/>
        <w:rPr>
          <w:rFonts w:hint="default" w:ascii="宋体" w:hAnsi="宋体" w:eastAsia="宋体" w:cs="宋体"/>
          <w:sz w:val="21"/>
        </w:rPr>
      </w:pPr>
      <w:r>
        <w:rPr>
          <w:rFonts w:ascii="宋体" w:hAnsi="宋体" w:eastAsia="宋体" w:cs="宋体"/>
          <w:sz w:val="21"/>
        </w:rPr>
        <w:t>地    址：</w:t>
      </w:r>
      <w:r>
        <w:rPr>
          <w:rFonts w:hint="eastAsia" w:ascii="宋体" w:hAnsi="宋体" w:eastAsia="宋体" w:cs="宋体"/>
          <w:sz w:val="21"/>
        </w:rPr>
        <w:t>长春市朝阳区光谷大街与飞跃中路交汇宝莱雅居一期东南2门2楼204</w:t>
      </w:r>
    </w:p>
    <w:p w14:paraId="2FDADD3F">
      <w:pPr>
        <w:spacing w:line="360" w:lineRule="auto"/>
        <w:ind w:firstLine="420" w:firstLineChars="200"/>
        <w:rPr>
          <w:rFonts w:hint="default" w:ascii="宋体" w:hAnsi="宋体" w:eastAsia="宋体" w:cs="宋体"/>
          <w:sz w:val="21"/>
          <w:lang w:val="en-US" w:eastAsia="zh-CN"/>
        </w:rPr>
      </w:pPr>
      <w:r>
        <w:rPr>
          <w:rFonts w:ascii="宋体" w:hAnsi="宋体" w:eastAsia="宋体" w:cs="宋体"/>
          <w:sz w:val="21"/>
        </w:rPr>
        <w:t>联系方式：</w:t>
      </w:r>
      <w:r>
        <w:rPr>
          <w:rFonts w:hint="eastAsia" w:ascii="宋体" w:hAnsi="宋体" w:eastAsia="宋体" w:cs="宋体"/>
          <w:sz w:val="21"/>
        </w:rPr>
        <w:t>傅晓艺</w:t>
      </w:r>
      <w:r>
        <w:rPr>
          <w:rFonts w:ascii="宋体" w:hAnsi="宋体" w:eastAsia="宋体" w:cs="宋体"/>
          <w:sz w:val="21"/>
        </w:rPr>
        <w:t>、</w:t>
      </w:r>
      <w:r>
        <w:rPr>
          <w:rFonts w:hint="eastAsia" w:ascii="宋体" w:hAnsi="宋体" w:eastAsia="宋体" w:cs="宋体"/>
          <w:sz w:val="21"/>
        </w:rPr>
        <w:t>13180878378</w:t>
      </w:r>
    </w:p>
    <w:p w14:paraId="06A81A39">
      <w:pPr>
        <w:spacing w:line="360" w:lineRule="auto"/>
        <w:ind w:firstLine="420" w:firstLineChars="200"/>
        <w:rPr>
          <w:rFonts w:hint="default" w:ascii="宋体" w:hAnsi="宋体" w:eastAsia="宋体" w:cs="宋体"/>
          <w:sz w:val="21"/>
        </w:rPr>
      </w:pPr>
      <w:r>
        <w:rPr>
          <w:rFonts w:ascii="宋体" w:hAnsi="宋体" w:eastAsia="宋体" w:cs="宋体"/>
          <w:sz w:val="21"/>
        </w:rPr>
        <w:t>3.项目联系方式</w:t>
      </w:r>
    </w:p>
    <w:p w14:paraId="2B8B0DDD">
      <w:pPr>
        <w:spacing w:line="360" w:lineRule="auto"/>
        <w:ind w:firstLine="420" w:firstLineChars="200"/>
        <w:rPr>
          <w:rFonts w:hint="default" w:ascii="宋体" w:hAnsi="宋体" w:eastAsia="宋体" w:cs="宋体"/>
          <w:sz w:val="21"/>
        </w:rPr>
      </w:pPr>
      <w:r>
        <w:rPr>
          <w:rFonts w:ascii="宋体" w:hAnsi="宋体" w:eastAsia="宋体" w:cs="宋体"/>
          <w:sz w:val="21"/>
        </w:rPr>
        <w:t>项目联系人：</w:t>
      </w:r>
      <w:r>
        <w:rPr>
          <w:rFonts w:hint="eastAsia" w:ascii="宋体" w:hAnsi="宋体" w:eastAsia="宋体" w:cs="宋体"/>
          <w:sz w:val="21"/>
        </w:rPr>
        <w:t>傅晓艺</w:t>
      </w:r>
    </w:p>
    <w:p w14:paraId="61BBED42">
      <w:pPr>
        <w:spacing w:line="380" w:lineRule="exact"/>
        <w:ind w:firstLine="420" w:firstLineChars="200"/>
        <w:rPr>
          <w:rFonts w:hint="eastAsia" w:ascii="宋体" w:hAnsi="宋体" w:eastAsia="宋体" w:cs="宋体"/>
          <w:sz w:val="21"/>
        </w:rPr>
      </w:pPr>
      <w:r>
        <w:rPr>
          <w:rFonts w:ascii="宋体" w:hAnsi="宋体" w:eastAsia="宋体" w:cs="宋体"/>
          <w:sz w:val="21"/>
        </w:rPr>
        <w:t>电话：</w:t>
      </w:r>
      <w:r>
        <w:rPr>
          <w:rFonts w:hint="eastAsia" w:ascii="宋体" w:hAnsi="宋体" w:eastAsia="宋体" w:cs="宋体"/>
          <w:sz w:val="21"/>
        </w:rPr>
        <w:t>13180878378</w:t>
      </w:r>
    </w:p>
    <w:p w14:paraId="674ED223">
      <w:pPr>
        <w:spacing w:line="380" w:lineRule="exact"/>
        <w:ind w:firstLine="420" w:firstLineChars="200"/>
        <w:rPr>
          <w:rFonts w:hint="default" w:ascii="宋体" w:hAnsi="宋体" w:eastAsia="宋体" w:cs="宋体"/>
          <w:sz w:val="21"/>
        </w:rPr>
      </w:pPr>
    </w:p>
    <w:p w14:paraId="19289EFE">
      <w:pPr>
        <w:spacing w:line="360" w:lineRule="auto"/>
        <w:ind w:firstLine="420" w:firstLineChars="200"/>
        <w:rPr>
          <w:rFonts w:hint="default" w:ascii="宋体" w:hAnsi="宋体" w:eastAsia="宋体" w:cs="宋体"/>
          <w:sz w:val="21"/>
        </w:rPr>
      </w:pPr>
      <w:r>
        <w:rPr>
          <w:rFonts w:hint="default" w:ascii="宋体" w:hAnsi="宋体" w:eastAsia="宋体" w:cs="宋体"/>
          <w:sz w:val="21"/>
        </w:rPr>
        <w:t>来源：吉林省中锦工程管理有限公司</w:t>
      </w:r>
    </w:p>
    <w:p w14:paraId="5DFECB03">
      <w:pPr>
        <w:spacing w:line="360" w:lineRule="auto"/>
        <w:ind w:firstLine="420" w:firstLineChars="200"/>
        <w:rPr>
          <w:rFonts w:hint="default" w:ascii="宋体" w:hAnsi="宋体" w:eastAsia="宋体" w:cs="宋体"/>
          <w:sz w:val="21"/>
        </w:rPr>
      </w:pPr>
      <w:r>
        <w:rPr>
          <w:rFonts w:hint="default" w:ascii="宋体" w:hAnsi="宋体" w:eastAsia="宋体" w:cs="宋体"/>
          <w:sz w:val="21"/>
        </w:rPr>
        <w:t>初审：傅晓艺</w:t>
      </w:r>
    </w:p>
    <w:p w14:paraId="0BAA9D66">
      <w:pPr>
        <w:spacing w:line="360" w:lineRule="auto"/>
        <w:ind w:firstLine="420" w:firstLineChars="200"/>
        <w:rPr>
          <w:rFonts w:hint="default" w:ascii="宋体" w:hAnsi="宋体" w:eastAsia="宋体" w:cs="宋体"/>
          <w:sz w:val="21"/>
        </w:rPr>
      </w:pPr>
      <w:r>
        <w:rPr>
          <w:rFonts w:hint="default" w:ascii="宋体" w:hAnsi="宋体" w:eastAsia="宋体" w:cs="宋体"/>
          <w:sz w:val="21"/>
        </w:rPr>
        <w:t>复审：王乔淞</w:t>
      </w:r>
    </w:p>
    <w:p w14:paraId="3C12B9C2">
      <w:pPr>
        <w:spacing w:line="360" w:lineRule="auto"/>
        <w:ind w:firstLine="420" w:firstLineChars="200"/>
        <w:rPr>
          <w:rFonts w:hint="default" w:ascii="宋体" w:hAnsi="宋体" w:eastAsia="宋体" w:cs="宋体"/>
          <w:sz w:val="21"/>
        </w:rPr>
      </w:pPr>
      <w:r>
        <w:rPr>
          <w:rFonts w:hint="default" w:ascii="宋体" w:hAnsi="宋体" w:eastAsia="宋体" w:cs="宋体"/>
          <w:sz w:val="21"/>
        </w:rPr>
        <w:t>终审：单梓真</w:t>
      </w:r>
    </w:p>
    <w:p w14:paraId="4F52674F">
      <w:pPr>
        <w:jc w:val="center"/>
        <w:rPr>
          <w:rFonts w:hint="default" w:cs="宋体"/>
        </w:rPr>
      </w:pPr>
      <w:r>
        <w:rPr>
          <w:rFonts w:cs="宋体"/>
        </w:rPr>
        <w:br w:type="page"/>
      </w:r>
      <w:r>
        <w:rPr>
          <w:rFonts w:cs="宋体"/>
          <w:sz w:val="28"/>
        </w:rPr>
        <w:t>第二章</w:t>
      </w:r>
      <w:r>
        <w:rPr>
          <w:rFonts w:cs="宋体"/>
          <w:sz w:val="28"/>
        </w:rPr>
        <w:tab/>
      </w:r>
      <w:r>
        <w:rPr>
          <w:rFonts w:cs="宋体"/>
          <w:sz w:val="28"/>
        </w:rPr>
        <w:t>投标供应商须知</w:t>
      </w:r>
    </w:p>
    <w:p w14:paraId="6E277FDF">
      <w:pPr>
        <w:rPr>
          <w:rFonts w:hint="default" w:cs="宋体"/>
        </w:rPr>
      </w:pPr>
    </w:p>
    <w:p w14:paraId="080DF439">
      <w:pPr>
        <w:jc w:val="center"/>
        <w:rPr>
          <w:rFonts w:hint="default" w:cs="宋体"/>
        </w:rPr>
      </w:pPr>
      <w:bookmarkStart w:id="30" w:name="投标供应商须知前附表"/>
      <w:bookmarkEnd w:id="30"/>
      <w:r>
        <w:rPr>
          <w:rFonts w:cs="宋体"/>
        </w:rPr>
        <w:t>投标供应商须知前附表</w:t>
      </w:r>
    </w:p>
    <w:tbl>
      <w:tblPr>
        <w:tblStyle w:val="23"/>
        <w:tblW w:w="10089" w:type="dxa"/>
        <w:jc w:val="center"/>
        <w:tblLayout w:type="fixed"/>
        <w:tblCellMar>
          <w:top w:w="0" w:type="dxa"/>
          <w:left w:w="108" w:type="dxa"/>
          <w:bottom w:w="0" w:type="dxa"/>
          <w:right w:w="108" w:type="dxa"/>
        </w:tblCellMar>
      </w:tblPr>
      <w:tblGrid>
        <w:gridCol w:w="1137"/>
        <w:gridCol w:w="2128"/>
        <w:gridCol w:w="6824"/>
      </w:tblGrid>
      <w:tr w14:paraId="32CE7316">
        <w:tblPrEx>
          <w:tblCellMar>
            <w:top w:w="0" w:type="dxa"/>
            <w:left w:w="108" w:type="dxa"/>
            <w:bottom w:w="0" w:type="dxa"/>
            <w:right w:w="108" w:type="dxa"/>
          </w:tblCellMar>
        </w:tblPrEx>
        <w:trPr>
          <w:trHeight w:val="440"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08C920">
            <w:pPr>
              <w:spacing w:line="360" w:lineRule="auto"/>
              <w:jc w:val="center"/>
              <w:rPr>
                <w:rFonts w:hint="default" w:cs="宋体"/>
                <w:sz w:val="21"/>
              </w:rPr>
            </w:pPr>
            <w:r>
              <w:rPr>
                <w:rFonts w:cs="宋体"/>
                <w:sz w:val="21"/>
              </w:rPr>
              <w:t>条款号</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72E8C8">
            <w:pPr>
              <w:spacing w:line="360" w:lineRule="auto"/>
              <w:jc w:val="center"/>
              <w:rPr>
                <w:rFonts w:hint="default" w:cs="宋体"/>
                <w:sz w:val="21"/>
              </w:rPr>
            </w:pPr>
            <w:r>
              <w:rPr>
                <w:rFonts w:cs="宋体"/>
                <w:sz w:val="21"/>
              </w:rPr>
              <w:t>条款名称</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45FCB9">
            <w:pPr>
              <w:spacing w:line="360" w:lineRule="auto"/>
              <w:jc w:val="center"/>
              <w:rPr>
                <w:rFonts w:hint="default" w:cs="宋体"/>
                <w:sz w:val="21"/>
              </w:rPr>
            </w:pPr>
            <w:r>
              <w:rPr>
                <w:rFonts w:cs="宋体"/>
                <w:sz w:val="21"/>
              </w:rPr>
              <w:t>编列内容</w:t>
            </w:r>
          </w:p>
        </w:tc>
      </w:tr>
      <w:tr w14:paraId="1059D885">
        <w:tblPrEx>
          <w:tblCellMar>
            <w:top w:w="0" w:type="dxa"/>
            <w:left w:w="108" w:type="dxa"/>
            <w:bottom w:w="0" w:type="dxa"/>
            <w:right w:w="108" w:type="dxa"/>
          </w:tblCellMar>
        </w:tblPrEx>
        <w:trPr>
          <w:trHeight w:val="817"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90A8A1A">
            <w:pPr>
              <w:spacing w:line="360" w:lineRule="auto"/>
              <w:jc w:val="center"/>
              <w:rPr>
                <w:rFonts w:hint="default" w:cs="宋体"/>
                <w:sz w:val="21"/>
              </w:rPr>
            </w:pPr>
            <w:r>
              <w:rPr>
                <w:rFonts w:cs="宋体"/>
                <w:sz w:val="21"/>
              </w:rPr>
              <w:t>1.1.2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2DCEFB">
            <w:pPr>
              <w:spacing w:line="360" w:lineRule="auto"/>
              <w:jc w:val="center"/>
              <w:rPr>
                <w:rFonts w:hint="default" w:cs="宋体"/>
                <w:sz w:val="21"/>
              </w:rPr>
            </w:pPr>
            <w:r>
              <w:rPr>
                <w:rFonts w:cs="宋体"/>
                <w:sz w:val="21"/>
              </w:rPr>
              <w:t>采购人</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8C7BA0">
            <w:pPr>
              <w:spacing w:line="360" w:lineRule="auto"/>
              <w:jc w:val="left"/>
              <w:rPr>
                <w:rFonts w:hint="default" w:cs="宋体"/>
                <w:sz w:val="21"/>
              </w:rPr>
            </w:pPr>
            <w:r>
              <w:rPr>
                <w:rFonts w:cs="宋体"/>
                <w:sz w:val="21"/>
              </w:rPr>
              <w:t>采购人：长春市消防救援支队</w:t>
            </w:r>
          </w:p>
          <w:p w14:paraId="1B718BC6">
            <w:pPr>
              <w:spacing w:line="360" w:lineRule="auto"/>
              <w:jc w:val="left"/>
              <w:rPr>
                <w:rFonts w:hint="default" w:cs="宋体"/>
                <w:sz w:val="21"/>
              </w:rPr>
            </w:pPr>
            <w:r>
              <w:rPr>
                <w:rFonts w:cs="宋体"/>
                <w:sz w:val="21"/>
              </w:rPr>
              <w:t>地址:吉林省长春市南关区亚泰大街6555号</w:t>
            </w:r>
          </w:p>
          <w:p w14:paraId="59FAD03A">
            <w:pPr>
              <w:spacing w:line="360" w:lineRule="auto"/>
              <w:jc w:val="left"/>
              <w:rPr>
                <w:rFonts w:hint="default" w:cs="宋体"/>
                <w:sz w:val="21"/>
              </w:rPr>
            </w:pPr>
            <w:r>
              <w:rPr>
                <w:rFonts w:cs="宋体"/>
                <w:sz w:val="21"/>
              </w:rPr>
              <w:t>联系方式：单梓真、</w:t>
            </w:r>
            <w:r>
              <w:rPr>
                <w:rFonts w:hint="eastAsia" w:ascii="宋体" w:hAnsi="宋体" w:eastAsia="宋体" w:cs="宋体"/>
                <w:sz w:val="21"/>
              </w:rPr>
              <w:t>0431-80776175</w:t>
            </w:r>
          </w:p>
        </w:tc>
      </w:tr>
      <w:tr w14:paraId="6E8B863C">
        <w:tblPrEx>
          <w:tblCellMar>
            <w:top w:w="0" w:type="dxa"/>
            <w:left w:w="108" w:type="dxa"/>
            <w:bottom w:w="0" w:type="dxa"/>
            <w:right w:w="108" w:type="dxa"/>
          </w:tblCellMar>
        </w:tblPrEx>
        <w:trPr>
          <w:trHeight w:val="816"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BBC015">
            <w:pPr>
              <w:spacing w:line="360" w:lineRule="auto"/>
              <w:jc w:val="center"/>
              <w:rPr>
                <w:rFonts w:hint="default" w:cs="宋体"/>
                <w:sz w:val="21"/>
              </w:rPr>
            </w:pPr>
            <w:r>
              <w:rPr>
                <w:rFonts w:cs="宋体"/>
                <w:sz w:val="21"/>
              </w:rPr>
              <w:t>1.1.3</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694083">
            <w:pPr>
              <w:spacing w:line="360" w:lineRule="auto"/>
              <w:jc w:val="center"/>
              <w:rPr>
                <w:rFonts w:hint="default" w:cs="宋体"/>
                <w:sz w:val="21"/>
              </w:rPr>
            </w:pPr>
            <w:r>
              <w:rPr>
                <w:rFonts w:cs="宋体"/>
                <w:sz w:val="21"/>
              </w:rPr>
              <w:t>采购代理机构</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843C4D">
            <w:pPr>
              <w:spacing w:line="360" w:lineRule="auto"/>
              <w:jc w:val="left"/>
              <w:rPr>
                <w:rFonts w:hint="default" w:cs="宋体"/>
                <w:sz w:val="21"/>
              </w:rPr>
            </w:pPr>
            <w:r>
              <w:rPr>
                <w:rFonts w:hint="default" w:cs="宋体"/>
                <w:sz w:val="21"/>
              </w:rPr>
              <w:t>名    称：吉林省中锦工程管理有限公司</w:t>
            </w:r>
          </w:p>
          <w:p w14:paraId="77312ABD">
            <w:pPr>
              <w:spacing w:line="360" w:lineRule="auto"/>
              <w:jc w:val="left"/>
              <w:rPr>
                <w:rFonts w:hint="default" w:cs="宋体"/>
                <w:sz w:val="21"/>
              </w:rPr>
            </w:pPr>
            <w:r>
              <w:rPr>
                <w:rFonts w:hint="default" w:cs="宋体"/>
                <w:sz w:val="21"/>
              </w:rPr>
              <w:t>地    址：长春市朝阳区光谷大街与飞跃中路交汇宝莱雅居一期东南2门2楼204</w:t>
            </w:r>
          </w:p>
          <w:p w14:paraId="211C0E7B">
            <w:pPr>
              <w:spacing w:line="360" w:lineRule="auto"/>
              <w:jc w:val="left"/>
              <w:rPr>
                <w:rFonts w:hint="default" w:cs="宋体"/>
                <w:sz w:val="21"/>
              </w:rPr>
            </w:pPr>
            <w:r>
              <w:rPr>
                <w:rFonts w:hint="default" w:cs="宋体"/>
                <w:sz w:val="21"/>
              </w:rPr>
              <w:t>联系方式：傅晓艺、13180878378</w:t>
            </w:r>
          </w:p>
        </w:tc>
      </w:tr>
      <w:tr w14:paraId="54466FC0">
        <w:tblPrEx>
          <w:tblCellMar>
            <w:top w:w="0" w:type="dxa"/>
            <w:left w:w="108" w:type="dxa"/>
            <w:bottom w:w="0" w:type="dxa"/>
            <w:right w:w="108" w:type="dxa"/>
          </w:tblCellMar>
        </w:tblPrEx>
        <w:trPr>
          <w:trHeight w:val="440"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7D45F8">
            <w:pPr>
              <w:spacing w:line="360" w:lineRule="auto"/>
              <w:jc w:val="center"/>
              <w:rPr>
                <w:rFonts w:hint="default" w:cs="宋体"/>
                <w:sz w:val="21"/>
              </w:rPr>
            </w:pPr>
            <w:r>
              <w:rPr>
                <w:rFonts w:cs="宋体"/>
                <w:sz w:val="21"/>
              </w:rPr>
              <w:t>1.1.4</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8C2B6C">
            <w:pPr>
              <w:spacing w:line="360" w:lineRule="auto"/>
              <w:jc w:val="center"/>
              <w:rPr>
                <w:rFonts w:hint="default" w:cs="宋体"/>
                <w:sz w:val="21"/>
              </w:rPr>
            </w:pPr>
            <w:r>
              <w:rPr>
                <w:rFonts w:cs="宋体"/>
                <w:sz w:val="21"/>
              </w:rPr>
              <w:t>项目名称</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8266B2">
            <w:pPr>
              <w:spacing w:line="360" w:lineRule="auto"/>
              <w:rPr>
                <w:rFonts w:hint="eastAsia" w:eastAsia="宋体" w:cs="宋体"/>
                <w:sz w:val="21"/>
                <w:lang w:eastAsia="zh-CN"/>
              </w:rPr>
            </w:pPr>
            <w:r>
              <w:rPr>
                <w:rFonts w:hint="eastAsia" w:cs="宋体"/>
                <w:sz w:val="21"/>
                <w:lang w:eastAsia="zh-CN"/>
              </w:rPr>
              <w:t>长春市消防救援支队202</w:t>
            </w:r>
            <w:r>
              <w:rPr>
                <w:rFonts w:hint="eastAsia" w:cs="宋体"/>
                <w:sz w:val="21"/>
                <w:lang w:val="en-US" w:eastAsia="zh-CN"/>
              </w:rPr>
              <w:t>5</w:t>
            </w:r>
            <w:r>
              <w:rPr>
                <w:rFonts w:hint="eastAsia" w:cs="宋体"/>
                <w:sz w:val="21"/>
                <w:lang w:eastAsia="zh-CN"/>
              </w:rPr>
              <w:t>-202</w:t>
            </w:r>
            <w:r>
              <w:rPr>
                <w:rFonts w:hint="eastAsia" w:cs="宋体"/>
                <w:sz w:val="21"/>
                <w:lang w:val="en-US" w:eastAsia="zh-CN"/>
              </w:rPr>
              <w:t>6</w:t>
            </w:r>
            <w:r>
              <w:rPr>
                <w:rFonts w:hint="eastAsia" w:cs="宋体"/>
                <w:sz w:val="21"/>
                <w:lang w:eastAsia="zh-CN"/>
              </w:rPr>
              <w:t>年度指战员人身意外伤害保险采购项目</w:t>
            </w:r>
          </w:p>
        </w:tc>
      </w:tr>
      <w:tr w14:paraId="177A71CE">
        <w:tblPrEx>
          <w:tblCellMar>
            <w:top w:w="0" w:type="dxa"/>
            <w:left w:w="108" w:type="dxa"/>
            <w:bottom w:w="0" w:type="dxa"/>
            <w:right w:w="108" w:type="dxa"/>
          </w:tblCellMar>
        </w:tblPrEx>
        <w:trPr>
          <w:trHeight w:val="440"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6BCEC7">
            <w:pPr>
              <w:spacing w:line="360" w:lineRule="auto"/>
              <w:jc w:val="center"/>
              <w:rPr>
                <w:rFonts w:hint="default" w:cs="宋体"/>
                <w:sz w:val="21"/>
              </w:rPr>
            </w:pPr>
            <w:r>
              <w:rPr>
                <w:rFonts w:cs="宋体"/>
                <w:sz w:val="21"/>
              </w:rPr>
              <w:t>1.1.5</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115DDB">
            <w:pPr>
              <w:spacing w:line="360" w:lineRule="auto"/>
              <w:jc w:val="center"/>
              <w:rPr>
                <w:rFonts w:hint="default" w:cs="宋体"/>
                <w:sz w:val="21"/>
              </w:rPr>
            </w:pPr>
            <w:r>
              <w:rPr>
                <w:rFonts w:cs="宋体"/>
                <w:sz w:val="21"/>
              </w:rPr>
              <w:t>服务地点</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C51E3A">
            <w:pPr>
              <w:spacing w:line="360" w:lineRule="auto"/>
              <w:rPr>
                <w:rFonts w:hint="default" w:cs="宋体"/>
                <w:sz w:val="21"/>
              </w:rPr>
            </w:pPr>
            <w:r>
              <w:rPr>
                <w:rFonts w:cs="宋体"/>
                <w:sz w:val="21"/>
              </w:rPr>
              <w:t>采购人指定地点。</w:t>
            </w:r>
          </w:p>
        </w:tc>
      </w:tr>
      <w:tr w14:paraId="4B5628F5">
        <w:tblPrEx>
          <w:tblCellMar>
            <w:top w:w="0" w:type="dxa"/>
            <w:left w:w="108" w:type="dxa"/>
            <w:bottom w:w="0" w:type="dxa"/>
            <w:right w:w="108" w:type="dxa"/>
          </w:tblCellMar>
        </w:tblPrEx>
        <w:trPr>
          <w:trHeight w:val="440"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996F55A">
            <w:pPr>
              <w:spacing w:line="360" w:lineRule="auto"/>
              <w:jc w:val="center"/>
              <w:rPr>
                <w:rFonts w:hint="default" w:cs="宋体"/>
                <w:sz w:val="21"/>
              </w:rPr>
            </w:pPr>
            <w:r>
              <w:rPr>
                <w:rFonts w:cs="宋体"/>
                <w:sz w:val="21"/>
              </w:rPr>
              <w:t>1.2.1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FAB174">
            <w:pPr>
              <w:spacing w:line="360" w:lineRule="auto"/>
              <w:jc w:val="center"/>
              <w:rPr>
                <w:rFonts w:hint="default" w:cs="宋体"/>
                <w:sz w:val="21"/>
                <w:highlight w:val="none"/>
              </w:rPr>
            </w:pPr>
            <w:r>
              <w:rPr>
                <w:rFonts w:cs="宋体"/>
                <w:sz w:val="21"/>
                <w:highlight w:val="none"/>
              </w:rPr>
              <w:t>资金来源及比例</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FD70EC">
            <w:pPr>
              <w:spacing w:line="360" w:lineRule="auto"/>
              <w:rPr>
                <w:rFonts w:hint="default" w:cs="宋体"/>
                <w:sz w:val="21"/>
              </w:rPr>
            </w:pPr>
            <w:r>
              <w:rPr>
                <w:rFonts w:hint="eastAsia" w:cs="宋体"/>
                <w:sz w:val="21"/>
                <w:lang w:eastAsia="zh-CN"/>
              </w:rPr>
              <w:t>自筹</w:t>
            </w:r>
            <w:r>
              <w:rPr>
                <w:rFonts w:cs="宋体"/>
                <w:sz w:val="21"/>
              </w:rPr>
              <w:t>资金100%。</w:t>
            </w:r>
          </w:p>
        </w:tc>
      </w:tr>
      <w:tr w14:paraId="0A937E42">
        <w:tblPrEx>
          <w:tblCellMar>
            <w:top w:w="0" w:type="dxa"/>
            <w:left w:w="108" w:type="dxa"/>
            <w:bottom w:w="0" w:type="dxa"/>
            <w:right w:w="108" w:type="dxa"/>
          </w:tblCellMar>
        </w:tblPrEx>
        <w:trPr>
          <w:trHeight w:val="440"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F7A0FF0">
            <w:pPr>
              <w:spacing w:line="360" w:lineRule="auto"/>
              <w:jc w:val="center"/>
              <w:rPr>
                <w:rFonts w:hint="default" w:cs="宋体"/>
                <w:sz w:val="21"/>
              </w:rPr>
            </w:pPr>
            <w:r>
              <w:rPr>
                <w:rFonts w:cs="宋体"/>
                <w:sz w:val="21"/>
              </w:rPr>
              <w:t>1.2.2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591441">
            <w:pPr>
              <w:spacing w:line="360" w:lineRule="auto"/>
              <w:jc w:val="center"/>
              <w:rPr>
                <w:rFonts w:hint="default" w:cs="宋体"/>
                <w:sz w:val="21"/>
              </w:rPr>
            </w:pPr>
            <w:r>
              <w:rPr>
                <w:rFonts w:cs="宋体"/>
                <w:sz w:val="21"/>
              </w:rPr>
              <w:t>资金落实情况</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8F6974">
            <w:pPr>
              <w:spacing w:line="360" w:lineRule="auto"/>
              <w:rPr>
                <w:rFonts w:hint="default" w:cs="宋体"/>
                <w:sz w:val="21"/>
              </w:rPr>
            </w:pPr>
            <w:r>
              <w:rPr>
                <w:rFonts w:cs="宋体"/>
                <w:sz w:val="21"/>
              </w:rPr>
              <w:t>已落实。</w:t>
            </w:r>
          </w:p>
        </w:tc>
      </w:tr>
      <w:tr w14:paraId="31EB06AA">
        <w:tblPrEx>
          <w:tblCellMar>
            <w:top w:w="0" w:type="dxa"/>
            <w:left w:w="108" w:type="dxa"/>
            <w:bottom w:w="0" w:type="dxa"/>
            <w:right w:w="108" w:type="dxa"/>
          </w:tblCellMar>
        </w:tblPrEx>
        <w:trPr>
          <w:trHeight w:val="106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0A6F7A">
            <w:pPr>
              <w:spacing w:line="360" w:lineRule="auto"/>
              <w:jc w:val="center"/>
              <w:rPr>
                <w:rFonts w:hint="default" w:cs="宋体"/>
                <w:sz w:val="21"/>
              </w:rPr>
            </w:pPr>
            <w:r>
              <w:rPr>
                <w:rFonts w:cs="宋体"/>
                <w:sz w:val="21"/>
              </w:rPr>
              <w:t>1.3.1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6874A0">
            <w:pPr>
              <w:spacing w:line="360" w:lineRule="auto"/>
              <w:jc w:val="center"/>
              <w:rPr>
                <w:rFonts w:hint="default" w:cs="宋体"/>
                <w:sz w:val="21"/>
                <w:highlight w:val="none"/>
              </w:rPr>
            </w:pPr>
            <w:r>
              <w:rPr>
                <w:rFonts w:cs="宋体"/>
                <w:sz w:val="21"/>
                <w:highlight w:val="none"/>
              </w:rPr>
              <w:t>招标范围</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97D497A">
            <w:pPr>
              <w:spacing w:line="360" w:lineRule="auto"/>
              <w:rPr>
                <w:rFonts w:hint="default" w:cs="宋体"/>
                <w:sz w:val="21"/>
              </w:rPr>
            </w:pPr>
            <w:r>
              <w:rPr>
                <w:rFonts w:hint="default" w:cs="宋体"/>
                <w:sz w:val="21"/>
              </w:rPr>
              <w:t>支队本级和直属单位购险总人数为465人（在编消防指战员303人，新招录消防员预计20人，合同制消防队员142人）。最终以实际购险人数为准；</w:t>
            </w:r>
          </w:p>
        </w:tc>
      </w:tr>
      <w:tr w14:paraId="4A1BCA3C">
        <w:tblPrEx>
          <w:tblCellMar>
            <w:top w:w="0" w:type="dxa"/>
            <w:left w:w="108" w:type="dxa"/>
            <w:bottom w:w="0" w:type="dxa"/>
            <w:right w:w="108" w:type="dxa"/>
          </w:tblCellMar>
        </w:tblPrEx>
        <w:trPr>
          <w:trHeight w:val="438"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5EC7A1">
            <w:pPr>
              <w:spacing w:line="360" w:lineRule="auto"/>
              <w:jc w:val="center"/>
              <w:rPr>
                <w:rFonts w:hint="default" w:cs="宋体"/>
                <w:sz w:val="21"/>
              </w:rPr>
            </w:pPr>
            <w:r>
              <w:rPr>
                <w:rFonts w:cs="宋体"/>
                <w:sz w:val="21"/>
              </w:rPr>
              <w:t>1.3.2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C4510B">
            <w:pPr>
              <w:spacing w:line="360" w:lineRule="auto"/>
              <w:jc w:val="center"/>
              <w:rPr>
                <w:rFonts w:hint="default" w:cs="宋体"/>
                <w:sz w:val="21"/>
                <w:highlight w:val="none"/>
              </w:rPr>
            </w:pPr>
            <w:r>
              <w:rPr>
                <w:rFonts w:cs="宋体"/>
                <w:sz w:val="21"/>
                <w:highlight w:val="none"/>
              </w:rPr>
              <w:t>服务期及供货期</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26A39C6">
            <w:pPr>
              <w:spacing w:line="360" w:lineRule="auto"/>
              <w:rPr>
                <w:rFonts w:hint="default" w:cs="宋体"/>
                <w:sz w:val="21"/>
                <w:highlight w:val="none"/>
              </w:rPr>
            </w:pPr>
            <w:r>
              <w:rPr>
                <w:rFonts w:cs="宋体"/>
                <w:sz w:val="21"/>
                <w:highlight w:val="none"/>
              </w:rPr>
              <w:t>自合同签订之日起，为期1年，如在服务期限内未满足采购单位需求，采购单位有权与供应商终止合同，相关费用由投标人自行承担。</w:t>
            </w:r>
          </w:p>
        </w:tc>
      </w:tr>
      <w:tr w14:paraId="50CDA236">
        <w:tblPrEx>
          <w:tblCellMar>
            <w:top w:w="0" w:type="dxa"/>
            <w:left w:w="108" w:type="dxa"/>
            <w:bottom w:w="0" w:type="dxa"/>
            <w:right w:w="108" w:type="dxa"/>
          </w:tblCellMar>
        </w:tblPrEx>
        <w:trPr>
          <w:trHeight w:val="543"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DC80E2">
            <w:pPr>
              <w:spacing w:line="360" w:lineRule="auto"/>
              <w:jc w:val="center"/>
              <w:rPr>
                <w:rFonts w:hint="default" w:cs="宋体"/>
                <w:sz w:val="21"/>
              </w:rPr>
            </w:pPr>
            <w:r>
              <w:rPr>
                <w:rFonts w:cs="宋体"/>
                <w:sz w:val="21"/>
              </w:rPr>
              <w:t>1.3.3</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EB9713">
            <w:pPr>
              <w:spacing w:line="360" w:lineRule="auto"/>
              <w:jc w:val="center"/>
              <w:rPr>
                <w:rFonts w:hint="eastAsia" w:eastAsia="宋体" w:cs="宋体"/>
                <w:sz w:val="21"/>
                <w:lang w:eastAsia="zh-CN"/>
              </w:rPr>
            </w:pPr>
            <w:r>
              <w:rPr>
                <w:rFonts w:hint="eastAsia" w:cs="宋体"/>
                <w:sz w:val="21"/>
                <w:lang w:eastAsia="zh-CN"/>
              </w:rPr>
              <w:t>服务标准</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8F8B76">
            <w:pPr>
              <w:spacing w:line="360" w:lineRule="auto"/>
              <w:rPr>
                <w:rFonts w:hint="default" w:cs="宋体"/>
                <w:sz w:val="21"/>
              </w:rPr>
            </w:pPr>
            <w:r>
              <w:rPr>
                <w:rFonts w:cs="宋体"/>
                <w:sz w:val="21"/>
              </w:rPr>
              <w:t>符合国家及行业相关标准，提供及时优质的保险参保及理赔服务。</w:t>
            </w:r>
          </w:p>
        </w:tc>
      </w:tr>
      <w:tr w14:paraId="6E5B0AC7">
        <w:tblPrEx>
          <w:tblCellMar>
            <w:top w:w="0" w:type="dxa"/>
            <w:left w:w="108" w:type="dxa"/>
            <w:bottom w:w="0" w:type="dxa"/>
            <w:right w:w="108" w:type="dxa"/>
          </w:tblCellMar>
        </w:tblPrEx>
        <w:trPr>
          <w:trHeight w:val="65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4242A82">
            <w:pPr>
              <w:spacing w:line="360" w:lineRule="auto"/>
              <w:jc w:val="center"/>
              <w:rPr>
                <w:rFonts w:hint="default" w:cs="宋体"/>
                <w:sz w:val="21"/>
              </w:rPr>
            </w:pPr>
          </w:p>
          <w:p w14:paraId="058F55CE">
            <w:pPr>
              <w:spacing w:line="360" w:lineRule="auto"/>
              <w:jc w:val="center"/>
              <w:rPr>
                <w:rFonts w:hint="default" w:cs="宋体"/>
                <w:sz w:val="21"/>
              </w:rPr>
            </w:pPr>
          </w:p>
          <w:p w14:paraId="33545745">
            <w:pPr>
              <w:spacing w:line="360" w:lineRule="auto"/>
              <w:jc w:val="center"/>
              <w:rPr>
                <w:rFonts w:hint="default" w:cs="宋体"/>
                <w:sz w:val="21"/>
              </w:rPr>
            </w:pPr>
          </w:p>
          <w:p w14:paraId="102F852F">
            <w:pPr>
              <w:spacing w:line="360" w:lineRule="auto"/>
              <w:jc w:val="center"/>
              <w:rPr>
                <w:rFonts w:hint="default" w:cs="宋体"/>
                <w:sz w:val="21"/>
              </w:rPr>
            </w:pPr>
          </w:p>
          <w:p w14:paraId="501F94E1">
            <w:pPr>
              <w:spacing w:line="360" w:lineRule="auto"/>
              <w:jc w:val="center"/>
              <w:rPr>
                <w:rFonts w:hint="default" w:cs="宋体"/>
                <w:sz w:val="21"/>
              </w:rPr>
            </w:pPr>
          </w:p>
          <w:p w14:paraId="5DD570BD">
            <w:pPr>
              <w:spacing w:line="360" w:lineRule="auto"/>
              <w:jc w:val="center"/>
              <w:rPr>
                <w:rFonts w:hint="default" w:cs="宋体"/>
                <w:sz w:val="21"/>
              </w:rPr>
            </w:pPr>
          </w:p>
          <w:p w14:paraId="50B225A3">
            <w:pPr>
              <w:spacing w:line="360" w:lineRule="auto"/>
              <w:jc w:val="center"/>
              <w:rPr>
                <w:rFonts w:hint="default" w:cs="宋体"/>
                <w:sz w:val="21"/>
              </w:rPr>
            </w:pPr>
          </w:p>
          <w:p w14:paraId="2DD79CAC">
            <w:pPr>
              <w:spacing w:line="360" w:lineRule="auto"/>
              <w:jc w:val="center"/>
              <w:rPr>
                <w:rFonts w:hint="default" w:cs="宋体"/>
                <w:sz w:val="21"/>
              </w:rPr>
            </w:pPr>
          </w:p>
          <w:p w14:paraId="60CD9465">
            <w:pPr>
              <w:spacing w:line="360" w:lineRule="auto"/>
              <w:jc w:val="center"/>
              <w:rPr>
                <w:rFonts w:hint="default" w:cs="宋体"/>
                <w:sz w:val="21"/>
              </w:rPr>
            </w:pPr>
            <w:r>
              <w:rPr>
                <w:rFonts w:cs="宋体"/>
                <w:sz w:val="21"/>
              </w:rPr>
              <w:t>1.4.1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C559B6">
            <w:pPr>
              <w:spacing w:line="360" w:lineRule="auto"/>
              <w:jc w:val="center"/>
              <w:rPr>
                <w:rFonts w:hint="default" w:cs="宋体"/>
                <w:sz w:val="21"/>
              </w:rPr>
            </w:pPr>
          </w:p>
          <w:p w14:paraId="68604663">
            <w:pPr>
              <w:spacing w:line="360" w:lineRule="auto"/>
              <w:jc w:val="center"/>
              <w:rPr>
                <w:rFonts w:hint="default" w:cs="宋体"/>
                <w:sz w:val="21"/>
              </w:rPr>
            </w:pPr>
          </w:p>
          <w:p w14:paraId="7094FDAB">
            <w:pPr>
              <w:spacing w:line="360" w:lineRule="auto"/>
              <w:jc w:val="center"/>
              <w:rPr>
                <w:rFonts w:hint="default" w:cs="宋体"/>
                <w:sz w:val="21"/>
              </w:rPr>
            </w:pPr>
          </w:p>
          <w:p w14:paraId="1C07F439">
            <w:pPr>
              <w:spacing w:line="360" w:lineRule="auto"/>
              <w:jc w:val="center"/>
              <w:rPr>
                <w:rFonts w:hint="default" w:cs="宋体"/>
                <w:sz w:val="21"/>
              </w:rPr>
            </w:pPr>
          </w:p>
          <w:p w14:paraId="57987E7B">
            <w:pPr>
              <w:spacing w:line="360" w:lineRule="auto"/>
              <w:jc w:val="center"/>
              <w:rPr>
                <w:rFonts w:hint="default" w:cs="宋体"/>
                <w:sz w:val="21"/>
              </w:rPr>
            </w:pPr>
          </w:p>
          <w:p w14:paraId="79831695">
            <w:pPr>
              <w:spacing w:line="360" w:lineRule="auto"/>
              <w:jc w:val="center"/>
              <w:rPr>
                <w:rFonts w:hint="default" w:cs="宋体"/>
                <w:sz w:val="21"/>
              </w:rPr>
            </w:pPr>
          </w:p>
          <w:p w14:paraId="040E05E8">
            <w:pPr>
              <w:spacing w:line="360" w:lineRule="auto"/>
              <w:jc w:val="center"/>
              <w:rPr>
                <w:rFonts w:hint="default" w:cs="宋体"/>
                <w:sz w:val="21"/>
              </w:rPr>
            </w:pPr>
          </w:p>
          <w:p w14:paraId="447B9DB9">
            <w:pPr>
              <w:spacing w:line="360" w:lineRule="auto"/>
              <w:jc w:val="center"/>
              <w:rPr>
                <w:rFonts w:hint="default" w:cs="宋体"/>
                <w:sz w:val="21"/>
              </w:rPr>
            </w:pPr>
            <w:r>
              <w:rPr>
                <w:rFonts w:cs="宋体"/>
                <w:sz w:val="21"/>
              </w:rPr>
              <w:t>投标供应商资质条件、能力和信誉</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0A1D19">
            <w:pPr>
              <w:spacing w:line="360" w:lineRule="auto"/>
              <w:rPr>
                <w:rFonts w:hint="default" w:cs="宋体"/>
                <w:sz w:val="21"/>
              </w:rPr>
            </w:pPr>
            <w:r>
              <w:rPr>
                <w:rFonts w:hint="default" w:cs="宋体"/>
                <w:sz w:val="21"/>
              </w:rPr>
              <w:t>1.满足《中华人民共和国政府采购法》第二十二条规定；</w:t>
            </w:r>
          </w:p>
          <w:p w14:paraId="64C92F91">
            <w:pPr>
              <w:spacing w:line="360" w:lineRule="auto"/>
              <w:rPr>
                <w:rFonts w:hint="default" w:cs="宋体"/>
                <w:sz w:val="21"/>
              </w:rPr>
            </w:pPr>
            <w:r>
              <w:rPr>
                <w:rFonts w:hint="default" w:cs="宋体"/>
                <w:sz w:val="21"/>
              </w:rPr>
              <w:t>2.落实政府采购政策需满足的资格要求：本项目为非专门面向中小企业采购的项目；</w:t>
            </w:r>
          </w:p>
          <w:p w14:paraId="0EAE97DD">
            <w:pPr>
              <w:spacing w:line="360" w:lineRule="auto"/>
              <w:rPr>
                <w:rFonts w:hint="default" w:cs="宋体"/>
                <w:sz w:val="21"/>
              </w:rPr>
            </w:pPr>
            <w:r>
              <w:rPr>
                <w:rFonts w:hint="default" w:cs="宋体"/>
                <w:sz w:val="21"/>
              </w:rPr>
              <w:t>3.本项目的特定资格要求：</w:t>
            </w:r>
          </w:p>
          <w:p w14:paraId="7D04FF19">
            <w:pPr>
              <w:spacing w:line="360" w:lineRule="auto"/>
              <w:rPr>
                <w:rFonts w:hint="default" w:cs="宋体"/>
                <w:sz w:val="21"/>
              </w:rPr>
            </w:pPr>
            <w:r>
              <w:rPr>
                <w:rFonts w:hint="default" w:cs="宋体"/>
                <w:sz w:val="21"/>
              </w:rPr>
              <w:t>3.1 投标人须是在中华人民共和国境内注册的,具有有效的营业执照；</w:t>
            </w:r>
          </w:p>
          <w:p w14:paraId="15335069">
            <w:pPr>
              <w:spacing w:line="360" w:lineRule="auto"/>
              <w:rPr>
                <w:rFonts w:hint="default" w:cs="宋体"/>
                <w:sz w:val="21"/>
              </w:rPr>
            </w:pPr>
            <w:r>
              <w:rPr>
                <w:rFonts w:hint="default" w:cs="宋体"/>
                <w:sz w:val="21"/>
              </w:rPr>
              <w:t xml:space="preserve">3.2 </w:t>
            </w:r>
            <w:r>
              <w:rPr>
                <w:rFonts w:hint="default" w:cs="宋体"/>
                <w:sz w:val="21"/>
                <w:lang w:val="zh-CN"/>
              </w:rPr>
              <w:t>投标人须是经中国保险监督管理委员会批准成立的、具有经营保险业务许可证；</w:t>
            </w:r>
          </w:p>
          <w:p w14:paraId="466638B8">
            <w:pPr>
              <w:spacing w:line="360" w:lineRule="auto"/>
              <w:rPr>
                <w:rFonts w:hint="default" w:cs="宋体"/>
                <w:sz w:val="21"/>
              </w:rPr>
            </w:pPr>
            <w:r>
              <w:rPr>
                <w:rFonts w:hint="default" w:cs="宋体"/>
                <w:sz w:val="21"/>
                <w:lang w:val="en-US" w:eastAsia="zh-CN"/>
              </w:rPr>
              <w:t>3.</w:t>
            </w:r>
            <w:r>
              <w:rPr>
                <w:rFonts w:hint="default" w:cs="宋体"/>
                <w:sz w:val="21"/>
              </w:rPr>
              <w:t>3</w:t>
            </w:r>
            <w:r>
              <w:rPr>
                <w:rFonts w:hint="default" w:cs="宋体"/>
                <w:sz w:val="21"/>
                <w:lang w:eastAsia="zh-CN"/>
              </w:rPr>
              <w:t>具有良好的商业信誉和健全的财务会计制度，依法缴纳税收和社会保障资金的良好记录，</w:t>
            </w:r>
            <w:r>
              <w:rPr>
                <w:rFonts w:hint="default" w:cs="宋体"/>
                <w:sz w:val="21"/>
                <w:lang w:val="en-US" w:eastAsia="zh-CN"/>
              </w:rPr>
              <w:t>根据[长财采购[2022]2066号文件]关于加强政府采购信用体系建设简化供应商资格条件有关事项的通知提供资格条件承诺函</w:t>
            </w:r>
            <w:r>
              <w:rPr>
                <w:rFonts w:hint="default" w:cs="宋体"/>
                <w:sz w:val="21"/>
              </w:rPr>
              <w:t>；</w:t>
            </w:r>
          </w:p>
          <w:p w14:paraId="37F75F0C">
            <w:pPr>
              <w:spacing w:line="360" w:lineRule="auto"/>
              <w:rPr>
                <w:rFonts w:hint="default" w:cs="宋体"/>
                <w:sz w:val="21"/>
              </w:rPr>
            </w:pPr>
            <w:r>
              <w:rPr>
                <w:rFonts w:hint="default" w:cs="宋体"/>
                <w:sz w:val="21"/>
              </w:rPr>
              <w:t>3.</w:t>
            </w:r>
            <w:r>
              <w:rPr>
                <w:rFonts w:hint="default" w:cs="宋体"/>
                <w:sz w:val="21"/>
                <w:lang w:val="en-US" w:eastAsia="zh-CN"/>
              </w:rPr>
              <w:t>4</w:t>
            </w:r>
            <w:r>
              <w:rPr>
                <w:rFonts w:hint="default" w:cs="宋体"/>
                <w:sz w:val="21"/>
              </w:rPr>
              <w:t xml:space="preserve"> 信誉要求：①拒绝列入政府取消投标资格期间的企业或个人投标；②供应商近三年在经营活动中没有重大违法记录；③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73B2C0C">
            <w:pPr>
              <w:spacing w:line="360" w:lineRule="auto"/>
              <w:rPr>
                <w:rFonts w:hint="default" w:cs="宋体"/>
                <w:sz w:val="21"/>
              </w:rPr>
            </w:pPr>
            <w:r>
              <w:rPr>
                <w:rFonts w:hint="default" w:cs="宋体"/>
                <w:sz w:val="21"/>
                <w:lang w:val="en-US" w:eastAsia="zh-CN"/>
              </w:rPr>
              <w:t>3.5其他要求：</w:t>
            </w:r>
            <w:r>
              <w:rPr>
                <w:rFonts w:hint="default" w:cs="宋体"/>
                <w:sz w:val="21"/>
              </w:rPr>
              <w:t>单位负责人为同一人或存在直接控股、管理关系的不同供应商，不得参加同一合同项下的政府采购活动。</w:t>
            </w:r>
          </w:p>
        </w:tc>
      </w:tr>
      <w:tr w14:paraId="7DC5B318">
        <w:tblPrEx>
          <w:tblCellMar>
            <w:top w:w="0" w:type="dxa"/>
            <w:left w:w="108" w:type="dxa"/>
            <w:bottom w:w="0" w:type="dxa"/>
            <w:right w:w="108" w:type="dxa"/>
          </w:tblCellMar>
        </w:tblPrEx>
        <w:trPr>
          <w:trHeight w:val="43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8B7DDB">
            <w:pPr>
              <w:spacing w:line="360" w:lineRule="auto"/>
              <w:jc w:val="center"/>
              <w:rPr>
                <w:rFonts w:hint="default" w:cs="宋体"/>
                <w:sz w:val="21"/>
              </w:rPr>
            </w:pPr>
            <w:r>
              <w:rPr>
                <w:rFonts w:cs="宋体"/>
                <w:sz w:val="21"/>
              </w:rPr>
              <w:t>1.9.1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193806">
            <w:pPr>
              <w:spacing w:line="360" w:lineRule="auto"/>
              <w:jc w:val="center"/>
              <w:rPr>
                <w:rFonts w:hint="default" w:cs="宋体"/>
                <w:sz w:val="21"/>
              </w:rPr>
            </w:pPr>
            <w:r>
              <w:rPr>
                <w:rFonts w:cs="宋体"/>
                <w:sz w:val="21"/>
              </w:rPr>
              <w:t>踏勘现场</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18F106">
            <w:pPr>
              <w:spacing w:line="360" w:lineRule="auto"/>
              <w:rPr>
                <w:rFonts w:hint="default" w:cs="宋体"/>
                <w:sz w:val="21"/>
              </w:rPr>
            </w:pPr>
            <w:r>
              <w:rPr>
                <w:rFonts w:cs="宋体"/>
                <w:sz w:val="21"/>
              </w:rPr>
              <w:t>不组织踏查,投标人自行踏勘。</w:t>
            </w:r>
          </w:p>
        </w:tc>
      </w:tr>
      <w:tr w14:paraId="4F64B566">
        <w:tblPrEx>
          <w:tblCellMar>
            <w:top w:w="0" w:type="dxa"/>
            <w:left w:w="108" w:type="dxa"/>
            <w:bottom w:w="0" w:type="dxa"/>
            <w:right w:w="108" w:type="dxa"/>
          </w:tblCellMar>
        </w:tblPrEx>
        <w:trPr>
          <w:trHeight w:val="696"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F9D696">
            <w:pPr>
              <w:spacing w:line="360" w:lineRule="auto"/>
              <w:jc w:val="center"/>
              <w:rPr>
                <w:rFonts w:hint="default" w:cs="宋体"/>
                <w:sz w:val="21"/>
              </w:rPr>
            </w:pPr>
            <w:r>
              <w:rPr>
                <w:rFonts w:cs="宋体"/>
                <w:sz w:val="21"/>
              </w:rPr>
              <w:t>1.10.1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295357">
            <w:pPr>
              <w:spacing w:line="360" w:lineRule="auto"/>
              <w:jc w:val="center"/>
              <w:rPr>
                <w:rFonts w:hint="default" w:cs="宋体"/>
                <w:sz w:val="21"/>
              </w:rPr>
            </w:pPr>
            <w:r>
              <w:rPr>
                <w:rFonts w:cs="宋体"/>
                <w:sz w:val="21"/>
              </w:rPr>
              <w:t>投标预备会</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4C6B5BD">
            <w:pPr>
              <w:spacing w:line="360" w:lineRule="auto"/>
              <w:rPr>
                <w:rFonts w:hint="default" w:cs="宋体"/>
                <w:sz w:val="21"/>
              </w:rPr>
            </w:pPr>
            <w:r>
              <w:rPr>
                <w:rFonts w:cs="宋体"/>
                <w:sz w:val="21"/>
              </w:rPr>
              <w:t>不召开</w:t>
            </w:r>
          </w:p>
          <w:p w14:paraId="32D4891F">
            <w:pPr>
              <w:spacing w:line="360" w:lineRule="auto"/>
              <w:rPr>
                <w:rFonts w:hint="default" w:cs="宋体"/>
                <w:sz w:val="21"/>
              </w:rPr>
            </w:pPr>
            <w:r>
              <w:rPr>
                <w:rFonts w:cs="宋体"/>
                <w:sz w:val="21"/>
              </w:rPr>
              <w:t>*注：如有疑问请以书面形式提出问题并联系采购代理机构。</w:t>
            </w:r>
          </w:p>
        </w:tc>
      </w:tr>
      <w:tr w14:paraId="6938D489">
        <w:tblPrEx>
          <w:tblCellMar>
            <w:top w:w="0" w:type="dxa"/>
            <w:left w:w="108" w:type="dxa"/>
            <w:bottom w:w="0" w:type="dxa"/>
            <w:right w:w="108" w:type="dxa"/>
          </w:tblCellMar>
        </w:tblPrEx>
        <w:trPr>
          <w:trHeight w:val="102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A630E0">
            <w:pPr>
              <w:spacing w:line="360" w:lineRule="auto"/>
              <w:jc w:val="center"/>
              <w:rPr>
                <w:rFonts w:hint="default" w:cs="宋体"/>
                <w:sz w:val="21"/>
              </w:rPr>
            </w:pPr>
          </w:p>
          <w:p w14:paraId="6CD5C606">
            <w:pPr>
              <w:spacing w:line="360" w:lineRule="auto"/>
              <w:jc w:val="center"/>
              <w:rPr>
                <w:rFonts w:hint="default" w:cs="宋体"/>
                <w:sz w:val="21"/>
              </w:rPr>
            </w:pPr>
            <w:r>
              <w:rPr>
                <w:rFonts w:cs="宋体"/>
                <w:sz w:val="21"/>
              </w:rPr>
              <w:t>1.10.2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680F0A">
            <w:pPr>
              <w:spacing w:line="360" w:lineRule="auto"/>
              <w:jc w:val="center"/>
              <w:rPr>
                <w:rFonts w:hint="default" w:cs="宋体"/>
                <w:sz w:val="21"/>
              </w:rPr>
            </w:pPr>
            <w:r>
              <w:rPr>
                <w:rFonts w:cs="宋体"/>
                <w:sz w:val="21"/>
              </w:rPr>
              <w:t>投标供应商提出问题的截止时间</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3BDFA51">
            <w:pPr>
              <w:spacing w:line="360" w:lineRule="auto"/>
              <w:rPr>
                <w:rFonts w:hint="default" w:cs="宋体"/>
                <w:sz w:val="21"/>
              </w:rPr>
            </w:pPr>
            <w:r>
              <w:rPr>
                <w:rFonts w:cs="宋体"/>
                <w:sz w:val="21"/>
              </w:rPr>
              <w:t>磋商截止时间 5 日前</w:t>
            </w:r>
          </w:p>
          <w:p w14:paraId="256A06A8">
            <w:pPr>
              <w:spacing w:line="360" w:lineRule="auto"/>
              <w:rPr>
                <w:rFonts w:hint="default" w:cs="宋体"/>
                <w:sz w:val="21"/>
              </w:rPr>
            </w:pPr>
            <w:r>
              <w:rPr>
                <w:rFonts w:cs="宋体"/>
                <w:sz w:val="21"/>
              </w:rPr>
              <w:t>将质疑问题以加盖投标供应商单位公章的书面材料递交至采购代理机构，否则不予解答。</w:t>
            </w:r>
          </w:p>
        </w:tc>
      </w:tr>
      <w:tr w14:paraId="19F6C1E8">
        <w:tblPrEx>
          <w:tblCellMar>
            <w:top w:w="0" w:type="dxa"/>
            <w:left w:w="108" w:type="dxa"/>
            <w:bottom w:w="0" w:type="dxa"/>
            <w:right w:w="108" w:type="dxa"/>
          </w:tblCellMar>
        </w:tblPrEx>
        <w:trPr>
          <w:trHeight w:val="372"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12F217">
            <w:pPr>
              <w:spacing w:line="360" w:lineRule="auto"/>
              <w:jc w:val="center"/>
              <w:rPr>
                <w:rFonts w:hint="default" w:cs="宋体"/>
                <w:sz w:val="21"/>
              </w:rPr>
            </w:pPr>
            <w:r>
              <w:rPr>
                <w:rFonts w:cs="宋体"/>
                <w:sz w:val="21"/>
              </w:rPr>
              <w:t>1.10.3</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A4E7E2">
            <w:pPr>
              <w:spacing w:line="360" w:lineRule="auto"/>
              <w:jc w:val="center"/>
              <w:rPr>
                <w:rFonts w:hint="default" w:cs="宋体"/>
                <w:sz w:val="21"/>
              </w:rPr>
            </w:pPr>
            <w:r>
              <w:rPr>
                <w:rFonts w:cs="宋体"/>
                <w:sz w:val="21"/>
              </w:rPr>
              <w:t>采购人书面澄清的时间</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2DBA4C">
            <w:pPr>
              <w:spacing w:line="360" w:lineRule="auto"/>
              <w:rPr>
                <w:rFonts w:hint="default" w:cs="宋体"/>
                <w:sz w:val="21"/>
              </w:rPr>
            </w:pPr>
            <w:r>
              <w:rPr>
                <w:rFonts w:cs="宋体"/>
                <w:sz w:val="21"/>
              </w:rPr>
              <w:t>磋商截止时间 5 日前。</w:t>
            </w:r>
          </w:p>
        </w:tc>
      </w:tr>
      <w:tr w14:paraId="608F01D4">
        <w:tblPrEx>
          <w:tblCellMar>
            <w:top w:w="0" w:type="dxa"/>
            <w:left w:w="108" w:type="dxa"/>
            <w:bottom w:w="0" w:type="dxa"/>
            <w:right w:w="108" w:type="dxa"/>
          </w:tblCellMar>
        </w:tblPrEx>
        <w:trPr>
          <w:trHeight w:val="542"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CF0FB4">
            <w:pPr>
              <w:spacing w:line="360" w:lineRule="auto"/>
              <w:jc w:val="center"/>
              <w:rPr>
                <w:rFonts w:hint="default" w:cs="宋体"/>
                <w:sz w:val="21"/>
              </w:rPr>
            </w:pPr>
            <w:r>
              <w:rPr>
                <w:rFonts w:cs="宋体"/>
                <w:sz w:val="21"/>
              </w:rPr>
              <w:t>1.10.4</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527E83">
            <w:pPr>
              <w:spacing w:line="360" w:lineRule="auto"/>
              <w:jc w:val="center"/>
              <w:rPr>
                <w:rFonts w:hint="default" w:cs="宋体"/>
                <w:sz w:val="21"/>
              </w:rPr>
            </w:pPr>
            <w:r>
              <w:rPr>
                <w:rFonts w:cs="宋体"/>
                <w:sz w:val="21"/>
              </w:rPr>
              <w:t>分包或转包</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CA6066">
            <w:pPr>
              <w:spacing w:line="360" w:lineRule="auto"/>
              <w:rPr>
                <w:rFonts w:hint="default" w:cs="宋体"/>
                <w:sz w:val="21"/>
              </w:rPr>
            </w:pPr>
            <w:r>
              <w:rPr>
                <w:rFonts w:cs="宋体"/>
                <w:sz w:val="21"/>
              </w:rPr>
              <w:t>未经甲方书面授权或同意，乙方不得以任何方式将项目转交第三方或由第三方提供相关服务，否则，乙方承担一切后果。</w:t>
            </w:r>
          </w:p>
        </w:tc>
      </w:tr>
      <w:tr w14:paraId="1CC86D3D">
        <w:tblPrEx>
          <w:tblCellMar>
            <w:top w:w="0" w:type="dxa"/>
            <w:left w:w="108" w:type="dxa"/>
            <w:bottom w:w="0" w:type="dxa"/>
            <w:right w:w="108" w:type="dxa"/>
          </w:tblCellMar>
        </w:tblPrEx>
        <w:trPr>
          <w:trHeight w:val="37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9F63A4">
            <w:pPr>
              <w:spacing w:line="360" w:lineRule="auto"/>
              <w:jc w:val="center"/>
              <w:rPr>
                <w:rFonts w:hint="default" w:cs="宋体"/>
                <w:sz w:val="21"/>
              </w:rPr>
            </w:pPr>
            <w:r>
              <w:rPr>
                <w:rFonts w:cs="宋体"/>
                <w:sz w:val="21"/>
              </w:rPr>
              <w:t>1.11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A363400">
            <w:pPr>
              <w:spacing w:line="360" w:lineRule="auto"/>
              <w:jc w:val="center"/>
              <w:rPr>
                <w:rFonts w:hint="default" w:cs="宋体"/>
                <w:sz w:val="21"/>
              </w:rPr>
            </w:pPr>
            <w:r>
              <w:rPr>
                <w:rFonts w:cs="宋体"/>
                <w:sz w:val="21"/>
              </w:rPr>
              <w:t>偏离</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82A076">
            <w:pPr>
              <w:spacing w:line="360" w:lineRule="auto"/>
              <w:rPr>
                <w:rFonts w:hint="default" w:cs="宋体"/>
                <w:sz w:val="21"/>
              </w:rPr>
            </w:pPr>
            <w:r>
              <w:rPr>
                <w:rFonts w:cs="宋体"/>
                <w:sz w:val="21"/>
              </w:rPr>
              <w:t>不允许负偏离。</w:t>
            </w:r>
          </w:p>
        </w:tc>
      </w:tr>
      <w:tr w14:paraId="761F07BC">
        <w:tblPrEx>
          <w:tblCellMar>
            <w:top w:w="0" w:type="dxa"/>
            <w:left w:w="108" w:type="dxa"/>
            <w:bottom w:w="0" w:type="dxa"/>
            <w:right w:w="108" w:type="dxa"/>
          </w:tblCellMar>
        </w:tblPrEx>
        <w:trPr>
          <w:trHeight w:val="38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F8DC4B">
            <w:pPr>
              <w:spacing w:line="360" w:lineRule="auto"/>
              <w:jc w:val="center"/>
              <w:rPr>
                <w:rFonts w:hint="default" w:cs="宋体"/>
                <w:sz w:val="21"/>
              </w:rPr>
            </w:pPr>
            <w:r>
              <w:rPr>
                <w:rFonts w:cs="宋体"/>
                <w:sz w:val="21"/>
              </w:rPr>
              <w:t>2.2.2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0BCBC9">
            <w:pPr>
              <w:spacing w:line="360" w:lineRule="auto"/>
              <w:jc w:val="center"/>
              <w:rPr>
                <w:rFonts w:hint="default" w:cs="宋体"/>
                <w:sz w:val="21"/>
                <w:highlight w:val="none"/>
              </w:rPr>
            </w:pPr>
            <w:r>
              <w:rPr>
                <w:rFonts w:cs="宋体"/>
                <w:sz w:val="21"/>
                <w:highlight w:val="none"/>
              </w:rPr>
              <w:t>磋商截止时间</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7CA9C0">
            <w:pPr>
              <w:spacing w:line="360" w:lineRule="auto"/>
              <w:rPr>
                <w:rFonts w:hint="default" w:cs="宋体"/>
                <w:sz w:val="21"/>
                <w:highlight w:val="none"/>
              </w:rPr>
            </w:pPr>
            <w:r>
              <w:rPr>
                <w:rFonts w:hint="eastAsia" w:cs="宋体"/>
                <w:color w:val="auto"/>
                <w:sz w:val="21"/>
                <w:highlight w:val="none"/>
                <w:lang w:val="en-US" w:eastAsia="zh-CN"/>
              </w:rPr>
              <w:t>2025</w:t>
            </w:r>
            <w:r>
              <w:rPr>
                <w:rFonts w:cs="宋体"/>
                <w:color w:val="auto"/>
                <w:sz w:val="21"/>
                <w:highlight w:val="none"/>
              </w:rPr>
              <w:t>年</w:t>
            </w:r>
            <w:r>
              <w:rPr>
                <w:rFonts w:hint="eastAsia" w:cs="宋体"/>
                <w:color w:val="auto"/>
                <w:sz w:val="21"/>
                <w:highlight w:val="none"/>
                <w:lang w:val="en-US" w:eastAsia="zh-CN"/>
              </w:rPr>
              <w:t>1月16日13</w:t>
            </w:r>
            <w:r>
              <w:rPr>
                <w:rFonts w:cs="宋体"/>
                <w:color w:val="auto"/>
                <w:sz w:val="21"/>
                <w:highlight w:val="none"/>
              </w:rPr>
              <w:t>点</w:t>
            </w:r>
            <w:r>
              <w:rPr>
                <w:rFonts w:hint="eastAsia" w:cs="宋体"/>
                <w:color w:val="auto"/>
                <w:sz w:val="21"/>
                <w:highlight w:val="none"/>
                <w:lang w:val="en-US" w:eastAsia="zh-CN"/>
              </w:rPr>
              <w:t>30</w:t>
            </w:r>
            <w:r>
              <w:rPr>
                <w:rFonts w:cs="宋体"/>
                <w:color w:val="auto"/>
                <w:sz w:val="21"/>
                <w:highlight w:val="none"/>
              </w:rPr>
              <w:t>分</w:t>
            </w:r>
            <w:r>
              <w:rPr>
                <w:rFonts w:cs="宋体"/>
                <w:sz w:val="21"/>
                <w:highlight w:val="none"/>
              </w:rPr>
              <w:t>（北京时间）。</w:t>
            </w:r>
          </w:p>
        </w:tc>
      </w:tr>
      <w:tr w14:paraId="1EFF265C">
        <w:tblPrEx>
          <w:tblCellMar>
            <w:top w:w="0" w:type="dxa"/>
            <w:left w:w="108" w:type="dxa"/>
            <w:bottom w:w="0" w:type="dxa"/>
            <w:right w:w="108" w:type="dxa"/>
          </w:tblCellMar>
        </w:tblPrEx>
        <w:trPr>
          <w:trHeight w:val="613"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3331E5">
            <w:pPr>
              <w:spacing w:line="360" w:lineRule="auto"/>
              <w:jc w:val="center"/>
              <w:rPr>
                <w:rFonts w:hint="default" w:cs="宋体"/>
                <w:sz w:val="21"/>
              </w:rPr>
            </w:pPr>
          </w:p>
          <w:p w14:paraId="7CC449B2">
            <w:pPr>
              <w:spacing w:line="360" w:lineRule="auto"/>
              <w:jc w:val="center"/>
              <w:rPr>
                <w:rFonts w:hint="default" w:cs="宋体"/>
                <w:sz w:val="21"/>
              </w:rPr>
            </w:pPr>
            <w:r>
              <w:rPr>
                <w:rFonts w:cs="宋体"/>
                <w:sz w:val="21"/>
              </w:rPr>
              <w:t>3.1.1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A5C209">
            <w:pPr>
              <w:spacing w:line="360" w:lineRule="auto"/>
              <w:jc w:val="center"/>
              <w:rPr>
                <w:rFonts w:hint="default" w:cs="宋体"/>
                <w:sz w:val="21"/>
              </w:rPr>
            </w:pPr>
            <w:r>
              <w:rPr>
                <w:rFonts w:cs="宋体"/>
                <w:sz w:val="21"/>
              </w:rPr>
              <w:t>构成响应文件的其他材料</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98EB5B1">
            <w:pPr>
              <w:spacing w:line="360" w:lineRule="auto"/>
              <w:rPr>
                <w:rFonts w:hint="default" w:cs="宋体"/>
                <w:sz w:val="21"/>
              </w:rPr>
            </w:pPr>
            <w:r>
              <w:rPr>
                <w:rFonts w:cs="宋体"/>
                <w:sz w:val="21"/>
              </w:rPr>
              <w:t>无</w:t>
            </w:r>
          </w:p>
        </w:tc>
      </w:tr>
      <w:tr w14:paraId="11C203C2">
        <w:tblPrEx>
          <w:tblCellMar>
            <w:top w:w="0" w:type="dxa"/>
            <w:left w:w="108" w:type="dxa"/>
            <w:bottom w:w="0" w:type="dxa"/>
            <w:right w:w="108" w:type="dxa"/>
          </w:tblCellMar>
        </w:tblPrEx>
        <w:trPr>
          <w:trHeight w:val="353"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DBE89B">
            <w:pPr>
              <w:spacing w:line="360" w:lineRule="auto"/>
              <w:jc w:val="center"/>
              <w:rPr>
                <w:rFonts w:hint="default" w:cs="宋体"/>
                <w:sz w:val="21"/>
              </w:rPr>
            </w:pPr>
            <w:r>
              <w:rPr>
                <w:rFonts w:cs="宋体"/>
                <w:sz w:val="21"/>
              </w:rPr>
              <w:t>3.3.1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2F6019E">
            <w:pPr>
              <w:spacing w:line="360" w:lineRule="auto"/>
              <w:jc w:val="center"/>
              <w:rPr>
                <w:rFonts w:hint="default" w:cs="宋体"/>
                <w:sz w:val="21"/>
              </w:rPr>
            </w:pPr>
            <w:r>
              <w:rPr>
                <w:rFonts w:cs="宋体"/>
                <w:sz w:val="21"/>
              </w:rPr>
              <w:t>磋商有效期</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B16E0B">
            <w:pPr>
              <w:spacing w:line="360" w:lineRule="auto"/>
              <w:rPr>
                <w:rFonts w:hint="default" w:cs="宋体"/>
                <w:sz w:val="21"/>
              </w:rPr>
            </w:pPr>
            <w:r>
              <w:rPr>
                <w:rFonts w:cs="宋体"/>
                <w:sz w:val="21"/>
              </w:rPr>
              <w:t>自递交响应文件截止之日起 90 日历天。</w:t>
            </w:r>
          </w:p>
        </w:tc>
      </w:tr>
      <w:tr w14:paraId="6B9838C6">
        <w:tblPrEx>
          <w:tblCellMar>
            <w:top w:w="0" w:type="dxa"/>
            <w:left w:w="108" w:type="dxa"/>
            <w:bottom w:w="0" w:type="dxa"/>
            <w:right w:w="108" w:type="dxa"/>
          </w:tblCellMar>
        </w:tblPrEx>
        <w:trPr>
          <w:trHeight w:val="1524"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9D5D50C">
            <w:pPr>
              <w:spacing w:line="360" w:lineRule="auto"/>
              <w:jc w:val="center"/>
              <w:rPr>
                <w:rFonts w:hint="default" w:cs="宋体"/>
                <w:sz w:val="21"/>
              </w:rPr>
            </w:pPr>
            <w:r>
              <w:rPr>
                <w:rFonts w:cs="宋体"/>
                <w:sz w:val="21"/>
              </w:rPr>
              <w:t>3.4.1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EBD4F2">
            <w:pPr>
              <w:spacing w:line="360" w:lineRule="auto"/>
              <w:jc w:val="center"/>
              <w:rPr>
                <w:rFonts w:hint="default" w:cs="宋体"/>
                <w:sz w:val="21"/>
              </w:rPr>
            </w:pPr>
            <w:r>
              <w:rPr>
                <w:rFonts w:cs="宋体"/>
                <w:sz w:val="21"/>
              </w:rPr>
              <w:t>磋商保证金</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A36A2C">
            <w:pPr>
              <w:spacing w:line="360" w:lineRule="auto"/>
              <w:rPr>
                <w:rFonts w:hint="default" w:cs="宋体"/>
                <w:sz w:val="21"/>
                <w:lang w:eastAsia="zh-CN"/>
              </w:rPr>
            </w:pPr>
            <w:r>
              <w:rPr>
                <w:rFonts w:hint="default" w:cs="宋体"/>
                <w:sz w:val="21"/>
              </w:rPr>
              <w:t>执行长财采购[2021]695号文件规定，自2021年7月1日起，长春市政府采购货物和服务招标投标活动及非招标采购方式采购货物、工程和服务不得向诚信纪录良好的供应商收取磋商保证金</w:t>
            </w:r>
            <w:r>
              <w:rPr>
                <w:rFonts w:hint="default" w:cs="宋体"/>
                <w:sz w:val="21"/>
                <w:lang w:eastAsia="zh-CN"/>
              </w:rPr>
              <w:t>。</w:t>
            </w:r>
          </w:p>
          <w:p w14:paraId="4C7BA45D">
            <w:pPr>
              <w:spacing w:line="360" w:lineRule="auto"/>
              <w:rPr>
                <w:rFonts w:hint="default" w:cs="宋体"/>
                <w:sz w:val="21"/>
              </w:rPr>
            </w:pPr>
            <w:r>
              <w:rPr>
                <w:rFonts w:hint="default" w:cs="宋体"/>
                <w:sz w:val="21"/>
              </w:rPr>
              <w:t>磋商保证金：</w:t>
            </w:r>
            <w:r>
              <w:rPr>
                <w:rFonts w:hint="default" w:cs="宋体"/>
                <w:sz w:val="21"/>
                <w:lang w:eastAsia="zh-CN"/>
              </w:rPr>
              <w:t>无</w:t>
            </w:r>
          </w:p>
        </w:tc>
      </w:tr>
      <w:tr w14:paraId="7EC61626">
        <w:tblPrEx>
          <w:tblCellMar>
            <w:top w:w="0" w:type="dxa"/>
            <w:left w:w="108" w:type="dxa"/>
            <w:bottom w:w="0" w:type="dxa"/>
            <w:right w:w="108" w:type="dxa"/>
          </w:tblCellMar>
        </w:tblPrEx>
        <w:trPr>
          <w:trHeight w:val="542"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B7E322">
            <w:pPr>
              <w:spacing w:line="360" w:lineRule="auto"/>
              <w:jc w:val="center"/>
              <w:rPr>
                <w:rFonts w:hint="default" w:cs="宋体"/>
                <w:sz w:val="21"/>
              </w:rPr>
            </w:pPr>
            <w:r>
              <w:rPr>
                <w:rFonts w:cs="宋体"/>
                <w:sz w:val="21"/>
              </w:rPr>
              <w:t>3.5.3</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0FBB750">
            <w:pPr>
              <w:spacing w:line="360" w:lineRule="auto"/>
              <w:jc w:val="center"/>
              <w:rPr>
                <w:rFonts w:hint="default" w:cs="宋体"/>
                <w:sz w:val="21"/>
              </w:rPr>
            </w:pPr>
            <w:r>
              <w:rPr>
                <w:rFonts w:cs="宋体"/>
                <w:sz w:val="21"/>
              </w:rPr>
              <w:t>近年完成的类似项目的年份要求</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EAF07C">
            <w:pPr>
              <w:spacing w:line="360" w:lineRule="auto"/>
              <w:rPr>
                <w:rFonts w:hint="default" w:cs="宋体"/>
                <w:sz w:val="21"/>
              </w:rPr>
            </w:pPr>
            <w:r>
              <w:rPr>
                <w:rFonts w:cs="宋体"/>
                <w:sz w:val="21"/>
              </w:rPr>
              <w:t>近三年（202</w:t>
            </w:r>
            <w:r>
              <w:rPr>
                <w:rFonts w:hint="eastAsia" w:cs="宋体"/>
                <w:sz w:val="21"/>
                <w:lang w:val="en-US" w:eastAsia="zh-CN"/>
              </w:rPr>
              <w:t>2</w:t>
            </w:r>
            <w:r>
              <w:rPr>
                <w:rFonts w:cs="宋体"/>
                <w:sz w:val="21"/>
              </w:rPr>
              <w:t>年</w:t>
            </w:r>
            <w:r>
              <w:rPr>
                <w:rFonts w:hint="eastAsia" w:cs="宋体"/>
                <w:sz w:val="21"/>
                <w:lang w:val="en-US" w:eastAsia="zh-CN"/>
              </w:rPr>
              <w:t>1月1日-至今</w:t>
            </w:r>
            <w:r>
              <w:rPr>
                <w:rFonts w:cs="宋体"/>
                <w:sz w:val="21"/>
              </w:rPr>
              <w:t>）。</w:t>
            </w:r>
          </w:p>
        </w:tc>
      </w:tr>
      <w:tr w14:paraId="65C20093">
        <w:tblPrEx>
          <w:tblCellMar>
            <w:top w:w="0" w:type="dxa"/>
            <w:left w:w="108" w:type="dxa"/>
            <w:bottom w:w="0" w:type="dxa"/>
            <w:right w:w="108" w:type="dxa"/>
          </w:tblCellMar>
        </w:tblPrEx>
        <w:trPr>
          <w:trHeight w:val="602"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3A01F2">
            <w:pPr>
              <w:spacing w:line="360" w:lineRule="auto"/>
              <w:jc w:val="center"/>
              <w:rPr>
                <w:rFonts w:hint="default" w:cs="宋体"/>
                <w:sz w:val="21"/>
              </w:rPr>
            </w:pPr>
            <w:r>
              <w:rPr>
                <w:rFonts w:cs="宋体"/>
                <w:sz w:val="21"/>
              </w:rPr>
              <w:t>3.5.4</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D446A9">
            <w:pPr>
              <w:spacing w:line="360" w:lineRule="auto"/>
              <w:jc w:val="center"/>
              <w:rPr>
                <w:rFonts w:hint="default" w:cs="宋体"/>
                <w:sz w:val="21"/>
              </w:rPr>
            </w:pPr>
            <w:r>
              <w:rPr>
                <w:rFonts w:cs="宋体"/>
                <w:sz w:val="21"/>
              </w:rPr>
              <w:t>近年发生的诉讼及仲裁情况的年份要求</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A451F5">
            <w:pPr>
              <w:spacing w:line="360" w:lineRule="auto"/>
              <w:rPr>
                <w:rFonts w:hint="default" w:cs="宋体"/>
                <w:sz w:val="21"/>
              </w:rPr>
            </w:pPr>
            <w:r>
              <w:rPr>
                <w:rFonts w:cs="宋体"/>
                <w:sz w:val="21"/>
              </w:rPr>
              <w:t>近三年（202</w:t>
            </w:r>
            <w:r>
              <w:rPr>
                <w:rFonts w:hint="eastAsia" w:cs="宋体"/>
                <w:sz w:val="21"/>
                <w:lang w:val="en-US" w:eastAsia="zh-CN"/>
              </w:rPr>
              <w:t>2</w:t>
            </w:r>
            <w:r>
              <w:rPr>
                <w:rFonts w:cs="宋体"/>
                <w:sz w:val="21"/>
              </w:rPr>
              <w:t>年</w:t>
            </w:r>
            <w:r>
              <w:rPr>
                <w:rFonts w:hint="eastAsia" w:cs="宋体"/>
                <w:sz w:val="21"/>
                <w:lang w:val="en-US" w:eastAsia="zh-CN"/>
              </w:rPr>
              <w:t>1月1日-至今</w:t>
            </w:r>
            <w:r>
              <w:rPr>
                <w:rFonts w:cs="宋体"/>
                <w:sz w:val="21"/>
              </w:rPr>
              <w:t>）。</w:t>
            </w:r>
          </w:p>
        </w:tc>
      </w:tr>
      <w:tr w14:paraId="0F57EF6A">
        <w:tblPrEx>
          <w:tblCellMar>
            <w:top w:w="0" w:type="dxa"/>
            <w:left w:w="108" w:type="dxa"/>
            <w:bottom w:w="0" w:type="dxa"/>
            <w:right w:w="108" w:type="dxa"/>
          </w:tblCellMar>
        </w:tblPrEx>
        <w:trPr>
          <w:trHeight w:val="247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D5DCC0">
            <w:pPr>
              <w:spacing w:line="360" w:lineRule="auto"/>
              <w:jc w:val="center"/>
              <w:rPr>
                <w:rFonts w:hint="default" w:cs="宋体"/>
                <w:sz w:val="21"/>
              </w:rPr>
            </w:pPr>
            <w:r>
              <w:rPr>
                <w:rFonts w:cs="宋体"/>
                <w:sz w:val="21"/>
              </w:rPr>
              <w:t>3.6.3</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8FA5CAE">
            <w:pPr>
              <w:spacing w:line="360" w:lineRule="auto"/>
              <w:jc w:val="center"/>
              <w:rPr>
                <w:rFonts w:hint="default" w:cs="宋体"/>
                <w:sz w:val="21"/>
              </w:rPr>
            </w:pPr>
            <w:r>
              <w:rPr>
                <w:rFonts w:cs="宋体"/>
                <w:sz w:val="21"/>
              </w:rPr>
              <w:t>签字或盖章要求</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2B2A9F">
            <w:pPr>
              <w:spacing w:line="360" w:lineRule="auto"/>
              <w:rPr>
                <w:rFonts w:hint="default" w:cs="宋体"/>
                <w:sz w:val="21"/>
              </w:rPr>
            </w:pPr>
            <w:r>
              <w:rPr>
                <w:rFonts w:hint="default" w:cs="宋体"/>
                <w:sz w:val="21"/>
              </w:rPr>
              <w:t>1. 所有要求签字的地方都应签字（包括姓和名），不得用盖章代替，也不得由他人代签。</w:t>
            </w:r>
          </w:p>
          <w:p w14:paraId="51EBA83F">
            <w:pPr>
              <w:spacing w:line="360" w:lineRule="auto"/>
              <w:rPr>
                <w:rFonts w:hint="default" w:cs="宋体"/>
                <w:sz w:val="21"/>
              </w:rPr>
            </w:pPr>
            <w:r>
              <w:rPr>
                <w:rFonts w:hint="default" w:cs="宋体"/>
                <w:sz w:val="21"/>
              </w:rPr>
              <w:t>2. 所有要求盖章的地方都应加盖供应商单位（法定名称）章（鲜章</w:t>
            </w:r>
            <w:r>
              <w:rPr>
                <w:rFonts w:hint="eastAsia" w:cs="宋体"/>
                <w:sz w:val="21"/>
                <w:lang w:eastAsia="zh-CN"/>
              </w:rPr>
              <w:t>或电子签章</w:t>
            </w:r>
            <w:r>
              <w:rPr>
                <w:rFonts w:hint="default" w:cs="宋体"/>
                <w:sz w:val="21"/>
              </w:rPr>
              <w:t>），不得使用专用章（如经济合同章、投标专用章等）或下属单位印章代替。</w:t>
            </w:r>
          </w:p>
          <w:p w14:paraId="18078A21">
            <w:pPr>
              <w:spacing w:line="360" w:lineRule="auto"/>
              <w:rPr>
                <w:rFonts w:hint="default" w:cs="宋体"/>
                <w:sz w:val="21"/>
              </w:rPr>
            </w:pPr>
            <w:r>
              <w:rPr>
                <w:rFonts w:hint="eastAsia" w:ascii="宋体" w:hAnsi="宋体" w:cs="宋体"/>
                <w:b/>
                <w:bCs/>
                <w:szCs w:val="21"/>
                <w:lang w:val="en-US" w:eastAsia="zh-CN"/>
              </w:rPr>
              <w:t>3.</w:t>
            </w:r>
            <w:r>
              <w:rPr>
                <w:rFonts w:hint="eastAsia" w:ascii="宋体" w:hAnsi="宋体" w:cs="宋体"/>
                <w:b/>
                <w:bCs/>
                <w:szCs w:val="21"/>
                <w:lang w:val="zh-CN"/>
              </w:rPr>
              <w:t>电子招投标系统认可的电子签章同样有效。</w:t>
            </w:r>
          </w:p>
        </w:tc>
      </w:tr>
      <w:tr w14:paraId="0ABEB239">
        <w:tblPrEx>
          <w:tblCellMar>
            <w:top w:w="0" w:type="dxa"/>
            <w:left w:w="108" w:type="dxa"/>
            <w:bottom w:w="0" w:type="dxa"/>
            <w:right w:w="108" w:type="dxa"/>
          </w:tblCellMar>
        </w:tblPrEx>
        <w:trPr>
          <w:trHeight w:val="62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908F36">
            <w:pPr>
              <w:spacing w:line="360" w:lineRule="auto"/>
              <w:jc w:val="center"/>
              <w:rPr>
                <w:rFonts w:hint="default" w:cs="宋体"/>
                <w:sz w:val="21"/>
                <w:highlight w:val="none"/>
              </w:rPr>
            </w:pPr>
            <w:r>
              <w:rPr>
                <w:rFonts w:cs="宋体"/>
                <w:sz w:val="21"/>
                <w:highlight w:val="none"/>
              </w:rPr>
              <w:t>3.6.4</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4FAE22">
            <w:pPr>
              <w:spacing w:line="360" w:lineRule="auto"/>
              <w:jc w:val="center"/>
              <w:rPr>
                <w:rFonts w:hint="default" w:cs="宋体"/>
                <w:sz w:val="21"/>
                <w:highlight w:val="none"/>
              </w:rPr>
            </w:pPr>
            <w:r>
              <w:rPr>
                <w:rFonts w:cs="宋体"/>
                <w:sz w:val="21"/>
                <w:highlight w:val="none"/>
              </w:rPr>
              <w:t>响应文件份数</w:t>
            </w:r>
          </w:p>
        </w:tc>
        <w:tc>
          <w:tcPr>
            <w:tcW w:w="682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14:paraId="0ADA4DC3">
            <w:pPr>
              <w:spacing w:line="360" w:lineRule="auto"/>
              <w:rPr>
                <w:rFonts w:hint="eastAsia" w:eastAsia="宋体" w:cs="宋体"/>
                <w:sz w:val="21"/>
                <w:highlight w:val="none"/>
                <w:lang w:eastAsia="zh-CN"/>
              </w:rPr>
            </w:pPr>
            <w:r>
              <w:rPr>
                <w:rFonts w:hint="eastAsia" w:cs="宋体"/>
                <w:sz w:val="21"/>
                <w:highlight w:val="none"/>
                <w:lang w:val="en-US" w:eastAsia="zh-CN"/>
              </w:rPr>
              <w:t>/</w:t>
            </w:r>
          </w:p>
        </w:tc>
      </w:tr>
      <w:tr w14:paraId="23311D95">
        <w:tblPrEx>
          <w:tblCellMar>
            <w:top w:w="0" w:type="dxa"/>
            <w:left w:w="108" w:type="dxa"/>
            <w:bottom w:w="0" w:type="dxa"/>
            <w:right w:w="108" w:type="dxa"/>
          </w:tblCellMar>
        </w:tblPrEx>
        <w:trPr>
          <w:trHeight w:val="54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95801A">
            <w:pPr>
              <w:spacing w:line="360" w:lineRule="auto"/>
              <w:jc w:val="center"/>
              <w:rPr>
                <w:rFonts w:hint="default" w:cs="宋体"/>
                <w:sz w:val="21"/>
                <w:highlight w:val="none"/>
              </w:rPr>
            </w:pPr>
            <w:r>
              <w:rPr>
                <w:rFonts w:cs="宋体"/>
                <w:sz w:val="21"/>
                <w:highlight w:val="none"/>
              </w:rPr>
              <w:t>3.6.5</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5F1DF7">
            <w:pPr>
              <w:spacing w:line="360" w:lineRule="auto"/>
              <w:jc w:val="center"/>
              <w:rPr>
                <w:rFonts w:hint="default" w:cs="宋体"/>
                <w:sz w:val="21"/>
                <w:highlight w:val="none"/>
              </w:rPr>
            </w:pPr>
            <w:r>
              <w:rPr>
                <w:rFonts w:cs="宋体"/>
                <w:sz w:val="21"/>
                <w:highlight w:val="none"/>
              </w:rPr>
              <w:t>装订要求</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1B2BE3">
            <w:pPr>
              <w:spacing w:line="360" w:lineRule="auto"/>
              <w:rPr>
                <w:rFonts w:hint="default" w:eastAsia="宋体" w:cs="宋体"/>
                <w:sz w:val="21"/>
                <w:highlight w:val="none"/>
                <w:lang w:val="en-US" w:eastAsia="zh-CN"/>
              </w:rPr>
            </w:pPr>
            <w:r>
              <w:rPr>
                <w:rFonts w:hint="eastAsia" w:cs="宋体"/>
                <w:sz w:val="21"/>
                <w:highlight w:val="none"/>
                <w:lang w:val="en-US" w:eastAsia="zh-CN"/>
              </w:rPr>
              <w:t>/</w:t>
            </w:r>
          </w:p>
        </w:tc>
      </w:tr>
      <w:tr w14:paraId="74E23840">
        <w:tblPrEx>
          <w:tblCellMar>
            <w:top w:w="0" w:type="dxa"/>
            <w:left w:w="108" w:type="dxa"/>
            <w:bottom w:w="0" w:type="dxa"/>
            <w:right w:w="108" w:type="dxa"/>
          </w:tblCellMar>
        </w:tblPrEx>
        <w:trPr>
          <w:trHeight w:val="40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23BC90">
            <w:pPr>
              <w:spacing w:line="360" w:lineRule="auto"/>
              <w:jc w:val="center"/>
              <w:rPr>
                <w:rFonts w:hint="default" w:cs="宋体"/>
                <w:sz w:val="21"/>
              </w:rPr>
            </w:pPr>
            <w:r>
              <w:rPr>
                <w:rFonts w:cs="宋体"/>
                <w:sz w:val="21"/>
              </w:rPr>
              <w:t>4.1.2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8D616EB">
            <w:pPr>
              <w:spacing w:line="360" w:lineRule="auto"/>
              <w:jc w:val="center"/>
              <w:rPr>
                <w:rFonts w:hint="default" w:cs="宋体"/>
                <w:sz w:val="21"/>
              </w:rPr>
            </w:pPr>
            <w:r>
              <w:rPr>
                <w:rFonts w:cs="宋体"/>
                <w:sz w:val="21"/>
              </w:rPr>
              <w:t>封套上应载明的信息</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04FF60E">
            <w:pPr>
              <w:spacing w:line="360" w:lineRule="auto"/>
              <w:rPr>
                <w:rFonts w:hint="default" w:cs="宋体"/>
                <w:sz w:val="21"/>
              </w:rPr>
            </w:pPr>
            <w:r>
              <w:rPr>
                <w:rFonts w:cs="宋体"/>
                <w:sz w:val="21"/>
              </w:rPr>
              <w:t>见文件内磋商响应文件包装袋封面标贴格式。</w:t>
            </w:r>
          </w:p>
        </w:tc>
      </w:tr>
      <w:tr w14:paraId="09BCF554">
        <w:tblPrEx>
          <w:tblCellMar>
            <w:top w:w="0" w:type="dxa"/>
            <w:left w:w="108" w:type="dxa"/>
            <w:bottom w:w="0" w:type="dxa"/>
            <w:right w:w="108" w:type="dxa"/>
          </w:tblCellMar>
        </w:tblPrEx>
        <w:trPr>
          <w:trHeight w:val="74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688B93">
            <w:pPr>
              <w:spacing w:line="360" w:lineRule="auto"/>
              <w:jc w:val="center"/>
              <w:rPr>
                <w:rFonts w:hint="default" w:cs="宋体"/>
                <w:sz w:val="21"/>
              </w:rPr>
            </w:pPr>
          </w:p>
          <w:p w14:paraId="7057D257">
            <w:pPr>
              <w:spacing w:line="360" w:lineRule="auto"/>
              <w:jc w:val="center"/>
              <w:rPr>
                <w:rFonts w:hint="default" w:cs="宋体"/>
                <w:sz w:val="21"/>
              </w:rPr>
            </w:pPr>
            <w:r>
              <w:rPr>
                <w:rFonts w:cs="宋体"/>
                <w:sz w:val="21"/>
              </w:rPr>
              <w:t>4.2.2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299238">
            <w:pPr>
              <w:spacing w:line="360" w:lineRule="auto"/>
              <w:jc w:val="center"/>
              <w:rPr>
                <w:rFonts w:hint="default" w:cs="宋体"/>
                <w:sz w:val="21"/>
              </w:rPr>
            </w:pPr>
            <w:r>
              <w:rPr>
                <w:rFonts w:hint="eastAsia" w:cs="宋体"/>
                <w:sz w:val="21"/>
                <w:lang w:val="zh-CN"/>
              </w:rPr>
              <w:t>磋商时间和地点</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D4E74E">
            <w:pPr>
              <w:autoSpaceDE w:val="0"/>
              <w:autoSpaceDN w:val="0"/>
              <w:adjustRightInd w:val="0"/>
              <w:spacing w:line="360" w:lineRule="auto"/>
              <w:rPr>
                <w:rFonts w:hint="eastAsia" w:ascii="宋体" w:hAnsi="宋体" w:eastAsia="宋体" w:cs="宋体"/>
                <w:sz w:val="21"/>
                <w:highlight w:val="none"/>
                <w:lang w:val="zh-CN"/>
              </w:rPr>
            </w:pPr>
            <w:r>
              <w:rPr>
                <w:rFonts w:hint="eastAsia" w:ascii="宋体" w:hAnsi="宋体" w:eastAsia="宋体" w:cs="宋体"/>
                <w:sz w:val="21"/>
                <w:highlight w:val="none"/>
                <w:lang w:val="en-US" w:eastAsia="zh-CN"/>
              </w:rPr>
              <w:t>2025</w:t>
            </w:r>
            <w:r>
              <w:rPr>
                <w:rFonts w:hint="default" w:ascii="宋体" w:hAnsi="宋体" w:eastAsia="宋体" w:cs="宋体"/>
                <w:sz w:val="21"/>
                <w:highlight w:val="none"/>
                <w:lang w:val="en-US"/>
              </w:rPr>
              <w:t>年</w:t>
            </w:r>
            <w:r>
              <w:rPr>
                <w:rFonts w:hint="eastAsia" w:ascii="宋体" w:hAnsi="宋体" w:eastAsia="宋体" w:cs="宋体"/>
                <w:sz w:val="21"/>
                <w:highlight w:val="none"/>
                <w:lang w:val="en-US" w:eastAsia="zh-CN"/>
              </w:rPr>
              <w:t>1月16日13</w:t>
            </w:r>
            <w:r>
              <w:rPr>
                <w:rFonts w:hint="default" w:ascii="宋体" w:hAnsi="宋体" w:eastAsia="宋体" w:cs="宋体"/>
                <w:sz w:val="21"/>
                <w:highlight w:val="none"/>
                <w:lang w:val="en-US"/>
              </w:rPr>
              <w:t>点</w:t>
            </w:r>
            <w:r>
              <w:rPr>
                <w:rFonts w:hint="eastAsia" w:ascii="宋体" w:hAnsi="宋体" w:eastAsia="宋体" w:cs="宋体"/>
                <w:sz w:val="21"/>
                <w:highlight w:val="none"/>
                <w:lang w:val="en-US" w:eastAsia="zh-CN"/>
              </w:rPr>
              <w:t>30</w:t>
            </w:r>
            <w:r>
              <w:rPr>
                <w:rFonts w:hint="default" w:ascii="宋体" w:hAnsi="宋体" w:eastAsia="宋体" w:cs="宋体"/>
                <w:sz w:val="21"/>
                <w:highlight w:val="none"/>
                <w:lang w:val="en-US"/>
              </w:rPr>
              <w:t>分</w:t>
            </w:r>
            <w:r>
              <w:rPr>
                <w:rFonts w:hint="eastAsia" w:ascii="宋体" w:hAnsi="宋体" w:eastAsia="宋体" w:cs="宋体"/>
                <w:sz w:val="21"/>
                <w:highlight w:val="none"/>
                <w:lang w:val="zh-CN"/>
              </w:rPr>
              <w:t>（北京时间）</w:t>
            </w:r>
          </w:p>
          <w:p w14:paraId="7C98833B">
            <w:pPr>
              <w:autoSpaceDE w:val="0"/>
              <w:autoSpaceDN w:val="0"/>
              <w:adjustRightInd w:val="0"/>
              <w:spacing w:line="360" w:lineRule="auto"/>
              <w:rPr>
                <w:rFonts w:hint="default" w:ascii="宋体" w:hAnsi="宋体" w:eastAsia="宋体" w:cs="宋体"/>
                <w:sz w:val="21"/>
                <w:highlight w:val="none"/>
                <w:lang w:val="en-US"/>
              </w:rPr>
            </w:pPr>
            <w:r>
              <w:rPr>
                <w:rFonts w:hint="eastAsia" w:ascii="宋体" w:hAnsi="宋体" w:eastAsia="宋体" w:cs="宋体"/>
                <w:sz w:val="21"/>
                <w:highlight w:val="none"/>
                <w:lang w:val="zh-CN"/>
              </w:rPr>
              <w:t>地点：</w:t>
            </w:r>
            <w:r>
              <w:rPr>
                <w:rFonts w:hint="default" w:ascii="宋体" w:hAnsi="宋体" w:eastAsia="宋体" w:cs="宋体"/>
                <w:sz w:val="21"/>
                <w:highlight w:val="none"/>
                <w:lang w:val="en-US"/>
              </w:rPr>
              <w:t>长春市二道区洋浦大街</w:t>
            </w:r>
            <w:r>
              <w:rPr>
                <w:rFonts w:hint="default" w:ascii="宋体" w:hAnsi="宋体" w:eastAsia="宋体" w:cs="宋体"/>
                <w:sz w:val="21"/>
                <w:highlight w:val="none"/>
                <w:lang w:val="en-US" w:eastAsia="zh-CN"/>
              </w:rPr>
              <w:t>6999号凯利中心AB栋101</w:t>
            </w:r>
            <w:r>
              <w:rPr>
                <w:rFonts w:hint="eastAsia" w:ascii="宋体" w:hAnsi="宋体" w:eastAsia="宋体" w:cs="宋体"/>
                <w:sz w:val="21"/>
                <w:highlight w:val="none"/>
                <w:lang w:val="en-US" w:eastAsia="zh-CN"/>
              </w:rPr>
              <w:t>开标二室</w:t>
            </w:r>
            <w:r>
              <w:rPr>
                <w:rFonts w:hint="eastAsia" w:ascii="宋体" w:hAnsi="宋体" w:eastAsia="宋体" w:cs="宋体"/>
                <w:sz w:val="21"/>
                <w:highlight w:val="none"/>
                <w:lang w:val="zh-CN"/>
              </w:rPr>
              <w:t xml:space="preserve"> </w:t>
            </w:r>
          </w:p>
        </w:tc>
      </w:tr>
      <w:tr w14:paraId="4AD59A09">
        <w:tblPrEx>
          <w:tblCellMar>
            <w:top w:w="0" w:type="dxa"/>
            <w:left w:w="108" w:type="dxa"/>
            <w:bottom w:w="0" w:type="dxa"/>
            <w:right w:w="108" w:type="dxa"/>
          </w:tblCellMar>
        </w:tblPrEx>
        <w:trPr>
          <w:trHeight w:val="641"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376DE0">
            <w:pPr>
              <w:spacing w:line="360" w:lineRule="auto"/>
              <w:jc w:val="center"/>
              <w:rPr>
                <w:rFonts w:hint="default" w:cs="宋体"/>
                <w:sz w:val="21"/>
              </w:rPr>
            </w:pPr>
          </w:p>
          <w:p w14:paraId="5B809DD5">
            <w:pPr>
              <w:spacing w:line="360" w:lineRule="auto"/>
              <w:jc w:val="center"/>
              <w:rPr>
                <w:rFonts w:hint="default" w:cs="宋体"/>
                <w:sz w:val="21"/>
              </w:rPr>
            </w:pPr>
            <w:r>
              <w:rPr>
                <w:rFonts w:cs="宋体"/>
                <w:sz w:val="21"/>
              </w:rPr>
              <w:t>4.2.3</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6247E7">
            <w:pPr>
              <w:spacing w:line="360" w:lineRule="auto"/>
              <w:jc w:val="center"/>
              <w:rPr>
                <w:rFonts w:hint="default" w:cs="宋体"/>
                <w:sz w:val="21"/>
              </w:rPr>
            </w:pPr>
            <w:r>
              <w:rPr>
                <w:rFonts w:cs="宋体"/>
                <w:sz w:val="21"/>
              </w:rPr>
              <w:t>是否退还磋商响应文件</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5D796F">
            <w:pPr>
              <w:autoSpaceDE w:val="0"/>
              <w:autoSpaceDN w:val="0"/>
              <w:adjustRightInd w:val="0"/>
              <w:spacing w:line="360" w:lineRule="auto"/>
              <w:rPr>
                <w:rFonts w:hint="default" w:ascii="宋体" w:hAnsi="宋体" w:eastAsia="宋体" w:cs="宋体"/>
                <w:sz w:val="21"/>
                <w:highlight w:val="none"/>
                <w:lang w:val="en-US"/>
              </w:rPr>
            </w:pPr>
            <w:r>
              <w:rPr>
                <w:rFonts w:hint="default" w:ascii="宋体" w:hAnsi="宋体" w:eastAsia="宋体" w:cs="宋体"/>
                <w:sz w:val="21"/>
                <w:highlight w:val="none"/>
                <w:lang w:val="en-US"/>
              </w:rPr>
              <w:t>否</w:t>
            </w:r>
          </w:p>
        </w:tc>
      </w:tr>
      <w:tr w14:paraId="32D7D1C6">
        <w:tblPrEx>
          <w:tblCellMar>
            <w:top w:w="0" w:type="dxa"/>
            <w:left w:w="108" w:type="dxa"/>
            <w:bottom w:w="0" w:type="dxa"/>
            <w:right w:w="108" w:type="dxa"/>
          </w:tblCellMar>
        </w:tblPrEx>
        <w:trPr>
          <w:trHeight w:val="54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505990">
            <w:pPr>
              <w:spacing w:line="360" w:lineRule="auto"/>
              <w:jc w:val="center"/>
              <w:rPr>
                <w:rFonts w:hint="default" w:cs="宋体"/>
                <w:sz w:val="21"/>
              </w:rPr>
            </w:pPr>
            <w:r>
              <w:rPr>
                <w:rFonts w:cs="宋体"/>
                <w:sz w:val="21"/>
              </w:rPr>
              <w:t>5.1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9AF45D">
            <w:pPr>
              <w:spacing w:line="360" w:lineRule="auto"/>
              <w:jc w:val="center"/>
              <w:rPr>
                <w:rFonts w:hint="default" w:cs="宋体"/>
                <w:sz w:val="21"/>
              </w:rPr>
            </w:pPr>
            <w:r>
              <w:rPr>
                <w:rFonts w:cs="宋体"/>
                <w:sz w:val="21"/>
              </w:rPr>
              <w:t>开标时间和地点</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7C10BE">
            <w:pPr>
              <w:autoSpaceDE w:val="0"/>
              <w:autoSpaceDN w:val="0"/>
              <w:adjustRightInd w:val="0"/>
              <w:spacing w:line="360" w:lineRule="auto"/>
              <w:rPr>
                <w:rFonts w:hint="default" w:ascii="宋体" w:hAnsi="宋体" w:eastAsia="宋体" w:cs="宋体"/>
                <w:sz w:val="21"/>
                <w:highlight w:val="none"/>
                <w:lang w:val="en-US"/>
              </w:rPr>
            </w:pPr>
            <w:r>
              <w:rPr>
                <w:rFonts w:hint="eastAsia" w:ascii="宋体" w:hAnsi="宋体" w:eastAsia="宋体" w:cs="宋体"/>
                <w:sz w:val="21"/>
                <w:highlight w:val="none"/>
                <w:lang w:val="en-US"/>
              </w:rPr>
              <w:t>地  点：在截止时间前，</w:t>
            </w:r>
            <w:r>
              <w:rPr>
                <w:rFonts w:hint="eastAsia" w:ascii="宋体" w:hAnsi="宋体" w:eastAsia="宋体" w:cs="宋体"/>
                <w:sz w:val="21"/>
                <w:highlight w:val="none"/>
                <w:lang w:val="zh-CN"/>
              </w:rPr>
              <w:t>通过“政采云”平台（http：//www.zcygov.cn）实行在线电子投标，供应商应先安装“政采云投标客户端”（请自行前往“政采云”平台进行下载），并按照本项目磋商文件和“政采云”平台的要求编制、加密后在截止时间前通过网络上传至“政采云”平台，供应商在“政采云”平台提交电子版响应文件时，请填写参加开启活动经办人联系方式</w:t>
            </w:r>
            <w:r>
              <w:rPr>
                <w:rFonts w:hint="eastAsia" w:ascii="宋体" w:hAnsi="宋体" w:eastAsia="宋体" w:cs="宋体"/>
                <w:sz w:val="21"/>
                <w:highlight w:val="none"/>
                <w:lang w:val="en-US"/>
              </w:rPr>
              <w:t>。</w:t>
            </w:r>
            <w:r>
              <w:rPr>
                <w:rFonts w:hint="eastAsia" w:ascii="宋体" w:hAnsi="宋体" w:eastAsia="宋体" w:cs="宋体"/>
                <w:sz w:val="21"/>
                <w:highlight w:val="none"/>
                <w:lang w:val="zh-CN"/>
              </w:rPr>
              <w:t xml:space="preserve"> </w:t>
            </w:r>
          </w:p>
        </w:tc>
      </w:tr>
      <w:tr w14:paraId="38F5EE21">
        <w:tblPrEx>
          <w:tblCellMar>
            <w:top w:w="0" w:type="dxa"/>
            <w:left w:w="108" w:type="dxa"/>
            <w:bottom w:w="0" w:type="dxa"/>
            <w:right w:w="108" w:type="dxa"/>
          </w:tblCellMar>
        </w:tblPrEx>
        <w:trPr>
          <w:trHeight w:val="545"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53F598">
            <w:pPr>
              <w:spacing w:line="360" w:lineRule="auto"/>
              <w:jc w:val="center"/>
              <w:rPr>
                <w:rFonts w:hint="default" w:cs="宋体"/>
                <w:sz w:val="21"/>
              </w:rPr>
            </w:pPr>
            <w:r>
              <w:rPr>
                <w:rFonts w:cs="宋体"/>
                <w:sz w:val="21"/>
              </w:rPr>
              <w:t>5.2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6C4AF1">
            <w:pPr>
              <w:spacing w:line="360" w:lineRule="auto"/>
              <w:jc w:val="center"/>
              <w:rPr>
                <w:rFonts w:hint="default" w:cs="宋体"/>
                <w:sz w:val="21"/>
              </w:rPr>
            </w:pPr>
            <w:r>
              <w:rPr>
                <w:rFonts w:hint="eastAsia" w:cs="宋体"/>
                <w:sz w:val="21"/>
                <w:lang w:val="zh-CN"/>
              </w:rPr>
              <w:t>磋商程序</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78E3EA">
            <w:pPr>
              <w:autoSpaceDE w:val="0"/>
              <w:autoSpaceDN w:val="0"/>
              <w:adjustRightInd w:val="0"/>
              <w:spacing w:line="360" w:lineRule="auto"/>
              <w:rPr>
                <w:rFonts w:hint="eastAsia" w:ascii="宋体" w:hAnsi="宋体" w:eastAsia="宋体" w:cs="宋体"/>
                <w:sz w:val="21"/>
                <w:highlight w:val="none"/>
                <w:lang w:val="zh-CN"/>
              </w:rPr>
            </w:pPr>
            <w:r>
              <w:rPr>
                <w:rFonts w:hint="eastAsia" w:ascii="宋体" w:hAnsi="宋体" w:eastAsia="宋体" w:cs="宋体"/>
                <w:sz w:val="21"/>
                <w:highlight w:val="none"/>
                <w:lang w:val="zh-CN"/>
              </w:rPr>
              <w:t>密封检查：由供应商代表检查响应文件密封情况；</w:t>
            </w:r>
          </w:p>
          <w:p w14:paraId="492F0B2B">
            <w:pPr>
              <w:autoSpaceDE w:val="0"/>
              <w:autoSpaceDN w:val="0"/>
              <w:adjustRightInd w:val="0"/>
              <w:spacing w:line="360" w:lineRule="auto"/>
              <w:rPr>
                <w:rFonts w:hint="default" w:ascii="宋体" w:hAnsi="宋体" w:eastAsia="宋体" w:cs="宋体"/>
                <w:sz w:val="21"/>
                <w:highlight w:val="none"/>
                <w:lang w:val="en-US"/>
              </w:rPr>
            </w:pPr>
            <w:r>
              <w:rPr>
                <w:rFonts w:hint="eastAsia" w:ascii="宋体" w:hAnsi="宋体" w:eastAsia="宋体" w:cs="宋体"/>
                <w:sz w:val="21"/>
                <w:highlight w:val="none"/>
                <w:lang w:val="en-US"/>
              </w:rPr>
              <w:t>磋商</w:t>
            </w:r>
            <w:r>
              <w:rPr>
                <w:rFonts w:hint="eastAsia" w:ascii="宋体" w:hAnsi="宋体" w:eastAsia="宋体" w:cs="宋体"/>
                <w:sz w:val="21"/>
                <w:highlight w:val="none"/>
                <w:lang w:val="zh-CN"/>
              </w:rPr>
              <w:t>顺序：按政采云平台顺序进行。</w:t>
            </w:r>
          </w:p>
        </w:tc>
      </w:tr>
      <w:tr w14:paraId="1CEF0951">
        <w:tblPrEx>
          <w:tblCellMar>
            <w:top w:w="0" w:type="dxa"/>
            <w:left w:w="108" w:type="dxa"/>
            <w:bottom w:w="0" w:type="dxa"/>
            <w:right w:w="108" w:type="dxa"/>
          </w:tblCellMar>
        </w:tblPrEx>
        <w:trPr>
          <w:trHeight w:val="82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30370C">
            <w:pPr>
              <w:spacing w:line="360" w:lineRule="auto"/>
              <w:jc w:val="center"/>
              <w:rPr>
                <w:rFonts w:hint="default" w:cs="宋体"/>
                <w:sz w:val="21"/>
              </w:rPr>
            </w:pPr>
          </w:p>
          <w:p w14:paraId="3DB3290C">
            <w:pPr>
              <w:spacing w:line="360" w:lineRule="auto"/>
              <w:jc w:val="center"/>
              <w:rPr>
                <w:rFonts w:hint="default" w:cs="宋体"/>
                <w:sz w:val="21"/>
              </w:rPr>
            </w:pPr>
            <w:r>
              <w:rPr>
                <w:rFonts w:cs="宋体"/>
                <w:sz w:val="21"/>
              </w:rPr>
              <w:t>6.1.1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FAFB7E">
            <w:pPr>
              <w:spacing w:line="360" w:lineRule="auto"/>
              <w:jc w:val="center"/>
              <w:rPr>
                <w:rFonts w:hint="default" w:cs="宋体"/>
                <w:sz w:val="21"/>
                <w:highlight w:val="none"/>
              </w:rPr>
            </w:pPr>
          </w:p>
          <w:p w14:paraId="0655A017">
            <w:pPr>
              <w:spacing w:line="360" w:lineRule="auto"/>
              <w:jc w:val="center"/>
              <w:rPr>
                <w:rFonts w:hint="default" w:cs="宋体"/>
                <w:sz w:val="21"/>
                <w:highlight w:val="none"/>
              </w:rPr>
            </w:pPr>
            <w:r>
              <w:rPr>
                <w:rFonts w:cs="宋体"/>
                <w:sz w:val="21"/>
                <w:highlight w:val="none"/>
              </w:rPr>
              <w:t>磋商小组的组建</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3B3698">
            <w:pPr>
              <w:spacing w:line="360" w:lineRule="auto"/>
              <w:rPr>
                <w:rFonts w:hint="default" w:cs="宋体"/>
                <w:sz w:val="21"/>
                <w:highlight w:val="none"/>
              </w:rPr>
            </w:pPr>
            <w:r>
              <w:rPr>
                <w:rFonts w:cs="宋体"/>
                <w:sz w:val="21"/>
                <w:highlight w:val="none"/>
              </w:rPr>
              <w:t>竞争性磋商小组构成：3人，其中采购人代表0人，社会专家3人。</w:t>
            </w:r>
          </w:p>
          <w:p w14:paraId="0FEF5FCE">
            <w:pPr>
              <w:spacing w:line="360" w:lineRule="auto"/>
              <w:rPr>
                <w:rFonts w:hint="default" w:cs="宋体"/>
                <w:sz w:val="21"/>
                <w:highlight w:val="none"/>
              </w:rPr>
            </w:pPr>
            <w:r>
              <w:rPr>
                <w:rFonts w:cs="宋体"/>
                <w:sz w:val="21"/>
                <w:highlight w:val="none"/>
              </w:rPr>
              <w:t>评审专家确定方式：</w:t>
            </w:r>
            <w:r>
              <w:rPr>
                <w:rFonts w:hint="eastAsia" w:cs="宋体"/>
                <w:sz w:val="21"/>
                <w:highlight w:val="none"/>
                <w:lang w:val="zh-CN"/>
              </w:rPr>
              <w:t>在政采云平台评审专家库中，通过随机方式抽取评审专家。</w:t>
            </w:r>
          </w:p>
        </w:tc>
      </w:tr>
      <w:tr w14:paraId="0A61B836">
        <w:tblPrEx>
          <w:tblCellMar>
            <w:top w:w="0" w:type="dxa"/>
            <w:left w:w="108" w:type="dxa"/>
            <w:bottom w:w="0" w:type="dxa"/>
            <w:right w:w="108" w:type="dxa"/>
          </w:tblCellMar>
        </w:tblPrEx>
        <w:trPr>
          <w:trHeight w:val="65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760E89">
            <w:pPr>
              <w:spacing w:line="360" w:lineRule="auto"/>
              <w:jc w:val="center"/>
              <w:rPr>
                <w:rFonts w:hint="default" w:cs="宋体"/>
                <w:sz w:val="21"/>
              </w:rPr>
            </w:pPr>
          </w:p>
          <w:p w14:paraId="0BFFF2F5">
            <w:pPr>
              <w:spacing w:line="360" w:lineRule="auto"/>
              <w:jc w:val="center"/>
              <w:rPr>
                <w:rFonts w:hint="default" w:cs="宋体"/>
                <w:sz w:val="21"/>
              </w:rPr>
            </w:pPr>
            <w:r>
              <w:rPr>
                <w:rFonts w:cs="宋体"/>
                <w:sz w:val="21"/>
              </w:rPr>
              <w:t>7.1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3AE02B">
            <w:pPr>
              <w:spacing w:line="360" w:lineRule="auto"/>
              <w:jc w:val="center"/>
              <w:rPr>
                <w:rFonts w:hint="default" w:cs="宋体"/>
                <w:sz w:val="21"/>
              </w:rPr>
            </w:pPr>
            <w:r>
              <w:rPr>
                <w:rFonts w:cs="宋体"/>
                <w:sz w:val="21"/>
              </w:rPr>
              <w:t>是否授权磋商小组确定成交人</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BC779F4">
            <w:pPr>
              <w:spacing w:line="360" w:lineRule="auto"/>
              <w:rPr>
                <w:rFonts w:hint="default" w:cs="宋体"/>
                <w:sz w:val="21"/>
              </w:rPr>
            </w:pPr>
            <w:r>
              <w:rPr>
                <w:rFonts w:cs="宋体"/>
                <w:sz w:val="21"/>
              </w:rPr>
              <w:t>否，推荐的成交候选人数：3 人。</w:t>
            </w:r>
          </w:p>
        </w:tc>
      </w:tr>
      <w:tr w14:paraId="6D98468D">
        <w:tblPrEx>
          <w:tblCellMar>
            <w:top w:w="0" w:type="dxa"/>
            <w:left w:w="108" w:type="dxa"/>
            <w:bottom w:w="0" w:type="dxa"/>
            <w:right w:w="108" w:type="dxa"/>
          </w:tblCellMar>
        </w:tblPrEx>
        <w:trPr>
          <w:trHeight w:val="41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6E15DFB">
            <w:pPr>
              <w:spacing w:line="360" w:lineRule="auto"/>
              <w:jc w:val="center"/>
              <w:rPr>
                <w:rFonts w:hint="default" w:cs="宋体"/>
                <w:sz w:val="21"/>
              </w:rPr>
            </w:pPr>
            <w:r>
              <w:rPr>
                <w:rFonts w:cs="宋体"/>
                <w:sz w:val="21"/>
              </w:rPr>
              <w:t>7.2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B185DD">
            <w:pPr>
              <w:spacing w:line="360" w:lineRule="auto"/>
              <w:jc w:val="center"/>
              <w:rPr>
                <w:rFonts w:hint="default" w:cs="宋体"/>
                <w:sz w:val="21"/>
              </w:rPr>
            </w:pPr>
            <w:r>
              <w:rPr>
                <w:rFonts w:cs="宋体"/>
                <w:sz w:val="21"/>
              </w:rPr>
              <w:t>中标、成交公示媒介</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CB5872">
            <w:pPr>
              <w:spacing w:line="360" w:lineRule="auto"/>
              <w:rPr>
                <w:rFonts w:hint="default" w:cs="宋体"/>
                <w:sz w:val="21"/>
              </w:rPr>
            </w:pPr>
            <w:r>
              <w:rPr>
                <w:rFonts w:cs="宋体"/>
                <w:sz w:val="21"/>
              </w:rPr>
              <w:t>在发布磋商公告的同步网站上公示。</w:t>
            </w:r>
          </w:p>
        </w:tc>
      </w:tr>
      <w:tr w14:paraId="72C04CBB">
        <w:tblPrEx>
          <w:tblCellMar>
            <w:top w:w="0" w:type="dxa"/>
            <w:left w:w="108" w:type="dxa"/>
            <w:bottom w:w="0" w:type="dxa"/>
            <w:right w:w="108" w:type="dxa"/>
          </w:tblCellMar>
        </w:tblPrEx>
        <w:trPr>
          <w:trHeight w:val="437"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1D4833">
            <w:pPr>
              <w:spacing w:line="360" w:lineRule="auto"/>
              <w:jc w:val="center"/>
              <w:rPr>
                <w:rFonts w:hint="default" w:cs="宋体"/>
                <w:sz w:val="21"/>
              </w:rPr>
            </w:pPr>
            <w:r>
              <w:rPr>
                <w:rFonts w:cs="宋体"/>
                <w:sz w:val="21"/>
              </w:rPr>
              <w:t>7.4.2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1D00E6">
            <w:pPr>
              <w:spacing w:line="360" w:lineRule="auto"/>
              <w:jc w:val="center"/>
              <w:rPr>
                <w:rFonts w:hint="default" w:cs="宋体"/>
                <w:sz w:val="21"/>
              </w:rPr>
            </w:pPr>
            <w:r>
              <w:rPr>
                <w:rFonts w:cs="宋体"/>
                <w:sz w:val="21"/>
              </w:rPr>
              <w:t>履约保证金</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FCFD0C">
            <w:pPr>
              <w:spacing w:line="360" w:lineRule="auto"/>
              <w:rPr>
                <w:rFonts w:hint="default" w:cs="宋体"/>
                <w:sz w:val="21"/>
              </w:rPr>
            </w:pPr>
            <w:r>
              <w:rPr>
                <w:rFonts w:cs="宋体"/>
                <w:sz w:val="21"/>
              </w:rPr>
              <w:t>不收取。</w:t>
            </w:r>
          </w:p>
        </w:tc>
      </w:tr>
      <w:tr w14:paraId="3FA0A766">
        <w:tblPrEx>
          <w:tblCellMar>
            <w:top w:w="0" w:type="dxa"/>
            <w:left w:w="108" w:type="dxa"/>
            <w:bottom w:w="0" w:type="dxa"/>
            <w:right w:w="108" w:type="dxa"/>
          </w:tblCellMar>
        </w:tblPrEx>
        <w:trPr>
          <w:trHeight w:val="440"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C45C85">
            <w:pPr>
              <w:spacing w:line="360" w:lineRule="auto"/>
              <w:jc w:val="center"/>
              <w:rPr>
                <w:rFonts w:hint="default" w:cs="宋体"/>
                <w:sz w:val="21"/>
              </w:rPr>
            </w:pPr>
            <w:r>
              <w:rPr>
                <w:rFonts w:cs="宋体"/>
                <w:sz w:val="21"/>
              </w:rPr>
              <w:t>11</w:t>
            </w:r>
          </w:p>
        </w:tc>
        <w:tc>
          <w:tcPr>
            <w:tcW w:w="8952"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68F9456">
            <w:pPr>
              <w:spacing w:line="360" w:lineRule="auto"/>
              <w:rPr>
                <w:rFonts w:hint="default" w:cs="宋体"/>
                <w:sz w:val="21"/>
              </w:rPr>
            </w:pPr>
            <w:r>
              <w:rPr>
                <w:rFonts w:cs="宋体"/>
                <w:sz w:val="21"/>
              </w:rPr>
              <w:t>需要补充的其他内容</w:t>
            </w:r>
          </w:p>
        </w:tc>
      </w:tr>
      <w:tr w14:paraId="3E117C5B">
        <w:tblPrEx>
          <w:tblCellMar>
            <w:top w:w="0" w:type="dxa"/>
            <w:left w:w="108" w:type="dxa"/>
            <w:bottom w:w="0" w:type="dxa"/>
            <w:right w:w="108" w:type="dxa"/>
          </w:tblCellMar>
        </w:tblPrEx>
        <w:trPr>
          <w:trHeight w:val="37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A57201C">
            <w:pPr>
              <w:spacing w:line="360" w:lineRule="auto"/>
              <w:jc w:val="center"/>
              <w:rPr>
                <w:rFonts w:hint="default" w:cs="宋体"/>
                <w:sz w:val="21"/>
              </w:rPr>
            </w:pPr>
            <w:r>
              <w:rPr>
                <w:rFonts w:cs="宋体"/>
                <w:sz w:val="21"/>
              </w:rPr>
              <w:t>11.1</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90E0A5">
            <w:pPr>
              <w:spacing w:line="360" w:lineRule="auto"/>
              <w:jc w:val="center"/>
              <w:rPr>
                <w:rFonts w:hint="default" w:cs="宋体"/>
                <w:sz w:val="21"/>
              </w:rPr>
            </w:pPr>
            <w:r>
              <w:rPr>
                <w:rFonts w:cs="宋体"/>
                <w:sz w:val="21"/>
              </w:rPr>
              <w:t>采购预算</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672E34">
            <w:pPr>
              <w:spacing w:line="360" w:lineRule="auto"/>
              <w:rPr>
                <w:rFonts w:hint="default" w:cs="宋体"/>
                <w:sz w:val="21"/>
              </w:rPr>
            </w:pPr>
            <w:r>
              <w:rPr>
                <w:rFonts w:hint="eastAsia" w:cs="宋体"/>
                <w:sz w:val="21"/>
              </w:rPr>
              <w:t>53.4750</w:t>
            </w:r>
            <w:r>
              <w:rPr>
                <w:rFonts w:cs="宋体"/>
                <w:sz w:val="21"/>
              </w:rPr>
              <w:t>万元</w:t>
            </w:r>
          </w:p>
        </w:tc>
      </w:tr>
      <w:tr w14:paraId="60D53ADE">
        <w:tblPrEx>
          <w:tblCellMar>
            <w:top w:w="0" w:type="dxa"/>
            <w:left w:w="108" w:type="dxa"/>
            <w:bottom w:w="0" w:type="dxa"/>
            <w:right w:w="108" w:type="dxa"/>
          </w:tblCellMar>
        </w:tblPrEx>
        <w:trPr>
          <w:trHeight w:val="307"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839238">
            <w:pPr>
              <w:spacing w:line="360" w:lineRule="auto"/>
              <w:jc w:val="center"/>
              <w:rPr>
                <w:rFonts w:hint="default" w:cs="宋体"/>
                <w:sz w:val="21"/>
              </w:rPr>
            </w:pPr>
          </w:p>
          <w:p w14:paraId="0E37AC68">
            <w:pPr>
              <w:spacing w:line="360" w:lineRule="auto"/>
              <w:jc w:val="center"/>
              <w:rPr>
                <w:rFonts w:hint="default" w:cs="宋体"/>
                <w:sz w:val="21"/>
              </w:rPr>
            </w:pPr>
            <w:r>
              <w:rPr>
                <w:rFonts w:cs="宋体"/>
                <w:sz w:val="21"/>
              </w:rPr>
              <w:t>11.2</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58BA9D">
            <w:pPr>
              <w:spacing w:line="360" w:lineRule="auto"/>
              <w:jc w:val="center"/>
              <w:rPr>
                <w:rFonts w:hint="default" w:cs="宋体"/>
                <w:sz w:val="21"/>
                <w:highlight w:val="none"/>
              </w:rPr>
            </w:pPr>
          </w:p>
          <w:p w14:paraId="67AE661E">
            <w:pPr>
              <w:spacing w:line="360" w:lineRule="auto"/>
              <w:jc w:val="center"/>
              <w:rPr>
                <w:rFonts w:hint="default" w:cs="宋体"/>
                <w:sz w:val="21"/>
                <w:highlight w:val="none"/>
              </w:rPr>
            </w:pPr>
            <w:r>
              <w:rPr>
                <w:rFonts w:cs="宋体"/>
                <w:sz w:val="21"/>
                <w:highlight w:val="none"/>
              </w:rPr>
              <w:t>报价方式</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50B59E">
            <w:pPr>
              <w:spacing w:line="360" w:lineRule="auto"/>
              <w:rPr>
                <w:rFonts w:hint="default" w:cs="宋体"/>
                <w:sz w:val="21"/>
                <w:highlight w:val="none"/>
              </w:rPr>
            </w:pPr>
            <w:r>
              <w:rPr>
                <w:rFonts w:cs="宋体"/>
                <w:sz w:val="21"/>
                <w:highlight w:val="none"/>
              </w:rPr>
              <w:t>投标人应保持单项价格的合理性，严禁出现不平衡报价的情况，项目结束后，采购人有权对各单项价格进行核查，对严重超过市场价格的单价，被认定为不平衡报价的单项，如果发生数量变动，将按照有利于采购人的单价进行确认。</w:t>
            </w:r>
          </w:p>
        </w:tc>
      </w:tr>
      <w:tr w14:paraId="7EF1534D">
        <w:tblPrEx>
          <w:tblCellMar>
            <w:top w:w="0" w:type="dxa"/>
            <w:left w:w="108" w:type="dxa"/>
            <w:bottom w:w="0" w:type="dxa"/>
            <w:right w:w="108" w:type="dxa"/>
          </w:tblCellMar>
        </w:tblPrEx>
        <w:trPr>
          <w:trHeight w:val="462"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560F14C">
            <w:pPr>
              <w:spacing w:line="360" w:lineRule="auto"/>
              <w:jc w:val="center"/>
              <w:rPr>
                <w:rFonts w:hint="default" w:cs="宋体"/>
                <w:sz w:val="21"/>
              </w:rPr>
            </w:pPr>
            <w:r>
              <w:rPr>
                <w:rFonts w:cs="宋体"/>
                <w:sz w:val="21"/>
              </w:rPr>
              <w:t>11.3</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1B55736">
            <w:pPr>
              <w:spacing w:line="360" w:lineRule="auto"/>
              <w:jc w:val="center"/>
              <w:rPr>
                <w:rFonts w:hint="default" w:cs="宋体"/>
                <w:sz w:val="21"/>
              </w:rPr>
            </w:pPr>
            <w:r>
              <w:rPr>
                <w:rFonts w:cs="宋体"/>
                <w:sz w:val="21"/>
              </w:rPr>
              <w:t>付款方式</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B3123F">
            <w:pPr>
              <w:spacing w:line="360" w:lineRule="auto"/>
              <w:rPr>
                <w:rFonts w:hint="default" w:cs="宋体"/>
                <w:sz w:val="21"/>
                <w:highlight w:val="none"/>
              </w:rPr>
            </w:pPr>
            <w:r>
              <w:rPr>
                <w:rFonts w:cs="宋体"/>
                <w:sz w:val="21"/>
                <w:highlight w:val="none"/>
              </w:rPr>
              <w:t>中标人提供费用发票、保单等服务成果并经双方验收合格后，采购人按照合同约定的付款期限向同级财政部门报送资金支付申请，申请通过后，采购人按照实际投保人数，一次性支付全部费用款至中标人账户。</w:t>
            </w:r>
          </w:p>
        </w:tc>
      </w:tr>
      <w:tr w14:paraId="26AE3B2D">
        <w:tblPrEx>
          <w:tblCellMar>
            <w:top w:w="0" w:type="dxa"/>
            <w:left w:w="108" w:type="dxa"/>
            <w:bottom w:w="0" w:type="dxa"/>
            <w:right w:w="108" w:type="dxa"/>
          </w:tblCellMar>
        </w:tblPrEx>
        <w:trPr>
          <w:trHeight w:val="1087"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239DCC">
            <w:pPr>
              <w:spacing w:line="360" w:lineRule="auto"/>
              <w:jc w:val="center"/>
              <w:rPr>
                <w:rFonts w:hint="default" w:cs="宋体"/>
                <w:sz w:val="21"/>
              </w:rPr>
            </w:pPr>
          </w:p>
          <w:p w14:paraId="65EC8310">
            <w:pPr>
              <w:spacing w:line="360" w:lineRule="auto"/>
              <w:jc w:val="center"/>
              <w:rPr>
                <w:rFonts w:hint="default" w:cs="宋体"/>
                <w:sz w:val="21"/>
              </w:rPr>
            </w:pPr>
            <w:r>
              <w:rPr>
                <w:rFonts w:cs="宋体"/>
                <w:sz w:val="21"/>
              </w:rPr>
              <w:t>11.4</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0B0D75">
            <w:pPr>
              <w:spacing w:line="360" w:lineRule="auto"/>
              <w:jc w:val="center"/>
              <w:rPr>
                <w:rFonts w:hint="default" w:cs="宋体"/>
                <w:sz w:val="21"/>
              </w:rPr>
            </w:pPr>
            <w:r>
              <w:rPr>
                <w:rFonts w:hint="eastAsia" w:cs="宋体"/>
                <w:sz w:val="21"/>
              </w:rPr>
              <w:t>采购代理服务费</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047F79">
            <w:pPr>
              <w:spacing w:line="360" w:lineRule="auto"/>
              <w:rPr>
                <w:rFonts w:hint="eastAsia" w:cs="宋体"/>
                <w:sz w:val="21"/>
                <w:highlight w:val="none"/>
                <w:lang w:eastAsia="zh-CN"/>
              </w:rPr>
            </w:pPr>
            <w:r>
              <w:rPr>
                <w:rFonts w:hint="eastAsia" w:cs="宋体"/>
                <w:sz w:val="21"/>
                <w:highlight w:val="none"/>
                <w:lang w:eastAsia="zh-CN"/>
              </w:rPr>
              <w:t>执行《国家发展改革委关于进一步放开建设项目专业服务价格的通知》（发改价格〔2015〕299号），向中标人收取招标代理服务费。</w:t>
            </w:r>
            <w:r>
              <w:rPr>
                <w:rFonts w:hint="default" w:cs="宋体"/>
                <w:sz w:val="21"/>
                <w:highlight w:val="none"/>
                <w:lang w:val="en-US" w:eastAsia="zh-CN"/>
              </w:rPr>
              <w:t>本项目按折扣比例</w:t>
            </w:r>
            <w:r>
              <w:rPr>
                <w:rFonts w:hint="eastAsia" w:cs="宋体"/>
                <w:sz w:val="21"/>
                <w:highlight w:val="none"/>
                <w:lang w:val="en-US" w:eastAsia="zh-CN"/>
              </w:rPr>
              <w:t>0.8</w:t>
            </w:r>
            <w:r>
              <w:rPr>
                <w:rFonts w:hint="default" w:cs="宋体"/>
                <w:sz w:val="21"/>
                <w:highlight w:val="none"/>
                <w:lang w:val="en-US" w:eastAsia="zh-CN"/>
              </w:rPr>
              <w:t>收取。</w:t>
            </w:r>
          </w:p>
        </w:tc>
      </w:tr>
      <w:tr w14:paraId="3036F17C">
        <w:tblPrEx>
          <w:tblCellMar>
            <w:top w:w="0" w:type="dxa"/>
            <w:left w:w="108" w:type="dxa"/>
            <w:bottom w:w="0" w:type="dxa"/>
            <w:right w:w="108" w:type="dxa"/>
          </w:tblCellMar>
        </w:tblPrEx>
        <w:trPr>
          <w:trHeight w:val="729"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B136D5">
            <w:pPr>
              <w:spacing w:line="360" w:lineRule="auto"/>
              <w:jc w:val="center"/>
              <w:rPr>
                <w:rFonts w:hint="default" w:cs="宋体"/>
                <w:sz w:val="21"/>
              </w:rPr>
            </w:pPr>
            <w:r>
              <w:rPr>
                <w:rFonts w:cs="宋体"/>
                <w:sz w:val="21"/>
              </w:rPr>
              <w:t>11.5</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750A619">
            <w:pPr>
              <w:spacing w:line="360" w:lineRule="auto"/>
              <w:jc w:val="center"/>
              <w:rPr>
                <w:rFonts w:hint="default" w:cs="宋体"/>
                <w:sz w:val="21"/>
              </w:rPr>
            </w:pPr>
            <w:r>
              <w:rPr>
                <w:rFonts w:hint="eastAsia" w:cs="宋体"/>
                <w:sz w:val="21"/>
              </w:rPr>
              <w:t>是否专门面向中型、小型、微型企业采购</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1CC455">
            <w:pPr>
              <w:spacing w:line="360" w:lineRule="auto"/>
              <w:rPr>
                <w:rFonts w:hint="default" w:cs="宋体"/>
                <w:sz w:val="21"/>
                <w:highlight w:val="none"/>
              </w:rPr>
            </w:pPr>
            <w:r>
              <w:rPr>
                <w:rFonts w:cs="宋体"/>
                <w:sz w:val="21"/>
                <w:highlight w:val="none"/>
              </w:rPr>
              <w:t>否。</w:t>
            </w:r>
          </w:p>
        </w:tc>
      </w:tr>
      <w:tr w14:paraId="1B02CFA3">
        <w:tblPrEx>
          <w:tblCellMar>
            <w:top w:w="0" w:type="dxa"/>
            <w:left w:w="108" w:type="dxa"/>
            <w:bottom w:w="0" w:type="dxa"/>
            <w:right w:w="108" w:type="dxa"/>
          </w:tblCellMar>
        </w:tblPrEx>
        <w:trPr>
          <w:trHeight w:val="964"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B18172B">
            <w:pPr>
              <w:spacing w:line="360" w:lineRule="auto"/>
              <w:jc w:val="center"/>
              <w:rPr>
                <w:rFonts w:hint="default" w:eastAsia="宋体" w:cs="宋体"/>
                <w:sz w:val="21"/>
                <w:lang w:val="en-US" w:eastAsia="zh-CN"/>
              </w:rPr>
            </w:pPr>
            <w:r>
              <w:rPr>
                <w:rFonts w:hint="eastAsia" w:cs="宋体"/>
                <w:sz w:val="21"/>
                <w:lang w:val="en-US" w:eastAsia="zh-CN"/>
              </w:rPr>
              <w:t>11.6</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284B46">
            <w:pPr>
              <w:spacing w:line="360" w:lineRule="auto"/>
              <w:jc w:val="center"/>
              <w:rPr>
                <w:rFonts w:cs="宋体"/>
                <w:sz w:val="21"/>
              </w:rPr>
            </w:pPr>
            <w:r>
              <w:rPr>
                <w:rFonts w:hint="eastAsia" w:cs="宋体"/>
                <w:sz w:val="21"/>
              </w:rPr>
              <w:t>中小微企业相关政策</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96FFBE">
            <w:pPr>
              <w:spacing w:line="360" w:lineRule="auto"/>
              <w:rPr>
                <w:rFonts w:hint="eastAsia" w:cs="宋体"/>
                <w:sz w:val="21"/>
                <w:highlight w:val="none"/>
                <w:lang w:val="en-US" w:eastAsia="zh-CN"/>
              </w:rPr>
            </w:pPr>
            <w:r>
              <w:rPr>
                <w:rFonts w:hint="eastAsia" w:cs="宋体"/>
                <w:sz w:val="21"/>
                <w:highlight w:val="none"/>
                <w:lang w:val="en-US" w:eastAsia="zh-CN"/>
              </w:rPr>
              <w:t>（1）对于列入财政部、国家环保总局发布的《环境标志产品政府采购清单》的产品，另外给予投标报价得分3%的加分。采购项目或者分包中既包含环境标志产品也包含非环境标志产品的，只对列入清单的产品按其在总报价中所占的比例给予价格分加分。</w:t>
            </w:r>
          </w:p>
          <w:p w14:paraId="1474E09C">
            <w:pPr>
              <w:spacing w:line="360" w:lineRule="auto"/>
              <w:rPr>
                <w:rFonts w:hint="eastAsia" w:cs="宋体"/>
                <w:sz w:val="21"/>
                <w:highlight w:val="none"/>
                <w:lang w:val="en-US" w:eastAsia="zh-CN"/>
              </w:rPr>
            </w:pPr>
            <w:r>
              <w:rPr>
                <w:rFonts w:hint="eastAsia" w:cs="宋体"/>
                <w:sz w:val="21"/>
                <w:highlight w:val="none"/>
                <w:lang w:val="en-US" w:eastAsia="zh-CN"/>
              </w:rPr>
              <w:t>（2）对于列入财政部、国家发改委发布的《节能产品政府采购清单》但不属于国家强制采购的产品，另外给予投标报价得分3%的加分。采购项目或者分包中既包含节能产品也包含非节能产品的，只对列入清单但不属于国家强制采购的产品按其在总报价中所占的比例给予价格分加分。</w:t>
            </w:r>
          </w:p>
          <w:p w14:paraId="2234A871">
            <w:pPr>
              <w:spacing w:line="360" w:lineRule="auto"/>
              <w:rPr>
                <w:rFonts w:hint="eastAsia" w:cs="宋体"/>
                <w:sz w:val="21"/>
                <w:highlight w:val="none"/>
                <w:lang w:val="en-US" w:eastAsia="zh-CN"/>
              </w:rPr>
            </w:pPr>
            <w:r>
              <w:rPr>
                <w:rFonts w:hint="eastAsia" w:cs="宋体"/>
                <w:sz w:val="21"/>
                <w:highlight w:val="none"/>
                <w:lang w:val="en-US" w:eastAsia="zh-CN"/>
              </w:rPr>
              <w:t>（3）投标产品同时列入上述多个清单的，将上述规定的价格分加分比例叠加后计算价格分加分。</w:t>
            </w:r>
          </w:p>
          <w:p w14:paraId="5A06E3FE">
            <w:pPr>
              <w:spacing w:line="360" w:lineRule="auto"/>
              <w:rPr>
                <w:rFonts w:hint="eastAsia" w:cs="宋体"/>
                <w:sz w:val="21"/>
                <w:highlight w:val="none"/>
                <w:lang w:val="en-US" w:eastAsia="zh-CN"/>
              </w:rPr>
            </w:pPr>
            <w:r>
              <w:rPr>
                <w:rFonts w:hint="eastAsia" w:cs="宋体"/>
                <w:sz w:val="21"/>
                <w:highlight w:val="none"/>
                <w:lang w:val="en-US" w:eastAsia="zh-CN"/>
              </w:rPr>
              <w:t>（4）根据财库【2020】46号文件、财库[2022]19号、吉财采购〔2022〕478号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5675665F">
            <w:pPr>
              <w:spacing w:line="360" w:lineRule="auto"/>
              <w:rPr>
                <w:rFonts w:hint="eastAsia" w:cs="宋体"/>
                <w:sz w:val="21"/>
                <w:highlight w:val="none"/>
                <w:lang w:val="en-US" w:eastAsia="zh-CN"/>
              </w:rPr>
            </w:pPr>
            <w:r>
              <w:rPr>
                <w:rFonts w:hint="eastAsia" w:cs="宋体"/>
                <w:sz w:val="21"/>
                <w:highlight w:val="none"/>
                <w:lang w:val="en-US" w:eastAsia="zh-CN"/>
              </w:rPr>
              <w:t>（5）价格扣除的依据：第（1）至（2）条提供投标货物相关认证证书复印件加盖供应商公章。第（4）条提供中小企业声明函（格式需满足法定要求），否则不予认可。</w:t>
            </w:r>
          </w:p>
          <w:p w14:paraId="26B49FDA">
            <w:pPr>
              <w:spacing w:line="360" w:lineRule="auto"/>
              <w:rPr>
                <w:rFonts w:hint="eastAsia" w:cs="宋体"/>
                <w:sz w:val="21"/>
                <w:highlight w:val="none"/>
                <w:lang w:val="en-US" w:eastAsia="zh-CN"/>
              </w:rPr>
            </w:pPr>
            <w:r>
              <w:rPr>
                <w:rFonts w:hint="eastAsia" w:cs="宋体"/>
                <w:sz w:val="21"/>
                <w:highlight w:val="none"/>
                <w:lang w:val="en-US" w:eastAsia="zh-CN"/>
              </w:rPr>
              <w:t>（6）根据财库[2017]141号文件规定，对享受政府采购支持政策的残疾人福利性单位视同小型、微型企业，享受小型、微型企业给予10%的价格扣除。提供《残疾人福利性单位声明函》，并对声明的真实性负责。如中标、成交供应商为残疾人福利性单位的，采购人或者其委托的采购代理机构应当随中标、成交结果同时公告其《残疾人福利性单位声明函》，接受社会监督。残疾人福利性单位属于小型、微型企业的，不重复享受政策。</w:t>
            </w:r>
          </w:p>
          <w:p w14:paraId="63436B3F">
            <w:pPr>
              <w:spacing w:line="360" w:lineRule="auto"/>
              <w:rPr>
                <w:rFonts w:hint="eastAsia" w:cs="宋体"/>
                <w:sz w:val="21"/>
                <w:highlight w:val="none"/>
                <w:lang w:val="en-US" w:eastAsia="zh-CN"/>
              </w:rPr>
            </w:pPr>
            <w:r>
              <w:rPr>
                <w:rFonts w:hint="eastAsia" w:cs="宋体"/>
                <w:sz w:val="21"/>
                <w:highlight w:val="none"/>
                <w:lang w:val="en-US" w:eastAsia="zh-CN"/>
              </w:rPr>
              <w:t>（7）根据财库[2014]68号文件规定，在政府采购活动中，监狱企业享受政府采购促进中小企业发展的政府采购政策。监狱企业视同小型、微型企业，享受评审中价格10%扣除。监狱企业参加政府采购活动时，应当提供由省级以上监狱管理局、戒毒管理局（含新疆生产建设兵团）出具的属于监狱企业的证明文件。监狱企业属于小型、微型企业的，不重复享受政策。</w:t>
            </w:r>
          </w:p>
          <w:p w14:paraId="300AEE17">
            <w:pPr>
              <w:spacing w:line="360" w:lineRule="auto"/>
              <w:rPr>
                <w:rFonts w:hint="eastAsia" w:cs="宋体"/>
                <w:sz w:val="21"/>
                <w:highlight w:val="none"/>
                <w:lang w:val="en-US" w:eastAsia="zh-CN"/>
              </w:rPr>
            </w:pPr>
            <w:r>
              <w:rPr>
                <w:rFonts w:hint="eastAsia" w:cs="宋体"/>
                <w:sz w:val="21"/>
                <w:highlight w:val="none"/>
                <w:lang w:val="en-US" w:eastAsia="zh-CN"/>
              </w:rPr>
              <w:t>注：1.本项目（1）、（2）、（3）均不涉及。</w:t>
            </w:r>
          </w:p>
          <w:p w14:paraId="087BDF58">
            <w:pPr>
              <w:spacing w:line="360" w:lineRule="auto"/>
              <w:rPr>
                <w:rFonts w:hint="eastAsia" w:cs="宋体"/>
                <w:sz w:val="21"/>
                <w:highlight w:val="none"/>
                <w:lang w:val="en-US" w:eastAsia="zh-CN"/>
              </w:rPr>
            </w:pPr>
            <w:r>
              <w:rPr>
                <w:rFonts w:hint="eastAsia" w:cs="宋体"/>
                <w:sz w:val="21"/>
                <w:highlight w:val="none"/>
                <w:lang w:val="en-US" w:eastAsia="zh-CN"/>
              </w:rPr>
              <w:t>2.本次采购项目采购标的对应的中小企业划分标准所属行业为租赁和商务服务业。（划分标准见 附件：中小企业划型标准）。</w:t>
            </w:r>
          </w:p>
        </w:tc>
      </w:tr>
      <w:tr w14:paraId="1CD5556A">
        <w:tblPrEx>
          <w:tblCellMar>
            <w:top w:w="0" w:type="dxa"/>
            <w:left w:w="108" w:type="dxa"/>
            <w:bottom w:w="0" w:type="dxa"/>
            <w:right w:w="108" w:type="dxa"/>
          </w:tblCellMar>
        </w:tblPrEx>
        <w:trPr>
          <w:trHeight w:val="847" w:hRule="atLeast"/>
          <w:jc w:val="center"/>
        </w:trPr>
        <w:tc>
          <w:tcPr>
            <w:tcW w:w="113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CE43671">
            <w:pPr>
              <w:spacing w:line="360" w:lineRule="auto"/>
              <w:jc w:val="center"/>
              <w:rPr>
                <w:rFonts w:hint="eastAsia" w:eastAsia="宋体" w:cs="宋体"/>
                <w:sz w:val="21"/>
                <w:lang w:eastAsia="zh-CN"/>
              </w:rPr>
            </w:pPr>
            <w:r>
              <w:rPr>
                <w:rFonts w:cs="宋体"/>
                <w:sz w:val="21"/>
              </w:rPr>
              <w:t>11.</w:t>
            </w:r>
            <w:r>
              <w:rPr>
                <w:rFonts w:hint="eastAsia" w:cs="宋体"/>
                <w:sz w:val="21"/>
                <w:lang w:val="en-US" w:eastAsia="zh-CN"/>
              </w:rPr>
              <w:t>7</w:t>
            </w:r>
          </w:p>
        </w:tc>
        <w:tc>
          <w:tcPr>
            <w:tcW w:w="2128"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37B359">
            <w:pPr>
              <w:spacing w:line="360" w:lineRule="auto"/>
              <w:jc w:val="center"/>
              <w:rPr>
                <w:rFonts w:hint="default" w:cs="宋体"/>
                <w:sz w:val="21"/>
              </w:rPr>
            </w:pPr>
            <w:r>
              <w:rPr>
                <w:rFonts w:cs="宋体"/>
                <w:sz w:val="21"/>
              </w:rPr>
              <w:t>其他须知</w:t>
            </w:r>
          </w:p>
        </w:tc>
        <w:tc>
          <w:tcPr>
            <w:tcW w:w="6824"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6B7852">
            <w:pPr>
              <w:spacing w:line="360" w:lineRule="auto"/>
              <w:rPr>
                <w:rFonts w:hint="default" w:cs="宋体"/>
                <w:sz w:val="21"/>
                <w:highlight w:val="none"/>
                <w:lang w:val="en-US" w:eastAsia="zh-CN"/>
              </w:rPr>
            </w:pPr>
            <w:r>
              <w:rPr>
                <w:rFonts w:hint="eastAsia" w:cs="宋体"/>
                <w:sz w:val="21"/>
                <w:highlight w:val="none"/>
                <w:lang w:val="en-US" w:eastAsia="zh-CN"/>
              </w:rPr>
              <w:t>本项目为全流程电子化项目，投标人应通过政府采购云平台（网址：http://www.zcygov.cn）递交电子版投标文件。操作流程：投标人在政府采购云平台网注册入库成为正式供应商后，在平台上按《政府采购项目电子交易管理操作指南-供应商》进行投标操作。投标文件应在开标截止时间前上传平台，并在投标文件提交截止时间后30分钟内完成解密。由于投标人自身原因在提交投标文件截止时间前无法完成办理的，后果自负。</w:t>
            </w:r>
            <w:r>
              <w:rPr>
                <w:rFonts w:hint="eastAsia" w:cs="宋体"/>
                <w:sz w:val="21"/>
                <w:highlight w:val="none"/>
                <w:lang w:val="en-US" w:eastAsia="zh-CN"/>
              </w:rPr>
              <w:br w:type="textWrapping"/>
            </w:r>
            <w:r>
              <w:rPr>
                <w:rFonts w:hint="eastAsia" w:cs="宋体"/>
                <w:sz w:val="21"/>
                <w:highlight w:val="none"/>
                <w:lang w:val="en-US" w:eastAsia="zh-CN"/>
              </w:rPr>
              <w:t>若对“政采云”电子交易系统操作有疑问，可登录“政采云”（https://www.zcygov.cn/），点击右侧咨询小采或拨打政采云服务热线95763获取服务帮助。</w:t>
            </w:r>
          </w:p>
        </w:tc>
      </w:tr>
    </w:tbl>
    <w:p w14:paraId="31B0DEF7">
      <w:pPr>
        <w:rPr>
          <w:rFonts w:hint="default" w:cs="宋体"/>
        </w:rPr>
        <w:sectPr>
          <w:footerReference r:id="rId4" w:type="default"/>
          <w:pgSz w:w="11910" w:h="16840"/>
          <w:pgMar w:top="1134" w:right="1134" w:bottom="1134" w:left="1134" w:header="0" w:footer="556" w:gutter="0"/>
          <w:cols w:space="720" w:num="1"/>
        </w:sectPr>
      </w:pPr>
    </w:p>
    <w:p w14:paraId="263657FE">
      <w:pPr>
        <w:spacing w:line="400" w:lineRule="exact"/>
        <w:jc w:val="center"/>
        <w:rPr>
          <w:rStyle w:val="55"/>
          <w:rFonts w:hint="eastAsia" w:ascii="宋体" w:hAnsi="宋体" w:cs="宋体"/>
          <w:color w:val="auto"/>
          <w:highlight w:val="none"/>
        </w:rPr>
      </w:pPr>
      <w:bookmarkStart w:id="31" w:name="投标供应商须知正文"/>
      <w:bookmarkEnd w:id="31"/>
      <w:bookmarkStart w:id="32" w:name="_Toc22669"/>
      <w:bookmarkStart w:id="33" w:name="_Toc17759"/>
      <w:bookmarkStart w:id="34" w:name="_Toc12306"/>
      <w:bookmarkStart w:id="35" w:name="_Toc15556"/>
      <w:bookmarkStart w:id="36" w:name="_Toc14443"/>
      <w:bookmarkStart w:id="37" w:name="_Toc7489"/>
      <w:bookmarkStart w:id="38" w:name="_Toc18368"/>
      <w:bookmarkStart w:id="39" w:name="_Toc10249"/>
      <w:bookmarkStart w:id="40" w:name="_Toc30584"/>
      <w:bookmarkStart w:id="41" w:name="_Toc3286"/>
      <w:bookmarkStart w:id="42" w:name="_Toc20165"/>
      <w:bookmarkStart w:id="43" w:name="_Toc7225"/>
      <w:bookmarkStart w:id="44" w:name="_Toc29454"/>
      <w:r>
        <w:rPr>
          <w:rStyle w:val="55"/>
          <w:rFonts w:hint="eastAsia" w:ascii="宋体" w:hAnsi="宋体" w:cs="宋体"/>
          <w:color w:val="auto"/>
          <w:sz w:val="36"/>
          <w:highlight w:val="none"/>
        </w:rPr>
        <w:t>供应商须知</w:t>
      </w:r>
    </w:p>
    <w:bookmarkEnd w:id="32"/>
    <w:bookmarkEnd w:id="33"/>
    <w:bookmarkEnd w:id="34"/>
    <w:bookmarkEnd w:id="35"/>
    <w:bookmarkEnd w:id="36"/>
    <w:bookmarkEnd w:id="37"/>
    <w:bookmarkEnd w:id="38"/>
    <w:bookmarkEnd w:id="39"/>
    <w:bookmarkEnd w:id="40"/>
    <w:bookmarkEnd w:id="41"/>
    <w:bookmarkEnd w:id="42"/>
    <w:bookmarkEnd w:id="43"/>
    <w:bookmarkEnd w:id="44"/>
    <w:p w14:paraId="12FA0F06">
      <w:pPr>
        <w:adjustRightInd w:val="0"/>
        <w:snapToGrid w:val="0"/>
        <w:spacing w:line="500" w:lineRule="exact"/>
        <w:rPr>
          <w:rFonts w:hint="eastAsia" w:ascii="宋体" w:hAnsi="宋体" w:cs="宋体"/>
          <w:b/>
          <w:bCs/>
          <w:color w:val="auto"/>
          <w:kern w:val="44"/>
          <w:sz w:val="24"/>
          <w:szCs w:val="24"/>
          <w:highlight w:val="none"/>
        </w:rPr>
      </w:pPr>
      <w:r>
        <w:rPr>
          <w:rFonts w:hint="eastAsia" w:ascii="宋体" w:hAnsi="宋体" w:cs="宋体"/>
          <w:b/>
          <w:bCs/>
          <w:color w:val="auto"/>
          <w:kern w:val="44"/>
          <w:sz w:val="24"/>
          <w:szCs w:val="24"/>
          <w:highlight w:val="none"/>
        </w:rPr>
        <w:t>一、  总   则</w:t>
      </w:r>
    </w:p>
    <w:p w14:paraId="0E656A6A">
      <w:pPr>
        <w:autoSpaceDE w:val="0"/>
        <w:autoSpaceDN w:val="0"/>
        <w:adjustRightInd w:val="0"/>
        <w:spacing w:line="360" w:lineRule="auto"/>
        <w:rPr>
          <w:rFonts w:hint="eastAsia" w:ascii="宋体" w:hAnsi="宋体" w:cs="宋体"/>
          <w:color w:val="auto"/>
          <w:szCs w:val="21"/>
          <w:highlight w:val="none"/>
          <w:lang w:val="zh-CN"/>
        </w:rPr>
      </w:pPr>
      <w:r>
        <w:rPr>
          <w:rFonts w:hint="eastAsia" w:ascii="宋体" w:hAnsi="宋体" w:cs="宋体"/>
          <w:b/>
          <w:color w:val="auto"/>
          <w:szCs w:val="21"/>
          <w:highlight w:val="none"/>
          <w:lang w:val="zh-CN"/>
        </w:rPr>
        <w:t>1．适用法律：</w:t>
      </w:r>
      <w:r>
        <w:rPr>
          <w:rFonts w:hint="eastAsia" w:ascii="宋体" w:hAnsi="宋体" w:cs="宋体"/>
          <w:color w:val="auto"/>
          <w:szCs w:val="21"/>
          <w:highlight w:val="none"/>
          <w:lang w:val="zh-CN"/>
        </w:rPr>
        <w:t>本次项目适用法律法规为《中华人民共和国招投标法》、《中华人民共和国政府采购法》及其它相关法规。</w:t>
      </w:r>
    </w:p>
    <w:p w14:paraId="0E3509E1">
      <w:pPr>
        <w:autoSpaceDE w:val="0"/>
        <w:autoSpaceDN w:val="0"/>
        <w:adjustRightInd w:val="0"/>
        <w:spacing w:line="360" w:lineRule="auto"/>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2．定义：</w:t>
      </w:r>
    </w:p>
    <w:p w14:paraId="37F096DA">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1“</w:t>
      </w:r>
      <w:r>
        <w:rPr>
          <w:rFonts w:hint="eastAsia" w:ascii="宋体" w:hAnsi="宋体" w:cs="宋体"/>
          <w:color w:val="auto"/>
          <w:szCs w:val="21"/>
          <w:highlight w:val="none"/>
          <w:lang w:val="zh-CN"/>
        </w:rPr>
        <w:t>采购人</w:t>
      </w:r>
      <w:r>
        <w:rPr>
          <w:rFonts w:hint="eastAsia" w:ascii="宋体" w:hAnsi="宋体" w:cs="宋体"/>
          <w:color w:val="auto"/>
          <w:szCs w:val="21"/>
          <w:highlight w:val="none"/>
        </w:rPr>
        <w:t>”长春市消防救援支队</w:t>
      </w:r>
      <w:r>
        <w:rPr>
          <w:rFonts w:hint="eastAsia" w:ascii="宋体" w:hAnsi="宋体" w:cs="宋体"/>
          <w:color w:val="auto"/>
          <w:szCs w:val="21"/>
          <w:highlight w:val="none"/>
          <w:lang w:val="zh-CN"/>
        </w:rPr>
        <w:t>。</w:t>
      </w:r>
    </w:p>
    <w:p w14:paraId="18E22685">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2“</w:t>
      </w:r>
      <w:r>
        <w:rPr>
          <w:rFonts w:hint="eastAsia" w:ascii="宋体" w:hAnsi="宋体" w:cs="宋体"/>
          <w:color w:val="auto"/>
          <w:szCs w:val="21"/>
          <w:highlight w:val="none"/>
          <w:lang w:val="zh-CN"/>
        </w:rPr>
        <w:t>采购代理机构</w:t>
      </w:r>
      <w:r>
        <w:rPr>
          <w:rFonts w:hint="eastAsia" w:ascii="宋体" w:hAnsi="宋体" w:cs="宋体"/>
          <w:color w:val="auto"/>
          <w:szCs w:val="21"/>
          <w:highlight w:val="none"/>
        </w:rPr>
        <w:t>”</w:t>
      </w:r>
      <w:r>
        <w:rPr>
          <w:rFonts w:hint="eastAsia" w:ascii="宋体" w:hAnsi="宋体" w:cs="宋体"/>
          <w:color w:val="auto"/>
          <w:szCs w:val="21"/>
          <w:highlight w:val="none"/>
          <w:lang w:val="zh-CN"/>
        </w:rPr>
        <w:t>指</w:t>
      </w:r>
      <w:r>
        <w:rPr>
          <w:rFonts w:hint="eastAsia" w:ascii="宋体" w:hAnsi="宋体" w:eastAsia="宋体" w:cs="宋体"/>
          <w:sz w:val="21"/>
          <w:lang w:val="zh-CN"/>
        </w:rPr>
        <w:t>吉林省中锦工程管理有限公司</w:t>
      </w:r>
      <w:r>
        <w:rPr>
          <w:rFonts w:hint="eastAsia" w:ascii="宋体" w:hAnsi="宋体" w:cs="宋体"/>
          <w:color w:val="auto"/>
          <w:szCs w:val="21"/>
          <w:highlight w:val="none"/>
          <w:lang w:val="zh-CN"/>
        </w:rPr>
        <w:t>，负责活动的组织工作。</w:t>
      </w:r>
    </w:p>
    <w:p w14:paraId="6D8F5327">
      <w:pPr>
        <w:tabs>
          <w:tab w:val="left" w:pos="709"/>
        </w:tabs>
        <w:autoSpaceDE w:val="0"/>
        <w:autoSpaceDN w:val="0"/>
        <w:adjustRightInd w:val="0"/>
        <w:spacing w:line="360" w:lineRule="auto"/>
        <w:ind w:firstLine="47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内容</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以项目需求为实际依据。</w:t>
      </w:r>
    </w:p>
    <w:p w14:paraId="4B91ABB3">
      <w:pPr>
        <w:tabs>
          <w:tab w:val="left" w:pos="709"/>
        </w:tabs>
        <w:autoSpaceDE w:val="0"/>
        <w:autoSpaceDN w:val="0"/>
        <w:adjustRightInd w:val="0"/>
        <w:spacing w:line="360" w:lineRule="auto"/>
        <w:ind w:firstLine="47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2.4</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潜在供应商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指确认参加磋商的供应商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响应人。</w:t>
      </w:r>
    </w:p>
    <w:p w14:paraId="3C1A867D">
      <w:pPr>
        <w:tabs>
          <w:tab w:val="left" w:pos="709"/>
        </w:tabs>
        <w:autoSpaceDE w:val="0"/>
        <w:autoSpaceDN w:val="0"/>
        <w:adjustRightInd w:val="0"/>
        <w:spacing w:line="360" w:lineRule="auto"/>
        <w:ind w:firstLine="47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2.5</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供应商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指响应本磋商文件参加磋商的供应商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响应人。</w:t>
      </w:r>
    </w:p>
    <w:p w14:paraId="14510FD3">
      <w:pPr>
        <w:autoSpaceDE w:val="0"/>
        <w:autoSpaceDN w:val="0"/>
        <w:adjustRightInd w:val="0"/>
        <w:spacing w:line="360" w:lineRule="auto"/>
        <w:rPr>
          <w:rFonts w:hint="eastAsia" w:ascii="宋体" w:hAnsi="宋体" w:cs="宋体"/>
          <w:color w:val="auto"/>
          <w:kern w:val="0"/>
          <w:szCs w:val="21"/>
          <w:highlight w:val="none"/>
          <w:lang w:val="zh-CN"/>
        </w:rPr>
      </w:pPr>
      <w:r>
        <w:rPr>
          <w:rFonts w:hint="eastAsia" w:ascii="宋体" w:hAnsi="宋体" w:cs="宋体"/>
          <w:b/>
          <w:color w:val="auto"/>
          <w:szCs w:val="21"/>
          <w:highlight w:val="none"/>
          <w:lang w:val="zh-CN"/>
        </w:rPr>
        <w:t>3</w:t>
      </w:r>
      <w:r>
        <w:rPr>
          <w:rFonts w:hint="eastAsia" w:ascii="宋体" w:hAnsi="宋体" w:cs="宋体"/>
          <w:b/>
          <w:color w:val="auto"/>
          <w:szCs w:val="21"/>
          <w:highlight w:val="none"/>
        </w:rPr>
        <w:t>.</w:t>
      </w:r>
      <w:r>
        <w:rPr>
          <w:rFonts w:hint="eastAsia" w:ascii="宋体" w:hAnsi="宋体" w:cs="宋体"/>
          <w:b/>
          <w:color w:val="auto"/>
          <w:szCs w:val="21"/>
          <w:highlight w:val="none"/>
          <w:lang w:val="zh-CN"/>
        </w:rPr>
        <w:t>合格供应商资格条件要求：见供应商须知前附表</w:t>
      </w:r>
    </w:p>
    <w:p w14:paraId="32BD6150">
      <w:pPr>
        <w:tabs>
          <w:tab w:val="left" w:pos="709"/>
        </w:tabs>
        <w:autoSpaceDE w:val="0"/>
        <w:autoSpaceDN w:val="0"/>
        <w:adjustRightInd w:val="0"/>
        <w:spacing w:line="360" w:lineRule="auto"/>
        <w:rPr>
          <w:rFonts w:hint="eastAsia" w:ascii="宋体" w:hAnsi="宋体" w:cs="宋体"/>
          <w:b/>
          <w:color w:val="auto"/>
          <w:kern w:val="0"/>
          <w:szCs w:val="21"/>
          <w:highlight w:val="none"/>
          <w:lang w:val="zh-CN"/>
        </w:rPr>
      </w:pPr>
      <w:r>
        <w:rPr>
          <w:rFonts w:hint="eastAsia" w:ascii="宋体" w:hAnsi="宋体" w:cs="宋体"/>
          <w:b/>
          <w:color w:val="auto"/>
          <w:szCs w:val="21"/>
          <w:highlight w:val="none"/>
          <w:lang w:val="zh-CN"/>
        </w:rPr>
        <w:t>4.项目答疑会：见供应商须知前附表</w:t>
      </w:r>
    </w:p>
    <w:p w14:paraId="24C9D0A8">
      <w:pPr>
        <w:autoSpaceDE w:val="0"/>
        <w:autoSpaceDN w:val="0"/>
        <w:adjustRightInd w:val="0"/>
        <w:spacing w:line="360" w:lineRule="auto"/>
        <w:rPr>
          <w:rFonts w:hint="eastAsia" w:ascii="宋体" w:hAnsi="宋体" w:cs="宋体"/>
          <w:color w:val="auto"/>
          <w:szCs w:val="21"/>
          <w:highlight w:val="none"/>
          <w:lang w:val="zh-CN"/>
        </w:rPr>
      </w:pPr>
      <w:r>
        <w:rPr>
          <w:rFonts w:hint="eastAsia" w:ascii="宋体" w:hAnsi="宋体" w:cs="宋体"/>
          <w:b/>
          <w:color w:val="auto"/>
          <w:szCs w:val="21"/>
          <w:highlight w:val="none"/>
          <w:lang w:val="zh-CN"/>
        </w:rPr>
        <w:t>5．磋商费用：</w:t>
      </w:r>
      <w:r>
        <w:rPr>
          <w:rFonts w:hint="eastAsia" w:ascii="宋体" w:hAnsi="宋体" w:cs="宋体"/>
          <w:color w:val="auto"/>
          <w:szCs w:val="21"/>
          <w:highlight w:val="none"/>
          <w:lang w:val="zh-CN"/>
        </w:rPr>
        <w:t>供应商应自行承担所有与编写和提交响应文件有关的费用，无论磋商的结果如何，采购人和采购代理机构在任何情况下均无义务和责任承担这些费用。</w:t>
      </w:r>
    </w:p>
    <w:p w14:paraId="57A178A0">
      <w:pPr>
        <w:autoSpaceDE w:val="0"/>
        <w:autoSpaceDN w:val="0"/>
        <w:adjustRightInd w:val="0"/>
        <w:spacing w:line="360" w:lineRule="auto"/>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6. 竞争性磋商文件：</w:t>
      </w:r>
    </w:p>
    <w:p w14:paraId="3D4EBCCA">
      <w:pPr>
        <w:tabs>
          <w:tab w:val="left" w:pos="1418"/>
        </w:tabs>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6.1 磋商文件的构成：</w:t>
      </w:r>
    </w:p>
    <w:p w14:paraId="2C2740BD">
      <w:pPr>
        <w:autoSpaceDE w:val="0"/>
        <w:autoSpaceDN w:val="0"/>
        <w:adjustRightInd w:val="0"/>
        <w:spacing w:line="360" w:lineRule="auto"/>
        <w:ind w:firstLine="44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第一章   竞争性磋商公告</w:t>
      </w:r>
    </w:p>
    <w:p w14:paraId="3BE79666">
      <w:pPr>
        <w:autoSpaceDE w:val="0"/>
        <w:autoSpaceDN w:val="0"/>
        <w:adjustRightInd w:val="0"/>
        <w:spacing w:line="360" w:lineRule="auto"/>
        <w:ind w:firstLine="44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第二章   供应商须知</w:t>
      </w:r>
    </w:p>
    <w:p w14:paraId="026BB5DC">
      <w:pPr>
        <w:autoSpaceDE w:val="0"/>
        <w:autoSpaceDN w:val="0"/>
        <w:adjustRightInd w:val="0"/>
        <w:spacing w:line="360" w:lineRule="auto"/>
        <w:ind w:firstLine="44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第三章   评审办法</w:t>
      </w:r>
    </w:p>
    <w:p w14:paraId="41068571">
      <w:pPr>
        <w:autoSpaceDE w:val="0"/>
        <w:autoSpaceDN w:val="0"/>
        <w:adjustRightInd w:val="0"/>
        <w:spacing w:line="360" w:lineRule="auto"/>
        <w:ind w:firstLine="44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第四章</w:t>
      </w:r>
      <w:r>
        <w:rPr>
          <w:rFonts w:hint="eastAsia" w:ascii="宋体" w:hAnsi="宋体" w:cs="宋体"/>
          <w:color w:val="auto"/>
          <w:szCs w:val="21"/>
          <w:highlight w:val="none"/>
          <w:lang w:val="zh-CN"/>
        </w:rPr>
        <w:tab/>
      </w:r>
      <w:r>
        <w:rPr>
          <w:rFonts w:hint="eastAsia" w:ascii="宋体" w:hAnsi="宋体" w:cs="宋体"/>
          <w:color w:val="auto"/>
          <w:szCs w:val="21"/>
          <w:highlight w:val="none"/>
          <w:lang w:val="zh-CN"/>
        </w:rPr>
        <w:t>合同格式</w:t>
      </w:r>
    </w:p>
    <w:p w14:paraId="27CA290A">
      <w:pPr>
        <w:autoSpaceDE w:val="0"/>
        <w:autoSpaceDN w:val="0"/>
        <w:adjustRightInd w:val="0"/>
        <w:spacing w:line="360" w:lineRule="auto"/>
        <w:ind w:firstLine="44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第五章  </w:t>
      </w:r>
      <w:r>
        <w:rPr>
          <w:rFonts w:hint="eastAsia" w:ascii="宋体" w:hAnsi="宋体" w:cs="宋体"/>
          <w:color w:val="auto"/>
          <w:szCs w:val="21"/>
          <w:highlight w:val="none"/>
        </w:rPr>
        <w:t xml:space="preserve"> 技术标准及服务需求</w:t>
      </w:r>
    </w:p>
    <w:p w14:paraId="5A9E9B1A">
      <w:pPr>
        <w:autoSpaceDE w:val="0"/>
        <w:autoSpaceDN w:val="0"/>
        <w:adjustRightInd w:val="0"/>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第六章</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响应文件构成、要求及格式</w:t>
      </w:r>
    </w:p>
    <w:p w14:paraId="4B79DBD9">
      <w:pPr>
        <w:autoSpaceDE w:val="0"/>
        <w:autoSpaceDN w:val="0"/>
        <w:adjustRightInd w:val="0"/>
        <w:spacing w:line="360" w:lineRule="auto"/>
        <w:ind w:firstLine="480"/>
        <w:rPr>
          <w:rFonts w:hint="eastAsia" w:ascii="宋体" w:hAnsi="宋体" w:cs="宋体"/>
          <w:b/>
          <w:color w:val="auto"/>
          <w:szCs w:val="21"/>
          <w:highlight w:val="none"/>
          <w:lang w:val="zh-CN"/>
        </w:rPr>
      </w:pPr>
      <w:r>
        <w:rPr>
          <w:rFonts w:hint="eastAsia" w:ascii="宋体" w:hAnsi="宋体" w:cs="宋体"/>
          <w:color w:val="auto"/>
          <w:szCs w:val="21"/>
          <w:highlight w:val="none"/>
          <w:lang w:val="zh-CN"/>
        </w:rPr>
        <w:t>6.2 供应商应认真阅读磋商文件中所有事项、格式、条款和规范等要求。如果供应商没有按照磋商文件要求提交全部文件资料或响应文件没有对磋商文件在各方面都做出实质性响应，是供应商的风险。</w:t>
      </w:r>
    </w:p>
    <w:p w14:paraId="1953294F">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7. 磋商文件的澄清和修改</w:t>
      </w:r>
    </w:p>
    <w:p w14:paraId="0BA9698C">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7.1</w:t>
      </w:r>
      <w:r>
        <w:rPr>
          <w:rFonts w:hint="eastAsia" w:ascii="宋体" w:hAnsi="宋体" w:cs="宋体"/>
          <w:color w:val="auto"/>
          <w:szCs w:val="21"/>
          <w:highlight w:val="none"/>
        </w:rPr>
        <w:t>任何要求对竞争性磋商文件进行澄清的供应商，均应在投标截止期</w:t>
      </w:r>
      <w:r>
        <w:rPr>
          <w:rFonts w:hint="eastAsia" w:ascii="宋体" w:hAnsi="宋体" w:cs="宋体"/>
          <w:color w:val="auto"/>
          <w:szCs w:val="21"/>
          <w:highlight w:val="none"/>
          <w:u w:val="single"/>
        </w:rPr>
        <w:t>3</w:t>
      </w:r>
      <w:r>
        <w:rPr>
          <w:rFonts w:hint="eastAsia" w:ascii="宋体" w:hAnsi="宋体" w:cs="宋体"/>
          <w:color w:val="auto"/>
          <w:szCs w:val="21"/>
          <w:highlight w:val="none"/>
        </w:rPr>
        <w:t>天前以书面形式通知采购代理机构，采购代理机构对收到的澄清要求将视所提问题具体情况以书面形式予以答复</w:t>
      </w:r>
      <w:r>
        <w:rPr>
          <w:rFonts w:hint="eastAsia" w:ascii="宋体" w:hAnsi="宋体" w:cs="宋体"/>
          <w:color w:val="auto"/>
          <w:szCs w:val="21"/>
          <w:highlight w:val="none"/>
          <w:lang w:val="zh-CN"/>
        </w:rPr>
        <w:t>澄清</w:t>
      </w:r>
      <w:r>
        <w:rPr>
          <w:rFonts w:hint="eastAsia" w:ascii="宋体" w:hAnsi="宋体" w:cs="宋体"/>
          <w:color w:val="auto"/>
          <w:szCs w:val="21"/>
          <w:highlight w:val="none"/>
        </w:rPr>
        <w:t>，同时寄给每个购买竞争性磋商文件的供应商或由供应商直接到招标方领取。供应商应立即以书面形式确认已收到的答复文件。答复中包括所提的问题，但不包括问题的来源。</w:t>
      </w:r>
      <w:r>
        <w:rPr>
          <w:rFonts w:hint="eastAsia" w:ascii="宋体" w:hAnsi="宋体" w:cs="宋体"/>
          <w:color w:val="auto"/>
          <w:szCs w:val="21"/>
          <w:highlight w:val="none"/>
          <w:lang w:val="zh-CN"/>
        </w:rPr>
        <w:t>采购代理机构对收到的供应商书面质疑，将按照政府招标法律规章的规定处理。</w:t>
      </w:r>
    </w:p>
    <w:p w14:paraId="25EF0567">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7.2 采购人可在截止时间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CN"/>
        </w:rPr>
        <w:t>日前（含）对竞争性磋商文件进行修改、补充。竞争性磋商文件的修改、补充文件将通过“政采云”平台等政府采购信息发布媒体公开发布。供应商在参与本采购项目活动期间，请及时关注以上媒体上的相关信息，供应商因没有及时关注而未能如期获取相关信息，是供应商的风险，采购代理机构对此不承担任何责任</w:t>
      </w:r>
    </w:p>
    <w:p w14:paraId="7A1AB48F">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7.3 竞争性磋商文件的澄清、修改、补充文件均构成竞争性磋商文件的组成部分，对所有供应商具有约束力，而无论其是否已经实际收到该澄清、修改、补充文件（包括答疑会纪要）。</w:t>
      </w:r>
    </w:p>
    <w:p w14:paraId="022D51C2">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7.4 为使供应商有充分的时间对竞争性磋商文件的澄清、修改、补充部分进行研究，采购人可在截止时间</w:t>
      </w:r>
      <w:r>
        <w:rPr>
          <w:rFonts w:hint="eastAsia" w:ascii="宋体" w:hAnsi="宋体" w:cs="宋体"/>
          <w:color w:val="auto"/>
          <w:szCs w:val="21"/>
          <w:highlight w:val="none"/>
        </w:rPr>
        <w:t>3</w:t>
      </w:r>
      <w:r>
        <w:rPr>
          <w:rFonts w:hint="eastAsia" w:ascii="宋体" w:hAnsi="宋体" w:cs="宋体"/>
          <w:color w:val="auto"/>
          <w:szCs w:val="21"/>
          <w:highlight w:val="none"/>
          <w:lang w:val="zh-CN"/>
        </w:rPr>
        <w:t>日前（含）自行决定酌情延长截止时间，延长截止时间的公告将通过“政采云”平台等政府采购信息发布媒体公开发布。在这种情况下，采购人和供应商受截止时间制约的所有权利和义务均相应延长至新的截止时间。</w:t>
      </w:r>
    </w:p>
    <w:p w14:paraId="1F54B3D3">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8. 响应文件构成</w:t>
      </w:r>
    </w:p>
    <w:p w14:paraId="795559B0">
      <w:pPr>
        <w:tabs>
          <w:tab w:val="left" w:pos="709"/>
        </w:tabs>
        <w:autoSpaceDE w:val="0"/>
        <w:autoSpaceDN w:val="0"/>
        <w:adjustRightInd w:val="0"/>
        <w:spacing w:line="360" w:lineRule="auto"/>
        <w:ind w:firstLine="48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8.1 响应文件分为商务部分和技术部分。商务部分是供应商提交的证明其具有合格的磋商资格和成交后有能力履行合同的文件。技术部分是能够证明供应商所提供货物和服务的合格性和符合磋商文件规定的文件。</w:t>
      </w:r>
    </w:p>
    <w:p w14:paraId="01B15698">
      <w:pPr>
        <w:tabs>
          <w:tab w:val="left" w:pos="709"/>
        </w:tabs>
        <w:autoSpaceDE w:val="0"/>
        <w:autoSpaceDN w:val="0"/>
        <w:adjustRightInd w:val="0"/>
        <w:spacing w:line="360" w:lineRule="auto"/>
        <w:ind w:firstLine="48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8.2 供应商应提交本磋商文件第</w:t>
      </w:r>
      <w:r>
        <w:rPr>
          <w:rFonts w:hint="eastAsia" w:ascii="宋体" w:hAnsi="宋体" w:cs="宋体"/>
          <w:color w:val="auto"/>
          <w:kern w:val="0"/>
          <w:szCs w:val="21"/>
          <w:highlight w:val="none"/>
        </w:rPr>
        <w:t>六</w:t>
      </w:r>
      <w:r>
        <w:rPr>
          <w:rFonts w:hint="eastAsia" w:ascii="宋体" w:hAnsi="宋体" w:cs="宋体"/>
          <w:color w:val="auto"/>
          <w:kern w:val="0"/>
          <w:szCs w:val="21"/>
          <w:highlight w:val="none"/>
          <w:lang w:val="zh-CN"/>
        </w:rPr>
        <w:t>章</w:t>
      </w:r>
      <w:r>
        <w:rPr>
          <w:rFonts w:hint="eastAsia" w:ascii="宋体" w:hAnsi="宋体" w:cs="宋体"/>
          <w:color w:val="auto"/>
          <w:szCs w:val="21"/>
          <w:highlight w:val="none"/>
          <w:lang w:val="zh-CN"/>
        </w:rPr>
        <w:t>《响应文件构成、要求及格式》</w:t>
      </w:r>
      <w:r>
        <w:rPr>
          <w:rFonts w:hint="eastAsia" w:ascii="宋体" w:hAnsi="宋体" w:cs="宋体"/>
          <w:color w:val="auto"/>
          <w:kern w:val="0"/>
          <w:szCs w:val="21"/>
          <w:highlight w:val="none"/>
          <w:lang w:val="zh-CN"/>
        </w:rPr>
        <w:t>规定的全部商务文件和技术文件，若有缺失、无效或者不符合磋商文件要求，将导致其被拒绝。</w:t>
      </w:r>
    </w:p>
    <w:p w14:paraId="61D5FEBB">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9. 响应文件的编制</w:t>
      </w:r>
    </w:p>
    <w:p w14:paraId="44815CBB">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rPr>
        <w:t>9</w:t>
      </w:r>
      <w:r>
        <w:rPr>
          <w:rFonts w:hint="eastAsia" w:ascii="宋体" w:hAnsi="宋体" w:cs="宋体"/>
          <w:color w:val="auto"/>
          <w:szCs w:val="21"/>
          <w:highlight w:val="none"/>
          <w:lang w:val="zh-CN"/>
        </w:rPr>
        <w:t>.1 供应商应按照磋商文件提供的响应文件格式编制电子响应文件并转换为PDF格式，PDF格式以外的电子响应文件格式无法实现响应文件格式的签章、加密和提交，因PDF格式电子响应文件格式转换造成响应文件格式内容缺漏错误的，是供应商的风险。供应商投报多个采购包的，</w:t>
      </w:r>
      <w:r>
        <w:rPr>
          <w:rFonts w:hint="eastAsia" w:ascii="宋体" w:hAnsi="宋体" w:cs="宋体"/>
          <w:color w:val="auto"/>
          <w:szCs w:val="21"/>
          <w:highlight w:val="none"/>
        </w:rPr>
        <w:t>应按</w:t>
      </w:r>
      <w:r>
        <w:rPr>
          <w:rFonts w:hint="eastAsia" w:ascii="宋体" w:hAnsi="宋体" w:cs="宋体"/>
          <w:color w:val="auto"/>
          <w:szCs w:val="21"/>
          <w:highlight w:val="none"/>
          <w:lang w:val="zh-CN"/>
        </w:rPr>
        <w:t>采购包分别编制独立的一个电子响应文件。</w:t>
      </w:r>
    </w:p>
    <w:p w14:paraId="1614A7C9">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rPr>
        <w:t>9</w:t>
      </w:r>
      <w:r>
        <w:rPr>
          <w:rFonts w:hint="eastAsia" w:ascii="宋体" w:hAnsi="宋体" w:cs="宋体"/>
          <w:color w:val="auto"/>
          <w:szCs w:val="21"/>
          <w:highlight w:val="none"/>
          <w:lang w:val="zh-CN"/>
        </w:rPr>
        <w:t>.2 供应商通过“政采云”平台（http：//www.zcygov.cn）实行在线电子投标，供应商应先安装“政采云投标客户端”。供应商应当按照磋商文件要求加盖单位签章（企业数字证书）和法定代表人电子签章（法人数字证书，电子法人名章或电子法人签字章均可）。电子响应文件格式签章完成后，生成正式响应文件格式并加密。经数字证书加密的响应文件格式必须在递交响应文件格式前登录“政采云”平台，选择本采购项目的对应采购包，完成上传，加密和解密必须使用同一数字证书。具体操作方法见“投标文件制作操作手册”。</w:t>
      </w:r>
    </w:p>
    <w:p w14:paraId="0DC1B816">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rPr>
        <w:t>9</w:t>
      </w:r>
      <w:r>
        <w:rPr>
          <w:rFonts w:hint="eastAsia" w:ascii="宋体" w:hAnsi="宋体" w:cs="宋体"/>
          <w:color w:val="auto"/>
          <w:szCs w:val="21"/>
          <w:highlight w:val="none"/>
          <w:lang w:val="zh-CN"/>
        </w:rPr>
        <w:t>.3 提交电子响应文件格式截止时间前出现下列情形的，供应商必须对响应文件格式重新电子签章和生成响应文件格式，并在提交响应文件格式截止时间之前上传至系统，否则无法完成解密：</w:t>
      </w:r>
    </w:p>
    <w:p w14:paraId="0170E915">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 数字证书到期后重新续期；</w:t>
      </w:r>
    </w:p>
    <w:p w14:paraId="1F184234">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2 数字证书因遗失、损坏、企业信息变更等情况更换新证书。</w:t>
      </w:r>
    </w:p>
    <w:p w14:paraId="5CAFE780">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供应商由于数字证书遗失、损坏、更换、续期等情况导致响应文件格式无法解密，由供应商自行承担责任。</w:t>
      </w:r>
    </w:p>
    <w:p w14:paraId="4BA12E65">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9.</w:t>
      </w:r>
      <w:r>
        <w:rPr>
          <w:rFonts w:hint="eastAsia" w:ascii="宋体" w:hAnsi="宋体" w:cs="宋体"/>
          <w:color w:val="auto"/>
          <w:szCs w:val="21"/>
          <w:highlight w:val="none"/>
        </w:rPr>
        <w:t>4</w:t>
      </w:r>
      <w:r>
        <w:rPr>
          <w:rFonts w:hint="eastAsia" w:ascii="宋体" w:hAnsi="宋体" w:cs="宋体"/>
          <w:color w:val="auto"/>
          <w:szCs w:val="21"/>
          <w:highlight w:val="none"/>
          <w:lang w:val="zh-CN"/>
        </w:rPr>
        <w:t xml:space="preserve"> 投标语言：响应文件以及供应商与采购人就有关投标的来往函电均使用中文。 </w:t>
      </w:r>
    </w:p>
    <w:p w14:paraId="1B1982CA">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9.</w:t>
      </w:r>
      <w:r>
        <w:rPr>
          <w:rFonts w:hint="eastAsia" w:ascii="宋体" w:hAnsi="宋体" w:cs="宋体"/>
          <w:color w:val="auto"/>
          <w:szCs w:val="21"/>
          <w:highlight w:val="none"/>
        </w:rPr>
        <w:t>5</w:t>
      </w:r>
      <w:r>
        <w:rPr>
          <w:rFonts w:hint="eastAsia" w:ascii="宋体" w:hAnsi="宋体" w:cs="宋体"/>
          <w:color w:val="auto"/>
          <w:szCs w:val="21"/>
          <w:highlight w:val="none"/>
          <w:lang w:val="zh-CN"/>
        </w:rPr>
        <w:t xml:space="preserve"> 计量单位：中华人民共和国法定计量单位。</w:t>
      </w:r>
    </w:p>
    <w:p w14:paraId="64B83BE7">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9.</w:t>
      </w:r>
      <w:r>
        <w:rPr>
          <w:rFonts w:hint="eastAsia" w:ascii="宋体" w:hAnsi="宋体" w:cs="宋体"/>
          <w:color w:val="auto"/>
          <w:szCs w:val="21"/>
          <w:highlight w:val="none"/>
        </w:rPr>
        <w:t>6</w:t>
      </w:r>
      <w:r>
        <w:rPr>
          <w:rFonts w:hint="eastAsia" w:ascii="宋体" w:hAnsi="宋体" w:cs="宋体"/>
          <w:color w:val="auto"/>
          <w:szCs w:val="21"/>
          <w:highlight w:val="none"/>
          <w:lang w:val="zh-CN"/>
        </w:rPr>
        <w:t xml:space="preserve"> 供应商在响应文件以及在投标、合同签订、履行过程中所签署的相关文件中所加盖的公章，均须按照磋商文件的规定加盖与供应商名称全称相一致的标准公章。</w:t>
      </w:r>
    </w:p>
    <w:p w14:paraId="50C81B0C">
      <w:pPr>
        <w:tabs>
          <w:tab w:val="left" w:pos="709"/>
        </w:tabs>
        <w:autoSpaceDE w:val="0"/>
        <w:autoSpaceDN w:val="0"/>
        <w:adjustRightInd w:val="0"/>
        <w:spacing w:line="360" w:lineRule="auto"/>
        <w:ind w:firstLine="480"/>
        <w:rPr>
          <w:rFonts w:hint="eastAsia" w:ascii="宋体" w:hAnsi="宋体" w:cs="宋体"/>
          <w:color w:val="auto"/>
          <w:kern w:val="0"/>
          <w:szCs w:val="21"/>
          <w:highlight w:val="none"/>
          <w:lang w:val="zh-CN"/>
        </w:rPr>
      </w:pPr>
      <w:r>
        <w:rPr>
          <w:rFonts w:hint="eastAsia" w:ascii="宋体" w:hAnsi="宋体" w:cs="宋体"/>
          <w:color w:val="auto"/>
          <w:szCs w:val="21"/>
          <w:highlight w:val="none"/>
          <w:lang w:val="zh-CN"/>
        </w:rPr>
        <w:t>9.</w:t>
      </w:r>
      <w:r>
        <w:rPr>
          <w:rFonts w:hint="eastAsia" w:ascii="宋体" w:hAnsi="宋体" w:cs="宋体"/>
          <w:color w:val="auto"/>
          <w:szCs w:val="21"/>
          <w:highlight w:val="none"/>
        </w:rPr>
        <w:t>7</w:t>
      </w:r>
      <w:r>
        <w:rPr>
          <w:rFonts w:hint="eastAsia" w:ascii="宋体" w:hAnsi="宋体" w:cs="宋体"/>
          <w:color w:val="auto"/>
          <w:szCs w:val="21"/>
          <w:highlight w:val="none"/>
          <w:lang w:val="zh-CN"/>
        </w:rPr>
        <w:t xml:space="preserve"> 采购代理机构不接受采用传真方式提交的响应文件。</w:t>
      </w:r>
    </w:p>
    <w:p w14:paraId="7EA8F076">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10. 磋商报价</w:t>
      </w:r>
    </w:p>
    <w:p w14:paraId="22B6E256">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10.1 供应商的磋商报价应在</w:t>
      </w:r>
      <w:r>
        <w:rPr>
          <w:rFonts w:hint="eastAsia" w:ascii="宋体" w:hAnsi="宋体" w:cs="宋体"/>
          <w:bCs/>
          <w:color w:val="auto"/>
          <w:kern w:val="15"/>
          <w:szCs w:val="21"/>
          <w:highlight w:val="none"/>
        </w:rPr>
        <w:t>磋商截止之日后</w:t>
      </w:r>
      <w:r>
        <w:rPr>
          <w:rFonts w:hint="eastAsia" w:ascii="宋体" w:hAnsi="宋体" w:cs="宋体"/>
          <w:bCs/>
          <w:color w:val="auto"/>
          <w:szCs w:val="21"/>
          <w:highlight w:val="none"/>
          <w:lang w:val="zh-CN"/>
        </w:rPr>
        <w:t>90天（日历天）</w:t>
      </w:r>
      <w:r>
        <w:rPr>
          <w:rFonts w:hint="eastAsia" w:ascii="宋体" w:hAnsi="宋体" w:cs="宋体"/>
          <w:color w:val="auto"/>
          <w:szCs w:val="21"/>
          <w:highlight w:val="none"/>
          <w:lang w:val="zh-CN"/>
        </w:rPr>
        <w:t>，超出此范围的磋商报价为</w:t>
      </w:r>
      <w:r>
        <w:rPr>
          <w:rFonts w:hint="eastAsia" w:ascii="宋体" w:hAnsi="宋体" w:cs="宋体"/>
          <w:color w:val="auto"/>
          <w:szCs w:val="21"/>
          <w:highlight w:val="none"/>
        </w:rPr>
        <w:t>无效</w:t>
      </w:r>
      <w:r>
        <w:rPr>
          <w:rFonts w:hint="eastAsia" w:ascii="宋体" w:hAnsi="宋体" w:cs="宋体"/>
          <w:color w:val="auto"/>
          <w:szCs w:val="21"/>
          <w:highlight w:val="none"/>
          <w:lang w:val="zh-CN"/>
        </w:rPr>
        <w:t>响应。</w:t>
      </w:r>
    </w:p>
    <w:p w14:paraId="1150C22B">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10.</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供应商所报的价格在合同执行过程中是固定不变的，不得以任何理由予以变更。以可调整的价格提交的响应文件将作为非响应性磋商予以拒绝。</w:t>
      </w:r>
    </w:p>
    <w:p w14:paraId="36435C46">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w:t>
      </w:r>
      <w:r>
        <w:rPr>
          <w:rFonts w:hint="eastAsia" w:ascii="宋体" w:hAnsi="宋体" w:cs="宋体"/>
          <w:b/>
          <w:color w:val="auto"/>
          <w:szCs w:val="21"/>
          <w:highlight w:val="none"/>
        </w:rPr>
        <w:t>1</w:t>
      </w:r>
      <w:r>
        <w:rPr>
          <w:rFonts w:hint="eastAsia" w:ascii="宋体" w:hAnsi="宋体" w:cs="宋体"/>
          <w:b/>
          <w:color w:val="auto"/>
          <w:szCs w:val="21"/>
          <w:highlight w:val="none"/>
          <w:lang w:val="zh-CN"/>
        </w:rPr>
        <w:t>. 磋商有效期</w:t>
      </w:r>
    </w:p>
    <w:p w14:paraId="128EBE7D">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1</w:t>
      </w:r>
      <w:r>
        <w:rPr>
          <w:rFonts w:hint="eastAsia" w:ascii="宋体" w:hAnsi="宋体" w:cs="宋体"/>
          <w:color w:val="auto"/>
          <w:szCs w:val="21"/>
          <w:highlight w:val="none"/>
          <w:lang w:val="zh-CN"/>
        </w:rPr>
        <w:t>.1 磋商有效期为自磋商之时起90天</w:t>
      </w:r>
      <w:r>
        <w:rPr>
          <w:rFonts w:hint="eastAsia" w:ascii="宋体" w:hAnsi="宋体" w:cs="宋体"/>
          <w:bCs/>
          <w:color w:val="auto"/>
          <w:szCs w:val="21"/>
          <w:highlight w:val="none"/>
          <w:lang w:val="zh-CN"/>
        </w:rPr>
        <w:t>（日历天）</w:t>
      </w:r>
      <w:r>
        <w:rPr>
          <w:rFonts w:hint="eastAsia" w:ascii="宋体" w:hAnsi="宋体" w:cs="宋体"/>
          <w:color w:val="auto"/>
          <w:szCs w:val="21"/>
          <w:highlight w:val="none"/>
          <w:lang w:val="zh-CN"/>
        </w:rPr>
        <w:t>。响应文件在这个规定期限内应保持有效。</w:t>
      </w:r>
    </w:p>
    <w:p w14:paraId="264B6131">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1</w:t>
      </w:r>
      <w:r>
        <w:rPr>
          <w:rFonts w:hint="eastAsia" w:ascii="宋体" w:hAnsi="宋体" w:cs="宋体"/>
          <w:color w:val="auto"/>
          <w:szCs w:val="21"/>
          <w:highlight w:val="none"/>
          <w:lang w:val="zh-CN"/>
        </w:rPr>
        <w:t>.2 在特殊情况下，采购人可与供应商协商延长磋商有效期。这种要求和答复都应以书面形式进行。供应商可以拒绝接受延期要求而不会被没收磋商保证金。同意延长磋商有效期的供应商除按照采购人要求修改响应文件的有效期外，不能修改响应文件的其他内容。</w:t>
      </w:r>
    </w:p>
    <w:p w14:paraId="740433DC">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1</w:t>
      </w:r>
      <w:r>
        <w:rPr>
          <w:rFonts w:hint="eastAsia" w:ascii="宋体" w:hAnsi="宋体" w:cs="宋体"/>
          <w:color w:val="auto"/>
          <w:szCs w:val="21"/>
          <w:highlight w:val="none"/>
          <w:lang w:val="zh-CN"/>
        </w:rPr>
        <w:t>.3 成交供应商的响应文件有效期等同于合同履行期。</w:t>
      </w:r>
    </w:p>
    <w:p w14:paraId="0C2F9552">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w:t>
      </w:r>
      <w:r>
        <w:rPr>
          <w:rFonts w:hint="eastAsia" w:ascii="宋体" w:hAnsi="宋体" w:cs="宋体"/>
          <w:b/>
          <w:color w:val="auto"/>
          <w:szCs w:val="21"/>
          <w:highlight w:val="none"/>
        </w:rPr>
        <w:t>2</w:t>
      </w:r>
      <w:r>
        <w:rPr>
          <w:rFonts w:hint="eastAsia" w:ascii="宋体" w:hAnsi="宋体" w:cs="宋体"/>
          <w:b/>
          <w:color w:val="auto"/>
          <w:szCs w:val="21"/>
          <w:highlight w:val="none"/>
          <w:lang w:val="zh-CN"/>
        </w:rPr>
        <w:t>. 响应文件的式样和签署</w:t>
      </w:r>
    </w:p>
    <w:p w14:paraId="2621FCFE">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2</w:t>
      </w:r>
      <w:r>
        <w:rPr>
          <w:rFonts w:hint="eastAsia" w:ascii="宋体" w:hAnsi="宋体" w:cs="宋体"/>
          <w:color w:val="auto"/>
          <w:szCs w:val="21"/>
          <w:highlight w:val="none"/>
          <w:lang w:val="zh-CN"/>
        </w:rPr>
        <w:t>.1 响应文件</w:t>
      </w:r>
      <w:r>
        <w:rPr>
          <w:rFonts w:hint="eastAsia" w:ascii="宋体" w:hAnsi="宋体" w:cs="宋体"/>
          <w:color w:val="auto"/>
          <w:szCs w:val="21"/>
          <w:highlight w:val="none"/>
        </w:rPr>
        <w:t>应</w:t>
      </w:r>
      <w:r>
        <w:rPr>
          <w:rFonts w:hint="eastAsia" w:ascii="宋体" w:hAnsi="宋体" w:cs="宋体"/>
          <w:color w:val="auto"/>
          <w:szCs w:val="21"/>
          <w:highlight w:val="none"/>
          <w:lang w:val="zh-CN"/>
        </w:rPr>
        <w:t>打印或用不褪色墨水书写。第六章《响应文件构成、要求及格式》中凡要求签署和/或加盖公章的，均须由供应商的法定代表人或授权代表手书签字和/或加盖供应商公章。响应文件由法定代表人签署的，须与其企业法人营业执照相符；（按第六章规定的格式提交）。</w:t>
      </w:r>
    </w:p>
    <w:p w14:paraId="5BD4352B">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2</w:t>
      </w:r>
      <w:r>
        <w:rPr>
          <w:rFonts w:hint="eastAsia" w:ascii="宋体" w:hAnsi="宋体" w:cs="宋体"/>
          <w:color w:val="auto"/>
          <w:szCs w:val="21"/>
          <w:highlight w:val="none"/>
          <w:lang w:val="zh-CN"/>
        </w:rPr>
        <w:t>.2 响应文件中如有修改错漏处，应在修改处加盖供应商公章。</w:t>
      </w:r>
    </w:p>
    <w:p w14:paraId="4F68DC0F">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w:t>
      </w:r>
      <w:r>
        <w:rPr>
          <w:rFonts w:hint="eastAsia" w:ascii="宋体" w:hAnsi="宋体" w:cs="宋体"/>
          <w:b/>
          <w:color w:val="auto"/>
          <w:szCs w:val="21"/>
          <w:highlight w:val="none"/>
        </w:rPr>
        <w:t>3</w:t>
      </w:r>
      <w:r>
        <w:rPr>
          <w:rFonts w:hint="eastAsia" w:ascii="宋体" w:hAnsi="宋体" w:cs="宋体"/>
          <w:b/>
          <w:color w:val="auto"/>
          <w:szCs w:val="21"/>
          <w:highlight w:val="none"/>
          <w:lang w:val="zh-CN"/>
        </w:rPr>
        <w:t>. 响应文件的修改和撤回</w:t>
      </w:r>
    </w:p>
    <w:p w14:paraId="78552C36">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3</w:t>
      </w:r>
      <w:r>
        <w:rPr>
          <w:rFonts w:hint="eastAsia" w:ascii="宋体" w:hAnsi="宋体" w:cs="宋体"/>
          <w:color w:val="auto"/>
          <w:szCs w:val="21"/>
          <w:highlight w:val="none"/>
          <w:lang w:val="zh-CN"/>
        </w:rPr>
        <w:t>.1 供应商在递交响应文件后，可以修改或撤回其响应文件，但采购代理机构必须在规定的响应文件提交截止时间之前收到供应商的修改或撤回的书面通知。</w:t>
      </w:r>
    </w:p>
    <w:p w14:paraId="2F860CED">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3</w:t>
      </w:r>
      <w:r>
        <w:rPr>
          <w:rFonts w:hint="eastAsia" w:ascii="宋体" w:hAnsi="宋体" w:cs="宋体"/>
          <w:color w:val="auto"/>
          <w:szCs w:val="21"/>
          <w:highlight w:val="none"/>
          <w:lang w:val="zh-CN"/>
        </w:rPr>
        <w:t>.2 供应商的修改或撤回通知书应按对响应文件的规定一样进行编制、密封、标记和递交，并标明</w:t>
      </w:r>
      <w:r>
        <w:rPr>
          <w:rFonts w:hint="eastAsia" w:ascii="宋体" w:hAnsi="宋体" w:cs="宋体"/>
          <w:color w:val="auto"/>
          <w:szCs w:val="21"/>
          <w:highlight w:val="none"/>
        </w:rPr>
        <w:t>“</w:t>
      </w:r>
      <w:r>
        <w:rPr>
          <w:rFonts w:hint="eastAsia" w:ascii="宋体" w:hAnsi="宋体" w:cs="宋体"/>
          <w:color w:val="auto"/>
          <w:szCs w:val="21"/>
          <w:highlight w:val="none"/>
          <w:lang w:val="zh-CN"/>
        </w:rPr>
        <w:t>修改</w:t>
      </w:r>
      <w:r>
        <w:rPr>
          <w:rFonts w:hint="eastAsia" w:ascii="宋体" w:hAnsi="宋体" w:cs="宋体"/>
          <w:color w:val="auto"/>
          <w:szCs w:val="21"/>
          <w:highlight w:val="none"/>
        </w:rPr>
        <w:t>”</w:t>
      </w:r>
      <w:r>
        <w:rPr>
          <w:rFonts w:hint="eastAsia" w:ascii="宋体" w:hAnsi="宋体" w:cs="宋体"/>
          <w:color w:val="auto"/>
          <w:szCs w:val="21"/>
          <w:highlight w:val="none"/>
          <w:lang w:val="zh-CN"/>
        </w:rPr>
        <w:t>或</w:t>
      </w:r>
      <w:r>
        <w:rPr>
          <w:rFonts w:hint="eastAsia" w:ascii="宋体" w:hAnsi="宋体" w:cs="宋体"/>
          <w:color w:val="auto"/>
          <w:szCs w:val="21"/>
          <w:highlight w:val="none"/>
        </w:rPr>
        <w:t>“</w:t>
      </w:r>
      <w:r>
        <w:rPr>
          <w:rFonts w:hint="eastAsia" w:ascii="宋体" w:hAnsi="宋体" w:cs="宋体"/>
          <w:color w:val="auto"/>
          <w:szCs w:val="21"/>
          <w:highlight w:val="none"/>
          <w:lang w:val="zh-CN"/>
        </w:rPr>
        <w:t>撤回</w:t>
      </w:r>
      <w:r>
        <w:rPr>
          <w:rFonts w:hint="eastAsia" w:ascii="宋体" w:hAnsi="宋体" w:cs="宋体"/>
          <w:color w:val="auto"/>
          <w:szCs w:val="21"/>
          <w:highlight w:val="none"/>
        </w:rPr>
        <w:t>”</w:t>
      </w:r>
      <w:r>
        <w:rPr>
          <w:rFonts w:hint="eastAsia" w:ascii="宋体" w:hAnsi="宋体" w:cs="宋体"/>
          <w:color w:val="auto"/>
          <w:szCs w:val="21"/>
          <w:highlight w:val="none"/>
          <w:lang w:val="zh-CN"/>
        </w:rPr>
        <w:t>字样。</w:t>
      </w:r>
    </w:p>
    <w:p w14:paraId="08583F5D">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3</w:t>
      </w:r>
      <w:r>
        <w:rPr>
          <w:rFonts w:hint="eastAsia" w:ascii="宋体" w:hAnsi="宋体" w:cs="宋体"/>
          <w:color w:val="auto"/>
          <w:szCs w:val="21"/>
          <w:highlight w:val="none"/>
          <w:lang w:val="zh-CN"/>
        </w:rPr>
        <w:t>.3 在响应文件提交截止时间（磋商时间）之后，供应商不得对其响应文件做任何修改（包括磋商一览表的内容）。</w:t>
      </w:r>
    </w:p>
    <w:p w14:paraId="7DDBFCE3">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w:t>
      </w:r>
      <w:r>
        <w:rPr>
          <w:rFonts w:hint="eastAsia" w:ascii="宋体" w:hAnsi="宋体" w:cs="宋体"/>
          <w:b/>
          <w:color w:val="auto"/>
          <w:szCs w:val="21"/>
          <w:highlight w:val="none"/>
        </w:rPr>
        <w:t>4</w:t>
      </w:r>
      <w:r>
        <w:rPr>
          <w:rFonts w:hint="eastAsia" w:ascii="宋体" w:hAnsi="宋体" w:cs="宋体"/>
          <w:b/>
          <w:color w:val="auto"/>
          <w:szCs w:val="21"/>
          <w:highlight w:val="none"/>
          <w:lang w:val="zh-CN"/>
        </w:rPr>
        <w:t>. 响应文件</w:t>
      </w:r>
    </w:p>
    <w:p w14:paraId="4BEFA5B4">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4</w:t>
      </w:r>
      <w:r>
        <w:rPr>
          <w:rFonts w:hint="eastAsia" w:ascii="宋体" w:hAnsi="宋体" w:cs="宋体"/>
          <w:color w:val="auto"/>
          <w:szCs w:val="21"/>
          <w:highlight w:val="none"/>
          <w:lang w:val="zh-CN"/>
        </w:rPr>
        <w:t>.1 供应商应将响应文件在规定的地点和响应文件提交截止时间前递交给采购代理机构。采购代理机构对于供应商的</w:t>
      </w:r>
      <w:r>
        <w:rPr>
          <w:rFonts w:hint="eastAsia" w:ascii="宋体" w:hAnsi="宋体" w:cs="宋体"/>
          <w:color w:val="auto"/>
          <w:szCs w:val="21"/>
          <w:highlight w:val="none"/>
        </w:rPr>
        <w:t>错误响应</w:t>
      </w:r>
      <w:r>
        <w:rPr>
          <w:rFonts w:hint="eastAsia" w:ascii="宋体" w:hAnsi="宋体" w:cs="宋体"/>
          <w:color w:val="auto"/>
          <w:szCs w:val="21"/>
          <w:highlight w:val="none"/>
          <w:lang w:val="zh-CN"/>
        </w:rPr>
        <w:t>以及提前</w:t>
      </w:r>
      <w:r>
        <w:rPr>
          <w:rFonts w:hint="eastAsia" w:cs="宋体"/>
          <w:color w:val="auto"/>
          <w:szCs w:val="21"/>
          <w:highlight w:val="none"/>
          <w:lang w:val="zh-CN"/>
        </w:rPr>
        <w:t>解密</w:t>
      </w:r>
      <w:r>
        <w:rPr>
          <w:rFonts w:hint="eastAsia" w:ascii="宋体" w:hAnsi="宋体" w:cs="宋体"/>
          <w:color w:val="auto"/>
          <w:szCs w:val="21"/>
          <w:highlight w:val="none"/>
          <w:lang w:val="zh-CN"/>
        </w:rPr>
        <w:t>概不负责。</w:t>
      </w:r>
    </w:p>
    <w:p w14:paraId="64DFFB9F">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4</w:t>
      </w:r>
      <w:r>
        <w:rPr>
          <w:rFonts w:hint="eastAsia" w:ascii="宋体" w:hAnsi="宋体" w:cs="宋体"/>
          <w:color w:val="auto"/>
          <w:szCs w:val="21"/>
          <w:highlight w:val="none"/>
          <w:lang w:val="zh-CN"/>
        </w:rPr>
        <w:t>.2 响应文件份数：</w:t>
      </w:r>
      <w:r>
        <w:rPr>
          <w:rFonts w:hint="eastAsia" w:cs="宋体"/>
          <w:color w:val="auto"/>
          <w:szCs w:val="21"/>
          <w:highlight w:val="none"/>
          <w:lang w:val="zh-CN"/>
        </w:rPr>
        <w:t>全流程电子版，</w:t>
      </w:r>
      <w:r>
        <w:rPr>
          <w:rFonts w:hint="eastAsia" w:ascii="宋体" w:hAnsi="宋体" w:cs="宋体"/>
          <w:color w:val="auto"/>
          <w:szCs w:val="21"/>
          <w:highlight w:val="none"/>
          <w:lang w:val="zh-CN"/>
        </w:rPr>
        <w:t>供应商</w:t>
      </w:r>
      <w:r>
        <w:rPr>
          <w:rFonts w:hint="eastAsia" w:cs="宋体"/>
          <w:color w:val="auto"/>
          <w:szCs w:val="21"/>
          <w:highlight w:val="none"/>
          <w:lang w:val="zh-CN"/>
        </w:rPr>
        <w:t>无须</w:t>
      </w:r>
      <w:r>
        <w:rPr>
          <w:rFonts w:hint="eastAsia" w:ascii="宋体" w:hAnsi="宋体" w:cs="宋体"/>
          <w:color w:val="auto"/>
          <w:szCs w:val="21"/>
          <w:highlight w:val="none"/>
          <w:lang w:val="zh-CN"/>
        </w:rPr>
        <w:t>提交</w:t>
      </w:r>
      <w:r>
        <w:rPr>
          <w:rFonts w:hint="eastAsia" w:cs="宋体"/>
          <w:color w:val="auto"/>
          <w:szCs w:val="21"/>
          <w:highlight w:val="none"/>
          <w:lang w:val="zh-CN"/>
        </w:rPr>
        <w:t>纸质版</w:t>
      </w:r>
      <w:r>
        <w:rPr>
          <w:rFonts w:hint="eastAsia" w:ascii="宋体" w:hAnsi="宋体" w:cs="宋体"/>
          <w:color w:val="auto"/>
          <w:szCs w:val="21"/>
          <w:highlight w:val="none"/>
          <w:lang w:val="zh-CN"/>
        </w:rPr>
        <w:t>响应文件。</w:t>
      </w:r>
    </w:p>
    <w:p w14:paraId="182DCB2D">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4</w:t>
      </w:r>
      <w:r>
        <w:rPr>
          <w:rFonts w:hint="eastAsia" w:ascii="宋体" w:hAnsi="宋体" w:cs="宋体"/>
          <w:color w:val="auto"/>
          <w:szCs w:val="21"/>
          <w:highlight w:val="none"/>
          <w:lang w:val="zh-CN"/>
        </w:rPr>
        <w:t>.3 供应商应按第</w:t>
      </w:r>
      <w:r>
        <w:rPr>
          <w:rFonts w:hint="eastAsia" w:ascii="宋体" w:hAnsi="宋体" w:cs="宋体"/>
          <w:color w:val="auto"/>
          <w:szCs w:val="21"/>
          <w:highlight w:val="none"/>
        </w:rPr>
        <w:t>六</w:t>
      </w:r>
      <w:r>
        <w:rPr>
          <w:rFonts w:hint="eastAsia" w:ascii="宋体" w:hAnsi="宋体" w:cs="宋体"/>
          <w:color w:val="auto"/>
          <w:szCs w:val="21"/>
          <w:highlight w:val="none"/>
          <w:lang w:val="zh-CN"/>
        </w:rPr>
        <w:t>章《响应文件构成、要求及格式》中的格式和要求编制响应文件。</w:t>
      </w:r>
    </w:p>
    <w:p w14:paraId="55984F8E">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4</w:t>
      </w:r>
      <w:r>
        <w:rPr>
          <w:rFonts w:hint="eastAsia" w:ascii="宋体" w:hAnsi="宋体" w:cs="宋体"/>
          <w:color w:val="auto"/>
          <w:szCs w:val="21"/>
          <w:highlight w:val="none"/>
          <w:lang w:val="zh-CN"/>
        </w:rPr>
        <w:t>.4 采购代理机构将拒绝接受在规定的响应文件提交截止时间以后递交的响应文件。</w:t>
      </w:r>
    </w:p>
    <w:p w14:paraId="206DB85B">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w:t>
      </w:r>
      <w:r>
        <w:rPr>
          <w:rFonts w:hint="eastAsia" w:ascii="宋体" w:hAnsi="宋体" w:cs="宋体"/>
          <w:b/>
          <w:color w:val="auto"/>
          <w:szCs w:val="21"/>
          <w:highlight w:val="none"/>
        </w:rPr>
        <w:t>5</w:t>
      </w:r>
      <w:r>
        <w:rPr>
          <w:rFonts w:hint="eastAsia" w:ascii="宋体" w:hAnsi="宋体" w:cs="宋体"/>
          <w:b/>
          <w:color w:val="auto"/>
          <w:szCs w:val="21"/>
          <w:highlight w:val="none"/>
          <w:lang w:val="zh-CN"/>
        </w:rPr>
        <w:t>. 磋商</w:t>
      </w:r>
    </w:p>
    <w:p w14:paraId="3B31B7B3">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5</w:t>
      </w:r>
      <w:r>
        <w:rPr>
          <w:rFonts w:hint="eastAsia" w:ascii="宋体" w:hAnsi="宋体" w:cs="宋体"/>
          <w:color w:val="auto"/>
          <w:szCs w:val="21"/>
          <w:highlight w:val="none"/>
          <w:lang w:val="zh-CN"/>
        </w:rPr>
        <w:t>.1采购代理机构将在竞争性磋商公告规定的时间和地点组织磋商活动。供应商法定代表人或其授权代理人应参加并签名报到以证明其出席，</w:t>
      </w:r>
      <w:r>
        <w:rPr>
          <w:rFonts w:hint="eastAsia" w:cs="宋体"/>
          <w:color w:val="auto"/>
          <w:szCs w:val="21"/>
          <w:highlight w:val="none"/>
          <w:lang w:val="zh-CN"/>
        </w:rPr>
        <w:t>详见政采云平台程序</w:t>
      </w:r>
      <w:r>
        <w:rPr>
          <w:rFonts w:hint="eastAsia" w:ascii="宋体" w:hAnsi="宋体" w:cs="宋体"/>
          <w:color w:val="auto"/>
          <w:szCs w:val="21"/>
          <w:highlight w:val="none"/>
          <w:lang w:val="zh-CN"/>
        </w:rPr>
        <w:t>。</w:t>
      </w:r>
    </w:p>
    <w:p w14:paraId="6D92FBC0">
      <w:pPr>
        <w:autoSpaceDE w:val="0"/>
        <w:autoSpaceDN w:val="0"/>
        <w:adjustRightInd w:val="0"/>
        <w:spacing w:line="360" w:lineRule="auto"/>
        <w:ind w:firstLine="480"/>
        <w:rPr>
          <w:rFonts w:hint="eastAsia" w:ascii="宋体" w:hAnsi="宋体" w:cs="宋体"/>
          <w:color w:val="auto"/>
          <w:kern w:val="0"/>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5</w:t>
      </w:r>
      <w:r>
        <w:rPr>
          <w:rFonts w:hint="eastAsia" w:ascii="宋体" w:hAnsi="宋体" w:cs="宋体"/>
          <w:color w:val="auto"/>
          <w:szCs w:val="21"/>
          <w:highlight w:val="none"/>
          <w:lang w:val="zh-CN"/>
        </w:rPr>
        <w:t>.2 磋商会议由采购代理机构组织并主持。开启文件前，</w:t>
      </w:r>
      <w:r>
        <w:rPr>
          <w:rFonts w:hint="eastAsia" w:ascii="宋体" w:hAnsi="宋体" w:cs="宋体"/>
          <w:color w:val="auto"/>
          <w:kern w:val="0"/>
          <w:szCs w:val="21"/>
          <w:highlight w:val="none"/>
          <w:lang w:val="zh-CN"/>
        </w:rPr>
        <w:t>由监督人员或者供应商代表检查响应文件的密封情况并当场宣布检查情况。</w:t>
      </w:r>
    </w:p>
    <w:p w14:paraId="3DFECAD4">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rPr>
        <w:t>5</w:t>
      </w:r>
      <w:r>
        <w:rPr>
          <w:rFonts w:hint="eastAsia" w:ascii="宋体" w:hAnsi="宋体" w:cs="宋体"/>
          <w:color w:val="auto"/>
          <w:szCs w:val="21"/>
          <w:highlight w:val="none"/>
          <w:lang w:val="zh-CN"/>
        </w:rPr>
        <w:t>.</w:t>
      </w:r>
      <w:r>
        <w:rPr>
          <w:rFonts w:hint="eastAsia" w:ascii="宋体" w:hAnsi="宋体" w:cs="宋体"/>
          <w:color w:val="auto"/>
          <w:szCs w:val="21"/>
          <w:highlight w:val="none"/>
        </w:rPr>
        <w:t xml:space="preserve">3 </w:t>
      </w:r>
      <w:r>
        <w:rPr>
          <w:rFonts w:hint="eastAsia" w:ascii="宋体" w:hAnsi="宋体" w:cs="宋体"/>
          <w:color w:val="auto"/>
          <w:szCs w:val="21"/>
          <w:highlight w:val="none"/>
          <w:lang w:val="zh-CN"/>
        </w:rPr>
        <w:t>按照供应商须知第14条的规定，提交了可接受的</w:t>
      </w:r>
      <w:r>
        <w:rPr>
          <w:rFonts w:hint="eastAsia" w:ascii="宋体" w:hAnsi="宋体" w:cs="宋体"/>
          <w:color w:val="auto"/>
          <w:szCs w:val="21"/>
          <w:highlight w:val="none"/>
        </w:rPr>
        <w:t>“</w:t>
      </w:r>
      <w:r>
        <w:rPr>
          <w:rFonts w:hint="eastAsia" w:ascii="宋体" w:hAnsi="宋体" w:cs="宋体"/>
          <w:color w:val="auto"/>
          <w:szCs w:val="21"/>
          <w:highlight w:val="none"/>
          <w:lang w:val="zh-CN"/>
        </w:rPr>
        <w:t>撤回</w:t>
      </w:r>
      <w:r>
        <w:rPr>
          <w:rFonts w:hint="eastAsia" w:ascii="宋体" w:hAnsi="宋体" w:cs="宋体"/>
          <w:color w:val="auto"/>
          <w:szCs w:val="21"/>
          <w:highlight w:val="none"/>
        </w:rPr>
        <w:t>”</w:t>
      </w:r>
      <w:r>
        <w:rPr>
          <w:rFonts w:hint="eastAsia" w:ascii="宋体" w:hAnsi="宋体" w:cs="宋体"/>
          <w:color w:val="auto"/>
          <w:szCs w:val="21"/>
          <w:highlight w:val="none"/>
          <w:lang w:val="zh-CN"/>
        </w:rPr>
        <w:t>通知的响应文件将不予开封。撤回的响应文件将原封退回供应商。</w:t>
      </w:r>
    </w:p>
    <w:p w14:paraId="250654C1">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Cs/>
          <w:color w:val="auto"/>
          <w:szCs w:val="21"/>
          <w:highlight w:val="none"/>
        </w:rPr>
        <w:t>15.4</w:t>
      </w:r>
      <w:r>
        <w:rPr>
          <w:rFonts w:hint="eastAsia" w:ascii="宋体" w:hAnsi="宋体" w:cs="宋体"/>
          <w:b/>
          <w:color w:val="auto"/>
          <w:szCs w:val="21"/>
          <w:highlight w:val="none"/>
          <w:lang w:val="zh-CN"/>
        </w:rPr>
        <w:t>磋商会议时有下列情形之一的为无效磋商：</w:t>
      </w:r>
    </w:p>
    <w:p w14:paraId="2623EB4C">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（1）响应文件在规定的响应文件提交截止时间以后送达的；</w:t>
      </w:r>
    </w:p>
    <w:p w14:paraId="1D6ED9B8">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）响应文件未按磋商文件规定密封的；</w:t>
      </w:r>
    </w:p>
    <w:p w14:paraId="2C24A3CE">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）未提交单独密封的磋商一览表或者磋商一览表未按规定加盖公章和/或有效签署的；</w:t>
      </w:r>
    </w:p>
    <w:p w14:paraId="42D3F0BD">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4</w:t>
      </w:r>
      <w:r>
        <w:rPr>
          <w:rFonts w:hint="eastAsia" w:ascii="宋体" w:hAnsi="宋体" w:cs="宋体"/>
          <w:color w:val="auto"/>
          <w:szCs w:val="21"/>
          <w:highlight w:val="none"/>
          <w:lang w:val="zh-CN"/>
        </w:rPr>
        <w:t>）磋商文件规定磋商时属于无效磋商的其他情形。</w:t>
      </w:r>
    </w:p>
    <w:p w14:paraId="658A77EF">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Cs/>
          <w:color w:val="auto"/>
          <w:szCs w:val="21"/>
          <w:highlight w:val="none"/>
        </w:rPr>
        <w:t>15.5</w:t>
      </w:r>
      <w:r>
        <w:rPr>
          <w:rFonts w:hint="eastAsia" w:ascii="宋体" w:hAnsi="宋体" w:cs="宋体"/>
          <w:bCs/>
          <w:color w:val="auto"/>
          <w:szCs w:val="21"/>
          <w:highlight w:val="none"/>
          <w:lang w:val="zh-CN"/>
        </w:rPr>
        <w:t xml:space="preserve"> </w:t>
      </w:r>
      <w:r>
        <w:rPr>
          <w:rFonts w:hint="eastAsia" w:ascii="宋体" w:hAnsi="宋体" w:cs="宋体"/>
          <w:b/>
          <w:color w:val="auto"/>
          <w:szCs w:val="21"/>
          <w:highlight w:val="none"/>
          <w:lang w:val="zh-CN"/>
        </w:rPr>
        <w:t>磋商会议时有下列情形之一的，采购代理机构有权宣布本项目</w:t>
      </w:r>
      <w:r>
        <w:rPr>
          <w:rFonts w:hint="eastAsia" w:ascii="宋体" w:hAnsi="宋体" w:cs="宋体"/>
          <w:b/>
          <w:color w:val="auto"/>
          <w:szCs w:val="21"/>
          <w:highlight w:val="none"/>
        </w:rPr>
        <w:t>为无效</w:t>
      </w:r>
      <w:r>
        <w:rPr>
          <w:rFonts w:hint="eastAsia" w:ascii="宋体" w:hAnsi="宋体" w:cs="宋体"/>
          <w:b/>
          <w:color w:val="auto"/>
          <w:szCs w:val="21"/>
          <w:highlight w:val="none"/>
          <w:lang w:val="zh-CN"/>
        </w:rPr>
        <w:t>磋商：</w:t>
      </w:r>
    </w:p>
    <w:p w14:paraId="7DABF1FD">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（1）响应文件提交截止时间符合磋商文件要求的供应商不足</w:t>
      </w:r>
      <w:r>
        <w:rPr>
          <w:rFonts w:hint="eastAsia" w:ascii="宋体" w:hAnsi="宋体" w:cs="宋体"/>
          <w:color w:val="auto"/>
          <w:szCs w:val="21"/>
          <w:highlight w:val="none"/>
        </w:rPr>
        <w:t>三</w:t>
      </w:r>
      <w:r>
        <w:rPr>
          <w:rFonts w:hint="eastAsia" w:ascii="宋体" w:hAnsi="宋体" w:cs="宋体"/>
          <w:color w:val="auto"/>
          <w:szCs w:val="21"/>
          <w:highlight w:val="none"/>
          <w:lang w:val="zh-CN"/>
        </w:rPr>
        <w:t>家的；</w:t>
      </w:r>
    </w:p>
    <w:p w14:paraId="7D5311BA">
      <w:pPr>
        <w:autoSpaceDE w:val="0"/>
        <w:autoSpaceDN w:val="0"/>
        <w:adjustRightInd w:val="0"/>
        <w:spacing w:line="360" w:lineRule="auto"/>
        <w:ind w:firstLine="480"/>
        <w:rPr>
          <w:rFonts w:hint="eastAsia" w:ascii="宋体" w:hAnsi="宋体" w:cs="宋体"/>
          <w:b/>
          <w:color w:val="auto"/>
          <w:szCs w:val="21"/>
          <w:highlight w:val="none"/>
          <w:lang w:val="zh-CN"/>
        </w:rPr>
      </w:pPr>
      <w:r>
        <w:rPr>
          <w:rFonts w:hint="eastAsia" w:ascii="宋体" w:hAnsi="宋体" w:cs="宋体"/>
          <w:color w:val="auto"/>
          <w:szCs w:val="21"/>
          <w:highlight w:val="none"/>
          <w:lang w:val="zh-CN"/>
        </w:rPr>
        <w:t>（2）所有供应商的报价均超过项目预算，采购人不能支付的。</w:t>
      </w:r>
    </w:p>
    <w:p w14:paraId="0DD7A9AA">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b/>
          <w:color w:val="auto"/>
          <w:szCs w:val="21"/>
          <w:highlight w:val="none"/>
          <w:lang w:val="zh-CN"/>
        </w:rPr>
        <w:t>1</w:t>
      </w:r>
      <w:r>
        <w:rPr>
          <w:rFonts w:hint="eastAsia" w:ascii="宋体" w:hAnsi="宋体" w:cs="宋体"/>
          <w:b/>
          <w:color w:val="auto"/>
          <w:szCs w:val="21"/>
          <w:highlight w:val="none"/>
        </w:rPr>
        <w:t>6</w:t>
      </w:r>
      <w:r>
        <w:rPr>
          <w:rFonts w:hint="eastAsia" w:ascii="宋体" w:hAnsi="宋体" w:cs="宋体"/>
          <w:b/>
          <w:color w:val="auto"/>
          <w:szCs w:val="21"/>
          <w:highlight w:val="none"/>
          <w:lang w:val="zh-CN"/>
        </w:rPr>
        <w:t>. 评审过程的保密性：</w:t>
      </w:r>
      <w:r>
        <w:rPr>
          <w:rFonts w:hint="eastAsia" w:ascii="宋体" w:hAnsi="宋体" w:cs="宋体"/>
          <w:color w:val="auto"/>
          <w:szCs w:val="21"/>
          <w:highlight w:val="none"/>
          <w:lang w:val="zh-CN"/>
        </w:rPr>
        <w:t>磋商会议开始后，直至向成交供应商授予合同时止，除按磋商文件规定予以公开的评审结果外，凡与审查、澄清、评价的资料等，均不得向供应商及与评审无关的其他人透露。</w:t>
      </w:r>
    </w:p>
    <w:p w14:paraId="571C5F09">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rPr>
        <w:t>17</w:t>
      </w:r>
      <w:r>
        <w:rPr>
          <w:rFonts w:hint="eastAsia" w:ascii="宋体" w:hAnsi="宋体" w:cs="宋体"/>
          <w:b/>
          <w:color w:val="auto"/>
          <w:szCs w:val="21"/>
          <w:highlight w:val="none"/>
          <w:lang w:val="zh-CN"/>
        </w:rPr>
        <w:t>. 评审</w:t>
      </w:r>
    </w:p>
    <w:p w14:paraId="6027659E">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bCs/>
          <w:color w:val="auto"/>
          <w:szCs w:val="21"/>
          <w:highlight w:val="none"/>
        </w:rPr>
        <w:t>17</w:t>
      </w:r>
      <w:r>
        <w:rPr>
          <w:rFonts w:hint="eastAsia" w:ascii="宋体" w:hAnsi="宋体" w:cs="宋体"/>
          <w:bCs/>
          <w:color w:val="auto"/>
          <w:szCs w:val="21"/>
          <w:highlight w:val="none"/>
          <w:lang w:val="zh-CN"/>
        </w:rPr>
        <w:t>.1</w:t>
      </w:r>
      <w:r>
        <w:rPr>
          <w:rFonts w:hint="eastAsia" w:ascii="宋体" w:hAnsi="宋体" w:cs="宋体"/>
          <w:b/>
          <w:color w:val="auto"/>
          <w:szCs w:val="21"/>
          <w:highlight w:val="none"/>
          <w:lang w:val="zh-CN"/>
        </w:rPr>
        <w:t xml:space="preserve"> 评审工作由采购代理机构负责组织，具体工作由依法组建的磋商小组负责。</w:t>
      </w:r>
      <w:r>
        <w:rPr>
          <w:rFonts w:hint="eastAsia" w:ascii="宋体" w:hAnsi="宋体" w:cs="宋体"/>
          <w:color w:val="auto"/>
          <w:szCs w:val="21"/>
          <w:highlight w:val="none"/>
          <w:lang w:val="zh-CN"/>
        </w:rPr>
        <w:t>磋商小组由有关的技术、经济方面的专家组成。磋商小组的专家成员由专家库中随机抽取产生。</w:t>
      </w:r>
      <w:r>
        <w:rPr>
          <w:rFonts w:hint="eastAsia" w:ascii="宋体" w:hAnsi="宋体" w:cs="宋体"/>
          <w:color w:val="auto"/>
          <w:szCs w:val="21"/>
          <w:highlight w:val="none"/>
        </w:rPr>
        <w:t>应</w:t>
      </w:r>
      <w:r>
        <w:rPr>
          <w:rFonts w:hint="eastAsia" w:ascii="宋体" w:hAnsi="宋体" w:cs="宋体"/>
          <w:color w:val="auto"/>
          <w:szCs w:val="21"/>
          <w:highlight w:val="none"/>
          <w:lang w:val="zh-CN"/>
        </w:rPr>
        <w:t>设立磋商小组主任的，磋商小组主任由专家担任，由磋商小组成员选举产生，负责主持具体评审工作。磋商小组根据有关法律法规和磋商文件规定的方法和标准独立评审，负责完成评审的全过程直至评定成交候选供应商。采购代理机构只负责评审组织工作，不参加评审。</w:t>
      </w:r>
    </w:p>
    <w:p w14:paraId="1B5C311B">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bCs/>
          <w:color w:val="auto"/>
          <w:szCs w:val="21"/>
          <w:highlight w:val="none"/>
        </w:rPr>
        <w:t>17</w:t>
      </w:r>
      <w:r>
        <w:rPr>
          <w:rFonts w:hint="eastAsia" w:ascii="宋体" w:hAnsi="宋体" w:cs="宋体"/>
          <w:bCs/>
          <w:color w:val="auto"/>
          <w:szCs w:val="21"/>
          <w:highlight w:val="none"/>
          <w:lang w:val="zh-CN"/>
        </w:rPr>
        <w:t>.2</w:t>
      </w:r>
      <w:r>
        <w:rPr>
          <w:rFonts w:hint="eastAsia" w:ascii="宋体" w:hAnsi="宋体" w:cs="宋体"/>
          <w:b/>
          <w:color w:val="auto"/>
          <w:szCs w:val="21"/>
          <w:highlight w:val="none"/>
          <w:lang w:val="zh-CN"/>
        </w:rPr>
        <w:t xml:space="preserve"> 审查是否所有供应商的报价均超过预算：</w:t>
      </w:r>
      <w:r>
        <w:rPr>
          <w:rFonts w:hint="eastAsia" w:ascii="宋体" w:hAnsi="宋体" w:cs="宋体"/>
          <w:color w:val="auto"/>
          <w:szCs w:val="21"/>
          <w:highlight w:val="none"/>
          <w:lang w:val="zh-CN"/>
        </w:rPr>
        <w:t>根据《中华人民共和国政府</w:t>
      </w:r>
      <w:r>
        <w:rPr>
          <w:rFonts w:hint="eastAsia" w:ascii="宋体" w:hAnsi="宋体" w:cs="宋体"/>
          <w:bCs/>
          <w:color w:val="auto"/>
          <w:szCs w:val="21"/>
          <w:highlight w:val="none"/>
          <w:lang w:val="zh-CN"/>
        </w:rPr>
        <w:t>采购法》的规定，所有供应商的报价均超过预算，采购人不能支付的，</w:t>
      </w:r>
      <w:r>
        <w:rPr>
          <w:rFonts w:hint="eastAsia" w:ascii="宋体" w:hAnsi="宋体" w:cs="宋体"/>
          <w:bCs/>
          <w:color w:val="auto"/>
          <w:szCs w:val="21"/>
          <w:highlight w:val="none"/>
        </w:rPr>
        <w:t>本项目为无</w:t>
      </w:r>
      <w:r>
        <w:rPr>
          <w:rFonts w:hint="eastAsia" w:ascii="宋体" w:hAnsi="宋体" w:cs="宋体"/>
          <w:color w:val="auto"/>
          <w:szCs w:val="21"/>
          <w:highlight w:val="none"/>
        </w:rPr>
        <w:t>效磋商</w:t>
      </w:r>
      <w:r>
        <w:rPr>
          <w:rFonts w:hint="eastAsia" w:ascii="宋体" w:hAnsi="宋体" w:cs="宋体"/>
          <w:color w:val="auto"/>
          <w:szCs w:val="21"/>
          <w:highlight w:val="none"/>
          <w:lang w:val="zh-CN"/>
        </w:rPr>
        <w:t>。</w:t>
      </w:r>
    </w:p>
    <w:p w14:paraId="5BC668C7">
      <w:pPr>
        <w:spacing w:line="360" w:lineRule="auto"/>
        <w:ind w:firstLine="440" w:firstLineChars="200"/>
        <w:rPr>
          <w:rFonts w:hint="eastAsia" w:ascii="宋体" w:hAnsi="宋体" w:cs="宋体"/>
          <w:color w:val="auto"/>
          <w:szCs w:val="21"/>
          <w:highlight w:val="none"/>
        </w:rPr>
      </w:pPr>
      <w:r>
        <w:rPr>
          <w:rFonts w:hint="eastAsia" w:ascii="宋体" w:hAnsi="宋体" w:cs="宋体"/>
          <w:bCs/>
          <w:color w:val="auto"/>
          <w:szCs w:val="21"/>
          <w:highlight w:val="none"/>
          <w:lang w:val="zh-CN"/>
        </w:rPr>
        <w:t>1</w:t>
      </w:r>
      <w:r>
        <w:rPr>
          <w:rFonts w:hint="eastAsia" w:ascii="宋体" w:hAnsi="宋体" w:cs="宋体"/>
          <w:bCs/>
          <w:color w:val="auto"/>
          <w:szCs w:val="21"/>
          <w:highlight w:val="none"/>
        </w:rPr>
        <w:t>7</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 xml:space="preserve"> </w:t>
      </w:r>
      <w:r>
        <w:rPr>
          <w:rFonts w:hint="eastAsia" w:ascii="宋体" w:hAnsi="宋体" w:cs="宋体"/>
          <w:b/>
          <w:color w:val="auto"/>
          <w:szCs w:val="21"/>
          <w:highlight w:val="none"/>
          <w:lang w:val="zh-CN"/>
        </w:rPr>
        <w:t>对响应文件商务部分（供应商资格）进行审查：</w:t>
      </w:r>
      <w:r>
        <w:rPr>
          <w:rFonts w:hint="eastAsia" w:ascii="宋体" w:hAnsi="宋体" w:cs="宋体"/>
          <w:color w:val="auto"/>
          <w:szCs w:val="21"/>
          <w:highlight w:val="none"/>
        </w:rPr>
        <w:t>初步评审。</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小组依据有关法律法规和综合</w:t>
      </w:r>
      <w:r>
        <w:rPr>
          <w:rFonts w:hint="eastAsia" w:ascii="宋体" w:hAnsi="宋体" w:cs="宋体"/>
          <w:color w:val="auto"/>
          <w:szCs w:val="21"/>
          <w:highlight w:val="none"/>
          <w:lang w:val="zh-CN"/>
        </w:rPr>
        <w:t>磋商</w:t>
      </w:r>
      <w:r>
        <w:rPr>
          <w:rFonts w:hint="eastAsia" w:ascii="宋体" w:hAnsi="宋体" w:cs="宋体"/>
          <w:color w:val="auto"/>
          <w:szCs w:val="21"/>
          <w:highlight w:val="none"/>
        </w:rPr>
        <w:t>文件的规定，对响应性文件中资质证明、磋商保证金等进行审查，审查每个供应商提交的资质证明材料是否齐全、完整、合法、有效。在评审过程中，</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小组可以要求供应商提供磋商文件要求进行核查，供应商应在</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小组规定的时限内提供。供应商拒不提供的，或者不能在规定时限内提供的，视为其不具备该资格条件，其响应性文件将被作为无效处理。</w:t>
      </w:r>
    </w:p>
    <w:p w14:paraId="26ABD8C5">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bCs/>
          <w:color w:val="auto"/>
          <w:szCs w:val="21"/>
          <w:highlight w:val="none"/>
        </w:rPr>
        <w:t>17</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4</w:t>
      </w:r>
      <w:r>
        <w:rPr>
          <w:rFonts w:hint="eastAsia" w:ascii="宋体" w:hAnsi="宋体" w:cs="宋体"/>
          <w:b/>
          <w:color w:val="auto"/>
          <w:szCs w:val="21"/>
          <w:highlight w:val="none"/>
          <w:lang w:val="zh-CN"/>
        </w:rPr>
        <w:t>对响应文件进行详细审查：</w:t>
      </w:r>
    </w:p>
    <w:p w14:paraId="67D04555">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1</w:t>
      </w:r>
      <w:r>
        <w:rPr>
          <w:rFonts w:hint="eastAsia" w:ascii="宋体" w:hAnsi="宋体" w:cs="宋体"/>
          <w:bCs/>
          <w:color w:val="auto"/>
          <w:szCs w:val="21"/>
          <w:highlight w:val="none"/>
        </w:rPr>
        <w:t>7</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4</w:t>
      </w:r>
      <w:r>
        <w:rPr>
          <w:rFonts w:hint="eastAsia" w:ascii="宋体" w:hAnsi="宋体" w:cs="宋体"/>
          <w:bCs/>
          <w:color w:val="auto"/>
          <w:szCs w:val="21"/>
          <w:highlight w:val="none"/>
          <w:lang w:val="zh-CN"/>
        </w:rPr>
        <w:t>.1</w:t>
      </w:r>
      <w:r>
        <w:rPr>
          <w:rFonts w:hint="eastAsia" w:ascii="宋体" w:hAnsi="宋体" w:cs="宋体"/>
          <w:b/>
          <w:color w:val="auto"/>
          <w:szCs w:val="21"/>
          <w:highlight w:val="none"/>
          <w:lang w:val="zh-CN"/>
        </w:rPr>
        <w:t xml:space="preserve"> </w:t>
      </w:r>
      <w:r>
        <w:rPr>
          <w:rFonts w:hint="eastAsia" w:ascii="宋体" w:hAnsi="宋体" w:cs="宋体"/>
          <w:color w:val="auto"/>
          <w:szCs w:val="21"/>
          <w:highlight w:val="none"/>
          <w:lang w:val="zh-CN"/>
        </w:rPr>
        <w:t>对于商务审查合格的供应商，磋商小组将审查其响应文件技术部分是否对磋商文件规定的事项、格式、条款和技术规格等要求都做出了实质性响应。</w:t>
      </w:r>
    </w:p>
    <w:p w14:paraId="070F7420">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Cs/>
          <w:color w:val="auto"/>
          <w:szCs w:val="21"/>
          <w:highlight w:val="none"/>
          <w:lang w:val="zh-CN"/>
        </w:rPr>
        <w:t>1</w:t>
      </w:r>
      <w:r>
        <w:rPr>
          <w:rFonts w:hint="eastAsia" w:ascii="宋体" w:hAnsi="宋体" w:cs="宋体"/>
          <w:bCs/>
          <w:color w:val="auto"/>
          <w:szCs w:val="21"/>
          <w:highlight w:val="none"/>
        </w:rPr>
        <w:t>7</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4</w:t>
      </w:r>
      <w:r>
        <w:rPr>
          <w:rFonts w:hint="eastAsia" w:ascii="宋体" w:hAnsi="宋体" w:cs="宋体"/>
          <w:bCs/>
          <w:color w:val="auto"/>
          <w:szCs w:val="21"/>
          <w:highlight w:val="none"/>
          <w:lang w:val="zh-CN"/>
        </w:rPr>
        <w:t xml:space="preserve">.2 </w:t>
      </w:r>
      <w:r>
        <w:rPr>
          <w:rFonts w:hint="eastAsia" w:ascii="宋体" w:hAnsi="宋体" w:cs="宋体"/>
          <w:color w:val="auto"/>
          <w:szCs w:val="21"/>
          <w:highlight w:val="none"/>
          <w:lang w:val="zh-CN"/>
        </w:rPr>
        <w:t>实质性响应的磋商是指与磋商文件规定的事项、条款、条件和技术规格相符，没有重大偏离和保留。没有实质性响应磋商文件要求的将被拒绝。</w:t>
      </w:r>
    </w:p>
    <w:p w14:paraId="6EF6BC6F">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bCs/>
          <w:color w:val="auto"/>
          <w:szCs w:val="21"/>
          <w:highlight w:val="none"/>
          <w:lang w:val="zh-CN"/>
        </w:rPr>
        <w:t>1</w:t>
      </w:r>
      <w:r>
        <w:rPr>
          <w:rFonts w:hint="eastAsia" w:ascii="宋体" w:hAnsi="宋体" w:cs="宋体"/>
          <w:bCs/>
          <w:color w:val="auto"/>
          <w:szCs w:val="21"/>
          <w:highlight w:val="none"/>
        </w:rPr>
        <w:t>7</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5</w:t>
      </w:r>
      <w:r>
        <w:rPr>
          <w:rFonts w:hint="eastAsia" w:ascii="宋体" w:hAnsi="宋体" w:cs="宋体"/>
          <w:b/>
          <w:color w:val="auto"/>
          <w:szCs w:val="21"/>
          <w:highlight w:val="none"/>
          <w:lang w:val="zh-CN"/>
        </w:rPr>
        <w:t xml:space="preserve"> </w:t>
      </w:r>
      <w:r>
        <w:rPr>
          <w:rFonts w:hint="eastAsia" w:ascii="宋体" w:hAnsi="宋体" w:cs="宋体"/>
          <w:color w:val="auto"/>
          <w:szCs w:val="21"/>
          <w:highlight w:val="none"/>
          <w:lang w:val="zh-CN"/>
        </w:rPr>
        <w:t>重大偏离和保留是指实质上影响合同的磋商范围、质量和性能，或者实质上限制了合同中采购人的权利或供应商的义务。响应文件有下列情形之一的属于重大偏离和保留，将作</w:t>
      </w:r>
      <w:r>
        <w:rPr>
          <w:rFonts w:hint="eastAsia" w:ascii="宋体" w:hAnsi="宋体" w:cs="宋体"/>
          <w:color w:val="auto"/>
          <w:szCs w:val="21"/>
          <w:highlight w:val="none"/>
        </w:rPr>
        <w:t>无效</w:t>
      </w:r>
      <w:r>
        <w:rPr>
          <w:rFonts w:hint="eastAsia" w:ascii="宋体" w:hAnsi="宋体" w:cs="宋体"/>
          <w:color w:val="auto"/>
          <w:szCs w:val="21"/>
          <w:highlight w:val="none"/>
          <w:lang w:val="zh-CN"/>
        </w:rPr>
        <w:t>处理：</w:t>
      </w:r>
    </w:p>
    <w:p w14:paraId="11D21463">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（1）供应商未按磋商文件规定提交所要求提交的全部文件或者提交的文件无效或者不符合磋商文件的规定；</w:t>
      </w:r>
    </w:p>
    <w:p w14:paraId="007EB50A">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（2）响应文件未按磋商文件的规定有效签署和/或加盖公章；</w:t>
      </w:r>
    </w:p>
    <w:p w14:paraId="6570CE58">
      <w:pPr>
        <w:tabs>
          <w:tab w:val="left" w:pos="1920"/>
        </w:tabs>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（3）响应文件载明的项目完成期限超过磋商文件规定的期限；</w:t>
      </w:r>
    </w:p>
    <w:p w14:paraId="1336F0A6">
      <w:pPr>
        <w:tabs>
          <w:tab w:val="left" w:pos="1920"/>
        </w:tabs>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（4）响应文件明显不符合磋商文件规定的技术规格、技术标准要求；</w:t>
      </w:r>
    </w:p>
    <w:p w14:paraId="6FA1113C">
      <w:pPr>
        <w:tabs>
          <w:tab w:val="left" w:pos="1920"/>
        </w:tabs>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5</w:t>
      </w:r>
      <w:r>
        <w:rPr>
          <w:rFonts w:hint="eastAsia" w:ascii="宋体" w:hAnsi="宋体" w:cs="宋体"/>
          <w:color w:val="auto"/>
          <w:szCs w:val="21"/>
          <w:highlight w:val="none"/>
          <w:lang w:val="zh-CN"/>
        </w:rPr>
        <w:t>）响应文件附有采购人不能接受的条件；</w:t>
      </w:r>
    </w:p>
    <w:p w14:paraId="34BC22A4">
      <w:pPr>
        <w:autoSpaceDE w:val="0"/>
        <w:autoSpaceDN w:val="0"/>
        <w:adjustRightInd w:val="0"/>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6</w:t>
      </w:r>
      <w:r>
        <w:rPr>
          <w:rFonts w:hint="eastAsia" w:ascii="宋体" w:hAnsi="宋体" w:cs="宋体"/>
          <w:color w:val="auto"/>
          <w:szCs w:val="21"/>
          <w:highlight w:val="none"/>
          <w:lang w:val="zh-CN"/>
        </w:rPr>
        <w:t>）不符合磋商文件规定的其他实质性要求。</w:t>
      </w:r>
    </w:p>
    <w:p w14:paraId="53EAA81E">
      <w:pPr>
        <w:spacing w:line="360" w:lineRule="auto"/>
        <w:ind w:firstLine="440" w:firstLineChars="200"/>
        <w:rPr>
          <w:rFonts w:hint="eastAsia" w:ascii="宋体" w:hAnsi="宋体" w:cs="宋体"/>
          <w:color w:val="auto"/>
          <w:szCs w:val="21"/>
          <w:highlight w:val="none"/>
          <w:lang w:val="zh-CN"/>
        </w:rPr>
      </w:pPr>
      <w:r>
        <w:rPr>
          <w:rFonts w:hint="eastAsia" w:ascii="宋体" w:hAnsi="宋体" w:cs="宋体"/>
          <w:bCs/>
          <w:color w:val="auto"/>
          <w:szCs w:val="21"/>
          <w:highlight w:val="none"/>
        </w:rPr>
        <w:t>17.6</w:t>
      </w:r>
      <w:r>
        <w:rPr>
          <w:rFonts w:hint="eastAsia" w:ascii="宋体" w:hAnsi="宋体" w:cs="宋体"/>
          <w:bCs/>
          <w:color w:val="auto"/>
          <w:szCs w:val="21"/>
          <w:highlight w:val="none"/>
          <w:lang w:val="zh-CN"/>
        </w:rPr>
        <w:t xml:space="preserve"> </w:t>
      </w:r>
      <w:r>
        <w:rPr>
          <w:rFonts w:hint="eastAsia" w:ascii="宋体" w:hAnsi="宋体" w:cs="宋体"/>
          <w:color w:val="auto"/>
          <w:szCs w:val="21"/>
          <w:highlight w:val="none"/>
          <w:lang w:val="zh-CN"/>
        </w:rPr>
        <w:t>磋商小组将允许修正响应文件中不构成重大偏离的细微偏离，但这些修正应不会对实质上响应磋商文件要求的供应商的竞争地位（相互排序）产生不公正的影响。</w:t>
      </w:r>
    </w:p>
    <w:p w14:paraId="0BCC47BE">
      <w:pPr>
        <w:autoSpaceDE w:val="0"/>
        <w:autoSpaceDN w:val="0"/>
        <w:adjustRightInd w:val="0"/>
        <w:spacing w:line="360" w:lineRule="auto"/>
        <w:ind w:firstLine="480"/>
        <w:rPr>
          <w:rFonts w:hint="eastAsia" w:ascii="宋体" w:hAnsi="宋体" w:cs="宋体"/>
          <w:b/>
          <w:color w:val="auto"/>
          <w:szCs w:val="21"/>
          <w:highlight w:val="none"/>
          <w:lang w:val="zh-CN"/>
        </w:rPr>
      </w:pPr>
      <w:r>
        <w:rPr>
          <w:rFonts w:hint="eastAsia" w:ascii="宋体" w:hAnsi="宋体" w:cs="宋体"/>
          <w:bCs/>
          <w:color w:val="auto"/>
          <w:szCs w:val="21"/>
          <w:highlight w:val="none"/>
        </w:rPr>
        <w:t>17.7</w:t>
      </w:r>
      <w:r>
        <w:rPr>
          <w:rFonts w:hint="eastAsia" w:ascii="宋体" w:hAnsi="宋体" w:cs="宋体"/>
          <w:b/>
          <w:color w:val="auto"/>
          <w:szCs w:val="21"/>
          <w:highlight w:val="none"/>
          <w:lang w:val="zh-CN"/>
        </w:rPr>
        <w:t xml:space="preserve"> 磋商小组对响应文件的判定，只依据响应文件内容本身，不依据任何外来证明。</w:t>
      </w:r>
    </w:p>
    <w:p w14:paraId="474B2047">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bCs/>
          <w:color w:val="auto"/>
          <w:szCs w:val="21"/>
          <w:highlight w:val="none"/>
        </w:rPr>
        <w:t>17.8</w:t>
      </w:r>
      <w:r>
        <w:rPr>
          <w:rFonts w:hint="eastAsia" w:ascii="宋体" w:hAnsi="宋体" w:cs="宋体"/>
          <w:bCs/>
          <w:color w:val="auto"/>
          <w:szCs w:val="21"/>
          <w:highlight w:val="none"/>
          <w:lang w:val="zh-CN"/>
        </w:rPr>
        <w:t xml:space="preserve"> </w:t>
      </w:r>
      <w:r>
        <w:rPr>
          <w:rFonts w:hint="eastAsia" w:ascii="宋体" w:hAnsi="宋体" w:cs="宋体"/>
          <w:b/>
          <w:color w:val="auto"/>
          <w:szCs w:val="21"/>
          <w:highlight w:val="none"/>
          <w:lang w:val="zh-CN"/>
        </w:rPr>
        <w:t>磋商报价的审查：</w:t>
      </w:r>
      <w:r>
        <w:rPr>
          <w:rFonts w:hint="eastAsia" w:ascii="宋体" w:hAnsi="宋体" w:cs="宋体"/>
          <w:color w:val="auto"/>
          <w:szCs w:val="21"/>
          <w:highlight w:val="none"/>
          <w:lang w:val="zh-CN"/>
        </w:rPr>
        <w:t>磋商小组将对商务审查、技术审查合格的响应文件的报价进行审核，看其是否有计算和累加上的错误。修正错误的原则如下：磋商报价以《报价函》的报价为准，《报价函》的报价与《磋商一览表》的报价不一致的，供应商应按《报价函》的报价相应修改《磋商一览表》的报价。按上述原则调整后的价格为评审价，经供应商法定代表人或授权代理人签字确认后对供应商具有约束力。如果供应商不按照上述原则修正其磋商报价及分项报价，则其磋商将被拒绝。</w:t>
      </w:r>
    </w:p>
    <w:p w14:paraId="0245F9D7">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bCs/>
          <w:color w:val="auto"/>
          <w:szCs w:val="21"/>
          <w:highlight w:val="none"/>
        </w:rPr>
        <w:t>17.9</w:t>
      </w:r>
      <w:r>
        <w:rPr>
          <w:rFonts w:hint="eastAsia" w:ascii="宋体" w:hAnsi="宋体" w:cs="宋体"/>
          <w:bCs/>
          <w:color w:val="auto"/>
          <w:szCs w:val="21"/>
          <w:highlight w:val="none"/>
          <w:lang w:val="zh-CN"/>
        </w:rPr>
        <w:t xml:space="preserve"> </w:t>
      </w:r>
      <w:r>
        <w:rPr>
          <w:rFonts w:hint="eastAsia" w:ascii="宋体" w:hAnsi="宋体" w:cs="宋体"/>
          <w:b/>
          <w:color w:val="auto"/>
          <w:szCs w:val="21"/>
          <w:highlight w:val="none"/>
          <w:lang w:val="zh-CN"/>
        </w:rPr>
        <w:t>澄清：</w:t>
      </w:r>
      <w:r>
        <w:rPr>
          <w:rFonts w:hint="eastAsia" w:ascii="宋体" w:hAnsi="宋体" w:cs="宋体"/>
          <w:color w:val="auto"/>
          <w:szCs w:val="21"/>
          <w:highlight w:val="none"/>
          <w:lang w:val="zh-CN"/>
        </w:rPr>
        <w:t>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审结束前）作出必要的澄清、说明或者补正。供应商的澄清、说明或者补正应当采用书面形式，由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磋商。</w:t>
      </w:r>
    </w:p>
    <w:p w14:paraId="3A6ECF19">
      <w:pPr>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rPr>
        <w:t>接受细微偏离有利于</w:t>
      </w:r>
      <w:r>
        <w:rPr>
          <w:rFonts w:hint="eastAsia" w:ascii="宋体" w:hAnsi="宋体" w:cs="宋体"/>
          <w:color w:val="auto"/>
          <w:szCs w:val="21"/>
          <w:highlight w:val="none"/>
          <w:lang w:val="zh-CN"/>
        </w:rPr>
        <w:t>磋商</w:t>
      </w:r>
      <w:r>
        <w:rPr>
          <w:rFonts w:hint="eastAsia" w:ascii="宋体" w:hAnsi="宋体" w:cs="宋体"/>
          <w:color w:val="auto"/>
          <w:szCs w:val="21"/>
          <w:highlight w:val="none"/>
        </w:rPr>
        <w:t>成功，不应因细微偏离而作为无效磋商。</w:t>
      </w:r>
    </w:p>
    <w:p w14:paraId="418E6364">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rPr>
        <w:t>18</w:t>
      </w:r>
      <w:r>
        <w:rPr>
          <w:rFonts w:hint="eastAsia" w:ascii="宋体" w:hAnsi="宋体" w:cs="宋体"/>
          <w:b/>
          <w:color w:val="auto"/>
          <w:szCs w:val="21"/>
          <w:highlight w:val="none"/>
          <w:lang w:val="zh-CN"/>
        </w:rPr>
        <w:t>. 评审方法和标准</w:t>
      </w:r>
    </w:p>
    <w:p w14:paraId="279009A2">
      <w:pPr>
        <w:spacing w:line="360" w:lineRule="auto"/>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18.1经</w:t>
      </w:r>
      <w:r>
        <w:rPr>
          <w:rFonts w:hint="eastAsia" w:ascii="宋体" w:hAnsi="宋体" w:cs="宋体"/>
          <w:bCs/>
          <w:color w:val="auto"/>
          <w:szCs w:val="21"/>
          <w:highlight w:val="none"/>
          <w:lang w:val="zh-CN"/>
        </w:rPr>
        <w:t>磋商</w:t>
      </w:r>
      <w:r>
        <w:rPr>
          <w:rFonts w:hint="eastAsia" w:ascii="宋体" w:hAnsi="宋体" w:cs="宋体"/>
          <w:bCs/>
          <w:color w:val="auto"/>
          <w:szCs w:val="21"/>
          <w:highlight w:val="none"/>
        </w:rPr>
        <w:t>确定最终</w:t>
      </w:r>
      <w:r>
        <w:rPr>
          <w:rFonts w:hint="eastAsia" w:ascii="宋体" w:hAnsi="宋体" w:cs="宋体"/>
          <w:bCs/>
          <w:color w:val="auto"/>
          <w:szCs w:val="21"/>
          <w:highlight w:val="none"/>
          <w:lang w:val="zh-CN"/>
        </w:rPr>
        <w:t>磋商</w:t>
      </w:r>
      <w:r>
        <w:rPr>
          <w:rFonts w:hint="eastAsia" w:ascii="宋体" w:hAnsi="宋体" w:cs="宋体"/>
          <w:bCs/>
          <w:color w:val="auto"/>
          <w:szCs w:val="21"/>
          <w:highlight w:val="none"/>
        </w:rPr>
        <w:t>需求和提交最后</w:t>
      </w:r>
      <w:r>
        <w:rPr>
          <w:rFonts w:hint="eastAsia" w:ascii="宋体" w:hAnsi="宋体" w:cs="宋体"/>
          <w:color w:val="auto"/>
          <w:szCs w:val="21"/>
          <w:highlight w:val="none"/>
        </w:rPr>
        <w:t>报价</w:t>
      </w:r>
      <w:r>
        <w:rPr>
          <w:rFonts w:hint="eastAsia" w:ascii="宋体" w:hAnsi="宋体" w:cs="宋体"/>
          <w:bCs/>
          <w:color w:val="auto"/>
          <w:szCs w:val="21"/>
          <w:highlight w:val="none"/>
        </w:rPr>
        <w:t>的供应商后，</w:t>
      </w:r>
      <w:r>
        <w:rPr>
          <w:rFonts w:hint="eastAsia" w:ascii="宋体" w:hAnsi="宋体" w:cs="宋体"/>
          <w:color w:val="auto"/>
          <w:szCs w:val="21"/>
          <w:highlight w:val="none"/>
          <w:lang w:val="zh-CN"/>
        </w:rPr>
        <w:t>磋商</w:t>
      </w:r>
      <w:r>
        <w:rPr>
          <w:rFonts w:hint="eastAsia" w:ascii="宋体" w:hAnsi="宋体" w:cs="宋体"/>
          <w:bCs/>
          <w:color w:val="auto"/>
          <w:szCs w:val="21"/>
          <w:highlight w:val="none"/>
        </w:rPr>
        <w:t>小组采用</w:t>
      </w:r>
      <w:r>
        <w:rPr>
          <w:rFonts w:hint="eastAsia" w:ascii="宋体" w:hAnsi="宋体" w:cs="宋体"/>
          <w:b/>
          <w:color w:val="auto"/>
          <w:szCs w:val="21"/>
          <w:highlight w:val="none"/>
        </w:rPr>
        <w:t>综合评分法</w:t>
      </w:r>
      <w:r>
        <w:rPr>
          <w:rFonts w:hint="eastAsia" w:ascii="宋体" w:hAnsi="宋体" w:cs="宋体"/>
          <w:bCs/>
          <w:color w:val="auto"/>
          <w:szCs w:val="21"/>
          <w:highlight w:val="none"/>
        </w:rPr>
        <w:t>对提交最后报价的供应商的响应文件和最后</w:t>
      </w:r>
      <w:r>
        <w:rPr>
          <w:rFonts w:hint="eastAsia" w:ascii="宋体" w:hAnsi="宋体" w:cs="宋体"/>
          <w:color w:val="auto"/>
          <w:szCs w:val="21"/>
          <w:highlight w:val="none"/>
        </w:rPr>
        <w:t>报价</w:t>
      </w:r>
      <w:r>
        <w:rPr>
          <w:rFonts w:hint="eastAsia" w:ascii="宋体" w:hAnsi="宋体" w:cs="宋体"/>
          <w:bCs/>
          <w:color w:val="auto"/>
          <w:szCs w:val="21"/>
          <w:highlight w:val="none"/>
        </w:rPr>
        <w:t>进行综合评分。</w:t>
      </w:r>
    </w:p>
    <w:p w14:paraId="7EE6C353">
      <w:pPr>
        <w:pStyle w:val="16"/>
        <w:spacing w:after="0" w:line="360" w:lineRule="auto"/>
        <w:ind w:left="0" w:leftChars="0" w:firstLine="440" w:firstLineChars="200"/>
        <w:rPr>
          <w:rFonts w:hint="eastAsia" w:ascii="宋体" w:hAnsi="宋体" w:cs="宋体"/>
          <w:color w:val="auto"/>
          <w:szCs w:val="21"/>
          <w:highlight w:val="none"/>
        </w:rPr>
      </w:pPr>
      <w:r>
        <w:rPr>
          <w:rFonts w:hint="eastAsia" w:ascii="宋体" w:hAnsi="宋体" w:cs="宋体"/>
          <w:bCs/>
          <w:color w:val="auto"/>
          <w:szCs w:val="21"/>
          <w:highlight w:val="none"/>
        </w:rPr>
        <w:t>18.2对通过初步审查的响应文件，</w:t>
      </w:r>
      <w:r>
        <w:rPr>
          <w:rFonts w:hint="eastAsia" w:ascii="宋体" w:hAnsi="宋体" w:cs="宋体"/>
          <w:color w:val="auto"/>
          <w:szCs w:val="21"/>
          <w:highlight w:val="none"/>
        </w:rPr>
        <w:t>综合总得分最高者为第一成交候选供应商，详细评审内容详见附表。</w:t>
      </w:r>
    </w:p>
    <w:p w14:paraId="1FB21313">
      <w:pPr>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18.3 </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小组根据综合评分情况，按照评审得分由高到低顺序推荐3家成交候选供应商，并编写评审报告。</w:t>
      </w:r>
    </w:p>
    <w:p w14:paraId="55BA55A4">
      <w:pPr>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18.4 采购人应当从评审报告提出的成交候选供应商中，按照排序由高到低的原则确定成交供应商，也可以书面授权</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小组直接确定成交供应商。采购人逾期未确定成交供应商且不提出异议的，视为确定评审报告提出的排序第一的供应商为成交供应商。</w:t>
      </w:r>
    </w:p>
    <w:p w14:paraId="6C41424D">
      <w:pPr>
        <w:spacing w:line="360" w:lineRule="auto"/>
        <w:ind w:firstLine="440" w:firstLineChars="200"/>
        <w:rPr>
          <w:rFonts w:hint="eastAsia" w:ascii="宋体" w:hAnsi="宋体" w:cs="宋体"/>
          <w:b/>
          <w:color w:val="auto"/>
          <w:szCs w:val="21"/>
          <w:highlight w:val="none"/>
        </w:rPr>
      </w:pPr>
      <w:r>
        <w:rPr>
          <w:rFonts w:hint="eastAsia" w:ascii="宋体" w:hAnsi="宋体" w:cs="宋体"/>
          <w:color w:val="auto"/>
          <w:szCs w:val="21"/>
          <w:highlight w:val="none"/>
        </w:rPr>
        <w:t>18.5若供应商的最后报价</w:t>
      </w:r>
      <w:r>
        <w:rPr>
          <w:rFonts w:hint="eastAsia" w:ascii="宋体" w:hAnsi="宋体" w:cs="宋体"/>
          <w:color w:val="auto"/>
          <w:szCs w:val="21"/>
          <w:highlight w:val="none"/>
          <w:lang w:val="zh-CN"/>
        </w:rPr>
        <w:t>超过</w:t>
      </w:r>
      <w:r>
        <w:rPr>
          <w:rFonts w:hint="eastAsia" w:ascii="宋体" w:hAnsi="宋体" w:cs="宋体"/>
          <w:color w:val="auto"/>
          <w:szCs w:val="21"/>
          <w:highlight w:val="none"/>
        </w:rPr>
        <w:t>各分项单价</w:t>
      </w:r>
      <w:r>
        <w:rPr>
          <w:rFonts w:hint="eastAsia" w:ascii="宋体" w:hAnsi="宋体" w:cs="宋体"/>
          <w:color w:val="auto"/>
          <w:szCs w:val="21"/>
          <w:highlight w:val="none"/>
          <w:lang w:val="zh-CN"/>
        </w:rPr>
        <w:t>将被否决</w:t>
      </w:r>
      <w:r>
        <w:rPr>
          <w:rFonts w:hint="eastAsia" w:ascii="宋体" w:hAnsi="宋体" w:cs="宋体"/>
          <w:color w:val="auto"/>
          <w:szCs w:val="21"/>
          <w:highlight w:val="none"/>
        </w:rPr>
        <w:t>，</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小组有权根据采购人意见及其实际情况，拒绝该报价。</w:t>
      </w:r>
    </w:p>
    <w:p w14:paraId="2EB4E817">
      <w:pPr>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18.6 为保证成交结果的公正性，评审期间直至授予供应商合同时，</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小组成员不得与供应商私下交换意见。在评审结束后，凡与评审情况有接触的任何人不得将评审情况扩散出</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小组成员之外。</w:t>
      </w:r>
    </w:p>
    <w:p w14:paraId="3B6FC54D">
      <w:pPr>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18.7 在评审期间，供应商不得向</w:t>
      </w:r>
      <w:r>
        <w:rPr>
          <w:rFonts w:hint="eastAsia" w:ascii="宋体" w:hAnsi="宋体" w:cs="宋体"/>
          <w:color w:val="auto"/>
          <w:szCs w:val="21"/>
          <w:highlight w:val="none"/>
          <w:lang w:val="zh-CN"/>
        </w:rPr>
        <w:t>磋商</w:t>
      </w:r>
      <w:r>
        <w:rPr>
          <w:rFonts w:hint="eastAsia" w:ascii="宋体" w:hAnsi="宋体" w:cs="宋体"/>
          <w:color w:val="auto"/>
          <w:szCs w:val="21"/>
          <w:highlight w:val="none"/>
        </w:rPr>
        <w:t>小组成员询问其它供应商评审情况，不得影响成交结果的活动。</w:t>
      </w:r>
    </w:p>
    <w:p w14:paraId="4EA5F9B6">
      <w:pPr>
        <w:spacing w:line="360" w:lineRule="auto"/>
        <w:ind w:firstLine="440" w:firstLineChars="200"/>
        <w:rPr>
          <w:rFonts w:hint="eastAsia" w:ascii="宋体" w:hAnsi="宋体" w:cs="宋体"/>
          <w:color w:val="auto"/>
          <w:szCs w:val="21"/>
          <w:highlight w:val="none"/>
        </w:rPr>
      </w:pPr>
      <w:r>
        <w:rPr>
          <w:rFonts w:hint="eastAsia" w:ascii="宋体" w:hAnsi="宋体" w:cs="宋体"/>
          <w:color w:val="auto"/>
          <w:szCs w:val="21"/>
          <w:highlight w:val="none"/>
        </w:rPr>
        <w:t>18.8 在评审期间，采购代理机构将有专门人员与供应商进行联络。</w:t>
      </w:r>
    </w:p>
    <w:p w14:paraId="04326492">
      <w:pPr>
        <w:tabs>
          <w:tab w:val="left" w:pos="1800"/>
        </w:tabs>
        <w:spacing w:line="360" w:lineRule="auto"/>
        <w:ind w:firstLine="440" w:firstLineChars="200"/>
        <w:rPr>
          <w:rFonts w:hint="eastAsia" w:ascii="宋体" w:hAnsi="宋体" w:cs="宋体"/>
          <w:color w:val="auto"/>
          <w:szCs w:val="21"/>
          <w:highlight w:val="none"/>
        </w:rPr>
      </w:pPr>
      <w:r>
        <w:rPr>
          <w:rFonts w:hint="eastAsia" w:ascii="宋体" w:hAnsi="宋体" w:cs="宋体"/>
          <w:bCs/>
          <w:color w:val="auto"/>
          <w:szCs w:val="21"/>
          <w:highlight w:val="none"/>
        </w:rPr>
        <w:t>18.9</w:t>
      </w:r>
      <w:r>
        <w:rPr>
          <w:rFonts w:hint="eastAsia" w:ascii="宋体" w:hAnsi="宋体" w:cs="宋体"/>
          <w:b/>
          <w:color w:val="auto"/>
          <w:szCs w:val="21"/>
          <w:highlight w:val="none"/>
          <w:lang w:val="zh-CN"/>
        </w:rPr>
        <w:t xml:space="preserve"> </w:t>
      </w:r>
      <w:r>
        <w:rPr>
          <w:rFonts w:hint="eastAsia" w:ascii="宋体" w:hAnsi="宋体" w:cs="宋体"/>
          <w:color w:val="auto"/>
          <w:szCs w:val="21"/>
          <w:highlight w:val="none"/>
        </w:rPr>
        <w:t>确定成交供应商后,采购代理机构将在指定网站上发布成交公告，同时向成交供应商发出成交通知书，成交通知书将作为签订合同的依据。</w:t>
      </w:r>
    </w:p>
    <w:p w14:paraId="30B6752F">
      <w:pPr>
        <w:tabs>
          <w:tab w:val="left" w:pos="1800"/>
        </w:tabs>
        <w:spacing w:line="360" w:lineRule="auto"/>
        <w:ind w:firstLine="44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18.10成交通知书对采购单位和成交供应商具有同等法律效力。成交通知书发出后，采购单位改变成交结果，或者成交供应商放弃成交项目，应当承担相应的法律责任。</w:t>
      </w:r>
    </w:p>
    <w:p w14:paraId="104937F9">
      <w:pPr>
        <w:autoSpaceDE w:val="0"/>
        <w:autoSpaceDN w:val="0"/>
        <w:adjustRightInd w:val="0"/>
        <w:spacing w:line="360" w:lineRule="auto"/>
        <w:ind w:firstLine="482"/>
        <w:rPr>
          <w:rFonts w:hint="eastAsia" w:ascii="宋体" w:hAnsi="宋体" w:cs="宋体"/>
          <w:b/>
          <w:color w:val="auto"/>
          <w:szCs w:val="21"/>
          <w:highlight w:val="none"/>
          <w:lang w:val="zh-CN"/>
        </w:rPr>
      </w:pPr>
      <w:r>
        <w:rPr>
          <w:rFonts w:hint="eastAsia" w:ascii="宋体" w:hAnsi="宋体" w:cs="宋体"/>
          <w:b/>
          <w:color w:val="auto"/>
          <w:szCs w:val="21"/>
          <w:highlight w:val="none"/>
        </w:rPr>
        <w:t>19</w:t>
      </w:r>
      <w:r>
        <w:rPr>
          <w:rFonts w:hint="eastAsia" w:ascii="宋体" w:hAnsi="宋体" w:cs="宋体"/>
          <w:b/>
          <w:color w:val="auto"/>
          <w:szCs w:val="21"/>
          <w:highlight w:val="none"/>
          <w:lang w:val="zh-CN"/>
        </w:rPr>
        <w:t>. 签订合同</w:t>
      </w:r>
    </w:p>
    <w:p w14:paraId="42E7F173">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color w:val="auto"/>
          <w:szCs w:val="21"/>
          <w:highlight w:val="none"/>
        </w:rPr>
        <w:t>19</w:t>
      </w:r>
      <w:r>
        <w:rPr>
          <w:rFonts w:hint="eastAsia" w:ascii="宋体" w:hAnsi="宋体" w:cs="宋体"/>
          <w:color w:val="auto"/>
          <w:szCs w:val="21"/>
          <w:highlight w:val="none"/>
          <w:lang w:val="zh-CN"/>
        </w:rPr>
        <w:t>.1 采购代理机构将在磋商有效期期满之前向成交供应商发出《成交通知书》。《成交通知书》是合同的组成部分，对采购人和成交供应商均具有法律约束力。</w:t>
      </w:r>
    </w:p>
    <w:p w14:paraId="422FD40A">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color w:val="auto"/>
          <w:szCs w:val="21"/>
          <w:highlight w:val="none"/>
        </w:rPr>
        <w:t>19</w:t>
      </w:r>
      <w:r>
        <w:rPr>
          <w:rFonts w:hint="eastAsia" w:ascii="宋体" w:hAnsi="宋体" w:cs="宋体"/>
          <w:color w:val="auto"/>
          <w:szCs w:val="21"/>
          <w:highlight w:val="none"/>
          <w:lang w:val="zh-CN"/>
        </w:rPr>
        <w:t>.2 成交通知书发出后，采购人改变成交结果的，或者成交供应商放弃成交项目的，应当依法承担法律责任。</w:t>
      </w:r>
    </w:p>
    <w:p w14:paraId="0B8AED24">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color w:val="auto"/>
          <w:szCs w:val="21"/>
          <w:highlight w:val="none"/>
        </w:rPr>
        <w:t>19</w:t>
      </w:r>
      <w:r>
        <w:rPr>
          <w:rFonts w:hint="eastAsia" w:ascii="宋体" w:hAnsi="宋体" w:cs="宋体"/>
          <w:color w:val="auto"/>
          <w:szCs w:val="21"/>
          <w:highlight w:val="none"/>
          <w:lang w:val="zh-CN"/>
        </w:rPr>
        <w:t>.3 成交供应商应按成交通知书规定的时间与采购人签订合同。如果成交供应商不在规定的时间内签署合同，视为自动放弃成交资格。供应商在被磋商小组评定为成交候选供应商（成交供应商）之后、成交通知书发出之前放弃成交的，按本条规定处理。</w:t>
      </w:r>
    </w:p>
    <w:p w14:paraId="1E1C20B8">
      <w:pPr>
        <w:autoSpaceDE w:val="0"/>
        <w:autoSpaceDN w:val="0"/>
        <w:adjustRightInd w:val="0"/>
        <w:spacing w:line="360" w:lineRule="auto"/>
        <w:ind w:firstLine="482"/>
        <w:rPr>
          <w:rFonts w:hint="eastAsia" w:ascii="宋体" w:hAnsi="宋体" w:cs="宋体"/>
          <w:color w:val="auto"/>
          <w:szCs w:val="21"/>
          <w:highlight w:val="none"/>
          <w:lang w:val="zh-CN"/>
        </w:rPr>
      </w:pPr>
      <w:r>
        <w:rPr>
          <w:rFonts w:hint="eastAsia" w:ascii="宋体" w:hAnsi="宋体" w:cs="宋体"/>
          <w:color w:val="auto"/>
          <w:szCs w:val="21"/>
          <w:highlight w:val="none"/>
        </w:rPr>
        <w:t>19</w:t>
      </w:r>
      <w:r>
        <w:rPr>
          <w:rFonts w:hint="eastAsia" w:ascii="宋体" w:hAnsi="宋体" w:cs="宋体"/>
          <w:color w:val="auto"/>
          <w:szCs w:val="21"/>
          <w:highlight w:val="none"/>
          <w:lang w:val="zh-CN"/>
        </w:rPr>
        <w:t>.4  成交结果将在发布竞争性</w:t>
      </w:r>
      <w:r>
        <w:rPr>
          <w:rFonts w:hint="eastAsia" w:ascii="宋体" w:hAnsi="宋体" w:cs="宋体"/>
          <w:color w:val="auto"/>
          <w:szCs w:val="21"/>
          <w:highlight w:val="none"/>
        </w:rPr>
        <w:t>磋商</w:t>
      </w:r>
      <w:r>
        <w:rPr>
          <w:rFonts w:hint="eastAsia" w:ascii="宋体" w:hAnsi="宋体" w:cs="宋体"/>
          <w:color w:val="auto"/>
          <w:szCs w:val="21"/>
          <w:highlight w:val="none"/>
          <w:lang w:val="zh-CN"/>
        </w:rPr>
        <w:t>公告的媒体上公告，不再以书面方式通知未成交供应商。</w:t>
      </w:r>
    </w:p>
    <w:p w14:paraId="2B415854">
      <w:pPr>
        <w:tabs>
          <w:tab w:val="left" w:pos="709"/>
          <w:tab w:val="left" w:pos="927"/>
        </w:tabs>
        <w:autoSpaceDE w:val="0"/>
        <w:autoSpaceDN w:val="0"/>
        <w:adjustRightInd w:val="0"/>
        <w:spacing w:line="360" w:lineRule="auto"/>
        <w:ind w:firstLine="472"/>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rPr>
        <w:t>21</w:t>
      </w:r>
      <w:r>
        <w:rPr>
          <w:rFonts w:hint="eastAsia" w:ascii="宋体" w:hAnsi="宋体" w:cs="宋体"/>
          <w:b/>
          <w:color w:val="auto"/>
          <w:kern w:val="0"/>
          <w:szCs w:val="21"/>
          <w:highlight w:val="none"/>
          <w:lang w:val="zh-CN"/>
        </w:rPr>
        <w:t>.保密和披露</w:t>
      </w:r>
    </w:p>
    <w:p w14:paraId="0EFDC18A">
      <w:pPr>
        <w:tabs>
          <w:tab w:val="left" w:pos="709"/>
        </w:tabs>
        <w:autoSpaceDE w:val="0"/>
        <w:autoSpaceDN w:val="0"/>
        <w:adjustRightInd w:val="0"/>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zh-CN"/>
        </w:rPr>
        <w:t xml:space="preserve">.1 </w:t>
      </w:r>
      <w:r>
        <w:rPr>
          <w:rFonts w:hint="eastAsia" w:ascii="宋体" w:hAnsi="宋体" w:cs="宋体"/>
          <w:color w:val="auto"/>
          <w:szCs w:val="21"/>
          <w:highlight w:val="none"/>
          <w:lang w:val="zh-CN"/>
        </w:rPr>
        <w:t>采购代理机构有权将供应商提供的所有资料向其他政府部门或有关的非政府机构负责评审</w:t>
      </w:r>
      <w:r>
        <w:rPr>
          <w:rFonts w:hint="eastAsia" w:ascii="宋体" w:hAnsi="宋体" w:cs="宋体"/>
          <w:color w:val="auto"/>
          <w:szCs w:val="21"/>
          <w:highlight w:val="none"/>
        </w:rPr>
        <w:t>磋商文件</w:t>
      </w:r>
      <w:r>
        <w:rPr>
          <w:rFonts w:hint="eastAsia" w:ascii="宋体" w:hAnsi="宋体" w:cs="宋体"/>
          <w:color w:val="auto"/>
          <w:szCs w:val="21"/>
          <w:highlight w:val="none"/>
          <w:lang w:val="zh-CN"/>
        </w:rPr>
        <w:t>的人员或与评审有关的人员披露。</w:t>
      </w:r>
    </w:p>
    <w:p w14:paraId="0E758B9B">
      <w:pPr>
        <w:spacing w:line="360" w:lineRule="auto"/>
        <w:ind w:firstLine="440" w:firstLineChars="200"/>
        <w:rPr>
          <w:rFonts w:hint="default" w:cs="宋体"/>
          <w:sz w:val="21"/>
        </w:rPr>
      </w:pPr>
      <w:r>
        <w:rPr>
          <w:rFonts w:hint="eastAsia" w:ascii="宋体" w:hAnsi="宋体" w:cs="宋体"/>
          <w:color w:val="auto"/>
          <w:szCs w:val="21"/>
          <w:highlight w:val="none"/>
        </w:rPr>
        <w:t>21</w:t>
      </w:r>
      <w:r>
        <w:rPr>
          <w:rFonts w:hint="eastAsia" w:ascii="宋体" w:hAnsi="宋体" w:cs="宋体"/>
          <w:color w:val="auto"/>
          <w:szCs w:val="21"/>
          <w:highlight w:val="none"/>
          <w:lang w:val="zh-CN"/>
        </w:rPr>
        <w:t>.2 在下列情形下：当发布成交结果公告和其它公告时，当国家机关调查、审查、审计时，以及在其他符合法律规定的情形下，</w:t>
      </w:r>
      <w:r>
        <w:rPr>
          <w:rFonts w:hint="eastAsia" w:ascii="宋体" w:hAnsi="宋体" w:cs="宋体"/>
          <w:color w:val="auto"/>
          <w:szCs w:val="21"/>
          <w:highlight w:val="none"/>
        </w:rPr>
        <w:t>采购</w:t>
      </w:r>
      <w:r>
        <w:rPr>
          <w:rFonts w:hint="eastAsia" w:ascii="宋体" w:hAnsi="宋体" w:cs="宋体"/>
          <w:color w:val="auto"/>
          <w:szCs w:val="21"/>
          <w:highlight w:val="none"/>
          <w:lang w:val="zh-CN"/>
        </w:rPr>
        <w:t>代理机构无须事先征求供应商/成交供应商同意而可以披露关于评审过程、响应文件、合同文本、合同签署情况的资料、供应商/成交供应商的名称及地址、磋商内容的有关信息以及补充条款等，并且对任何已经公布过的内容或与之内容相同的资料无须再承担保密责任。</w:t>
      </w:r>
    </w:p>
    <w:p w14:paraId="5DA3BB40">
      <w:pPr>
        <w:spacing w:line="360" w:lineRule="auto"/>
        <w:ind w:firstLine="420" w:firstLineChars="200"/>
        <w:rPr>
          <w:rFonts w:hint="default" w:cs="宋体"/>
          <w:sz w:val="21"/>
        </w:rPr>
        <w:sectPr>
          <w:footerReference r:id="rId5" w:type="default"/>
          <w:pgSz w:w="11910" w:h="16840"/>
          <w:pgMar w:top="1134" w:right="1134" w:bottom="1134" w:left="1134" w:header="0" w:footer="556" w:gutter="0"/>
          <w:cols w:space="720" w:num="1"/>
        </w:sectPr>
      </w:pPr>
    </w:p>
    <w:p w14:paraId="1D2270C0">
      <w:pPr>
        <w:jc w:val="center"/>
        <w:rPr>
          <w:rFonts w:hint="default" w:cs="宋体"/>
          <w:b/>
          <w:sz w:val="28"/>
        </w:rPr>
      </w:pPr>
      <w:bookmarkStart w:id="45" w:name="_bookmark2"/>
      <w:bookmarkEnd w:id="45"/>
      <w:bookmarkStart w:id="46" w:name="第三章磋商评审办法(综合评分法)"/>
      <w:bookmarkEnd w:id="46"/>
      <w:bookmarkStart w:id="47" w:name="附件一：开标记录表"/>
      <w:bookmarkEnd w:id="47"/>
      <w:r>
        <w:rPr>
          <w:rFonts w:cs="宋体"/>
          <w:b/>
          <w:sz w:val="28"/>
        </w:rPr>
        <w:t>第三章磋商评审办法(综合评分法)</w:t>
      </w:r>
    </w:p>
    <w:p w14:paraId="5C521761">
      <w:pPr>
        <w:rPr>
          <w:rFonts w:hint="default" w:cs="宋体"/>
          <w:sz w:val="21"/>
        </w:rPr>
      </w:pPr>
      <w:bookmarkStart w:id="48" w:name="评标办法前附表（一）初步评审表"/>
      <w:bookmarkEnd w:id="48"/>
      <w:r>
        <w:rPr>
          <w:rFonts w:cs="宋体"/>
          <w:sz w:val="21"/>
        </w:rPr>
        <w:t>评标办法前附表</w:t>
      </w:r>
    </w:p>
    <w:p w14:paraId="0768E61E">
      <w:pPr>
        <w:rPr>
          <w:rFonts w:hint="default" w:cs="宋体"/>
          <w:sz w:val="21"/>
        </w:rPr>
      </w:pPr>
      <w:r>
        <w:rPr>
          <w:rFonts w:cs="宋体"/>
          <w:sz w:val="21"/>
        </w:rPr>
        <w:t>（一）初步评审表</w:t>
      </w:r>
    </w:p>
    <w:tbl>
      <w:tblPr>
        <w:tblStyle w:val="23"/>
        <w:tblW w:w="10351" w:type="dxa"/>
        <w:jc w:val="center"/>
        <w:tblLayout w:type="fixed"/>
        <w:tblCellMar>
          <w:top w:w="0" w:type="dxa"/>
          <w:left w:w="108" w:type="dxa"/>
          <w:bottom w:w="0" w:type="dxa"/>
          <w:right w:w="108" w:type="dxa"/>
        </w:tblCellMar>
      </w:tblPr>
      <w:tblGrid>
        <w:gridCol w:w="790"/>
        <w:gridCol w:w="743"/>
        <w:gridCol w:w="1916"/>
        <w:gridCol w:w="6902"/>
      </w:tblGrid>
      <w:tr w14:paraId="3846A42E">
        <w:tblPrEx>
          <w:tblCellMar>
            <w:top w:w="0" w:type="dxa"/>
            <w:left w:w="108" w:type="dxa"/>
            <w:bottom w:w="0" w:type="dxa"/>
            <w:right w:w="108" w:type="dxa"/>
          </w:tblCellMar>
        </w:tblPrEx>
        <w:trPr>
          <w:trHeight w:val="635" w:hRule="atLeast"/>
          <w:jc w:val="center"/>
        </w:trPr>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6446257B">
            <w:pPr>
              <w:jc w:val="center"/>
              <w:rPr>
                <w:rFonts w:hint="default" w:cs="宋体"/>
                <w:sz w:val="22"/>
                <w:szCs w:val="22"/>
              </w:rPr>
            </w:pPr>
            <w:r>
              <w:rPr>
                <w:rFonts w:cs="宋体"/>
                <w:sz w:val="22"/>
                <w:szCs w:val="22"/>
              </w:rPr>
              <w:t>条款号</w:t>
            </w: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38F965A">
            <w:pPr>
              <w:jc w:val="center"/>
              <w:rPr>
                <w:rFonts w:hint="default" w:cs="宋体"/>
                <w:color w:val="auto"/>
                <w:sz w:val="22"/>
                <w:szCs w:val="22"/>
              </w:rPr>
            </w:pPr>
            <w:r>
              <w:rPr>
                <w:rFonts w:cs="宋体"/>
                <w:color w:val="auto"/>
                <w:sz w:val="22"/>
                <w:szCs w:val="22"/>
              </w:rPr>
              <w:t>评审因素</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585F6D">
            <w:pPr>
              <w:jc w:val="center"/>
              <w:rPr>
                <w:rFonts w:hint="default" w:cs="宋体"/>
                <w:color w:val="auto"/>
                <w:sz w:val="22"/>
                <w:szCs w:val="22"/>
              </w:rPr>
            </w:pPr>
            <w:r>
              <w:rPr>
                <w:rFonts w:cs="宋体"/>
                <w:color w:val="auto"/>
                <w:sz w:val="22"/>
                <w:szCs w:val="22"/>
              </w:rPr>
              <w:t>评审标准</w:t>
            </w:r>
          </w:p>
        </w:tc>
      </w:tr>
      <w:tr w14:paraId="205C6057">
        <w:tblPrEx>
          <w:tblCellMar>
            <w:top w:w="0" w:type="dxa"/>
            <w:left w:w="108" w:type="dxa"/>
            <w:bottom w:w="0" w:type="dxa"/>
            <w:right w:w="108" w:type="dxa"/>
          </w:tblCellMar>
        </w:tblPrEx>
        <w:trPr>
          <w:trHeight w:val="516" w:hRule="atLeast"/>
          <w:jc w:val="center"/>
        </w:trPr>
        <w:tc>
          <w:tcPr>
            <w:tcW w:w="79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3E962A08">
            <w:pPr>
              <w:jc w:val="center"/>
              <w:rPr>
                <w:rFonts w:hint="default" w:cs="宋体"/>
                <w:sz w:val="22"/>
                <w:szCs w:val="22"/>
              </w:rPr>
            </w:pPr>
          </w:p>
          <w:p w14:paraId="1B6C98BA">
            <w:pPr>
              <w:jc w:val="center"/>
              <w:rPr>
                <w:rFonts w:hint="default" w:cs="宋体"/>
                <w:sz w:val="22"/>
                <w:szCs w:val="22"/>
              </w:rPr>
            </w:pPr>
          </w:p>
          <w:p w14:paraId="7E22FE48">
            <w:pPr>
              <w:jc w:val="center"/>
              <w:rPr>
                <w:rFonts w:hint="default" w:cs="宋体"/>
                <w:sz w:val="22"/>
                <w:szCs w:val="22"/>
              </w:rPr>
            </w:pPr>
            <w:r>
              <w:rPr>
                <w:rFonts w:cs="宋体"/>
                <w:sz w:val="22"/>
                <w:szCs w:val="22"/>
              </w:rPr>
              <w:t>1</w:t>
            </w:r>
          </w:p>
        </w:tc>
        <w:tc>
          <w:tcPr>
            <w:tcW w:w="743"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19F6AF8E">
            <w:pPr>
              <w:jc w:val="center"/>
              <w:rPr>
                <w:rFonts w:hint="default" w:cs="宋体"/>
                <w:sz w:val="22"/>
                <w:szCs w:val="22"/>
              </w:rPr>
            </w:pPr>
          </w:p>
          <w:p w14:paraId="6369A7CF">
            <w:pPr>
              <w:jc w:val="center"/>
              <w:rPr>
                <w:rFonts w:hint="default" w:cs="宋体"/>
                <w:sz w:val="22"/>
                <w:szCs w:val="22"/>
              </w:rPr>
            </w:pPr>
            <w:r>
              <w:rPr>
                <w:rFonts w:cs="宋体"/>
                <w:sz w:val="22"/>
                <w:szCs w:val="22"/>
              </w:rPr>
              <w:t>形</w:t>
            </w:r>
          </w:p>
          <w:p w14:paraId="3C72E27E">
            <w:pPr>
              <w:jc w:val="center"/>
              <w:rPr>
                <w:rFonts w:hint="default" w:cs="宋体"/>
                <w:sz w:val="22"/>
                <w:szCs w:val="22"/>
              </w:rPr>
            </w:pPr>
            <w:r>
              <w:rPr>
                <w:rFonts w:cs="宋体"/>
                <w:sz w:val="22"/>
                <w:szCs w:val="22"/>
              </w:rPr>
              <w:t>式</w:t>
            </w:r>
          </w:p>
          <w:p w14:paraId="32B63E86">
            <w:pPr>
              <w:jc w:val="center"/>
              <w:rPr>
                <w:rFonts w:hint="default" w:cs="宋体"/>
                <w:sz w:val="22"/>
                <w:szCs w:val="22"/>
              </w:rPr>
            </w:pPr>
            <w:r>
              <w:rPr>
                <w:rFonts w:cs="宋体"/>
                <w:sz w:val="22"/>
                <w:szCs w:val="22"/>
              </w:rPr>
              <w:t>评</w:t>
            </w:r>
          </w:p>
          <w:p w14:paraId="6C8E6A84">
            <w:pPr>
              <w:jc w:val="center"/>
              <w:rPr>
                <w:rFonts w:hint="default" w:cs="宋体"/>
                <w:sz w:val="22"/>
                <w:szCs w:val="22"/>
              </w:rPr>
            </w:pPr>
            <w:r>
              <w:rPr>
                <w:rFonts w:cs="宋体"/>
                <w:sz w:val="22"/>
                <w:szCs w:val="22"/>
              </w:rPr>
              <w:t>审</w:t>
            </w:r>
          </w:p>
          <w:p w14:paraId="34E2E4F5">
            <w:pPr>
              <w:jc w:val="center"/>
              <w:rPr>
                <w:rFonts w:hint="default" w:cs="宋体"/>
                <w:sz w:val="22"/>
                <w:szCs w:val="22"/>
              </w:rPr>
            </w:pPr>
            <w:r>
              <w:rPr>
                <w:rFonts w:cs="宋体"/>
                <w:sz w:val="22"/>
                <w:szCs w:val="22"/>
              </w:rPr>
              <w:t>标</w:t>
            </w:r>
          </w:p>
          <w:p w14:paraId="735571F1">
            <w:pPr>
              <w:jc w:val="center"/>
              <w:rPr>
                <w:rFonts w:hint="default" w:cs="宋体"/>
                <w:sz w:val="22"/>
                <w:szCs w:val="22"/>
              </w:rPr>
            </w:pPr>
            <w:r>
              <w:rPr>
                <w:rFonts w:cs="宋体"/>
                <w:sz w:val="22"/>
                <w:szCs w:val="22"/>
              </w:rPr>
              <w:t>准</w:t>
            </w: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37248B">
            <w:pPr>
              <w:jc w:val="center"/>
              <w:rPr>
                <w:rFonts w:hint="default" w:cs="宋体"/>
                <w:color w:val="auto"/>
                <w:sz w:val="22"/>
                <w:szCs w:val="22"/>
              </w:rPr>
            </w:pPr>
            <w:r>
              <w:rPr>
                <w:rFonts w:cs="宋体"/>
                <w:color w:val="auto"/>
                <w:sz w:val="22"/>
                <w:szCs w:val="22"/>
              </w:rPr>
              <w:t>投标人名称</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A00648">
            <w:pPr>
              <w:rPr>
                <w:rFonts w:hint="default" w:cs="宋体"/>
                <w:color w:val="auto"/>
                <w:sz w:val="22"/>
                <w:szCs w:val="22"/>
              </w:rPr>
            </w:pPr>
            <w:r>
              <w:rPr>
                <w:rFonts w:cs="宋体"/>
                <w:color w:val="auto"/>
                <w:sz w:val="22"/>
                <w:szCs w:val="22"/>
              </w:rPr>
              <w:t>与营业执照、开户许可证或开户证明文件一致。</w:t>
            </w:r>
          </w:p>
        </w:tc>
      </w:tr>
      <w:tr w14:paraId="12FD529A">
        <w:tblPrEx>
          <w:tblCellMar>
            <w:top w:w="0" w:type="dxa"/>
            <w:left w:w="108" w:type="dxa"/>
            <w:bottom w:w="0" w:type="dxa"/>
            <w:right w:w="108" w:type="dxa"/>
          </w:tblCellMar>
        </w:tblPrEx>
        <w:trPr>
          <w:trHeight w:val="498"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2F12E129">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2D6B3EBA">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3022A6">
            <w:pPr>
              <w:jc w:val="center"/>
              <w:rPr>
                <w:rFonts w:hint="default" w:cs="宋体"/>
                <w:color w:val="auto"/>
                <w:sz w:val="22"/>
                <w:szCs w:val="22"/>
              </w:rPr>
            </w:pPr>
            <w:r>
              <w:rPr>
                <w:rFonts w:cs="宋体"/>
                <w:color w:val="auto"/>
                <w:sz w:val="22"/>
                <w:szCs w:val="22"/>
              </w:rPr>
              <w:t>投标函签字盖章</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EC143D9">
            <w:pPr>
              <w:rPr>
                <w:rFonts w:hint="default" w:cs="宋体"/>
                <w:color w:val="auto"/>
                <w:sz w:val="22"/>
                <w:szCs w:val="22"/>
              </w:rPr>
            </w:pPr>
            <w:r>
              <w:rPr>
                <w:rFonts w:cs="宋体"/>
                <w:color w:val="auto"/>
                <w:sz w:val="22"/>
                <w:szCs w:val="22"/>
              </w:rPr>
              <w:t>有投标单位印章并经法定代表人或其委托代理人签字或盖章。</w:t>
            </w:r>
          </w:p>
        </w:tc>
      </w:tr>
      <w:tr w14:paraId="2CD04A26">
        <w:tblPrEx>
          <w:tblCellMar>
            <w:top w:w="0" w:type="dxa"/>
            <w:left w:w="108" w:type="dxa"/>
            <w:bottom w:w="0" w:type="dxa"/>
            <w:right w:w="108" w:type="dxa"/>
          </w:tblCellMar>
        </w:tblPrEx>
        <w:trPr>
          <w:trHeight w:val="485"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3608CB42">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63A0D855">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66D524">
            <w:pPr>
              <w:jc w:val="center"/>
              <w:rPr>
                <w:rFonts w:hint="default" w:cs="宋体"/>
                <w:color w:val="auto"/>
                <w:sz w:val="22"/>
                <w:szCs w:val="22"/>
              </w:rPr>
            </w:pPr>
            <w:r>
              <w:rPr>
                <w:rFonts w:cs="宋体"/>
                <w:color w:val="auto"/>
                <w:sz w:val="22"/>
                <w:szCs w:val="22"/>
              </w:rPr>
              <w:t>投标文件格式</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1FF91CC">
            <w:pPr>
              <w:rPr>
                <w:rFonts w:hint="default" w:cs="宋体"/>
                <w:color w:val="auto"/>
                <w:sz w:val="22"/>
                <w:szCs w:val="22"/>
              </w:rPr>
            </w:pPr>
            <w:r>
              <w:rPr>
                <w:rFonts w:cs="宋体"/>
                <w:color w:val="auto"/>
                <w:sz w:val="22"/>
                <w:szCs w:val="22"/>
              </w:rPr>
              <w:t>符合第七章“投标文件格式”的要求。</w:t>
            </w:r>
          </w:p>
        </w:tc>
      </w:tr>
      <w:tr w14:paraId="327C42AD">
        <w:tblPrEx>
          <w:tblCellMar>
            <w:top w:w="0" w:type="dxa"/>
            <w:left w:w="108" w:type="dxa"/>
            <w:bottom w:w="0" w:type="dxa"/>
            <w:right w:w="108" w:type="dxa"/>
          </w:tblCellMar>
        </w:tblPrEx>
        <w:trPr>
          <w:trHeight w:val="485"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6589787F">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47B348B6">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87CE8F8">
            <w:pPr>
              <w:jc w:val="center"/>
              <w:rPr>
                <w:rFonts w:hint="default" w:cs="宋体"/>
                <w:color w:val="auto"/>
                <w:sz w:val="22"/>
                <w:szCs w:val="22"/>
              </w:rPr>
            </w:pPr>
            <w:r>
              <w:rPr>
                <w:rFonts w:cs="宋体"/>
                <w:color w:val="auto"/>
                <w:sz w:val="22"/>
                <w:szCs w:val="22"/>
              </w:rPr>
              <w:t>报价唯一</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517A65">
            <w:pPr>
              <w:rPr>
                <w:rFonts w:hint="default" w:cs="宋体"/>
                <w:color w:val="auto"/>
                <w:sz w:val="22"/>
                <w:szCs w:val="22"/>
              </w:rPr>
            </w:pPr>
            <w:r>
              <w:rPr>
                <w:rFonts w:cs="宋体"/>
                <w:color w:val="auto"/>
                <w:sz w:val="22"/>
                <w:szCs w:val="22"/>
              </w:rPr>
              <w:t>只能有一个有效报价。</w:t>
            </w:r>
          </w:p>
        </w:tc>
      </w:tr>
      <w:tr w14:paraId="7E29028A">
        <w:tblPrEx>
          <w:tblCellMar>
            <w:top w:w="0" w:type="dxa"/>
            <w:left w:w="108" w:type="dxa"/>
            <w:bottom w:w="0" w:type="dxa"/>
            <w:right w:w="108" w:type="dxa"/>
          </w:tblCellMar>
        </w:tblPrEx>
        <w:trPr>
          <w:trHeight w:val="502" w:hRule="atLeast"/>
          <w:jc w:val="center"/>
        </w:trPr>
        <w:tc>
          <w:tcPr>
            <w:tcW w:w="79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2BADA48F">
            <w:pPr>
              <w:jc w:val="center"/>
              <w:rPr>
                <w:rFonts w:hint="default" w:cs="宋体"/>
                <w:sz w:val="22"/>
                <w:szCs w:val="22"/>
              </w:rPr>
            </w:pPr>
          </w:p>
          <w:p w14:paraId="118CB459">
            <w:pPr>
              <w:jc w:val="center"/>
              <w:rPr>
                <w:rFonts w:hint="default" w:cs="宋体"/>
                <w:sz w:val="22"/>
                <w:szCs w:val="22"/>
              </w:rPr>
            </w:pPr>
          </w:p>
          <w:p w14:paraId="6F4A47EA">
            <w:pPr>
              <w:jc w:val="center"/>
              <w:rPr>
                <w:rFonts w:hint="default" w:cs="宋体"/>
                <w:sz w:val="22"/>
                <w:szCs w:val="22"/>
              </w:rPr>
            </w:pPr>
          </w:p>
          <w:p w14:paraId="2EEBA81C">
            <w:pPr>
              <w:jc w:val="center"/>
              <w:rPr>
                <w:rFonts w:hint="default" w:cs="宋体"/>
                <w:sz w:val="22"/>
                <w:szCs w:val="22"/>
              </w:rPr>
            </w:pPr>
          </w:p>
          <w:p w14:paraId="5E1ACEDE">
            <w:pPr>
              <w:jc w:val="center"/>
              <w:rPr>
                <w:rFonts w:hint="default" w:cs="宋体"/>
                <w:sz w:val="22"/>
                <w:szCs w:val="22"/>
              </w:rPr>
            </w:pPr>
          </w:p>
          <w:p w14:paraId="4D497AA5">
            <w:pPr>
              <w:jc w:val="center"/>
              <w:rPr>
                <w:rFonts w:hint="default" w:cs="宋体"/>
                <w:sz w:val="22"/>
                <w:szCs w:val="22"/>
              </w:rPr>
            </w:pPr>
          </w:p>
          <w:p w14:paraId="5C82A239">
            <w:pPr>
              <w:jc w:val="center"/>
              <w:rPr>
                <w:rFonts w:hint="default" w:cs="宋体"/>
                <w:sz w:val="22"/>
                <w:szCs w:val="22"/>
              </w:rPr>
            </w:pPr>
          </w:p>
          <w:p w14:paraId="7EFB5CBB">
            <w:pPr>
              <w:jc w:val="center"/>
              <w:rPr>
                <w:rFonts w:hint="default" w:cs="宋体"/>
                <w:sz w:val="22"/>
                <w:szCs w:val="22"/>
              </w:rPr>
            </w:pPr>
          </w:p>
          <w:p w14:paraId="1B29EFF1">
            <w:pPr>
              <w:jc w:val="center"/>
              <w:rPr>
                <w:rFonts w:hint="default" w:cs="宋体"/>
                <w:sz w:val="22"/>
                <w:szCs w:val="22"/>
              </w:rPr>
            </w:pPr>
          </w:p>
          <w:p w14:paraId="3F277F74">
            <w:pPr>
              <w:jc w:val="center"/>
              <w:rPr>
                <w:rFonts w:hint="default" w:cs="宋体"/>
                <w:sz w:val="22"/>
                <w:szCs w:val="22"/>
              </w:rPr>
            </w:pPr>
          </w:p>
          <w:p w14:paraId="738CC82C">
            <w:pPr>
              <w:jc w:val="center"/>
              <w:rPr>
                <w:rFonts w:hint="default" w:cs="宋体"/>
                <w:sz w:val="22"/>
                <w:szCs w:val="22"/>
              </w:rPr>
            </w:pPr>
          </w:p>
          <w:p w14:paraId="15D499A8">
            <w:pPr>
              <w:jc w:val="center"/>
              <w:rPr>
                <w:rFonts w:hint="default" w:cs="宋体"/>
                <w:sz w:val="22"/>
                <w:szCs w:val="22"/>
              </w:rPr>
            </w:pPr>
          </w:p>
          <w:p w14:paraId="65A4C3A5">
            <w:pPr>
              <w:jc w:val="center"/>
              <w:rPr>
                <w:rFonts w:hint="default" w:cs="宋体"/>
                <w:sz w:val="22"/>
                <w:szCs w:val="22"/>
              </w:rPr>
            </w:pPr>
            <w:r>
              <w:rPr>
                <w:rFonts w:cs="宋体"/>
                <w:sz w:val="22"/>
                <w:szCs w:val="22"/>
              </w:rPr>
              <w:t>2</w:t>
            </w:r>
          </w:p>
        </w:tc>
        <w:tc>
          <w:tcPr>
            <w:tcW w:w="743"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5EED2370">
            <w:pPr>
              <w:jc w:val="center"/>
              <w:rPr>
                <w:rFonts w:hint="default" w:cs="宋体"/>
                <w:sz w:val="22"/>
                <w:szCs w:val="22"/>
              </w:rPr>
            </w:pPr>
          </w:p>
          <w:p w14:paraId="3729FEA7">
            <w:pPr>
              <w:jc w:val="center"/>
              <w:rPr>
                <w:rFonts w:hint="default" w:cs="宋体"/>
                <w:sz w:val="22"/>
                <w:szCs w:val="22"/>
              </w:rPr>
            </w:pPr>
          </w:p>
          <w:p w14:paraId="33CA568A">
            <w:pPr>
              <w:jc w:val="center"/>
              <w:rPr>
                <w:rFonts w:hint="default" w:cs="宋体"/>
                <w:sz w:val="22"/>
                <w:szCs w:val="22"/>
              </w:rPr>
            </w:pPr>
          </w:p>
          <w:p w14:paraId="32FEAADA">
            <w:pPr>
              <w:jc w:val="center"/>
              <w:rPr>
                <w:rFonts w:hint="default" w:cs="宋体"/>
                <w:sz w:val="22"/>
                <w:szCs w:val="22"/>
              </w:rPr>
            </w:pPr>
          </w:p>
          <w:p w14:paraId="7B7A4AE9">
            <w:pPr>
              <w:jc w:val="center"/>
              <w:rPr>
                <w:rFonts w:hint="default" w:cs="宋体"/>
                <w:sz w:val="22"/>
                <w:szCs w:val="22"/>
              </w:rPr>
            </w:pPr>
          </w:p>
          <w:p w14:paraId="6ACF6F96">
            <w:pPr>
              <w:jc w:val="center"/>
              <w:rPr>
                <w:rFonts w:hint="default" w:cs="宋体"/>
                <w:sz w:val="22"/>
                <w:szCs w:val="22"/>
              </w:rPr>
            </w:pPr>
          </w:p>
          <w:p w14:paraId="23E5C420">
            <w:pPr>
              <w:jc w:val="center"/>
              <w:rPr>
                <w:rFonts w:hint="default" w:cs="宋体"/>
                <w:sz w:val="22"/>
                <w:szCs w:val="22"/>
              </w:rPr>
            </w:pPr>
          </w:p>
          <w:p w14:paraId="12C54416">
            <w:pPr>
              <w:jc w:val="center"/>
              <w:rPr>
                <w:rFonts w:hint="default" w:cs="宋体"/>
                <w:sz w:val="22"/>
                <w:szCs w:val="22"/>
              </w:rPr>
            </w:pPr>
            <w:r>
              <w:rPr>
                <w:rFonts w:cs="宋体"/>
                <w:sz w:val="22"/>
                <w:szCs w:val="22"/>
              </w:rPr>
              <w:t>资</w:t>
            </w:r>
          </w:p>
          <w:p w14:paraId="66AEA662">
            <w:pPr>
              <w:jc w:val="center"/>
              <w:rPr>
                <w:rFonts w:hint="default" w:cs="宋体"/>
                <w:sz w:val="22"/>
                <w:szCs w:val="22"/>
              </w:rPr>
            </w:pPr>
            <w:r>
              <w:rPr>
                <w:rFonts w:cs="宋体"/>
                <w:sz w:val="22"/>
                <w:szCs w:val="22"/>
              </w:rPr>
              <w:t>格</w:t>
            </w:r>
          </w:p>
          <w:p w14:paraId="2BE21BA0">
            <w:pPr>
              <w:jc w:val="center"/>
              <w:rPr>
                <w:rFonts w:hint="default" w:cs="宋体"/>
                <w:sz w:val="22"/>
                <w:szCs w:val="22"/>
              </w:rPr>
            </w:pPr>
            <w:r>
              <w:rPr>
                <w:rFonts w:cs="宋体"/>
                <w:sz w:val="22"/>
                <w:szCs w:val="22"/>
              </w:rPr>
              <w:t>评</w:t>
            </w:r>
          </w:p>
          <w:p w14:paraId="1F532719">
            <w:pPr>
              <w:jc w:val="center"/>
              <w:rPr>
                <w:rFonts w:hint="default" w:cs="宋体"/>
                <w:sz w:val="22"/>
                <w:szCs w:val="22"/>
              </w:rPr>
            </w:pPr>
            <w:r>
              <w:rPr>
                <w:rFonts w:cs="宋体"/>
                <w:sz w:val="22"/>
                <w:szCs w:val="22"/>
              </w:rPr>
              <w:t>审</w:t>
            </w:r>
          </w:p>
          <w:p w14:paraId="77C87A0F">
            <w:pPr>
              <w:jc w:val="center"/>
              <w:rPr>
                <w:rFonts w:hint="default" w:cs="宋体"/>
                <w:sz w:val="22"/>
                <w:szCs w:val="22"/>
              </w:rPr>
            </w:pPr>
            <w:r>
              <w:rPr>
                <w:rFonts w:cs="宋体"/>
                <w:sz w:val="22"/>
                <w:szCs w:val="22"/>
              </w:rPr>
              <w:t>标</w:t>
            </w:r>
          </w:p>
          <w:p w14:paraId="10814EC1">
            <w:pPr>
              <w:jc w:val="center"/>
              <w:rPr>
                <w:rFonts w:hint="default" w:cs="宋体"/>
                <w:sz w:val="22"/>
                <w:szCs w:val="22"/>
              </w:rPr>
            </w:pPr>
            <w:r>
              <w:rPr>
                <w:rFonts w:cs="宋体"/>
                <w:sz w:val="22"/>
                <w:szCs w:val="22"/>
              </w:rPr>
              <w:t>准</w:t>
            </w:r>
          </w:p>
        </w:tc>
        <w:tc>
          <w:tcPr>
            <w:tcW w:w="1916" w:type="dxa"/>
            <w:tcBorders>
              <w:top w:val="single" w:color="000000" w:sz="4" w:space="0"/>
              <w:left w:val="single" w:color="000000" w:sz="4" w:space="0"/>
              <w:right w:val="single" w:color="000000" w:sz="4" w:space="0"/>
              <w:tl2br w:val="nil"/>
              <w:tr2bl w:val="nil"/>
            </w:tcBorders>
            <w:noWrap/>
            <w:vAlign w:val="center"/>
          </w:tcPr>
          <w:p w14:paraId="186E03A5">
            <w:pPr>
              <w:jc w:val="center"/>
              <w:rPr>
                <w:rFonts w:hint="default" w:cs="宋体"/>
                <w:color w:val="auto"/>
                <w:sz w:val="22"/>
                <w:szCs w:val="22"/>
              </w:rPr>
            </w:pPr>
            <w:r>
              <w:rPr>
                <w:rFonts w:cs="宋体"/>
                <w:color w:val="auto"/>
                <w:sz w:val="22"/>
                <w:szCs w:val="22"/>
              </w:rPr>
              <w:t>营业执照</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5F710D9">
            <w:pPr>
              <w:rPr>
                <w:rFonts w:hint="default" w:cs="宋体"/>
                <w:color w:val="auto"/>
                <w:sz w:val="22"/>
                <w:szCs w:val="22"/>
              </w:rPr>
            </w:pPr>
            <w:r>
              <w:rPr>
                <w:rFonts w:cs="宋体"/>
                <w:color w:val="auto"/>
                <w:sz w:val="22"/>
                <w:szCs w:val="22"/>
              </w:rPr>
              <w:t>具有有效的营业执照，标书内附复印件加盖公章。</w:t>
            </w:r>
          </w:p>
        </w:tc>
      </w:tr>
      <w:tr w14:paraId="5681E26C">
        <w:tblPrEx>
          <w:tblCellMar>
            <w:top w:w="0" w:type="dxa"/>
            <w:left w:w="108" w:type="dxa"/>
            <w:bottom w:w="0" w:type="dxa"/>
            <w:right w:w="108" w:type="dxa"/>
          </w:tblCellMar>
        </w:tblPrEx>
        <w:trPr>
          <w:trHeight w:val="454"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310E2817">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534616A8">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E9B32D">
            <w:pPr>
              <w:jc w:val="center"/>
              <w:rPr>
                <w:rFonts w:hint="default" w:cs="宋体"/>
                <w:color w:val="auto"/>
                <w:sz w:val="22"/>
                <w:szCs w:val="22"/>
              </w:rPr>
            </w:pPr>
            <w:r>
              <w:rPr>
                <w:rFonts w:cs="宋体"/>
                <w:color w:val="auto"/>
                <w:sz w:val="22"/>
                <w:szCs w:val="22"/>
              </w:rPr>
              <w:t>资质证书</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14F9BD">
            <w:pPr>
              <w:rPr>
                <w:rFonts w:hint="default" w:cs="宋体"/>
                <w:color w:val="auto"/>
                <w:sz w:val="22"/>
                <w:szCs w:val="22"/>
              </w:rPr>
            </w:pPr>
            <w:r>
              <w:rPr>
                <w:rFonts w:cs="宋体"/>
                <w:color w:val="auto"/>
                <w:sz w:val="22"/>
                <w:szCs w:val="22"/>
                <w:lang w:val="zh-CN"/>
              </w:rPr>
              <w:t>投标人须是经中国保险监督管理委员会批准成立的、具有经营保险业务许可证</w:t>
            </w:r>
            <w:r>
              <w:rPr>
                <w:rFonts w:cs="宋体"/>
                <w:color w:val="auto"/>
                <w:sz w:val="22"/>
                <w:szCs w:val="22"/>
              </w:rPr>
              <w:t>，标书内附复印件加盖公章。</w:t>
            </w:r>
          </w:p>
        </w:tc>
      </w:tr>
      <w:tr w14:paraId="316A36D3">
        <w:tblPrEx>
          <w:tblCellMar>
            <w:top w:w="0" w:type="dxa"/>
            <w:left w:w="108" w:type="dxa"/>
            <w:bottom w:w="0" w:type="dxa"/>
            <w:right w:w="108" w:type="dxa"/>
          </w:tblCellMar>
        </w:tblPrEx>
        <w:trPr>
          <w:trHeight w:val="2724"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08040765">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545EA7A4">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259EB7">
            <w:pPr>
              <w:jc w:val="center"/>
              <w:rPr>
                <w:rFonts w:hint="default" w:ascii="宋体" w:hAnsi="宋体" w:eastAsia="宋体" w:cs="宋体"/>
                <w:color w:val="auto"/>
                <w:sz w:val="22"/>
                <w:szCs w:val="22"/>
              </w:rPr>
            </w:pPr>
            <w:r>
              <w:rPr>
                <w:rFonts w:ascii="宋体" w:hAnsi="宋体" w:eastAsia="宋体" w:cs="宋体"/>
                <w:color w:val="auto"/>
                <w:sz w:val="22"/>
                <w:szCs w:val="22"/>
              </w:rPr>
              <w:t>信誉要求</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3063990">
            <w:pPr>
              <w:rPr>
                <w:rFonts w:hint="default" w:ascii="宋体" w:hAnsi="宋体" w:eastAsia="宋体" w:cs="宋体"/>
                <w:color w:val="auto"/>
                <w:sz w:val="22"/>
                <w:szCs w:val="22"/>
                <w:lang w:val="zh-CN"/>
              </w:rPr>
            </w:pPr>
            <w:r>
              <w:rPr>
                <w:rFonts w:ascii="宋体" w:hAnsi="宋体" w:eastAsia="宋体" w:cs="宋体"/>
                <w:color w:val="auto"/>
                <w:sz w:val="22"/>
                <w:szCs w:val="22"/>
                <w:lang w:val="zh-CN"/>
              </w:rPr>
              <w:t>（1）拒绝列入政府取消投标资格期间的企业或个人投标；</w:t>
            </w:r>
          </w:p>
          <w:p w14:paraId="3E7D9F4B">
            <w:pPr>
              <w:rPr>
                <w:rFonts w:hint="default" w:ascii="宋体" w:hAnsi="宋体" w:eastAsia="宋体" w:cs="宋体"/>
                <w:color w:val="auto"/>
                <w:sz w:val="22"/>
                <w:szCs w:val="22"/>
                <w:lang w:val="zh-CN"/>
              </w:rPr>
            </w:pPr>
            <w:r>
              <w:rPr>
                <w:rFonts w:ascii="宋体" w:hAnsi="宋体" w:eastAsia="宋体" w:cs="宋体"/>
                <w:color w:val="auto"/>
                <w:sz w:val="22"/>
                <w:szCs w:val="22"/>
                <w:lang w:val="zh-CN"/>
              </w:rPr>
              <w:t>（2）供应商近三年在经营活动中没有重大违法记录；</w:t>
            </w:r>
          </w:p>
          <w:p w14:paraId="5C56177B">
            <w:pPr>
              <w:rPr>
                <w:rFonts w:hint="default" w:ascii="宋体" w:hAnsi="宋体" w:eastAsia="宋体" w:cs="宋体"/>
                <w:color w:val="auto"/>
                <w:sz w:val="22"/>
                <w:szCs w:val="22"/>
                <w:lang w:val="zh-CN"/>
              </w:rPr>
            </w:pPr>
            <w:r>
              <w:rPr>
                <w:rFonts w:ascii="宋体" w:hAnsi="宋体" w:eastAsia="宋体" w:cs="宋体"/>
                <w:color w:val="auto"/>
                <w:sz w:val="22"/>
                <w:szCs w:val="22"/>
                <w:lang w:val="zh-CN"/>
              </w:rPr>
              <w:t>（3）其他不符合《中华人民共和国政府采购法》第二十二条规定条件的供应商；</w:t>
            </w:r>
          </w:p>
          <w:p w14:paraId="4911B9E4">
            <w:pPr>
              <w:rPr>
                <w:rFonts w:hint="default" w:ascii="宋体" w:hAnsi="宋体" w:eastAsia="宋体" w:cs="宋体"/>
                <w:color w:val="auto"/>
                <w:sz w:val="22"/>
                <w:szCs w:val="22"/>
                <w:lang w:val="zh-CN"/>
              </w:rPr>
            </w:pPr>
            <w:r>
              <w:rPr>
                <w:rFonts w:ascii="宋体" w:hAnsi="宋体" w:eastAsia="宋体" w:cs="宋体"/>
                <w:color w:val="auto"/>
                <w:sz w:val="22"/>
                <w:szCs w:val="22"/>
                <w:lang w:val="zh-CN"/>
              </w:rPr>
              <w:t>（4）未被“信用中国”网站(www.creditchina.gov.cn)、中国政府采购网(www.ccgp.gov.cn)中列入失信被执行人、重大税收违法</w:t>
            </w:r>
            <w:r>
              <w:rPr>
                <w:rFonts w:hint="eastAsia" w:cs="宋体"/>
                <w:color w:val="auto"/>
                <w:sz w:val="22"/>
                <w:szCs w:val="22"/>
                <w:lang w:val="zh-CN"/>
              </w:rPr>
              <w:t>失信主体</w:t>
            </w:r>
            <w:r>
              <w:rPr>
                <w:rFonts w:ascii="宋体" w:hAnsi="宋体" w:eastAsia="宋体" w:cs="宋体"/>
                <w:color w:val="auto"/>
                <w:sz w:val="22"/>
                <w:szCs w:val="22"/>
                <w:lang w:val="zh-CN"/>
              </w:rPr>
              <w:t>、政府采购严重违法失信行为记录名单的投标人；</w:t>
            </w:r>
          </w:p>
          <w:p w14:paraId="1DBD80EF">
            <w:pPr>
              <w:rPr>
                <w:rFonts w:hint="default" w:ascii="宋体" w:hAnsi="宋体" w:eastAsia="宋体" w:cs="宋体"/>
                <w:color w:val="auto"/>
                <w:sz w:val="22"/>
                <w:szCs w:val="22"/>
                <w:lang w:val="zh-CN"/>
              </w:rPr>
            </w:pPr>
            <w:r>
              <w:rPr>
                <w:rFonts w:ascii="宋体" w:hAnsi="宋体" w:eastAsia="宋体" w:cs="宋体"/>
                <w:color w:val="auto"/>
                <w:sz w:val="22"/>
                <w:szCs w:val="22"/>
                <w:lang w:val="zh-CN"/>
              </w:rPr>
              <w:t>投标文件内（1）至（3）附由法定代表人或其委托代理人签字并加盖  投标单位公章的承诺书，（4）在评标现场，登陆相关网站进行查询复核。</w:t>
            </w:r>
          </w:p>
        </w:tc>
      </w:tr>
      <w:tr w14:paraId="6D15D64C">
        <w:tblPrEx>
          <w:tblCellMar>
            <w:top w:w="0" w:type="dxa"/>
            <w:left w:w="108" w:type="dxa"/>
            <w:bottom w:w="0" w:type="dxa"/>
            <w:right w:w="108" w:type="dxa"/>
          </w:tblCellMar>
        </w:tblPrEx>
        <w:trPr>
          <w:trHeight w:val="909"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10BFE3B3">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28BAF109">
            <w:pPr>
              <w:jc w:val="center"/>
              <w:rPr>
                <w:rFonts w:hint="default" w:cs="宋体"/>
                <w:sz w:val="22"/>
                <w:szCs w:val="22"/>
              </w:rPr>
            </w:pPr>
          </w:p>
        </w:tc>
        <w:tc>
          <w:tcPr>
            <w:tcW w:w="1916" w:type="dxa"/>
            <w:tcBorders>
              <w:top w:val="single" w:color="000000" w:sz="4" w:space="0"/>
              <w:left w:val="single" w:color="000000" w:sz="4" w:space="0"/>
              <w:right w:val="single" w:color="000000" w:sz="4" w:space="0"/>
              <w:tl2br w:val="nil"/>
              <w:tr2bl w:val="nil"/>
            </w:tcBorders>
            <w:noWrap/>
            <w:vAlign w:val="center"/>
          </w:tcPr>
          <w:p w14:paraId="0D1179D0">
            <w:pPr>
              <w:jc w:val="center"/>
              <w:rPr>
                <w:rFonts w:hint="default" w:ascii="宋体" w:hAnsi="宋体" w:eastAsia="宋体" w:cs="宋体"/>
                <w:color w:val="auto"/>
                <w:sz w:val="22"/>
                <w:szCs w:val="22"/>
              </w:rPr>
            </w:pPr>
            <w:r>
              <w:rPr>
                <w:rFonts w:hint="eastAsia" w:ascii="宋体" w:hAnsi="宋体" w:eastAsia="宋体" w:cs="宋体"/>
                <w:color w:val="auto"/>
                <w:sz w:val="22"/>
                <w:szCs w:val="22"/>
                <w:lang w:val="zh-CN" w:eastAsia="zh-CN"/>
              </w:rPr>
              <w:t>资格条件承诺函</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E381A5">
            <w:pPr>
              <w:rPr>
                <w:rFonts w:hint="default" w:ascii="宋体" w:hAnsi="宋体" w:eastAsia="宋体" w:cs="宋体"/>
                <w:color w:val="auto"/>
                <w:sz w:val="22"/>
                <w:szCs w:val="22"/>
                <w:lang w:val="zh-CN"/>
              </w:rPr>
            </w:pPr>
            <w:r>
              <w:rPr>
                <w:rFonts w:hint="eastAsia" w:ascii="宋体" w:hAnsi="宋体" w:eastAsia="宋体" w:cs="宋体"/>
                <w:color w:val="auto"/>
                <w:sz w:val="22"/>
                <w:szCs w:val="22"/>
                <w:lang w:val="zh-CN" w:eastAsia="zh-CN"/>
              </w:rPr>
              <w:t>根据【长财采购[2022]2066号文件】关于加强政府采购信用体系建设简化供应商资格条件有关事项的通知提供资格条件承诺函，格式见第六章 投标文件格式</w:t>
            </w:r>
            <w:r>
              <w:rPr>
                <w:rFonts w:hint="eastAsia" w:ascii="宋体" w:hAnsi="宋体" w:eastAsia="宋体" w:cs="宋体"/>
                <w:color w:val="auto"/>
                <w:sz w:val="22"/>
                <w:szCs w:val="22"/>
                <w:lang w:val="en-US" w:eastAsia="zh-CN"/>
              </w:rPr>
              <w:t>--资格条件承诺函</w:t>
            </w:r>
            <w:r>
              <w:rPr>
                <w:rFonts w:hint="eastAsia" w:ascii="宋体" w:hAnsi="宋体" w:eastAsia="宋体" w:cs="宋体"/>
                <w:color w:val="auto"/>
                <w:sz w:val="22"/>
                <w:szCs w:val="22"/>
                <w:lang w:val="zh-CN" w:eastAsia="zh-CN"/>
              </w:rPr>
              <w:t>。文件中</w:t>
            </w:r>
            <w:r>
              <w:rPr>
                <w:rFonts w:hint="eastAsia" w:ascii="宋体" w:hAnsi="宋体" w:eastAsia="宋体" w:cs="宋体"/>
                <w:color w:val="auto"/>
                <w:sz w:val="22"/>
                <w:szCs w:val="22"/>
                <w:lang w:val="zh-CN"/>
              </w:rPr>
              <w:t>复印件加盖投标单位公章；</w:t>
            </w:r>
          </w:p>
        </w:tc>
      </w:tr>
      <w:tr w14:paraId="02EAA7EA">
        <w:tblPrEx>
          <w:tblCellMar>
            <w:top w:w="0" w:type="dxa"/>
            <w:left w:w="108" w:type="dxa"/>
            <w:bottom w:w="0" w:type="dxa"/>
            <w:right w:w="108" w:type="dxa"/>
          </w:tblCellMar>
        </w:tblPrEx>
        <w:trPr>
          <w:trHeight w:val="389" w:hRule="atLeast"/>
          <w:jc w:val="center"/>
        </w:trPr>
        <w:tc>
          <w:tcPr>
            <w:tcW w:w="790"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1A0A8F8E">
            <w:pPr>
              <w:jc w:val="center"/>
              <w:rPr>
                <w:rFonts w:hint="default" w:cs="宋体"/>
                <w:sz w:val="22"/>
                <w:szCs w:val="22"/>
              </w:rPr>
            </w:pPr>
          </w:p>
          <w:p w14:paraId="6CE4AF34">
            <w:pPr>
              <w:jc w:val="center"/>
              <w:rPr>
                <w:rFonts w:hint="default" w:cs="宋体"/>
                <w:sz w:val="22"/>
                <w:szCs w:val="22"/>
              </w:rPr>
            </w:pPr>
          </w:p>
          <w:p w14:paraId="0B4A338C">
            <w:pPr>
              <w:jc w:val="center"/>
              <w:rPr>
                <w:rFonts w:hint="default" w:cs="宋体"/>
                <w:sz w:val="22"/>
                <w:szCs w:val="22"/>
              </w:rPr>
            </w:pPr>
          </w:p>
          <w:p w14:paraId="2D50C17A">
            <w:pPr>
              <w:jc w:val="center"/>
              <w:rPr>
                <w:rFonts w:hint="default" w:cs="宋体"/>
                <w:sz w:val="22"/>
                <w:szCs w:val="22"/>
              </w:rPr>
            </w:pPr>
          </w:p>
          <w:p w14:paraId="592C2029">
            <w:pPr>
              <w:jc w:val="center"/>
              <w:rPr>
                <w:rFonts w:hint="default" w:cs="宋体"/>
                <w:sz w:val="22"/>
                <w:szCs w:val="22"/>
              </w:rPr>
            </w:pPr>
          </w:p>
          <w:p w14:paraId="1FD9CE4B">
            <w:pPr>
              <w:jc w:val="center"/>
              <w:rPr>
                <w:rFonts w:hint="default" w:cs="宋体"/>
                <w:sz w:val="22"/>
                <w:szCs w:val="22"/>
              </w:rPr>
            </w:pPr>
          </w:p>
          <w:p w14:paraId="6CCF6274">
            <w:pPr>
              <w:jc w:val="center"/>
              <w:rPr>
                <w:rFonts w:hint="default" w:cs="宋体"/>
                <w:sz w:val="22"/>
                <w:szCs w:val="22"/>
              </w:rPr>
            </w:pPr>
          </w:p>
          <w:p w14:paraId="703FEAF8">
            <w:pPr>
              <w:jc w:val="center"/>
              <w:rPr>
                <w:rFonts w:hint="default" w:cs="宋体"/>
                <w:sz w:val="22"/>
                <w:szCs w:val="22"/>
              </w:rPr>
            </w:pPr>
            <w:r>
              <w:rPr>
                <w:rFonts w:cs="宋体"/>
                <w:sz w:val="22"/>
                <w:szCs w:val="22"/>
              </w:rPr>
              <w:t>3</w:t>
            </w:r>
          </w:p>
        </w:tc>
        <w:tc>
          <w:tcPr>
            <w:tcW w:w="743"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6F8F1A3E">
            <w:pPr>
              <w:jc w:val="center"/>
              <w:rPr>
                <w:rFonts w:hint="default" w:cs="宋体"/>
                <w:sz w:val="22"/>
                <w:szCs w:val="22"/>
              </w:rPr>
            </w:pPr>
          </w:p>
          <w:p w14:paraId="0390D28A">
            <w:pPr>
              <w:jc w:val="center"/>
              <w:rPr>
                <w:rFonts w:hint="default" w:cs="宋体"/>
                <w:sz w:val="22"/>
                <w:szCs w:val="22"/>
              </w:rPr>
            </w:pPr>
          </w:p>
          <w:p w14:paraId="1ACA9A6D">
            <w:pPr>
              <w:jc w:val="center"/>
              <w:rPr>
                <w:rFonts w:hint="default" w:cs="宋体"/>
                <w:sz w:val="22"/>
                <w:szCs w:val="22"/>
              </w:rPr>
            </w:pPr>
            <w:r>
              <w:rPr>
                <w:rFonts w:cs="宋体"/>
                <w:sz w:val="22"/>
                <w:szCs w:val="22"/>
              </w:rPr>
              <w:t>响应性评审标准</w:t>
            </w: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DED2A3">
            <w:pPr>
              <w:jc w:val="center"/>
              <w:rPr>
                <w:rFonts w:hint="default" w:cs="宋体"/>
                <w:color w:val="auto"/>
                <w:sz w:val="22"/>
                <w:szCs w:val="22"/>
              </w:rPr>
            </w:pPr>
            <w:r>
              <w:rPr>
                <w:rFonts w:cs="宋体"/>
                <w:color w:val="auto"/>
                <w:sz w:val="22"/>
                <w:szCs w:val="22"/>
              </w:rPr>
              <w:t>投标内容</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16D5BD">
            <w:pPr>
              <w:rPr>
                <w:rFonts w:hint="default" w:cs="宋体"/>
                <w:color w:val="auto"/>
                <w:sz w:val="22"/>
                <w:szCs w:val="22"/>
              </w:rPr>
            </w:pPr>
            <w:r>
              <w:rPr>
                <w:rFonts w:cs="宋体"/>
                <w:color w:val="auto"/>
                <w:sz w:val="22"/>
                <w:szCs w:val="22"/>
              </w:rPr>
              <w:t>符合招标文件中规定的格式、内容，已响应其它实质性要求的内容。</w:t>
            </w:r>
          </w:p>
        </w:tc>
      </w:tr>
      <w:tr w14:paraId="26C01DD2">
        <w:tblPrEx>
          <w:tblCellMar>
            <w:top w:w="0" w:type="dxa"/>
            <w:left w:w="108" w:type="dxa"/>
            <w:bottom w:w="0" w:type="dxa"/>
            <w:right w:w="108" w:type="dxa"/>
          </w:tblCellMar>
        </w:tblPrEx>
        <w:trPr>
          <w:trHeight w:val="544"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38D83FE7">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465B624C">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136247">
            <w:pPr>
              <w:jc w:val="center"/>
              <w:rPr>
                <w:rFonts w:hint="default" w:cs="宋体"/>
                <w:color w:val="auto"/>
                <w:sz w:val="22"/>
                <w:szCs w:val="22"/>
              </w:rPr>
            </w:pPr>
            <w:r>
              <w:rPr>
                <w:rFonts w:hint="eastAsia" w:cs="宋体"/>
                <w:color w:val="auto"/>
                <w:sz w:val="22"/>
                <w:szCs w:val="22"/>
              </w:rPr>
              <w:t>合同履行期限</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773D50">
            <w:pPr>
              <w:rPr>
                <w:rFonts w:hint="default" w:cs="宋体"/>
                <w:color w:val="auto"/>
                <w:sz w:val="22"/>
                <w:szCs w:val="22"/>
              </w:rPr>
            </w:pPr>
            <w:r>
              <w:rPr>
                <w:rFonts w:cs="宋体"/>
                <w:color w:val="auto"/>
                <w:sz w:val="22"/>
                <w:szCs w:val="22"/>
              </w:rPr>
              <w:t>自合同签订之日起，为期1年，如在服务期限内未满足采购单位需求，采购单位有权与供应商终止合同，相关费用由投标人自行承担。</w:t>
            </w:r>
          </w:p>
        </w:tc>
      </w:tr>
      <w:tr w14:paraId="244CED82">
        <w:tblPrEx>
          <w:tblCellMar>
            <w:top w:w="0" w:type="dxa"/>
            <w:left w:w="108" w:type="dxa"/>
            <w:bottom w:w="0" w:type="dxa"/>
            <w:right w:w="108" w:type="dxa"/>
          </w:tblCellMar>
        </w:tblPrEx>
        <w:trPr>
          <w:trHeight w:val="481"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5F572457">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651AB633">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A35D2D">
            <w:pPr>
              <w:jc w:val="center"/>
              <w:rPr>
                <w:rFonts w:hint="eastAsia" w:eastAsia="宋体" w:cs="宋体"/>
                <w:color w:val="auto"/>
                <w:sz w:val="22"/>
                <w:szCs w:val="22"/>
                <w:lang w:eastAsia="zh-CN"/>
              </w:rPr>
            </w:pPr>
            <w:r>
              <w:rPr>
                <w:rFonts w:hint="eastAsia" w:cs="宋体"/>
                <w:color w:val="auto"/>
                <w:sz w:val="22"/>
                <w:szCs w:val="22"/>
                <w:lang w:eastAsia="zh-CN"/>
              </w:rPr>
              <w:t>服务标准</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429624">
            <w:pPr>
              <w:rPr>
                <w:rFonts w:hint="default" w:cs="宋体"/>
                <w:color w:val="auto"/>
                <w:sz w:val="22"/>
                <w:szCs w:val="22"/>
              </w:rPr>
            </w:pPr>
            <w:r>
              <w:rPr>
                <w:rFonts w:cs="宋体"/>
                <w:sz w:val="22"/>
                <w:szCs w:val="22"/>
              </w:rPr>
              <w:t>符合国家及行业相关标准，提供及时优质的保险参保及理赔服务。</w:t>
            </w:r>
          </w:p>
        </w:tc>
      </w:tr>
      <w:tr w14:paraId="1D602227">
        <w:tblPrEx>
          <w:tblCellMar>
            <w:top w:w="0" w:type="dxa"/>
            <w:left w:w="108" w:type="dxa"/>
            <w:bottom w:w="0" w:type="dxa"/>
            <w:right w:w="108" w:type="dxa"/>
          </w:tblCellMar>
        </w:tblPrEx>
        <w:trPr>
          <w:trHeight w:val="459"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3B29A550">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03E11283">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3C799C8">
            <w:pPr>
              <w:jc w:val="center"/>
              <w:rPr>
                <w:rFonts w:hint="default" w:cs="宋体"/>
                <w:color w:val="auto"/>
                <w:sz w:val="22"/>
                <w:szCs w:val="22"/>
              </w:rPr>
            </w:pPr>
            <w:r>
              <w:rPr>
                <w:rFonts w:cs="宋体"/>
                <w:color w:val="auto"/>
                <w:sz w:val="22"/>
                <w:szCs w:val="22"/>
              </w:rPr>
              <w:t>投标有效期</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67232A">
            <w:pPr>
              <w:rPr>
                <w:rFonts w:hint="default" w:cs="宋体"/>
                <w:color w:val="auto"/>
                <w:sz w:val="22"/>
                <w:szCs w:val="22"/>
              </w:rPr>
            </w:pPr>
            <w:r>
              <w:rPr>
                <w:rFonts w:cs="宋体"/>
                <w:color w:val="auto"/>
                <w:sz w:val="22"/>
                <w:szCs w:val="22"/>
              </w:rPr>
              <w:t>投标截止之日后90天（日历天）。</w:t>
            </w:r>
          </w:p>
        </w:tc>
      </w:tr>
      <w:tr w14:paraId="23BB7EE7">
        <w:tblPrEx>
          <w:tblCellMar>
            <w:top w:w="0" w:type="dxa"/>
            <w:left w:w="108" w:type="dxa"/>
            <w:bottom w:w="0" w:type="dxa"/>
            <w:right w:w="108" w:type="dxa"/>
          </w:tblCellMar>
        </w:tblPrEx>
        <w:trPr>
          <w:trHeight w:val="450"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24479063">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6BB260E8">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9F087F">
            <w:pPr>
              <w:jc w:val="center"/>
              <w:rPr>
                <w:rFonts w:hint="default" w:cs="宋体"/>
                <w:color w:val="auto"/>
                <w:sz w:val="22"/>
                <w:szCs w:val="22"/>
              </w:rPr>
            </w:pPr>
            <w:r>
              <w:rPr>
                <w:rFonts w:cs="宋体"/>
                <w:color w:val="auto"/>
                <w:sz w:val="22"/>
                <w:szCs w:val="22"/>
              </w:rPr>
              <w:t>权利义务</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C43890">
            <w:pPr>
              <w:rPr>
                <w:rFonts w:hint="default" w:cs="宋体"/>
                <w:color w:val="auto"/>
                <w:sz w:val="22"/>
                <w:szCs w:val="22"/>
              </w:rPr>
            </w:pPr>
            <w:r>
              <w:rPr>
                <w:rFonts w:cs="宋体"/>
                <w:color w:val="auto"/>
                <w:sz w:val="22"/>
                <w:szCs w:val="22"/>
              </w:rPr>
              <w:t>符合第四章“合同条款”规定。</w:t>
            </w:r>
          </w:p>
        </w:tc>
      </w:tr>
      <w:tr w14:paraId="6E2F46CF">
        <w:tblPrEx>
          <w:tblCellMar>
            <w:top w:w="0" w:type="dxa"/>
            <w:left w:w="108" w:type="dxa"/>
            <w:bottom w:w="0" w:type="dxa"/>
            <w:right w:w="108" w:type="dxa"/>
          </w:tblCellMar>
        </w:tblPrEx>
        <w:trPr>
          <w:trHeight w:val="462"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63E585A6">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1AE2B534">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D8CD45">
            <w:pPr>
              <w:jc w:val="center"/>
              <w:rPr>
                <w:rFonts w:hint="default" w:cs="宋体"/>
                <w:color w:val="auto"/>
                <w:sz w:val="22"/>
                <w:szCs w:val="22"/>
              </w:rPr>
            </w:pPr>
            <w:r>
              <w:rPr>
                <w:rFonts w:cs="宋体"/>
                <w:color w:val="auto"/>
                <w:sz w:val="22"/>
                <w:szCs w:val="22"/>
              </w:rPr>
              <w:t>技术标准和要求</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3539B4">
            <w:pPr>
              <w:rPr>
                <w:rFonts w:hint="default" w:cs="宋体"/>
                <w:color w:val="auto"/>
                <w:sz w:val="22"/>
                <w:szCs w:val="22"/>
              </w:rPr>
            </w:pPr>
            <w:r>
              <w:rPr>
                <w:rFonts w:cs="宋体"/>
                <w:color w:val="auto"/>
                <w:sz w:val="22"/>
                <w:szCs w:val="22"/>
              </w:rPr>
              <w:t>符合招标文件第五章“采购需求”规定。</w:t>
            </w:r>
          </w:p>
        </w:tc>
      </w:tr>
      <w:tr w14:paraId="43418B03">
        <w:tblPrEx>
          <w:tblCellMar>
            <w:top w:w="0" w:type="dxa"/>
            <w:left w:w="108" w:type="dxa"/>
            <w:bottom w:w="0" w:type="dxa"/>
            <w:right w:w="108" w:type="dxa"/>
          </w:tblCellMar>
        </w:tblPrEx>
        <w:trPr>
          <w:trHeight w:val="408"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09D963AB">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0FBBDE07">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1BE186">
            <w:pPr>
              <w:jc w:val="center"/>
              <w:rPr>
                <w:rFonts w:hint="default" w:cs="宋体"/>
                <w:color w:val="auto"/>
                <w:sz w:val="22"/>
                <w:szCs w:val="22"/>
              </w:rPr>
            </w:pPr>
            <w:r>
              <w:rPr>
                <w:rFonts w:cs="宋体"/>
                <w:color w:val="auto"/>
                <w:sz w:val="22"/>
                <w:szCs w:val="22"/>
              </w:rPr>
              <w:t>投标文件电子版</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0719A8">
            <w:pPr>
              <w:rPr>
                <w:rFonts w:hint="default" w:cs="宋体"/>
                <w:color w:val="auto"/>
                <w:sz w:val="22"/>
                <w:szCs w:val="22"/>
              </w:rPr>
            </w:pPr>
            <w:r>
              <w:rPr>
                <w:rFonts w:cs="宋体"/>
                <w:color w:val="auto"/>
                <w:sz w:val="22"/>
                <w:szCs w:val="22"/>
              </w:rPr>
              <w:t>有，电子版内容符合招标文件要求。</w:t>
            </w:r>
          </w:p>
        </w:tc>
      </w:tr>
      <w:tr w14:paraId="1E6B40DD">
        <w:tblPrEx>
          <w:tblCellMar>
            <w:top w:w="0" w:type="dxa"/>
            <w:left w:w="108" w:type="dxa"/>
            <w:bottom w:w="0" w:type="dxa"/>
            <w:right w:w="108" w:type="dxa"/>
          </w:tblCellMar>
        </w:tblPrEx>
        <w:trPr>
          <w:trHeight w:val="454" w:hRule="atLeast"/>
          <w:jc w:val="center"/>
        </w:trPr>
        <w:tc>
          <w:tcPr>
            <w:tcW w:w="790" w:type="dxa"/>
            <w:vMerge w:val="continue"/>
            <w:tcBorders>
              <w:top w:val="nil"/>
              <w:left w:val="single" w:color="000000" w:sz="4" w:space="0"/>
              <w:bottom w:val="single" w:color="000000" w:sz="4" w:space="0"/>
              <w:right w:val="single" w:color="000000" w:sz="4" w:space="0"/>
              <w:tl2br w:val="nil"/>
              <w:tr2bl w:val="nil"/>
            </w:tcBorders>
            <w:noWrap/>
            <w:vAlign w:val="center"/>
          </w:tcPr>
          <w:p w14:paraId="39FFF463">
            <w:pPr>
              <w:jc w:val="center"/>
              <w:rPr>
                <w:rFonts w:hint="default" w:cs="宋体"/>
                <w:sz w:val="22"/>
                <w:szCs w:val="22"/>
              </w:rPr>
            </w:pPr>
          </w:p>
        </w:tc>
        <w:tc>
          <w:tcPr>
            <w:tcW w:w="743" w:type="dxa"/>
            <w:vMerge w:val="continue"/>
            <w:tcBorders>
              <w:top w:val="nil"/>
              <w:left w:val="single" w:color="000000" w:sz="4" w:space="0"/>
              <w:bottom w:val="single" w:color="000000" w:sz="4" w:space="0"/>
              <w:right w:val="single" w:color="000000" w:sz="4" w:space="0"/>
              <w:tl2br w:val="nil"/>
              <w:tr2bl w:val="nil"/>
            </w:tcBorders>
            <w:noWrap/>
            <w:vAlign w:val="center"/>
          </w:tcPr>
          <w:p w14:paraId="75EBDEBD">
            <w:pPr>
              <w:jc w:val="center"/>
              <w:rPr>
                <w:rFonts w:hint="default" w:cs="宋体"/>
                <w:sz w:val="22"/>
                <w:szCs w:val="22"/>
              </w:rPr>
            </w:pPr>
          </w:p>
        </w:tc>
        <w:tc>
          <w:tcPr>
            <w:tcW w:w="19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9A2893">
            <w:pPr>
              <w:jc w:val="center"/>
              <w:rPr>
                <w:rFonts w:hint="default" w:cs="宋体"/>
                <w:color w:val="auto"/>
                <w:sz w:val="22"/>
                <w:szCs w:val="22"/>
                <w:highlight w:val="none"/>
              </w:rPr>
            </w:pPr>
            <w:r>
              <w:rPr>
                <w:rFonts w:cs="宋体"/>
                <w:color w:val="auto"/>
                <w:sz w:val="22"/>
                <w:szCs w:val="22"/>
                <w:highlight w:val="none"/>
              </w:rPr>
              <w:t>投标报价</w:t>
            </w:r>
          </w:p>
        </w:tc>
        <w:tc>
          <w:tcPr>
            <w:tcW w:w="690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1B8CD7B">
            <w:pPr>
              <w:rPr>
                <w:rFonts w:hint="default" w:cs="宋体"/>
                <w:color w:val="auto"/>
                <w:sz w:val="22"/>
                <w:szCs w:val="22"/>
                <w:highlight w:val="none"/>
              </w:rPr>
            </w:pPr>
            <w:r>
              <w:rPr>
                <w:rFonts w:cs="宋体"/>
                <w:color w:val="auto"/>
                <w:sz w:val="22"/>
                <w:szCs w:val="22"/>
                <w:highlight w:val="none"/>
              </w:rPr>
              <w:t>投标人应保持单项价格的合理性，严禁出现不平衡报价的情况，项目结束后，采购人有权对各单项价格进行核查，对严重超过市场价格的单价，被认定为不平衡报价的单项，如果发生数量变动，将按照有利于采购人的单价进行确认。（投标文件中附由法定代表人或其委托代理人签字并加盖投标单位公章的承诺书）。</w:t>
            </w:r>
          </w:p>
        </w:tc>
      </w:tr>
    </w:tbl>
    <w:p w14:paraId="517AC3D3">
      <w:pPr>
        <w:rPr>
          <w:rFonts w:hint="default" w:cs="宋体"/>
        </w:rPr>
        <w:sectPr>
          <w:footerReference r:id="rId6" w:type="default"/>
          <w:pgSz w:w="11910" w:h="16840"/>
          <w:pgMar w:top="1134" w:right="1134" w:bottom="1134" w:left="1134" w:header="0" w:footer="556" w:gutter="0"/>
          <w:cols w:space="720" w:num="1"/>
        </w:sectPr>
      </w:pPr>
    </w:p>
    <w:p w14:paraId="58F60512">
      <w:pPr>
        <w:rPr>
          <w:rFonts w:hint="eastAsia" w:ascii="宋体" w:hAnsi="宋体" w:eastAsia="宋体" w:cs="宋体"/>
          <w:sz w:val="22"/>
          <w:szCs w:val="22"/>
        </w:rPr>
      </w:pPr>
      <w:bookmarkStart w:id="49" w:name="评标办法前附表（二）详细评审表"/>
      <w:bookmarkEnd w:id="49"/>
      <w:r>
        <w:rPr>
          <w:rFonts w:hint="eastAsia" w:ascii="宋体" w:hAnsi="宋体" w:eastAsia="宋体" w:cs="宋体"/>
          <w:sz w:val="22"/>
          <w:szCs w:val="22"/>
        </w:rPr>
        <w:t>评标办法前附表</w:t>
      </w:r>
    </w:p>
    <w:p w14:paraId="64EAA90B">
      <w:pPr>
        <w:rPr>
          <w:rFonts w:hint="eastAsia" w:ascii="宋体" w:hAnsi="宋体" w:eastAsia="宋体" w:cs="宋体"/>
          <w:sz w:val="22"/>
          <w:szCs w:val="22"/>
        </w:rPr>
      </w:pPr>
      <w:r>
        <w:rPr>
          <w:rFonts w:hint="eastAsia" w:ascii="宋体" w:hAnsi="宋体" w:eastAsia="宋体" w:cs="宋体"/>
          <w:sz w:val="22"/>
          <w:szCs w:val="22"/>
        </w:rPr>
        <w:t>（二）详细评审表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6079"/>
        <w:gridCol w:w="799"/>
        <w:gridCol w:w="800"/>
        <w:gridCol w:w="801"/>
      </w:tblGrid>
      <w:tr w14:paraId="5EE5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1400" w:type="dxa"/>
            <w:vMerge w:val="restart"/>
            <w:noWrap/>
            <w:vAlign w:val="center"/>
          </w:tcPr>
          <w:p w14:paraId="0B6484B4">
            <w:pPr>
              <w:spacing w:line="360" w:lineRule="exact"/>
              <w:jc w:val="center"/>
              <w:rPr>
                <w:rFonts w:hint="eastAsia" w:ascii="宋体" w:hAnsi="宋体" w:eastAsia="宋体" w:cs="宋体"/>
                <w:bCs/>
                <w:sz w:val="22"/>
                <w:szCs w:val="22"/>
              </w:rPr>
            </w:pPr>
            <w:r>
              <w:rPr>
                <w:rFonts w:hint="eastAsia" w:ascii="宋体" w:hAnsi="宋体" w:eastAsia="宋体" w:cs="宋体"/>
                <w:bCs/>
                <w:sz w:val="22"/>
                <w:szCs w:val="22"/>
              </w:rPr>
              <w:t>评分因素</w:t>
            </w:r>
          </w:p>
        </w:tc>
        <w:tc>
          <w:tcPr>
            <w:tcW w:w="6079" w:type="dxa"/>
            <w:vMerge w:val="restart"/>
            <w:noWrap/>
            <w:vAlign w:val="center"/>
          </w:tcPr>
          <w:p w14:paraId="5965BEB8">
            <w:pPr>
              <w:spacing w:line="360" w:lineRule="exact"/>
              <w:jc w:val="center"/>
              <w:rPr>
                <w:rFonts w:hint="eastAsia" w:ascii="宋体" w:hAnsi="宋体" w:eastAsia="宋体" w:cs="宋体"/>
                <w:bCs/>
                <w:sz w:val="22"/>
                <w:szCs w:val="22"/>
              </w:rPr>
            </w:pPr>
            <w:r>
              <w:rPr>
                <w:rFonts w:hint="eastAsia" w:ascii="宋体" w:hAnsi="宋体" w:eastAsia="宋体" w:cs="宋体"/>
                <w:bCs/>
                <w:sz w:val="22"/>
                <w:szCs w:val="22"/>
              </w:rPr>
              <w:t>评审标准</w:t>
            </w:r>
          </w:p>
        </w:tc>
        <w:tc>
          <w:tcPr>
            <w:tcW w:w="2400" w:type="dxa"/>
            <w:gridSpan w:val="3"/>
            <w:noWrap/>
            <w:vAlign w:val="center"/>
          </w:tcPr>
          <w:p w14:paraId="18D238F7">
            <w:pPr>
              <w:spacing w:line="360" w:lineRule="exact"/>
              <w:jc w:val="center"/>
              <w:rPr>
                <w:rFonts w:hint="eastAsia" w:ascii="宋体" w:hAnsi="宋体" w:eastAsia="宋体" w:cs="宋体"/>
                <w:bCs/>
                <w:w w:val="90"/>
                <w:sz w:val="22"/>
                <w:szCs w:val="22"/>
              </w:rPr>
            </w:pPr>
            <w:r>
              <w:rPr>
                <w:rFonts w:hint="eastAsia" w:ascii="宋体" w:hAnsi="宋体" w:eastAsia="宋体" w:cs="宋体"/>
                <w:bCs/>
                <w:sz w:val="22"/>
                <w:szCs w:val="22"/>
              </w:rPr>
              <w:t>投标人名称及评审意见</w:t>
            </w:r>
          </w:p>
        </w:tc>
      </w:tr>
      <w:tr w14:paraId="15D3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400" w:type="dxa"/>
            <w:vMerge w:val="continue"/>
            <w:noWrap/>
            <w:vAlign w:val="center"/>
          </w:tcPr>
          <w:p w14:paraId="4C40D7BB">
            <w:pPr>
              <w:spacing w:line="360" w:lineRule="exact"/>
              <w:jc w:val="center"/>
              <w:rPr>
                <w:rFonts w:hint="eastAsia" w:ascii="宋体" w:hAnsi="宋体" w:eastAsia="宋体" w:cs="宋体"/>
                <w:bCs/>
                <w:sz w:val="22"/>
                <w:szCs w:val="22"/>
                <w:lang w:val="zh-CN"/>
              </w:rPr>
            </w:pPr>
          </w:p>
        </w:tc>
        <w:tc>
          <w:tcPr>
            <w:tcW w:w="6079" w:type="dxa"/>
            <w:vMerge w:val="continue"/>
            <w:noWrap/>
            <w:vAlign w:val="center"/>
          </w:tcPr>
          <w:p w14:paraId="5C955622">
            <w:pPr>
              <w:spacing w:line="360" w:lineRule="exact"/>
              <w:jc w:val="center"/>
              <w:rPr>
                <w:rFonts w:hint="eastAsia" w:ascii="宋体" w:hAnsi="宋体" w:eastAsia="宋体" w:cs="宋体"/>
                <w:bCs/>
                <w:sz w:val="22"/>
                <w:szCs w:val="22"/>
                <w:lang w:val="zh-CN"/>
              </w:rPr>
            </w:pPr>
          </w:p>
        </w:tc>
        <w:tc>
          <w:tcPr>
            <w:tcW w:w="799" w:type="dxa"/>
            <w:noWrap/>
            <w:vAlign w:val="center"/>
          </w:tcPr>
          <w:p w14:paraId="75B67ACB">
            <w:pPr>
              <w:spacing w:line="360" w:lineRule="exact"/>
              <w:ind w:left="-169" w:leftChars="-77" w:right="-108" w:rightChars="-49"/>
              <w:jc w:val="center"/>
              <w:rPr>
                <w:rFonts w:hint="eastAsia" w:ascii="宋体" w:hAnsi="宋体" w:eastAsia="宋体" w:cs="宋体"/>
                <w:bCs/>
                <w:sz w:val="22"/>
                <w:szCs w:val="22"/>
              </w:rPr>
            </w:pPr>
          </w:p>
        </w:tc>
        <w:tc>
          <w:tcPr>
            <w:tcW w:w="800" w:type="dxa"/>
            <w:noWrap/>
            <w:vAlign w:val="center"/>
          </w:tcPr>
          <w:p w14:paraId="4061ADDB">
            <w:pPr>
              <w:spacing w:line="360" w:lineRule="exact"/>
              <w:ind w:left="-169" w:leftChars="-77" w:right="-108" w:rightChars="-49"/>
              <w:jc w:val="center"/>
              <w:rPr>
                <w:rFonts w:hint="eastAsia" w:ascii="宋体" w:hAnsi="宋体" w:eastAsia="宋体" w:cs="宋体"/>
                <w:bCs/>
                <w:sz w:val="22"/>
                <w:szCs w:val="22"/>
              </w:rPr>
            </w:pPr>
          </w:p>
        </w:tc>
        <w:tc>
          <w:tcPr>
            <w:tcW w:w="801" w:type="dxa"/>
            <w:noWrap/>
            <w:vAlign w:val="center"/>
          </w:tcPr>
          <w:p w14:paraId="3C582350">
            <w:pPr>
              <w:spacing w:line="360" w:lineRule="exact"/>
              <w:ind w:left="-66" w:leftChars="-30" w:right="-112" w:rightChars="-51"/>
              <w:jc w:val="center"/>
              <w:rPr>
                <w:rFonts w:hint="eastAsia" w:ascii="宋体" w:hAnsi="宋体" w:eastAsia="宋体" w:cs="宋体"/>
                <w:bCs/>
                <w:sz w:val="22"/>
                <w:szCs w:val="22"/>
              </w:rPr>
            </w:pPr>
          </w:p>
        </w:tc>
      </w:tr>
      <w:tr w14:paraId="7B4F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jc w:val="center"/>
        </w:trPr>
        <w:tc>
          <w:tcPr>
            <w:tcW w:w="1400" w:type="dxa"/>
            <w:tcBorders>
              <w:bottom w:val="single" w:color="auto" w:sz="4" w:space="0"/>
            </w:tcBorders>
            <w:noWrap/>
            <w:vAlign w:val="center"/>
          </w:tcPr>
          <w:p w14:paraId="7873CD13">
            <w:pPr>
              <w:spacing w:line="36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投标报价</w:t>
            </w:r>
          </w:p>
          <w:p w14:paraId="2022F753">
            <w:pPr>
              <w:spacing w:line="36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w:t>
            </w:r>
            <w:r>
              <w:rPr>
                <w:rFonts w:hint="eastAsia" w:ascii="宋体" w:hAnsi="宋体" w:eastAsia="宋体" w:cs="宋体"/>
                <w:bCs/>
                <w:color w:val="auto"/>
                <w:sz w:val="22"/>
                <w:szCs w:val="22"/>
                <w:lang w:val="en-US" w:eastAsia="zh-CN"/>
              </w:rPr>
              <w:t>20</w:t>
            </w:r>
            <w:r>
              <w:rPr>
                <w:rFonts w:hint="eastAsia" w:ascii="宋体" w:hAnsi="宋体" w:eastAsia="宋体" w:cs="宋体"/>
                <w:bCs/>
                <w:color w:val="auto"/>
                <w:sz w:val="22"/>
                <w:szCs w:val="22"/>
              </w:rPr>
              <w:t>分）</w:t>
            </w:r>
          </w:p>
        </w:tc>
        <w:tc>
          <w:tcPr>
            <w:tcW w:w="6079" w:type="dxa"/>
            <w:tcBorders>
              <w:bottom w:val="single" w:color="auto" w:sz="4" w:space="0"/>
            </w:tcBorders>
            <w:noWrap/>
            <w:vAlign w:val="center"/>
          </w:tcPr>
          <w:p w14:paraId="0BF332A6">
            <w:pPr>
              <w:spacing w:line="300" w:lineRule="exact"/>
              <w:rPr>
                <w:rFonts w:hint="eastAsia" w:ascii="宋体" w:hAnsi="宋体" w:eastAsia="宋体" w:cs="宋体"/>
                <w:bCs/>
                <w:color w:val="auto"/>
                <w:kern w:val="2"/>
                <w:sz w:val="22"/>
                <w:szCs w:val="22"/>
              </w:rPr>
            </w:pPr>
            <w:r>
              <w:rPr>
                <w:rFonts w:hint="eastAsia" w:ascii="宋体" w:hAnsi="宋体" w:eastAsia="宋体" w:cs="宋体"/>
                <w:bCs/>
                <w:color w:val="auto"/>
                <w:kern w:val="2"/>
                <w:sz w:val="22"/>
                <w:szCs w:val="22"/>
              </w:rPr>
              <w:t>评标基准价：经评审的所有有效投标报价中以最低投标报价为评标基准价；</w:t>
            </w:r>
          </w:p>
          <w:p w14:paraId="531DE17B">
            <w:pPr>
              <w:spacing w:line="300" w:lineRule="exact"/>
              <w:rPr>
                <w:rFonts w:hint="eastAsia" w:ascii="宋体" w:hAnsi="宋体" w:eastAsia="宋体" w:cs="宋体"/>
                <w:bCs/>
                <w:color w:val="auto"/>
                <w:kern w:val="2"/>
                <w:sz w:val="22"/>
                <w:szCs w:val="22"/>
              </w:rPr>
            </w:pPr>
            <w:r>
              <w:rPr>
                <w:rFonts w:hint="eastAsia" w:ascii="宋体" w:hAnsi="宋体" w:eastAsia="宋体" w:cs="宋体"/>
                <w:bCs/>
                <w:color w:val="auto"/>
                <w:kern w:val="2"/>
                <w:sz w:val="22"/>
                <w:szCs w:val="22"/>
              </w:rPr>
              <w:t>（2）投标报价等于评标基准价时得满分</w:t>
            </w:r>
            <w:r>
              <w:rPr>
                <w:rFonts w:hint="eastAsia" w:ascii="宋体" w:hAnsi="宋体" w:eastAsia="宋体" w:cs="宋体"/>
                <w:bCs/>
                <w:color w:val="auto"/>
                <w:kern w:val="2"/>
                <w:sz w:val="22"/>
                <w:szCs w:val="22"/>
                <w:lang w:val="en-US" w:eastAsia="zh-CN"/>
              </w:rPr>
              <w:t>20</w:t>
            </w:r>
            <w:r>
              <w:rPr>
                <w:rFonts w:hint="eastAsia" w:ascii="宋体" w:hAnsi="宋体" w:eastAsia="宋体" w:cs="宋体"/>
                <w:bCs/>
                <w:color w:val="auto"/>
                <w:kern w:val="2"/>
                <w:sz w:val="22"/>
                <w:szCs w:val="22"/>
              </w:rPr>
              <w:t>分；</w:t>
            </w:r>
          </w:p>
          <w:p w14:paraId="218DF0E0">
            <w:pPr>
              <w:spacing w:line="300" w:lineRule="exact"/>
              <w:rPr>
                <w:rFonts w:hint="eastAsia" w:ascii="宋体" w:hAnsi="宋体" w:eastAsia="宋体" w:cs="宋体"/>
                <w:bCs/>
                <w:color w:val="auto"/>
                <w:kern w:val="2"/>
                <w:sz w:val="22"/>
                <w:szCs w:val="22"/>
              </w:rPr>
            </w:pPr>
            <w:r>
              <w:rPr>
                <w:rFonts w:hint="eastAsia" w:ascii="宋体" w:hAnsi="宋体" w:eastAsia="宋体" w:cs="宋体"/>
                <w:bCs/>
                <w:color w:val="auto"/>
                <w:kern w:val="2"/>
                <w:sz w:val="22"/>
                <w:szCs w:val="22"/>
              </w:rPr>
              <w:t>（3）投标报价高于基准价按以下公式计算得分：</w:t>
            </w:r>
          </w:p>
          <w:p w14:paraId="629CDDFA">
            <w:pPr>
              <w:spacing w:line="300" w:lineRule="exact"/>
              <w:rPr>
                <w:rFonts w:hint="eastAsia" w:ascii="宋体" w:hAnsi="宋体" w:eastAsia="宋体" w:cs="宋体"/>
                <w:bCs/>
                <w:color w:val="auto"/>
                <w:kern w:val="2"/>
                <w:sz w:val="22"/>
                <w:szCs w:val="22"/>
                <w:lang w:val="en-US" w:eastAsia="zh-CN"/>
              </w:rPr>
            </w:pPr>
            <w:r>
              <w:rPr>
                <w:rFonts w:hint="eastAsia" w:ascii="宋体" w:hAnsi="宋体" w:eastAsia="宋体" w:cs="宋体"/>
                <w:bCs/>
                <w:color w:val="auto"/>
                <w:kern w:val="2"/>
                <w:sz w:val="22"/>
                <w:szCs w:val="22"/>
              </w:rPr>
              <w:t>评标基准价/投标报价*</w:t>
            </w:r>
            <w:r>
              <w:rPr>
                <w:rFonts w:hint="eastAsia" w:ascii="宋体" w:hAnsi="宋体" w:eastAsia="宋体" w:cs="宋体"/>
                <w:bCs/>
                <w:color w:val="auto"/>
                <w:kern w:val="2"/>
                <w:sz w:val="22"/>
                <w:szCs w:val="22"/>
                <w:lang w:val="en-US" w:eastAsia="zh-CN"/>
              </w:rPr>
              <w:t>20</w:t>
            </w:r>
          </w:p>
        </w:tc>
        <w:tc>
          <w:tcPr>
            <w:tcW w:w="799" w:type="dxa"/>
            <w:noWrap/>
            <w:vAlign w:val="center"/>
          </w:tcPr>
          <w:p w14:paraId="77EE1539">
            <w:pPr>
              <w:spacing w:line="360" w:lineRule="exact"/>
              <w:rPr>
                <w:rFonts w:hint="eastAsia" w:ascii="宋体" w:hAnsi="宋体" w:eastAsia="宋体" w:cs="宋体"/>
                <w:bCs/>
                <w:color w:val="FF0000"/>
                <w:sz w:val="22"/>
                <w:szCs w:val="22"/>
              </w:rPr>
            </w:pPr>
          </w:p>
        </w:tc>
        <w:tc>
          <w:tcPr>
            <w:tcW w:w="800" w:type="dxa"/>
            <w:noWrap/>
            <w:vAlign w:val="center"/>
          </w:tcPr>
          <w:p w14:paraId="750ECD8C">
            <w:pPr>
              <w:spacing w:line="360" w:lineRule="exact"/>
              <w:rPr>
                <w:rFonts w:hint="eastAsia" w:ascii="宋体" w:hAnsi="宋体" w:eastAsia="宋体" w:cs="宋体"/>
                <w:bCs/>
                <w:sz w:val="22"/>
                <w:szCs w:val="22"/>
              </w:rPr>
            </w:pPr>
          </w:p>
        </w:tc>
        <w:tc>
          <w:tcPr>
            <w:tcW w:w="801" w:type="dxa"/>
            <w:noWrap/>
            <w:vAlign w:val="center"/>
          </w:tcPr>
          <w:p w14:paraId="0DD0D71E">
            <w:pPr>
              <w:spacing w:line="360" w:lineRule="exact"/>
              <w:rPr>
                <w:rFonts w:hint="eastAsia" w:ascii="宋体" w:hAnsi="宋体" w:eastAsia="宋体" w:cs="宋体"/>
                <w:bCs/>
                <w:sz w:val="22"/>
                <w:szCs w:val="22"/>
              </w:rPr>
            </w:pPr>
          </w:p>
        </w:tc>
      </w:tr>
      <w:tr w14:paraId="6B02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0" w:type="dxa"/>
            <w:tcBorders>
              <w:bottom w:val="single" w:color="auto" w:sz="4" w:space="0"/>
            </w:tcBorders>
            <w:noWrap/>
            <w:vAlign w:val="center"/>
          </w:tcPr>
          <w:p w14:paraId="1BDBD94E">
            <w:pPr>
              <w:spacing w:line="36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企业业绩</w:t>
            </w:r>
            <w:r>
              <w:rPr>
                <w:rFonts w:hint="eastAsia" w:ascii="宋体" w:hAnsi="宋体" w:eastAsia="宋体" w:cs="宋体"/>
                <w:bCs/>
                <w:color w:val="auto"/>
                <w:sz w:val="22"/>
                <w:szCs w:val="22"/>
              </w:rPr>
              <w:br w:type="textWrapping"/>
            </w:r>
            <w:r>
              <w:rPr>
                <w:rFonts w:hint="eastAsia" w:ascii="宋体" w:hAnsi="宋体" w:eastAsia="宋体" w:cs="宋体"/>
                <w:bCs/>
                <w:color w:val="auto"/>
                <w:sz w:val="22"/>
                <w:szCs w:val="22"/>
              </w:rPr>
              <w:t>（</w:t>
            </w:r>
            <w:r>
              <w:rPr>
                <w:rFonts w:hint="eastAsia" w:ascii="宋体" w:hAnsi="宋体" w:eastAsia="宋体" w:cs="宋体"/>
                <w:bCs/>
                <w:color w:val="auto"/>
                <w:sz w:val="22"/>
                <w:szCs w:val="22"/>
                <w:lang w:val="en-US" w:eastAsia="zh-CN"/>
              </w:rPr>
              <w:t>15</w:t>
            </w:r>
            <w:r>
              <w:rPr>
                <w:rFonts w:hint="eastAsia" w:ascii="宋体" w:hAnsi="宋体" w:eastAsia="宋体" w:cs="宋体"/>
                <w:bCs/>
                <w:color w:val="auto"/>
                <w:sz w:val="22"/>
                <w:szCs w:val="22"/>
              </w:rPr>
              <w:t>分）</w:t>
            </w:r>
          </w:p>
        </w:tc>
        <w:tc>
          <w:tcPr>
            <w:tcW w:w="6079" w:type="dxa"/>
            <w:tcBorders>
              <w:bottom w:val="single" w:color="auto" w:sz="4" w:space="0"/>
            </w:tcBorders>
            <w:noWrap/>
            <w:vAlign w:val="center"/>
          </w:tcPr>
          <w:p w14:paraId="36914DD5">
            <w:pPr>
              <w:spacing w:line="300" w:lineRule="exact"/>
              <w:rPr>
                <w:rFonts w:hint="eastAsia" w:ascii="宋体" w:hAnsi="宋体" w:eastAsia="宋体" w:cs="宋体"/>
                <w:bCs/>
                <w:color w:val="auto"/>
                <w:kern w:val="2"/>
                <w:sz w:val="22"/>
                <w:szCs w:val="22"/>
              </w:rPr>
            </w:pPr>
            <w:r>
              <w:rPr>
                <w:rFonts w:hint="eastAsia" w:ascii="宋体" w:hAnsi="宋体" w:eastAsia="宋体" w:cs="宋体"/>
                <w:bCs/>
                <w:color w:val="auto"/>
                <w:kern w:val="2"/>
                <w:sz w:val="22"/>
                <w:szCs w:val="22"/>
              </w:rPr>
              <w:t>近三年（202</w:t>
            </w:r>
            <w:r>
              <w:rPr>
                <w:rFonts w:hint="eastAsia" w:ascii="宋体" w:hAnsi="宋体" w:eastAsia="宋体" w:cs="宋体"/>
                <w:bCs/>
                <w:color w:val="auto"/>
                <w:kern w:val="2"/>
                <w:sz w:val="22"/>
                <w:szCs w:val="22"/>
                <w:lang w:val="en-US" w:eastAsia="zh-CN"/>
              </w:rPr>
              <w:t>2</w:t>
            </w:r>
            <w:r>
              <w:rPr>
                <w:rFonts w:hint="eastAsia" w:ascii="宋体" w:hAnsi="宋体" w:eastAsia="宋体" w:cs="宋体"/>
                <w:bCs/>
                <w:color w:val="auto"/>
                <w:kern w:val="2"/>
                <w:sz w:val="22"/>
                <w:szCs w:val="22"/>
              </w:rPr>
              <w:t>年</w:t>
            </w:r>
            <w:r>
              <w:rPr>
                <w:rFonts w:hint="eastAsia" w:ascii="宋体" w:hAnsi="宋体" w:eastAsia="宋体" w:cs="宋体"/>
                <w:bCs/>
                <w:color w:val="auto"/>
                <w:kern w:val="2"/>
                <w:sz w:val="22"/>
                <w:szCs w:val="22"/>
                <w:lang w:val="en-US" w:eastAsia="zh-CN"/>
              </w:rPr>
              <w:t>1月1日-至今</w:t>
            </w:r>
            <w:r>
              <w:rPr>
                <w:rFonts w:hint="eastAsia" w:ascii="宋体" w:hAnsi="宋体" w:eastAsia="宋体" w:cs="宋体"/>
                <w:bCs/>
                <w:color w:val="auto"/>
                <w:kern w:val="2"/>
                <w:sz w:val="22"/>
                <w:szCs w:val="22"/>
              </w:rPr>
              <w:t>）完成过的类似项目业绩，每有一项业绩得</w:t>
            </w:r>
            <w:r>
              <w:rPr>
                <w:rFonts w:hint="eastAsia" w:ascii="宋体" w:hAnsi="宋体" w:eastAsia="宋体" w:cs="宋体"/>
                <w:bCs/>
                <w:color w:val="auto"/>
                <w:kern w:val="2"/>
                <w:sz w:val="22"/>
                <w:szCs w:val="22"/>
                <w:lang w:val="en-US" w:eastAsia="zh-CN"/>
              </w:rPr>
              <w:t>3</w:t>
            </w:r>
            <w:r>
              <w:rPr>
                <w:rFonts w:hint="eastAsia" w:ascii="宋体" w:hAnsi="宋体" w:eastAsia="宋体" w:cs="宋体"/>
                <w:bCs/>
                <w:color w:val="auto"/>
                <w:kern w:val="2"/>
                <w:sz w:val="22"/>
                <w:szCs w:val="22"/>
              </w:rPr>
              <w:t>分，最多得</w:t>
            </w:r>
            <w:r>
              <w:rPr>
                <w:rFonts w:hint="eastAsia" w:ascii="宋体" w:hAnsi="宋体" w:eastAsia="宋体" w:cs="宋体"/>
                <w:bCs/>
                <w:color w:val="auto"/>
                <w:kern w:val="2"/>
                <w:sz w:val="22"/>
                <w:szCs w:val="22"/>
                <w:lang w:val="en-US" w:eastAsia="zh-CN"/>
              </w:rPr>
              <w:t>15</w:t>
            </w:r>
            <w:r>
              <w:rPr>
                <w:rFonts w:hint="eastAsia" w:ascii="宋体" w:hAnsi="宋体" w:eastAsia="宋体" w:cs="宋体"/>
                <w:bCs/>
                <w:color w:val="auto"/>
                <w:kern w:val="2"/>
                <w:sz w:val="22"/>
                <w:szCs w:val="22"/>
              </w:rPr>
              <w:t>分（须提供中标通知书或合同或保单复印件加盖公章，否则不计分）</w:t>
            </w:r>
          </w:p>
        </w:tc>
        <w:tc>
          <w:tcPr>
            <w:tcW w:w="799" w:type="dxa"/>
            <w:noWrap/>
            <w:vAlign w:val="center"/>
          </w:tcPr>
          <w:p w14:paraId="19070639">
            <w:pPr>
              <w:spacing w:line="360" w:lineRule="exact"/>
              <w:rPr>
                <w:rFonts w:hint="eastAsia" w:ascii="宋体" w:hAnsi="宋体" w:eastAsia="宋体" w:cs="宋体"/>
                <w:bCs/>
                <w:color w:val="FF0000"/>
                <w:sz w:val="22"/>
                <w:szCs w:val="22"/>
              </w:rPr>
            </w:pPr>
          </w:p>
        </w:tc>
        <w:tc>
          <w:tcPr>
            <w:tcW w:w="800" w:type="dxa"/>
            <w:noWrap/>
            <w:vAlign w:val="center"/>
          </w:tcPr>
          <w:p w14:paraId="75ED6A7B">
            <w:pPr>
              <w:spacing w:line="360" w:lineRule="exact"/>
              <w:rPr>
                <w:rFonts w:hint="eastAsia" w:ascii="宋体" w:hAnsi="宋体" w:eastAsia="宋体" w:cs="宋体"/>
                <w:bCs/>
                <w:sz w:val="22"/>
                <w:szCs w:val="22"/>
              </w:rPr>
            </w:pPr>
          </w:p>
        </w:tc>
        <w:tc>
          <w:tcPr>
            <w:tcW w:w="801" w:type="dxa"/>
            <w:noWrap/>
            <w:vAlign w:val="center"/>
          </w:tcPr>
          <w:p w14:paraId="7AAF8384">
            <w:pPr>
              <w:spacing w:line="360" w:lineRule="exact"/>
              <w:rPr>
                <w:rFonts w:hint="eastAsia" w:ascii="宋体" w:hAnsi="宋体" w:eastAsia="宋体" w:cs="宋体"/>
                <w:bCs/>
                <w:sz w:val="22"/>
                <w:szCs w:val="22"/>
              </w:rPr>
            </w:pPr>
          </w:p>
        </w:tc>
      </w:tr>
      <w:tr w14:paraId="18F8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0" w:type="dxa"/>
            <w:noWrap/>
            <w:vAlign w:val="center"/>
          </w:tcPr>
          <w:p w14:paraId="6929A763">
            <w:pPr>
              <w:spacing w:line="36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售后服务</w:t>
            </w:r>
          </w:p>
          <w:p w14:paraId="6BDFA6FF">
            <w:pPr>
              <w:spacing w:line="36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w:t>
            </w:r>
            <w:r>
              <w:rPr>
                <w:rFonts w:hint="eastAsia" w:ascii="宋体" w:hAnsi="宋体" w:eastAsia="宋体" w:cs="宋体"/>
                <w:bCs/>
                <w:color w:val="auto"/>
                <w:sz w:val="22"/>
                <w:szCs w:val="22"/>
                <w:lang w:val="en-US" w:eastAsia="zh-CN"/>
              </w:rPr>
              <w:t>10</w:t>
            </w:r>
            <w:r>
              <w:rPr>
                <w:rFonts w:hint="eastAsia" w:ascii="宋体" w:hAnsi="宋体" w:eastAsia="宋体" w:cs="宋体"/>
                <w:bCs/>
                <w:color w:val="auto"/>
                <w:sz w:val="22"/>
                <w:szCs w:val="22"/>
              </w:rPr>
              <w:t>分）</w:t>
            </w:r>
          </w:p>
        </w:tc>
        <w:tc>
          <w:tcPr>
            <w:tcW w:w="6079" w:type="dxa"/>
            <w:noWrap/>
            <w:vAlign w:val="center"/>
          </w:tcPr>
          <w:p w14:paraId="008A1172">
            <w:pPr>
              <w:spacing w:line="300" w:lineRule="exact"/>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2"/>
                <w:sz w:val="22"/>
                <w:szCs w:val="22"/>
              </w:rPr>
              <w:t>根据投标人承诺的售后服务方案至少应包括以下</w:t>
            </w:r>
            <w:r>
              <w:rPr>
                <w:rFonts w:hint="eastAsia" w:ascii="宋体" w:hAnsi="宋体" w:eastAsia="宋体" w:cs="宋体"/>
                <w:bCs/>
                <w:color w:val="auto"/>
                <w:kern w:val="2"/>
                <w:sz w:val="22"/>
                <w:szCs w:val="22"/>
                <w:lang w:eastAsia="zh-CN"/>
              </w:rPr>
              <w:t>内容：</w:t>
            </w:r>
          </w:p>
          <w:p w14:paraId="2D8D4E15">
            <w:pPr>
              <w:spacing w:line="300" w:lineRule="exact"/>
              <w:rPr>
                <w:rFonts w:hint="eastAsia" w:ascii="宋体" w:hAnsi="宋体" w:eastAsia="宋体" w:cs="宋体"/>
                <w:bCs/>
                <w:color w:val="auto"/>
                <w:kern w:val="2"/>
                <w:sz w:val="22"/>
                <w:szCs w:val="22"/>
              </w:rPr>
            </w:pPr>
            <w:r>
              <w:rPr>
                <w:rFonts w:hint="eastAsia" w:ascii="宋体" w:hAnsi="宋体" w:eastAsia="宋体" w:cs="宋体"/>
                <w:bCs/>
                <w:color w:val="auto"/>
                <w:kern w:val="2"/>
                <w:sz w:val="22"/>
                <w:szCs w:val="22"/>
                <w:lang w:val="en-US" w:eastAsia="zh-CN"/>
              </w:rPr>
              <w:t>1.</w:t>
            </w:r>
            <w:r>
              <w:rPr>
                <w:rFonts w:hint="eastAsia" w:ascii="宋体" w:hAnsi="宋体" w:eastAsia="宋体" w:cs="宋体"/>
                <w:bCs/>
                <w:color w:val="auto"/>
                <w:kern w:val="2"/>
                <w:sz w:val="22"/>
                <w:szCs w:val="22"/>
              </w:rPr>
              <w:t>质量保证范围</w:t>
            </w:r>
            <w:r>
              <w:rPr>
                <w:rFonts w:hint="eastAsia" w:ascii="宋体" w:hAnsi="宋体" w:eastAsia="宋体" w:cs="宋体"/>
                <w:bCs/>
                <w:color w:val="auto"/>
                <w:kern w:val="2"/>
                <w:sz w:val="22"/>
                <w:szCs w:val="22"/>
                <w:lang w:eastAsia="zh-CN"/>
              </w:rPr>
              <w:t>，</w:t>
            </w:r>
            <w:r>
              <w:rPr>
                <w:rFonts w:hint="eastAsia" w:ascii="宋体" w:hAnsi="宋体" w:eastAsia="宋体" w:cs="宋体"/>
                <w:bCs/>
                <w:color w:val="auto"/>
                <w:kern w:val="2"/>
                <w:sz w:val="22"/>
                <w:szCs w:val="22"/>
                <w:lang w:val="en-US" w:eastAsia="zh-CN"/>
              </w:rPr>
              <w:t>2.</w:t>
            </w:r>
            <w:r>
              <w:rPr>
                <w:rFonts w:hint="eastAsia" w:ascii="宋体" w:hAnsi="宋体" w:eastAsia="宋体" w:cs="宋体"/>
                <w:bCs/>
                <w:color w:val="auto"/>
                <w:kern w:val="2"/>
                <w:sz w:val="22"/>
                <w:szCs w:val="22"/>
              </w:rPr>
              <w:t>售后人员组成</w:t>
            </w:r>
            <w:r>
              <w:rPr>
                <w:rFonts w:hint="eastAsia" w:ascii="宋体" w:hAnsi="宋体" w:eastAsia="宋体" w:cs="宋体"/>
                <w:bCs/>
                <w:color w:val="auto"/>
                <w:kern w:val="2"/>
                <w:sz w:val="22"/>
                <w:szCs w:val="22"/>
                <w:lang w:eastAsia="zh-CN"/>
              </w:rPr>
              <w:t>，</w:t>
            </w:r>
            <w:r>
              <w:rPr>
                <w:rFonts w:hint="eastAsia" w:ascii="宋体" w:hAnsi="宋体" w:eastAsia="宋体" w:cs="宋体"/>
                <w:bCs/>
                <w:color w:val="auto"/>
                <w:kern w:val="2"/>
                <w:sz w:val="22"/>
                <w:szCs w:val="22"/>
                <w:lang w:val="en-US" w:eastAsia="zh-CN"/>
              </w:rPr>
              <w:t>3.售后服务</w:t>
            </w:r>
            <w:r>
              <w:rPr>
                <w:rFonts w:hint="eastAsia" w:ascii="宋体" w:hAnsi="宋体" w:eastAsia="宋体" w:cs="宋体"/>
                <w:bCs/>
                <w:color w:val="auto"/>
                <w:kern w:val="2"/>
                <w:sz w:val="22"/>
                <w:szCs w:val="22"/>
              </w:rPr>
              <w:t>经验，</w:t>
            </w:r>
            <w:r>
              <w:rPr>
                <w:rFonts w:hint="eastAsia" w:ascii="宋体" w:hAnsi="宋体" w:eastAsia="宋体" w:cs="宋体"/>
                <w:bCs/>
                <w:color w:val="auto"/>
                <w:kern w:val="2"/>
                <w:sz w:val="22"/>
                <w:szCs w:val="22"/>
                <w:lang w:val="en-US" w:eastAsia="zh-CN"/>
              </w:rPr>
              <w:t>4.</w:t>
            </w:r>
            <w:r>
              <w:rPr>
                <w:rFonts w:hint="eastAsia" w:ascii="宋体" w:hAnsi="宋体" w:eastAsia="宋体" w:cs="宋体"/>
                <w:bCs/>
                <w:color w:val="auto"/>
                <w:kern w:val="2"/>
                <w:sz w:val="22"/>
                <w:szCs w:val="22"/>
              </w:rPr>
              <w:t>售后响应时间，</w:t>
            </w:r>
            <w:r>
              <w:rPr>
                <w:rFonts w:hint="eastAsia" w:ascii="宋体" w:hAnsi="宋体" w:eastAsia="宋体" w:cs="宋体"/>
                <w:bCs/>
                <w:color w:val="auto"/>
                <w:kern w:val="2"/>
                <w:sz w:val="22"/>
                <w:szCs w:val="22"/>
                <w:lang w:val="en-US" w:eastAsia="zh-CN"/>
              </w:rPr>
              <w:t>5.售后理赔等；</w:t>
            </w:r>
          </w:p>
          <w:p w14:paraId="7C95397B">
            <w:pPr>
              <w:spacing w:line="300" w:lineRule="exact"/>
              <w:rPr>
                <w:rFonts w:hint="eastAsia" w:ascii="宋体" w:hAnsi="宋体" w:eastAsia="宋体" w:cs="宋体"/>
                <w:bCs/>
                <w:color w:val="auto"/>
                <w:kern w:val="2"/>
                <w:sz w:val="22"/>
                <w:szCs w:val="22"/>
                <w:lang w:val="en-US" w:eastAsia="zh-CN"/>
              </w:rPr>
            </w:pPr>
            <w:r>
              <w:rPr>
                <w:rFonts w:hint="eastAsia" w:ascii="宋体" w:hAnsi="宋体" w:eastAsia="宋体" w:cs="宋体"/>
                <w:bCs/>
                <w:color w:val="auto"/>
                <w:kern w:val="2"/>
                <w:sz w:val="22"/>
                <w:szCs w:val="22"/>
              </w:rPr>
              <w:t>上述方案具有针对性和可行性,内容完整,满足采购需求得</w:t>
            </w:r>
            <w:r>
              <w:rPr>
                <w:rFonts w:hint="eastAsia" w:ascii="宋体" w:hAnsi="宋体" w:eastAsia="宋体" w:cs="宋体"/>
                <w:bCs/>
                <w:color w:val="auto"/>
                <w:kern w:val="2"/>
                <w:sz w:val="22"/>
                <w:szCs w:val="22"/>
                <w:lang w:val="en-US" w:eastAsia="zh-CN"/>
              </w:rPr>
              <w:t>10</w:t>
            </w:r>
            <w:r>
              <w:rPr>
                <w:rFonts w:hint="eastAsia" w:ascii="宋体" w:hAnsi="宋体" w:eastAsia="宋体" w:cs="宋体"/>
                <w:bCs/>
                <w:color w:val="auto"/>
                <w:kern w:val="2"/>
                <w:sz w:val="22"/>
                <w:szCs w:val="22"/>
              </w:rPr>
              <w:t>分。小项方案内容存在缺陷扣</w:t>
            </w:r>
            <w:r>
              <w:rPr>
                <w:rFonts w:hint="eastAsia" w:ascii="宋体" w:hAnsi="宋体" w:eastAsia="宋体" w:cs="宋体"/>
                <w:bCs/>
                <w:color w:val="auto"/>
                <w:kern w:val="2"/>
                <w:sz w:val="22"/>
                <w:szCs w:val="22"/>
                <w:lang w:val="en-US" w:eastAsia="zh-CN"/>
              </w:rPr>
              <w:t>2</w:t>
            </w:r>
            <w:r>
              <w:rPr>
                <w:rFonts w:hint="eastAsia" w:ascii="宋体" w:hAnsi="宋体" w:eastAsia="宋体" w:cs="宋体"/>
                <w:bCs/>
                <w:color w:val="auto"/>
                <w:kern w:val="2"/>
                <w:sz w:val="22"/>
                <w:szCs w:val="22"/>
              </w:rPr>
              <w:t>分。未提供或存在缺失不得分</w:t>
            </w:r>
            <w:r>
              <w:rPr>
                <w:rFonts w:hint="eastAsia" w:ascii="宋体" w:hAnsi="宋体" w:eastAsia="宋体" w:cs="宋体"/>
                <w:bCs/>
                <w:color w:val="auto"/>
                <w:kern w:val="2"/>
                <w:sz w:val="22"/>
                <w:szCs w:val="22"/>
                <w:lang w:eastAsia="zh-CN"/>
              </w:rPr>
              <w:t>。</w:t>
            </w:r>
          </w:p>
        </w:tc>
        <w:tc>
          <w:tcPr>
            <w:tcW w:w="799" w:type="dxa"/>
            <w:noWrap/>
            <w:vAlign w:val="center"/>
          </w:tcPr>
          <w:p w14:paraId="23FD5638">
            <w:pPr>
              <w:spacing w:line="360" w:lineRule="exact"/>
              <w:rPr>
                <w:rFonts w:hint="eastAsia" w:ascii="宋体" w:hAnsi="宋体" w:eastAsia="宋体" w:cs="宋体"/>
                <w:bCs/>
                <w:color w:val="FF0000"/>
                <w:sz w:val="22"/>
                <w:szCs w:val="22"/>
                <w:lang w:val="zh-CN"/>
              </w:rPr>
            </w:pPr>
          </w:p>
        </w:tc>
        <w:tc>
          <w:tcPr>
            <w:tcW w:w="800" w:type="dxa"/>
            <w:noWrap/>
            <w:vAlign w:val="center"/>
          </w:tcPr>
          <w:p w14:paraId="01B6ED84">
            <w:pPr>
              <w:spacing w:line="360" w:lineRule="exact"/>
              <w:rPr>
                <w:rFonts w:hint="eastAsia" w:ascii="宋体" w:hAnsi="宋体" w:eastAsia="宋体" w:cs="宋体"/>
                <w:bCs/>
                <w:sz w:val="22"/>
                <w:szCs w:val="22"/>
                <w:lang w:val="zh-CN"/>
              </w:rPr>
            </w:pPr>
          </w:p>
        </w:tc>
        <w:tc>
          <w:tcPr>
            <w:tcW w:w="801" w:type="dxa"/>
            <w:noWrap/>
            <w:vAlign w:val="center"/>
          </w:tcPr>
          <w:p w14:paraId="1B5F6B25">
            <w:pPr>
              <w:spacing w:line="360" w:lineRule="exact"/>
              <w:rPr>
                <w:rFonts w:hint="eastAsia" w:ascii="宋体" w:hAnsi="宋体" w:eastAsia="宋体" w:cs="宋体"/>
                <w:bCs/>
                <w:sz w:val="22"/>
                <w:szCs w:val="22"/>
                <w:lang w:val="zh-CN"/>
              </w:rPr>
            </w:pPr>
          </w:p>
        </w:tc>
      </w:tr>
      <w:tr w14:paraId="7826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0" w:type="dxa"/>
            <w:noWrap/>
            <w:vAlign w:val="center"/>
          </w:tcPr>
          <w:p w14:paraId="089EE63D">
            <w:pPr>
              <w:spacing w:line="36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服务计划及服务方案（</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rPr>
              <w:t>）</w:t>
            </w:r>
          </w:p>
        </w:tc>
        <w:tc>
          <w:tcPr>
            <w:tcW w:w="6079" w:type="dxa"/>
            <w:noWrap/>
            <w:vAlign w:val="center"/>
          </w:tcPr>
          <w:p w14:paraId="759E8A44">
            <w:pPr>
              <w:spacing w:line="300" w:lineRule="exact"/>
              <w:rPr>
                <w:rFonts w:hint="eastAsia" w:ascii="宋体" w:hAnsi="宋体" w:eastAsia="宋体" w:cs="宋体"/>
                <w:bCs/>
                <w:color w:val="auto"/>
                <w:kern w:val="2"/>
                <w:sz w:val="22"/>
                <w:szCs w:val="22"/>
              </w:rPr>
            </w:pPr>
            <w:r>
              <w:rPr>
                <w:rFonts w:hint="eastAsia" w:ascii="宋体" w:hAnsi="宋体" w:eastAsia="宋体" w:cs="宋体"/>
                <w:bCs/>
                <w:color w:val="auto"/>
                <w:kern w:val="2"/>
                <w:sz w:val="22"/>
                <w:szCs w:val="22"/>
              </w:rPr>
              <w:t>详细周密的服务方案：</w:t>
            </w:r>
          </w:p>
          <w:p w14:paraId="5ADBF4D0">
            <w:pPr>
              <w:spacing w:line="300" w:lineRule="exact"/>
              <w:rPr>
                <w:rFonts w:hint="eastAsia" w:ascii="宋体" w:hAnsi="宋体" w:eastAsia="宋体" w:cs="宋体"/>
                <w:bCs/>
                <w:color w:val="auto"/>
                <w:kern w:val="2"/>
                <w:sz w:val="22"/>
                <w:szCs w:val="22"/>
              </w:rPr>
            </w:pPr>
            <w:r>
              <w:rPr>
                <w:rFonts w:hint="eastAsia" w:ascii="宋体" w:hAnsi="宋体" w:eastAsia="宋体" w:cs="宋体"/>
                <w:bCs/>
                <w:color w:val="auto"/>
                <w:kern w:val="2"/>
                <w:sz w:val="22"/>
                <w:szCs w:val="22"/>
                <w:lang w:val="en-US" w:eastAsia="zh-CN"/>
              </w:rPr>
              <w:t>1.</w:t>
            </w:r>
            <w:r>
              <w:rPr>
                <w:rFonts w:hint="eastAsia" w:ascii="宋体" w:hAnsi="宋体" w:eastAsia="宋体" w:cs="宋体"/>
                <w:bCs/>
                <w:color w:val="auto"/>
                <w:kern w:val="2"/>
                <w:sz w:val="22"/>
                <w:szCs w:val="22"/>
              </w:rPr>
              <w:t>包含管理流程</w:t>
            </w:r>
            <w:r>
              <w:rPr>
                <w:rFonts w:hint="eastAsia" w:ascii="宋体" w:hAnsi="宋体" w:eastAsia="宋体" w:cs="宋体"/>
                <w:bCs/>
                <w:color w:val="auto"/>
                <w:kern w:val="2"/>
                <w:sz w:val="22"/>
                <w:szCs w:val="22"/>
                <w:lang w:eastAsia="zh-CN"/>
              </w:rPr>
              <w:t>，</w:t>
            </w:r>
            <w:r>
              <w:rPr>
                <w:rFonts w:hint="eastAsia" w:ascii="宋体" w:hAnsi="宋体" w:eastAsia="宋体" w:cs="宋体"/>
                <w:bCs/>
                <w:color w:val="auto"/>
                <w:kern w:val="2"/>
                <w:sz w:val="22"/>
                <w:szCs w:val="22"/>
                <w:lang w:val="en-US" w:eastAsia="zh-CN"/>
              </w:rPr>
              <w:t>2.</w:t>
            </w:r>
            <w:r>
              <w:rPr>
                <w:rFonts w:hint="eastAsia" w:ascii="宋体" w:hAnsi="宋体" w:eastAsia="宋体" w:cs="宋体"/>
                <w:bCs/>
                <w:color w:val="auto"/>
                <w:kern w:val="2"/>
                <w:sz w:val="22"/>
                <w:szCs w:val="22"/>
              </w:rPr>
              <w:t>理赔流程</w:t>
            </w:r>
            <w:r>
              <w:rPr>
                <w:rFonts w:hint="eastAsia" w:ascii="宋体" w:hAnsi="宋体" w:eastAsia="宋体" w:cs="宋体"/>
                <w:bCs/>
                <w:color w:val="auto"/>
                <w:kern w:val="2"/>
                <w:sz w:val="22"/>
                <w:szCs w:val="22"/>
                <w:lang w:eastAsia="zh-CN"/>
              </w:rPr>
              <w:t>，</w:t>
            </w:r>
            <w:r>
              <w:rPr>
                <w:rFonts w:hint="eastAsia" w:ascii="宋体" w:hAnsi="宋体" w:eastAsia="宋体" w:cs="宋体"/>
                <w:bCs/>
                <w:color w:val="auto"/>
                <w:kern w:val="2"/>
                <w:sz w:val="22"/>
                <w:szCs w:val="22"/>
                <w:lang w:val="en-US" w:eastAsia="zh-CN"/>
              </w:rPr>
              <w:t>3.</w:t>
            </w:r>
            <w:r>
              <w:rPr>
                <w:rFonts w:hint="eastAsia" w:ascii="宋体" w:hAnsi="宋体" w:eastAsia="宋体" w:cs="宋体"/>
                <w:bCs/>
                <w:color w:val="auto"/>
                <w:kern w:val="2"/>
                <w:sz w:val="22"/>
                <w:szCs w:val="22"/>
              </w:rPr>
              <w:t>服务标准</w:t>
            </w:r>
            <w:r>
              <w:rPr>
                <w:rFonts w:hint="eastAsia" w:ascii="宋体" w:hAnsi="宋体" w:eastAsia="宋体" w:cs="宋体"/>
                <w:bCs/>
                <w:color w:val="auto"/>
                <w:kern w:val="2"/>
                <w:sz w:val="22"/>
                <w:szCs w:val="22"/>
                <w:lang w:eastAsia="zh-CN"/>
              </w:rPr>
              <w:t>，</w:t>
            </w:r>
            <w:r>
              <w:rPr>
                <w:rFonts w:hint="eastAsia" w:ascii="宋体" w:hAnsi="宋体" w:eastAsia="宋体" w:cs="宋体"/>
                <w:bCs/>
                <w:color w:val="auto"/>
                <w:kern w:val="2"/>
                <w:sz w:val="22"/>
                <w:szCs w:val="22"/>
                <w:lang w:val="en-US" w:eastAsia="zh-CN"/>
              </w:rPr>
              <w:t>4.</w:t>
            </w:r>
            <w:r>
              <w:rPr>
                <w:rFonts w:hint="eastAsia" w:ascii="宋体" w:hAnsi="宋体" w:eastAsia="宋体" w:cs="宋体"/>
                <w:bCs/>
                <w:color w:val="auto"/>
                <w:kern w:val="2"/>
                <w:sz w:val="22"/>
                <w:szCs w:val="22"/>
              </w:rPr>
              <w:t>理赔服务方案，</w:t>
            </w:r>
            <w:r>
              <w:rPr>
                <w:rFonts w:hint="eastAsia" w:ascii="宋体" w:hAnsi="宋体" w:eastAsia="宋体" w:cs="宋体"/>
                <w:bCs/>
                <w:color w:val="auto"/>
                <w:kern w:val="2"/>
                <w:sz w:val="22"/>
                <w:szCs w:val="22"/>
                <w:lang w:val="en-US" w:eastAsia="zh-CN"/>
              </w:rPr>
              <w:t>5.服务计划；</w:t>
            </w:r>
          </w:p>
          <w:p w14:paraId="24077510">
            <w:pPr>
              <w:spacing w:line="300" w:lineRule="exact"/>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2"/>
                <w:sz w:val="22"/>
                <w:szCs w:val="22"/>
              </w:rPr>
              <w:t>上述方案具有针对性和可行性,内容完整,满足采购需求得10分。小项方案内容存在缺陷扣2分。未提供或存在缺失不得分</w:t>
            </w:r>
            <w:r>
              <w:rPr>
                <w:rFonts w:hint="eastAsia" w:ascii="宋体" w:hAnsi="宋体" w:eastAsia="宋体" w:cs="宋体"/>
                <w:bCs/>
                <w:color w:val="auto"/>
                <w:kern w:val="2"/>
                <w:sz w:val="22"/>
                <w:szCs w:val="22"/>
                <w:lang w:eastAsia="zh-CN"/>
              </w:rPr>
              <w:t>。</w:t>
            </w:r>
          </w:p>
        </w:tc>
        <w:tc>
          <w:tcPr>
            <w:tcW w:w="799" w:type="dxa"/>
            <w:noWrap/>
            <w:vAlign w:val="center"/>
          </w:tcPr>
          <w:p w14:paraId="359D928F">
            <w:pPr>
              <w:spacing w:line="360" w:lineRule="exact"/>
              <w:rPr>
                <w:rFonts w:hint="eastAsia" w:ascii="宋体" w:hAnsi="宋体" w:eastAsia="宋体" w:cs="宋体"/>
                <w:bCs/>
                <w:color w:val="FF0000"/>
                <w:sz w:val="22"/>
                <w:szCs w:val="22"/>
                <w:lang w:val="zh-CN"/>
              </w:rPr>
            </w:pPr>
          </w:p>
        </w:tc>
        <w:tc>
          <w:tcPr>
            <w:tcW w:w="800" w:type="dxa"/>
            <w:noWrap/>
            <w:vAlign w:val="center"/>
          </w:tcPr>
          <w:p w14:paraId="1F95B132">
            <w:pPr>
              <w:spacing w:line="360" w:lineRule="exact"/>
              <w:rPr>
                <w:rFonts w:hint="eastAsia" w:ascii="宋体" w:hAnsi="宋体" w:eastAsia="宋体" w:cs="宋体"/>
                <w:bCs/>
                <w:sz w:val="22"/>
                <w:szCs w:val="22"/>
                <w:lang w:val="zh-CN"/>
              </w:rPr>
            </w:pPr>
          </w:p>
        </w:tc>
        <w:tc>
          <w:tcPr>
            <w:tcW w:w="801" w:type="dxa"/>
            <w:noWrap/>
            <w:vAlign w:val="center"/>
          </w:tcPr>
          <w:p w14:paraId="46E9B1C1">
            <w:pPr>
              <w:spacing w:line="360" w:lineRule="exact"/>
              <w:rPr>
                <w:rFonts w:hint="eastAsia" w:ascii="宋体" w:hAnsi="宋体" w:eastAsia="宋体" w:cs="宋体"/>
                <w:bCs/>
                <w:sz w:val="22"/>
                <w:szCs w:val="22"/>
                <w:lang w:val="zh-CN"/>
              </w:rPr>
            </w:pPr>
          </w:p>
        </w:tc>
      </w:tr>
      <w:tr w14:paraId="5400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0" w:type="dxa"/>
            <w:noWrap/>
            <w:vAlign w:val="center"/>
          </w:tcPr>
          <w:p w14:paraId="57FA5BAC">
            <w:pPr>
              <w:widowControl/>
              <w:spacing w:line="360" w:lineRule="exact"/>
              <w:jc w:val="center"/>
              <w:textAlignment w:val="center"/>
              <w:rPr>
                <w:rFonts w:hint="eastAsia" w:ascii="宋体" w:hAnsi="宋体" w:eastAsia="宋体" w:cs="宋体"/>
                <w:bCs/>
                <w:color w:val="auto"/>
                <w:sz w:val="22"/>
                <w:szCs w:val="22"/>
              </w:rPr>
            </w:pPr>
            <w:r>
              <w:rPr>
                <w:rFonts w:hint="eastAsia" w:ascii="宋体" w:hAnsi="宋体" w:eastAsia="宋体" w:cs="宋体"/>
                <w:color w:val="auto"/>
                <w:sz w:val="22"/>
                <w:szCs w:val="22"/>
              </w:rPr>
              <w:t>风险分析与建议</w:t>
            </w:r>
            <w:r>
              <w:rPr>
                <w:rFonts w:hint="eastAsia" w:ascii="宋体" w:hAnsi="宋体" w:eastAsia="宋体" w:cs="宋体"/>
                <w:bCs/>
                <w:color w:val="auto"/>
                <w:sz w:val="22"/>
                <w:szCs w:val="22"/>
              </w:rPr>
              <w:t>（</w:t>
            </w:r>
            <w:r>
              <w:rPr>
                <w:rFonts w:hint="eastAsia" w:ascii="宋体" w:hAnsi="宋体" w:eastAsia="宋体" w:cs="宋体"/>
                <w:bCs/>
                <w:color w:val="auto"/>
                <w:sz w:val="22"/>
                <w:szCs w:val="22"/>
                <w:lang w:val="en-US" w:eastAsia="zh-CN"/>
              </w:rPr>
              <w:t>10</w:t>
            </w:r>
            <w:r>
              <w:rPr>
                <w:rFonts w:hint="eastAsia" w:ascii="宋体" w:hAnsi="宋体" w:eastAsia="宋体" w:cs="宋体"/>
                <w:bCs/>
                <w:color w:val="auto"/>
                <w:sz w:val="22"/>
                <w:szCs w:val="22"/>
              </w:rPr>
              <w:t>分）</w:t>
            </w:r>
          </w:p>
        </w:tc>
        <w:tc>
          <w:tcPr>
            <w:tcW w:w="6079" w:type="dxa"/>
            <w:noWrap/>
            <w:vAlign w:val="center"/>
          </w:tcPr>
          <w:p w14:paraId="00631490">
            <w:pPr>
              <w:spacing w:line="300" w:lineRule="exact"/>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2"/>
                <w:sz w:val="22"/>
                <w:szCs w:val="22"/>
              </w:rPr>
              <w:t>针对本项目的安全风险特征与状况的分析，</w:t>
            </w:r>
            <w:r>
              <w:rPr>
                <w:rFonts w:hint="eastAsia" w:ascii="宋体" w:hAnsi="宋体" w:eastAsia="宋体" w:cs="宋体"/>
                <w:bCs/>
                <w:color w:val="auto"/>
                <w:kern w:val="2"/>
                <w:sz w:val="22"/>
                <w:szCs w:val="22"/>
                <w:lang w:eastAsia="zh-CN"/>
              </w:rPr>
              <w:t>提出</w:t>
            </w:r>
            <w:r>
              <w:rPr>
                <w:rFonts w:hint="eastAsia" w:ascii="宋体" w:hAnsi="宋体" w:eastAsia="宋体" w:cs="宋体"/>
                <w:bCs/>
                <w:color w:val="auto"/>
                <w:kern w:val="2"/>
                <w:sz w:val="22"/>
                <w:szCs w:val="22"/>
              </w:rPr>
              <w:t>风险分析与建议</w:t>
            </w:r>
            <w:r>
              <w:rPr>
                <w:rFonts w:hint="eastAsia" w:ascii="宋体" w:hAnsi="宋体" w:eastAsia="宋体" w:cs="宋体"/>
                <w:bCs/>
                <w:color w:val="auto"/>
                <w:kern w:val="2"/>
                <w:sz w:val="22"/>
                <w:szCs w:val="22"/>
                <w:lang w:eastAsia="zh-CN"/>
              </w:rPr>
              <w:t>至少包含以下内容：</w:t>
            </w:r>
          </w:p>
          <w:p w14:paraId="1D05AD09">
            <w:pPr>
              <w:spacing w:line="300" w:lineRule="exact"/>
              <w:rPr>
                <w:rFonts w:hint="eastAsia" w:ascii="宋体" w:hAnsi="宋体" w:eastAsia="宋体" w:cs="宋体"/>
                <w:bCs/>
                <w:color w:val="auto"/>
                <w:kern w:val="2"/>
                <w:sz w:val="22"/>
                <w:szCs w:val="22"/>
                <w:lang w:val="en-US" w:eastAsia="zh-CN"/>
              </w:rPr>
            </w:pPr>
            <w:r>
              <w:rPr>
                <w:rFonts w:hint="eastAsia" w:ascii="宋体" w:hAnsi="宋体" w:eastAsia="宋体" w:cs="宋体"/>
                <w:bCs/>
                <w:color w:val="auto"/>
                <w:kern w:val="2"/>
                <w:sz w:val="22"/>
                <w:szCs w:val="22"/>
                <w:lang w:val="en-US" w:eastAsia="zh-CN"/>
              </w:rPr>
              <w:t>1.保险产品风险，2.‌承保风险，3.理赔风险，4.利率风险‌，5.‌市场竞争风险等；</w:t>
            </w:r>
          </w:p>
          <w:p w14:paraId="70AC18EF">
            <w:pPr>
              <w:spacing w:line="300" w:lineRule="exact"/>
              <w:rPr>
                <w:rFonts w:hint="eastAsia" w:ascii="宋体" w:hAnsi="宋体" w:eastAsia="宋体" w:cs="宋体"/>
                <w:bCs/>
                <w:color w:val="auto"/>
                <w:kern w:val="2"/>
                <w:sz w:val="22"/>
                <w:szCs w:val="22"/>
                <w:lang w:val="en-US" w:eastAsia="zh-CN"/>
              </w:rPr>
            </w:pPr>
            <w:r>
              <w:rPr>
                <w:rFonts w:hint="eastAsia" w:ascii="宋体" w:hAnsi="宋体" w:eastAsia="宋体" w:cs="宋体"/>
                <w:bCs/>
                <w:color w:val="auto"/>
                <w:kern w:val="2"/>
                <w:sz w:val="22"/>
                <w:szCs w:val="22"/>
                <w:lang w:val="en-US" w:eastAsia="zh-CN"/>
              </w:rPr>
              <w:t>上述方案具有针对性和可行性,内容完整,满足采购需求得10分。小项方案内容存在缺陷扣2分。未提供或存在缺失不得分。</w:t>
            </w:r>
          </w:p>
        </w:tc>
        <w:tc>
          <w:tcPr>
            <w:tcW w:w="799" w:type="dxa"/>
            <w:noWrap/>
            <w:vAlign w:val="center"/>
          </w:tcPr>
          <w:p w14:paraId="4EC5AA05">
            <w:pPr>
              <w:spacing w:line="360" w:lineRule="exact"/>
              <w:rPr>
                <w:rFonts w:hint="eastAsia" w:ascii="宋体" w:hAnsi="宋体" w:eastAsia="宋体" w:cs="宋体"/>
                <w:bCs/>
                <w:color w:val="FF0000"/>
                <w:sz w:val="22"/>
                <w:szCs w:val="22"/>
                <w:lang w:val="zh-CN"/>
              </w:rPr>
            </w:pPr>
          </w:p>
        </w:tc>
        <w:tc>
          <w:tcPr>
            <w:tcW w:w="800" w:type="dxa"/>
            <w:noWrap/>
            <w:vAlign w:val="center"/>
          </w:tcPr>
          <w:p w14:paraId="6148215C">
            <w:pPr>
              <w:spacing w:line="360" w:lineRule="exact"/>
              <w:rPr>
                <w:rFonts w:hint="eastAsia" w:ascii="宋体" w:hAnsi="宋体" w:eastAsia="宋体" w:cs="宋体"/>
                <w:bCs/>
                <w:sz w:val="22"/>
                <w:szCs w:val="22"/>
                <w:lang w:val="zh-CN"/>
              </w:rPr>
            </w:pPr>
          </w:p>
        </w:tc>
        <w:tc>
          <w:tcPr>
            <w:tcW w:w="801" w:type="dxa"/>
            <w:noWrap/>
            <w:vAlign w:val="center"/>
          </w:tcPr>
          <w:p w14:paraId="3E94C7BE">
            <w:pPr>
              <w:spacing w:line="360" w:lineRule="exact"/>
              <w:rPr>
                <w:rFonts w:hint="eastAsia" w:ascii="宋体" w:hAnsi="宋体" w:eastAsia="宋体" w:cs="宋体"/>
                <w:bCs/>
                <w:sz w:val="22"/>
                <w:szCs w:val="22"/>
                <w:lang w:val="zh-CN"/>
              </w:rPr>
            </w:pPr>
          </w:p>
        </w:tc>
      </w:tr>
      <w:tr w14:paraId="1989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0" w:type="dxa"/>
            <w:noWrap/>
            <w:vAlign w:val="center"/>
          </w:tcPr>
          <w:p w14:paraId="35B4EB9B">
            <w:pPr>
              <w:spacing w:line="0" w:lineRule="atLeast"/>
              <w:jc w:val="center"/>
              <w:rPr>
                <w:rFonts w:hint="eastAsia" w:ascii="宋体" w:hAnsi="宋体" w:eastAsia="宋体" w:cs="宋体"/>
                <w:bCs/>
                <w:color w:val="auto"/>
                <w:sz w:val="22"/>
                <w:szCs w:val="22"/>
                <w:lang w:val="zh-CN"/>
              </w:rPr>
            </w:pPr>
            <w:r>
              <w:rPr>
                <w:rFonts w:hint="eastAsia" w:ascii="宋体" w:hAnsi="宋体" w:eastAsia="宋体" w:cs="宋体"/>
                <w:bCs/>
                <w:color w:val="auto"/>
                <w:sz w:val="22"/>
                <w:szCs w:val="22"/>
                <w:lang w:val="zh-CN"/>
              </w:rPr>
              <w:t>规章制度</w:t>
            </w:r>
          </w:p>
          <w:p w14:paraId="01D8CC4B">
            <w:pPr>
              <w:spacing w:line="0" w:lineRule="atLeast"/>
              <w:jc w:val="center"/>
              <w:rPr>
                <w:rFonts w:hint="eastAsia" w:ascii="宋体" w:hAnsi="宋体" w:eastAsia="宋体" w:cs="宋体"/>
                <w:bCs/>
                <w:color w:val="auto"/>
                <w:sz w:val="22"/>
                <w:szCs w:val="22"/>
              </w:rPr>
            </w:pPr>
            <w:r>
              <w:rPr>
                <w:rFonts w:hint="eastAsia" w:ascii="宋体" w:hAnsi="宋体" w:eastAsia="宋体" w:cs="宋体"/>
                <w:bCs/>
                <w:color w:val="auto"/>
                <w:sz w:val="22"/>
                <w:szCs w:val="22"/>
                <w:lang w:val="zh-CN"/>
              </w:rPr>
              <w:t>（</w:t>
            </w:r>
            <w:r>
              <w:rPr>
                <w:rFonts w:hint="eastAsia" w:ascii="宋体" w:hAnsi="宋体" w:eastAsia="宋体" w:cs="宋体"/>
                <w:bCs/>
                <w:color w:val="auto"/>
                <w:sz w:val="22"/>
                <w:szCs w:val="22"/>
              </w:rPr>
              <w:t>10分</w:t>
            </w:r>
            <w:r>
              <w:rPr>
                <w:rFonts w:hint="eastAsia" w:ascii="宋体" w:hAnsi="宋体" w:eastAsia="宋体" w:cs="宋体"/>
                <w:bCs/>
                <w:color w:val="auto"/>
                <w:sz w:val="22"/>
                <w:szCs w:val="22"/>
                <w:lang w:val="zh-CN"/>
              </w:rPr>
              <w:t>）</w:t>
            </w:r>
          </w:p>
        </w:tc>
        <w:tc>
          <w:tcPr>
            <w:tcW w:w="6079" w:type="dxa"/>
            <w:noWrap/>
            <w:vAlign w:val="center"/>
          </w:tcPr>
          <w:p w14:paraId="1DF1F411">
            <w:pPr>
              <w:spacing w:line="300" w:lineRule="exact"/>
              <w:rPr>
                <w:rFonts w:hint="eastAsia" w:ascii="宋体" w:hAnsi="宋体" w:eastAsia="宋体" w:cs="宋体"/>
                <w:bCs/>
                <w:color w:val="auto"/>
                <w:kern w:val="2"/>
                <w:sz w:val="22"/>
                <w:szCs w:val="22"/>
              </w:rPr>
            </w:pPr>
            <w:r>
              <w:rPr>
                <w:rFonts w:hint="eastAsia" w:ascii="宋体" w:hAnsi="宋体" w:eastAsia="宋体" w:cs="宋体"/>
                <w:bCs/>
                <w:color w:val="auto"/>
                <w:kern w:val="2"/>
                <w:sz w:val="22"/>
                <w:szCs w:val="22"/>
              </w:rPr>
              <w:t>投标人投标文件内的管理制度至少应包括以下规章制度：</w:t>
            </w:r>
          </w:p>
          <w:p w14:paraId="609DE22D">
            <w:pPr>
              <w:spacing w:line="300" w:lineRule="exact"/>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2"/>
                <w:sz w:val="22"/>
                <w:szCs w:val="22"/>
              </w:rPr>
              <w:t>1.岗位管理制度，2.岗位职责，3.工作规章制度4.安全管理制度，5.安全责任制度</w:t>
            </w:r>
            <w:r>
              <w:rPr>
                <w:rFonts w:hint="eastAsia" w:ascii="宋体" w:hAnsi="宋体" w:eastAsia="宋体" w:cs="宋体"/>
                <w:bCs/>
                <w:color w:val="auto"/>
                <w:kern w:val="2"/>
                <w:sz w:val="22"/>
                <w:szCs w:val="22"/>
                <w:lang w:eastAsia="zh-CN"/>
              </w:rPr>
              <w:t>；</w:t>
            </w:r>
          </w:p>
          <w:p w14:paraId="24211B43">
            <w:pPr>
              <w:spacing w:line="300" w:lineRule="exact"/>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2"/>
                <w:sz w:val="22"/>
                <w:szCs w:val="22"/>
              </w:rPr>
              <w:t>上述方案具有针对性和可行性,内容完整,满足采购需求得</w:t>
            </w:r>
            <w:r>
              <w:rPr>
                <w:rFonts w:hint="eastAsia" w:ascii="宋体" w:hAnsi="宋体" w:eastAsia="宋体" w:cs="宋体"/>
                <w:bCs/>
                <w:color w:val="auto"/>
                <w:kern w:val="2"/>
                <w:sz w:val="22"/>
                <w:szCs w:val="22"/>
                <w:lang w:val="en-US" w:eastAsia="zh-CN"/>
              </w:rPr>
              <w:t>10</w:t>
            </w:r>
            <w:r>
              <w:rPr>
                <w:rFonts w:hint="eastAsia" w:ascii="宋体" w:hAnsi="宋体" w:eastAsia="宋体" w:cs="宋体"/>
                <w:bCs/>
                <w:color w:val="auto"/>
                <w:kern w:val="2"/>
                <w:sz w:val="22"/>
                <w:szCs w:val="22"/>
              </w:rPr>
              <w:t>分。小项方案内容存在缺陷扣</w:t>
            </w:r>
            <w:r>
              <w:rPr>
                <w:rFonts w:hint="eastAsia" w:ascii="宋体" w:hAnsi="宋体" w:eastAsia="宋体" w:cs="宋体"/>
                <w:bCs/>
                <w:color w:val="auto"/>
                <w:kern w:val="2"/>
                <w:sz w:val="22"/>
                <w:szCs w:val="22"/>
                <w:lang w:val="en-US" w:eastAsia="zh-CN"/>
              </w:rPr>
              <w:t>2</w:t>
            </w:r>
            <w:r>
              <w:rPr>
                <w:rFonts w:hint="eastAsia" w:ascii="宋体" w:hAnsi="宋体" w:eastAsia="宋体" w:cs="宋体"/>
                <w:bCs/>
                <w:color w:val="auto"/>
                <w:kern w:val="2"/>
                <w:sz w:val="22"/>
                <w:szCs w:val="22"/>
              </w:rPr>
              <w:t>分。未提供或存在缺失不得分</w:t>
            </w:r>
            <w:r>
              <w:rPr>
                <w:rFonts w:hint="eastAsia" w:ascii="宋体" w:hAnsi="宋体" w:eastAsia="宋体" w:cs="宋体"/>
                <w:bCs/>
                <w:color w:val="auto"/>
                <w:kern w:val="2"/>
                <w:sz w:val="22"/>
                <w:szCs w:val="22"/>
                <w:lang w:eastAsia="zh-CN"/>
              </w:rPr>
              <w:t>。</w:t>
            </w:r>
          </w:p>
        </w:tc>
        <w:tc>
          <w:tcPr>
            <w:tcW w:w="799" w:type="dxa"/>
            <w:noWrap/>
            <w:vAlign w:val="center"/>
          </w:tcPr>
          <w:p w14:paraId="795D41AE">
            <w:pPr>
              <w:spacing w:line="360" w:lineRule="exact"/>
              <w:rPr>
                <w:rFonts w:hint="eastAsia" w:ascii="宋体" w:hAnsi="宋体" w:eastAsia="宋体" w:cs="宋体"/>
                <w:bCs/>
                <w:color w:val="FF0000"/>
                <w:sz w:val="22"/>
                <w:szCs w:val="22"/>
                <w:lang w:val="zh-CN"/>
              </w:rPr>
            </w:pPr>
          </w:p>
        </w:tc>
        <w:tc>
          <w:tcPr>
            <w:tcW w:w="800" w:type="dxa"/>
            <w:noWrap/>
            <w:vAlign w:val="center"/>
          </w:tcPr>
          <w:p w14:paraId="3867CD63">
            <w:pPr>
              <w:spacing w:line="360" w:lineRule="exact"/>
              <w:rPr>
                <w:rFonts w:hint="eastAsia" w:ascii="宋体" w:hAnsi="宋体" w:eastAsia="宋体" w:cs="宋体"/>
                <w:bCs/>
                <w:sz w:val="22"/>
                <w:szCs w:val="22"/>
                <w:lang w:val="zh-CN"/>
              </w:rPr>
            </w:pPr>
          </w:p>
        </w:tc>
        <w:tc>
          <w:tcPr>
            <w:tcW w:w="801" w:type="dxa"/>
            <w:noWrap/>
            <w:vAlign w:val="center"/>
          </w:tcPr>
          <w:p w14:paraId="49397A8E">
            <w:pPr>
              <w:spacing w:line="360" w:lineRule="exact"/>
              <w:rPr>
                <w:rFonts w:hint="eastAsia" w:ascii="宋体" w:hAnsi="宋体" w:eastAsia="宋体" w:cs="宋体"/>
                <w:bCs/>
                <w:sz w:val="22"/>
                <w:szCs w:val="22"/>
                <w:lang w:val="zh-CN"/>
              </w:rPr>
            </w:pPr>
          </w:p>
        </w:tc>
      </w:tr>
      <w:tr w14:paraId="1752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0" w:type="dxa"/>
            <w:noWrap/>
            <w:vAlign w:val="center"/>
          </w:tcPr>
          <w:p w14:paraId="6E94DC93">
            <w:pPr>
              <w:spacing w:line="360" w:lineRule="exact"/>
              <w:jc w:val="center"/>
              <w:rPr>
                <w:rFonts w:hint="eastAsia" w:ascii="宋体" w:hAnsi="宋体" w:eastAsia="宋体" w:cs="宋体"/>
                <w:bCs/>
                <w:color w:val="auto"/>
                <w:sz w:val="22"/>
                <w:szCs w:val="22"/>
              </w:rPr>
            </w:pPr>
            <w:r>
              <w:rPr>
                <w:rFonts w:hint="eastAsia" w:ascii="宋体" w:hAnsi="宋体" w:eastAsia="宋体" w:cs="宋体"/>
                <w:bCs/>
                <w:color w:val="auto"/>
                <w:kern w:val="2"/>
                <w:sz w:val="22"/>
                <w:szCs w:val="22"/>
              </w:rPr>
              <w:t>紧急情况的处理措施、预案以及抵抗风险的措施</w:t>
            </w:r>
            <w:r>
              <w:rPr>
                <w:rFonts w:hint="eastAsia" w:ascii="宋体" w:hAnsi="宋体" w:eastAsia="宋体" w:cs="宋体"/>
                <w:bCs/>
                <w:color w:val="auto"/>
                <w:sz w:val="22"/>
                <w:szCs w:val="22"/>
              </w:rPr>
              <w:t>（15分）</w:t>
            </w:r>
          </w:p>
        </w:tc>
        <w:tc>
          <w:tcPr>
            <w:tcW w:w="6079" w:type="dxa"/>
            <w:noWrap/>
            <w:vAlign w:val="center"/>
          </w:tcPr>
          <w:p w14:paraId="2D67CB43">
            <w:pPr>
              <w:spacing w:line="300" w:lineRule="exact"/>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2"/>
                <w:sz w:val="22"/>
                <w:szCs w:val="22"/>
              </w:rPr>
              <w:t>根据投标提供的紧急情况的处理措施、预案以及抵抗风险的措施进行综合比较</w:t>
            </w:r>
            <w:r>
              <w:rPr>
                <w:rFonts w:hint="eastAsia" w:ascii="宋体" w:hAnsi="宋体" w:eastAsia="宋体" w:cs="宋体"/>
                <w:bCs/>
                <w:color w:val="auto"/>
                <w:kern w:val="2"/>
                <w:sz w:val="22"/>
                <w:szCs w:val="22"/>
                <w:lang w:eastAsia="zh-CN"/>
              </w:rPr>
              <w:t>：</w:t>
            </w:r>
          </w:p>
          <w:p w14:paraId="328D11CD">
            <w:pPr>
              <w:spacing w:line="300" w:lineRule="exact"/>
              <w:rPr>
                <w:rFonts w:hint="eastAsia" w:ascii="宋体" w:hAnsi="宋体" w:eastAsia="宋体" w:cs="宋体"/>
                <w:bCs/>
                <w:color w:val="auto"/>
                <w:kern w:val="2"/>
                <w:sz w:val="22"/>
                <w:szCs w:val="22"/>
                <w:lang w:val="en-US" w:eastAsia="zh-CN"/>
              </w:rPr>
            </w:pPr>
            <w:r>
              <w:rPr>
                <w:rFonts w:hint="eastAsia" w:ascii="宋体" w:hAnsi="宋体" w:eastAsia="宋体" w:cs="宋体"/>
                <w:bCs/>
                <w:color w:val="auto"/>
                <w:kern w:val="2"/>
                <w:sz w:val="22"/>
                <w:szCs w:val="22"/>
                <w:lang w:val="en-US" w:eastAsia="zh-CN"/>
              </w:rPr>
              <w:t>1.突发事件的处理原则，2.保密措施，3.突发事件的应对措施，4.紧急情况的处理时限，5.保险风险的应急预案；</w:t>
            </w:r>
          </w:p>
          <w:p w14:paraId="6EA9D05B">
            <w:pPr>
              <w:spacing w:line="300" w:lineRule="exact"/>
              <w:rPr>
                <w:rFonts w:hint="eastAsia" w:ascii="宋体" w:hAnsi="宋体" w:eastAsia="宋体" w:cs="宋体"/>
                <w:bCs/>
                <w:color w:val="auto"/>
                <w:kern w:val="2"/>
                <w:sz w:val="22"/>
                <w:szCs w:val="22"/>
                <w:lang w:val="zh-CN"/>
              </w:rPr>
            </w:pPr>
            <w:r>
              <w:rPr>
                <w:rFonts w:hint="eastAsia" w:ascii="宋体" w:hAnsi="宋体" w:eastAsia="宋体" w:cs="宋体"/>
                <w:bCs/>
                <w:color w:val="auto"/>
                <w:kern w:val="2"/>
                <w:sz w:val="22"/>
                <w:szCs w:val="22"/>
              </w:rPr>
              <w:t>上述方案具有针对性和可行性,内容完整,满足采购需求得</w:t>
            </w:r>
            <w:r>
              <w:rPr>
                <w:rFonts w:hint="eastAsia" w:ascii="宋体" w:hAnsi="宋体" w:eastAsia="宋体" w:cs="宋体"/>
                <w:bCs/>
                <w:color w:val="auto"/>
                <w:kern w:val="2"/>
                <w:sz w:val="22"/>
                <w:szCs w:val="22"/>
                <w:lang w:val="en-US" w:eastAsia="zh-CN"/>
              </w:rPr>
              <w:t>15</w:t>
            </w:r>
            <w:r>
              <w:rPr>
                <w:rFonts w:hint="eastAsia" w:ascii="宋体" w:hAnsi="宋体" w:eastAsia="宋体" w:cs="宋体"/>
                <w:bCs/>
                <w:color w:val="auto"/>
                <w:kern w:val="2"/>
                <w:sz w:val="22"/>
                <w:szCs w:val="22"/>
              </w:rPr>
              <w:t>分。小项方案内容存在缺陷扣</w:t>
            </w:r>
            <w:r>
              <w:rPr>
                <w:rFonts w:hint="eastAsia" w:ascii="宋体" w:hAnsi="宋体" w:eastAsia="宋体" w:cs="宋体"/>
                <w:bCs/>
                <w:color w:val="auto"/>
                <w:kern w:val="2"/>
                <w:sz w:val="22"/>
                <w:szCs w:val="22"/>
                <w:lang w:val="en-US" w:eastAsia="zh-CN"/>
              </w:rPr>
              <w:t>3</w:t>
            </w:r>
            <w:r>
              <w:rPr>
                <w:rFonts w:hint="eastAsia" w:ascii="宋体" w:hAnsi="宋体" w:eastAsia="宋体" w:cs="宋体"/>
                <w:bCs/>
                <w:color w:val="auto"/>
                <w:kern w:val="2"/>
                <w:sz w:val="22"/>
                <w:szCs w:val="22"/>
              </w:rPr>
              <w:t>分。未提供或存在缺失不得分</w:t>
            </w:r>
            <w:r>
              <w:rPr>
                <w:rFonts w:hint="eastAsia" w:ascii="宋体" w:hAnsi="宋体" w:eastAsia="宋体" w:cs="宋体"/>
                <w:bCs/>
                <w:color w:val="auto"/>
                <w:kern w:val="2"/>
                <w:sz w:val="22"/>
                <w:szCs w:val="22"/>
                <w:lang w:eastAsia="zh-CN"/>
              </w:rPr>
              <w:t>。</w:t>
            </w:r>
          </w:p>
        </w:tc>
        <w:tc>
          <w:tcPr>
            <w:tcW w:w="799" w:type="dxa"/>
            <w:noWrap/>
            <w:vAlign w:val="center"/>
          </w:tcPr>
          <w:p w14:paraId="7A2380C9">
            <w:pPr>
              <w:spacing w:line="360" w:lineRule="exact"/>
              <w:rPr>
                <w:rFonts w:hint="eastAsia" w:ascii="宋体" w:hAnsi="宋体" w:eastAsia="宋体" w:cs="宋体"/>
                <w:bCs/>
                <w:color w:val="FF0000"/>
                <w:sz w:val="22"/>
                <w:szCs w:val="22"/>
                <w:lang w:val="zh-CN"/>
              </w:rPr>
            </w:pPr>
          </w:p>
        </w:tc>
        <w:tc>
          <w:tcPr>
            <w:tcW w:w="800" w:type="dxa"/>
            <w:noWrap/>
            <w:vAlign w:val="center"/>
          </w:tcPr>
          <w:p w14:paraId="1570F834">
            <w:pPr>
              <w:spacing w:line="360" w:lineRule="exact"/>
              <w:rPr>
                <w:rFonts w:hint="eastAsia" w:ascii="宋体" w:hAnsi="宋体" w:eastAsia="宋体" w:cs="宋体"/>
                <w:bCs/>
                <w:sz w:val="22"/>
                <w:szCs w:val="22"/>
                <w:lang w:val="zh-CN"/>
              </w:rPr>
            </w:pPr>
          </w:p>
        </w:tc>
        <w:tc>
          <w:tcPr>
            <w:tcW w:w="801" w:type="dxa"/>
            <w:noWrap/>
            <w:vAlign w:val="center"/>
          </w:tcPr>
          <w:p w14:paraId="3BC69587">
            <w:pPr>
              <w:spacing w:line="360" w:lineRule="exact"/>
              <w:rPr>
                <w:rFonts w:hint="eastAsia" w:ascii="宋体" w:hAnsi="宋体" w:eastAsia="宋体" w:cs="宋体"/>
                <w:bCs/>
                <w:sz w:val="22"/>
                <w:szCs w:val="22"/>
                <w:lang w:val="zh-CN"/>
              </w:rPr>
            </w:pPr>
          </w:p>
        </w:tc>
      </w:tr>
      <w:tr w14:paraId="10CA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400" w:type="dxa"/>
            <w:noWrap/>
            <w:vAlign w:val="center"/>
          </w:tcPr>
          <w:p w14:paraId="36AE18EE">
            <w:pPr>
              <w:spacing w:line="360" w:lineRule="exact"/>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项目保障能力（10分）</w:t>
            </w:r>
          </w:p>
        </w:tc>
        <w:tc>
          <w:tcPr>
            <w:tcW w:w="6079" w:type="dxa"/>
            <w:noWrap/>
            <w:vAlign w:val="center"/>
          </w:tcPr>
          <w:p w14:paraId="50C53699">
            <w:pPr>
              <w:spacing w:line="300" w:lineRule="exact"/>
              <w:rPr>
                <w:rFonts w:hint="eastAsia" w:ascii="宋体" w:hAnsi="宋体" w:eastAsia="宋体" w:cs="宋体"/>
                <w:bCs/>
                <w:color w:val="auto"/>
                <w:kern w:val="2"/>
                <w:sz w:val="22"/>
                <w:szCs w:val="22"/>
                <w:lang w:eastAsia="zh-CN"/>
              </w:rPr>
            </w:pPr>
            <w:r>
              <w:rPr>
                <w:rFonts w:hint="eastAsia" w:ascii="宋体" w:hAnsi="宋体" w:eastAsia="宋体" w:cs="宋体"/>
                <w:bCs/>
                <w:color w:val="auto"/>
                <w:kern w:val="2"/>
                <w:sz w:val="22"/>
                <w:szCs w:val="22"/>
              </w:rPr>
              <w:t>项目管理可以充分保障本项目顺利实施</w:t>
            </w:r>
            <w:r>
              <w:rPr>
                <w:rFonts w:hint="eastAsia" w:ascii="宋体" w:hAnsi="宋体" w:eastAsia="宋体" w:cs="宋体"/>
                <w:bCs/>
                <w:color w:val="auto"/>
                <w:kern w:val="2"/>
                <w:sz w:val="22"/>
                <w:szCs w:val="22"/>
                <w:lang w:eastAsia="zh-CN"/>
              </w:rPr>
              <w:t>：</w:t>
            </w:r>
          </w:p>
          <w:p w14:paraId="43182FC0">
            <w:pPr>
              <w:spacing w:line="300" w:lineRule="exact"/>
              <w:rPr>
                <w:rFonts w:hint="eastAsia" w:ascii="宋体" w:hAnsi="宋体" w:eastAsia="宋体" w:cs="宋体"/>
                <w:bCs/>
                <w:color w:val="auto"/>
                <w:kern w:val="2"/>
                <w:sz w:val="22"/>
                <w:szCs w:val="22"/>
                <w:lang w:val="en-US" w:eastAsia="zh-CN"/>
              </w:rPr>
            </w:pPr>
            <w:r>
              <w:rPr>
                <w:rFonts w:hint="eastAsia" w:ascii="宋体" w:hAnsi="宋体" w:eastAsia="宋体" w:cs="宋体"/>
                <w:bCs/>
                <w:color w:val="auto"/>
                <w:kern w:val="2"/>
                <w:sz w:val="22"/>
                <w:szCs w:val="22"/>
                <w:lang w:val="en-US" w:eastAsia="zh-CN"/>
              </w:rPr>
              <w:t>1.财产保险的补偿能力，2.人身保险的给付能力，3.理赔的金额，4.保险的责任，5.保险的期限；</w:t>
            </w:r>
          </w:p>
          <w:p w14:paraId="7F941D81">
            <w:pPr>
              <w:spacing w:line="300" w:lineRule="exact"/>
              <w:rPr>
                <w:rFonts w:hint="eastAsia" w:ascii="宋体" w:hAnsi="宋体" w:eastAsia="宋体" w:cs="宋体"/>
                <w:bCs/>
                <w:color w:val="auto"/>
                <w:kern w:val="2"/>
                <w:sz w:val="22"/>
                <w:szCs w:val="22"/>
                <w:lang w:val="zh-CN"/>
              </w:rPr>
            </w:pPr>
            <w:r>
              <w:rPr>
                <w:rFonts w:hint="eastAsia" w:ascii="宋体" w:hAnsi="宋体" w:eastAsia="宋体" w:cs="宋体"/>
                <w:bCs/>
                <w:color w:val="auto"/>
                <w:kern w:val="2"/>
                <w:sz w:val="22"/>
                <w:szCs w:val="22"/>
                <w:lang w:val="en-US" w:eastAsia="zh-CN"/>
              </w:rPr>
              <w:t>上述方案具有针对性和可行性,内容完整,满足采购需求得10分。小项方案内容存在缺陷扣2分。未提供或存在缺失不得分。</w:t>
            </w:r>
          </w:p>
        </w:tc>
        <w:tc>
          <w:tcPr>
            <w:tcW w:w="799" w:type="dxa"/>
            <w:noWrap/>
            <w:vAlign w:val="center"/>
          </w:tcPr>
          <w:p w14:paraId="0277210E">
            <w:pPr>
              <w:spacing w:line="360" w:lineRule="exact"/>
              <w:rPr>
                <w:rFonts w:hint="eastAsia" w:ascii="宋体" w:hAnsi="宋体" w:eastAsia="宋体" w:cs="宋体"/>
                <w:bCs/>
                <w:color w:val="FF0000"/>
                <w:sz w:val="22"/>
                <w:szCs w:val="22"/>
                <w:lang w:val="zh-CN"/>
              </w:rPr>
            </w:pPr>
          </w:p>
        </w:tc>
        <w:tc>
          <w:tcPr>
            <w:tcW w:w="800" w:type="dxa"/>
            <w:noWrap/>
            <w:vAlign w:val="center"/>
          </w:tcPr>
          <w:p w14:paraId="729EDF5B">
            <w:pPr>
              <w:spacing w:line="360" w:lineRule="exact"/>
              <w:rPr>
                <w:rFonts w:hint="eastAsia" w:ascii="宋体" w:hAnsi="宋体" w:eastAsia="宋体" w:cs="宋体"/>
                <w:bCs/>
                <w:sz w:val="22"/>
                <w:szCs w:val="22"/>
                <w:lang w:val="zh-CN"/>
              </w:rPr>
            </w:pPr>
          </w:p>
        </w:tc>
        <w:tc>
          <w:tcPr>
            <w:tcW w:w="801" w:type="dxa"/>
            <w:noWrap/>
            <w:vAlign w:val="center"/>
          </w:tcPr>
          <w:p w14:paraId="66BF91FE">
            <w:pPr>
              <w:spacing w:line="360" w:lineRule="exact"/>
              <w:rPr>
                <w:rFonts w:hint="eastAsia" w:ascii="宋体" w:hAnsi="宋体" w:eastAsia="宋体" w:cs="宋体"/>
                <w:bCs/>
                <w:sz w:val="22"/>
                <w:szCs w:val="22"/>
                <w:lang w:val="zh-CN"/>
              </w:rPr>
            </w:pPr>
          </w:p>
        </w:tc>
      </w:tr>
      <w:tr w14:paraId="00F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479" w:type="dxa"/>
            <w:gridSpan w:val="2"/>
            <w:noWrap/>
            <w:vAlign w:val="center"/>
          </w:tcPr>
          <w:p w14:paraId="50F6FA7F">
            <w:pPr>
              <w:spacing w:line="360" w:lineRule="exact"/>
              <w:jc w:val="center"/>
              <w:rPr>
                <w:rFonts w:hint="eastAsia" w:ascii="宋体" w:hAnsi="宋体" w:eastAsia="宋体" w:cs="宋体"/>
                <w:bCs/>
                <w:spacing w:val="-6"/>
                <w:sz w:val="22"/>
                <w:szCs w:val="22"/>
              </w:rPr>
            </w:pPr>
            <w:r>
              <w:rPr>
                <w:rFonts w:hint="eastAsia" w:ascii="宋体" w:hAnsi="宋体" w:eastAsia="宋体" w:cs="宋体"/>
                <w:bCs/>
                <w:spacing w:val="-6"/>
                <w:sz w:val="22"/>
                <w:szCs w:val="22"/>
              </w:rPr>
              <w:t>合计</w:t>
            </w:r>
          </w:p>
        </w:tc>
        <w:tc>
          <w:tcPr>
            <w:tcW w:w="799" w:type="dxa"/>
            <w:noWrap/>
            <w:vAlign w:val="center"/>
          </w:tcPr>
          <w:p w14:paraId="10F3B279">
            <w:pPr>
              <w:spacing w:line="360" w:lineRule="exact"/>
              <w:rPr>
                <w:rFonts w:hint="eastAsia" w:ascii="宋体" w:hAnsi="宋体" w:eastAsia="宋体" w:cs="宋体"/>
                <w:bCs/>
                <w:spacing w:val="-6"/>
                <w:sz w:val="22"/>
                <w:szCs w:val="22"/>
              </w:rPr>
            </w:pPr>
          </w:p>
        </w:tc>
        <w:tc>
          <w:tcPr>
            <w:tcW w:w="800" w:type="dxa"/>
            <w:noWrap/>
            <w:vAlign w:val="center"/>
          </w:tcPr>
          <w:p w14:paraId="4AD41A9F">
            <w:pPr>
              <w:spacing w:line="360" w:lineRule="exact"/>
              <w:rPr>
                <w:rFonts w:hint="eastAsia" w:ascii="宋体" w:hAnsi="宋体" w:eastAsia="宋体" w:cs="宋体"/>
                <w:bCs/>
                <w:spacing w:val="-6"/>
                <w:sz w:val="22"/>
                <w:szCs w:val="22"/>
              </w:rPr>
            </w:pPr>
          </w:p>
        </w:tc>
        <w:tc>
          <w:tcPr>
            <w:tcW w:w="801" w:type="dxa"/>
            <w:noWrap/>
            <w:vAlign w:val="center"/>
          </w:tcPr>
          <w:p w14:paraId="4BBEB303">
            <w:pPr>
              <w:spacing w:line="360" w:lineRule="exact"/>
              <w:rPr>
                <w:rFonts w:hint="eastAsia" w:ascii="宋体" w:hAnsi="宋体" w:eastAsia="宋体" w:cs="宋体"/>
                <w:bCs/>
                <w:spacing w:val="-6"/>
                <w:sz w:val="22"/>
                <w:szCs w:val="22"/>
              </w:rPr>
            </w:pPr>
          </w:p>
        </w:tc>
      </w:tr>
    </w:tbl>
    <w:p w14:paraId="79BDDFC1">
      <w:pPr>
        <w:pStyle w:val="14"/>
        <w:snapToGrid w:val="0"/>
        <w:rPr>
          <w:rFonts w:hint="eastAsia" w:ascii="宋体" w:hAnsi="宋体" w:eastAsia="宋体" w:cs="宋体"/>
          <w:sz w:val="22"/>
          <w:szCs w:val="22"/>
          <w:lang w:val="zh-CN"/>
        </w:rPr>
      </w:pPr>
      <w:r>
        <w:rPr>
          <w:rFonts w:hint="eastAsia" w:ascii="宋体" w:hAnsi="宋体" w:eastAsia="宋体" w:cs="宋体"/>
          <w:sz w:val="22"/>
          <w:szCs w:val="22"/>
        </w:rPr>
        <w:t>注：</w:t>
      </w:r>
      <w:r>
        <w:rPr>
          <w:rFonts w:hint="eastAsia" w:ascii="宋体" w:hAnsi="宋体" w:eastAsia="宋体" w:cs="宋体"/>
          <w:sz w:val="22"/>
          <w:szCs w:val="22"/>
          <w:lang w:val="zh-CN"/>
        </w:rPr>
        <w:t>在</w:t>
      </w:r>
      <w:r>
        <w:rPr>
          <w:rFonts w:hint="eastAsia" w:ascii="宋体" w:hAnsi="宋体" w:eastAsia="宋体" w:cs="宋体"/>
          <w:sz w:val="22"/>
          <w:szCs w:val="22"/>
        </w:rPr>
        <w:t>对</w:t>
      </w:r>
      <w:r>
        <w:rPr>
          <w:rFonts w:hint="eastAsia" w:ascii="宋体" w:hAnsi="宋体" w:eastAsia="宋体" w:cs="宋体"/>
          <w:sz w:val="22"/>
          <w:szCs w:val="22"/>
          <w:lang w:val="zh-CN"/>
        </w:rPr>
        <w:t>价格</w:t>
      </w:r>
      <w:r>
        <w:rPr>
          <w:rFonts w:hint="eastAsia" w:ascii="宋体" w:hAnsi="宋体" w:eastAsia="宋体" w:cs="宋体"/>
          <w:sz w:val="22"/>
          <w:szCs w:val="22"/>
        </w:rPr>
        <w:t>进行计算得分</w:t>
      </w:r>
      <w:r>
        <w:rPr>
          <w:rFonts w:hint="eastAsia" w:ascii="宋体" w:hAnsi="宋体" w:eastAsia="宋体" w:cs="宋体"/>
          <w:sz w:val="22"/>
          <w:szCs w:val="22"/>
          <w:lang w:val="zh-CN"/>
        </w:rPr>
        <w:t>时，对符合《政府采购促进中小企业发展管理办法》规定的小微企业报价给予</w:t>
      </w:r>
      <w:r>
        <w:rPr>
          <w:rFonts w:hint="eastAsia" w:ascii="宋体" w:hAnsi="宋体" w:eastAsia="宋体" w:cs="宋体"/>
          <w:sz w:val="22"/>
          <w:szCs w:val="22"/>
        </w:rPr>
        <w:t>10</w:t>
      </w:r>
      <w:r>
        <w:rPr>
          <w:rFonts w:hint="eastAsia" w:ascii="宋体" w:hAnsi="宋体" w:eastAsia="宋体" w:cs="宋体"/>
          <w:sz w:val="22"/>
          <w:szCs w:val="22"/>
          <w:lang w:val="zh-CN"/>
        </w:rPr>
        <w:t>%的扣除。</w:t>
      </w:r>
    </w:p>
    <w:p w14:paraId="0274096C">
      <w:pPr>
        <w:pStyle w:val="14"/>
        <w:snapToGrid w:val="0"/>
        <w:rPr>
          <w:rFonts w:hint="eastAsia" w:ascii="宋体" w:hAnsi="宋体" w:eastAsia="宋体" w:cs="宋体"/>
          <w:bCs/>
          <w:color w:val="auto"/>
          <w:kern w:val="2"/>
          <w:sz w:val="22"/>
          <w:szCs w:val="22"/>
          <w:lang w:val="zh-CN" w:eastAsia="zh-CN" w:bidi="ar-SA"/>
        </w:rPr>
      </w:pPr>
      <w:r>
        <w:rPr>
          <w:rFonts w:hint="eastAsia" w:ascii="宋体" w:hAnsi="宋体" w:eastAsia="宋体" w:cs="宋体"/>
          <w:bCs/>
          <w:color w:val="auto"/>
          <w:kern w:val="2"/>
          <w:sz w:val="22"/>
          <w:szCs w:val="22"/>
          <w:lang w:val="zh-CN" w:eastAsia="zh-CN" w:bidi="ar-SA"/>
        </w:rPr>
        <w:t>①依据财库[2020]46号文件规定，中小企业参加政府采购活动，应当出具本办法规定的《中小企业声明函》（见附件），否则不得享受相关中小企业扶持政策。须提供《中小企业声明函》原件并附于投标文件中。</w:t>
      </w:r>
    </w:p>
    <w:p w14:paraId="4C596818">
      <w:pPr>
        <w:pStyle w:val="14"/>
        <w:snapToGrid w:val="0"/>
        <w:rPr>
          <w:rFonts w:hint="eastAsia" w:ascii="宋体" w:hAnsi="宋体" w:eastAsia="宋体" w:cs="宋体"/>
          <w:bCs/>
          <w:color w:val="auto"/>
          <w:kern w:val="2"/>
          <w:sz w:val="22"/>
          <w:szCs w:val="22"/>
          <w:lang w:val="zh-CN" w:eastAsia="zh-CN" w:bidi="ar-SA"/>
        </w:rPr>
      </w:pPr>
      <w:r>
        <w:rPr>
          <w:rFonts w:hint="eastAsia" w:ascii="宋体" w:hAnsi="宋体" w:eastAsia="宋体" w:cs="宋体"/>
          <w:bCs/>
          <w:color w:val="auto"/>
          <w:kern w:val="2"/>
          <w:sz w:val="22"/>
          <w:szCs w:val="22"/>
          <w:lang w:val="zh-CN" w:eastAsia="zh-CN" w:bidi="ar-SA"/>
        </w:rPr>
        <w:t>②依据财库[2014]68号文件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相应证明文件复印件加盖投标人公章附于投标文件中。</w:t>
      </w:r>
    </w:p>
    <w:p w14:paraId="0F9A2AA5">
      <w:pPr>
        <w:pStyle w:val="14"/>
        <w:snapToGrid w:val="0"/>
        <w:rPr>
          <w:rFonts w:hint="eastAsia" w:ascii="宋体" w:hAnsi="宋体" w:eastAsia="宋体" w:cs="宋体"/>
          <w:bCs/>
          <w:color w:val="auto"/>
          <w:kern w:val="2"/>
          <w:sz w:val="22"/>
          <w:szCs w:val="22"/>
          <w:lang w:val="zh-CN" w:eastAsia="zh-CN" w:bidi="ar-SA"/>
        </w:rPr>
      </w:pPr>
      <w:r>
        <w:rPr>
          <w:rFonts w:hint="eastAsia" w:ascii="宋体" w:hAnsi="宋体" w:eastAsia="宋体" w:cs="宋体"/>
          <w:bCs/>
          <w:color w:val="auto"/>
          <w:kern w:val="2"/>
          <w:sz w:val="22"/>
          <w:szCs w:val="22"/>
          <w:lang w:val="zh-CN" w:eastAsia="zh-CN" w:bidi="ar-SA"/>
        </w:rPr>
        <w:t>③依据财库[2017]141号文件规定，在政府采购活动中，残疾人福利性单位视同小型、微型企业，享受预留份额、评审中价格扣除等促进中小企业发展的政府采购政策。符合条件的残疾人福利性单位在参加政府采购活动时，应当提供本通知规定的《残疾人福利性单位声明函》，并对声明的真实性负责。须提供《残疾人福利性单位声明函》原件并附于投标文件中。</w:t>
      </w:r>
    </w:p>
    <w:p w14:paraId="52AB1F79">
      <w:pPr>
        <w:rPr>
          <w:rFonts w:hint="eastAsia" w:ascii="宋体" w:hAnsi="宋体" w:eastAsia="宋体" w:cs="宋体"/>
          <w:sz w:val="22"/>
          <w:szCs w:val="22"/>
        </w:rPr>
      </w:pPr>
    </w:p>
    <w:p w14:paraId="35E4D39D">
      <w:pPr>
        <w:rPr>
          <w:rFonts w:hint="default" w:cs="宋体"/>
          <w:b/>
          <w:sz w:val="28"/>
        </w:rPr>
      </w:pPr>
      <w:r>
        <w:rPr>
          <w:rFonts w:cs="宋体"/>
          <w:b/>
          <w:sz w:val="28"/>
        </w:rPr>
        <w:br w:type="page"/>
      </w:r>
    </w:p>
    <w:p w14:paraId="463F11EF">
      <w:pPr>
        <w:spacing w:line="360" w:lineRule="auto"/>
        <w:ind w:firstLine="562" w:firstLineChars="200"/>
        <w:jc w:val="center"/>
        <w:rPr>
          <w:rFonts w:hint="default" w:cs="宋体"/>
          <w:b/>
          <w:sz w:val="28"/>
        </w:rPr>
      </w:pPr>
      <w:r>
        <w:rPr>
          <w:rFonts w:cs="宋体"/>
          <w:b/>
          <w:sz w:val="28"/>
        </w:rPr>
        <w:t>评标办法正文</w:t>
      </w:r>
    </w:p>
    <w:p w14:paraId="2C46CD39">
      <w:pPr>
        <w:spacing w:line="360" w:lineRule="auto"/>
        <w:ind w:firstLine="420" w:firstLineChars="200"/>
        <w:rPr>
          <w:rFonts w:hint="default" w:cs="宋体"/>
          <w:sz w:val="21"/>
        </w:rPr>
      </w:pPr>
      <w:r>
        <w:rPr>
          <w:rFonts w:cs="宋体"/>
          <w:sz w:val="21"/>
        </w:rPr>
        <w:t>根据《中华人民共和国政府采购法》、关于印发《政府采购竞争性磋商采购方式管理暂行办法》的通知（财库〔2014〕214号），为规范本采购项目竞争性磋商的磋商工作，制定本办法。</w:t>
      </w:r>
    </w:p>
    <w:p w14:paraId="399B205B">
      <w:pPr>
        <w:spacing w:line="360" w:lineRule="auto"/>
        <w:ind w:firstLine="420" w:firstLineChars="200"/>
        <w:rPr>
          <w:rFonts w:hint="default" w:cs="宋体"/>
          <w:sz w:val="21"/>
        </w:rPr>
      </w:pPr>
      <w:r>
        <w:rPr>
          <w:rFonts w:cs="宋体"/>
          <w:sz w:val="21"/>
        </w:rPr>
        <w:t>本项目采用综合评分法，总分为100分，按评审后综合得分由高到低顺序排列，由磋商小组推荐3名成交候选人，评审得分相同的，按照最后报价由低到高的顺序推荐。评审得分且最后报价相同的，按照技术指标优劣顺序推荐。</w:t>
      </w:r>
    </w:p>
    <w:p w14:paraId="14EA1A2C">
      <w:pPr>
        <w:spacing w:line="360" w:lineRule="auto"/>
        <w:ind w:firstLine="420" w:firstLineChars="200"/>
        <w:rPr>
          <w:rFonts w:hint="default" w:cs="宋体"/>
          <w:sz w:val="21"/>
        </w:rPr>
      </w:pPr>
      <w:r>
        <w:rPr>
          <w:rFonts w:cs="宋体"/>
          <w:sz w:val="21"/>
        </w:rPr>
        <w:t>1.磋商小组依据本章磋商标准规定对磋商响应文件进行评审。</w:t>
      </w:r>
    </w:p>
    <w:p w14:paraId="5628C14E">
      <w:pPr>
        <w:spacing w:line="360" w:lineRule="auto"/>
        <w:ind w:firstLine="420" w:firstLineChars="200"/>
        <w:rPr>
          <w:rFonts w:hint="default" w:cs="宋体"/>
          <w:sz w:val="21"/>
        </w:rPr>
      </w:pPr>
      <w:r>
        <w:rPr>
          <w:rFonts w:cs="宋体"/>
          <w:sz w:val="21"/>
        </w:rPr>
        <w:t>2.磋商原则</w:t>
      </w:r>
    </w:p>
    <w:p w14:paraId="32244BF4">
      <w:pPr>
        <w:spacing w:line="360" w:lineRule="auto"/>
        <w:ind w:firstLine="420" w:firstLineChars="200"/>
        <w:rPr>
          <w:rFonts w:hint="default" w:cs="宋体"/>
          <w:sz w:val="21"/>
        </w:rPr>
      </w:pPr>
      <w:r>
        <w:rPr>
          <w:rFonts w:cs="宋体"/>
          <w:sz w:val="21"/>
        </w:rPr>
        <w:t>遵循公平、公正、科学、择优的原则。</w:t>
      </w:r>
    </w:p>
    <w:p w14:paraId="7FA6DF33">
      <w:pPr>
        <w:spacing w:line="360" w:lineRule="auto"/>
        <w:ind w:firstLine="420" w:firstLineChars="200"/>
        <w:rPr>
          <w:rFonts w:hint="default" w:cs="宋体"/>
          <w:sz w:val="21"/>
        </w:rPr>
      </w:pPr>
      <w:r>
        <w:rPr>
          <w:rFonts w:cs="宋体"/>
          <w:sz w:val="21"/>
        </w:rPr>
        <w:t>3.磋商小组组成及职责</w:t>
      </w:r>
    </w:p>
    <w:p w14:paraId="1530418D">
      <w:pPr>
        <w:spacing w:line="360" w:lineRule="auto"/>
        <w:ind w:firstLine="420" w:firstLineChars="200"/>
        <w:rPr>
          <w:rFonts w:hint="default" w:cs="宋体"/>
          <w:sz w:val="21"/>
        </w:rPr>
      </w:pPr>
      <w:r>
        <w:rPr>
          <w:rFonts w:cs="宋体"/>
          <w:sz w:val="21"/>
        </w:rPr>
        <w:t>磋商小组</w:t>
      </w:r>
    </w:p>
    <w:p w14:paraId="46B08BF6">
      <w:pPr>
        <w:spacing w:line="360" w:lineRule="auto"/>
        <w:ind w:firstLine="420" w:firstLineChars="200"/>
        <w:rPr>
          <w:rFonts w:hint="default" w:cs="宋体"/>
          <w:sz w:val="21"/>
        </w:rPr>
      </w:pPr>
      <w:r>
        <w:rPr>
          <w:rFonts w:cs="宋体"/>
          <w:sz w:val="21"/>
        </w:rPr>
        <w:t>磋商小组由采购人依法组建。</w:t>
      </w:r>
    </w:p>
    <w:p w14:paraId="27D6E429">
      <w:pPr>
        <w:spacing w:line="360" w:lineRule="auto"/>
        <w:ind w:firstLine="420" w:firstLineChars="200"/>
        <w:rPr>
          <w:rFonts w:hint="default" w:cs="宋体"/>
          <w:sz w:val="21"/>
        </w:rPr>
      </w:pPr>
      <w:r>
        <w:rPr>
          <w:rFonts w:cs="宋体"/>
          <w:sz w:val="21"/>
        </w:rPr>
        <w:t>磋商小组的职责</w:t>
      </w:r>
    </w:p>
    <w:p w14:paraId="609195C8">
      <w:pPr>
        <w:spacing w:line="360" w:lineRule="auto"/>
        <w:ind w:firstLine="420" w:firstLineChars="200"/>
        <w:rPr>
          <w:rFonts w:hint="default" w:cs="宋体"/>
          <w:sz w:val="21"/>
        </w:rPr>
      </w:pPr>
      <w:r>
        <w:rPr>
          <w:rFonts w:cs="宋体"/>
          <w:sz w:val="21"/>
        </w:rPr>
        <w:t>磋商小组应当根据磋商办法，对磋商响应文件进行评审和比较，向采购人推荐1-3成交候选人或根据采购人的授权直接确定成交投标供应商。各评委独立评审，提出评审意见，不受任何单位或者个人的干预。各评委对各自评审结果负责，并在磋商报告上签字确认。对磋商结论持有异议的磋商小组成员可以书面方式阐述其不同意见和理由。磋商小组成员拒绝在磋商报告上签字且不陈述其不同意见和理由的，视为同意磋商结论。磋商小组应当对此作出书面说明并记录在案。</w:t>
      </w:r>
    </w:p>
    <w:p w14:paraId="2EE257FE">
      <w:pPr>
        <w:spacing w:line="360" w:lineRule="auto"/>
        <w:ind w:firstLine="420" w:firstLineChars="200"/>
        <w:rPr>
          <w:rFonts w:hint="default" w:cs="宋体"/>
          <w:sz w:val="21"/>
        </w:rPr>
      </w:pPr>
      <w:r>
        <w:rPr>
          <w:rFonts w:cs="宋体"/>
          <w:sz w:val="21"/>
        </w:rPr>
        <w:t>4.磋商程序</w:t>
      </w:r>
    </w:p>
    <w:p w14:paraId="0D87CB33">
      <w:pPr>
        <w:spacing w:line="360" w:lineRule="auto"/>
        <w:ind w:firstLine="420" w:firstLineChars="200"/>
        <w:rPr>
          <w:rFonts w:hint="default" w:cs="宋体"/>
          <w:sz w:val="21"/>
        </w:rPr>
      </w:pPr>
      <w:r>
        <w:rPr>
          <w:rFonts w:cs="宋体"/>
          <w:sz w:val="21"/>
        </w:rPr>
        <w:t>磋商准备、初步评审（初审指标评审）、详细评审。</w:t>
      </w:r>
    </w:p>
    <w:p w14:paraId="568FBE2F">
      <w:pPr>
        <w:spacing w:line="360" w:lineRule="auto"/>
        <w:ind w:firstLine="420" w:firstLineChars="200"/>
        <w:rPr>
          <w:rFonts w:hint="default" w:cs="宋体"/>
          <w:sz w:val="21"/>
        </w:rPr>
      </w:pPr>
      <w:r>
        <w:rPr>
          <w:rFonts w:cs="宋体"/>
          <w:sz w:val="21"/>
        </w:rPr>
        <w:t>磋商准备</w:t>
      </w:r>
    </w:p>
    <w:p w14:paraId="1F5908DC">
      <w:pPr>
        <w:spacing w:line="360" w:lineRule="auto"/>
        <w:ind w:firstLine="420" w:firstLineChars="200"/>
        <w:rPr>
          <w:rFonts w:hint="default" w:cs="宋体"/>
          <w:sz w:val="21"/>
        </w:rPr>
      </w:pPr>
      <w:r>
        <w:rPr>
          <w:rFonts w:cs="宋体"/>
          <w:sz w:val="21"/>
        </w:rPr>
        <w:t>磋商小组熟悉磋商工作情况：</w:t>
      </w:r>
    </w:p>
    <w:p w14:paraId="20D85881">
      <w:pPr>
        <w:spacing w:line="360" w:lineRule="auto"/>
        <w:ind w:firstLine="420" w:firstLineChars="200"/>
        <w:rPr>
          <w:rFonts w:hint="default" w:cs="宋体"/>
          <w:sz w:val="21"/>
        </w:rPr>
      </w:pPr>
      <w:r>
        <w:rPr>
          <w:rFonts w:cs="宋体"/>
          <w:sz w:val="21"/>
        </w:rPr>
        <w:t>(1)听取采购人或者其委托的采购代理机构对竞争性磋商项目情况的介绍。</w:t>
      </w:r>
    </w:p>
    <w:p w14:paraId="1D0D01CF">
      <w:pPr>
        <w:spacing w:line="360" w:lineRule="auto"/>
        <w:ind w:firstLine="420" w:firstLineChars="200"/>
        <w:rPr>
          <w:rFonts w:hint="default" w:cs="宋体"/>
          <w:sz w:val="21"/>
        </w:rPr>
      </w:pPr>
      <w:r>
        <w:rPr>
          <w:rFonts w:cs="宋体"/>
          <w:sz w:val="21"/>
        </w:rPr>
        <w:t>(2)阅读、研究竞争性磋商文件和相关磋商资料，获取磋商所需要的重要信息和数据, 至少应了解和熟悉以下内容：竞争性磋商的目标、竞争性磋商项目的范围和性质、竞争性磋商文件规定的主要技术要求、标准和商务条款。</w:t>
      </w:r>
    </w:p>
    <w:p w14:paraId="1F5679F5">
      <w:pPr>
        <w:spacing w:line="360" w:lineRule="auto"/>
        <w:ind w:firstLine="420" w:firstLineChars="200"/>
        <w:rPr>
          <w:rFonts w:hint="default" w:cs="宋体"/>
          <w:sz w:val="21"/>
        </w:rPr>
      </w:pPr>
      <w:r>
        <w:rPr>
          <w:rFonts w:cs="宋体"/>
          <w:sz w:val="21"/>
        </w:rPr>
        <w:t>(3)熟悉竞争性磋商文件规定的磋商标准和磋商方法及在磋商过程中需要考虑的相关因素。</w:t>
      </w:r>
    </w:p>
    <w:p w14:paraId="3826958E">
      <w:pPr>
        <w:spacing w:line="360" w:lineRule="auto"/>
        <w:ind w:firstLine="420" w:firstLineChars="200"/>
        <w:rPr>
          <w:rFonts w:hint="default" w:cs="宋体"/>
          <w:sz w:val="21"/>
        </w:rPr>
      </w:pPr>
      <w:r>
        <w:rPr>
          <w:rFonts w:cs="宋体"/>
          <w:sz w:val="21"/>
        </w:rPr>
        <w:t>(4)核对磋商工作用表。</w:t>
      </w:r>
    </w:p>
    <w:p w14:paraId="5BB46285">
      <w:pPr>
        <w:spacing w:line="360" w:lineRule="auto"/>
        <w:ind w:firstLine="420" w:firstLineChars="200"/>
        <w:rPr>
          <w:rFonts w:hint="default" w:cs="宋体"/>
          <w:sz w:val="21"/>
        </w:rPr>
      </w:pPr>
      <w:r>
        <w:rPr>
          <w:rFonts w:cs="宋体"/>
          <w:sz w:val="21"/>
        </w:rPr>
        <w:t>初步评审</w:t>
      </w:r>
    </w:p>
    <w:p w14:paraId="424EC461">
      <w:pPr>
        <w:spacing w:line="360" w:lineRule="auto"/>
        <w:ind w:firstLine="420" w:firstLineChars="200"/>
        <w:rPr>
          <w:rFonts w:hint="default" w:cs="宋体"/>
          <w:sz w:val="21"/>
        </w:rPr>
      </w:pPr>
      <w:r>
        <w:rPr>
          <w:rFonts w:cs="宋体"/>
          <w:sz w:val="21"/>
        </w:rPr>
        <w:t>符合性及响应性评审和资格评审。磋商小组依据上述标准对磋商响应文件进行初步评审。有一项不符合评审标准的，视为未通过，不得进入磋商程序，磋商响应文件作无效标处理。</w:t>
      </w:r>
    </w:p>
    <w:p w14:paraId="664AA001">
      <w:pPr>
        <w:spacing w:line="360" w:lineRule="auto"/>
        <w:ind w:firstLine="420" w:firstLineChars="200"/>
        <w:rPr>
          <w:rFonts w:hint="default" w:cs="宋体"/>
          <w:sz w:val="21"/>
        </w:rPr>
      </w:pPr>
      <w:r>
        <w:rPr>
          <w:rFonts w:cs="宋体"/>
          <w:sz w:val="21"/>
        </w:rPr>
        <w:t>磋商</w:t>
      </w:r>
    </w:p>
    <w:p w14:paraId="28211741">
      <w:pPr>
        <w:spacing w:line="360" w:lineRule="auto"/>
        <w:ind w:firstLine="420" w:firstLineChars="200"/>
        <w:rPr>
          <w:rFonts w:hint="default" w:cs="宋体"/>
          <w:sz w:val="21"/>
        </w:rPr>
      </w:pPr>
      <w:r>
        <w:rPr>
          <w:rFonts w:cs="宋体"/>
          <w:sz w:val="21"/>
        </w:rPr>
        <w:t>由本项目磋商小组分别与各投标供应商进行磋商。在正式磋商前，对各投标供应商的资格条件、响应文件的有效性、完整性和响应程度进行审查，审查的内容包括投标供应商营业执照等。各投标供应商只有在完全符合磋商要求的前提下，才能参与正式磋商。</w:t>
      </w:r>
    </w:p>
    <w:p w14:paraId="01B1E227">
      <w:pPr>
        <w:spacing w:line="360" w:lineRule="auto"/>
        <w:ind w:firstLine="420" w:firstLineChars="200"/>
        <w:rPr>
          <w:rFonts w:hint="default" w:cs="宋体"/>
          <w:sz w:val="21"/>
        </w:rPr>
      </w:pPr>
      <w:r>
        <w:rPr>
          <w:rFonts w:cs="宋体"/>
          <w:sz w:val="21"/>
        </w:rPr>
        <w:t>在磋商过程中磋商的任何一方不得向他人透露与磋商有关的技术资料、价格或其他信息。</w:t>
      </w:r>
    </w:p>
    <w:p w14:paraId="37F49FF6">
      <w:pPr>
        <w:spacing w:line="360" w:lineRule="auto"/>
        <w:ind w:firstLine="420" w:firstLineChars="200"/>
        <w:rPr>
          <w:rFonts w:hint="default" w:cs="宋体"/>
          <w:sz w:val="21"/>
        </w:rPr>
      </w:pPr>
      <w:r>
        <w:rPr>
          <w:rFonts w:cs="宋体"/>
          <w:sz w:val="21"/>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投标供应商。投标供应商应当按照竞争性磋商文件的变动情况和磋商小组的要求重新提交响应文件或重新做出相关的书面承诺，并报出最佳服务，最后统一报价。（本项目不允许产生实质性变动）。</w:t>
      </w:r>
    </w:p>
    <w:p w14:paraId="3A4C2EB9">
      <w:pPr>
        <w:spacing w:line="360" w:lineRule="auto"/>
        <w:ind w:firstLine="420" w:firstLineChars="200"/>
        <w:rPr>
          <w:rFonts w:hint="default" w:cs="宋体"/>
          <w:sz w:val="21"/>
        </w:rPr>
      </w:pPr>
      <w:r>
        <w:rPr>
          <w:rFonts w:cs="宋体"/>
          <w:sz w:val="21"/>
        </w:rPr>
        <w:t>所有投标供应商在磋商时做出的所有书面承诺须由投标供应商法人授权代表签字。</w:t>
      </w:r>
    </w:p>
    <w:p w14:paraId="67BA1223">
      <w:pPr>
        <w:spacing w:line="360" w:lineRule="auto"/>
        <w:ind w:firstLine="420" w:firstLineChars="200"/>
        <w:rPr>
          <w:rFonts w:hint="default" w:cs="宋体"/>
          <w:sz w:val="21"/>
        </w:rPr>
      </w:pPr>
      <w:r>
        <w:rPr>
          <w:rFonts w:cs="宋体"/>
          <w:sz w:val="21"/>
        </w:rPr>
        <w:t>磋商结束后，磋商小组应当要求所有实质性响应的投标供应商在规定时间内提交最后报价。经磋商确定最终采购需求和提交最后报价的投标供应商后，由磋商小组采用综合评分法对提交最后报价的投标供应商的响应文件和最后报价进行综合评分。</w:t>
      </w:r>
    </w:p>
    <w:p w14:paraId="3973E430">
      <w:pPr>
        <w:spacing w:line="360" w:lineRule="auto"/>
        <w:ind w:firstLine="420" w:firstLineChars="200"/>
        <w:rPr>
          <w:rFonts w:hint="default" w:cs="宋体"/>
          <w:sz w:val="21"/>
        </w:rPr>
      </w:pPr>
      <w:r>
        <w:rPr>
          <w:rFonts w:cs="宋体"/>
          <w:sz w:val="21"/>
        </w:rPr>
        <w:t>本项目规定报价次数为两次。磋商小组根据评标情况，要求通过资格性审查的投标供应商在规定的时间内同时书面提出二次报价及有关承诺（填写《最终响应总报价函》并密封递交）。已提交响应文件的投标供应商，不同意二次报价的或在提交第二次报价之前退出磋商的或超出规定时间没有进行第二次报价的投标供应商，均视为自动放弃投标，投标单位的二次报价须低于或等于其第一次报价，否则视为无效报价，报价不参与分值计算。</w:t>
      </w:r>
    </w:p>
    <w:p w14:paraId="40CC4CD9">
      <w:pPr>
        <w:spacing w:line="360" w:lineRule="auto"/>
        <w:ind w:firstLine="420" w:firstLineChars="200"/>
        <w:rPr>
          <w:rFonts w:hint="default" w:cs="宋体"/>
          <w:sz w:val="21"/>
        </w:rPr>
      </w:pPr>
      <w:r>
        <w:rPr>
          <w:rFonts w:cs="宋体"/>
          <w:sz w:val="21"/>
        </w:rPr>
        <w:t>4.4推荐成交候选人：</w:t>
      </w:r>
    </w:p>
    <w:p w14:paraId="09AC779E">
      <w:pPr>
        <w:spacing w:line="360" w:lineRule="auto"/>
        <w:ind w:firstLine="420" w:firstLineChars="200"/>
        <w:rPr>
          <w:rFonts w:hint="default" w:cs="宋体"/>
          <w:sz w:val="21"/>
        </w:rPr>
      </w:pPr>
      <w:r>
        <w:rPr>
          <w:rFonts w:cs="宋体"/>
          <w:sz w:val="21"/>
        </w:rPr>
        <w:t>4.4.1经初步评审、详细评审后，按综合得分由高到低的次序推荐3名成交候选人。</w:t>
      </w:r>
    </w:p>
    <w:p w14:paraId="48B15D8B">
      <w:pPr>
        <w:spacing w:line="360" w:lineRule="auto"/>
        <w:ind w:firstLine="420" w:firstLineChars="200"/>
        <w:rPr>
          <w:rFonts w:hint="default" w:cs="宋体"/>
          <w:sz w:val="21"/>
        </w:rPr>
      </w:pPr>
      <w:r>
        <w:rPr>
          <w:rFonts w:cs="宋体"/>
          <w:sz w:val="21"/>
        </w:rPr>
        <w:t>4.4.1成交候选人在公示期间接受社会监督，一经发现涉嫌伪造现象，将取消其成交资格， 磋商保证金将予以没收。为便于对弄虚作假行为查实，更好的对成交人进行监督管理。</w:t>
      </w:r>
    </w:p>
    <w:p w14:paraId="46AC8C23">
      <w:pPr>
        <w:spacing w:line="360" w:lineRule="auto"/>
        <w:ind w:firstLine="420" w:firstLineChars="200"/>
        <w:rPr>
          <w:rFonts w:hint="default" w:cs="宋体"/>
          <w:sz w:val="21"/>
        </w:rPr>
      </w:pPr>
      <w:r>
        <w:rPr>
          <w:rFonts w:cs="宋体"/>
          <w:sz w:val="21"/>
        </w:rPr>
        <w:t>磋商响应文件的澄清和补正</w:t>
      </w:r>
    </w:p>
    <w:p w14:paraId="2710A859">
      <w:pPr>
        <w:spacing w:line="360" w:lineRule="auto"/>
        <w:ind w:firstLine="420" w:firstLineChars="200"/>
        <w:rPr>
          <w:rFonts w:hint="default" w:cs="宋体"/>
          <w:sz w:val="21"/>
        </w:rPr>
      </w:pPr>
      <w:r>
        <w:rPr>
          <w:rFonts w:cs="宋体"/>
          <w:sz w:val="21"/>
        </w:rPr>
        <w:t>在磋商过程中，磋商小组应以书面形式要求投标供应商对所提交的磋商响应文件中不明确的内容进行书面澄清或说明，或者对细微偏差进行补正。磋商小组不接受投标供应商主动提出的澄清、说明或补正。</w:t>
      </w:r>
    </w:p>
    <w:p w14:paraId="363ABDF0">
      <w:pPr>
        <w:spacing w:line="360" w:lineRule="auto"/>
        <w:ind w:firstLine="420" w:firstLineChars="200"/>
        <w:rPr>
          <w:rFonts w:hint="default" w:cs="宋体"/>
          <w:sz w:val="21"/>
        </w:rPr>
      </w:pPr>
      <w:r>
        <w:rPr>
          <w:rFonts w:cs="宋体"/>
          <w:sz w:val="21"/>
        </w:rPr>
        <w:t>澄清、说明和补正不得改变磋商响应文件的实质性内容。投标供应商的书面澄清、说明和补正属于磋商响应文件的组成部分。</w:t>
      </w:r>
    </w:p>
    <w:p w14:paraId="38E15076">
      <w:pPr>
        <w:spacing w:line="360" w:lineRule="auto"/>
        <w:ind w:firstLine="420" w:firstLineChars="200"/>
        <w:rPr>
          <w:rFonts w:hint="default" w:cs="宋体"/>
          <w:sz w:val="21"/>
        </w:rPr>
      </w:pPr>
      <w:r>
        <w:rPr>
          <w:rFonts w:cs="宋体"/>
          <w:sz w:val="21"/>
        </w:rPr>
        <w:t>磋商小组对投标供应商提交的澄清、说明或补正有疑问的，可以要求投标供应商进一步澄清、说明或补正，直至满足磋商小组的要求。</w:t>
      </w:r>
    </w:p>
    <w:p w14:paraId="308B2F23">
      <w:pPr>
        <w:spacing w:line="360" w:lineRule="auto"/>
        <w:ind w:firstLine="420" w:firstLineChars="200"/>
        <w:rPr>
          <w:rFonts w:hint="default" w:cs="宋体"/>
          <w:sz w:val="21"/>
        </w:rPr>
      </w:pPr>
      <w:r>
        <w:rPr>
          <w:rFonts w:cs="宋体"/>
          <w:sz w:val="21"/>
        </w:rPr>
        <w:t>磋商结果</w:t>
      </w:r>
    </w:p>
    <w:p w14:paraId="5B8AE5D5">
      <w:pPr>
        <w:spacing w:line="360" w:lineRule="auto"/>
        <w:ind w:firstLine="420" w:firstLineChars="200"/>
        <w:rPr>
          <w:rFonts w:hint="default" w:cs="宋体"/>
          <w:sz w:val="21"/>
        </w:rPr>
      </w:pPr>
      <w:r>
        <w:rPr>
          <w:rFonts w:cs="宋体"/>
          <w:sz w:val="21"/>
        </w:rPr>
        <w:t>除第二章“投标供应商须知”前附表授权直接确定成交投标供应商外，磋商小组按照评审结果推荐 3名成交候选人，并标明排列顺序。</w:t>
      </w:r>
    </w:p>
    <w:p w14:paraId="5E47BBAE">
      <w:pPr>
        <w:spacing w:line="360" w:lineRule="auto"/>
        <w:ind w:firstLine="420" w:firstLineChars="200"/>
        <w:rPr>
          <w:rFonts w:hint="default" w:cs="宋体"/>
          <w:sz w:val="21"/>
        </w:rPr>
      </w:pPr>
      <w:r>
        <w:rPr>
          <w:rFonts w:cs="宋体"/>
          <w:sz w:val="21"/>
        </w:rPr>
        <w:t>磋商小组完成磋商后，应当向采购人提交书面磋商报告。</w:t>
      </w:r>
    </w:p>
    <w:p w14:paraId="48283A54">
      <w:pPr>
        <w:spacing w:line="360" w:lineRule="auto"/>
        <w:ind w:firstLine="420" w:firstLineChars="200"/>
        <w:rPr>
          <w:rFonts w:hint="default" w:cs="宋体"/>
          <w:sz w:val="21"/>
        </w:rPr>
      </w:pPr>
      <w:r>
        <w:rPr>
          <w:rFonts w:cs="宋体"/>
          <w:sz w:val="21"/>
        </w:rPr>
        <w:t>依法必须进行招标的项目，采购人应当确定排名第一的成交候选人为成交投标供应商。排名第一的成交候选人放弃成交、因不可抗力提出不能履行合同，或者竞争性磋商文件规定应当提交履约保证金而在规定的期限内未能提交的，或因被查实存在影响成交结果的违法行为等情形，不符合成交条件的，采购人可按照磋商小组提出的成交候选人名单排序依次确定其他成交候选人为成交人；依次确定其他成交候选人与采购人预期差距较大，或对采购人明显不利的，采购人可重新组织招标。</w:t>
      </w:r>
    </w:p>
    <w:p w14:paraId="762C254C">
      <w:pPr>
        <w:spacing w:line="360" w:lineRule="auto"/>
        <w:ind w:firstLine="420" w:firstLineChars="200"/>
        <w:rPr>
          <w:rFonts w:hint="default" w:cs="宋体"/>
          <w:sz w:val="21"/>
        </w:rPr>
      </w:pPr>
      <w:r>
        <w:rPr>
          <w:rFonts w:cs="宋体"/>
          <w:sz w:val="21"/>
        </w:rPr>
        <w:t>6、投标供应商有以下情形之一的，初步评审后其响应作废标处理：</w:t>
      </w:r>
    </w:p>
    <w:p w14:paraId="5A3A497A">
      <w:pPr>
        <w:spacing w:line="360" w:lineRule="auto"/>
        <w:ind w:firstLine="420" w:firstLineChars="200"/>
        <w:rPr>
          <w:rFonts w:hint="default" w:cs="宋体"/>
          <w:sz w:val="21"/>
        </w:rPr>
      </w:pPr>
      <w:r>
        <w:rPr>
          <w:rFonts w:cs="宋体"/>
          <w:sz w:val="21"/>
        </w:rPr>
        <w:t>1）串通响应或弄虚作假或有其他违法行为的。串通响应行为是指：</w:t>
      </w:r>
    </w:p>
    <w:p w14:paraId="14EEDB54">
      <w:pPr>
        <w:spacing w:line="360" w:lineRule="auto"/>
        <w:ind w:firstLine="420" w:firstLineChars="200"/>
        <w:rPr>
          <w:rFonts w:hint="default" w:cs="宋体"/>
          <w:sz w:val="21"/>
        </w:rPr>
      </w:pPr>
      <w:r>
        <w:rPr>
          <w:rFonts w:cs="宋体"/>
          <w:sz w:val="21"/>
        </w:rPr>
        <w:t>（a）不同投标供应商的响应文件内容存在非正常一致的；</w:t>
      </w:r>
    </w:p>
    <w:p w14:paraId="3BBCFCE1">
      <w:pPr>
        <w:spacing w:line="360" w:lineRule="auto"/>
        <w:ind w:firstLine="420" w:firstLineChars="200"/>
        <w:rPr>
          <w:rFonts w:hint="default" w:cs="宋体"/>
          <w:sz w:val="21"/>
        </w:rPr>
      </w:pPr>
      <w:r>
        <w:rPr>
          <w:rFonts w:cs="宋体"/>
          <w:sz w:val="21"/>
        </w:rPr>
        <w:t>（b）不同投标供应商的响应报价或报价组成异常一致或呈规律性变化的；</w:t>
      </w:r>
    </w:p>
    <w:p w14:paraId="5BF5020F">
      <w:pPr>
        <w:spacing w:line="360" w:lineRule="auto"/>
        <w:ind w:firstLine="420" w:firstLineChars="200"/>
        <w:rPr>
          <w:rFonts w:hint="default" w:cs="宋体"/>
          <w:sz w:val="21"/>
        </w:rPr>
      </w:pPr>
      <w:r>
        <w:rPr>
          <w:rFonts w:cs="宋体"/>
          <w:sz w:val="21"/>
        </w:rPr>
        <w:t>（c）不同投标供应商委托同一人响应；</w:t>
      </w:r>
    </w:p>
    <w:p w14:paraId="531262CF">
      <w:pPr>
        <w:spacing w:line="360" w:lineRule="auto"/>
        <w:ind w:firstLine="420" w:firstLineChars="200"/>
        <w:rPr>
          <w:rFonts w:hint="default" w:cs="宋体"/>
          <w:sz w:val="21"/>
        </w:rPr>
      </w:pPr>
      <w:r>
        <w:rPr>
          <w:rFonts w:cs="宋体"/>
          <w:sz w:val="21"/>
        </w:rPr>
        <w:t>（d）不同投标供应商的响应文件载明的项目管理班子成员出现同一人的；</w:t>
      </w:r>
    </w:p>
    <w:p w14:paraId="72C0F3AB">
      <w:pPr>
        <w:spacing w:line="360" w:lineRule="auto"/>
        <w:ind w:firstLine="420" w:firstLineChars="200"/>
        <w:rPr>
          <w:rFonts w:hint="default" w:cs="宋体"/>
          <w:sz w:val="21"/>
        </w:rPr>
      </w:pPr>
      <w:r>
        <w:rPr>
          <w:rFonts w:cs="宋体"/>
          <w:sz w:val="21"/>
        </w:rPr>
        <w:t>（e）不同投标供应商的响应文件相互混装的；</w:t>
      </w:r>
    </w:p>
    <w:p w14:paraId="49E4AD19">
      <w:pPr>
        <w:spacing w:line="360" w:lineRule="auto"/>
        <w:ind w:firstLine="420" w:firstLineChars="200"/>
        <w:rPr>
          <w:rFonts w:hint="default" w:cs="宋体"/>
          <w:sz w:val="21"/>
        </w:rPr>
      </w:pPr>
      <w:r>
        <w:rPr>
          <w:rFonts w:cs="宋体"/>
          <w:sz w:val="21"/>
        </w:rPr>
        <w:t>（f）不同投标供应商的响应文件由同一单位或同一人编制的；</w:t>
      </w:r>
    </w:p>
    <w:p w14:paraId="5C92EFA5">
      <w:pPr>
        <w:spacing w:line="360" w:lineRule="auto"/>
        <w:ind w:firstLine="420" w:firstLineChars="200"/>
        <w:rPr>
          <w:rFonts w:hint="default" w:cs="宋体"/>
          <w:sz w:val="21"/>
        </w:rPr>
      </w:pPr>
      <w:r>
        <w:rPr>
          <w:rFonts w:cs="宋体"/>
          <w:sz w:val="21"/>
        </w:rPr>
        <w:t>（g）不同投标供应商使用同一人或企业资金缴纳磋商保证金；</w:t>
      </w:r>
    </w:p>
    <w:p w14:paraId="4F746849">
      <w:pPr>
        <w:spacing w:line="360" w:lineRule="auto"/>
        <w:ind w:firstLine="420" w:firstLineChars="200"/>
        <w:rPr>
          <w:rFonts w:hint="default" w:cs="宋体"/>
          <w:sz w:val="21"/>
        </w:rPr>
      </w:pPr>
      <w:r>
        <w:rPr>
          <w:rFonts w:cs="宋体"/>
          <w:sz w:val="21"/>
        </w:rPr>
        <w:t>（h）不同投标供应商聘请同一人或同一中介机构为其响应提供技术或经济咨询服务的；</w:t>
      </w:r>
    </w:p>
    <w:p w14:paraId="479D46FA">
      <w:pPr>
        <w:spacing w:line="360" w:lineRule="auto"/>
        <w:ind w:firstLine="420" w:firstLineChars="200"/>
        <w:rPr>
          <w:rFonts w:hint="default" w:cs="宋体"/>
          <w:sz w:val="21"/>
        </w:rPr>
      </w:pPr>
      <w:r>
        <w:rPr>
          <w:rFonts w:cs="宋体"/>
          <w:sz w:val="21"/>
        </w:rPr>
        <w:t>2）逾期送达的响应文件；</w:t>
      </w:r>
    </w:p>
    <w:p w14:paraId="65832F15">
      <w:pPr>
        <w:spacing w:line="360" w:lineRule="auto"/>
        <w:ind w:firstLine="420" w:firstLineChars="200"/>
        <w:rPr>
          <w:rFonts w:hint="default" w:cs="宋体"/>
          <w:sz w:val="21"/>
        </w:rPr>
      </w:pPr>
      <w:r>
        <w:rPr>
          <w:rFonts w:cs="宋体"/>
          <w:sz w:val="21"/>
        </w:rPr>
        <w:t>3）投标供应商未依时提交磋商保证金或金额不足的；</w:t>
      </w:r>
    </w:p>
    <w:p w14:paraId="28AC6553">
      <w:pPr>
        <w:spacing w:line="360" w:lineRule="auto"/>
        <w:ind w:firstLine="420" w:firstLineChars="200"/>
        <w:rPr>
          <w:rFonts w:hint="default" w:cs="宋体"/>
          <w:sz w:val="21"/>
        </w:rPr>
      </w:pPr>
      <w:r>
        <w:rPr>
          <w:rFonts w:cs="宋体"/>
          <w:sz w:val="21"/>
        </w:rPr>
        <w:t>4）响应文件有关内容未按规定加盖投标供应商印章或未经法定代表人或其委托代理人签字或盖章的；由委托代理人签字或盖章的，但响应文件中无有效的“授权委托书”原件的；</w:t>
      </w:r>
    </w:p>
    <w:p w14:paraId="394E520D">
      <w:pPr>
        <w:spacing w:line="360" w:lineRule="auto"/>
        <w:ind w:firstLine="420" w:firstLineChars="200"/>
        <w:rPr>
          <w:rFonts w:hint="default" w:cs="宋体"/>
          <w:sz w:val="21"/>
        </w:rPr>
      </w:pPr>
      <w:r>
        <w:rPr>
          <w:rFonts w:cs="宋体"/>
          <w:sz w:val="21"/>
        </w:rPr>
        <w:t>5）响应文件份数、装订、密封和标记不符合竞争性磋商文件要求的；响应文件未胶装的。</w:t>
      </w:r>
    </w:p>
    <w:p w14:paraId="0FCC1500">
      <w:pPr>
        <w:spacing w:line="360" w:lineRule="auto"/>
        <w:ind w:firstLine="420" w:firstLineChars="200"/>
        <w:rPr>
          <w:rFonts w:hint="default" w:cs="宋体"/>
          <w:sz w:val="21"/>
        </w:rPr>
      </w:pPr>
      <w:r>
        <w:rPr>
          <w:rFonts w:cs="宋体"/>
          <w:sz w:val="21"/>
        </w:rPr>
        <w:t>6）投标供应商在一份响应文件中，报有两个或多个报价，且未书面声明以哪个报价为准；</w:t>
      </w:r>
    </w:p>
    <w:p w14:paraId="7F0C856D">
      <w:pPr>
        <w:spacing w:line="360" w:lineRule="auto"/>
        <w:ind w:firstLine="420" w:firstLineChars="200"/>
        <w:rPr>
          <w:rFonts w:hint="default" w:cs="宋体"/>
          <w:sz w:val="21"/>
        </w:rPr>
      </w:pPr>
      <w:r>
        <w:rPr>
          <w:rFonts w:cs="宋体"/>
          <w:sz w:val="21"/>
        </w:rPr>
        <w:t>7）被招投标监督管理部门或行业主管部门取消投标资格并在处罚期内的；</w:t>
      </w:r>
    </w:p>
    <w:p w14:paraId="41B5DB51">
      <w:pPr>
        <w:spacing w:line="360" w:lineRule="auto"/>
        <w:ind w:firstLine="420" w:firstLineChars="200"/>
        <w:rPr>
          <w:rFonts w:hint="default" w:cs="宋体"/>
          <w:sz w:val="21"/>
        </w:rPr>
      </w:pPr>
      <w:r>
        <w:rPr>
          <w:rFonts w:cs="宋体"/>
          <w:sz w:val="21"/>
        </w:rPr>
        <w:t>8）不按磋商小组要求澄清、说明或补正的。</w:t>
      </w:r>
    </w:p>
    <w:p w14:paraId="4CE7E479">
      <w:pPr>
        <w:spacing w:line="360" w:lineRule="auto"/>
        <w:ind w:firstLine="420" w:firstLineChars="200"/>
        <w:rPr>
          <w:rFonts w:hint="default" w:cs="宋体"/>
          <w:sz w:val="21"/>
        </w:rPr>
      </w:pPr>
      <w:r>
        <w:rPr>
          <w:rFonts w:cs="宋体"/>
          <w:sz w:val="21"/>
        </w:rPr>
        <w:t>9）响应文件未按竞争性磋商文件要求签字或盖章的。</w:t>
      </w:r>
    </w:p>
    <w:p w14:paraId="279EA105">
      <w:pPr>
        <w:spacing w:line="360" w:lineRule="auto"/>
        <w:ind w:firstLine="420" w:firstLineChars="200"/>
        <w:rPr>
          <w:rFonts w:hint="default" w:cs="宋体"/>
          <w:sz w:val="21"/>
        </w:rPr>
      </w:pPr>
      <w:r>
        <w:rPr>
          <w:rFonts w:cs="宋体"/>
          <w:sz w:val="21"/>
        </w:rPr>
        <w:t>10）响应文件中响应报价、工期或其它实质性要求不能满足竞争性磋商文件要求, 或作出的承诺与竞争性磋商文件中提供的磋商申请及声明样本中相关内容相抵触或有遗漏的。</w:t>
      </w:r>
    </w:p>
    <w:p w14:paraId="475A7CBC">
      <w:pPr>
        <w:spacing w:line="360" w:lineRule="auto"/>
        <w:ind w:firstLine="420" w:firstLineChars="200"/>
        <w:rPr>
          <w:rFonts w:hint="default" w:cs="宋体"/>
          <w:sz w:val="21"/>
        </w:rPr>
      </w:pPr>
      <w:r>
        <w:rPr>
          <w:rFonts w:cs="宋体"/>
          <w:sz w:val="21"/>
        </w:rPr>
        <w:t>11）实质性内容不全或关键字迹模糊、无法辨认的。</w:t>
      </w:r>
    </w:p>
    <w:p w14:paraId="0869BE18">
      <w:pPr>
        <w:spacing w:line="360" w:lineRule="auto"/>
        <w:ind w:firstLine="420" w:firstLineChars="200"/>
        <w:rPr>
          <w:rFonts w:hint="default" w:cs="宋体"/>
          <w:sz w:val="21"/>
        </w:rPr>
      </w:pPr>
      <w:r>
        <w:rPr>
          <w:rFonts w:cs="宋体"/>
          <w:sz w:val="21"/>
        </w:rPr>
        <w:t>12）响应报价高于或等于最高响应上限的。</w:t>
      </w:r>
    </w:p>
    <w:p w14:paraId="03F8DB24">
      <w:pPr>
        <w:spacing w:line="360" w:lineRule="auto"/>
        <w:ind w:firstLine="420" w:firstLineChars="200"/>
        <w:rPr>
          <w:rFonts w:hint="default" w:cs="宋体"/>
          <w:sz w:val="21"/>
        </w:rPr>
      </w:pPr>
      <w:r>
        <w:rPr>
          <w:rFonts w:cs="宋体"/>
          <w:sz w:val="21"/>
        </w:rPr>
        <w:t>13）响应文件中存在采购人不能接受的其它实质性条件。</w:t>
      </w:r>
    </w:p>
    <w:p w14:paraId="45E92665">
      <w:pPr>
        <w:spacing w:line="360" w:lineRule="auto"/>
        <w:ind w:firstLine="420" w:firstLineChars="200"/>
        <w:rPr>
          <w:rFonts w:hint="default" w:cs="宋体"/>
          <w:sz w:val="21"/>
        </w:rPr>
      </w:pPr>
      <w:r>
        <w:rPr>
          <w:rFonts w:cs="宋体"/>
          <w:sz w:val="21"/>
        </w:rPr>
        <w:t>14）法律、法规规定的其它情形。</w:t>
      </w:r>
    </w:p>
    <w:p w14:paraId="4507C44A">
      <w:pPr>
        <w:spacing w:line="360" w:lineRule="auto"/>
        <w:ind w:firstLine="420" w:firstLineChars="200"/>
        <w:rPr>
          <w:rFonts w:hint="default" w:cs="宋体"/>
          <w:sz w:val="21"/>
        </w:rPr>
      </w:pPr>
      <w:r>
        <w:rPr>
          <w:rFonts w:cs="宋体"/>
          <w:sz w:val="21"/>
        </w:rPr>
        <w:t>7、响应文件的澄清和补正</w:t>
      </w:r>
    </w:p>
    <w:p w14:paraId="14713820">
      <w:pPr>
        <w:spacing w:line="360" w:lineRule="auto"/>
        <w:ind w:firstLine="420" w:firstLineChars="200"/>
        <w:rPr>
          <w:rFonts w:hint="default" w:cs="宋体"/>
          <w:sz w:val="21"/>
        </w:rPr>
      </w:pPr>
      <w:r>
        <w:rPr>
          <w:rFonts w:cs="宋体"/>
          <w:sz w:val="21"/>
        </w:rPr>
        <w:t>在评审过程中，磋商小组可以书面形式要求投标供应商对所提交的响应文件中不明确的内容进行书面澄清或说明，或者对细微偏差进行补正。磋商小组不接受投标供应商主动提出的澄清、说明或补正。</w:t>
      </w:r>
    </w:p>
    <w:p w14:paraId="5978636E">
      <w:pPr>
        <w:spacing w:line="360" w:lineRule="auto"/>
        <w:ind w:firstLine="420" w:firstLineChars="200"/>
        <w:rPr>
          <w:rFonts w:hint="default" w:cs="宋体"/>
          <w:sz w:val="21"/>
        </w:rPr>
      </w:pPr>
      <w:r>
        <w:rPr>
          <w:rFonts w:cs="宋体"/>
          <w:sz w:val="21"/>
        </w:rPr>
        <w:t>澄清、说明和补正不得改变响应文件的实质性内容。投标供应商的书面澄清、说明和补正属于响应文件的组成部分。</w:t>
      </w:r>
    </w:p>
    <w:p w14:paraId="42CFA413">
      <w:pPr>
        <w:spacing w:line="360" w:lineRule="auto"/>
        <w:ind w:firstLine="420" w:firstLineChars="200"/>
        <w:rPr>
          <w:rFonts w:hint="default" w:cs="宋体"/>
          <w:sz w:val="21"/>
        </w:rPr>
      </w:pPr>
      <w:r>
        <w:rPr>
          <w:rFonts w:cs="宋体"/>
          <w:sz w:val="21"/>
        </w:rPr>
        <w:t>磋商小组对投标供应商提交的澄清、说明或补正有疑问的，可以要求投标供应商进一步澄清、说明或补正，直至满足磋商小组的要求。</w:t>
      </w:r>
    </w:p>
    <w:p w14:paraId="4D2EC41B">
      <w:pPr>
        <w:spacing w:line="360" w:lineRule="auto"/>
        <w:ind w:firstLine="420" w:firstLineChars="200"/>
        <w:rPr>
          <w:rFonts w:hint="default" w:cs="宋体"/>
          <w:sz w:val="21"/>
        </w:rPr>
      </w:pPr>
      <w:r>
        <w:rPr>
          <w:rFonts w:cs="宋体"/>
          <w:sz w:val="21"/>
        </w:rPr>
        <w:t>8. 适用范围 ：适用于本项目</w:t>
      </w:r>
    </w:p>
    <w:p w14:paraId="5783CBE1">
      <w:pPr>
        <w:spacing w:line="360" w:lineRule="auto"/>
        <w:ind w:firstLine="420" w:firstLineChars="200"/>
        <w:rPr>
          <w:rFonts w:hint="default" w:cs="宋体"/>
          <w:sz w:val="21"/>
        </w:rPr>
        <w:sectPr>
          <w:footerReference r:id="rId7" w:type="default"/>
          <w:pgSz w:w="11910" w:h="16840"/>
          <w:pgMar w:top="1134" w:right="1134" w:bottom="1134" w:left="1134" w:header="0" w:footer="556" w:gutter="0"/>
          <w:cols w:space="720" w:num="1"/>
        </w:sectPr>
      </w:pPr>
    </w:p>
    <w:p w14:paraId="5B9BD86C">
      <w:pPr>
        <w:spacing w:line="360" w:lineRule="auto"/>
        <w:jc w:val="center"/>
        <w:rPr>
          <w:rFonts w:hint="default" w:cs="宋体"/>
          <w:b/>
          <w:sz w:val="28"/>
        </w:rPr>
      </w:pPr>
      <w:bookmarkStart w:id="50" w:name="_bookmark3"/>
      <w:bookmarkEnd w:id="50"/>
      <w:bookmarkStart w:id="51" w:name="第四章合同条款及格式"/>
      <w:bookmarkEnd w:id="51"/>
      <w:r>
        <w:rPr>
          <w:rFonts w:cs="宋体"/>
          <w:b/>
          <w:sz w:val="28"/>
        </w:rPr>
        <w:t>第四章合同条款及格式</w:t>
      </w:r>
    </w:p>
    <w:p w14:paraId="0292FCD9">
      <w:pPr>
        <w:spacing w:line="360" w:lineRule="auto"/>
        <w:rPr>
          <w:rFonts w:hint="default" w:cs="宋体"/>
          <w:sz w:val="21"/>
          <w:szCs w:val="21"/>
        </w:rPr>
      </w:pPr>
      <w:r>
        <w:rPr>
          <w:rFonts w:cs="宋体"/>
          <w:sz w:val="21"/>
          <w:szCs w:val="21"/>
        </w:rPr>
        <w:t>甲方（招标人）：                                                        </w:t>
      </w:r>
    </w:p>
    <w:p w14:paraId="197E81CA">
      <w:pPr>
        <w:spacing w:line="360" w:lineRule="auto"/>
        <w:rPr>
          <w:rFonts w:hint="default" w:cs="宋体"/>
          <w:sz w:val="21"/>
          <w:szCs w:val="21"/>
        </w:rPr>
      </w:pPr>
      <w:r>
        <w:rPr>
          <w:rFonts w:cs="宋体"/>
          <w:sz w:val="21"/>
          <w:szCs w:val="21"/>
        </w:rPr>
        <w:t>乙方（中标人）：                                                        </w:t>
      </w:r>
    </w:p>
    <w:p w14:paraId="6904DFFD">
      <w:pPr>
        <w:spacing w:line="360" w:lineRule="auto"/>
        <w:ind w:firstLine="420" w:firstLineChars="200"/>
        <w:rPr>
          <w:rFonts w:hint="default" w:cs="宋体"/>
          <w:sz w:val="21"/>
          <w:szCs w:val="21"/>
        </w:rPr>
      </w:pPr>
      <w:r>
        <w:rPr>
          <w:rFonts w:cs="宋体"/>
          <w:sz w:val="21"/>
          <w:szCs w:val="21"/>
        </w:rPr>
        <w:t xml:space="preserve">根据《中华人民共和国政府采购法》、《中华人民共和国民法典》等相关法律，甲、乙双方就( 项目名称、项目编号），经平等协商达成合同如下：  </w:t>
      </w:r>
    </w:p>
    <w:p w14:paraId="6C2F7EA7">
      <w:pPr>
        <w:numPr>
          <w:ilvl w:val="0"/>
          <w:numId w:val="2"/>
        </w:numPr>
        <w:spacing w:line="360" w:lineRule="auto"/>
        <w:rPr>
          <w:rFonts w:hint="default" w:cs="宋体"/>
          <w:sz w:val="21"/>
          <w:szCs w:val="21"/>
        </w:rPr>
      </w:pPr>
      <w:r>
        <w:rPr>
          <w:rFonts w:cs="宋体"/>
          <w:sz w:val="21"/>
          <w:szCs w:val="21"/>
        </w:rPr>
        <w:t>合同文件  本合同所附下列文件是构成本合同不可分割的部分，组成合同的各项文件应互相解释，互为说明，解释合同文件的优先顺序如下：</w:t>
      </w:r>
    </w:p>
    <w:p w14:paraId="7F738E4D">
      <w:pPr>
        <w:numPr>
          <w:ilvl w:val="0"/>
          <w:numId w:val="3"/>
        </w:numPr>
        <w:spacing w:line="360" w:lineRule="auto"/>
        <w:rPr>
          <w:rFonts w:hint="default" w:cs="宋体"/>
          <w:sz w:val="21"/>
          <w:szCs w:val="21"/>
        </w:rPr>
      </w:pPr>
      <w:r>
        <w:rPr>
          <w:rFonts w:cs="宋体"/>
          <w:sz w:val="21"/>
          <w:szCs w:val="21"/>
        </w:rPr>
        <w:t>合同格式以及合同条款 </w:t>
      </w:r>
    </w:p>
    <w:p w14:paraId="5D3058ED">
      <w:pPr>
        <w:numPr>
          <w:ilvl w:val="0"/>
          <w:numId w:val="3"/>
        </w:numPr>
        <w:spacing w:line="360" w:lineRule="auto"/>
        <w:rPr>
          <w:rFonts w:hint="default" w:cs="宋体"/>
          <w:sz w:val="21"/>
          <w:szCs w:val="21"/>
        </w:rPr>
      </w:pPr>
      <w:r>
        <w:rPr>
          <w:rFonts w:cs="宋体"/>
          <w:sz w:val="21"/>
          <w:szCs w:val="21"/>
        </w:rPr>
        <w:t>中标通知书 </w:t>
      </w:r>
    </w:p>
    <w:p w14:paraId="2DE79B02">
      <w:pPr>
        <w:numPr>
          <w:ilvl w:val="0"/>
          <w:numId w:val="3"/>
        </w:numPr>
        <w:spacing w:line="360" w:lineRule="auto"/>
        <w:rPr>
          <w:rFonts w:hint="default" w:cs="宋体"/>
          <w:sz w:val="21"/>
          <w:szCs w:val="21"/>
        </w:rPr>
      </w:pPr>
      <w:r>
        <w:rPr>
          <w:rFonts w:cs="宋体"/>
          <w:sz w:val="21"/>
          <w:szCs w:val="21"/>
        </w:rPr>
        <w:t>中标人在评标过程中做出的有关澄清、说明、承诺或者补正文件 </w:t>
      </w:r>
    </w:p>
    <w:p w14:paraId="5F502F29">
      <w:pPr>
        <w:numPr>
          <w:ilvl w:val="0"/>
          <w:numId w:val="3"/>
        </w:numPr>
        <w:spacing w:line="360" w:lineRule="auto"/>
        <w:rPr>
          <w:rFonts w:hint="default" w:cs="宋体"/>
          <w:sz w:val="21"/>
          <w:szCs w:val="21"/>
        </w:rPr>
      </w:pPr>
      <w:r>
        <w:rPr>
          <w:rFonts w:cs="宋体"/>
          <w:sz w:val="21"/>
          <w:szCs w:val="21"/>
        </w:rPr>
        <w:t>中标人投标文件</w:t>
      </w:r>
    </w:p>
    <w:p w14:paraId="158C310A">
      <w:pPr>
        <w:numPr>
          <w:ilvl w:val="0"/>
          <w:numId w:val="3"/>
        </w:numPr>
        <w:spacing w:line="360" w:lineRule="auto"/>
        <w:rPr>
          <w:rFonts w:hint="default" w:cs="宋体"/>
          <w:sz w:val="21"/>
          <w:szCs w:val="21"/>
        </w:rPr>
      </w:pPr>
      <w:r>
        <w:rPr>
          <w:rFonts w:cs="宋体"/>
          <w:sz w:val="21"/>
          <w:szCs w:val="21"/>
        </w:rPr>
        <w:t>招标文件 </w:t>
      </w:r>
    </w:p>
    <w:p w14:paraId="1F357373">
      <w:pPr>
        <w:numPr>
          <w:ilvl w:val="0"/>
          <w:numId w:val="3"/>
        </w:numPr>
        <w:spacing w:line="360" w:lineRule="auto"/>
        <w:rPr>
          <w:rFonts w:hint="default" w:cs="宋体"/>
          <w:sz w:val="21"/>
          <w:szCs w:val="21"/>
        </w:rPr>
      </w:pPr>
      <w:r>
        <w:rPr>
          <w:rFonts w:cs="宋体"/>
          <w:sz w:val="21"/>
          <w:szCs w:val="21"/>
        </w:rPr>
        <w:t>本合同附件  同一层次的合同文件规定有矛盾的以较后时间制定的为准。 </w:t>
      </w:r>
    </w:p>
    <w:p w14:paraId="7E10BAD6">
      <w:pPr>
        <w:numPr>
          <w:ilvl w:val="0"/>
          <w:numId w:val="2"/>
        </w:numPr>
        <w:spacing w:line="360" w:lineRule="auto"/>
        <w:rPr>
          <w:rFonts w:hint="default" w:cs="宋体"/>
          <w:sz w:val="21"/>
          <w:szCs w:val="21"/>
        </w:rPr>
      </w:pPr>
      <w:r>
        <w:rPr>
          <w:rFonts w:cs="宋体"/>
          <w:sz w:val="21"/>
          <w:szCs w:val="21"/>
        </w:rPr>
        <w:t>合同的范围和条件  本合同的范围和条件应与上述合同文件的规定相一致。 </w:t>
      </w:r>
    </w:p>
    <w:p w14:paraId="7D257FBD">
      <w:pPr>
        <w:numPr>
          <w:ilvl w:val="0"/>
          <w:numId w:val="2"/>
        </w:numPr>
        <w:spacing w:line="360" w:lineRule="auto"/>
        <w:rPr>
          <w:rFonts w:hint="default" w:cs="宋体"/>
          <w:sz w:val="21"/>
          <w:szCs w:val="21"/>
        </w:rPr>
      </w:pPr>
      <w:r>
        <w:rPr>
          <w:rFonts w:cs="宋体"/>
          <w:sz w:val="21"/>
          <w:szCs w:val="21"/>
        </w:rPr>
        <w:t>服务项目  本合同所提供的服务项目内容：</w:t>
      </w:r>
      <w:r>
        <w:rPr>
          <w:rFonts w:cs="宋体"/>
          <w:sz w:val="21"/>
          <w:szCs w:val="21"/>
          <w:u w:val="single"/>
        </w:rPr>
        <w:t xml:space="preserve">                 </w:t>
      </w:r>
      <w:r>
        <w:rPr>
          <w:rFonts w:cs="宋体"/>
          <w:sz w:val="21"/>
          <w:szCs w:val="21"/>
        </w:rPr>
        <w:t xml:space="preserve">（与投标文件中投标服务明细表一致）。  </w:t>
      </w:r>
    </w:p>
    <w:p w14:paraId="3A2A81B7">
      <w:pPr>
        <w:numPr>
          <w:ilvl w:val="0"/>
          <w:numId w:val="2"/>
        </w:numPr>
        <w:spacing w:line="360" w:lineRule="auto"/>
        <w:rPr>
          <w:rFonts w:hint="default" w:cs="宋体"/>
          <w:sz w:val="21"/>
          <w:szCs w:val="21"/>
        </w:rPr>
      </w:pPr>
      <w:r>
        <w:rPr>
          <w:rFonts w:cs="宋体"/>
          <w:sz w:val="21"/>
          <w:szCs w:val="21"/>
        </w:rPr>
        <w:t>合同金额  合同金额为人民币</w:t>
      </w:r>
      <w:r>
        <w:rPr>
          <w:rFonts w:cs="宋体"/>
          <w:sz w:val="21"/>
          <w:szCs w:val="21"/>
          <w:u w:val="single"/>
        </w:rPr>
        <w:t xml:space="preserve">           </w:t>
      </w:r>
      <w:r>
        <w:rPr>
          <w:rFonts w:cs="宋体"/>
          <w:sz w:val="21"/>
          <w:szCs w:val="21"/>
        </w:rPr>
        <w:t>万元，大写：</w:t>
      </w:r>
      <w:r>
        <w:rPr>
          <w:rFonts w:cs="宋体"/>
          <w:sz w:val="21"/>
          <w:szCs w:val="21"/>
          <w:u w:val="single"/>
        </w:rPr>
        <w:t xml:space="preserve">           </w:t>
      </w:r>
      <w:r>
        <w:rPr>
          <w:rFonts w:cs="宋体"/>
          <w:sz w:val="21"/>
          <w:szCs w:val="21"/>
        </w:rPr>
        <w:t>。 </w:t>
      </w:r>
    </w:p>
    <w:p w14:paraId="2C6446AF">
      <w:pPr>
        <w:numPr>
          <w:ilvl w:val="0"/>
          <w:numId w:val="2"/>
        </w:numPr>
        <w:spacing w:line="360" w:lineRule="auto"/>
        <w:rPr>
          <w:rFonts w:hint="default" w:cs="宋体"/>
          <w:sz w:val="21"/>
          <w:szCs w:val="21"/>
        </w:rPr>
      </w:pPr>
      <w:r>
        <w:rPr>
          <w:rFonts w:cs="宋体"/>
          <w:sz w:val="21"/>
          <w:szCs w:val="21"/>
        </w:rPr>
        <w:t>付款途径  □国库集中支付    □甲方支付   □国库与甲方共同支付    □其他 国库集中支付资金</w:t>
      </w:r>
      <w:r>
        <w:rPr>
          <w:rFonts w:cs="宋体"/>
          <w:sz w:val="21"/>
          <w:szCs w:val="21"/>
          <w:u w:val="single"/>
        </w:rPr>
        <w:t xml:space="preserve">       </w:t>
      </w:r>
      <w:r>
        <w:rPr>
          <w:rFonts w:cs="宋体"/>
          <w:sz w:val="21"/>
          <w:szCs w:val="21"/>
        </w:rPr>
        <w:t>万元，甲方支付资金</w:t>
      </w:r>
      <w:r>
        <w:rPr>
          <w:rFonts w:cs="宋体"/>
          <w:sz w:val="21"/>
          <w:szCs w:val="21"/>
          <w:u w:val="single"/>
        </w:rPr>
        <w:t xml:space="preserve">       </w:t>
      </w:r>
      <w:r>
        <w:rPr>
          <w:rFonts w:cs="宋体"/>
          <w:sz w:val="21"/>
          <w:szCs w:val="21"/>
        </w:rPr>
        <w:t>万元，其他</w:t>
      </w:r>
      <w:r>
        <w:rPr>
          <w:rFonts w:cs="宋体"/>
          <w:sz w:val="21"/>
          <w:szCs w:val="21"/>
          <w:u w:val="single"/>
        </w:rPr>
        <w:t xml:space="preserve">      </w:t>
      </w:r>
      <w:r>
        <w:rPr>
          <w:rFonts w:cs="宋体"/>
          <w:sz w:val="21"/>
          <w:szCs w:val="21"/>
        </w:rPr>
        <w:t>万元。属国库集中支付的财政性资金，甲方应按照合同约定的付款期限，及时向同级财政部门报送资金支付申请，同级财政部门对支付申请审核无误后</w:t>
      </w:r>
      <w:r>
        <w:rPr>
          <w:rFonts w:cs="宋体"/>
          <w:sz w:val="21"/>
          <w:szCs w:val="21"/>
          <w:u w:val="single"/>
        </w:rPr>
        <w:t xml:space="preserve">      </w:t>
      </w:r>
      <w:r>
        <w:rPr>
          <w:rFonts w:cs="宋体"/>
          <w:sz w:val="21"/>
          <w:szCs w:val="21"/>
        </w:rPr>
        <w:t>个工作日内将货款直接支付至乙方账户。</w:t>
      </w:r>
    </w:p>
    <w:p w14:paraId="48E7D734">
      <w:pPr>
        <w:numPr>
          <w:ilvl w:val="0"/>
          <w:numId w:val="2"/>
        </w:numPr>
        <w:spacing w:line="360" w:lineRule="auto"/>
        <w:rPr>
          <w:rFonts w:hint="default" w:cs="宋体"/>
          <w:sz w:val="21"/>
          <w:szCs w:val="21"/>
        </w:rPr>
      </w:pPr>
      <w:r>
        <w:rPr>
          <w:rFonts w:cs="宋体"/>
          <w:sz w:val="21"/>
          <w:szCs w:val="21"/>
        </w:rPr>
        <w:t>付款方式</w:t>
      </w:r>
    </w:p>
    <w:p w14:paraId="02E80608">
      <w:pPr>
        <w:pStyle w:val="19"/>
        <w:spacing w:before="0" w:beforeAutospacing="0" w:after="0" w:afterAutospacing="0" w:line="360" w:lineRule="auto"/>
        <w:jc w:val="both"/>
        <w:rPr>
          <w:rFonts w:hint="default" w:ascii="宋体" w:hAnsi="宋体"/>
          <w:sz w:val="21"/>
          <w:szCs w:val="21"/>
        </w:rPr>
      </w:pPr>
      <w:r>
        <w:rPr>
          <w:rFonts w:ascii="宋体" w:hAnsi="宋体"/>
          <w:sz w:val="21"/>
          <w:szCs w:val="21"/>
        </w:rPr>
        <w:t xml:space="preserve">□分期支付方式  </w:t>
      </w:r>
    </w:p>
    <w:p w14:paraId="66C23C2D">
      <w:pPr>
        <w:pStyle w:val="19"/>
        <w:spacing w:before="0" w:beforeAutospacing="0" w:after="0" w:afterAutospacing="0" w:line="360" w:lineRule="auto"/>
        <w:ind w:firstLine="420" w:firstLineChars="200"/>
        <w:jc w:val="both"/>
        <w:rPr>
          <w:rFonts w:hint="default" w:ascii="宋体" w:hAnsi="宋体"/>
          <w:sz w:val="21"/>
          <w:szCs w:val="21"/>
        </w:rPr>
      </w:pPr>
      <w:r>
        <w:rPr>
          <w:rFonts w:ascii="宋体" w:hAnsi="宋体"/>
          <w:sz w:val="21"/>
          <w:szCs w:val="21"/>
        </w:rPr>
        <w:t>合同生效后</w:t>
      </w:r>
      <w:r>
        <w:rPr>
          <w:rFonts w:ascii="宋体" w:hAnsi="宋体"/>
          <w:sz w:val="21"/>
          <w:szCs w:val="21"/>
          <w:u w:val="single"/>
        </w:rPr>
        <w:t xml:space="preserve">       </w:t>
      </w:r>
      <w:r>
        <w:rPr>
          <w:rFonts w:ascii="宋体" w:hAnsi="宋体"/>
          <w:sz w:val="21"/>
          <w:szCs w:val="21"/>
        </w:rPr>
        <w:t>个工作日内，甲方向乙方支付合同金额的</w:t>
      </w:r>
      <w:r>
        <w:rPr>
          <w:rFonts w:ascii="宋体" w:hAnsi="宋体"/>
          <w:sz w:val="21"/>
          <w:szCs w:val="21"/>
          <w:u w:val="single"/>
        </w:rPr>
        <w:t xml:space="preserve">    </w:t>
      </w:r>
      <w:r>
        <w:rPr>
          <w:rFonts w:ascii="宋体" w:hAnsi="宋体"/>
          <w:sz w:val="21"/>
          <w:szCs w:val="21"/>
        </w:rPr>
        <w:t>%，即人民币</w:t>
      </w:r>
      <w:r>
        <w:rPr>
          <w:rFonts w:ascii="宋体" w:hAnsi="宋体"/>
          <w:sz w:val="21"/>
          <w:szCs w:val="21"/>
          <w:u w:val="single"/>
        </w:rPr>
        <w:t>      </w:t>
      </w:r>
      <w:r>
        <w:rPr>
          <w:rFonts w:ascii="宋体" w:hAnsi="宋体"/>
          <w:sz w:val="21"/>
          <w:szCs w:val="21"/>
        </w:rPr>
        <w:t>万元，大写：</w:t>
      </w:r>
      <w:r>
        <w:rPr>
          <w:rFonts w:ascii="宋体" w:hAnsi="宋体"/>
          <w:sz w:val="21"/>
          <w:szCs w:val="21"/>
          <w:u w:val="single"/>
        </w:rPr>
        <w:t xml:space="preserve">       </w:t>
      </w:r>
      <w:r>
        <w:rPr>
          <w:rFonts w:ascii="宋体" w:hAnsi="宋体"/>
          <w:sz w:val="21"/>
          <w:szCs w:val="21"/>
        </w:rPr>
        <w:t xml:space="preserve">；提供服务成果并经双方验收合格之日起 </w:t>
      </w:r>
      <w:r>
        <w:rPr>
          <w:rFonts w:ascii="宋体" w:hAnsi="宋体"/>
          <w:sz w:val="21"/>
          <w:szCs w:val="21"/>
          <w:u w:val="single"/>
        </w:rPr>
        <w:t>     </w:t>
      </w:r>
      <w:r>
        <w:rPr>
          <w:rFonts w:ascii="宋体" w:hAnsi="宋体"/>
          <w:sz w:val="21"/>
          <w:szCs w:val="21"/>
        </w:rPr>
        <w:t xml:space="preserve">个工作日内甲方向乙方支付合同金额的 </w:t>
      </w:r>
      <w:r>
        <w:rPr>
          <w:rFonts w:ascii="宋体" w:hAnsi="宋体"/>
          <w:sz w:val="21"/>
          <w:szCs w:val="21"/>
          <w:u w:val="single"/>
        </w:rPr>
        <w:t>     </w:t>
      </w:r>
      <w:r>
        <w:rPr>
          <w:rFonts w:ascii="宋体" w:hAnsi="宋体"/>
          <w:sz w:val="21"/>
          <w:szCs w:val="21"/>
        </w:rPr>
        <w:t>%，即人民币</w:t>
      </w:r>
      <w:r>
        <w:rPr>
          <w:rFonts w:ascii="宋体" w:hAnsi="宋体"/>
          <w:sz w:val="21"/>
          <w:szCs w:val="21"/>
          <w:u w:val="single"/>
        </w:rPr>
        <w:t xml:space="preserve">      </w:t>
      </w:r>
      <w:r>
        <w:rPr>
          <w:rFonts w:ascii="宋体" w:hAnsi="宋体"/>
          <w:sz w:val="21"/>
          <w:szCs w:val="21"/>
        </w:rPr>
        <w:t> 万元，大写：</w:t>
      </w:r>
      <w:r>
        <w:rPr>
          <w:rFonts w:ascii="宋体" w:hAnsi="宋体"/>
          <w:sz w:val="21"/>
          <w:szCs w:val="21"/>
          <w:u w:val="single"/>
        </w:rPr>
        <w:t xml:space="preserve">       </w:t>
      </w:r>
      <w:r>
        <w:rPr>
          <w:rFonts w:ascii="宋体" w:hAnsi="宋体"/>
          <w:sz w:val="21"/>
          <w:szCs w:val="21"/>
        </w:rPr>
        <w:t>，余款5%即人民币</w:t>
      </w:r>
      <w:r>
        <w:rPr>
          <w:rFonts w:ascii="宋体" w:hAnsi="宋体"/>
          <w:sz w:val="21"/>
          <w:szCs w:val="21"/>
          <w:u w:val="single"/>
        </w:rPr>
        <w:t xml:space="preserve">        </w:t>
      </w:r>
      <w:r>
        <w:rPr>
          <w:rFonts w:ascii="宋体" w:hAnsi="宋体"/>
          <w:sz w:val="21"/>
          <w:szCs w:val="21"/>
        </w:rPr>
        <w:t>万元，质保期（</w:t>
      </w:r>
      <w:r>
        <w:rPr>
          <w:rFonts w:ascii="宋体" w:hAnsi="宋体"/>
          <w:sz w:val="21"/>
          <w:szCs w:val="21"/>
          <w:u w:val="single"/>
        </w:rPr>
        <w:t xml:space="preserve">      </w:t>
      </w:r>
      <w:r>
        <w:rPr>
          <w:rFonts w:ascii="宋体" w:hAnsi="宋体"/>
          <w:sz w:val="21"/>
          <w:szCs w:val="21"/>
        </w:rPr>
        <w:t>年）满后</w:t>
      </w:r>
      <w:r>
        <w:rPr>
          <w:rFonts w:ascii="宋体" w:hAnsi="宋体"/>
          <w:sz w:val="21"/>
          <w:szCs w:val="21"/>
          <w:u w:val="single"/>
        </w:rPr>
        <w:t xml:space="preserve">      </w:t>
      </w:r>
      <w:r>
        <w:rPr>
          <w:rFonts w:ascii="宋体" w:hAnsi="宋体"/>
          <w:sz w:val="21"/>
          <w:szCs w:val="21"/>
        </w:rPr>
        <w:t>日内一次无息付清。</w:t>
      </w:r>
    </w:p>
    <w:p w14:paraId="235AB7FB">
      <w:pPr>
        <w:pStyle w:val="19"/>
        <w:spacing w:before="0" w:beforeAutospacing="0" w:after="0" w:afterAutospacing="0" w:line="360" w:lineRule="auto"/>
        <w:jc w:val="both"/>
        <w:rPr>
          <w:rFonts w:hint="default" w:ascii="宋体" w:hAnsi="宋体"/>
          <w:sz w:val="21"/>
          <w:szCs w:val="21"/>
        </w:rPr>
      </w:pPr>
      <w:r>
        <w:rPr>
          <w:rFonts w:ascii="宋体" w:hAnsi="宋体"/>
          <w:sz w:val="21"/>
          <w:szCs w:val="21"/>
        </w:rPr>
        <w:t xml:space="preserve">□一次性支付方式  </w:t>
      </w:r>
    </w:p>
    <w:p w14:paraId="789A1F10">
      <w:pPr>
        <w:pStyle w:val="19"/>
        <w:spacing w:before="0" w:beforeAutospacing="0" w:after="0" w:afterAutospacing="0" w:line="360" w:lineRule="auto"/>
        <w:ind w:firstLine="420" w:firstLineChars="200"/>
        <w:jc w:val="both"/>
        <w:rPr>
          <w:rFonts w:hint="default" w:ascii="宋体" w:hAnsi="宋体"/>
          <w:sz w:val="21"/>
          <w:szCs w:val="21"/>
        </w:rPr>
      </w:pPr>
      <w:r>
        <w:rPr>
          <w:rFonts w:ascii="宋体" w:hAnsi="宋体"/>
          <w:sz w:val="21"/>
          <w:szCs w:val="21"/>
        </w:rPr>
        <w:t>提供服务成果并经双方验收合格之日起</w:t>
      </w:r>
      <w:r>
        <w:rPr>
          <w:rFonts w:ascii="宋体" w:hAnsi="宋体"/>
          <w:sz w:val="21"/>
          <w:szCs w:val="21"/>
          <w:u w:val="single"/>
        </w:rPr>
        <w:t xml:space="preserve">     </w:t>
      </w:r>
      <w:r>
        <w:rPr>
          <w:rFonts w:ascii="宋体" w:hAnsi="宋体"/>
          <w:sz w:val="21"/>
          <w:szCs w:val="21"/>
        </w:rPr>
        <w:t>个工作日内，甲方向乙方支付全部合同价款，即人民币</w:t>
      </w:r>
      <w:r>
        <w:rPr>
          <w:rFonts w:ascii="宋体" w:hAnsi="宋体"/>
          <w:sz w:val="21"/>
          <w:szCs w:val="21"/>
          <w:u w:val="single"/>
        </w:rPr>
        <w:t xml:space="preserve">        </w:t>
      </w:r>
      <w:r>
        <w:rPr>
          <w:rFonts w:ascii="宋体" w:hAnsi="宋体"/>
          <w:sz w:val="21"/>
          <w:szCs w:val="21"/>
        </w:rPr>
        <w:t>万元，大写：。</w:t>
      </w:r>
    </w:p>
    <w:p w14:paraId="5F4AFD2A">
      <w:pPr>
        <w:pStyle w:val="19"/>
        <w:spacing w:before="0" w:beforeAutospacing="0" w:after="0" w:afterAutospacing="0" w:line="360" w:lineRule="auto"/>
        <w:jc w:val="both"/>
        <w:rPr>
          <w:rFonts w:hint="default" w:ascii="宋体" w:hAnsi="宋体"/>
          <w:sz w:val="21"/>
          <w:szCs w:val="21"/>
        </w:rPr>
      </w:pPr>
      <w:r>
        <w:rPr>
          <w:rFonts w:ascii="宋体" w:hAnsi="宋体"/>
          <w:sz w:val="21"/>
          <w:szCs w:val="21"/>
        </w:rPr>
        <w:t>□其他支付方式</w:t>
      </w:r>
    </w:p>
    <w:p w14:paraId="44BE462A">
      <w:pPr>
        <w:pStyle w:val="19"/>
        <w:numPr>
          <w:ilvl w:val="0"/>
          <w:numId w:val="2"/>
        </w:numPr>
        <w:spacing w:before="0" w:beforeAutospacing="0" w:after="0" w:afterAutospacing="0" w:line="360" w:lineRule="auto"/>
        <w:jc w:val="both"/>
        <w:rPr>
          <w:rFonts w:hint="default" w:ascii="宋体" w:hAnsi="宋体"/>
          <w:sz w:val="21"/>
          <w:szCs w:val="21"/>
        </w:rPr>
      </w:pPr>
      <w:r>
        <w:rPr>
          <w:rFonts w:ascii="宋体" w:hAnsi="宋体"/>
          <w:sz w:val="21"/>
          <w:szCs w:val="21"/>
        </w:rPr>
        <w:t xml:space="preserve">服务期限、地点    </w:t>
      </w:r>
    </w:p>
    <w:p w14:paraId="2FF7F652">
      <w:pPr>
        <w:pStyle w:val="19"/>
        <w:numPr>
          <w:ilvl w:val="0"/>
          <w:numId w:val="4"/>
        </w:numPr>
        <w:spacing w:before="0" w:beforeAutospacing="0" w:after="0" w:afterAutospacing="0" w:line="360" w:lineRule="auto"/>
        <w:jc w:val="both"/>
        <w:rPr>
          <w:rFonts w:hint="default" w:ascii="宋体" w:hAnsi="宋体"/>
          <w:sz w:val="21"/>
          <w:szCs w:val="21"/>
        </w:rPr>
      </w:pPr>
      <w:r>
        <w:rPr>
          <w:rFonts w:ascii="宋体" w:hAnsi="宋体"/>
          <w:sz w:val="21"/>
          <w:szCs w:val="21"/>
        </w:rPr>
        <w:t>服务期限：</w:t>
      </w:r>
      <w:r>
        <w:rPr>
          <w:rFonts w:ascii="宋体" w:hAnsi="宋体"/>
          <w:sz w:val="21"/>
          <w:szCs w:val="21"/>
          <w:u w:val="single"/>
        </w:rPr>
        <w:t xml:space="preserve">     年    月   日至     年    月   日</w:t>
      </w:r>
      <w:r>
        <w:rPr>
          <w:rFonts w:ascii="宋体" w:hAnsi="宋体"/>
          <w:sz w:val="21"/>
          <w:szCs w:val="21"/>
        </w:rPr>
        <w:t xml:space="preserve">。  </w:t>
      </w:r>
    </w:p>
    <w:p w14:paraId="2C9EAEBD">
      <w:pPr>
        <w:pStyle w:val="19"/>
        <w:numPr>
          <w:ilvl w:val="0"/>
          <w:numId w:val="4"/>
        </w:numPr>
        <w:spacing w:before="0" w:beforeAutospacing="0" w:after="0" w:afterAutospacing="0" w:line="360" w:lineRule="auto"/>
        <w:jc w:val="both"/>
        <w:rPr>
          <w:rFonts w:hint="default" w:ascii="宋体" w:hAnsi="宋体"/>
          <w:sz w:val="21"/>
          <w:szCs w:val="21"/>
          <w:u w:val="single"/>
        </w:rPr>
      </w:pPr>
      <w:r>
        <w:rPr>
          <w:rFonts w:ascii="宋体" w:hAnsi="宋体"/>
          <w:sz w:val="21"/>
          <w:szCs w:val="21"/>
        </w:rPr>
        <w:t>服务地点：</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ascii="宋体" w:hAnsi="宋体"/>
          <w:sz w:val="21"/>
          <w:szCs w:val="21"/>
          <w:u w:val="single"/>
        </w:rPr>
        <w:t>  </w:t>
      </w:r>
      <w:r>
        <w:rPr>
          <w:rFonts w:ascii="宋体" w:hAnsi="宋体"/>
          <w:sz w:val="21"/>
          <w:szCs w:val="21"/>
        </w:rPr>
        <w:t>。</w:t>
      </w:r>
    </w:p>
    <w:p w14:paraId="35E70394">
      <w:pPr>
        <w:pStyle w:val="19"/>
        <w:numPr>
          <w:ilvl w:val="0"/>
          <w:numId w:val="2"/>
        </w:numPr>
        <w:spacing w:before="0" w:beforeAutospacing="0" w:after="0" w:afterAutospacing="0" w:line="360" w:lineRule="auto"/>
        <w:jc w:val="both"/>
        <w:rPr>
          <w:rFonts w:hint="default" w:ascii="宋体" w:hAnsi="宋体"/>
          <w:sz w:val="21"/>
          <w:szCs w:val="21"/>
        </w:rPr>
      </w:pPr>
      <w:r>
        <w:rPr>
          <w:rFonts w:ascii="宋体" w:hAnsi="宋体"/>
          <w:sz w:val="21"/>
          <w:szCs w:val="21"/>
        </w:rPr>
        <w:t xml:space="preserve">服务质量  </w:t>
      </w:r>
    </w:p>
    <w:p w14:paraId="59D1181D">
      <w:pPr>
        <w:pStyle w:val="19"/>
        <w:spacing w:before="0" w:beforeAutospacing="0" w:after="0" w:afterAutospacing="0" w:line="360" w:lineRule="auto"/>
        <w:jc w:val="both"/>
        <w:rPr>
          <w:rFonts w:hint="default" w:ascii="宋体" w:hAnsi="宋体"/>
          <w:sz w:val="21"/>
          <w:szCs w:val="21"/>
        </w:rPr>
      </w:pPr>
      <w:r>
        <w:rPr>
          <w:rFonts w:ascii="宋体" w:hAnsi="宋体"/>
          <w:sz w:val="21"/>
          <w:szCs w:val="21"/>
        </w:rPr>
        <w:t>乙方提供的服务应符合国家（或行业）规定标准。 </w:t>
      </w:r>
    </w:p>
    <w:p w14:paraId="7F0E8C38">
      <w:pPr>
        <w:pStyle w:val="19"/>
        <w:numPr>
          <w:ilvl w:val="0"/>
          <w:numId w:val="2"/>
        </w:numPr>
        <w:spacing w:before="0" w:beforeAutospacing="0" w:after="0" w:afterAutospacing="0" w:line="360" w:lineRule="auto"/>
        <w:jc w:val="both"/>
        <w:rPr>
          <w:rFonts w:hint="default" w:ascii="宋体" w:hAnsi="宋体"/>
          <w:sz w:val="21"/>
          <w:szCs w:val="21"/>
        </w:rPr>
      </w:pPr>
      <w:r>
        <w:rPr>
          <w:rFonts w:ascii="宋体" w:hAnsi="宋体"/>
          <w:sz w:val="21"/>
          <w:szCs w:val="21"/>
        </w:rPr>
        <w:t xml:space="preserve">知识产权  </w:t>
      </w:r>
    </w:p>
    <w:p w14:paraId="6DE9B606">
      <w:pPr>
        <w:pStyle w:val="19"/>
        <w:spacing w:before="0" w:beforeAutospacing="0" w:after="0" w:afterAutospacing="0" w:line="360" w:lineRule="auto"/>
        <w:jc w:val="both"/>
        <w:rPr>
          <w:rFonts w:hint="default" w:ascii="宋体" w:hAnsi="宋体"/>
          <w:sz w:val="21"/>
          <w:szCs w:val="21"/>
        </w:rPr>
      </w:pPr>
      <w:r>
        <w:rPr>
          <w:rFonts w:ascii="宋体" w:hAnsi="宋体"/>
          <w:sz w:val="21"/>
          <w:szCs w:val="21"/>
        </w:rPr>
        <w:t>乙方应保证甲方所使用的服务成果免受第三方提出的侵犯其知识产权的诉讼。   </w:t>
      </w:r>
    </w:p>
    <w:p w14:paraId="1FF13616">
      <w:pPr>
        <w:pStyle w:val="19"/>
        <w:numPr>
          <w:ilvl w:val="0"/>
          <w:numId w:val="2"/>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 xml:space="preserve">违约条款  </w:t>
      </w:r>
    </w:p>
    <w:p w14:paraId="31426F91">
      <w:pPr>
        <w:pStyle w:val="19"/>
        <w:numPr>
          <w:ilvl w:val="0"/>
          <w:numId w:val="5"/>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乙方延迟提供服务，每延迟</w:t>
      </w:r>
      <w:r>
        <w:rPr>
          <w:rFonts w:ascii="宋体" w:hAnsi="宋体"/>
          <w:kern w:val="2"/>
          <w:sz w:val="21"/>
          <w:szCs w:val="21"/>
          <w:u w:val="single"/>
        </w:rPr>
        <w:t xml:space="preserve">     </w:t>
      </w:r>
      <w:r>
        <w:rPr>
          <w:rFonts w:ascii="宋体" w:hAnsi="宋体"/>
          <w:kern w:val="2"/>
          <w:sz w:val="21"/>
          <w:szCs w:val="21"/>
        </w:rPr>
        <w:t>日，按合同金额的</w:t>
      </w:r>
      <w:r>
        <w:rPr>
          <w:rFonts w:ascii="宋体" w:hAnsi="宋体"/>
          <w:kern w:val="2"/>
          <w:sz w:val="21"/>
          <w:szCs w:val="21"/>
          <w:u w:val="single"/>
        </w:rPr>
        <w:t xml:space="preserve">         </w:t>
      </w:r>
      <w:r>
        <w:rPr>
          <w:rFonts w:ascii="宋体" w:hAnsi="宋体"/>
          <w:kern w:val="2"/>
          <w:sz w:val="21"/>
          <w:szCs w:val="21"/>
        </w:rPr>
        <w:t>支付违约金。 </w:t>
      </w:r>
    </w:p>
    <w:p w14:paraId="6322670B">
      <w:pPr>
        <w:pStyle w:val="19"/>
        <w:numPr>
          <w:ilvl w:val="0"/>
          <w:numId w:val="5"/>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一方不按期履行合同，并经另一方提示后</w:t>
      </w:r>
      <w:r>
        <w:rPr>
          <w:rFonts w:ascii="宋体" w:hAnsi="宋体"/>
          <w:kern w:val="2"/>
          <w:sz w:val="21"/>
          <w:szCs w:val="21"/>
          <w:u w:val="single"/>
        </w:rPr>
        <w:t xml:space="preserve">     </w:t>
      </w:r>
      <w:r>
        <w:rPr>
          <w:rFonts w:ascii="宋体" w:hAnsi="宋体"/>
          <w:kern w:val="2"/>
          <w:sz w:val="21"/>
          <w:szCs w:val="21"/>
        </w:rPr>
        <w:t xml:space="preserve">日内仍不履行合同的，守约方有权解除合同，违约方要承担相应的法律责任。  </w:t>
      </w:r>
    </w:p>
    <w:p w14:paraId="144E3BB1">
      <w:pPr>
        <w:pStyle w:val="19"/>
        <w:numPr>
          <w:ilvl w:val="0"/>
          <w:numId w:val="5"/>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 xml:space="preserve">如因一方违约，双方未能就赔偿损失达成协议，引起诉讼或仲裁时，违约方除应赔偿对方经济损失外，还应承担因诉讼或仲裁所支付的律师代理费等相关费用。  </w:t>
      </w:r>
    </w:p>
    <w:p w14:paraId="19F2F5BF">
      <w:pPr>
        <w:pStyle w:val="19"/>
        <w:numPr>
          <w:ilvl w:val="0"/>
          <w:numId w:val="5"/>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 xml:space="preserve">其它应承担的违约责任，以《中华人民共和国民法典》和其它有关法律、法规规定为准，无相关规定的，双方协商解决。  </w:t>
      </w:r>
    </w:p>
    <w:p w14:paraId="2774C3D7">
      <w:pPr>
        <w:pStyle w:val="19"/>
        <w:numPr>
          <w:ilvl w:val="0"/>
          <w:numId w:val="5"/>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按照本合同规定应该偿付的违约金、赔偿金等，应当在明确责任后</w:t>
      </w:r>
      <w:r>
        <w:rPr>
          <w:rFonts w:ascii="宋体" w:hAnsi="宋体"/>
          <w:kern w:val="2"/>
          <w:sz w:val="21"/>
          <w:szCs w:val="21"/>
          <w:u w:val="single"/>
        </w:rPr>
        <w:t xml:space="preserve">     </w:t>
      </w:r>
      <w:r>
        <w:rPr>
          <w:rFonts w:ascii="宋体" w:hAnsi="宋体"/>
          <w:kern w:val="2"/>
          <w:sz w:val="21"/>
          <w:szCs w:val="21"/>
        </w:rPr>
        <w:t>日内，按银行规定或双方商定的结算办法付清，否则按逾期付款处理。</w:t>
      </w:r>
    </w:p>
    <w:p w14:paraId="5E359270">
      <w:pPr>
        <w:pStyle w:val="19"/>
        <w:numPr>
          <w:ilvl w:val="0"/>
          <w:numId w:val="2"/>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不可抗力条款</w:t>
      </w:r>
    </w:p>
    <w:p w14:paraId="27847012">
      <w:pPr>
        <w:pStyle w:val="19"/>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因不可抗力致使一方不能及时或完全履行合同的，应及时通知采购代理机构及另一方，双方互不承担责任，并在</w:t>
      </w:r>
      <w:r>
        <w:rPr>
          <w:rFonts w:ascii="宋体" w:hAnsi="宋体"/>
          <w:kern w:val="2"/>
          <w:sz w:val="21"/>
          <w:szCs w:val="21"/>
          <w:u w:val="single"/>
        </w:rPr>
        <w:t xml:space="preserve">     </w:t>
      </w:r>
      <w:r>
        <w:rPr>
          <w:rFonts w:ascii="宋体" w:hAnsi="宋体"/>
          <w:kern w:val="2"/>
          <w:sz w:val="21"/>
          <w:szCs w:val="21"/>
        </w:rPr>
        <w:t>天内提供有关不可抗力的相应证明。合同未履行部分是否继续履行、如何履行等问题，可由双方协商解决。</w:t>
      </w:r>
    </w:p>
    <w:p w14:paraId="45DA7176">
      <w:pPr>
        <w:pStyle w:val="19"/>
        <w:numPr>
          <w:ilvl w:val="0"/>
          <w:numId w:val="2"/>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争议的解决方式</w:t>
      </w:r>
    </w:p>
    <w:p w14:paraId="549E674F">
      <w:pPr>
        <w:pStyle w:val="19"/>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合同发生纠纷时，双方应协商解决，协商不成可以采用下列</w:t>
      </w:r>
      <w:r>
        <w:rPr>
          <w:rFonts w:ascii="宋体" w:hAnsi="宋体"/>
          <w:kern w:val="2"/>
          <w:sz w:val="21"/>
          <w:szCs w:val="21"/>
          <w:u w:val="single"/>
        </w:rPr>
        <w:t xml:space="preserve">     </w:t>
      </w:r>
      <w:r>
        <w:rPr>
          <w:rFonts w:ascii="宋体" w:hAnsi="宋体"/>
          <w:kern w:val="2"/>
          <w:sz w:val="21"/>
          <w:szCs w:val="21"/>
        </w:rPr>
        <w:t>方式解决： </w:t>
      </w:r>
    </w:p>
    <w:p w14:paraId="767D5BE4">
      <w:pPr>
        <w:pStyle w:val="19"/>
        <w:numPr>
          <w:ilvl w:val="0"/>
          <w:numId w:val="6"/>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提交</w:t>
      </w:r>
      <w:r>
        <w:rPr>
          <w:rFonts w:ascii="宋体" w:hAnsi="宋体"/>
          <w:kern w:val="2"/>
          <w:sz w:val="21"/>
          <w:szCs w:val="21"/>
          <w:u w:val="single"/>
        </w:rPr>
        <w:t xml:space="preserve">            </w:t>
      </w:r>
      <w:r>
        <w:rPr>
          <w:rFonts w:ascii="宋体" w:hAnsi="宋体"/>
          <w:kern w:val="2"/>
          <w:sz w:val="21"/>
          <w:szCs w:val="21"/>
        </w:rPr>
        <w:t>仲裁委员会仲裁； </w:t>
      </w:r>
    </w:p>
    <w:p w14:paraId="640C83C2">
      <w:pPr>
        <w:pStyle w:val="19"/>
        <w:numPr>
          <w:ilvl w:val="0"/>
          <w:numId w:val="6"/>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 xml:space="preserve">向 </w:t>
      </w:r>
      <w:r>
        <w:rPr>
          <w:rFonts w:ascii="宋体" w:hAnsi="宋体"/>
          <w:kern w:val="2"/>
          <w:sz w:val="21"/>
          <w:szCs w:val="21"/>
          <w:u w:val="single"/>
        </w:rPr>
        <w:t>            </w:t>
      </w:r>
      <w:r>
        <w:rPr>
          <w:rFonts w:ascii="宋体" w:hAnsi="宋体"/>
          <w:kern w:val="2"/>
          <w:sz w:val="21"/>
          <w:szCs w:val="21"/>
        </w:rPr>
        <w:t> 人民法院诉讼。</w:t>
      </w:r>
    </w:p>
    <w:p w14:paraId="7FDAB52B">
      <w:pPr>
        <w:pStyle w:val="19"/>
        <w:numPr>
          <w:ilvl w:val="0"/>
          <w:numId w:val="2"/>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 xml:space="preserve">补充协议  </w:t>
      </w:r>
    </w:p>
    <w:p w14:paraId="4CCA277D">
      <w:pPr>
        <w:pStyle w:val="19"/>
        <w:spacing w:before="0" w:beforeAutospacing="0" w:after="0" w:afterAutospacing="0" w:line="360" w:lineRule="auto"/>
        <w:ind w:firstLine="420" w:firstLineChars="200"/>
        <w:jc w:val="both"/>
        <w:rPr>
          <w:rFonts w:hint="default" w:ascii="宋体" w:hAnsi="宋体"/>
          <w:kern w:val="2"/>
          <w:sz w:val="21"/>
          <w:szCs w:val="21"/>
        </w:rPr>
      </w:pPr>
      <w:r>
        <w:rPr>
          <w:rFonts w:ascii="宋体" w:hAnsi="宋体"/>
          <w:kern w:val="2"/>
          <w:sz w:val="21"/>
          <w:szCs w:val="21"/>
        </w:rPr>
        <w:t>合同未尽事宜，经双方协商可签订补充协议，所签订的补充协议与本合同具有同等的法律效力，补充协议的生效应符合本合同的有关规定。合同补充条款应同时报政府采购监督管理部门备案。</w:t>
      </w:r>
    </w:p>
    <w:p w14:paraId="7D38F4C9">
      <w:pPr>
        <w:pStyle w:val="19"/>
        <w:widowControl w:val="0"/>
        <w:numPr>
          <w:ilvl w:val="0"/>
          <w:numId w:val="2"/>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 xml:space="preserve">合同保存  </w:t>
      </w:r>
    </w:p>
    <w:p w14:paraId="15D0E36B">
      <w:pPr>
        <w:pStyle w:val="19"/>
        <w:widowControl w:val="0"/>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本合同一式</w:t>
      </w:r>
      <w:r>
        <w:rPr>
          <w:rFonts w:ascii="宋体" w:hAnsi="宋体"/>
          <w:kern w:val="2"/>
          <w:sz w:val="21"/>
          <w:szCs w:val="21"/>
          <w:u w:val="single"/>
        </w:rPr>
        <w:t xml:space="preserve">   </w:t>
      </w:r>
      <w:r>
        <w:rPr>
          <w:rFonts w:ascii="宋体" w:hAnsi="宋体"/>
          <w:kern w:val="2"/>
          <w:sz w:val="21"/>
          <w:szCs w:val="21"/>
        </w:rPr>
        <w:t>份，甲方</w:t>
      </w:r>
      <w:r>
        <w:rPr>
          <w:rFonts w:ascii="宋体" w:hAnsi="宋体"/>
          <w:kern w:val="2"/>
          <w:sz w:val="21"/>
          <w:szCs w:val="21"/>
          <w:u w:val="single"/>
        </w:rPr>
        <w:t xml:space="preserve">   </w:t>
      </w:r>
      <w:r>
        <w:rPr>
          <w:rFonts w:ascii="宋体" w:hAnsi="宋体"/>
          <w:kern w:val="2"/>
          <w:sz w:val="21"/>
          <w:szCs w:val="21"/>
        </w:rPr>
        <w:t>份，乙方</w:t>
      </w:r>
      <w:r>
        <w:rPr>
          <w:rFonts w:ascii="宋体" w:hAnsi="宋体"/>
          <w:kern w:val="2"/>
          <w:sz w:val="21"/>
          <w:szCs w:val="21"/>
          <w:u w:val="single"/>
        </w:rPr>
        <w:t xml:space="preserve">   </w:t>
      </w:r>
      <w:r>
        <w:rPr>
          <w:rFonts w:ascii="宋体" w:hAnsi="宋体"/>
          <w:kern w:val="2"/>
          <w:sz w:val="21"/>
          <w:szCs w:val="21"/>
        </w:rPr>
        <w:t>份，采购代理机构</w:t>
      </w:r>
      <w:r>
        <w:rPr>
          <w:rFonts w:ascii="宋体" w:hAnsi="宋体"/>
          <w:kern w:val="2"/>
          <w:sz w:val="21"/>
          <w:szCs w:val="21"/>
          <w:u w:val="single"/>
        </w:rPr>
        <w:t xml:space="preserve">   </w:t>
      </w:r>
      <w:r>
        <w:rPr>
          <w:rFonts w:ascii="宋体" w:hAnsi="宋体"/>
          <w:kern w:val="2"/>
          <w:sz w:val="21"/>
          <w:szCs w:val="21"/>
        </w:rPr>
        <w:t>份 ，</w:t>
      </w:r>
      <w:r>
        <w:rPr>
          <w:rFonts w:ascii="宋体" w:hAnsi="宋体"/>
          <w:kern w:val="2"/>
          <w:sz w:val="21"/>
          <w:szCs w:val="21"/>
          <w:u w:val="single"/>
        </w:rPr>
        <w:t xml:space="preserve">   </w:t>
      </w:r>
      <w:r>
        <w:rPr>
          <w:rFonts w:ascii="宋体" w:hAnsi="宋体"/>
          <w:kern w:val="2"/>
          <w:sz w:val="21"/>
          <w:szCs w:val="21"/>
        </w:rPr>
        <w:t xml:space="preserve"> 市（县、区）财政部门   份。  </w:t>
      </w:r>
    </w:p>
    <w:p w14:paraId="3E4B44F3">
      <w:pPr>
        <w:pStyle w:val="19"/>
        <w:widowControl w:val="0"/>
        <w:numPr>
          <w:ilvl w:val="0"/>
          <w:numId w:val="2"/>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 xml:space="preserve">其他需要补充的内容：  </w:t>
      </w:r>
    </w:p>
    <w:p w14:paraId="1E33E7C3">
      <w:pPr>
        <w:pStyle w:val="19"/>
        <w:widowControl w:val="0"/>
        <w:numPr>
          <w:ilvl w:val="0"/>
          <w:numId w:val="7"/>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 xml:space="preserve">乙方应按招标文件、投标文件及乙方在谈判过程中做出的书面说明或承诺提供及时、快速、优质的服务。  </w:t>
      </w:r>
    </w:p>
    <w:p w14:paraId="15AE8D46">
      <w:pPr>
        <w:pStyle w:val="19"/>
        <w:widowControl w:val="0"/>
        <w:numPr>
          <w:ilvl w:val="0"/>
          <w:numId w:val="7"/>
        </w:numPr>
        <w:spacing w:before="0" w:beforeAutospacing="0" w:after="0" w:afterAutospacing="0" w:line="360" w:lineRule="auto"/>
        <w:jc w:val="both"/>
        <w:rPr>
          <w:rFonts w:hint="default" w:ascii="宋体" w:hAnsi="宋体"/>
          <w:kern w:val="2"/>
          <w:sz w:val="21"/>
          <w:szCs w:val="21"/>
        </w:rPr>
      </w:pPr>
      <w:r>
        <w:rPr>
          <w:rFonts w:ascii="宋体" w:hAnsi="宋体"/>
          <w:kern w:val="2"/>
          <w:sz w:val="21"/>
          <w:szCs w:val="21"/>
        </w:rPr>
        <w:t>其他服务内容：  </w:t>
      </w:r>
    </w:p>
    <w:p w14:paraId="2EB5F788">
      <w:pPr>
        <w:spacing w:line="360" w:lineRule="auto"/>
        <w:ind w:firstLine="210" w:firstLineChars="100"/>
        <w:rPr>
          <w:rFonts w:hint="default" w:cs="宋体"/>
          <w:sz w:val="21"/>
          <w:szCs w:val="21"/>
        </w:rPr>
      </w:pPr>
      <w:r>
        <w:rPr>
          <w:rFonts w:cs="宋体"/>
          <w:sz w:val="21"/>
          <w:szCs w:val="21"/>
        </w:rPr>
        <w:t>需方：                                  供方：</w:t>
      </w:r>
    </w:p>
    <w:p w14:paraId="72F88F4B">
      <w:pPr>
        <w:spacing w:line="360" w:lineRule="auto"/>
        <w:ind w:firstLine="210" w:firstLineChars="100"/>
        <w:rPr>
          <w:rFonts w:hint="default" w:cs="宋体"/>
          <w:sz w:val="21"/>
          <w:szCs w:val="21"/>
        </w:rPr>
      </w:pPr>
      <w:r>
        <w:rPr>
          <w:rFonts w:cs="宋体"/>
          <w:sz w:val="21"/>
          <w:szCs w:val="21"/>
        </w:rPr>
        <w:t>地址：                                  地址：</w:t>
      </w:r>
    </w:p>
    <w:p w14:paraId="13338EC4">
      <w:pPr>
        <w:spacing w:line="360" w:lineRule="auto"/>
        <w:ind w:firstLine="210" w:firstLineChars="100"/>
        <w:rPr>
          <w:rFonts w:hint="default" w:cs="宋体"/>
          <w:sz w:val="21"/>
          <w:szCs w:val="21"/>
        </w:rPr>
      </w:pPr>
      <w:r>
        <w:rPr>
          <w:rFonts w:cs="宋体"/>
          <w:sz w:val="21"/>
          <w:szCs w:val="21"/>
        </w:rPr>
        <w:t xml:space="preserve">法定代表人 ：                           法定代表人 :              </w:t>
      </w:r>
    </w:p>
    <w:p w14:paraId="38ECD109">
      <w:pPr>
        <w:spacing w:line="360" w:lineRule="auto"/>
        <w:ind w:firstLine="210" w:firstLineChars="100"/>
        <w:rPr>
          <w:rFonts w:hint="default" w:cs="宋体"/>
          <w:sz w:val="21"/>
          <w:szCs w:val="21"/>
        </w:rPr>
      </w:pPr>
      <w:r>
        <w:rPr>
          <w:rFonts w:cs="宋体"/>
          <w:sz w:val="21"/>
          <w:szCs w:val="21"/>
        </w:rPr>
        <w:t>或授权委托人：                          或授权代理人：</w:t>
      </w:r>
    </w:p>
    <w:p w14:paraId="089858BD">
      <w:pPr>
        <w:spacing w:line="360" w:lineRule="auto"/>
        <w:ind w:firstLine="210" w:firstLineChars="100"/>
        <w:rPr>
          <w:rFonts w:hint="default" w:cs="宋体"/>
          <w:sz w:val="21"/>
          <w:szCs w:val="21"/>
        </w:rPr>
      </w:pPr>
      <w:r>
        <w:rPr>
          <w:rFonts w:cs="宋体"/>
          <w:sz w:val="21"/>
          <w:szCs w:val="21"/>
        </w:rPr>
        <w:t>签字日期：                              签字日期：</w:t>
      </w:r>
    </w:p>
    <w:p w14:paraId="548EDB00">
      <w:pPr>
        <w:spacing w:line="360" w:lineRule="auto"/>
        <w:ind w:firstLine="210" w:firstLineChars="100"/>
        <w:rPr>
          <w:rFonts w:hint="default" w:cs="宋体"/>
          <w:sz w:val="21"/>
          <w:szCs w:val="21"/>
        </w:rPr>
      </w:pPr>
      <w:r>
        <w:rPr>
          <w:rFonts w:cs="宋体"/>
          <w:sz w:val="21"/>
          <w:szCs w:val="21"/>
        </w:rPr>
        <w:t>邮政编码：                              邮政编码：</w:t>
      </w:r>
    </w:p>
    <w:p w14:paraId="04E7894B">
      <w:pPr>
        <w:spacing w:line="360" w:lineRule="auto"/>
        <w:ind w:firstLine="210" w:firstLineChars="100"/>
        <w:rPr>
          <w:rFonts w:hint="default" w:cs="宋体"/>
          <w:sz w:val="21"/>
          <w:szCs w:val="21"/>
        </w:rPr>
      </w:pPr>
      <w:r>
        <w:rPr>
          <w:rFonts w:cs="宋体"/>
          <w:sz w:val="21"/>
          <w:szCs w:val="21"/>
        </w:rPr>
        <w:t>电话：                                  电话：</w:t>
      </w:r>
    </w:p>
    <w:p w14:paraId="2CC3C1DB">
      <w:pPr>
        <w:spacing w:line="360" w:lineRule="auto"/>
        <w:ind w:firstLine="210" w:firstLineChars="100"/>
        <w:rPr>
          <w:rFonts w:hint="default" w:cs="宋体"/>
          <w:sz w:val="21"/>
          <w:szCs w:val="21"/>
        </w:rPr>
      </w:pPr>
      <w:r>
        <w:rPr>
          <w:rFonts w:cs="宋体"/>
          <w:sz w:val="21"/>
          <w:szCs w:val="21"/>
        </w:rPr>
        <w:t>传真：                                  传真：</w:t>
      </w:r>
    </w:p>
    <w:p w14:paraId="79D5D924">
      <w:pPr>
        <w:spacing w:line="360" w:lineRule="auto"/>
        <w:ind w:firstLine="210" w:firstLineChars="100"/>
        <w:rPr>
          <w:rFonts w:hint="default" w:cs="宋体"/>
          <w:sz w:val="21"/>
          <w:szCs w:val="21"/>
        </w:rPr>
      </w:pPr>
      <w:r>
        <w:rPr>
          <w:rFonts w:cs="宋体"/>
          <w:sz w:val="21"/>
          <w:szCs w:val="21"/>
        </w:rPr>
        <w:t>联系人：                                联系人：</w:t>
      </w:r>
    </w:p>
    <w:p w14:paraId="50FE920C">
      <w:pPr>
        <w:spacing w:line="360" w:lineRule="auto"/>
        <w:ind w:firstLine="210" w:firstLineChars="100"/>
        <w:rPr>
          <w:rFonts w:hint="default" w:cs="宋体"/>
          <w:sz w:val="21"/>
          <w:szCs w:val="21"/>
        </w:rPr>
      </w:pPr>
      <w:r>
        <w:rPr>
          <w:rFonts w:cs="宋体"/>
          <w:sz w:val="21"/>
          <w:szCs w:val="21"/>
        </w:rPr>
        <w:t>开户银行：                              开户银行：</w:t>
      </w:r>
    </w:p>
    <w:p w14:paraId="7BC9291D">
      <w:pPr>
        <w:spacing w:line="360" w:lineRule="auto"/>
        <w:ind w:firstLine="210" w:firstLineChars="100"/>
        <w:rPr>
          <w:rFonts w:hint="default" w:cs="宋体"/>
          <w:sz w:val="21"/>
          <w:szCs w:val="21"/>
        </w:rPr>
      </w:pPr>
      <w:r>
        <w:rPr>
          <w:rFonts w:cs="宋体"/>
          <w:sz w:val="21"/>
          <w:szCs w:val="21"/>
        </w:rPr>
        <w:t>账户名称:                               账户名称：</w:t>
      </w:r>
    </w:p>
    <w:p w14:paraId="180383F9">
      <w:pPr>
        <w:spacing w:line="360" w:lineRule="auto"/>
        <w:ind w:firstLine="210" w:firstLineChars="100"/>
        <w:rPr>
          <w:rFonts w:hint="default" w:cs="宋体"/>
          <w:sz w:val="21"/>
          <w:szCs w:val="21"/>
        </w:rPr>
      </w:pPr>
      <w:r>
        <w:rPr>
          <w:rFonts w:cs="宋体"/>
          <w:sz w:val="21"/>
          <w:szCs w:val="21"/>
        </w:rPr>
        <w:t>账号：                                  账号：</w:t>
      </w:r>
    </w:p>
    <w:p w14:paraId="6D0D66EC">
      <w:pPr>
        <w:spacing w:line="360" w:lineRule="auto"/>
        <w:rPr>
          <w:rFonts w:hint="default" w:cs="宋体"/>
          <w:sz w:val="21"/>
          <w:szCs w:val="21"/>
        </w:rPr>
      </w:pPr>
    </w:p>
    <w:p w14:paraId="1EB21B1E">
      <w:pPr>
        <w:spacing w:line="360" w:lineRule="auto"/>
        <w:ind w:firstLine="211" w:firstLineChars="100"/>
        <w:rPr>
          <w:rFonts w:hint="default" w:cs="宋体"/>
          <w:sz w:val="21"/>
          <w:szCs w:val="21"/>
        </w:rPr>
        <w:sectPr>
          <w:footerReference r:id="rId8" w:type="default"/>
          <w:pgSz w:w="11906" w:h="16838"/>
          <w:pgMar w:top="1361" w:right="1304" w:bottom="1247" w:left="1304" w:header="680" w:footer="680" w:gutter="0"/>
          <w:cols w:space="720" w:num="1"/>
          <w:docGrid w:linePitch="312" w:charSpace="0"/>
        </w:sectPr>
      </w:pPr>
      <w:r>
        <w:rPr>
          <w:rFonts w:cs="宋体"/>
          <w:b/>
          <w:bCs/>
          <w:sz w:val="21"/>
          <w:szCs w:val="21"/>
        </w:rPr>
        <w:t>注：本合同为简易版本，使用过程中，请结合项目特点，充实细化。</w:t>
      </w:r>
    </w:p>
    <w:p w14:paraId="78A934B5">
      <w:pPr>
        <w:pStyle w:val="8"/>
        <w:ind w:firstLine="440"/>
        <w:rPr>
          <w:rFonts w:hint="default" w:cs="宋体"/>
        </w:rPr>
      </w:pPr>
    </w:p>
    <w:p w14:paraId="561B5BF6">
      <w:pPr>
        <w:numPr>
          <w:ilvl w:val="0"/>
          <w:numId w:val="8"/>
        </w:numPr>
        <w:jc w:val="center"/>
        <w:rPr>
          <w:rFonts w:hint="default" w:cs="宋体"/>
          <w:b/>
          <w:sz w:val="28"/>
        </w:rPr>
      </w:pPr>
      <w:r>
        <w:rPr>
          <w:rFonts w:cs="宋体"/>
          <w:b/>
          <w:sz w:val="28"/>
        </w:rPr>
        <w:t>采购需求</w:t>
      </w:r>
    </w:p>
    <w:p w14:paraId="586848E1">
      <w:pPr>
        <w:rPr>
          <w:rFonts w:hint="default" w:cs="宋体"/>
        </w:rPr>
      </w:pPr>
    </w:p>
    <w:p w14:paraId="2FF412F6">
      <w:pPr>
        <w:jc w:val="center"/>
        <w:rPr>
          <w:rFonts w:hint="default"/>
          <w:sz w:val="28"/>
          <w:szCs w:val="28"/>
        </w:rPr>
      </w:pPr>
    </w:p>
    <w:p w14:paraId="32A80E0F">
      <w:pPr>
        <w:pStyle w:val="14"/>
        <w:spacing w:line="360" w:lineRule="auto"/>
        <w:rPr>
          <w:rFonts w:hint="default" w:ascii="Times New Roman" w:hAnsi="Times New Roman"/>
          <w:color w:val="auto"/>
          <w:sz w:val="21"/>
          <w:highlight w:val="none"/>
        </w:rPr>
      </w:pPr>
      <w:r>
        <w:rPr>
          <w:rFonts w:hAnsi="宋体" w:cs="宋体"/>
          <w:bCs/>
          <w:color w:val="auto"/>
          <w:sz w:val="21"/>
          <w:highlight w:val="none"/>
        </w:rPr>
        <w:t>1.人员：</w:t>
      </w:r>
      <w:r>
        <w:rPr>
          <w:rFonts w:hint="eastAsia" w:cs="宋体"/>
          <w:sz w:val="21"/>
          <w:highlight w:val="none"/>
        </w:rPr>
        <w:t>支队本级和直属单位购险总人数为465人（在编消防指战员303人，新招录消防员预计20人，合同制消防队员142人）</w:t>
      </w:r>
      <w:r>
        <w:rPr>
          <w:rFonts w:hint="eastAsia" w:cs="宋体"/>
          <w:sz w:val="21"/>
          <w:highlight w:val="none"/>
          <w:lang w:val="en-US" w:eastAsia="zh-CN"/>
        </w:rPr>
        <w:t>,</w:t>
      </w:r>
      <w:r>
        <w:rPr>
          <w:rFonts w:cs="宋体"/>
          <w:sz w:val="21"/>
          <w:highlight w:val="none"/>
        </w:rPr>
        <w:t>最终以实际购险人数为准</w:t>
      </w:r>
      <w:r>
        <w:rPr>
          <w:rFonts w:ascii="Times New Roman" w:hAnsi="Times New Roman"/>
          <w:color w:val="auto"/>
          <w:sz w:val="21"/>
          <w:highlight w:val="none"/>
        </w:rPr>
        <w:t>。</w:t>
      </w:r>
    </w:p>
    <w:p w14:paraId="772E1859">
      <w:pPr>
        <w:pStyle w:val="14"/>
        <w:spacing w:line="360" w:lineRule="auto"/>
        <w:rPr>
          <w:rFonts w:hint="default" w:hAnsi="宋体" w:cs="宋体"/>
          <w:bCs/>
          <w:color w:val="auto"/>
          <w:sz w:val="21"/>
        </w:rPr>
      </w:pPr>
      <w:r>
        <w:rPr>
          <w:rFonts w:hAnsi="宋体" w:cs="宋体"/>
          <w:bCs/>
          <w:color w:val="auto"/>
          <w:sz w:val="21"/>
        </w:rPr>
        <w:t>2.保障险种需求如下：</w:t>
      </w:r>
    </w:p>
    <w:tbl>
      <w:tblPr>
        <w:tblStyle w:val="23"/>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491"/>
        <w:gridCol w:w="1194"/>
        <w:gridCol w:w="1093"/>
        <w:gridCol w:w="1289"/>
        <w:gridCol w:w="1188"/>
        <w:gridCol w:w="2737"/>
      </w:tblGrid>
      <w:tr w14:paraId="5C20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14:paraId="40AD6540">
            <w:pPr>
              <w:pStyle w:val="14"/>
              <w:spacing w:line="360" w:lineRule="exact"/>
              <w:jc w:val="center"/>
              <w:rPr>
                <w:rFonts w:hint="default" w:hAnsi="宋体" w:cs="宋体"/>
                <w:bCs/>
                <w:color w:val="auto"/>
                <w:sz w:val="21"/>
              </w:rPr>
            </w:pPr>
            <w:r>
              <w:rPr>
                <w:rFonts w:hAnsi="宋体" w:cs="宋体"/>
                <w:bCs/>
                <w:color w:val="auto"/>
                <w:sz w:val="21"/>
              </w:rPr>
              <w:t>险种</w:t>
            </w:r>
          </w:p>
        </w:tc>
        <w:tc>
          <w:tcPr>
            <w:tcW w:w="1491" w:type="dxa"/>
            <w:noWrap/>
            <w:vAlign w:val="center"/>
          </w:tcPr>
          <w:p w14:paraId="0F83B5F6">
            <w:pPr>
              <w:pStyle w:val="14"/>
              <w:spacing w:line="360" w:lineRule="exact"/>
              <w:jc w:val="center"/>
              <w:rPr>
                <w:rFonts w:hint="default" w:hAnsi="宋体" w:cs="宋体"/>
                <w:bCs/>
                <w:color w:val="auto"/>
                <w:sz w:val="21"/>
              </w:rPr>
            </w:pPr>
            <w:r>
              <w:rPr>
                <w:rFonts w:hAnsi="宋体" w:cs="宋体"/>
                <w:bCs/>
                <w:color w:val="auto"/>
                <w:sz w:val="21"/>
              </w:rPr>
              <w:t>意外伤害身故和伤残</w:t>
            </w:r>
          </w:p>
        </w:tc>
        <w:tc>
          <w:tcPr>
            <w:tcW w:w="1194" w:type="dxa"/>
            <w:noWrap/>
            <w:vAlign w:val="center"/>
          </w:tcPr>
          <w:p w14:paraId="69CFEA49">
            <w:pPr>
              <w:pStyle w:val="14"/>
              <w:spacing w:line="360" w:lineRule="exact"/>
              <w:jc w:val="center"/>
              <w:rPr>
                <w:rFonts w:hint="default" w:hAnsi="宋体" w:cs="宋体"/>
                <w:bCs/>
                <w:color w:val="auto"/>
                <w:sz w:val="21"/>
              </w:rPr>
            </w:pPr>
            <w:r>
              <w:rPr>
                <w:rFonts w:hAnsi="宋体" w:cs="宋体"/>
                <w:bCs/>
                <w:color w:val="auto"/>
                <w:sz w:val="21"/>
              </w:rPr>
              <w:t>意外伤害医疗保险</w:t>
            </w:r>
          </w:p>
        </w:tc>
        <w:tc>
          <w:tcPr>
            <w:tcW w:w="1093" w:type="dxa"/>
            <w:noWrap/>
            <w:vAlign w:val="center"/>
          </w:tcPr>
          <w:p w14:paraId="50446D07">
            <w:pPr>
              <w:pStyle w:val="14"/>
              <w:spacing w:line="360" w:lineRule="exact"/>
              <w:jc w:val="center"/>
              <w:rPr>
                <w:rFonts w:hint="default" w:hAnsi="宋体" w:cs="宋体"/>
                <w:bCs/>
                <w:color w:val="auto"/>
                <w:sz w:val="21"/>
              </w:rPr>
            </w:pPr>
            <w:r>
              <w:rPr>
                <w:rFonts w:hAnsi="宋体" w:cs="宋体"/>
                <w:bCs/>
                <w:color w:val="auto"/>
                <w:sz w:val="21"/>
              </w:rPr>
              <w:t>重大疾病保险</w:t>
            </w:r>
          </w:p>
        </w:tc>
        <w:tc>
          <w:tcPr>
            <w:tcW w:w="1289" w:type="dxa"/>
            <w:noWrap/>
            <w:vAlign w:val="center"/>
          </w:tcPr>
          <w:p w14:paraId="44BE3EC3">
            <w:pPr>
              <w:pStyle w:val="14"/>
              <w:spacing w:line="360" w:lineRule="exact"/>
              <w:jc w:val="center"/>
              <w:rPr>
                <w:rFonts w:hint="default" w:hAnsi="宋体" w:cs="宋体"/>
                <w:bCs/>
                <w:color w:val="auto"/>
                <w:sz w:val="21"/>
              </w:rPr>
            </w:pPr>
            <w:r>
              <w:rPr>
                <w:rFonts w:hAnsi="宋体" w:cs="宋体"/>
                <w:bCs/>
                <w:color w:val="auto"/>
                <w:sz w:val="21"/>
              </w:rPr>
              <w:t>意外伤害住院津贴保险</w:t>
            </w:r>
          </w:p>
        </w:tc>
        <w:tc>
          <w:tcPr>
            <w:tcW w:w="1188" w:type="dxa"/>
            <w:noWrap/>
            <w:vAlign w:val="center"/>
          </w:tcPr>
          <w:p w14:paraId="6E70E96A">
            <w:pPr>
              <w:pStyle w:val="14"/>
              <w:spacing w:line="360" w:lineRule="exact"/>
              <w:jc w:val="center"/>
              <w:rPr>
                <w:rFonts w:hint="eastAsia" w:hAnsi="宋体" w:eastAsia="宋体" w:cs="宋体"/>
                <w:bCs/>
                <w:color w:val="auto"/>
                <w:sz w:val="21"/>
                <w:lang w:eastAsia="zh-CN"/>
              </w:rPr>
            </w:pPr>
            <w:r>
              <w:rPr>
                <w:rFonts w:hint="eastAsia" w:hAnsi="宋体" w:cs="宋体"/>
                <w:bCs/>
                <w:color w:val="auto"/>
                <w:sz w:val="21"/>
                <w:lang w:eastAsia="zh-CN"/>
              </w:rPr>
              <w:t>疾病医疗保险</w:t>
            </w:r>
          </w:p>
        </w:tc>
        <w:tc>
          <w:tcPr>
            <w:tcW w:w="2737" w:type="dxa"/>
            <w:noWrap/>
            <w:vAlign w:val="center"/>
          </w:tcPr>
          <w:p w14:paraId="565646D4">
            <w:pPr>
              <w:pStyle w:val="14"/>
              <w:spacing w:line="360" w:lineRule="exact"/>
              <w:jc w:val="center"/>
              <w:rPr>
                <w:rFonts w:hint="default"/>
                <w:color w:val="auto"/>
                <w:sz w:val="21"/>
              </w:rPr>
            </w:pPr>
            <w:r>
              <w:rPr>
                <w:rFonts w:hAnsi="宋体" w:cs="宋体"/>
                <w:bCs/>
                <w:color w:val="auto"/>
                <w:sz w:val="21"/>
              </w:rPr>
              <w:t>交通工具意外伤害保险</w:t>
            </w:r>
          </w:p>
        </w:tc>
      </w:tr>
      <w:tr w14:paraId="7DA1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14:paraId="44D1AD70">
            <w:pPr>
              <w:pStyle w:val="14"/>
              <w:spacing w:line="360" w:lineRule="exact"/>
              <w:jc w:val="center"/>
              <w:rPr>
                <w:rFonts w:hint="default" w:hAnsi="宋体" w:cs="宋体"/>
                <w:bCs/>
                <w:color w:val="auto"/>
                <w:sz w:val="21"/>
              </w:rPr>
            </w:pPr>
            <w:r>
              <w:rPr>
                <w:rFonts w:hAnsi="宋体" w:cs="宋体"/>
                <w:bCs/>
                <w:color w:val="auto"/>
                <w:sz w:val="21"/>
              </w:rPr>
              <w:t>保额</w:t>
            </w:r>
          </w:p>
        </w:tc>
        <w:tc>
          <w:tcPr>
            <w:tcW w:w="1491" w:type="dxa"/>
            <w:noWrap/>
            <w:vAlign w:val="center"/>
          </w:tcPr>
          <w:p w14:paraId="2342EB9A">
            <w:pPr>
              <w:pStyle w:val="14"/>
              <w:ind w:firstLine="210" w:firstLineChars="100"/>
              <w:rPr>
                <w:rFonts w:hint="default" w:hAnsi="宋体" w:cs="宋体"/>
                <w:bCs/>
                <w:color w:val="auto"/>
                <w:sz w:val="21"/>
              </w:rPr>
            </w:pPr>
            <w:r>
              <w:rPr>
                <w:rFonts w:hAnsi="宋体" w:cs="宋体"/>
                <w:bCs/>
                <w:color w:val="auto"/>
                <w:sz w:val="21"/>
              </w:rPr>
              <w:t>100万</w:t>
            </w:r>
          </w:p>
        </w:tc>
        <w:tc>
          <w:tcPr>
            <w:tcW w:w="1194" w:type="dxa"/>
            <w:noWrap/>
            <w:vAlign w:val="center"/>
          </w:tcPr>
          <w:p w14:paraId="48F75931">
            <w:pPr>
              <w:pStyle w:val="14"/>
              <w:ind w:firstLine="210" w:firstLineChars="100"/>
              <w:rPr>
                <w:rFonts w:hint="default" w:hAnsi="宋体" w:cs="宋体"/>
                <w:bCs/>
                <w:color w:val="auto"/>
                <w:sz w:val="21"/>
              </w:rPr>
            </w:pPr>
            <w:r>
              <w:rPr>
                <w:rFonts w:hAnsi="宋体" w:cs="宋体"/>
                <w:bCs/>
                <w:color w:val="auto"/>
                <w:sz w:val="21"/>
              </w:rPr>
              <w:t>20万</w:t>
            </w:r>
          </w:p>
        </w:tc>
        <w:tc>
          <w:tcPr>
            <w:tcW w:w="1093" w:type="dxa"/>
            <w:noWrap/>
            <w:vAlign w:val="center"/>
          </w:tcPr>
          <w:p w14:paraId="241D9CE9">
            <w:pPr>
              <w:pStyle w:val="14"/>
              <w:ind w:firstLine="210" w:firstLineChars="100"/>
              <w:rPr>
                <w:rFonts w:hint="default" w:hAnsi="宋体" w:cs="宋体"/>
                <w:bCs/>
                <w:color w:val="auto"/>
                <w:sz w:val="21"/>
              </w:rPr>
            </w:pPr>
            <w:r>
              <w:rPr>
                <w:rFonts w:hAnsi="宋体" w:cs="宋体"/>
                <w:bCs/>
                <w:color w:val="auto"/>
                <w:sz w:val="21"/>
              </w:rPr>
              <w:t>5万</w:t>
            </w:r>
          </w:p>
        </w:tc>
        <w:tc>
          <w:tcPr>
            <w:tcW w:w="1289" w:type="dxa"/>
            <w:noWrap/>
            <w:vAlign w:val="center"/>
          </w:tcPr>
          <w:p w14:paraId="665ECE68">
            <w:pPr>
              <w:pStyle w:val="14"/>
              <w:jc w:val="center"/>
              <w:rPr>
                <w:rFonts w:hint="default" w:hAnsi="宋体" w:cs="宋体"/>
                <w:bCs/>
                <w:color w:val="auto"/>
                <w:sz w:val="21"/>
              </w:rPr>
            </w:pPr>
            <w:r>
              <w:rPr>
                <w:rFonts w:hAnsi="宋体" w:cs="宋体"/>
                <w:bCs/>
                <w:color w:val="auto"/>
                <w:sz w:val="21"/>
              </w:rPr>
              <w:t>100元/天</w:t>
            </w:r>
          </w:p>
        </w:tc>
        <w:tc>
          <w:tcPr>
            <w:tcW w:w="1188" w:type="dxa"/>
            <w:noWrap/>
            <w:vAlign w:val="center"/>
          </w:tcPr>
          <w:p w14:paraId="266A2845">
            <w:pPr>
              <w:pStyle w:val="14"/>
              <w:ind w:firstLine="210" w:firstLineChars="100"/>
              <w:rPr>
                <w:rFonts w:hint="default" w:hAnsi="宋体" w:cs="宋体"/>
                <w:bCs/>
                <w:color w:val="auto"/>
                <w:sz w:val="21"/>
              </w:rPr>
            </w:pPr>
            <w:r>
              <w:rPr>
                <w:rFonts w:hint="eastAsia" w:hAnsi="宋体" w:cs="宋体"/>
                <w:bCs/>
                <w:color w:val="auto"/>
                <w:sz w:val="21"/>
                <w:lang w:val="en-US" w:eastAsia="zh-CN"/>
              </w:rPr>
              <w:t>2.5</w:t>
            </w:r>
            <w:r>
              <w:rPr>
                <w:rFonts w:hAnsi="宋体" w:cs="宋体"/>
                <w:bCs/>
                <w:color w:val="auto"/>
                <w:sz w:val="21"/>
              </w:rPr>
              <w:t>万</w:t>
            </w:r>
          </w:p>
        </w:tc>
        <w:tc>
          <w:tcPr>
            <w:tcW w:w="2737" w:type="dxa"/>
            <w:noWrap/>
            <w:vAlign w:val="center"/>
          </w:tcPr>
          <w:p w14:paraId="6D6895C5">
            <w:pPr>
              <w:pStyle w:val="14"/>
              <w:spacing w:line="360" w:lineRule="exact"/>
              <w:jc w:val="center"/>
              <w:rPr>
                <w:rFonts w:hint="default" w:hAnsi="宋体" w:cs="宋体"/>
                <w:bCs/>
                <w:color w:val="auto"/>
                <w:sz w:val="21"/>
              </w:rPr>
            </w:pPr>
            <w:r>
              <w:rPr>
                <w:rFonts w:hAnsi="宋体" w:cs="宋体"/>
                <w:bCs/>
                <w:color w:val="auto"/>
                <w:sz w:val="21"/>
              </w:rPr>
              <w:t>飞机：100万</w:t>
            </w:r>
          </w:p>
          <w:p w14:paraId="39BFE4CE">
            <w:pPr>
              <w:pStyle w:val="14"/>
              <w:spacing w:line="360" w:lineRule="exact"/>
              <w:jc w:val="center"/>
              <w:rPr>
                <w:rFonts w:hint="default" w:hAnsi="宋体" w:cs="宋体"/>
                <w:bCs/>
                <w:color w:val="auto"/>
                <w:sz w:val="21"/>
              </w:rPr>
            </w:pPr>
            <w:r>
              <w:rPr>
                <w:rFonts w:hAnsi="宋体" w:cs="宋体"/>
                <w:bCs/>
                <w:color w:val="auto"/>
                <w:sz w:val="21"/>
              </w:rPr>
              <w:t>火车，轮船：50万</w:t>
            </w:r>
          </w:p>
          <w:p w14:paraId="0135119E">
            <w:pPr>
              <w:pStyle w:val="14"/>
              <w:spacing w:line="360" w:lineRule="exact"/>
              <w:jc w:val="center"/>
              <w:rPr>
                <w:rFonts w:hint="default" w:hAnsi="宋体" w:cs="宋体"/>
                <w:bCs/>
                <w:color w:val="auto"/>
                <w:sz w:val="21"/>
              </w:rPr>
            </w:pPr>
            <w:r>
              <w:rPr>
                <w:rFonts w:hAnsi="宋体" w:cs="宋体"/>
                <w:bCs/>
                <w:color w:val="auto"/>
                <w:sz w:val="21"/>
              </w:rPr>
              <w:t>汽车：20万</w:t>
            </w:r>
          </w:p>
        </w:tc>
      </w:tr>
    </w:tbl>
    <w:p w14:paraId="210966BE">
      <w:pPr>
        <w:widowControl/>
        <w:shd w:val="clear" w:color="auto" w:fill="FFFFFF"/>
        <w:spacing w:line="360" w:lineRule="auto"/>
        <w:rPr>
          <w:rFonts w:hint="default" w:cs="宋体"/>
          <w:b/>
          <w:bCs/>
          <w:sz w:val="21"/>
          <w:szCs w:val="21"/>
        </w:rPr>
      </w:pPr>
    </w:p>
    <w:p w14:paraId="014EE992">
      <w:pPr>
        <w:widowControl/>
        <w:shd w:val="clear" w:color="auto" w:fill="FFFFFF"/>
        <w:spacing w:line="360" w:lineRule="auto"/>
        <w:rPr>
          <w:rFonts w:hint="default" w:cs="宋体"/>
          <w:b/>
          <w:bCs/>
          <w:sz w:val="21"/>
          <w:szCs w:val="21"/>
        </w:rPr>
      </w:pPr>
      <w:r>
        <w:rPr>
          <w:rFonts w:cs="宋体"/>
          <w:b/>
          <w:bCs/>
          <w:sz w:val="21"/>
          <w:szCs w:val="21"/>
        </w:rPr>
        <w:t>注：</w:t>
      </w:r>
    </w:p>
    <w:p w14:paraId="0FE1B9A7">
      <w:pPr>
        <w:widowControl/>
        <w:numPr>
          <w:ilvl w:val="0"/>
          <w:numId w:val="9"/>
        </w:numPr>
        <w:shd w:val="clear" w:color="auto" w:fill="FFFFFF"/>
        <w:spacing w:line="360" w:lineRule="auto"/>
        <w:rPr>
          <w:rFonts w:hint="default" w:cs="宋体"/>
          <w:b/>
          <w:bCs/>
          <w:sz w:val="24"/>
        </w:rPr>
      </w:pPr>
      <w:r>
        <w:rPr>
          <w:rFonts w:cs="宋体"/>
          <w:b/>
          <w:bCs/>
          <w:sz w:val="21"/>
          <w:szCs w:val="21"/>
        </w:rPr>
        <w:t>第五章服务需求的内容均为实质性条款</w:t>
      </w:r>
      <w:r>
        <w:rPr>
          <w:rFonts w:cs="宋体"/>
          <w:b/>
          <w:bCs/>
          <w:sz w:val="24"/>
        </w:rPr>
        <w:t>。</w:t>
      </w:r>
    </w:p>
    <w:p w14:paraId="2D0DD2CF">
      <w:pPr>
        <w:pStyle w:val="20"/>
        <w:jc w:val="left"/>
        <w:rPr>
          <w:rFonts w:hint="default" w:ascii="宋体" w:hAnsi="宋体" w:cs="宋体"/>
        </w:rPr>
        <w:sectPr>
          <w:footerReference r:id="rId9" w:type="default"/>
          <w:pgSz w:w="11910" w:h="16840"/>
          <w:pgMar w:top="1134" w:right="1134" w:bottom="1134" w:left="1134" w:header="0" w:footer="556" w:gutter="0"/>
          <w:cols w:space="720" w:num="1"/>
        </w:sectPr>
      </w:pPr>
    </w:p>
    <w:p w14:paraId="23FE931F">
      <w:pPr>
        <w:jc w:val="center"/>
        <w:rPr>
          <w:rFonts w:hint="default" w:cs="宋体"/>
        </w:rPr>
        <w:sectPr>
          <w:pgSz w:w="11910" w:h="16840"/>
          <w:pgMar w:top="1134" w:right="1134" w:bottom="1134" w:left="1134" w:header="0" w:footer="556" w:gutter="0"/>
          <w:cols w:space="720" w:num="1"/>
        </w:sectPr>
      </w:pPr>
      <w:bookmarkStart w:id="52" w:name="第六章_响应文件格式"/>
      <w:bookmarkEnd w:id="52"/>
      <w:bookmarkStart w:id="53" w:name="_bookmark5"/>
      <w:bookmarkEnd w:id="53"/>
      <w:r>
        <w:rPr>
          <w:rFonts w:cs="宋体"/>
          <w:b/>
          <w:sz w:val="28"/>
        </w:rPr>
        <w:t>第六章 响应文件格式</w:t>
      </w:r>
    </w:p>
    <w:p w14:paraId="6ECD87E8">
      <w:pPr>
        <w:jc w:val="center"/>
        <w:rPr>
          <w:rFonts w:hint="default" w:cs="宋体"/>
          <w:sz w:val="48"/>
          <w:u w:val="single"/>
        </w:rPr>
      </w:pPr>
    </w:p>
    <w:p w14:paraId="3B8081B0">
      <w:pPr>
        <w:jc w:val="center"/>
        <w:rPr>
          <w:rFonts w:hint="default" w:cs="宋体"/>
          <w:sz w:val="48"/>
          <w:u w:val="single"/>
        </w:rPr>
      </w:pPr>
    </w:p>
    <w:p w14:paraId="0770DE72">
      <w:pPr>
        <w:jc w:val="center"/>
        <w:rPr>
          <w:rFonts w:hint="default" w:cs="宋体"/>
          <w:sz w:val="48"/>
          <w:u w:val="single"/>
        </w:rPr>
      </w:pPr>
    </w:p>
    <w:p w14:paraId="2607B489">
      <w:pPr>
        <w:jc w:val="center"/>
        <w:rPr>
          <w:rFonts w:hint="default" w:cs="宋体"/>
          <w:sz w:val="48"/>
          <w:u w:val="single"/>
        </w:rPr>
      </w:pPr>
      <w:r>
        <w:rPr>
          <w:rFonts w:cs="宋体"/>
          <w:sz w:val="48"/>
          <w:u w:val="single"/>
        </w:rPr>
        <w:t>（项目名称）</w:t>
      </w:r>
    </w:p>
    <w:p w14:paraId="16726621">
      <w:pPr>
        <w:jc w:val="center"/>
        <w:rPr>
          <w:rFonts w:hint="default" w:cs="宋体"/>
          <w:sz w:val="21"/>
        </w:rPr>
      </w:pPr>
    </w:p>
    <w:p w14:paraId="724FDCF7">
      <w:pPr>
        <w:jc w:val="center"/>
        <w:rPr>
          <w:rFonts w:hint="default" w:cs="宋体"/>
          <w:sz w:val="21"/>
        </w:rPr>
      </w:pPr>
    </w:p>
    <w:p w14:paraId="13D6D0B9">
      <w:pPr>
        <w:jc w:val="center"/>
        <w:rPr>
          <w:rFonts w:hint="default" w:cs="宋体"/>
          <w:sz w:val="21"/>
        </w:rPr>
      </w:pPr>
    </w:p>
    <w:p w14:paraId="0ED14F5C">
      <w:pPr>
        <w:jc w:val="center"/>
        <w:rPr>
          <w:rFonts w:hint="default" w:cs="宋体"/>
          <w:sz w:val="21"/>
        </w:rPr>
      </w:pPr>
    </w:p>
    <w:p w14:paraId="0538344A">
      <w:pPr>
        <w:jc w:val="center"/>
        <w:rPr>
          <w:rFonts w:hint="default" w:cs="宋体"/>
          <w:sz w:val="21"/>
        </w:rPr>
      </w:pPr>
    </w:p>
    <w:p w14:paraId="3AE74778">
      <w:pPr>
        <w:jc w:val="center"/>
        <w:rPr>
          <w:rFonts w:hint="default" w:cs="宋体"/>
          <w:sz w:val="28"/>
        </w:rPr>
      </w:pPr>
    </w:p>
    <w:p w14:paraId="3495B720">
      <w:pPr>
        <w:jc w:val="center"/>
        <w:rPr>
          <w:rFonts w:hint="default" w:cs="宋体"/>
          <w:sz w:val="28"/>
        </w:rPr>
      </w:pPr>
    </w:p>
    <w:p w14:paraId="638FBAB9">
      <w:pPr>
        <w:jc w:val="center"/>
        <w:rPr>
          <w:rFonts w:hint="default" w:cs="宋体"/>
          <w:sz w:val="48"/>
        </w:rPr>
      </w:pPr>
      <w:r>
        <w:rPr>
          <w:rFonts w:hint="eastAsia" w:cs="宋体"/>
          <w:sz w:val="48"/>
          <w:lang w:eastAsia="zh-CN"/>
        </w:rPr>
        <w:t>响</w:t>
      </w:r>
      <w:r>
        <w:rPr>
          <w:rFonts w:hint="eastAsia" w:cs="宋体"/>
          <w:sz w:val="48"/>
          <w:lang w:val="en-US" w:eastAsia="zh-CN"/>
        </w:rPr>
        <w:t xml:space="preserve"> </w:t>
      </w:r>
      <w:r>
        <w:rPr>
          <w:rFonts w:hint="eastAsia" w:cs="宋体"/>
          <w:sz w:val="48"/>
          <w:lang w:eastAsia="zh-CN"/>
        </w:rPr>
        <w:t>应</w:t>
      </w:r>
      <w:r>
        <w:rPr>
          <w:rFonts w:cs="宋体"/>
          <w:sz w:val="48"/>
        </w:rPr>
        <w:t xml:space="preserve"> 文 件</w:t>
      </w:r>
    </w:p>
    <w:p w14:paraId="53CF1723">
      <w:pPr>
        <w:jc w:val="center"/>
        <w:rPr>
          <w:rFonts w:hint="default" w:cs="宋体"/>
          <w:sz w:val="28"/>
        </w:rPr>
      </w:pPr>
    </w:p>
    <w:p w14:paraId="4C9C82ED">
      <w:pPr>
        <w:jc w:val="center"/>
        <w:rPr>
          <w:rFonts w:hint="default" w:cs="宋体"/>
          <w:sz w:val="28"/>
        </w:rPr>
      </w:pPr>
      <w:r>
        <w:rPr>
          <w:rFonts w:cs="宋体"/>
          <w:sz w:val="28"/>
        </w:rPr>
        <w:t>项目编号：</w:t>
      </w:r>
    </w:p>
    <w:p w14:paraId="4762E777">
      <w:pPr>
        <w:rPr>
          <w:rFonts w:hint="default" w:cs="宋体"/>
          <w:sz w:val="21"/>
        </w:rPr>
      </w:pPr>
    </w:p>
    <w:p w14:paraId="3E20BD6F">
      <w:pPr>
        <w:rPr>
          <w:rFonts w:hint="default" w:cs="宋体"/>
          <w:sz w:val="21"/>
        </w:rPr>
      </w:pPr>
    </w:p>
    <w:p w14:paraId="39C3F2F0">
      <w:pPr>
        <w:rPr>
          <w:rFonts w:hint="default" w:cs="宋体"/>
          <w:sz w:val="21"/>
        </w:rPr>
      </w:pPr>
    </w:p>
    <w:p w14:paraId="40B6F34A">
      <w:pPr>
        <w:rPr>
          <w:rFonts w:hint="default" w:cs="宋体"/>
          <w:sz w:val="21"/>
        </w:rPr>
      </w:pPr>
    </w:p>
    <w:p w14:paraId="1B9E511D">
      <w:pPr>
        <w:rPr>
          <w:rFonts w:hint="default" w:cs="宋体"/>
          <w:sz w:val="21"/>
        </w:rPr>
      </w:pPr>
    </w:p>
    <w:p w14:paraId="2ADA4189">
      <w:pPr>
        <w:rPr>
          <w:rFonts w:hint="default" w:cs="宋体"/>
          <w:sz w:val="21"/>
        </w:rPr>
      </w:pPr>
    </w:p>
    <w:p w14:paraId="01175078">
      <w:pPr>
        <w:rPr>
          <w:rFonts w:hint="default" w:cs="宋体"/>
          <w:sz w:val="21"/>
        </w:rPr>
      </w:pPr>
    </w:p>
    <w:p w14:paraId="330FB2F0">
      <w:pPr>
        <w:rPr>
          <w:rFonts w:hint="default" w:cs="宋体"/>
          <w:sz w:val="21"/>
        </w:rPr>
      </w:pPr>
    </w:p>
    <w:p w14:paraId="42848566">
      <w:pPr>
        <w:rPr>
          <w:rFonts w:hint="default" w:cs="宋体"/>
          <w:sz w:val="21"/>
        </w:rPr>
      </w:pPr>
    </w:p>
    <w:p w14:paraId="697780A1">
      <w:pPr>
        <w:rPr>
          <w:rFonts w:hint="default" w:cs="宋体"/>
          <w:sz w:val="21"/>
        </w:rPr>
      </w:pPr>
    </w:p>
    <w:p w14:paraId="39DEACC4">
      <w:pPr>
        <w:rPr>
          <w:rFonts w:hint="default" w:cs="宋体"/>
          <w:sz w:val="21"/>
        </w:rPr>
      </w:pPr>
    </w:p>
    <w:p w14:paraId="7B7E17DA">
      <w:pPr>
        <w:rPr>
          <w:rFonts w:hint="default" w:cs="宋体"/>
          <w:sz w:val="21"/>
        </w:rPr>
      </w:pPr>
    </w:p>
    <w:p w14:paraId="051A5F3B">
      <w:pPr>
        <w:rPr>
          <w:rFonts w:hint="default" w:cs="宋体"/>
          <w:sz w:val="21"/>
        </w:rPr>
      </w:pPr>
    </w:p>
    <w:p w14:paraId="04568D36">
      <w:pPr>
        <w:rPr>
          <w:rFonts w:hint="default" w:cs="宋体"/>
          <w:sz w:val="21"/>
        </w:rPr>
      </w:pPr>
    </w:p>
    <w:p w14:paraId="75C836D1">
      <w:pPr>
        <w:rPr>
          <w:rFonts w:hint="default" w:cs="宋体"/>
          <w:sz w:val="28"/>
        </w:rPr>
      </w:pPr>
    </w:p>
    <w:p w14:paraId="4995FEEC">
      <w:pPr>
        <w:rPr>
          <w:rFonts w:hint="default" w:cs="宋体"/>
          <w:sz w:val="28"/>
        </w:rPr>
      </w:pPr>
      <w:r>
        <w:rPr>
          <w:rFonts w:hint="eastAsia" w:cs="宋体"/>
          <w:sz w:val="28"/>
          <w:lang w:eastAsia="zh-CN"/>
        </w:rPr>
        <w:t>供应商</w:t>
      </w:r>
      <w:r>
        <w:rPr>
          <w:rFonts w:cs="宋体"/>
          <w:sz w:val="28"/>
        </w:rPr>
        <w:t>（盖章）：</w:t>
      </w:r>
    </w:p>
    <w:p w14:paraId="79F745BB">
      <w:pPr>
        <w:rPr>
          <w:rFonts w:hint="default" w:cs="宋体"/>
          <w:sz w:val="28"/>
        </w:rPr>
      </w:pPr>
    </w:p>
    <w:p w14:paraId="53C411AF">
      <w:pPr>
        <w:rPr>
          <w:rFonts w:hint="default" w:cs="宋体"/>
          <w:sz w:val="28"/>
        </w:rPr>
      </w:pPr>
      <w:r>
        <w:rPr>
          <w:rFonts w:cs="宋体"/>
          <w:sz w:val="28"/>
        </w:rPr>
        <w:t>法定代表人</w:t>
      </w:r>
      <w:r>
        <w:rPr>
          <w:rFonts w:hint="eastAsia" w:cs="宋体"/>
          <w:sz w:val="28"/>
          <w:lang w:eastAsia="zh-CN"/>
        </w:rPr>
        <w:t>/负责人</w:t>
      </w:r>
      <w:r>
        <w:rPr>
          <w:rFonts w:cs="宋体"/>
          <w:sz w:val="28"/>
        </w:rPr>
        <w:t>或其授权委托人（签字或盖章）：</w:t>
      </w:r>
    </w:p>
    <w:p w14:paraId="571BD43F">
      <w:pPr>
        <w:rPr>
          <w:rFonts w:hint="default" w:cs="宋体"/>
          <w:sz w:val="28"/>
        </w:rPr>
      </w:pPr>
    </w:p>
    <w:p w14:paraId="764874DC">
      <w:pPr>
        <w:rPr>
          <w:rFonts w:hint="default" w:cs="宋体"/>
          <w:sz w:val="28"/>
        </w:rPr>
      </w:pPr>
      <w:r>
        <w:rPr>
          <w:rFonts w:cs="宋体"/>
          <w:sz w:val="28"/>
        </w:rPr>
        <w:t>年</w:t>
      </w:r>
      <w:r>
        <w:rPr>
          <w:rFonts w:cs="宋体"/>
          <w:sz w:val="28"/>
        </w:rPr>
        <w:tab/>
      </w:r>
      <w:r>
        <w:rPr>
          <w:rFonts w:cs="宋体"/>
          <w:sz w:val="28"/>
        </w:rPr>
        <w:t>月</w:t>
      </w:r>
      <w:r>
        <w:rPr>
          <w:rFonts w:cs="宋体"/>
          <w:sz w:val="28"/>
        </w:rPr>
        <w:tab/>
      </w:r>
      <w:r>
        <w:rPr>
          <w:rFonts w:cs="宋体"/>
          <w:sz w:val="28"/>
        </w:rPr>
        <w:t>日</w:t>
      </w:r>
    </w:p>
    <w:p w14:paraId="79535C4A">
      <w:pPr>
        <w:rPr>
          <w:rFonts w:hint="default" w:cs="宋体"/>
          <w:sz w:val="21"/>
        </w:rPr>
        <w:sectPr>
          <w:pgSz w:w="11910" w:h="16840"/>
          <w:pgMar w:top="1134" w:right="1134" w:bottom="1134" w:left="1134" w:header="0" w:footer="556" w:gutter="0"/>
          <w:cols w:space="720" w:num="1"/>
        </w:sectPr>
      </w:pPr>
    </w:p>
    <w:p w14:paraId="0F63E051">
      <w:pPr>
        <w:spacing w:line="500" w:lineRule="exact"/>
        <w:rPr>
          <w:rFonts w:hint="default" w:cs="宋体"/>
          <w:b/>
          <w:sz w:val="24"/>
        </w:rPr>
      </w:pPr>
      <w:bookmarkStart w:id="54" w:name="格式三、投标人基本情况"/>
      <w:bookmarkEnd w:id="54"/>
      <w:bookmarkStart w:id="55" w:name="最终响应总报价函（开标当天现场填写）"/>
      <w:bookmarkEnd w:id="55"/>
      <w:bookmarkStart w:id="56" w:name="格式九、2018年至至今类似项目业绩一览表"/>
      <w:bookmarkEnd w:id="56"/>
      <w:bookmarkStart w:id="57" w:name="格式十、优惠条件及服务承诺"/>
      <w:bookmarkEnd w:id="57"/>
      <w:bookmarkStart w:id="58" w:name="格式五、法定代表人身份证明书"/>
      <w:bookmarkEnd w:id="58"/>
      <w:bookmarkStart w:id="59" w:name="格式四、投标人的资格声明"/>
      <w:bookmarkEnd w:id="59"/>
      <w:bookmarkStart w:id="60" w:name="格式二、开标一览表（首轮报价）"/>
      <w:bookmarkEnd w:id="60"/>
      <w:bookmarkStart w:id="61" w:name="格式六、法定代表人授权书"/>
      <w:bookmarkEnd w:id="61"/>
    </w:p>
    <w:p w14:paraId="128BC487">
      <w:pPr>
        <w:spacing w:line="500" w:lineRule="exact"/>
        <w:jc w:val="center"/>
        <w:rPr>
          <w:rFonts w:hint="default" w:cs="宋体"/>
          <w:b/>
          <w:sz w:val="32"/>
          <w:szCs w:val="32"/>
        </w:rPr>
      </w:pPr>
      <w:r>
        <w:rPr>
          <w:rFonts w:cs="宋体"/>
          <w:b/>
          <w:sz w:val="32"/>
          <w:szCs w:val="32"/>
        </w:rPr>
        <w:t>目     录（自行编制）</w:t>
      </w:r>
    </w:p>
    <w:p w14:paraId="17AD6C11">
      <w:pPr>
        <w:autoSpaceDE w:val="0"/>
        <w:autoSpaceDN w:val="0"/>
        <w:adjustRightInd w:val="0"/>
        <w:snapToGrid w:val="0"/>
        <w:spacing w:line="360" w:lineRule="auto"/>
        <w:rPr>
          <w:rFonts w:hint="eastAsia" w:ascii="宋体" w:hAnsi="宋体" w:cs="宋体"/>
          <w:color w:val="auto"/>
          <w:kern w:val="0"/>
          <w:sz w:val="24"/>
          <w:highlight w:val="none"/>
        </w:rPr>
      </w:pPr>
    </w:p>
    <w:p w14:paraId="351610C2">
      <w:pPr>
        <w:spacing w:line="48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一、报价函</w:t>
      </w:r>
    </w:p>
    <w:p w14:paraId="7132B8DE">
      <w:pPr>
        <w:spacing w:line="48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二、法定代表人</w:t>
      </w:r>
      <w:r>
        <w:rPr>
          <w:rFonts w:hint="eastAsia" w:cs="宋体"/>
          <w:bCs/>
          <w:color w:val="auto"/>
          <w:kern w:val="0"/>
          <w:sz w:val="24"/>
          <w:highlight w:val="none"/>
          <w:lang w:val="en-US" w:eastAsia="zh-CN"/>
        </w:rPr>
        <w:t>/负责人</w:t>
      </w:r>
      <w:r>
        <w:rPr>
          <w:rFonts w:hint="eastAsia" w:ascii="宋体" w:hAnsi="宋体" w:cs="宋体"/>
          <w:bCs/>
          <w:color w:val="auto"/>
          <w:kern w:val="0"/>
          <w:sz w:val="24"/>
          <w:highlight w:val="none"/>
        </w:rPr>
        <w:t>身份证明和授权委托书</w:t>
      </w:r>
    </w:p>
    <w:p w14:paraId="6C0C3B12">
      <w:pPr>
        <w:spacing w:line="48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三、</w:t>
      </w:r>
      <w:r>
        <w:rPr>
          <w:rFonts w:hint="eastAsia" w:ascii="宋体" w:hAnsi="宋体" w:cs="宋体"/>
          <w:bCs/>
          <w:color w:val="auto"/>
          <w:kern w:val="0"/>
          <w:sz w:val="24"/>
          <w:highlight w:val="none"/>
          <w:lang w:val="zh-CN"/>
        </w:rPr>
        <w:t>磋商一览表</w:t>
      </w:r>
    </w:p>
    <w:p w14:paraId="2C72FD23">
      <w:pPr>
        <w:spacing w:line="48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四、资格审查资料</w:t>
      </w:r>
    </w:p>
    <w:p w14:paraId="752CA0E4">
      <w:pPr>
        <w:spacing w:line="48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五、</w:t>
      </w:r>
      <w:r>
        <w:rPr>
          <w:rFonts w:hint="eastAsia" w:ascii="宋体" w:hAnsi="宋体" w:cs="宋体"/>
          <w:bCs/>
          <w:color w:val="auto"/>
          <w:sz w:val="24"/>
          <w:highlight w:val="none"/>
        </w:rPr>
        <w:t>服务方案及各项制度</w:t>
      </w:r>
    </w:p>
    <w:p w14:paraId="259761C1">
      <w:pPr>
        <w:spacing w:line="48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六、其他资料</w:t>
      </w:r>
    </w:p>
    <w:p w14:paraId="400D5369">
      <w:pPr>
        <w:spacing w:line="480" w:lineRule="auto"/>
        <w:ind w:firstLine="480" w:firstLineChars="200"/>
        <w:rPr>
          <w:rFonts w:hint="eastAsia" w:ascii="宋体" w:hAnsi="宋体" w:eastAsia="宋体" w:cs="宋体"/>
          <w:bCs/>
          <w:color w:val="auto"/>
          <w:kern w:val="0"/>
          <w:sz w:val="24"/>
          <w:highlight w:val="none"/>
          <w:lang w:val="en-US" w:eastAsia="zh-CN" w:bidi="ar-SA"/>
        </w:rPr>
      </w:pPr>
      <w:r>
        <w:rPr>
          <w:rFonts w:hint="eastAsia" w:ascii="宋体" w:hAnsi="宋体" w:cs="宋体"/>
          <w:bCs/>
          <w:color w:val="auto"/>
          <w:kern w:val="0"/>
          <w:sz w:val="24"/>
          <w:highlight w:val="none"/>
        </w:rPr>
        <w:t>七、</w:t>
      </w:r>
      <w:r>
        <w:rPr>
          <w:rFonts w:hint="eastAsia" w:ascii="宋体" w:hAnsi="宋体" w:eastAsia="宋体" w:cs="宋体"/>
          <w:bCs/>
          <w:color w:val="auto"/>
          <w:kern w:val="0"/>
          <w:sz w:val="24"/>
          <w:highlight w:val="none"/>
          <w:lang w:val="en-US" w:eastAsia="zh-CN" w:bidi="ar-SA"/>
        </w:rPr>
        <w:t>中小企业声明函</w:t>
      </w:r>
    </w:p>
    <w:p w14:paraId="25A75904">
      <w:pPr>
        <w:spacing w:line="360" w:lineRule="exact"/>
        <w:ind w:firstLine="444" w:firstLineChars="185"/>
        <w:rPr>
          <w:rFonts w:hint="default" w:ascii="宋体" w:hAnsi="宋体" w:eastAsia="宋体" w:cs="宋体"/>
          <w:bCs/>
          <w:color w:val="auto"/>
          <w:kern w:val="0"/>
          <w:sz w:val="24"/>
          <w:highlight w:val="none"/>
          <w:lang w:val="en-US" w:eastAsia="zh-CN" w:bidi="ar-SA"/>
        </w:rPr>
      </w:pPr>
      <w:r>
        <w:rPr>
          <w:rFonts w:hint="eastAsia" w:ascii="宋体" w:hAnsi="宋体" w:eastAsia="宋体" w:cs="宋体"/>
          <w:bCs/>
          <w:color w:val="auto"/>
          <w:kern w:val="0"/>
          <w:sz w:val="24"/>
          <w:highlight w:val="none"/>
          <w:lang w:val="en-US" w:eastAsia="zh-CN" w:bidi="ar-SA"/>
        </w:rPr>
        <w:t>格式可进行小幅度更改，标明页码</w:t>
      </w:r>
      <w:r>
        <w:rPr>
          <w:rFonts w:hint="eastAsia" w:cs="宋体"/>
          <w:bCs/>
          <w:color w:val="auto"/>
          <w:kern w:val="0"/>
          <w:sz w:val="24"/>
          <w:highlight w:val="none"/>
          <w:lang w:val="en-US" w:eastAsia="zh-CN" w:bidi="ar-SA"/>
        </w:rPr>
        <w:t>。</w:t>
      </w:r>
    </w:p>
    <w:p w14:paraId="32DE8E29">
      <w:pPr>
        <w:spacing w:line="500" w:lineRule="exact"/>
        <w:rPr>
          <w:rFonts w:hint="default" w:cs="宋体"/>
          <w:sz w:val="24"/>
        </w:rPr>
      </w:pPr>
    </w:p>
    <w:p w14:paraId="3F7DF256">
      <w:pPr>
        <w:spacing w:line="500" w:lineRule="exact"/>
        <w:rPr>
          <w:rFonts w:hint="default" w:cs="宋体"/>
          <w:sz w:val="24"/>
        </w:rPr>
      </w:pPr>
    </w:p>
    <w:p w14:paraId="22D193B2">
      <w:pPr>
        <w:spacing w:line="500" w:lineRule="exact"/>
        <w:rPr>
          <w:rFonts w:hint="default" w:cs="宋体"/>
          <w:sz w:val="24"/>
        </w:rPr>
      </w:pPr>
    </w:p>
    <w:p w14:paraId="34103FC7">
      <w:pPr>
        <w:spacing w:line="500" w:lineRule="exact"/>
        <w:rPr>
          <w:rFonts w:hint="default" w:cs="宋体"/>
          <w:sz w:val="24"/>
        </w:rPr>
      </w:pPr>
    </w:p>
    <w:p w14:paraId="61970102">
      <w:pPr>
        <w:spacing w:line="500" w:lineRule="exact"/>
        <w:rPr>
          <w:rFonts w:hint="default" w:cs="宋体"/>
          <w:sz w:val="24"/>
        </w:rPr>
      </w:pPr>
    </w:p>
    <w:p w14:paraId="32A3CB6A">
      <w:pPr>
        <w:spacing w:line="500" w:lineRule="exact"/>
        <w:rPr>
          <w:rFonts w:hint="default" w:cs="宋体"/>
          <w:sz w:val="24"/>
        </w:rPr>
      </w:pPr>
    </w:p>
    <w:p w14:paraId="612844B2">
      <w:pPr>
        <w:spacing w:line="500" w:lineRule="exact"/>
        <w:rPr>
          <w:rFonts w:hint="default" w:cs="宋体"/>
          <w:sz w:val="24"/>
        </w:rPr>
      </w:pPr>
    </w:p>
    <w:p w14:paraId="4B8396C4">
      <w:pPr>
        <w:spacing w:line="500" w:lineRule="exact"/>
        <w:rPr>
          <w:rFonts w:hint="default" w:cs="宋体"/>
          <w:sz w:val="24"/>
        </w:rPr>
      </w:pPr>
    </w:p>
    <w:p w14:paraId="0FFC67C2">
      <w:pPr>
        <w:spacing w:line="500" w:lineRule="exact"/>
        <w:rPr>
          <w:rFonts w:hint="default" w:cs="宋体"/>
          <w:sz w:val="24"/>
        </w:rPr>
      </w:pPr>
    </w:p>
    <w:p w14:paraId="13CF45C6">
      <w:pPr>
        <w:spacing w:line="500" w:lineRule="exact"/>
        <w:rPr>
          <w:rFonts w:hint="default" w:cs="宋体"/>
          <w:sz w:val="24"/>
        </w:rPr>
      </w:pPr>
    </w:p>
    <w:p w14:paraId="560FF1E1">
      <w:pPr>
        <w:spacing w:line="500" w:lineRule="exact"/>
        <w:rPr>
          <w:rFonts w:hint="default" w:cs="宋体"/>
          <w:sz w:val="24"/>
        </w:rPr>
      </w:pPr>
    </w:p>
    <w:p w14:paraId="52E4D5F8">
      <w:pPr>
        <w:spacing w:line="500" w:lineRule="exact"/>
        <w:jc w:val="center"/>
        <w:rPr>
          <w:rFonts w:hint="default" w:cs="宋体"/>
          <w:b/>
          <w:spacing w:val="4"/>
          <w:sz w:val="36"/>
          <w:szCs w:val="36"/>
        </w:rPr>
      </w:pPr>
    </w:p>
    <w:p w14:paraId="525E03A7">
      <w:pPr>
        <w:rPr>
          <w:rFonts w:hint="default" w:cs="宋体"/>
          <w:b/>
          <w:spacing w:val="4"/>
          <w:sz w:val="36"/>
          <w:szCs w:val="36"/>
        </w:rPr>
      </w:pPr>
      <w:r>
        <w:rPr>
          <w:rFonts w:hint="default" w:cs="宋体"/>
          <w:b/>
          <w:spacing w:val="4"/>
          <w:sz w:val="36"/>
          <w:szCs w:val="36"/>
        </w:rPr>
        <w:br w:type="page"/>
      </w:r>
    </w:p>
    <w:p w14:paraId="5B6C13DF">
      <w:pPr>
        <w:autoSpaceDE w:val="0"/>
        <w:autoSpaceDN w:val="0"/>
        <w:adjustRightInd w:val="0"/>
        <w:spacing w:line="500" w:lineRule="exact"/>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一、报价函</w:t>
      </w:r>
    </w:p>
    <w:p w14:paraId="4E1EE3C6">
      <w:pPr>
        <w:autoSpaceDE w:val="0"/>
        <w:autoSpaceDN w:val="0"/>
        <w:adjustRightInd w:val="0"/>
        <w:spacing w:line="500" w:lineRule="exact"/>
        <w:rPr>
          <w:rFonts w:hint="eastAsia" w:ascii="宋体" w:hAnsi="宋体" w:cs="宋体"/>
          <w:color w:val="auto"/>
          <w:kern w:val="0"/>
          <w:szCs w:val="21"/>
          <w:highlight w:val="none"/>
          <w:u w:val="single"/>
        </w:rPr>
      </w:pPr>
    </w:p>
    <w:p w14:paraId="394366A2">
      <w:pPr>
        <w:autoSpaceDE w:val="0"/>
        <w:autoSpaceDN w:val="0"/>
        <w:adjustRightInd w:val="0"/>
        <w:spacing w:line="5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我方已经详细阅读 </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（采购项目名称、</w:t>
      </w:r>
      <w:r>
        <w:rPr>
          <w:rFonts w:hint="eastAsia" w:cs="宋体"/>
          <w:color w:val="auto"/>
          <w:kern w:val="0"/>
          <w:szCs w:val="21"/>
          <w:highlight w:val="none"/>
          <w:lang w:eastAsia="zh-CN"/>
        </w:rPr>
        <w:t>项目</w:t>
      </w:r>
      <w:r>
        <w:rPr>
          <w:rFonts w:hint="eastAsia" w:ascii="宋体" w:hAnsi="宋体" w:cs="宋体"/>
          <w:color w:val="auto"/>
          <w:kern w:val="0"/>
          <w:szCs w:val="21"/>
          <w:highlight w:val="none"/>
        </w:rPr>
        <w:t>编号）的竞争性磋商文件，决定参加本项目采购活动，承诺如下：</w:t>
      </w:r>
    </w:p>
    <w:p w14:paraId="7E1A260C">
      <w:pPr>
        <w:autoSpaceDE w:val="0"/>
        <w:autoSpaceDN w:val="0"/>
        <w:adjustRightInd w:val="0"/>
        <w:spacing w:line="5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一、我方的响应文件在提交响应文件截止日后90天（日历天）内保持有效，如成交，有效期将延至本项目合同期满日为止。</w:t>
      </w:r>
    </w:p>
    <w:p w14:paraId="26DAAB08">
      <w:pPr>
        <w:autoSpaceDE w:val="0"/>
        <w:autoSpaceDN w:val="0"/>
        <w:adjustRightInd w:val="0"/>
        <w:spacing w:line="5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二、我方在参与采购活动前已仔细研究了竞争性磋商文件和所有相关资料，我方完全明白并认为此竞争性磋商文件没有倾向性，也没有存在排斥潜在供应商的内容，我方同意并接受竞争性磋商文件的全部条款，放弃对竞争性磋商文件提出误解和质疑的一切权利。</w:t>
      </w:r>
    </w:p>
    <w:p w14:paraId="32FB2844">
      <w:pPr>
        <w:autoSpaceDE w:val="0"/>
        <w:autoSpaceDN w:val="0"/>
        <w:adjustRightInd w:val="0"/>
        <w:spacing w:line="5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三、我方声明响应文件及所提供的一切资料均真实无误及有效。由于我方提供资</w:t>
      </w:r>
    </w:p>
    <w:p w14:paraId="47377301">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料不实而造成的责任和后果由我方承担。我方同意按照贵方可能提出的要求，提供与采购活动有关的任何其它数据或信息。</w:t>
      </w:r>
    </w:p>
    <w:p w14:paraId="33D0C745">
      <w:pPr>
        <w:autoSpaceDE w:val="0"/>
        <w:autoSpaceDN w:val="0"/>
        <w:adjustRightInd w:val="0"/>
        <w:spacing w:line="5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四、我方理解贵方不一定接受最低报价以及</w:t>
      </w:r>
      <w:r>
        <w:rPr>
          <w:rFonts w:hint="eastAsia" w:ascii="宋体" w:hAnsi="宋体" w:cs="宋体"/>
          <w:bCs/>
          <w:color w:val="auto"/>
          <w:szCs w:val="21"/>
          <w:highlight w:val="none"/>
          <w:lang w:val="zh-CN"/>
        </w:rPr>
        <w:t>超过</w:t>
      </w:r>
      <w:r>
        <w:rPr>
          <w:rFonts w:hint="eastAsia" w:ascii="宋体" w:hAnsi="宋体" w:cs="宋体"/>
          <w:bCs/>
          <w:color w:val="auto"/>
          <w:szCs w:val="21"/>
          <w:highlight w:val="none"/>
        </w:rPr>
        <w:t>第五章控制价</w:t>
      </w:r>
      <w:r>
        <w:rPr>
          <w:rFonts w:hint="eastAsia" w:ascii="宋体" w:hAnsi="宋体" w:cs="宋体"/>
          <w:bCs/>
          <w:color w:val="auto"/>
          <w:szCs w:val="21"/>
          <w:highlight w:val="none"/>
          <w:lang w:val="zh-CN"/>
        </w:rPr>
        <w:t>将被否决</w:t>
      </w:r>
      <w:r>
        <w:rPr>
          <w:rFonts w:hint="eastAsia" w:ascii="宋体" w:hAnsi="宋体" w:cs="宋体"/>
          <w:color w:val="auto"/>
          <w:kern w:val="0"/>
          <w:szCs w:val="21"/>
          <w:highlight w:val="none"/>
        </w:rPr>
        <w:t>时响应无效。</w:t>
      </w:r>
    </w:p>
    <w:p w14:paraId="5A29E0AA">
      <w:pPr>
        <w:autoSpaceDE w:val="0"/>
        <w:autoSpaceDN w:val="0"/>
        <w:adjustRightInd w:val="0"/>
        <w:spacing w:line="5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五、我方接受竞争性磋商文件关于不予退还保证金的约定。</w:t>
      </w:r>
    </w:p>
    <w:p w14:paraId="27ADBB30">
      <w:pPr>
        <w:autoSpaceDE w:val="0"/>
        <w:autoSpaceDN w:val="0"/>
        <w:adjustRightInd w:val="0"/>
        <w:spacing w:line="5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六、我方按照竞争性磋商文件的约定履行合同责任和义务。</w:t>
      </w:r>
    </w:p>
    <w:p w14:paraId="49BBA1B8">
      <w:pPr>
        <w:autoSpaceDE w:val="0"/>
        <w:autoSpaceDN w:val="0"/>
        <w:adjustRightInd w:val="0"/>
        <w:spacing w:line="500" w:lineRule="exact"/>
        <w:rPr>
          <w:rFonts w:hint="eastAsia" w:ascii="宋体" w:hAnsi="宋体" w:cs="宋体"/>
          <w:color w:val="auto"/>
          <w:kern w:val="0"/>
          <w:szCs w:val="21"/>
          <w:highlight w:val="none"/>
        </w:rPr>
      </w:pPr>
    </w:p>
    <w:p w14:paraId="77FA92E4">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与本采购活动有关的一切往来通讯请寄：</w:t>
      </w:r>
    </w:p>
    <w:p w14:paraId="37DA562B">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p>
    <w:p w14:paraId="19C1CDD0">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邮编：</w:t>
      </w:r>
    </w:p>
    <w:p w14:paraId="62F3F941">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p w14:paraId="51D408E4">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传真：</w:t>
      </w:r>
    </w:p>
    <w:p w14:paraId="0D9D821D">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电子邮件地址：</w:t>
      </w:r>
    </w:p>
    <w:p w14:paraId="1275AF09">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供应商名称（签章）：</w:t>
      </w:r>
    </w:p>
    <w:p w14:paraId="1CE23665">
      <w:pPr>
        <w:autoSpaceDE w:val="0"/>
        <w:autoSpaceDN w:val="0"/>
        <w:adjustRightInd w:val="0"/>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法定代表人/负责人或授权代表（签字或盖章）：</w:t>
      </w:r>
    </w:p>
    <w:p w14:paraId="320A0A16">
      <w:pPr>
        <w:autoSpaceDE w:val="0"/>
        <w:autoSpaceDN w:val="0"/>
        <w:adjustRightInd w:val="0"/>
        <w:spacing w:line="500" w:lineRule="exact"/>
        <w:rPr>
          <w:rFonts w:hint="eastAsia" w:ascii="宋体" w:hAnsi="宋体" w:cs="宋体"/>
          <w:b/>
          <w:color w:val="auto"/>
          <w:kern w:val="0"/>
          <w:sz w:val="36"/>
          <w:szCs w:val="36"/>
          <w:highlight w:val="none"/>
        </w:rPr>
      </w:pPr>
      <w:r>
        <w:rPr>
          <w:rFonts w:hint="eastAsia" w:ascii="宋体" w:hAnsi="宋体" w:cs="宋体"/>
          <w:color w:val="auto"/>
          <w:kern w:val="0"/>
          <w:szCs w:val="21"/>
          <w:highlight w:val="none"/>
        </w:rPr>
        <w:t>日期:     年   月   日</w:t>
      </w:r>
      <w:r>
        <w:rPr>
          <w:rFonts w:hint="eastAsia" w:ascii="宋体" w:hAnsi="宋体" w:cs="宋体"/>
          <w:color w:val="auto"/>
          <w:kern w:val="0"/>
          <w:szCs w:val="21"/>
          <w:highlight w:val="none"/>
        </w:rPr>
        <w:br w:type="page"/>
      </w:r>
      <w:r>
        <w:rPr>
          <w:rFonts w:hint="eastAsia" w:ascii="宋体" w:hAnsi="宋体" w:cs="宋体"/>
          <w:color w:val="auto"/>
          <w:kern w:val="0"/>
          <w:sz w:val="24"/>
          <w:szCs w:val="24"/>
          <w:highlight w:val="none"/>
        </w:rPr>
        <w:t xml:space="preserve">        </w:t>
      </w:r>
      <w:r>
        <w:rPr>
          <w:rFonts w:hint="eastAsia" w:ascii="宋体" w:hAnsi="宋体" w:cs="宋体"/>
          <w:b/>
          <w:color w:val="auto"/>
          <w:kern w:val="0"/>
          <w:sz w:val="36"/>
          <w:szCs w:val="36"/>
          <w:highlight w:val="none"/>
        </w:rPr>
        <w:t>二、法定代表人</w:t>
      </w:r>
      <w:r>
        <w:rPr>
          <w:rFonts w:hint="eastAsia" w:cs="宋体"/>
          <w:b/>
          <w:color w:val="auto"/>
          <w:kern w:val="0"/>
          <w:sz w:val="36"/>
          <w:szCs w:val="36"/>
          <w:highlight w:val="none"/>
          <w:lang w:val="en-US" w:eastAsia="zh-CN"/>
        </w:rPr>
        <w:t>/负责人</w:t>
      </w:r>
      <w:r>
        <w:rPr>
          <w:rFonts w:hint="eastAsia" w:ascii="宋体" w:hAnsi="宋体" w:cs="宋体"/>
          <w:b/>
          <w:color w:val="auto"/>
          <w:kern w:val="0"/>
          <w:sz w:val="36"/>
          <w:szCs w:val="36"/>
          <w:highlight w:val="none"/>
        </w:rPr>
        <w:t>身份证明和授权委托书</w:t>
      </w:r>
    </w:p>
    <w:p w14:paraId="24357560">
      <w:pPr>
        <w:autoSpaceDE w:val="0"/>
        <w:autoSpaceDN w:val="0"/>
        <w:adjustRightInd w:val="0"/>
        <w:spacing w:line="500" w:lineRule="exact"/>
        <w:rPr>
          <w:rFonts w:hint="eastAsia" w:ascii="宋体" w:hAnsi="宋体" w:cs="宋体"/>
          <w:color w:val="auto"/>
          <w:kern w:val="0"/>
          <w:szCs w:val="21"/>
          <w:highlight w:val="none"/>
        </w:rPr>
      </w:pPr>
    </w:p>
    <w:p w14:paraId="6BFF8554">
      <w:pPr>
        <w:autoSpaceDE w:val="0"/>
        <w:autoSpaceDN w:val="0"/>
        <w:adjustRightInd w:val="0"/>
        <w:spacing w:line="500" w:lineRule="exact"/>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rPr>
        <w:t xml:space="preserve">(一) </w:t>
      </w:r>
      <w:r>
        <w:rPr>
          <w:rFonts w:hint="eastAsia" w:ascii="宋体" w:hAnsi="宋体" w:eastAsia="宋体" w:cs="宋体"/>
          <w:color w:val="auto"/>
          <w:kern w:val="0"/>
          <w:sz w:val="28"/>
          <w:szCs w:val="28"/>
          <w:highlight w:val="none"/>
        </w:rPr>
        <w:t>法定代表/负责人人身份证明</w:t>
      </w:r>
    </w:p>
    <w:p w14:paraId="1A3DEE22">
      <w:pPr>
        <w:autoSpaceDE w:val="0"/>
        <w:autoSpaceDN w:val="0"/>
        <w:adjustRightInd w:val="0"/>
        <w:spacing w:line="500" w:lineRule="exact"/>
        <w:ind w:left="752" w:leftChars="342"/>
        <w:rPr>
          <w:rFonts w:hint="eastAsia" w:ascii="宋体" w:hAnsi="宋体" w:cs="宋体"/>
          <w:color w:val="auto"/>
          <w:kern w:val="0"/>
          <w:szCs w:val="21"/>
          <w:highlight w:val="none"/>
        </w:rPr>
      </w:pPr>
    </w:p>
    <w:p w14:paraId="27349F1A">
      <w:pPr>
        <w:autoSpaceDE w:val="0"/>
        <w:autoSpaceDN w:val="0"/>
        <w:adjustRightInd w:val="0"/>
        <w:spacing w:line="600" w:lineRule="exact"/>
        <w:ind w:left="752" w:leftChars="342"/>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供应商名称：</w:t>
      </w:r>
    </w:p>
    <w:p w14:paraId="5C15073B">
      <w:pPr>
        <w:autoSpaceDE w:val="0"/>
        <w:autoSpaceDN w:val="0"/>
        <w:adjustRightInd w:val="0"/>
        <w:spacing w:line="600" w:lineRule="exact"/>
        <w:ind w:left="752" w:leftChars="342"/>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单位性质：</w:t>
      </w:r>
    </w:p>
    <w:p w14:paraId="31D7B2E5">
      <w:pPr>
        <w:autoSpaceDE w:val="0"/>
        <w:autoSpaceDN w:val="0"/>
        <w:adjustRightInd w:val="0"/>
        <w:spacing w:line="600" w:lineRule="exact"/>
        <w:ind w:left="752" w:leftChars="342"/>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地址：</w:t>
      </w:r>
    </w:p>
    <w:p w14:paraId="26DD2E50">
      <w:pPr>
        <w:autoSpaceDE w:val="0"/>
        <w:autoSpaceDN w:val="0"/>
        <w:adjustRightInd w:val="0"/>
        <w:spacing w:line="600" w:lineRule="exact"/>
        <w:ind w:left="752" w:leftChars="342"/>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成立时间：年    月    日</w:t>
      </w:r>
    </w:p>
    <w:p w14:paraId="1810051B">
      <w:pPr>
        <w:autoSpaceDE w:val="0"/>
        <w:autoSpaceDN w:val="0"/>
        <w:adjustRightInd w:val="0"/>
        <w:spacing w:line="600" w:lineRule="exact"/>
        <w:ind w:left="752" w:leftChars="342"/>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经营期限：</w:t>
      </w:r>
    </w:p>
    <w:p w14:paraId="7CCFCAB5">
      <w:pPr>
        <w:autoSpaceDE w:val="0"/>
        <w:autoSpaceDN w:val="0"/>
        <w:adjustRightInd w:val="0"/>
        <w:spacing w:line="600" w:lineRule="exact"/>
        <w:ind w:left="752" w:leftChars="342"/>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姓名：   性别：   年龄：   职务：</w:t>
      </w:r>
    </w:p>
    <w:p w14:paraId="55DD2243">
      <w:pPr>
        <w:autoSpaceDE w:val="0"/>
        <w:autoSpaceDN w:val="0"/>
        <w:adjustRightInd w:val="0"/>
        <w:spacing w:line="600" w:lineRule="exact"/>
        <w:ind w:left="752" w:leftChars="342"/>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(供应商名称)       </w:t>
      </w:r>
      <w:r>
        <w:rPr>
          <w:rFonts w:hint="eastAsia" w:ascii="宋体" w:hAnsi="宋体" w:cs="宋体"/>
          <w:color w:val="auto"/>
          <w:kern w:val="0"/>
          <w:szCs w:val="21"/>
          <w:highlight w:val="none"/>
        </w:rPr>
        <w:t>的法定代表人/负责人。</w:t>
      </w:r>
    </w:p>
    <w:p w14:paraId="40CAEA3D">
      <w:pPr>
        <w:autoSpaceDE w:val="0"/>
        <w:autoSpaceDN w:val="0"/>
        <w:adjustRightInd w:val="0"/>
        <w:spacing w:line="600" w:lineRule="exact"/>
        <w:ind w:left="752" w:leftChars="342"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05A4340B">
      <w:pPr>
        <w:autoSpaceDE w:val="0"/>
        <w:autoSpaceDN w:val="0"/>
        <w:adjustRightInd w:val="0"/>
        <w:spacing w:line="600" w:lineRule="exact"/>
        <w:ind w:left="752" w:leftChars="342"/>
        <w:rPr>
          <w:rFonts w:hint="eastAsia" w:ascii="宋体" w:hAnsi="宋体" w:cs="宋体"/>
          <w:color w:val="auto"/>
          <w:kern w:val="0"/>
          <w:szCs w:val="21"/>
          <w:highlight w:val="none"/>
        </w:rPr>
      </w:pPr>
    </w:p>
    <w:p w14:paraId="6FEC3DE0">
      <w:pPr>
        <w:autoSpaceDE w:val="0"/>
        <w:autoSpaceDN w:val="0"/>
        <w:adjustRightInd w:val="0"/>
        <w:spacing w:line="600" w:lineRule="exact"/>
        <w:ind w:left="752" w:leftChars="342"/>
        <w:rPr>
          <w:rFonts w:hint="eastAsia" w:ascii="宋体" w:hAnsi="宋体" w:cs="宋体"/>
          <w:color w:val="auto"/>
          <w:kern w:val="0"/>
          <w:szCs w:val="21"/>
          <w:highlight w:val="none"/>
        </w:rPr>
      </w:pPr>
    </w:p>
    <w:p w14:paraId="03246F7B">
      <w:pPr>
        <w:autoSpaceDE w:val="0"/>
        <w:autoSpaceDN w:val="0"/>
        <w:adjustRightInd w:val="0"/>
        <w:spacing w:line="600" w:lineRule="exact"/>
        <w:ind w:left="752" w:leftChars="342"/>
        <w:rPr>
          <w:rFonts w:hint="eastAsia" w:ascii="宋体" w:hAnsi="宋体" w:cs="宋体"/>
          <w:color w:val="auto"/>
          <w:kern w:val="0"/>
          <w:szCs w:val="21"/>
          <w:highlight w:val="none"/>
        </w:rPr>
      </w:pPr>
      <w:r>
        <w:rPr>
          <w:rFonts w:hint="eastAsia" w:ascii="宋体" w:hAnsi="宋体" w:cs="宋体"/>
          <w:color w:val="auto"/>
          <w:kern w:val="0"/>
          <w:szCs w:val="21"/>
          <w:highlight w:val="none"/>
        </w:rPr>
        <w:t>供应商：(盖单位章)</w:t>
      </w:r>
    </w:p>
    <w:p w14:paraId="1A92E7B7">
      <w:pPr>
        <w:spacing w:line="600" w:lineRule="exact"/>
        <w:ind w:firstLine="2640" w:firstLineChars="1200"/>
        <w:rPr>
          <w:rFonts w:hint="eastAsia" w:ascii="宋体" w:hAnsi="宋体" w:cs="宋体"/>
          <w:color w:val="auto"/>
          <w:kern w:val="0"/>
          <w:szCs w:val="21"/>
          <w:highlight w:val="none"/>
        </w:rPr>
      </w:pPr>
      <w:r>
        <w:rPr>
          <w:rFonts w:hint="eastAsia" w:ascii="宋体" w:hAnsi="宋体" w:cs="宋体"/>
          <w:color w:val="auto"/>
          <w:kern w:val="0"/>
          <w:szCs w:val="21"/>
          <w:highlight w:val="none"/>
        </w:rPr>
        <w:t>年     月    日</w:t>
      </w:r>
    </w:p>
    <w:p w14:paraId="0F7D45E1">
      <w:pPr>
        <w:spacing w:line="500" w:lineRule="exact"/>
        <w:ind w:firstLine="2640" w:firstLineChars="1200"/>
        <w:rPr>
          <w:rFonts w:hint="eastAsia" w:ascii="宋体" w:hAnsi="宋体" w:cs="宋体"/>
          <w:color w:val="auto"/>
          <w:kern w:val="0"/>
          <w:szCs w:val="21"/>
          <w:highlight w:val="none"/>
        </w:rPr>
      </w:pPr>
    </w:p>
    <w:p w14:paraId="6F36CB47">
      <w:pPr>
        <w:spacing w:line="500" w:lineRule="exact"/>
        <w:ind w:firstLine="2640" w:firstLineChars="1200"/>
        <w:rPr>
          <w:rFonts w:hint="eastAsia" w:ascii="宋体" w:hAnsi="宋体" w:cs="宋体"/>
          <w:color w:val="auto"/>
          <w:kern w:val="0"/>
          <w:szCs w:val="21"/>
          <w:highlight w:val="none"/>
        </w:rPr>
      </w:pPr>
    </w:p>
    <w:p w14:paraId="68B8A109">
      <w:pPr>
        <w:spacing w:line="500" w:lineRule="exact"/>
        <w:ind w:firstLine="2640" w:firstLineChars="1200"/>
        <w:rPr>
          <w:rFonts w:hint="eastAsia" w:ascii="宋体" w:hAnsi="宋体" w:cs="宋体"/>
          <w:color w:val="auto"/>
          <w:kern w:val="0"/>
          <w:szCs w:val="21"/>
          <w:highlight w:val="none"/>
        </w:rPr>
      </w:pPr>
    </w:p>
    <w:p w14:paraId="7D61ECC9">
      <w:pPr>
        <w:spacing w:line="500" w:lineRule="exact"/>
        <w:ind w:firstLine="2640" w:firstLineChars="1200"/>
        <w:rPr>
          <w:rFonts w:hint="eastAsia" w:ascii="宋体" w:hAnsi="宋体" w:cs="宋体"/>
          <w:color w:val="auto"/>
          <w:kern w:val="0"/>
          <w:szCs w:val="21"/>
          <w:highlight w:val="none"/>
        </w:rPr>
      </w:pPr>
    </w:p>
    <w:p w14:paraId="6ADAC6ED">
      <w:pPr>
        <w:spacing w:line="500" w:lineRule="exact"/>
        <w:ind w:firstLine="2640" w:firstLineChars="1200"/>
        <w:rPr>
          <w:rFonts w:hint="eastAsia" w:ascii="宋体" w:hAnsi="宋体" w:cs="宋体"/>
          <w:color w:val="auto"/>
          <w:kern w:val="0"/>
          <w:szCs w:val="21"/>
          <w:highlight w:val="none"/>
        </w:rPr>
      </w:pPr>
    </w:p>
    <w:p w14:paraId="425C96E0">
      <w:pPr>
        <w:spacing w:line="500" w:lineRule="exact"/>
        <w:ind w:firstLine="2640" w:firstLineChars="1200"/>
        <w:rPr>
          <w:rFonts w:hint="eastAsia" w:ascii="宋体" w:hAnsi="宋体" w:cs="宋体"/>
          <w:color w:val="auto"/>
          <w:kern w:val="0"/>
          <w:szCs w:val="21"/>
          <w:highlight w:val="none"/>
        </w:rPr>
      </w:pPr>
    </w:p>
    <w:p w14:paraId="7681253A">
      <w:pPr>
        <w:spacing w:line="500" w:lineRule="exact"/>
        <w:ind w:right="420"/>
        <w:rPr>
          <w:rFonts w:hint="eastAsia" w:ascii="宋体" w:hAnsi="宋体" w:cs="宋体"/>
          <w:color w:val="auto"/>
          <w:kern w:val="0"/>
          <w:szCs w:val="21"/>
          <w:highlight w:val="none"/>
        </w:rPr>
      </w:pPr>
    </w:p>
    <w:p w14:paraId="6F13B95E">
      <w:pPr>
        <w:spacing w:line="500" w:lineRule="exact"/>
        <w:ind w:right="420"/>
        <w:rPr>
          <w:rFonts w:hint="eastAsia" w:ascii="宋体" w:hAnsi="宋体" w:cs="宋体"/>
          <w:color w:val="auto"/>
          <w:kern w:val="0"/>
          <w:szCs w:val="21"/>
          <w:highlight w:val="none"/>
        </w:rPr>
      </w:pPr>
    </w:p>
    <w:p w14:paraId="10724C96">
      <w:pPr>
        <w:spacing w:line="500" w:lineRule="exact"/>
        <w:ind w:right="420"/>
        <w:rPr>
          <w:rFonts w:hint="eastAsia" w:ascii="宋体" w:hAnsi="宋体" w:cs="宋体"/>
          <w:color w:val="auto"/>
          <w:kern w:val="0"/>
          <w:szCs w:val="21"/>
          <w:highlight w:val="none"/>
        </w:rPr>
      </w:pPr>
    </w:p>
    <w:p w14:paraId="23CE73F2">
      <w:pPr>
        <w:autoSpaceDE w:val="0"/>
        <w:autoSpaceDN w:val="0"/>
        <w:adjustRightInd w:val="0"/>
        <w:spacing w:line="500" w:lineRule="exact"/>
        <w:rPr>
          <w:rFonts w:hint="eastAsia" w:ascii="宋体" w:hAnsi="宋体" w:cs="宋体"/>
          <w:color w:val="auto"/>
          <w:kern w:val="0"/>
          <w:szCs w:val="21"/>
          <w:highlight w:val="none"/>
        </w:rPr>
      </w:pPr>
    </w:p>
    <w:p w14:paraId="61B31841">
      <w:pPr>
        <w:autoSpaceDE w:val="0"/>
        <w:autoSpaceDN w:val="0"/>
        <w:adjustRightInd w:val="0"/>
        <w:spacing w:line="500" w:lineRule="exact"/>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(二)授权委托书</w:t>
      </w:r>
    </w:p>
    <w:p w14:paraId="729B068E">
      <w:pPr>
        <w:autoSpaceDE w:val="0"/>
        <w:autoSpaceDN w:val="0"/>
        <w:adjustRightInd w:val="0"/>
        <w:spacing w:line="500" w:lineRule="exact"/>
        <w:rPr>
          <w:rFonts w:hint="eastAsia" w:ascii="宋体" w:hAnsi="宋体" w:cs="宋体"/>
          <w:color w:val="auto"/>
          <w:kern w:val="0"/>
          <w:szCs w:val="21"/>
          <w:highlight w:val="none"/>
        </w:rPr>
      </w:pPr>
    </w:p>
    <w:p w14:paraId="5E66A6CF">
      <w:pPr>
        <w:autoSpaceDE w:val="0"/>
        <w:autoSpaceDN w:val="0"/>
        <w:adjustRightInd w:val="0"/>
        <w:spacing w:line="6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(供应商名称)    </w:t>
      </w:r>
      <w:r>
        <w:rPr>
          <w:rFonts w:hint="eastAsia" w:ascii="宋体" w:hAnsi="宋体" w:cs="宋体"/>
          <w:color w:val="auto"/>
          <w:kern w:val="0"/>
          <w:szCs w:val="21"/>
          <w:highlight w:val="none"/>
        </w:rPr>
        <w:t>的法定代表人/负责人，现委托</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为我方代理人。代理人根据授权，以我方名义签署、澄清、说明、补正、递交、撤回、修改</w:t>
      </w:r>
      <w:r>
        <w:rPr>
          <w:rFonts w:hint="eastAsia" w:ascii="宋体" w:hAnsi="宋体" w:cs="宋体"/>
          <w:color w:val="auto"/>
          <w:kern w:val="0"/>
          <w:szCs w:val="21"/>
          <w:highlight w:val="none"/>
          <w:u w:val="single"/>
        </w:rPr>
        <w:t xml:space="preserve">   (项目名称)     标段</w:t>
      </w:r>
      <w:r>
        <w:rPr>
          <w:rFonts w:hint="eastAsia" w:ascii="宋体" w:hAnsi="宋体" w:cs="宋体"/>
          <w:color w:val="auto"/>
          <w:kern w:val="0"/>
          <w:szCs w:val="21"/>
          <w:highlight w:val="none"/>
        </w:rPr>
        <w:t>响应文件、签订合同和处理有关事宜，其法律后果由我方承担。</w:t>
      </w:r>
    </w:p>
    <w:p w14:paraId="64B06640">
      <w:pPr>
        <w:autoSpaceDE w:val="0"/>
        <w:autoSpaceDN w:val="0"/>
        <w:adjustRightInd w:val="0"/>
        <w:spacing w:line="6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F7FB60F">
      <w:pPr>
        <w:autoSpaceDE w:val="0"/>
        <w:autoSpaceDN w:val="0"/>
        <w:adjustRightInd w:val="0"/>
        <w:spacing w:line="6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0D8BA1FA">
      <w:pPr>
        <w:spacing w:line="600" w:lineRule="exact"/>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附：法定代表人身份证正反面复印件；被授权人身份证正反面复印件。</w:t>
      </w:r>
    </w:p>
    <w:p w14:paraId="59363736">
      <w:pPr>
        <w:autoSpaceDE w:val="0"/>
        <w:autoSpaceDN w:val="0"/>
        <w:adjustRightInd w:val="0"/>
        <w:spacing w:line="600" w:lineRule="exact"/>
        <w:ind w:left="565" w:leftChars="257"/>
        <w:rPr>
          <w:rFonts w:hint="eastAsia" w:ascii="宋体" w:hAnsi="宋体" w:cs="宋体"/>
          <w:color w:val="auto"/>
          <w:kern w:val="0"/>
          <w:szCs w:val="21"/>
          <w:highlight w:val="none"/>
        </w:rPr>
      </w:pPr>
    </w:p>
    <w:p w14:paraId="36CB8EDA">
      <w:pPr>
        <w:autoSpaceDE w:val="0"/>
        <w:autoSpaceDN w:val="0"/>
        <w:adjustRightInd w:val="0"/>
        <w:spacing w:line="600" w:lineRule="exact"/>
        <w:ind w:left="565" w:leftChars="257"/>
        <w:rPr>
          <w:rFonts w:hint="eastAsia" w:ascii="宋体" w:hAnsi="宋体" w:cs="宋体"/>
          <w:color w:val="auto"/>
          <w:kern w:val="0"/>
          <w:szCs w:val="21"/>
          <w:highlight w:val="none"/>
        </w:rPr>
      </w:pPr>
    </w:p>
    <w:p w14:paraId="482AC04D">
      <w:pPr>
        <w:autoSpaceDE w:val="0"/>
        <w:autoSpaceDN w:val="0"/>
        <w:adjustRightInd w:val="0"/>
        <w:spacing w:line="600" w:lineRule="exact"/>
        <w:ind w:left="565" w:leftChars="257"/>
        <w:rPr>
          <w:rFonts w:hint="eastAsia" w:ascii="宋体" w:hAnsi="宋体" w:cs="宋体"/>
          <w:color w:val="auto"/>
          <w:kern w:val="0"/>
          <w:szCs w:val="21"/>
          <w:highlight w:val="none"/>
        </w:rPr>
      </w:pPr>
    </w:p>
    <w:p w14:paraId="17E9EE87">
      <w:pPr>
        <w:autoSpaceDE w:val="0"/>
        <w:autoSpaceDN w:val="0"/>
        <w:adjustRightInd w:val="0"/>
        <w:spacing w:line="600" w:lineRule="exact"/>
        <w:ind w:left="565" w:leftChars="257"/>
        <w:rPr>
          <w:rFonts w:hint="eastAsia" w:ascii="宋体" w:hAnsi="宋体" w:cs="宋体"/>
          <w:color w:val="auto"/>
          <w:kern w:val="0"/>
          <w:szCs w:val="21"/>
          <w:highlight w:val="none"/>
        </w:rPr>
      </w:pPr>
    </w:p>
    <w:p w14:paraId="2E879E6E">
      <w:pPr>
        <w:autoSpaceDE w:val="0"/>
        <w:autoSpaceDN w:val="0"/>
        <w:adjustRightInd w:val="0"/>
        <w:spacing w:line="600" w:lineRule="exact"/>
        <w:ind w:left="565" w:leftChars="257"/>
        <w:rPr>
          <w:rFonts w:hint="eastAsia" w:ascii="宋体" w:hAnsi="宋体" w:cs="宋体"/>
          <w:color w:val="auto"/>
          <w:kern w:val="0"/>
          <w:szCs w:val="21"/>
          <w:highlight w:val="none"/>
        </w:rPr>
      </w:pPr>
      <w:r>
        <w:rPr>
          <w:rFonts w:hint="eastAsia" w:ascii="宋体" w:hAnsi="宋体" w:cs="宋体"/>
          <w:color w:val="auto"/>
          <w:kern w:val="0"/>
          <w:szCs w:val="21"/>
          <w:highlight w:val="none"/>
        </w:rPr>
        <w:t>供  应  商：(盖单位章)</w:t>
      </w:r>
    </w:p>
    <w:p w14:paraId="18873EEB">
      <w:pPr>
        <w:autoSpaceDE w:val="0"/>
        <w:autoSpaceDN w:val="0"/>
        <w:adjustRightInd w:val="0"/>
        <w:spacing w:line="600" w:lineRule="exact"/>
        <w:ind w:left="565" w:leftChars="257"/>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cs="宋体"/>
          <w:color w:val="auto"/>
          <w:kern w:val="0"/>
          <w:szCs w:val="21"/>
          <w:highlight w:val="none"/>
          <w:lang w:val="en-US" w:eastAsia="zh-CN"/>
        </w:rPr>
        <w:t>/负责人</w:t>
      </w:r>
      <w:r>
        <w:rPr>
          <w:rFonts w:hint="eastAsia" w:ascii="宋体" w:hAnsi="宋体" w:cs="宋体"/>
          <w:color w:val="auto"/>
          <w:kern w:val="0"/>
          <w:szCs w:val="21"/>
          <w:highlight w:val="none"/>
        </w:rPr>
        <w:t>：(签字)</w:t>
      </w:r>
    </w:p>
    <w:p w14:paraId="64AFCC9F">
      <w:pPr>
        <w:autoSpaceDE w:val="0"/>
        <w:autoSpaceDN w:val="0"/>
        <w:adjustRightInd w:val="0"/>
        <w:spacing w:line="600" w:lineRule="exact"/>
        <w:ind w:left="565" w:leftChars="257"/>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身份证号码：</w:t>
      </w:r>
    </w:p>
    <w:p w14:paraId="3C5B5FFA">
      <w:pPr>
        <w:autoSpaceDE w:val="0"/>
        <w:autoSpaceDN w:val="0"/>
        <w:adjustRightInd w:val="0"/>
        <w:spacing w:line="600" w:lineRule="exact"/>
        <w:ind w:left="565" w:leftChars="257"/>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委托代理人：(签字)</w:t>
      </w:r>
    </w:p>
    <w:p w14:paraId="792C946F">
      <w:pPr>
        <w:autoSpaceDE w:val="0"/>
        <w:autoSpaceDN w:val="0"/>
        <w:adjustRightInd w:val="0"/>
        <w:spacing w:line="600" w:lineRule="exact"/>
        <w:ind w:left="565" w:leftChars="257"/>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p>
    <w:p w14:paraId="7D8FA947">
      <w:pPr>
        <w:spacing w:line="600" w:lineRule="exact"/>
        <w:ind w:firstLine="1980" w:firstLineChars="900"/>
        <w:rPr>
          <w:rFonts w:hint="eastAsia" w:ascii="宋体" w:hAnsi="宋体" w:cs="宋体"/>
          <w:color w:val="auto"/>
          <w:kern w:val="0"/>
          <w:szCs w:val="21"/>
          <w:highlight w:val="none"/>
          <w:u w:val="single"/>
        </w:rPr>
      </w:pPr>
    </w:p>
    <w:p w14:paraId="510F98FB">
      <w:pPr>
        <w:spacing w:line="600" w:lineRule="exact"/>
        <w:ind w:firstLine="1980" w:firstLineChars="900"/>
        <w:rPr>
          <w:rFonts w:hint="eastAsia" w:ascii="宋体" w:hAnsi="宋体" w:cs="宋体"/>
          <w:color w:val="auto"/>
          <w:kern w:val="0"/>
          <w:szCs w:val="21"/>
          <w:highlight w:val="none"/>
        </w:rPr>
      </w:pPr>
      <w:r>
        <w:rPr>
          <w:rFonts w:hint="eastAsia" w:ascii="宋体" w:hAnsi="宋体" w:cs="宋体"/>
          <w:color w:val="auto"/>
          <w:kern w:val="0"/>
          <w:szCs w:val="21"/>
          <w:highlight w:val="none"/>
        </w:rPr>
        <w:t>年     月      日</w:t>
      </w:r>
    </w:p>
    <w:p w14:paraId="5050A265">
      <w:pPr>
        <w:spacing w:line="500" w:lineRule="exact"/>
        <w:ind w:left="565" w:leftChars="257" w:firstLine="1760" w:firstLineChars="800"/>
        <w:rPr>
          <w:rFonts w:hint="eastAsia" w:ascii="宋体" w:hAnsi="宋体" w:cs="宋体"/>
          <w:color w:val="auto"/>
          <w:kern w:val="0"/>
          <w:szCs w:val="21"/>
          <w:highlight w:val="none"/>
        </w:rPr>
      </w:pPr>
    </w:p>
    <w:p w14:paraId="6EE296EE">
      <w:pPr>
        <w:spacing w:line="500" w:lineRule="exact"/>
        <w:ind w:left="565" w:leftChars="257" w:firstLine="1760" w:firstLineChars="800"/>
        <w:rPr>
          <w:rFonts w:hint="eastAsia" w:ascii="宋体" w:hAnsi="宋体" w:cs="宋体"/>
          <w:color w:val="auto"/>
          <w:kern w:val="0"/>
          <w:szCs w:val="21"/>
          <w:highlight w:val="none"/>
        </w:rPr>
      </w:pPr>
    </w:p>
    <w:p w14:paraId="68083552">
      <w:pPr>
        <w:autoSpaceDE w:val="0"/>
        <w:autoSpaceDN w:val="0"/>
        <w:adjustRightInd w:val="0"/>
        <w:spacing w:line="500" w:lineRule="exact"/>
        <w:rPr>
          <w:rFonts w:hint="eastAsia" w:ascii="宋体" w:hAnsi="宋体" w:cs="宋体"/>
          <w:color w:val="auto"/>
          <w:szCs w:val="21"/>
          <w:highlight w:val="none"/>
          <w:lang w:val="zh-CN"/>
        </w:rPr>
      </w:pPr>
    </w:p>
    <w:p w14:paraId="3006589D">
      <w:pPr>
        <w:autoSpaceDE w:val="0"/>
        <w:autoSpaceDN w:val="0"/>
        <w:adjustRightInd w:val="0"/>
        <w:spacing w:line="500" w:lineRule="exact"/>
        <w:rPr>
          <w:rFonts w:hint="eastAsia" w:ascii="宋体" w:hAnsi="宋体" w:cs="宋体"/>
          <w:color w:val="auto"/>
          <w:szCs w:val="21"/>
          <w:highlight w:val="none"/>
          <w:lang w:val="zh-CN"/>
        </w:rPr>
      </w:pPr>
    </w:p>
    <w:p w14:paraId="67ADD25D">
      <w:pPr>
        <w:autoSpaceDE w:val="0"/>
        <w:autoSpaceDN w:val="0"/>
        <w:adjustRightInd w:val="0"/>
        <w:spacing w:line="500" w:lineRule="exact"/>
        <w:rPr>
          <w:rFonts w:hint="eastAsia" w:ascii="宋体" w:hAnsi="宋体" w:cs="宋体"/>
          <w:color w:val="auto"/>
          <w:szCs w:val="21"/>
          <w:highlight w:val="none"/>
          <w:lang w:val="zh-CN"/>
        </w:rPr>
        <w:sectPr>
          <w:pgSz w:w="11907" w:h="16840"/>
          <w:pgMar w:top="1134" w:right="1418" w:bottom="1134" w:left="1418" w:header="567" w:footer="567" w:gutter="0"/>
          <w:cols w:space="720" w:num="1"/>
          <w:titlePg/>
          <w:docGrid w:linePitch="312" w:charSpace="0"/>
        </w:sectPr>
      </w:pPr>
    </w:p>
    <w:p w14:paraId="6DC2678A">
      <w:pPr>
        <w:autoSpaceDE w:val="0"/>
        <w:autoSpaceDN w:val="0"/>
        <w:adjustRightInd w:val="0"/>
        <w:spacing w:line="50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三、磋商一览表</w:t>
      </w:r>
    </w:p>
    <w:p w14:paraId="3D86EEEE">
      <w:pPr>
        <w:rPr>
          <w:rFonts w:hint="eastAsia" w:ascii="宋体" w:hAnsi="宋体" w:cs="宋体"/>
          <w:color w:val="auto"/>
          <w:szCs w:val="21"/>
          <w:highlight w:val="none"/>
          <w:u w:val="single"/>
        </w:rPr>
      </w:pPr>
      <w:r>
        <w:rPr>
          <w:rFonts w:hint="eastAsia" w:ascii="宋体" w:hAnsi="宋体" w:cs="宋体"/>
          <w:color w:val="auto"/>
          <w:szCs w:val="21"/>
          <w:highlight w:val="none"/>
        </w:rPr>
        <w:t>项 目 名 称：</w:t>
      </w:r>
    </w:p>
    <w:p w14:paraId="3381414F">
      <w:pPr>
        <w:ind w:left="115" w:hanging="121" w:hangingChars="55"/>
        <w:rPr>
          <w:rFonts w:hint="eastAsia" w:ascii="宋体" w:hAnsi="宋体" w:cs="宋体"/>
          <w:color w:val="auto"/>
          <w:szCs w:val="21"/>
          <w:highlight w:val="none"/>
        </w:rPr>
      </w:pPr>
      <w:r>
        <w:rPr>
          <w:rFonts w:hint="eastAsia" w:ascii="宋体" w:hAnsi="宋体" w:cs="宋体"/>
          <w:color w:val="auto"/>
          <w:szCs w:val="21"/>
          <w:highlight w:val="none"/>
        </w:rPr>
        <w:t>标 段 编 号：</w:t>
      </w:r>
    </w:p>
    <w:tbl>
      <w:tblPr>
        <w:tblStyle w:val="23"/>
        <w:tblW w:w="9759" w:type="dxa"/>
        <w:tblInd w:w="-46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20"/>
        <w:gridCol w:w="7139"/>
      </w:tblGrid>
      <w:tr w14:paraId="1938A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2620" w:type="dxa"/>
            <w:tcBorders>
              <w:top w:val="single" w:color="auto" w:sz="4" w:space="0"/>
              <w:left w:val="single" w:color="auto" w:sz="4" w:space="0"/>
              <w:bottom w:val="single" w:color="auto" w:sz="4" w:space="0"/>
              <w:right w:val="single" w:color="auto" w:sz="4" w:space="0"/>
            </w:tcBorders>
            <w:noWrap w:val="0"/>
            <w:vAlign w:val="center"/>
          </w:tcPr>
          <w:p w14:paraId="4B969876">
            <w:pPr>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7139" w:type="dxa"/>
            <w:tcBorders>
              <w:top w:val="single" w:color="auto" w:sz="4" w:space="0"/>
              <w:left w:val="single" w:color="auto" w:sz="4" w:space="0"/>
              <w:bottom w:val="single" w:color="auto" w:sz="4" w:space="0"/>
              <w:right w:val="single" w:color="auto" w:sz="4" w:space="0"/>
            </w:tcBorders>
            <w:noWrap w:val="0"/>
            <w:vAlign w:val="center"/>
          </w:tcPr>
          <w:p w14:paraId="6B54F89E">
            <w:pPr>
              <w:rPr>
                <w:rFonts w:hint="eastAsia" w:ascii="宋体" w:hAnsi="宋体" w:cs="宋体"/>
                <w:color w:val="auto"/>
                <w:szCs w:val="21"/>
                <w:highlight w:val="none"/>
              </w:rPr>
            </w:pPr>
          </w:p>
        </w:tc>
      </w:tr>
      <w:tr w14:paraId="0D94C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2620" w:type="dxa"/>
            <w:tcBorders>
              <w:top w:val="single" w:color="auto" w:sz="4" w:space="0"/>
              <w:left w:val="single" w:color="auto" w:sz="4" w:space="0"/>
              <w:bottom w:val="single" w:color="auto" w:sz="4" w:space="0"/>
              <w:right w:val="single" w:color="auto" w:sz="4" w:space="0"/>
            </w:tcBorders>
            <w:noWrap w:val="0"/>
            <w:vAlign w:val="center"/>
          </w:tcPr>
          <w:p w14:paraId="413A10AF">
            <w:pPr>
              <w:jc w:val="center"/>
              <w:rPr>
                <w:rFonts w:hint="eastAsia" w:ascii="宋体" w:hAnsi="宋体" w:cs="宋体"/>
                <w:color w:val="auto"/>
                <w:szCs w:val="21"/>
                <w:highlight w:val="none"/>
              </w:rPr>
            </w:pPr>
          </w:p>
          <w:p w14:paraId="4D1DECA3">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磋商报价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lang w:eastAsia="zh-CN"/>
              </w:rPr>
              <w:t>）</w:t>
            </w:r>
          </w:p>
          <w:p w14:paraId="7DEB9013">
            <w:pPr>
              <w:jc w:val="center"/>
              <w:rPr>
                <w:rFonts w:hint="eastAsia" w:ascii="宋体" w:hAnsi="宋体" w:cs="宋体"/>
                <w:color w:val="auto"/>
                <w:szCs w:val="21"/>
                <w:highlight w:val="none"/>
              </w:rPr>
            </w:pPr>
          </w:p>
        </w:tc>
        <w:tc>
          <w:tcPr>
            <w:tcW w:w="7139" w:type="dxa"/>
            <w:tcBorders>
              <w:top w:val="single" w:color="auto" w:sz="4" w:space="0"/>
              <w:left w:val="single" w:color="auto" w:sz="4" w:space="0"/>
              <w:bottom w:val="single" w:color="auto" w:sz="4" w:space="0"/>
              <w:right w:val="single" w:color="auto" w:sz="4" w:space="0"/>
            </w:tcBorders>
            <w:noWrap w:val="0"/>
            <w:vAlign w:val="center"/>
          </w:tcPr>
          <w:p w14:paraId="54996FB6">
            <w:pPr>
              <w:rPr>
                <w:rFonts w:hint="eastAsia" w:ascii="宋体" w:hAnsi="宋体" w:cs="宋体"/>
                <w:color w:val="auto"/>
                <w:szCs w:val="21"/>
                <w:highlight w:val="none"/>
              </w:rPr>
            </w:pPr>
          </w:p>
        </w:tc>
      </w:tr>
      <w:tr w14:paraId="09FBC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2620" w:type="dxa"/>
            <w:tcBorders>
              <w:top w:val="single" w:color="auto" w:sz="4" w:space="0"/>
              <w:left w:val="single" w:color="auto" w:sz="4" w:space="0"/>
              <w:bottom w:val="single" w:color="auto" w:sz="4" w:space="0"/>
              <w:right w:val="single" w:color="auto" w:sz="4" w:space="0"/>
            </w:tcBorders>
            <w:noWrap w:val="0"/>
            <w:vAlign w:val="center"/>
          </w:tcPr>
          <w:p w14:paraId="3A0CC27D">
            <w:pPr>
              <w:jc w:val="center"/>
              <w:rPr>
                <w:rFonts w:hint="eastAsia" w:ascii="宋体" w:hAnsi="宋体" w:cs="宋体"/>
                <w:color w:val="auto"/>
                <w:szCs w:val="21"/>
                <w:highlight w:val="none"/>
              </w:rPr>
            </w:pPr>
            <w:r>
              <w:rPr>
                <w:rFonts w:hint="eastAsia" w:ascii="宋体" w:hAnsi="宋体" w:cs="宋体"/>
                <w:color w:val="auto"/>
                <w:szCs w:val="21"/>
                <w:highlight w:val="none"/>
              </w:rPr>
              <w:t>合同履行期限</w:t>
            </w:r>
          </w:p>
        </w:tc>
        <w:tc>
          <w:tcPr>
            <w:tcW w:w="7139" w:type="dxa"/>
            <w:tcBorders>
              <w:top w:val="single" w:color="auto" w:sz="4" w:space="0"/>
              <w:left w:val="single" w:color="auto" w:sz="4" w:space="0"/>
              <w:bottom w:val="single" w:color="auto" w:sz="4" w:space="0"/>
              <w:right w:val="single" w:color="auto" w:sz="4" w:space="0"/>
            </w:tcBorders>
            <w:noWrap w:val="0"/>
            <w:vAlign w:val="center"/>
          </w:tcPr>
          <w:p w14:paraId="514A6978">
            <w:pPr>
              <w:rPr>
                <w:rFonts w:hint="eastAsia" w:ascii="宋体" w:hAnsi="宋体" w:cs="宋体"/>
                <w:color w:val="auto"/>
                <w:szCs w:val="21"/>
                <w:highlight w:val="none"/>
              </w:rPr>
            </w:pPr>
          </w:p>
        </w:tc>
      </w:tr>
      <w:tr w14:paraId="3DCC5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1" w:hRule="atLeast"/>
        </w:trPr>
        <w:tc>
          <w:tcPr>
            <w:tcW w:w="2620" w:type="dxa"/>
            <w:tcBorders>
              <w:top w:val="single" w:color="auto" w:sz="4" w:space="0"/>
              <w:left w:val="single" w:color="auto" w:sz="4" w:space="0"/>
              <w:bottom w:val="single" w:color="auto" w:sz="4" w:space="0"/>
              <w:right w:val="single" w:color="auto" w:sz="4" w:space="0"/>
            </w:tcBorders>
            <w:noWrap w:val="0"/>
            <w:vAlign w:val="center"/>
          </w:tcPr>
          <w:p w14:paraId="5F87D978">
            <w:pPr>
              <w:jc w:val="center"/>
              <w:rPr>
                <w:rFonts w:hint="eastAsia" w:ascii="宋体" w:hAnsi="宋体" w:cs="宋体"/>
                <w:color w:val="auto"/>
                <w:szCs w:val="21"/>
                <w:highlight w:val="none"/>
                <w:lang w:eastAsia="zh-CN"/>
              </w:rPr>
            </w:pPr>
            <w:r>
              <w:rPr>
                <w:rFonts w:hint="eastAsia" w:ascii="宋体" w:hAnsi="宋体" w:cs="宋体"/>
                <w:color w:val="auto"/>
                <w:szCs w:val="21"/>
                <w:highlight w:val="none"/>
              </w:rPr>
              <w:t>服务</w:t>
            </w:r>
            <w:r>
              <w:rPr>
                <w:rFonts w:hint="eastAsia" w:ascii="宋体" w:hAnsi="宋体" w:cs="宋体"/>
                <w:color w:val="auto"/>
                <w:szCs w:val="21"/>
                <w:highlight w:val="none"/>
                <w:lang w:eastAsia="zh-CN"/>
              </w:rPr>
              <w:t>标准</w:t>
            </w:r>
          </w:p>
        </w:tc>
        <w:tc>
          <w:tcPr>
            <w:tcW w:w="7139" w:type="dxa"/>
            <w:tcBorders>
              <w:top w:val="single" w:color="auto" w:sz="4" w:space="0"/>
              <w:left w:val="single" w:color="auto" w:sz="4" w:space="0"/>
              <w:bottom w:val="single" w:color="auto" w:sz="4" w:space="0"/>
              <w:right w:val="single" w:color="auto" w:sz="4" w:space="0"/>
            </w:tcBorders>
            <w:noWrap w:val="0"/>
            <w:vAlign w:val="center"/>
          </w:tcPr>
          <w:p w14:paraId="089FC4A8">
            <w:pPr>
              <w:rPr>
                <w:rFonts w:hint="eastAsia" w:ascii="宋体" w:hAnsi="宋体" w:cs="宋体"/>
                <w:color w:val="auto"/>
                <w:szCs w:val="21"/>
                <w:highlight w:val="none"/>
              </w:rPr>
            </w:pPr>
          </w:p>
        </w:tc>
      </w:tr>
      <w:tr w14:paraId="2C0C6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4"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21AC5771">
            <w:pPr>
              <w:rPr>
                <w:rFonts w:hint="eastAsia" w:ascii="宋体" w:hAnsi="宋体" w:cs="宋体"/>
                <w:color w:val="auto"/>
                <w:szCs w:val="21"/>
                <w:highlight w:val="none"/>
              </w:rPr>
            </w:pPr>
          </w:p>
          <w:p w14:paraId="32C57A3A">
            <w:pPr>
              <w:rPr>
                <w:rFonts w:hint="eastAsia" w:ascii="宋体" w:hAnsi="宋体" w:cs="宋体"/>
                <w:color w:val="auto"/>
                <w:szCs w:val="21"/>
                <w:highlight w:val="none"/>
              </w:rPr>
            </w:pPr>
            <w:r>
              <w:rPr>
                <w:rFonts w:hint="eastAsia" w:ascii="宋体" w:hAnsi="宋体" w:cs="宋体"/>
                <w:color w:val="auto"/>
                <w:szCs w:val="21"/>
                <w:highlight w:val="none"/>
              </w:rPr>
              <w:t>供应商：        （盖章）                 被授权人：          （签字或盖章）</w:t>
            </w:r>
          </w:p>
          <w:p w14:paraId="03714327">
            <w:pPr>
              <w:rPr>
                <w:rFonts w:hint="eastAsia" w:ascii="宋体" w:hAnsi="宋体" w:cs="宋体"/>
                <w:color w:val="auto"/>
                <w:szCs w:val="21"/>
                <w:highlight w:val="none"/>
              </w:rPr>
            </w:pPr>
          </w:p>
        </w:tc>
      </w:tr>
    </w:tbl>
    <w:p w14:paraId="04F2D16C">
      <w:pPr>
        <w:autoSpaceDE w:val="0"/>
        <w:autoSpaceDN w:val="0"/>
        <w:adjustRightInd w:val="0"/>
        <w:spacing w:line="500" w:lineRule="exact"/>
        <w:rPr>
          <w:rFonts w:hint="eastAsia" w:ascii="宋体" w:hAnsi="宋体" w:cs="宋体"/>
          <w:color w:val="auto"/>
          <w:sz w:val="24"/>
          <w:highlight w:val="none"/>
          <w:lang w:val="zh-CN"/>
        </w:rPr>
      </w:pPr>
    </w:p>
    <w:p w14:paraId="21DDFFF5">
      <w:pPr>
        <w:rPr>
          <w:rFonts w:hint="eastAsia" w:ascii="宋体" w:hAnsi="宋体" w:cs="宋体"/>
          <w:color w:val="auto"/>
          <w:highlight w:val="none"/>
          <w:lang w:val="zh-CN"/>
        </w:rPr>
      </w:pPr>
    </w:p>
    <w:p w14:paraId="6A011321">
      <w:pPr>
        <w:rPr>
          <w:rFonts w:hint="eastAsia" w:ascii="宋体" w:hAnsi="宋体" w:cs="宋体"/>
          <w:color w:val="auto"/>
          <w:highlight w:val="none"/>
          <w:lang w:val="zh-CN"/>
        </w:rPr>
      </w:pPr>
    </w:p>
    <w:p w14:paraId="1DF79DBC">
      <w:pPr>
        <w:rPr>
          <w:rFonts w:hint="eastAsia" w:ascii="宋体" w:hAnsi="宋体" w:cs="宋体"/>
          <w:color w:val="auto"/>
          <w:highlight w:val="none"/>
          <w:lang w:val="zh-CN"/>
        </w:rPr>
      </w:pPr>
    </w:p>
    <w:p w14:paraId="35B87A10">
      <w:pPr>
        <w:rPr>
          <w:rFonts w:hint="eastAsia" w:ascii="宋体" w:hAnsi="宋体" w:cs="宋体"/>
          <w:color w:val="auto"/>
          <w:highlight w:val="none"/>
          <w:lang w:val="zh-CN"/>
        </w:rPr>
      </w:pPr>
    </w:p>
    <w:p w14:paraId="211766D8">
      <w:pPr>
        <w:rPr>
          <w:rFonts w:hint="eastAsia" w:ascii="宋体" w:hAnsi="宋体" w:cs="宋体"/>
          <w:color w:val="auto"/>
          <w:highlight w:val="none"/>
          <w:lang w:val="zh-CN"/>
        </w:rPr>
      </w:pPr>
    </w:p>
    <w:p w14:paraId="7E030974">
      <w:pPr>
        <w:rPr>
          <w:rFonts w:hint="eastAsia" w:ascii="宋体" w:hAnsi="宋体" w:cs="宋体"/>
          <w:color w:val="auto"/>
          <w:highlight w:val="none"/>
          <w:lang w:val="zh-CN"/>
        </w:rPr>
      </w:pPr>
    </w:p>
    <w:p w14:paraId="373252C0">
      <w:pPr>
        <w:rPr>
          <w:rFonts w:hint="eastAsia" w:ascii="宋体" w:hAnsi="宋体" w:cs="宋体"/>
          <w:color w:val="auto"/>
          <w:highlight w:val="none"/>
          <w:lang w:val="zh-CN"/>
        </w:rPr>
      </w:pPr>
    </w:p>
    <w:p w14:paraId="35D174B4">
      <w:pPr>
        <w:rPr>
          <w:rFonts w:hint="eastAsia" w:ascii="宋体" w:hAnsi="宋体" w:cs="宋体"/>
          <w:color w:val="auto"/>
          <w:highlight w:val="none"/>
          <w:lang w:val="zh-CN"/>
        </w:rPr>
      </w:pPr>
    </w:p>
    <w:p w14:paraId="34B3E669">
      <w:pPr>
        <w:spacing w:line="360" w:lineRule="auto"/>
        <w:ind w:firstLine="720" w:firstLineChars="200"/>
        <w:jc w:val="center"/>
        <w:rPr>
          <w:rFonts w:hint="eastAsia" w:ascii="宋体" w:hAnsi="宋体" w:cs="宋体"/>
          <w:color w:val="auto"/>
          <w:sz w:val="36"/>
          <w:szCs w:val="36"/>
          <w:highlight w:val="none"/>
        </w:rPr>
      </w:pPr>
      <w:bookmarkStart w:id="62" w:name="_Toc373772564"/>
      <w:bookmarkStart w:id="63" w:name="_Toc372556120"/>
      <w:r>
        <w:rPr>
          <w:rFonts w:hint="eastAsia" w:ascii="宋体" w:hAnsi="宋体" w:cs="宋体"/>
          <w:color w:val="auto"/>
          <w:sz w:val="36"/>
          <w:szCs w:val="36"/>
          <w:highlight w:val="none"/>
        </w:rPr>
        <w:t>四、资格审查资料</w:t>
      </w:r>
      <w:bookmarkEnd w:id="62"/>
      <w:bookmarkEnd w:id="63"/>
    </w:p>
    <w:p w14:paraId="46242EBB">
      <w:pPr>
        <w:spacing w:line="360" w:lineRule="auto"/>
        <w:ind w:left="840" w:hanging="880" w:hangingChars="400"/>
        <w:rPr>
          <w:rFonts w:hint="eastAsia" w:ascii="宋体" w:hAnsi="宋体" w:cs="宋体"/>
          <w:color w:val="auto"/>
          <w:kern w:val="0"/>
          <w:szCs w:val="21"/>
          <w:highlight w:val="none"/>
        </w:rPr>
      </w:pPr>
      <w:r>
        <w:rPr>
          <w:rFonts w:hint="eastAsia" w:ascii="宋体" w:hAnsi="宋体" w:cs="宋体"/>
          <w:color w:val="auto"/>
          <w:kern w:val="0"/>
          <w:szCs w:val="21"/>
          <w:highlight w:val="none"/>
        </w:rPr>
        <w:t>(一)供应商基本情况表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976"/>
        <w:gridCol w:w="1111"/>
        <w:gridCol w:w="1389"/>
        <w:gridCol w:w="213"/>
        <w:gridCol w:w="1356"/>
        <w:gridCol w:w="2597"/>
      </w:tblGrid>
      <w:tr w14:paraId="5BAF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7" w:type="dxa"/>
            <w:noWrap w:val="0"/>
            <w:vAlign w:val="center"/>
          </w:tcPr>
          <w:p w14:paraId="418DF3A0">
            <w:pP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7642" w:type="dxa"/>
            <w:gridSpan w:val="6"/>
            <w:noWrap w:val="0"/>
            <w:vAlign w:val="center"/>
          </w:tcPr>
          <w:p w14:paraId="5493119C">
            <w:pPr>
              <w:rPr>
                <w:rFonts w:hint="eastAsia" w:ascii="宋体" w:hAnsi="宋体" w:cs="宋体"/>
                <w:color w:val="auto"/>
                <w:szCs w:val="21"/>
                <w:highlight w:val="none"/>
              </w:rPr>
            </w:pPr>
          </w:p>
        </w:tc>
      </w:tr>
      <w:tr w14:paraId="3E85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7" w:type="dxa"/>
            <w:noWrap w:val="0"/>
            <w:vAlign w:val="center"/>
          </w:tcPr>
          <w:p w14:paraId="374272FF">
            <w:pP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689" w:type="dxa"/>
            <w:gridSpan w:val="4"/>
            <w:noWrap w:val="0"/>
            <w:vAlign w:val="center"/>
          </w:tcPr>
          <w:p w14:paraId="01A773FA">
            <w:pPr>
              <w:rPr>
                <w:rFonts w:hint="eastAsia" w:ascii="宋体" w:hAnsi="宋体" w:cs="宋体"/>
                <w:color w:val="auto"/>
                <w:szCs w:val="21"/>
                <w:highlight w:val="none"/>
              </w:rPr>
            </w:pPr>
          </w:p>
        </w:tc>
        <w:tc>
          <w:tcPr>
            <w:tcW w:w="1356" w:type="dxa"/>
            <w:noWrap w:val="0"/>
            <w:vAlign w:val="center"/>
          </w:tcPr>
          <w:p w14:paraId="3FB2AB61">
            <w:pP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597" w:type="dxa"/>
            <w:noWrap w:val="0"/>
            <w:vAlign w:val="center"/>
          </w:tcPr>
          <w:p w14:paraId="1E9983C1">
            <w:pPr>
              <w:rPr>
                <w:rFonts w:hint="eastAsia" w:ascii="宋体" w:hAnsi="宋体" w:cs="宋体"/>
                <w:color w:val="auto"/>
                <w:szCs w:val="21"/>
                <w:highlight w:val="none"/>
              </w:rPr>
            </w:pPr>
          </w:p>
        </w:tc>
      </w:tr>
      <w:tr w14:paraId="4B57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617" w:type="dxa"/>
            <w:vMerge w:val="restart"/>
            <w:noWrap w:val="0"/>
            <w:vAlign w:val="center"/>
          </w:tcPr>
          <w:p w14:paraId="62EB32DE">
            <w:pP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976" w:type="dxa"/>
            <w:noWrap w:val="0"/>
            <w:vAlign w:val="center"/>
          </w:tcPr>
          <w:p w14:paraId="5C5D228F">
            <w:pP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713" w:type="dxa"/>
            <w:gridSpan w:val="3"/>
            <w:noWrap w:val="0"/>
            <w:vAlign w:val="center"/>
          </w:tcPr>
          <w:p w14:paraId="7FCB016F">
            <w:pPr>
              <w:rPr>
                <w:rFonts w:hint="eastAsia" w:ascii="宋体" w:hAnsi="宋体" w:cs="宋体"/>
                <w:color w:val="auto"/>
                <w:szCs w:val="21"/>
                <w:highlight w:val="none"/>
              </w:rPr>
            </w:pPr>
          </w:p>
        </w:tc>
        <w:tc>
          <w:tcPr>
            <w:tcW w:w="1356" w:type="dxa"/>
            <w:noWrap w:val="0"/>
            <w:vAlign w:val="center"/>
          </w:tcPr>
          <w:p w14:paraId="128A9223">
            <w:pP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597" w:type="dxa"/>
            <w:noWrap w:val="0"/>
            <w:vAlign w:val="center"/>
          </w:tcPr>
          <w:p w14:paraId="188FDAA0">
            <w:pPr>
              <w:rPr>
                <w:rFonts w:hint="eastAsia" w:ascii="宋体" w:hAnsi="宋体" w:cs="宋体"/>
                <w:color w:val="auto"/>
                <w:szCs w:val="21"/>
                <w:highlight w:val="none"/>
              </w:rPr>
            </w:pPr>
          </w:p>
        </w:tc>
      </w:tr>
      <w:tr w14:paraId="6165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617" w:type="dxa"/>
            <w:vMerge w:val="continue"/>
            <w:noWrap w:val="0"/>
            <w:vAlign w:val="center"/>
          </w:tcPr>
          <w:p w14:paraId="680DF0AC">
            <w:pPr>
              <w:rPr>
                <w:rFonts w:hint="eastAsia" w:ascii="宋体" w:hAnsi="宋体" w:cs="宋体"/>
                <w:color w:val="auto"/>
                <w:szCs w:val="21"/>
                <w:highlight w:val="none"/>
              </w:rPr>
            </w:pPr>
          </w:p>
        </w:tc>
        <w:tc>
          <w:tcPr>
            <w:tcW w:w="976" w:type="dxa"/>
            <w:noWrap w:val="0"/>
            <w:vAlign w:val="center"/>
          </w:tcPr>
          <w:p w14:paraId="433D8BF7">
            <w:pP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713" w:type="dxa"/>
            <w:gridSpan w:val="3"/>
            <w:noWrap w:val="0"/>
            <w:vAlign w:val="center"/>
          </w:tcPr>
          <w:p w14:paraId="54B8097F">
            <w:pPr>
              <w:rPr>
                <w:rFonts w:hint="eastAsia" w:ascii="宋体" w:hAnsi="宋体" w:cs="宋体"/>
                <w:color w:val="auto"/>
                <w:szCs w:val="21"/>
                <w:highlight w:val="none"/>
              </w:rPr>
            </w:pPr>
          </w:p>
        </w:tc>
        <w:tc>
          <w:tcPr>
            <w:tcW w:w="1356" w:type="dxa"/>
            <w:noWrap w:val="0"/>
            <w:vAlign w:val="center"/>
          </w:tcPr>
          <w:p w14:paraId="3716A42D">
            <w:pP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2597" w:type="dxa"/>
            <w:noWrap w:val="0"/>
            <w:vAlign w:val="center"/>
          </w:tcPr>
          <w:p w14:paraId="2FD7240E">
            <w:pPr>
              <w:rPr>
                <w:rFonts w:hint="eastAsia" w:ascii="宋体" w:hAnsi="宋体" w:cs="宋体"/>
                <w:color w:val="auto"/>
                <w:szCs w:val="21"/>
                <w:highlight w:val="none"/>
              </w:rPr>
            </w:pPr>
          </w:p>
        </w:tc>
      </w:tr>
      <w:tr w14:paraId="66DD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7" w:type="dxa"/>
            <w:noWrap w:val="0"/>
            <w:vAlign w:val="center"/>
          </w:tcPr>
          <w:p w14:paraId="67B14F3D">
            <w:pPr>
              <w:rPr>
                <w:rFonts w:hint="eastAsia" w:ascii="宋体" w:hAnsi="宋体" w:cs="宋体"/>
                <w:color w:val="auto"/>
                <w:szCs w:val="21"/>
                <w:highlight w:val="none"/>
              </w:rPr>
            </w:pPr>
            <w:r>
              <w:rPr>
                <w:rFonts w:hint="eastAsia" w:ascii="宋体" w:hAnsi="宋体" w:cs="宋体"/>
                <w:color w:val="auto"/>
                <w:szCs w:val="21"/>
                <w:highlight w:val="none"/>
              </w:rPr>
              <w:t>组织结构</w:t>
            </w:r>
          </w:p>
        </w:tc>
        <w:tc>
          <w:tcPr>
            <w:tcW w:w="7642" w:type="dxa"/>
            <w:gridSpan w:val="6"/>
            <w:noWrap w:val="0"/>
            <w:vAlign w:val="center"/>
          </w:tcPr>
          <w:p w14:paraId="1FF47E24">
            <w:pPr>
              <w:rPr>
                <w:rFonts w:hint="eastAsia" w:ascii="宋体" w:hAnsi="宋体" w:cs="宋体"/>
                <w:color w:val="auto"/>
                <w:szCs w:val="21"/>
                <w:highlight w:val="none"/>
              </w:rPr>
            </w:pPr>
          </w:p>
        </w:tc>
      </w:tr>
      <w:tr w14:paraId="557B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7" w:type="dxa"/>
            <w:noWrap w:val="0"/>
            <w:vAlign w:val="center"/>
          </w:tcPr>
          <w:p w14:paraId="18D52F0D">
            <w:pP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976" w:type="dxa"/>
            <w:noWrap w:val="0"/>
            <w:vAlign w:val="center"/>
          </w:tcPr>
          <w:p w14:paraId="7A0D502D">
            <w:pP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11" w:type="dxa"/>
            <w:noWrap w:val="0"/>
            <w:vAlign w:val="center"/>
          </w:tcPr>
          <w:p w14:paraId="223DFBC7">
            <w:pPr>
              <w:rPr>
                <w:rFonts w:hint="eastAsia" w:ascii="宋体" w:hAnsi="宋体" w:cs="宋体"/>
                <w:color w:val="auto"/>
                <w:szCs w:val="21"/>
                <w:highlight w:val="none"/>
              </w:rPr>
            </w:pPr>
          </w:p>
        </w:tc>
        <w:tc>
          <w:tcPr>
            <w:tcW w:w="1389" w:type="dxa"/>
            <w:noWrap w:val="0"/>
            <w:vAlign w:val="center"/>
          </w:tcPr>
          <w:p w14:paraId="1B1384FA">
            <w:pP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166" w:type="dxa"/>
            <w:gridSpan w:val="3"/>
            <w:noWrap w:val="0"/>
            <w:vAlign w:val="center"/>
          </w:tcPr>
          <w:p w14:paraId="1E5313EB">
            <w:pPr>
              <w:rPr>
                <w:rFonts w:hint="eastAsia" w:ascii="宋体" w:hAnsi="宋体" w:cs="宋体"/>
                <w:color w:val="auto"/>
                <w:szCs w:val="21"/>
                <w:highlight w:val="none"/>
              </w:rPr>
            </w:pPr>
          </w:p>
        </w:tc>
      </w:tr>
      <w:tr w14:paraId="7813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7" w:type="dxa"/>
            <w:noWrap w:val="0"/>
            <w:vAlign w:val="center"/>
          </w:tcPr>
          <w:p w14:paraId="6AF1F6A2">
            <w:pPr>
              <w:rPr>
                <w:rFonts w:hint="eastAsia" w:ascii="宋体" w:hAnsi="宋体" w:cs="宋体"/>
                <w:color w:val="auto"/>
                <w:szCs w:val="21"/>
                <w:highlight w:val="none"/>
              </w:rPr>
            </w:pPr>
            <w:r>
              <w:rPr>
                <w:rFonts w:hint="eastAsia" w:ascii="宋体" w:hAnsi="宋体" w:cs="宋体"/>
                <w:color w:val="auto"/>
                <w:szCs w:val="21"/>
                <w:highlight w:val="none"/>
              </w:rPr>
              <w:t>企业负责人</w:t>
            </w:r>
          </w:p>
        </w:tc>
        <w:tc>
          <w:tcPr>
            <w:tcW w:w="976" w:type="dxa"/>
            <w:noWrap w:val="0"/>
            <w:vAlign w:val="center"/>
          </w:tcPr>
          <w:p w14:paraId="3681261C">
            <w:pP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11" w:type="dxa"/>
            <w:noWrap w:val="0"/>
            <w:vAlign w:val="center"/>
          </w:tcPr>
          <w:p w14:paraId="6236EFA6">
            <w:pPr>
              <w:rPr>
                <w:rFonts w:hint="eastAsia" w:ascii="宋体" w:hAnsi="宋体" w:cs="宋体"/>
                <w:color w:val="auto"/>
                <w:szCs w:val="21"/>
                <w:highlight w:val="none"/>
              </w:rPr>
            </w:pPr>
          </w:p>
        </w:tc>
        <w:tc>
          <w:tcPr>
            <w:tcW w:w="1389" w:type="dxa"/>
            <w:noWrap w:val="0"/>
            <w:vAlign w:val="center"/>
          </w:tcPr>
          <w:p w14:paraId="42DB1374">
            <w:pP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4166" w:type="dxa"/>
            <w:gridSpan w:val="3"/>
            <w:noWrap w:val="0"/>
            <w:vAlign w:val="center"/>
          </w:tcPr>
          <w:p w14:paraId="7C870437">
            <w:pPr>
              <w:rPr>
                <w:rFonts w:hint="eastAsia" w:ascii="宋体" w:hAnsi="宋体" w:cs="宋体"/>
                <w:color w:val="auto"/>
                <w:szCs w:val="21"/>
                <w:highlight w:val="none"/>
              </w:rPr>
            </w:pPr>
          </w:p>
        </w:tc>
      </w:tr>
      <w:tr w14:paraId="2057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17" w:type="dxa"/>
            <w:noWrap w:val="0"/>
            <w:vAlign w:val="center"/>
          </w:tcPr>
          <w:p w14:paraId="5645263B">
            <w:pP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2087" w:type="dxa"/>
            <w:gridSpan w:val="2"/>
            <w:noWrap w:val="0"/>
            <w:vAlign w:val="center"/>
          </w:tcPr>
          <w:p w14:paraId="7B95670F">
            <w:pPr>
              <w:rPr>
                <w:rFonts w:hint="eastAsia" w:ascii="宋体" w:hAnsi="宋体" w:cs="宋体"/>
                <w:color w:val="auto"/>
                <w:szCs w:val="21"/>
                <w:highlight w:val="none"/>
              </w:rPr>
            </w:pPr>
          </w:p>
        </w:tc>
        <w:tc>
          <w:tcPr>
            <w:tcW w:w="5555" w:type="dxa"/>
            <w:gridSpan w:val="4"/>
            <w:noWrap w:val="0"/>
            <w:vAlign w:val="center"/>
          </w:tcPr>
          <w:p w14:paraId="1F72EF4E">
            <w:pPr>
              <w:rPr>
                <w:rFonts w:hint="eastAsia" w:ascii="宋体" w:hAnsi="宋体" w:cs="宋体"/>
                <w:color w:val="auto"/>
                <w:szCs w:val="21"/>
                <w:highlight w:val="none"/>
              </w:rPr>
            </w:pPr>
            <w:r>
              <w:rPr>
                <w:rFonts w:hint="eastAsia" w:ascii="宋体" w:hAnsi="宋体" w:cs="宋体"/>
                <w:color w:val="auto"/>
                <w:szCs w:val="21"/>
                <w:highlight w:val="none"/>
              </w:rPr>
              <w:t>从业人员总人数：</w:t>
            </w:r>
          </w:p>
        </w:tc>
      </w:tr>
      <w:tr w14:paraId="6F7D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9259" w:type="dxa"/>
            <w:gridSpan w:val="7"/>
            <w:noWrap w:val="0"/>
            <w:vAlign w:val="center"/>
          </w:tcPr>
          <w:p w14:paraId="0D6B9196">
            <w:pPr>
              <w:rPr>
                <w:rFonts w:hint="eastAsia" w:ascii="宋体" w:hAnsi="宋体" w:cs="宋体"/>
                <w:color w:val="auto"/>
                <w:szCs w:val="21"/>
                <w:highlight w:val="none"/>
              </w:rPr>
            </w:pPr>
            <w:r>
              <w:rPr>
                <w:rFonts w:hint="eastAsia" w:ascii="宋体" w:hAnsi="宋体" w:cs="宋体"/>
                <w:color w:val="auto"/>
                <w:szCs w:val="21"/>
                <w:highlight w:val="none"/>
              </w:rPr>
              <w:t>营业执照号</w:t>
            </w:r>
          </w:p>
        </w:tc>
      </w:tr>
      <w:tr w14:paraId="3825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9259" w:type="dxa"/>
            <w:gridSpan w:val="7"/>
            <w:noWrap w:val="0"/>
            <w:vAlign w:val="center"/>
          </w:tcPr>
          <w:p w14:paraId="02515F46">
            <w:pPr>
              <w:rPr>
                <w:rFonts w:hint="eastAsia" w:ascii="宋体" w:hAnsi="宋体" w:cs="宋体"/>
                <w:color w:val="auto"/>
                <w:szCs w:val="21"/>
                <w:highlight w:val="none"/>
              </w:rPr>
            </w:pPr>
            <w:r>
              <w:rPr>
                <w:rFonts w:hint="eastAsia" w:ascii="宋体" w:hAnsi="宋体" w:cs="宋体"/>
                <w:color w:val="auto"/>
                <w:szCs w:val="21"/>
                <w:highlight w:val="none"/>
              </w:rPr>
              <w:t>注册资金</w:t>
            </w:r>
          </w:p>
        </w:tc>
      </w:tr>
      <w:tr w14:paraId="753D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9259" w:type="dxa"/>
            <w:gridSpan w:val="7"/>
            <w:noWrap w:val="0"/>
            <w:vAlign w:val="center"/>
          </w:tcPr>
          <w:p w14:paraId="1014DB08">
            <w:pPr>
              <w:rPr>
                <w:rFonts w:hint="eastAsia" w:ascii="宋体" w:hAnsi="宋体" w:cs="宋体"/>
                <w:color w:val="auto"/>
                <w:szCs w:val="21"/>
                <w:highlight w:val="none"/>
              </w:rPr>
            </w:pPr>
            <w:r>
              <w:rPr>
                <w:rFonts w:hint="eastAsia" w:ascii="宋体" w:hAnsi="宋体" w:cs="宋体"/>
                <w:color w:val="auto"/>
                <w:szCs w:val="21"/>
                <w:highlight w:val="none"/>
              </w:rPr>
              <w:t>开户银行</w:t>
            </w:r>
          </w:p>
        </w:tc>
      </w:tr>
      <w:tr w14:paraId="4B40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9259" w:type="dxa"/>
            <w:gridSpan w:val="7"/>
            <w:noWrap w:val="0"/>
            <w:vAlign w:val="center"/>
          </w:tcPr>
          <w:p w14:paraId="382A5DED">
            <w:pPr>
              <w:rPr>
                <w:rFonts w:hint="eastAsia" w:ascii="宋体" w:hAnsi="宋体" w:cs="宋体"/>
                <w:color w:val="auto"/>
                <w:szCs w:val="21"/>
                <w:highlight w:val="none"/>
              </w:rPr>
            </w:pPr>
            <w:r>
              <w:rPr>
                <w:rFonts w:hint="eastAsia" w:ascii="宋体" w:hAnsi="宋体" w:cs="宋体"/>
                <w:color w:val="auto"/>
                <w:szCs w:val="21"/>
                <w:highlight w:val="none"/>
              </w:rPr>
              <w:t>账号</w:t>
            </w:r>
          </w:p>
        </w:tc>
      </w:tr>
      <w:tr w14:paraId="26DD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1617" w:type="dxa"/>
            <w:noWrap w:val="0"/>
            <w:vAlign w:val="center"/>
          </w:tcPr>
          <w:p w14:paraId="78EEFAC8">
            <w:pP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7642" w:type="dxa"/>
            <w:gridSpan w:val="6"/>
            <w:noWrap w:val="0"/>
            <w:vAlign w:val="center"/>
          </w:tcPr>
          <w:p w14:paraId="73BA09B1">
            <w:pPr>
              <w:rPr>
                <w:rFonts w:hint="eastAsia" w:ascii="宋体" w:hAnsi="宋体" w:cs="宋体"/>
                <w:color w:val="auto"/>
                <w:szCs w:val="21"/>
                <w:highlight w:val="none"/>
              </w:rPr>
            </w:pPr>
          </w:p>
        </w:tc>
      </w:tr>
      <w:tr w14:paraId="7187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17" w:type="dxa"/>
            <w:noWrap w:val="0"/>
            <w:vAlign w:val="center"/>
          </w:tcPr>
          <w:p w14:paraId="352E4707">
            <w:pP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642" w:type="dxa"/>
            <w:gridSpan w:val="6"/>
            <w:noWrap w:val="0"/>
            <w:vAlign w:val="center"/>
          </w:tcPr>
          <w:p w14:paraId="4336B120">
            <w:pPr>
              <w:rPr>
                <w:rFonts w:hint="eastAsia" w:ascii="宋体" w:hAnsi="宋体" w:cs="宋体"/>
                <w:color w:val="auto"/>
                <w:szCs w:val="21"/>
                <w:highlight w:val="none"/>
              </w:rPr>
            </w:pPr>
          </w:p>
        </w:tc>
      </w:tr>
    </w:tbl>
    <w:p w14:paraId="7D79470F">
      <w:pPr>
        <w:spacing w:before="120" w:beforeLines="50" w:after="120" w:afterLines="50"/>
        <w:rPr>
          <w:rFonts w:hint="eastAsia" w:ascii="宋体" w:hAnsi="宋体" w:cs="宋体"/>
          <w:color w:val="auto"/>
          <w:kern w:val="0"/>
          <w:sz w:val="24"/>
          <w:szCs w:val="24"/>
          <w:highlight w:val="none"/>
        </w:rPr>
      </w:pPr>
      <w:r>
        <w:rPr>
          <w:rFonts w:hint="eastAsia" w:ascii="宋体" w:hAnsi="宋体" w:cs="宋体"/>
          <w:color w:val="auto"/>
          <w:kern w:val="0"/>
          <w:szCs w:val="21"/>
          <w:highlight w:val="none"/>
        </w:rPr>
        <w:t>注：在本表后应附供应商营业执照（副本）等相关证件的复印件</w:t>
      </w:r>
      <w:r>
        <w:rPr>
          <w:rFonts w:hint="eastAsia" w:ascii="宋体" w:hAnsi="宋体" w:cs="宋体"/>
          <w:color w:val="auto"/>
          <w:kern w:val="0"/>
          <w:sz w:val="24"/>
          <w:szCs w:val="24"/>
          <w:highlight w:val="none"/>
        </w:rPr>
        <w:t>。</w:t>
      </w:r>
    </w:p>
    <w:p w14:paraId="4BF1BF92">
      <w:pP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p>
    <w:p w14:paraId="773C4900">
      <w:pPr>
        <w:spacing w:before="143" w:line="219" w:lineRule="auto"/>
        <w:jc w:val="center"/>
        <w:rPr>
          <w:rFonts w:hint="eastAsia" w:ascii="宋体" w:hAnsi="宋体" w:eastAsia="宋体" w:cs="宋体"/>
          <w:sz w:val="32"/>
          <w:szCs w:val="32"/>
          <w:highlight w:val="none"/>
        </w:rPr>
      </w:pPr>
      <w:r>
        <w:rPr>
          <w:rFonts w:hint="eastAsia" w:ascii="宋体" w:hAnsi="宋体" w:eastAsia="宋体" w:cs="宋体"/>
          <w:b/>
          <w:bCs/>
          <w:spacing w:val="-10"/>
          <w:sz w:val="32"/>
          <w:szCs w:val="32"/>
          <w:highlight w:val="none"/>
        </w:rPr>
        <w:t>资格条件承诺函</w:t>
      </w:r>
    </w:p>
    <w:p w14:paraId="71797E55">
      <w:pPr>
        <w:spacing w:line="283" w:lineRule="auto"/>
        <w:rPr>
          <w:rFonts w:hint="eastAsia" w:ascii="宋体" w:hAnsi="宋体" w:eastAsia="宋体" w:cs="宋体"/>
          <w:sz w:val="24"/>
          <w:szCs w:val="24"/>
          <w:highlight w:val="none"/>
        </w:rPr>
      </w:pPr>
    </w:p>
    <w:p w14:paraId="7538014C">
      <w:pPr>
        <w:spacing w:line="284" w:lineRule="auto"/>
        <w:rPr>
          <w:rFonts w:hint="eastAsia" w:ascii="宋体" w:hAnsi="宋体" w:eastAsia="宋体" w:cs="宋体"/>
          <w:sz w:val="24"/>
          <w:szCs w:val="24"/>
          <w:highlight w:val="none"/>
        </w:rPr>
      </w:pPr>
    </w:p>
    <w:p w14:paraId="0B205AE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 ：</w:t>
      </w:r>
      <w:r>
        <w:rPr>
          <w:rFonts w:hint="eastAsia" w:ascii="宋体" w:hAnsi="宋体" w:eastAsia="宋体" w:cs="宋体"/>
          <w:sz w:val="24"/>
          <w:szCs w:val="24"/>
          <w:highlight w:val="none"/>
          <w:u w:val="single"/>
        </w:rPr>
        <w:t xml:space="preserve"> (采购人、采购代理机构 ) :</w:t>
      </w:r>
    </w:p>
    <w:p w14:paraId="2BC807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(公司)</w:t>
      </w:r>
      <w:r>
        <w:rPr>
          <w:rFonts w:hint="eastAsia" w:ascii="宋体" w:hAnsi="宋体" w:eastAsia="宋体" w:cs="宋体"/>
          <w:sz w:val="24"/>
          <w:szCs w:val="24"/>
          <w:highlight w:val="none"/>
        </w:rPr>
        <w:t>参与</w:t>
      </w:r>
      <w:r>
        <w:rPr>
          <w:rFonts w:hint="eastAsia" w:ascii="宋体" w:hAnsi="宋体" w:eastAsia="宋体" w:cs="宋体"/>
          <w:sz w:val="24"/>
          <w:szCs w:val="24"/>
          <w:highlight w:val="none"/>
          <w:u w:val="single"/>
        </w:rPr>
        <w:t xml:space="preserve">    ( 采 购 项</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目 名 称 、项</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目 编 号 )</w:t>
      </w:r>
      <w:r>
        <w:rPr>
          <w:rFonts w:hint="eastAsia" w:ascii="宋体" w:hAnsi="宋体" w:eastAsia="宋体" w:cs="宋体"/>
          <w:sz w:val="24"/>
          <w:szCs w:val="24"/>
          <w:highlight w:val="none"/>
        </w:rPr>
        <w:t>采购项目的政府采购活动，现承诺如下：</w:t>
      </w:r>
    </w:p>
    <w:p w14:paraId="381A76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具有良好的商业信誉和健全的财务会计制度；</w:t>
      </w:r>
    </w:p>
    <w:p w14:paraId="239208A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具有依法缴纳税收的良好记录；</w:t>
      </w:r>
    </w:p>
    <w:p w14:paraId="365EB0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3.具有依法缴纳社会保障金的良好记录。</w:t>
      </w:r>
    </w:p>
    <w:p w14:paraId="06104E2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我方在采购项目评审(评标)环节结束后，随时接受采购人、采购代理机构的检查验证，配合提供相关证明材料， 证明符合《中华人民共和国政府采购法》规定的</w:t>
      </w:r>
      <w:r>
        <w:rPr>
          <w:rFonts w:hint="eastAsia" w:ascii="宋体" w:hAnsi="宋体" w:eastAsia="宋体" w:cs="宋体"/>
          <w:sz w:val="24"/>
          <w:szCs w:val="24"/>
          <w:highlight w:val="none"/>
          <w:lang w:eastAsia="zh-CN"/>
        </w:rPr>
        <w:t>投标单位</w:t>
      </w:r>
      <w:r>
        <w:rPr>
          <w:rFonts w:hint="eastAsia" w:ascii="宋体" w:hAnsi="宋体" w:eastAsia="宋体" w:cs="宋体"/>
          <w:sz w:val="24"/>
          <w:szCs w:val="24"/>
          <w:highlight w:val="none"/>
        </w:rPr>
        <w:t>基本资格条件。</w:t>
      </w:r>
    </w:p>
    <w:p w14:paraId="618BEB4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我单位(公司)对上述承诺的真实性负责。如有虚假，将依法承担相应责任。</w:t>
      </w:r>
    </w:p>
    <w:p w14:paraId="3E221DC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777547A6">
      <w:pPr>
        <w:rPr>
          <w:rFonts w:hint="eastAsia" w:ascii="宋体" w:hAnsi="宋体" w:eastAsia="宋体" w:cs="宋体"/>
          <w:sz w:val="24"/>
          <w:szCs w:val="24"/>
          <w:highlight w:val="none"/>
        </w:rPr>
      </w:pPr>
    </w:p>
    <w:p w14:paraId="304A2BA6">
      <w:pPr>
        <w:rPr>
          <w:rFonts w:hint="eastAsia" w:ascii="宋体" w:hAnsi="宋体" w:eastAsia="宋体" w:cs="宋体"/>
          <w:sz w:val="24"/>
          <w:szCs w:val="24"/>
          <w:highlight w:val="none"/>
        </w:rPr>
      </w:pPr>
    </w:p>
    <w:p w14:paraId="7DA7D0D7">
      <w:pPr>
        <w:spacing w:line="259" w:lineRule="auto"/>
        <w:rPr>
          <w:rFonts w:hint="eastAsia" w:ascii="宋体" w:hAnsi="宋体" w:eastAsia="宋体" w:cs="宋体"/>
          <w:sz w:val="24"/>
          <w:szCs w:val="24"/>
          <w:highlight w:val="none"/>
        </w:rPr>
      </w:pPr>
    </w:p>
    <w:p w14:paraId="0B1B929E">
      <w:pPr>
        <w:spacing w:before="101" w:line="611" w:lineRule="exact"/>
        <w:ind w:left="4920"/>
        <w:rPr>
          <w:rFonts w:hint="eastAsia" w:ascii="宋体" w:hAnsi="宋体" w:eastAsia="宋体" w:cs="宋体"/>
          <w:sz w:val="24"/>
          <w:szCs w:val="24"/>
          <w:highlight w:val="none"/>
        </w:rPr>
      </w:pPr>
      <w:r>
        <w:rPr>
          <w:rFonts w:hint="eastAsia" w:ascii="宋体" w:hAnsi="宋体" w:eastAsia="宋体" w:cs="宋体"/>
          <w:spacing w:val="-19"/>
          <w:position w:val="22"/>
          <w:sz w:val="24"/>
          <w:szCs w:val="24"/>
          <w:highlight w:val="none"/>
        </w:rPr>
        <w:t>盖章：</w:t>
      </w:r>
    </w:p>
    <w:p w14:paraId="643AE72D">
      <w:pPr>
        <w:spacing w:line="219" w:lineRule="auto"/>
        <w:ind w:left="4920"/>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签字：</w:t>
      </w:r>
    </w:p>
    <w:p w14:paraId="38134D26">
      <w:pPr>
        <w:ind w:firstLine="4888" w:firstLineChars="2600"/>
        <w:rPr>
          <w:rFonts w:hint="eastAsia" w:ascii="宋体" w:hAnsi="宋体" w:eastAsia="宋体" w:cs="宋体"/>
          <w:spacing w:val="-26"/>
          <w:sz w:val="24"/>
          <w:szCs w:val="24"/>
          <w:highlight w:val="none"/>
        </w:rPr>
      </w:pPr>
    </w:p>
    <w:p w14:paraId="77FA3FFA">
      <w:pPr>
        <w:ind w:firstLine="4888" w:firstLineChars="2600"/>
        <w:rPr>
          <w:rFonts w:hint="eastAsia" w:ascii="宋体" w:hAnsi="宋体" w:cs="宋体"/>
          <w:color w:val="auto"/>
          <w:kern w:val="0"/>
          <w:sz w:val="28"/>
          <w:szCs w:val="28"/>
          <w:highlight w:val="none"/>
        </w:rPr>
      </w:pPr>
      <w:r>
        <w:rPr>
          <w:rFonts w:hint="eastAsia" w:ascii="宋体" w:hAnsi="宋体" w:eastAsia="宋体" w:cs="宋体"/>
          <w:spacing w:val="-26"/>
          <w:sz w:val="24"/>
          <w:szCs w:val="24"/>
          <w:highlight w:val="none"/>
        </w:rPr>
        <w:t>日期：</w:t>
      </w:r>
      <w:r>
        <w:rPr>
          <w:rFonts w:hint="eastAsia" w:ascii="宋体" w:hAnsi="宋体" w:cs="宋体"/>
          <w:color w:val="auto"/>
          <w:kern w:val="0"/>
          <w:sz w:val="28"/>
          <w:szCs w:val="28"/>
          <w:highlight w:val="none"/>
        </w:rPr>
        <w:br w:type="page"/>
      </w:r>
    </w:p>
    <w:p w14:paraId="48985A40">
      <w:pPr>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(二)供应商已完成类似项目情况</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405"/>
        <w:gridCol w:w="2275"/>
        <w:gridCol w:w="1260"/>
        <w:gridCol w:w="777"/>
      </w:tblGrid>
      <w:tr w14:paraId="0719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0" w:type="dxa"/>
            <w:noWrap w:val="0"/>
            <w:vAlign w:val="center"/>
          </w:tcPr>
          <w:p w14:paraId="369C2D31">
            <w:pP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620" w:type="dxa"/>
            <w:noWrap w:val="0"/>
            <w:vAlign w:val="center"/>
          </w:tcPr>
          <w:p w14:paraId="6D656510">
            <w:pPr>
              <w:rPr>
                <w:rFonts w:hint="eastAsia" w:ascii="宋体" w:hAnsi="宋体" w:cs="宋体"/>
                <w:color w:val="auto"/>
                <w:kern w:val="0"/>
                <w:szCs w:val="21"/>
                <w:highlight w:val="none"/>
              </w:rPr>
            </w:pPr>
            <w:r>
              <w:rPr>
                <w:rFonts w:hint="eastAsia" w:ascii="宋体" w:hAnsi="宋体" w:cs="宋体"/>
                <w:color w:val="auto"/>
                <w:kern w:val="0"/>
                <w:szCs w:val="21"/>
                <w:highlight w:val="none"/>
              </w:rPr>
              <w:t>起止时间</w:t>
            </w:r>
          </w:p>
        </w:tc>
        <w:tc>
          <w:tcPr>
            <w:tcW w:w="2405" w:type="dxa"/>
            <w:noWrap w:val="0"/>
            <w:vAlign w:val="center"/>
          </w:tcPr>
          <w:p w14:paraId="5DD295BE">
            <w:pPr>
              <w:rPr>
                <w:rFonts w:hint="eastAsia" w:ascii="宋体" w:hAnsi="宋体" w:cs="宋体"/>
                <w:color w:val="auto"/>
                <w:kern w:val="0"/>
                <w:szCs w:val="21"/>
                <w:highlight w:val="none"/>
              </w:rPr>
            </w:pPr>
            <w:r>
              <w:rPr>
                <w:rFonts w:hint="eastAsia" w:ascii="宋体" w:hAnsi="宋体" w:cs="宋体"/>
                <w:color w:val="auto"/>
                <w:kern w:val="0"/>
                <w:szCs w:val="21"/>
                <w:highlight w:val="none"/>
              </w:rPr>
              <w:t>项目概况</w:t>
            </w:r>
          </w:p>
        </w:tc>
        <w:tc>
          <w:tcPr>
            <w:tcW w:w="2275" w:type="dxa"/>
            <w:noWrap w:val="0"/>
            <w:vAlign w:val="center"/>
          </w:tcPr>
          <w:p w14:paraId="4C8084E8">
            <w:pPr>
              <w:rPr>
                <w:rFonts w:hint="eastAsia"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260" w:type="dxa"/>
            <w:noWrap w:val="0"/>
            <w:vAlign w:val="center"/>
          </w:tcPr>
          <w:p w14:paraId="15B799AE">
            <w:pPr>
              <w:rPr>
                <w:rFonts w:hint="eastAsia" w:ascii="宋体" w:hAnsi="宋体" w:cs="宋体"/>
                <w:color w:val="auto"/>
                <w:kern w:val="0"/>
                <w:szCs w:val="21"/>
                <w:highlight w:val="none"/>
              </w:rPr>
            </w:pPr>
            <w:r>
              <w:rPr>
                <w:rFonts w:hint="eastAsia" w:ascii="宋体" w:hAnsi="宋体" w:cs="宋体"/>
                <w:color w:val="auto"/>
                <w:kern w:val="0"/>
                <w:szCs w:val="21"/>
                <w:highlight w:val="none"/>
              </w:rPr>
              <w:t>完成情况</w:t>
            </w:r>
          </w:p>
        </w:tc>
        <w:tc>
          <w:tcPr>
            <w:tcW w:w="777" w:type="dxa"/>
            <w:noWrap w:val="0"/>
            <w:vAlign w:val="center"/>
          </w:tcPr>
          <w:p w14:paraId="35106109">
            <w:pPr>
              <w:rPr>
                <w:rFonts w:hint="eastAsia" w:ascii="宋体" w:hAnsi="宋体" w:cs="宋体"/>
                <w:color w:val="auto"/>
                <w:szCs w:val="21"/>
                <w:highlight w:val="none"/>
              </w:rPr>
            </w:pPr>
            <w:r>
              <w:rPr>
                <w:rFonts w:hint="eastAsia" w:ascii="宋体" w:hAnsi="宋体" w:cs="宋体"/>
                <w:color w:val="auto"/>
                <w:kern w:val="0"/>
                <w:szCs w:val="21"/>
                <w:highlight w:val="none"/>
              </w:rPr>
              <w:t>备注</w:t>
            </w:r>
          </w:p>
        </w:tc>
      </w:tr>
      <w:tr w14:paraId="181D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B639E24">
            <w:pPr>
              <w:rPr>
                <w:rFonts w:hint="eastAsia" w:ascii="宋体" w:hAnsi="宋体" w:cs="宋体"/>
                <w:color w:val="auto"/>
                <w:szCs w:val="21"/>
                <w:highlight w:val="none"/>
              </w:rPr>
            </w:pPr>
          </w:p>
        </w:tc>
        <w:tc>
          <w:tcPr>
            <w:tcW w:w="1620" w:type="dxa"/>
            <w:noWrap w:val="0"/>
            <w:vAlign w:val="center"/>
          </w:tcPr>
          <w:p w14:paraId="5A05CB29">
            <w:pPr>
              <w:rPr>
                <w:rFonts w:hint="eastAsia" w:ascii="宋体" w:hAnsi="宋体" w:cs="宋体"/>
                <w:color w:val="auto"/>
                <w:szCs w:val="21"/>
                <w:highlight w:val="none"/>
              </w:rPr>
            </w:pPr>
          </w:p>
        </w:tc>
        <w:tc>
          <w:tcPr>
            <w:tcW w:w="2405" w:type="dxa"/>
            <w:noWrap w:val="0"/>
            <w:vAlign w:val="center"/>
          </w:tcPr>
          <w:p w14:paraId="2BAA5AF3">
            <w:pPr>
              <w:rPr>
                <w:rFonts w:hint="eastAsia" w:ascii="宋体" w:hAnsi="宋体" w:cs="宋体"/>
                <w:color w:val="auto"/>
                <w:szCs w:val="21"/>
                <w:highlight w:val="none"/>
              </w:rPr>
            </w:pPr>
          </w:p>
        </w:tc>
        <w:tc>
          <w:tcPr>
            <w:tcW w:w="2275" w:type="dxa"/>
            <w:noWrap w:val="0"/>
            <w:vAlign w:val="center"/>
          </w:tcPr>
          <w:p w14:paraId="16908567">
            <w:pPr>
              <w:rPr>
                <w:rFonts w:hint="eastAsia" w:ascii="宋体" w:hAnsi="宋体" w:cs="宋体"/>
                <w:color w:val="auto"/>
                <w:szCs w:val="21"/>
                <w:highlight w:val="none"/>
              </w:rPr>
            </w:pPr>
          </w:p>
        </w:tc>
        <w:tc>
          <w:tcPr>
            <w:tcW w:w="1260" w:type="dxa"/>
            <w:noWrap w:val="0"/>
            <w:vAlign w:val="center"/>
          </w:tcPr>
          <w:p w14:paraId="05811611">
            <w:pPr>
              <w:rPr>
                <w:rFonts w:hint="eastAsia" w:ascii="宋体" w:hAnsi="宋体" w:cs="宋体"/>
                <w:color w:val="auto"/>
                <w:szCs w:val="21"/>
                <w:highlight w:val="none"/>
              </w:rPr>
            </w:pPr>
          </w:p>
        </w:tc>
        <w:tc>
          <w:tcPr>
            <w:tcW w:w="777" w:type="dxa"/>
            <w:noWrap w:val="0"/>
            <w:vAlign w:val="center"/>
          </w:tcPr>
          <w:p w14:paraId="378D8119">
            <w:pPr>
              <w:rPr>
                <w:rFonts w:hint="eastAsia" w:ascii="宋体" w:hAnsi="宋体" w:cs="宋体"/>
                <w:color w:val="auto"/>
                <w:szCs w:val="21"/>
                <w:highlight w:val="none"/>
              </w:rPr>
            </w:pPr>
          </w:p>
        </w:tc>
      </w:tr>
      <w:tr w14:paraId="0285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0AA0296">
            <w:pPr>
              <w:rPr>
                <w:rFonts w:hint="eastAsia" w:ascii="宋体" w:hAnsi="宋体" w:cs="宋体"/>
                <w:color w:val="auto"/>
                <w:szCs w:val="21"/>
                <w:highlight w:val="none"/>
              </w:rPr>
            </w:pPr>
          </w:p>
        </w:tc>
        <w:tc>
          <w:tcPr>
            <w:tcW w:w="1620" w:type="dxa"/>
            <w:noWrap w:val="0"/>
            <w:vAlign w:val="center"/>
          </w:tcPr>
          <w:p w14:paraId="65ACE74D">
            <w:pPr>
              <w:rPr>
                <w:rFonts w:hint="eastAsia" w:ascii="宋体" w:hAnsi="宋体" w:cs="宋体"/>
                <w:color w:val="auto"/>
                <w:szCs w:val="21"/>
                <w:highlight w:val="none"/>
              </w:rPr>
            </w:pPr>
          </w:p>
        </w:tc>
        <w:tc>
          <w:tcPr>
            <w:tcW w:w="2405" w:type="dxa"/>
            <w:noWrap w:val="0"/>
            <w:vAlign w:val="center"/>
          </w:tcPr>
          <w:p w14:paraId="43312E5D">
            <w:pPr>
              <w:rPr>
                <w:rFonts w:hint="eastAsia" w:ascii="宋体" w:hAnsi="宋体" w:cs="宋体"/>
                <w:color w:val="auto"/>
                <w:szCs w:val="21"/>
                <w:highlight w:val="none"/>
              </w:rPr>
            </w:pPr>
          </w:p>
        </w:tc>
        <w:tc>
          <w:tcPr>
            <w:tcW w:w="2275" w:type="dxa"/>
            <w:noWrap w:val="0"/>
            <w:vAlign w:val="center"/>
          </w:tcPr>
          <w:p w14:paraId="3DE61186">
            <w:pPr>
              <w:rPr>
                <w:rFonts w:hint="eastAsia" w:ascii="宋体" w:hAnsi="宋体" w:cs="宋体"/>
                <w:color w:val="auto"/>
                <w:szCs w:val="21"/>
                <w:highlight w:val="none"/>
              </w:rPr>
            </w:pPr>
          </w:p>
        </w:tc>
        <w:tc>
          <w:tcPr>
            <w:tcW w:w="1260" w:type="dxa"/>
            <w:noWrap w:val="0"/>
            <w:vAlign w:val="center"/>
          </w:tcPr>
          <w:p w14:paraId="4508AE39">
            <w:pPr>
              <w:rPr>
                <w:rFonts w:hint="eastAsia" w:ascii="宋体" w:hAnsi="宋体" w:cs="宋体"/>
                <w:color w:val="auto"/>
                <w:szCs w:val="21"/>
                <w:highlight w:val="none"/>
              </w:rPr>
            </w:pPr>
          </w:p>
        </w:tc>
        <w:tc>
          <w:tcPr>
            <w:tcW w:w="777" w:type="dxa"/>
            <w:noWrap w:val="0"/>
            <w:vAlign w:val="center"/>
          </w:tcPr>
          <w:p w14:paraId="06C92AC0">
            <w:pPr>
              <w:rPr>
                <w:rFonts w:hint="eastAsia" w:ascii="宋体" w:hAnsi="宋体" w:cs="宋体"/>
                <w:color w:val="auto"/>
                <w:szCs w:val="21"/>
                <w:highlight w:val="none"/>
              </w:rPr>
            </w:pPr>
          </w:p>
        </w:tc>
      </w:tr>
      <w:tr w14:paraId="2EAC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BB7FD1A">
            <w:pPr>
              <w:rPr>
                <w:rFonts w:hint="eastAsia" w:ascii="宋体" w:hAnsi="宋体" w:cs="宋体"/>
                <w:color w:val="auto"/>
                <w:szCs w:val="21"/>
                <w:highlight w:val="none"/>
              </w:rPr>
            </w:pPr>
          </w:p>
        </w:tc>
        <w:tc>
          <w:tcPr>
            <w:tcW w:w="1620" w:type="dxa"/>
            <w:noWrap w:val="0"/>
            <w:vAlign w:val="center"/>
          </w:tcPr>
          <w:p w14:paraId="44C1A160">
            <w:pPr>
              <w:rPr>
                <w:rFonts w:hint="eastAsia" w:ascii="宋体" w:hAnsi="宋体" w:cs="宋体"/>
                <w:color w:val="auto"/>
                <w:szCs w:val="21"/>
                <w:highlight w:val="none"/>
              </w:rPr>
            </w:pPr>
          </w:p>
        </w:tc>
        <w:tc>
          <w:tcPr>
            <w:tcW w:w="2405" w:type="dxa"/>
            <w:noWrap w:val="0"/>
            <w:vAlign w:val="center"/>
          </w:tcPr>
          <w:p w14:paraId="28EDCA91">
            <w:pPr>
              <w:rPr>
                <w:rFonts w:hint="eastAsia" w:ascii="宋体" w:hAnsi="宋体" w:cs="宋体"/>
                <w:color w:val="auto"/>
                <w:szCs w:val="21"/>
                <w:highlight w:val="none"/>
              </w:rPr>
            </w:pPr>
          </w:p>
        </w:tc>
        <w:tc>
          <w:tcPr>
            <w:tcW w:w="2275" w:type="dxa"/>
            <w:noWrap w:val="0"/>
            <w:vAlign w:val="center"/>
          </w:tcPr>
          <w:p w14:paraId="60D678B9">
            <w:pPr>
              <w:rPr>
                <w:rFonts w:hint="eastAsia" w:ascii="宋体" w:hAnsi="宋体" w:cs="宋体"/>
                <w:color w:val="auto"/>
                <w:szCs w:val="21"/>
                <w:highlight w:val="none"/>
              </w:rPr>
            </w:pPr>
          </w:p>
        </w:tc>
        <w:tc>
          <w:tcPr>
            <w:tcW w:w="1260" w:type="dxa"/>
            <w:noWrap w:val="0"/>
            <w:vAlign w:val="center"/>
          </w:tcPr>
          <w:p w14:paraId="1A95BDB8">
            <w:pPr>
              <w:rPr>
                <w:rFonts w:hint="eastAsia" w:ascii="宋体" w:hAnsi="宋体" w:cs="宋体"/>
                <w:color w:val="auto"/>
                <w:szCs w:val="21"/>
                <w:highlight w:val="none"/>
              </w:rPr>
            </w:pPr>
          </w:p>
        </w:tc>
        <w:tc>
          <w:tcPr>
            <w:tcW w:w="777" w:type="dxa"/>
            <w:noWrap w:val="0"/>
            <w:vAlign w:val="center"/>
          </w:tcPr>
          <w:p w14:paraId="74B832EF">
            <w:pPr>
              <w:rPr>
                <w:rFonts w:hint="eastAsia" w:ascii="宋体" w:hAnsi="宋体" w:cs="宋体"/>
                <w:color w:val="auto"/>
                <w:szCs w:val="21"/>
                <w:highlight w:val="none"/>
              </w:rPr>
            </w:pPr>
          </w:p>
        </w:tc>
      </w:tr>
      <w:tr w14:paraId="4566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0FE6D17D">
            <w:pPr>
              <w:rPr>
                <w:rFonts w:hint="eastAsia" w:ascii="宋体" w:hAnsi="宋体" w:cs="宋体"/>
                <w:color w:val="auto"/>
                <w:szCs w:val="21"/>
                <w:highlight w:val="none"/>
              </w:rPr>
            </w:pPr>
          </w:p>
        </w:tc>
        <w:tc>
          <w:tcPr>
            <w:tcW w:w="1620" w:type="dxa"/>
            <w:noWrap w:val="0"/>
            <w:vAlign w:val="center"/>
          </w:tcPr>
          <w:p w14:paraId="052D1266">
            <w:pPr>
              <w:rPr>
                <w:rFonts w:hint="eastAsia" w:ascii="宋体" w:hAnsi="宋体" w:cs="宋体"/>
                <w:color w:val="auto"/>
                <w:szCs w:val="21"/>
                <w:highlight w:val="none"/>
              </w:rPr>
            </w:pPr>
          </w:p>
        </w:tc>
        <w:tc>
          <w:tcPr>
            <w:tcW w:w="2405" w:type="dxa"/>
            <w:noWrap w:val="0"/>
            <w:vAlign w:val="center"/>
          </w:tcPr>
          <w:p w14:paraId="5B0E78E1">
            <w:pPr>
              <w:rPr>
                <w:rFonts w:hint="eastAsia" w:ascii="宋体" w:hAnsi="宋体" w:cs="宋体"/>
                <w:color w:val="auto"/>
                <w:szCs w:val="21"/>
                <w:highlight w:val="none"/>
              </w:rPr>
            </w:pPr>
          </w:p>
        </w:tc>
        <w:tc>
          <w:tcPr>
            <w:tcW w:w="2275" w:type="dxa"/>
            <w:noWrap w:val="0"/>
            <w:vAlign w:val="center"/>
          </w:tcPr>
          <w:p w14:paraId="3FA50947">
            <w:pPr>
              <w:rPr>
                <w:rFonts w:hint="eastAsia" w:ascii="宋体" w:hAnsi="宋体" w:cs="宋体"/>
                <w:color w:val="auto"/>
                <w:szCs w:val="21"/>
                <w:highlight w:val="none"/>
              </w:rPr>
            </w:pPr>
          </w:p>
        </w:tc>
        <w:tc>
          <w:tcPr>
            <w:tcW w:w="1260" w:type="dxa"/>
            <w:noWrap w:val="0"/>
            <w:vAlign w:val="center"/>
          </w:tcPr>
          <w:p w14:paraId="70C7A101">
            <w:pPr>
              <w:rPr>
                <w:rFonts w:hint="eastAsia" w:ascii="宋体" w:hAnsi="宋体" w:cs="宋体"/>
                <w:color w:val="auto"/>
                <w:szCs w:val="21"/>
                <w:highlight w:val="none"/>
              </w:rPr>
            </w:pPr>
          </w:p>
        </w:tc>
        <w:tc>
          <w:tcPr>
            <w:tcW w:w="777" w:type="dxa"/>
            <w:noWrap w:val="0"/>
            <w:vAlign w:val="center"/>
          </w:tcPr>
          <w:p w14:paraId="3D42C4B6">
            <w:pPr>
              <w:rPr>
                <w:rFonts w:hint="eastAsia" w:ascii="宋体" w:hAnsi="宋体" w:cs="宋体"/>
                <w:color w:val="auto"/>
                <w:szCs w:val="21"/>
                <w:highlight w:val="none"/>
              </w:rPr>
            </w:pPr>
          </w:p>
        </w:tc>
      </w:tr>
      <w:tr w14:paraId="5938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56AC9BE7">
            <w:pPr>
              <w:rPr>
                <w:rFonts w:hint="eastAsia" w:ascii="宋体" w:hAnsi="宋体" w:cs="宋体"/>
                <w:color w:val="auto"/>
                <w:szCs w:val="21"/>
                <w:highlight w:val="none"/>
              </w:rPr>
            </w:pPr>
          </w:p>
        </w:tc>
        <w:tc>
          <w:tcPr>
            <w:tcW w:w="1620" w:type="dxa"/>
            <w:noWrap w:val="0"/>
            <w:vAlign w:val="center"/>
          </w:tcPr>
          <w:p w14:paraId="0C38C9A2">
            <w:pPr>
              <w:rPr>
                <w:rFonts w:hint="eastAsia" w:ascii="宋体" w:hAnsi="宋体" w:cs="宋体"/>
                <w:color w:val="auto"/>
                <w:szCs w:val="21"/>
                <w:highlight w:val="none"/>
              </w:rPr>
            </w:pPr>
          </w:p>
        </w:tc>
        <w:tc>
          <w:tcPr>
            <w:tcW w:w="2405" w:type="dxa"/>
            <w:noWrap w:val="0"/>
            <w:vAlign w:val="center"/>
          </w:tcPr>
          <w:p w14:paraId="18F56643">
            <w:pPr>
              <w:rPr>
                <w:rFonts w:hint="eastAsia" w:ascii="宋体" w:hAnsi="宋体" w:cs="宋体"/>
                <w:color w:val="auto"/>
                <w:szCs w:val="21"/>
                <w:highlight w:val="none"/>
              </w:rPr>
            </w:pPr>
          </w:p>
        </w:tc>
        <w:tc>
          <w:tcPr>
            <w:tcW w:w="2275" w:type="dxa"/>
            <w:noWrap w:val="0"/>
            <w:vAlign w:val="center"/>
          </w:tcPr>
          <w:p w14:paraId="3B0A6C14">
            <w:pPr>
              <w:rPr>
                <w:rFonts w:hint="eastAsia" w:ascii="宋体" w:hAnsi="宋体" w:cs="宋体"/>
                <w:color w:val="auto"/>
                <w:szCs w:val="21"/>
                <w:highlight w:val="none"/>
              </w:rPr>
            </w:pPr>
          </w:p>
        </w:tc>
        <w:tc>
          <w:tcPr>
            <w:tcW w:w="1260" w:type="dxa"/>
            <w:noWrap w:val="0"/>
            <w:vAlign w:val="center"/>
          </w:tcPr>
          <w:p w14:paraId="308D3629">
            <w:pPr>
              <w:rPr>
                <w:rFonts w:hint="eastAsia" w:ascii="宋体" w:hAnsi="宋体" w:cs="宋体"/>
                <w:color w:val="auto"/>
                <w:szCs w:val="21"/>
                <w:highlight w:val="none"/>
              </w:rPr>
            </w:pPr>
          </w:p>
        </w:tc>
        <w:tc>
          <w:tcPr>
            <w:tcW w:w="777" w:type="dxa"/>
            <w:noWrap w:val="0"/>
            <w:vAlign w:val="center"/>
          </w:tcPr>
          <w:p w14:paraId="7797F0FB">
            <w:pPr>
              <w:rPr>
                <w:rFonts w:hint="eastAsia" w:ascii="宋体" w:hAnsi="宋体" w:cs="宋体"/>
                <w:color w:val="auto"/>
                <w:szCs w:val="21"/>
                <w:highlight w:val="none"/>
              </w:rPr>
            </w:pPr>
          </w:p>
        </w:tc>
      </w:tr>
      <w:tr w14:paraId="4BB5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1966CB01">
            <w:pPr>
              <w:rPr>
                <w:rFonts w:hint="eastAsia" w:ascii="宋体" w:hAnsi="宋体" w:cs="宋体"/>
                <w:color w:val="auto"/>
                <w:szCs w:val="21"/>
                <w:highlight w:val="none"/>
              </w:rPr>
            </w:pPr>
          </w:p>
        </w:tc>
        <w:tc>
          <w:tcPr>
            <w:tcW w:w="1620" w:type="dxa"/>
            <w:noWrap w:val="0"/>
            <w:vAlign w:val="center"/>
          </w:tcPr>
          <w:p w14:paraId="69E97E52">
            <w:pPr>
              <w:rPr>
                <w:rFonts w:hint="eastAsia" w:ascii="宋体" w:hAnsi="宋体" w:cs="宋体"/>
                <w:color w:val="auto"/>
                <w:szCs w:val="21"/>
                <w:highlight w:val="none"/>
              </w:rPr>
            </w:pPr>
          </w:p>
        </w:tc>
        <w:tc>
          <w:tcPr>
            <w:tcW w:w="2405" w:type="dxa"/>
            <w:noWrap w:val="0"/>
            <w:vAlign w:val="center"/>
          </w:tcPr>
          <w:p w14:paraId="43D95DA8">
            <w:pPr>
              <w:rPr>
                <w:rFonts w:hint="eastAsia" w:ascii="宋体" w:hAnsi="宋体" w:cs="宋体"/>
                <w:color w:val="auto"/>
                <w:szCs w:val="21"/>
                <w:highlight w:val="none"/>
              </w:rPr>
            </w:pPr>
          </w:p>
        </w:tc>
        <w:tc>
          <w:tcPr>
            <w:tcW w:w="2275" w:type="dxa"/>
            <w:noWrap w:val="0"/>
            <w:vAlign w:val="center"/>
          </w:tcPr>
          <w:p w14:paraId="085E9EC6">
            <w:pPr>
              <w:rPr>
                <w:rFonts w:hint="eastAsia" w:ascii="宋体" w:hAnsi="宋体" w:cs="宋体"/>
                <w:color w:val="auto"/>
                <w:szCs w:val="21"/>
                <w:highlight w:val="none"/>
              </w:rPr>
            </w:pPr>
          </w:p>
        </w:tc>
        <w:tc>
          <w:tcPr>
            <w:tcW w:w="1260" w:type="dxa"/>
            <w:noWrap w:val="0"/>
            <w:vAlign w:val="center"/>
          </w:tcPr>
          <w:p w14:paraId="4EACC41F">
            <w:pPr>
              <w:rPr>
                <w:rFonts w:hint="eastAsia" w:ascii="宋体" w:hAnsi="宋体" w:cs="宋体"/>
                <w:color w:val="auto"/>
                <w:szCs w:val="21"/>
                <w:highlight w:val="none"/>
              </w:rPr>
            </w:pPr>
          </w:p>
        </w:tc>
        <w:tc>
          <w:tcPr>
            <w:tcW w:w="777" w:type="dxa"/>
            <w:noWrap w:val="0"/>
            <w:vAlign w:val="center"/>
          </w:tcPr>
          <w:p w14:paraId="54227E49">
            <w:pPr>
              <w:rPr>
                <w:rFonts w:hint="eastAsia" w:ascii="宋体" w:hAnsi="宋体" w:cs="宋体"/>
                <w:color w:val="auto"/>
                <w:szCs w:val="21"/>
                <w:highlight w:val="none"/>
              </w:rPr>
            </w:pPr>
          </w:p>
        </w:tc>
      </w:tr>
      <w:tr w14:paraId="61A2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310E794A">
            <w:pPr>
              <w:rPr>
                <w:rFonts w:hint="eastAsia" w:ascii="宋体" w:hAnsi="宋体" w:cs="宋体"/>
                <w:color w:val="auto"/>
                <w:szCs w:val="21"/>
                <w:highlight w:val="none"/>
              </w:rPr>
            </w:pPr>
          </w:p>
        </w:tc>
        <w:tc>
          <w:tcPr>
            <w:tcW w:w="1620" w:type="dxa"/>
            <w:noWrap w:val="0"/>
            <w:vAlign w:val="center"/>
          </w:tcPr>
          <w:p w14:paraId="08B0B98E">
            <w:pPr>
              <w:rPr>
                <w:rFonts w:hint="eastAsia" w:ascii="宋体" w:hAnsi="宋体" w:cs="宋体"/>
                <w:color w:val="auto"/>
                <w:szCs w:val="21"/>
                <w:highlight w:val="none"/>
              </w:rPr>
            </w:pPr>
          </w:p>
        </w:tc>
        <w:tc>
          <w:tcPr>
            <w:tcW w:w="2405" w:type="dxa"/>
            <w:noWrap w:val="0"/>
            <w:vAlign w:val="center"/>
          </w:tcPr>
          <w:p w14:paraId="208FAE10">
            <w:pPr>
              <w:rPr>
                <w:rFonts w:hint="eastAsia" w:ascii="宋体" w:hAnsi="宋体" w:cs="宋体"/>
                <w:color w:val="auto"/>
                <w:szCs w:val="21"/>
                <w:highlight w:val="none"/>
              </w:rPr>
            </w:pPr>
          </w:p>
        </w:tc>
        <w:tc>
          <w:tcPr>
            <w:tcW w:w="2275" w:type="dxa"/>
            <w:noWrap w:val="0"/>
            <w:vAlign w:val="center"/>
          </w:tcPr>
          <w:p w14:paraId="4B143DFC">
            <w:pPr>
              <w:rPr>
                <w:rFonts w:hint="eastAsia" w:ascii="宋体" w:hAnsi="宋体" w:cs="宋体"/>
                <w:color w:val="auto"/>
                <w:szCs w:val="21"/>
                <w:highlight w:val="none"/>
              </w:rPr>
            </w:pPr>
          </w:p>
        </w:tc>
        <w:tc>
          <w:tcPr>
            <w:tcW w:w="1260" w:type="dxa"/>
            <w:noWrap w:val="0"/>
            <w:vAlign w:val="center"/>
          </w:tcPr>
          <w:p w14:paraId="1B3FD590">
            <w:pPr>
              <w:rPr>
                <w:rFonts w:hint="eastAsia" w:ascii="宋体" w:hAnsi="宋体" w:cs="宋体"/>
                <w:color w:val="auto"/>
                <w:szCs w:val="21"/>
                <w:highlight w:val="none"/>
              </w:rPr>
            </w:pPr>
          </w:p>
        </w:tc>
        <w:tc>
          <w:tcPr>
            <w:tcW w:w="777" w:type="dxa"/>
            <w:noWrap w:val="0"/>
            <w:vAlign w:val="center"/>
          </w:tcPr>
          <w:p w14:paraId="4C0D4152">
            <w:pPr>
              <w:rPr>
                <w:rFonts w:hint="eastAsia" w:ascii="宋体" w:hAnsi="宋体" w:cs="宋体"/>
                <w:color w:val="auto"/>
                <w:szCs w:val="21"/>
                <w:highlight w:val="none"/>
              </w:rPr>
            </w:pPr>
          </w:p>
        </w:tc>
      </w:tr>
      <w:tr w14:paraId="2834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0" w:type="dxa"/>
            <w:noWrap w:val="0"/>
            <w:vAlign w:val="top"/>
          </w:tcPr>
          <w:p w14:paraId="4F965570">
            <w:pPr>
              <w:rPr>
                <w:rFonts w:hint="eastAsia" w:ascii="宋体" w:hAnsi="宋体" w:cs="宋体"/>
                <w:color w:val="auto"/>
                <w:szCs w:val="21"/>
                <w:highlight w:val="none"/>
              </w:rPr>
            </w:pPr>
          </w:p>
        </w:tc>
        <w:tc>
          <w:tcPr>
            <w:tcW w:w="1620" w:type="dxa"/>
            <w:noWrap w:val="0"/>
            <w:vAlign w:val="center"/>
          </w:tcPr>
          <w:p w14:paraId="1FAB6CDD">
            <w:pPr>
              <w:rPr>
                <w:rFonts w:hint="eastAsia" w:ascii="宋体" w:hAnsi="宋体" w:cs="宋体"/>
                <w:color w:val="auto"/>
                <w:szCs w:val="21"/>
                <w:highlight w:val="none"/>
              </w:rPr>
            </w:pPr>
          </w:p>
        </w:tc>
        <w:tc>
          <w:tcPr>
            <w:tcW w:w="2405" w:type="dxa"/>
            <w:noWrap w:val="0"/>
            <w:vAlign w:val="center"/>
          </w:tcPr>
          <w:p w14:paraId="56DDB251">
            <w:pPr>
              <w:rPr>
                <w:rFonts w:hint="eastAsia" w:ascii="宋体" w:hAnsi="宋体" w:cs="宋体"/>
                <w:color w:val="auto"/>
                <w:szCs w:val="21"/>
                <w:highlight w:val="none"/>
              </w:rPr>
            </w:pPr>
          </w:p>
        </w:tc>
        <w:tc>
          <w:tcPr>
            <w:tcW w:w="2275" w:type="dxa"/>
            <w:noWrap w:val="0"/>
            <w:vAlign w:val="center"/>
          </w:tcPr>
          <w:p w14:paraId="689A0E70">
            <w:pPr>
              <w:rPr>
                <w:rFonts w:hint="eastAsia" w:ascii="宋体" w:hAnsi="宋体" w:cs="宋体"/>
                <w:color w:val="auto"/>
                <w:szCs w:val="21"/>
                <w:highlight w:val="none"/>
              </w:rPr>
            </w:pPr>
          </w:p>
        </w:tc>
        <w:tc>
          <w:tcPr>
            <w:tcW w:w="1260" w:type="dxa"/>
            <w:noWrap w:val="0"/>
            <w:vAlign w:val="center"/>
          </w:tcPr>
          <w:p w14:paraId="6A266433">
            <w:pPr>
              <w:rPr>
                <w:rFonts w:hint="eastAsia" w:ascii="宋体" w:hAnsi="宋体" w:cs="宋体"/>
                <w:color w:val="auto"/>
                <w:szCs w:val="21"/>
                <w:highlight w:val="none"/>
              </w:rPr>
            </w:pPr>
          </w:p>
        </w:tc>
        <w:tc>
          <w:tcPr>
            <w:tcW w:w="777" w:type="dxa"/>
            <w:noWrap w:val="0"/>
            <w:vAlign w:val="center"/>
          </w:tcPr>
          <w:p w14:paraId="2A479415">
            <w:pPr>
              <w:rPr>
                <w:rFonts w:hint="eastAsia" w:ascii="宋体" w:hAnsi="宋体" w:cs="宋体"/>
                <w:color w:val="auto"/>
                <w:szCs w:val="21"/>
                <w:highlight w:val="none"/>
              </w:rPr>
            </w:pPr>
          </w:p>
        </w:tc>
      </w:tr>
    </w:tbl>
    <w:p w14:paraId="27DB35A0">
      <w:pPr>
        <w:spacing w:before="120" w:beforeLines="50" w:after="120" w:afterLines="50"/>
        <w:rPr>
          <w:rFonts w:hint="eastAsia" w:ascii="宋体" w:hAnsi="宋体" w:cs="宋体"/>
          <w:color w:val="auto"/>
          <w:kern w:val="0"/>
          <w:szCs w:val="21"/>
          <w:highlight w:val="none"/>
        </w:rPr>
      </w:pPr>
      <w:r>
        <w:rPr>
          <w:rFonts w:hint="eastAsia" w:ascii="宋体" w:hAnsi="宋体" w:cs="宋体"/>
          <w:color w:val="auto"/>
          <w:kern w:val="0"/>
          <w:szCs w:val="21"/>
          <w:highlight w:val="none"/>
        </w:rPr>
        <w:t>注：1、供应商应将202</w:t>
      </w:r>
      <w:r>
        <w:rPr>
          <w:rFonts w:hint="eastAsia" w:cs="宋体"/>
          <w:color w:val="auto"/>
          <w:kern w:val="0"/>
          <w:szCs w:val="21"/>
          <w:highlight w:val="none"/>
          <w:lang w:val="en-US" w:eastAsia="zh-CN"/>
        </w:rPr>
        <w:t>2</w:t>
      </w:r>
      <w:r>
        <w:rPr>
          <w:rFonts w:hint="eastAsia" w:ascii="宋体" w:hAnsi="宋体" w:cs="宋体"/>
          <w:color w:val="auto"/>
          <w:kern w:val="0"/>
          <w:szCs w:val="21"/>
          <w:highlight w:val="none"/>
        </w:rPr>
        <w:t>年</w:t>
      </w:r>
      <w:r>
        <w:rPr>
          <w:rFonts w:hint="eastAsia" w:cs="宋体"/>
          <w:color w:val="auto"/>
          <w:kern w:val="0"/>
          <w:szCs w:val="21"/>
          <w:highlight w:val="none"/>
          <w:lang w:val="en-US" w:eastAsia="zh-CN"/>
        </w:rPr>
        <w:t>1月1日至今</w:t>
      </w:r>
      <w:r>
        <w:rPr>
          <w:rFonts w:hint="eastAsia" w:ascii="宋体" w:hAnsi="宋体" w:cs="宋体"/>
          <w:color w:val="auto"/>
          <w:kern w:val="0"/>
          <w:szCs w:val="21"/>
          <w:highlight w:val="none"/>
        </w:rPr>
        <w:t>已完成的类似项目情况填入本表中。</w:t>
      </w:r>
    </w:p>
    <w:p w14:paraId="6A4AA67A">
      <w:pPr>
        <w:spacing w:before="120" w:beforeLines="50" w:after="120" w:afterLines="50"/>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2、项目概况包括：项目名称、金额等。</w:t>
      </w:r>
    </w:p>
    <w:p w14:paraId="3FE6DA58">
      <w:pPr>
        <w:spacing w:before="120" w:beforeLines="50" w:after="120" w:afterLines="50" w:line="360" w:lineRule="auto"/>
        <w:ind w:firstLine="44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3、供应商应随本表出具所填项目的中标通知书</w:t>
      </w:r>
      <w:r>
        <w:rPr>
          <w:rFonts w:hint="eastAsia" w:cs="宋体"/>
          <w:color w:val="auto"/>
          <w:kern w:val="0"/>
          <w:szCs w:val="21"/>
          <w:highlight w:val="none"/>
          <w:lang w:eastAsia="zh-CN"/>
        </w:rPr>
        <w:t>和合同</w:t>
      </w:r>
      <w:r>
        <w:rPr>
          <w:rFonts w:hint="eastAsia" w:ascii="宋体" w:hAnsi="宋体" w:cs="宋体"/>
          <w:color w:val="auto"/>
          <w:kern w:val="0"/>
          <w:szCs w:val="21"/>
          <w:highlight w:val="none"/>
        </w:rPr>
        <w:t>。</w:t>
      </w:r>
    </w:p>
    <w:p w14:paraId="626B71F3">
      <w:pPr>
        <w:spacing w:line="360" w:lineRule="auto"/>
        <w:ind w:right="-438" w:rightChars="-199"/>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（三)拟投入人员基本情况表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330"/>
        <w:gridCol w:w="1697"/>
        <w:gridCol w:w="1255"/>
        <w:gridCol w:w="2331"/>
      </w:tblGrid>
      <w:tr w14:paraId="6D96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2384" w:type="dxa"/>
            <w:noWrap w:val="0"/>
            <w:vAlign w:val="center"/>
          </w:tcPr>
          <w:p w14:paraId="000DB6D0">
            <w:pPr>
              <w:rPr>
                <w:rFonts w:hint="eastAsia" w:ascii="宋体" w:hAnsi="宋体" w:cs="宋体"/>
                <w:color w:val="auto"/>
                <w:szCs w:val="21"/>
                <w:highlight w:val="none"/>
              </w:rPr>
            </w:pPr>
            <w:r>
              <w:rPr>
                <w:rFonts w:hint="eastAsia" w:ascii="宋体" w:hAnsi="宋体" w:cs="宋体"/>
                <w:color w:val="auto"/>
                <w:szCs w:val="21"/>
                <w:highlight w:val="none"/>
              </w:rPr>
              <w:t>在本项目中所担任的职务</w:t>
            </w:r>
          </w:p>
        </w:tc>
        <w:tc>
          <w:tcPr>
            <w:tcW w:w="1330" w:type="dxa"/>
            <w:noWrap w:val="0"/>
            <w:vAlign w:val="center"/>
          </w:tcPr>
          <w:p w14:paraId="715B72B0">
            <w:pP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7" w:type="dxa"/>
            <w:noWrap w:val="0"/>
            <w:vAlign w:val="center"/>
          </w:tcPr>
          <w:p w14:paraId="13B1CBFC">
            <w:pP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255" w:type="dxa"/>
            <w:noWrap w:val="0"/>
            <w:vAlign w:val="center"/>
          </w:tcPr>
          <w:p w14:paraId="22084FB5">
            <w:pP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2331" w:type="dxa"/>
            <w:noWrap w:val="0"/>
            <w:vAlign w:val="center"/>
          </w:tcPr>
          <w:p w14:paraId="376FCE39">
            <w:pPr>
              <w:rPr>
                <w:rFonts w:hint="eastAsia" w:ascii="宋体" w:hAnsi="宋体" w:cs="宋体"/>
                <w:color w:val="auto"/>
                <w:szCs w:val="21"/>
                <w:highlight w:val="none"/>
              </w:rPr>
            </w:pPr>
            <w:r>
              <w:rPr>
                <w:rFonts w:hint="eastAsia" w:ascii="宋体" w:hAnsi="宋体" w:cs="宋体"/>
                <w:color w:val="auto"/>
                <w:szCs w:val="21"/>
                <w:highlight w:val="none"/>
              </w:rPr>
              <w:t>现任职务及职称</w:t>
            </w:r>
          </w:p>
        </w:tc>
      </w:tr>
      <w:tr w14:paraId="6419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2249F6AE">
            <w:pPr>
              <w:rPr>
                <w:rFonts w:hint="eastAsia" w:ascii="宋体" w:hAnsi="宋体" w:cs="宋体"/>
                <w:color w:val="auto"/>
                <w:kern w:val="0"/>
                <w:szCs w:val="21"/>
                <w:highlight w:val="none"/>
              </w:rPr>
            </w:pPr>
          </w:p>
        </w:tc>
        <w:tc>
          <w:tcPr>
            <w:tcW w:w="1330" w:type="dxa"/>
            <w:noWrap w:val="0"/>
            <w:vAlign w:val="center"/>
          </w:tcPr>
          <w:p w14:paraId="466D967F">
            <w:pPr>
              <w:rPr>
                <w:rFonts w:hint="eastAsia" w:ascii="宋体" w:hAnsi="宋体" w:cs="宋体"/>
                <w:color w:val="auto"/>
                <w:szCs w:val="21"/>
                <w:highlight w:val="none"/>
              </w:rPr>
            </w:pPr>
          </w:p>
        </w:tc>
        <w:tc>
          <w:tcPr>
            <w:tcW w:w="1697" w:type="dxa"/>
            <w:noWrap w:val="0"/>
            <w:vAlign w:val="center"/>
          </w:tcPr>
          <w:p w14:paraId="73BBE489">
            <w:pPr>
              <w:rPr>
                <w:rFonts w:hint="eastAsia" w:ascii="宋体" w:hAnsi="宋体" w:cs="宋体"/>
                <w:color w:val="auto"/>
                <w:szCs w:val="21"/>
                <w:highlight w:val="none"/>
              </w:rPr>
            </w:pPr>
          </w:p>
        </w:tc>
        <w:tc>
          <w:tcPr>
            <w:tcW w:w="1255" w:type="dxa"/>
            <w:noWrap w:val="0"/>
            <w:vAlign w:val="top"/>
          </w:tcPr>
          <w:p w14:paraId="5E2311CF">
            <w:pPr>
              <w:rPr>
                <w:rFonts w:hint="eastAsia" w:ascii="宋体" w:hAnsi="宋体" w:cs="宋体"/>
                <w:color w:val="auto"/>
                <w:szCs w:val="21"/>
                <w:highlight w:val="none"/>
              </w:rPr>
            </w:pPr>
          </w:p>
        </w:tc>
        <w:tc>
          <w:tcPr>
            <w:tcW w:w="2331" w:type="dxa"/>
            <w:noWrap w:val="0"/>
            <w:vAlign w:val="center"/>
          </w:tcPr>
          <w:p w14:paraId="157DBAC9">
            <w:pPr>
              <w:rPr>
                <w:rFonts w:hint="eastAsia" w:ascii="宋体" w:hAnsi="宋体" w:cs="宋体"/>
                <w:color w:val="auto"/>
                <w:szCs w:val="21"/>
                <w:highlight w:val="none"/>
              </w:rPr>
            </w:pPr>
          </w:p>
        </w:tc>
      </w:tr>
      <w:tr w14:paraId="34FB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590970A3">
            <w:pPr>
              <w:rPr>
                <w:rFonts w:hint="eastAsia" w:ascii="宋体" w:hAnsi="宋体" w:cs="宋体"/>
                <w:color w:val="auto"/>
                <w:kern w:val="0"/>
                <w:szCs w:val="21"/>
                <w:highlight w:val="none"/>
              </w:rPr>
            </w:pPr>
          </w:p>
        </w:tc>
        <w:tc>
          <w:tcPr>
            <w:tcW w:w="1330" w:type="dxa"/>
            <w:noWrap w:val="0"/>
            <w:vAlign w:val="center"/>
          </w:tcPr>
          <w:p w14:paraId="11E4B036">
            <w:pPr>
              <w:rPr>
                <w:rFonts w:hint="eastAsia" w:ascii="宋体" w:hAnsi="宋体" w:cs="宋体"/>
                <w:color w:val="auto"/>
                <w:szCs w:val="21"/>
                <w:highlight w:val="none"/>
              </w:rPr>
            </w:pPr>
          </w:p>
        </w:tc>
        <w:tc>
          <w:tcPr>
            <w:tcW w:w="1697" w:type="dxa"/>
            <w:noWrap w:val="0"/>
            <w:vAlign w:val="center"/>
          </w:tcPr>
          <w:p w14:paraId="7C4C38FE">
            <w:pPr>
              <w:rPr>
                <w:rFonts w:hint="eastAsia" w:ascii="宋体" w:hAnsi="宋体" w:cs="宋体"/>
                <w:color w:val="auto"/>
                <w:szCs w:val="21"/>
                <w:highlight w:val="none"/>
              </w:rPr>
            </w:pPr>
          </w:p>
        </w:tc>
        <w:tc>
          <w:tcPr>
            <w:tcW w:w="1255" w:type="dxa"/>
            <w:noWrap w:val="0"/>
            <w:vAlign w:val="top"/>
          </w:tcPr>
          <w:p w14:paraId="6ABFDC6C">
            <w:pPr>
              <w:rPr>
                <w:rFonts w:hint="eastAsia" w:ascii="宋体" w:hAnsi="宋体" w:cs="宋体"/>
                <w:color w:val="auto"/>
                <w:szCs w:val="21"/>
                <w:highlight w:val="none"/>
              </w:rPr>
            </w:pPr>
          </w:p>
        </w:tc>
        <w:tc>
          <w:tcPr>
            <w:tcW w:w="2331" w:type="dxa"/>
            <w:noWrap w:val="0"/>
            <w:vAlign w:val="center"/>
          </w:tcPr>
          <w:p w14:paraId="553A1BC3">
            <w:pPr>
              <w:rPr>
                <w:rFonts w:hint="eastAsia" w:ascii="宋体" w:hAnsi="宋体" w:cs="宋体"/>
                <w:color w:val="auto"/>
                <w:szCs w:val="21"/>
                <w:highlight w:val="none"/>
              </w:rPr>
            </w:pPr>
          </w:p>
        </w:tc>
      </w:tr>
      <w:tr w14:paraId="0175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768512C8">
            <w:pPr>
              <w:rPr>
                <w:rFonts w:hint="eastAsia" w:ascii="宋体" w:hAnsi="宋体" w:cs="宋体"/>
                <w:color w:val="auto"/>
                <w:kern w:val="0"/>
                <w:szCs w:val="21"/>
                <w:highlight w:val="none"/>
              </w:rPr>
            </w:pPr>
          </w:p>
        </w:tc>
        <w:tc>
          <w:tcPr>
            <w:tcW w:w="1330" w:type="dxa"/>
            <w:noWrap w:val="0"/>
            <w:vAlign w:val="center"/>
          </w:tcPr>
          <w:p w14:paraId="7CB91522">
            <w:pPr>
              <w:rPr>
                <w:rFonts w:hint="eastAsia" w:ascii="宋体" w:hAnsi="宋体" w:cs="宋体"/>
                <w:color w:val="auto"/>
                <w:szCs w:val="21"/>
                <w:highlight w:val="none"/>
              </w:rPr>
            </w:pPr>
          </w:p>
        </w:tc>
        <w:tc>
          <w:tcPr>
            <w:tcW w:w="1697" w:type="dxa"/>
            <w:noWrap w:val="0"/>
            <w:vAlign w:val="center"/>
          </w:tcPr>
          <w:p w14:paraId="5A6D8641">
            <w:pPr>
              <w:rPr>
                <w:rFonts w:hint="eastAsia" w:ascii="宋体" w:hAnsi="宋体" w:cs="宋体"/>
                <w:color w:val="auto"/>
                <w:szCs w:val="21"/>
                <w:highlight w:val="none"/>
              </w:rPr>
            </w:pPr>
          </w:p>
        </w:tc>
        <w:tc>
          <w:tcPr>
            <w:tcW w:w="1255" w:type="dxa"/>
            <w:noWrap w:val="0"/>
            <w:vAlign w:val="top"/>
          </w:tcPr>
          <w:p w14:paraId="7789F575">
            <w:pPr>
              <w:rPr>
                <w:rFonts w:hint="eastAsia" w:ascii="宋体" w:hAnsi="宋体" w:cs="宋体"/>
                <w:color w:val="auto"/>
                <w:szCs w:val="21"/>
                <w:highlight w:val="none"/>
              </w:rPr>
            </w:pPr>
          </w:p>
        </w:tc>
        <w:tc>
          <w:tcPr>
            <w:tcW w:w="2331" w:type="dxa"/>
            <w:noWrap w:val="0"/>
            <w:vAlign w:val="center"/>
          </w:tcPr>
          <w:p w14:paraId="6FE5C458">
            <w:pPr>
              <w:rPr>
                <w:rFonts w:hint="eastAsia" w:ascii="宋体" w:hAnsi="宋体" w:cs="宋体"/>
                <w:color w:val="auto"/>
                <w:szCs w:val="21"/>
                <w:highlight w:val="none"/>
              </w:rPr>
            </w:pPr>
          </w:p>
        </w:tc>
      </w:tr>
      <w:tr w14:paraId="2C53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4ADFE678">
            <w:pPr>
              <w:rPr>
                <w:rFonts w:hint="eastAsia" w:ascii="宋体" w:hAnsi="宋体" w:cs="宋体"/>
                <w:color w:val="auto"/>
                <w:kern w:val="0"/>
                <w:szCs w:val="21"/>
                <w:highlight w:val="none"/>
              </w:rPr>
            </w:pPr>
          </w:p>
        </w:tc>
        <w:tc>
          <w:tcPr>
            <w:tcW w:w="1330" w:type="dxa"/>
            <w:noWrap w:val="0"/>
            <w:vAlign w:val="center"/>
          </w:tcPr>
          <w:p w14:paraId="7937E52D">
            <w:pPr>
              <w:rPr>
                <w:rFonts w:hint="eastAsia" w:ascii="宋体" w:hAnsi="宋体" w:cs="宋体"/>
                <w:color w:val="auto"/>
                <w:szCs w:val="21"/>
                <w:highlight w:val="none"/>
              </w:rPr>
            </w:pPr>
          </w:p>
        </w:tc>
        <w:tc>
          <w:tcPr>
            <w:tcW w:w="1697" w:type="dxa"/>
            <w:noWrap w:val="0"/>
            <w:vAlign w:val="center"/>
          </w:tcPr>
          <w:p w14:paraId="10520CFE">
            <w:pPr>
              <w:rPr>
                <w:rFonts w:hint="eastAsia" w:ascii="宋体" w:hAnsi="宋体" w:cs="宋体"/>
                <w:color w:val="auto"/>
                <w:szCs w:val="21"/>
                <w:highlight w:val="none"/>
              </w:rPr>
            </w:pPr>
          </w:p>
        </w:tc>
        <w:tc>
          <w:tcPr>
            <w:tcW w:w="1255" w:type="dxa"/>
            <w:noWrap w:val="0"/>
            <w:vAlign w:val="top"/>
          </w:tcPr>
          <w:p w14:paraId="048DCD4E">
            <w:pPr>
              <w:rPr>
                <w:rFonts w:hint="eastAsia" w:ascii="宋体" w:hAnsi="宋体" w:cs="宋体"/>
                <w:color w:val="auto"/>
                <w:szCs w:val="21"/>
                <w:highlight w:val="none"/>
              </w:rPr>
            </w:pPr>
          </w:p>
        </w:tc>
        <w:tc>
          <w:tcPr>
            <w:tcW w:w="2331" w:type="dxa"/>
            <w:noWrap w:val="0"/>
            <w:vAlign w:val="center"/>
          </w:tcPr>
          <w:p w14:paraId="6FC2437B">
            <w:pPr>
              <w:rPr>
                <w:rFonts w:hint="eastAsia" w:ascii="宋体" w:hAnsi="宋体" w:cs="宋体"/>
                <w:color w:val="auto"/>
                <w:szCs w:val="21"/>
                <w:highlight w:val="none"/>
              </w:rPr>
            </w:pPr>
          </w:p>
        </w:tc>
      </w:tr>
      <w:tr w14:paraId="2269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84" w:type="dxa"/>
            <w:noWrap w:val="0"/>
            <w:vAlign w:val="center"/>
          </w:tcPr>
          <w:p w14:paraId="06648C0B">
            <w:pPr>
              <w:rPr>
                <w:rFonts w:hint="eastAsia" w:ascii="宋体" w:hAnsi="宋体" w:cs="宋体"/>
                <w:color w:val="auto"/>
                <w:kern w:val="0"/>
                <w:szCs w:val="21"/>
                <w:highlight w:val="none"/>
              </w:rPr>
            </w:pPr>
          </w:p>
        </w:tc>
        <w:tc>
          <w:tcPr>
            <w:tcW w:w="1330" w:type="dxa"/>
            <w:noWrap w:val="0"/>
            <w:vAlign w:val="center"/>
          </w:tcPr>
          <w:p w14:paraId="24830115">
            <w:pPr>
              <w:rPr>
                <w:rFonts w:hint="eastAsia" w:ascii="宋体" w:hAnsi="宋体" w:cs="宋体"/>
                <w:color w:val="auto"/>
                <w:szCs w:val="21"/>
                <w:highlight w:val="none"/>
              </w:rPr>
            </w:pPr>
          </w:p>
        </w:tc>
        <w:tc>
          <w:tcPr>
            <w:tcW w:w="1697" w:type="dxa"/>
            <w:noWrap w:val="0"/>
            <w:vAlign w:val="center"/>
          </w:tcPr>
          <w:p w14:paraId="4D7A02D5">
            <w:pPr>
              <w:rPr>
                <w:rFonts w:hint="eastAsia" w:ascii="宋体" w:hAnsi="宋体" w:cs="宋体"/>
                <w:color w:val="auto"/>
                <w:szCs w:val="21"/>
                <w:highlight w:val="none"/>
              </w:rPr>
            </w:pPr>
          </w:p>
        </w:tc>
        <w:tc>
          <w:tcPr>
            <w:tcW w:w="1255" w:type="dxa"/>
            <w:noWrap w:val="0"/>
            <w:vAlign w:val="top"/>
          </w:tcPr>
          <w:p w14:paraId="5C4C5380">
            <w:pPr>
              <w:rPr>
                <w:rFonts w:hint="eastAsia" w:ascii="宋体" w:hAnsi="宋体" w:cs="宋体"/>
                <w:color w:val="auto"/>
                <w:szCs w:val="21"/>
                <w:highlight w:val="none"/>
              </w:rPr>
            </w:pPr>
          </w:p>
        </w:tc>
        <w:tc>
          <w:tcPr>
            <w:tcW w:w="2331" w:type="dxa"/>
            <w:noWrap w:val="0"/>
            <w:vAlign w:val="center"/>
          </w:tcPr>
          <w:p w14:paraId="0B9454F6">
            <w:pPr>
              <w:rPr>
                <w:rFonts w:hint="eastAsia" w:ascii="宋体" w:hAnsi="宋体" w:cs="宋体"/>
                <w:color w:val="auto"/>
                <w:szCs w:val="21"/>
                <w:highlight w:val="none"/>
              </w:rPr>
            </w:pPr>
          </w:p>
        </w:tc>
      </w:tr>
      <w:tr w14:paraId="44F2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384" w:type="dxa"/>
            <w:noWrap w:val="0"/>
            <w:vAlign w:val="center"/>
          </w:tcPr>
          <w:p w14:paraId="2174CF32">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330" w:type="dxa"/>
            <w:noWrap w:val="0"/>
            <w:vAlign w:val="center"/>
          </w:tcPr>
          <w:p w14:paraId="781BECD2">
            <w:pPr>
              <w:rPr>
                <w:rFonts w:hint="eastAsia" w:ascii="宋体" w:hAnsi="宋体" w:cs="宋体"/>
                <w:color w:val="auto"/>
                <w:szCs w:val="21"/>
                <w:highlight w:val="none"/>
              </w:rPr>
            </w:pPr>
          </w:p>
        </w:tc>
        <w:tc>
          <w:tcPr>
            <w:tcW w:w="1697" w:type="dxa"/>
            <w:noWrap w:val="0"/>
            <w:vAlign w:val="center"/>
          </w:tcPr>
          <w:p w14:paraId="7BC12B74">
            <w:pPr>
              <w:rPr>
                <w:rFonts w:hint="eastAsia" w:ascii="宋体" w:hAnsi="宋体" w:cs="宋体"/>
                <w:color w:val="auto"/>
                <w:szCs w:val="21"/>
                <w:highlight w:val="none"/>
              </w:rPr>
            </w:pPr>
          </w:p>
        </w:tc>
        <w:tc>
          <w:tcPr>
            <w:tcW w:w="1255" w:type="dxa"/>
            <w:noWrap w:val="0"/>
            <w:vAlign w:val="top"/>
          </w:tcPr>
          <w:p w14:paraId="6D655B2E">
            <w:pPr>
              <w:rPr>
                <w:rFonts w:hint="eastAsia" w:ascii="宋体" w:hAnsi="宋体" w:cs="宋体"/>
                <w:color w:val="auto"/>
                <w:szCs w:val="21"/>
                <w:highlight w:val="none"/>
              </w:rPr>
            </w:pPr>
          </w:p>
        </w:tc>
        <w:tc>
          <w:tcPr>
            <w:tcW w:w="2331" w:type="dxa"/>
            <w:noWrap w:val="0"/>
            <w:vAlign w:val="center"/>
          </w:tcPr>
          <w:p w14:paraId="0899778C">
            <w:pPr>
              <w:rPr>
                <w:rFonts w:hint="eastAsia" w:ascii="宋体" w:hAnsi="宋体" w:cs="宋体"/>
                <w:color w:val="auto"/>
                <w:szCs w:val="21"/>
                <w:highlight w:val="none"/>
              </w:rPr>
            </w:pPr>
          </w:p>
        </w:tc>
      </w:tr>
    </w:tbl>
    <w:p w14:paraId="2B855BC6">
      <w:pPr>
        <w:spacing w:before="120" w:beforeLines="50" w:after="120" w:afterLines="50"/>
        <w:rPr>
          <w:rFonts w:hint="eastAsia" w:ascii="宋体" w:hAnsi="宋体" w:cs="宋体"/>
          <w:color w:val="auto"/>
          <w:kern w:val="0"/>
          <w:szCs w:val="21"/>
          <w:highlight w:val="none"/>
        </w:rPr>
      </w:pPr>
      <w:r>
        <w:rPr>
          <w:rFonts w:hint="eastAsia" w:ascii="宋体" w:hAnsi="宋体" w:cs="宋体"/>
          <w:color w:val="auto"/>
          <w:kern w:val="0"/>
          <w:szCs w:val="21"/>
          <w:highlight w:val="none"/>
        </w:rPr>
        <w:t>注：1、供应商应根据磋商文件要求和磋商项目的实际需要，列出拟配备的人员清单。</w:t>
      </w:r>
    </w:p>
    <w:p w14:paraId="7DB53877">
      <w:pPr>
        <w:spacing w:before="120" w:beforeLines="50" w:after="120" w:afterLines="50"/>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2、供应商应按表五格式分别填写本表所列人员的资历。</w:t>
      </w:r>
    </w:p>
    <w:p w14:paraId="6494AE27">
      <w:pPr>
        <w:spacing w:before="120" w:beforeLines="50" w:after="120" w:afterLines="50"/>
        <w:rPr>
          <w:rFonts w:hint="eastAsia" w:ascii="宋体" w:hAnsi="宋体" w:cs="宋体"/>
          <w:color w:val="auto"/>
          <w:kern w:val="0"/>
          <w:szCs w:val="21"/>
          <w:highlight w:val="none"/>
        </w:rPr>
      </w:pPr>
    </w:p>
    <w:p w14:paraId="6B31079C">
      <w:pPr>
        <w:spacing w:before="120" w:beforeLines="50" w:after="120" w:afterLines="50"/>
        <w:rPr>
          <w:rFonts w:hint="eastAsia" w:ascii="宋体" w:hAnsi="宋体" w:cs="宋体"/>
          <w:color w:val="auto"/>
          <w:kern w:val="0"/>
          <w:szCs w:val="21"/>
          <w:highlight w:val="none"/>
        </w:rPr>
      </w:pPr>
    </w:p>
    <w:p w14:paraId="58FC07F2">
      <w:pPr>
        <w:spacing w:before="120" w:beforeLines="50" w:after="120" w:afterLines="50"/>
        <w:rPr>
          <w:rFonts w:hint="eastAsia" w:ascii="宋体" w:hAnsi="宋体" w:cs="宋体"/>
          <w:color w:val="auto"/>
          <w:kern w:val="0"/>
          <w:szCs w:val="21"/>
          <w:highlight w:val="none"/>
        </w:rPr>
      </w:pPr>
    </w:p>
    <w:p w14:paraId="7FD54FAD">
      <w:pPr>
        <w:spacing w:line="360" w:lineRule="auto"/>
        <w:ind w:right="-438" w:rightChars="-199"/>
        <w:jc w:val="center"/>
        <w:rPr>
          <w:rFonts w:hint="eastAsia" w:ascii="宋体" w:hAnsi="宋体" w:cs="宋体"/>
          <w:color w:val="auto"/>
          <w:kern w:val="0"/>
          <w:sz w:val="28"/>
          <w:szCs w:val="28"/>
          <w:highlight w:val="none"/>
        </w:rPr>
      </w:pPr>
      <w:r>
        <w:rPr>
          <w:rFonts w:hint="eastAsia" w:ascii="宋体" w:hAnsi="宋体" w:cs="宋体"/>
          <w:color w:val="auto"/>
          <w:kern w:val="0"/>
          <w:szCs w:val="21"/>
          <w:highlight w:val="none"/>
        </w:rPr>
        <w:br w:type="page"/>
      </w:r>
      <w:r>
        <w:rPr>
          <w:rFonts w:hint="eastAsia" w:ascii="宋体" w:hAnsi="宋体" w:cs="宋体"/>
          <w:color w:val="auto"/>
          <w:kern w:val="0"/>
          <w:sz w:val="28"/>
          <w:szCs w:val="28"/>
          <w:highlight w:val="none"/>
        </w:rPr>
        <w:t>(四)主要人员资历表</w:t>
      </w:r>
    </w:p>
    <w:tbl>
      <w:tblPr>
        <w:tblStyle w:val="23"/>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703"/>
        <w:gridCol w:w="1559"/>
        <w:gridCol w:w="1832"/>
        <w:gridCol w:w="12"/>
        <w:gridCol w:w="958"/>
        <w:gridCol w:w="1258"/>
      </w:tblGrid>
      <w:tr w14:paraId="5838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120" w:type="dxa"/>
            <w:gridSpan w:val="7"/>
            <w:noWrap w:val="0"/>
            <w:vAlign w:val="center"/>
          </w:tcPr>
          <w:p w14:paraId="2B1E0C9B">
            <w:pP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1．一般情况</w:t>
            </w:r>
          </w:p>
        </w:tc>
      </w:tr>
      <w:tr w14:paraId="19D5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98" w:type="dxa"/>
            <w:noWrap w:val="0"/>
            <w:vAlign w:val="center"/>
          </w:tcPr>
          <w:p w14:paraId="2C7EE6D6">
            <w:pP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1703" w:type="dxa"/>
            <w:noWrap w:val="0"/>
            <w:vAlign w:val="center"/>
          </w:tcPr>
          <w:p w14:paraId="2F6CAE23">
            <w:pPr>
              <w:rPr>
                <w:rFonts w:hint="eastAsia" w:ascii="宋体" w:hAnsi="宋体" w:cs="宋体"/>
                <w:color w:val="auto"/>
                <w:sz w:val="24"/>
                <w:szCs w:val="24"/>
                <w:highlight w:val="none"/>
              </w:rPr>
            </w:pPr>
          </w:p>
        </w:tc>
        <w:tc>
          <w:tcPr>
            <w:tcW w:w="1559" w:type="dxa"/>
            <w:noWrap w:val="0"/>
            <w:vAlign w:val="center"/>
          </w:tcPr>
          <w:p w14:paraId="44EA8184">
            <w:pPr>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1844" w:type="dxa"/>
            <w:gridSpan w:val="2"/>
            <w:noWrap w:val="0"/>
            <w:vAlign w:val="center"/>
          </w:tcPr>
          <w:p w14:paraId="544D1B54">
            <w:pPr>
              <w:rPr>
                <w:rFonts w:hint="eastAsia" w:ascii="宋体" w:hAnsi="宋体" w:cs="宋体"/>
                <w:color w:val="auto"/>
                <w:sz w:val="24"/>
                <w:szCs w:val="24"/>
                <w:highlight w:val="none"/>
              </w:rPr>
            </w:pPr>
          </w:p>
        </w:tc>
        <w:tc>
          <w:tcPr>
            <w:tcW w:w="958" w:type="dxa"/>
            <w:noWrap w:val="0"/>
            <w:vAlign w:val="center"/>
          </w:tcPr>
          <w:p w14:paraId="62D61703">
            <w:pPr>
              <w:rPr>
                <w:rFonts w:hint="eastAsia" w:ascii="宋体" w:hAnsi="宋体" w:cs="宋体"/>
                <w:color w:val="auto"/>
                <w:sz w:val="24"/>
                <w:szCs w:val="24"/>
                <w:highlight w:val="none"/>
              </w:rPr>
            </w:pPr>
            <w:r>
              <w:rPr>
                <w:rFonts w:hint="eastAsia" w:ascii="宋体" w:hAnsi="宋体" w:cs="宋体"/>
                <w:color w:val="auto"/>
                <w:sz w:val="24"/>
                <w:szCs w:val="24"/>
                <w:highlight w:val="none"/>
              </w:rPr>
              <w:t>年龄</w:t>
            </w:r>
          </w:p>
        </w:tc>
        <w:tc>
          <w:tcPr>
            <w:tcW w:w="1258" w:type="dxa"/>
            <w:noWrap w:val="0"/>
            <w:vAlign w:val="center"/>
          </w:tcPr>
          <w:p w14:paraId="02245E79">
            <w:pPr>
              <w:rPr>
                <w:rFonts w:hint="eastAsia" w:ascii="宋体" w:hAnsi="宋体" w:cs="宋体"/>
                <w:color w:val="auto"/>
                <w:sz w:val="24"/>
                <w:szCs w:val="24"/>
                <w:highlight w:val="none"/>
              </w:rPr>
            </w:pPr>
          </w:p>
        </w:tc>
      </w:tr>
      <w:tr w14:paraId="3821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98" w:type="dxa"/>
            <w:noWrap w:val="0"/>
            <w:vAlign w:val="center"/>
          </w:tcPr>
          <w:p w14:paraId="36BAF6B2">
            <w:pPr>
              <w:rPr>
                <w:rFonts w:hint="eastAsia" w:ascii="宋体" w:hAnsi="宋体" w:cs="宋体"/>
                <w:color w:val="auto"/>
                <w:sz w:val="24"/>
                <w:szCs w:val="24"/>
                <w:highlight w:val="none"/>
              </w:rPr>
            </w:pPr>
            <w:r>
              <w:rPr>
                <w:rFonts w:hint="eastAsia" w:ascii="宋体" w:hAnsi="宋体" w:cs="宋体"/>
                <w:color w:val="auto"/>
                <w:sz w:val="24"/>
                <w:szCs w:val="24"/>
                <w:highlight w:val="none"/>
              </w:rPr>
              <w:t>在本合同中</w:t>
            </w:r>
          </w:p>
          <w:p w14:paraId="4D32AB90">
            <w:pPr>
              <w:rPr>
                <w:rFonts w:hint="eastAsia" w:ascii="宋体" w:hAnsi="宋体" w:cs="宋体"/>
                <w:color w:val="auto"/>
                <w:sz w:val="24"/>
                <w:szCs w:val="24"/>
                <w:highlight w:val="none"/>
              </w:rPr>
            </w:pPr>
            <w:r>
              <w:rPr>
                <w:rFonts w:hint="eastAsia" w:ascii="宋体" w:hAnsi="宋体" w:cs="宋体"/>
                <w:color w:val="auto"/>
                <w:sz w:val="24"/>
                <w:szCs w:val="24"/>
                <w:highlight w:val="none"/>
              </w:rPr>
              <w:t>拟任职</w:t>
            </w:r>
          </w:p>
        </w:tc>
        <w:tc>
          <w:tcPr>
            <w:tcW w:w="1703" w:type="dxa"/>
            <w:noWrap w:val="0"/>
            <w:vAlign w:val="center"/>
          </w:tcPr>
          <w:p w14:paraId="58B5EAE0">
            <w:pPr>
              <w:rPr>
                <w:rFonts w:hint="eastAsia" w:ascii="宋体" w:hAnsi="宋体" w:cs="宋体"/>
                <w:color w:val="auto"/>
                <w:sz w:val="24"/>
                <w:szCs w:val="24"/>
                <w:highlight w:val="none"/>
              </w:rPr>
            </w:pPr>
          </w:p>
        </w:tc>
        <w:tc>
          <w:tcPr>
            <w:tcW w:w="1559" w:type="dxa"/>
            <w:noWrap w:val="0"/>
            <w:vAlign w:val="center"/>
          </w:tcPr>
          <w:p w14:paraId="0A266C8B">
            <w:pPr>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4060" w:type="dxa"/>
            <w:gridSpan w:val="4"/>
            <w:noWrap w:val="0"/>
            <w:vAlign w:val="center"/>
          </w:tcPr>
          <w:p w14:paraId="73114DC7">
            <w:pPr>
              <w:rPr>
                <w:rFonts w:hint="eastAsia" w:ascii="宋体" w:hAnsi="宋体" w:cs="宋体"/>
                <w:color w:val="auto"/>
                <w:sz w:val="24"/>
                <w:szCs w:val="24"/>
                <w:highlight w:val="none"/>
              </w:rPr>
            </w:pPr>
          </w:p>
        </w:tc>
      </w:tr>
      <w:tr w14:paraId="099D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120" w:type="dxa"/>
            <w:gridSpan w:val="7"/>
            <w:noWrap w:val="0"/>
            <w:vAlign w:val="center"/>
          </w:tcPr>
          <w:p w14:paraId="1A8101D4">
            <w:pP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2．工作经历</w:t>
            </w:r>
          </w:p>
        </w:tc>
      </w:tr>
      <w:tr w14:paraId="5A6E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798" w:type="dxa"/>
            <w:noWrap w:val="0"/>
            <w:vAlign w:val="center"/>
          </w:tcPr>
          <w:p w14:paraId="7FE7026B">
            <w:pPr>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p>
        </w:tc>
        <w:tc>
          <w:tcPr>
            <w:tcW w:w="5094" w:type="dxa"/>
            <w:gridSpan w:val="3"/>
            <w:noWrap w:val="0"/>
            <w:vAlign w:val="center"/>
          </w:tcPr>
          <w:p w14:paraId="4FBE2D15">
            <w:pP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参与过的项目</w:t>
            </w:r>
          </w:p>
        </w:tc>
        <w:tc>
          <w:tcPr>
            <w:tcW w:w="970" w:type="dxa"/>
            <w:gridSpan w:val="2"/>
            <w:noWrap w:val="0"/>
            <w:vAlign w:val="center"/>
          </w:tcPr>
          <w:p w14:paraId="3A3AF71E">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该项目中任职</w:t>
            </w:r>
          </w:p>
        </w:tc>
        <w:tc>
          <w:tcPr>
            <w:tcW w:w="1258" w:type="dxa"/>
            <w:noWrap w:val="0"/>
            <w:vAlign w:val="center"/>
          </w:tcPr>
          <w:p w14:paraId="5CE8878C">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174F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798" w:type="dxa"/>
            <w:noWrap w:val="0"/>
            <w:vAlign w:val="center"/>
          </w:tcPr>
          <w:p w14:paraId="0F35595F">
            <w:pPr>
              <w:rPr>
                <w:rFonts w:hint="eastAsia" w:ascii="宋体" w:hAnsi="宋体" w:cs="宋体"/>
                <w:color w:val="auto"/>
                <w:sz w:val="24"/>
                <w:szCs w:val="24"/>
                <w:highlight w:val="none"/>
              </w:rPr>
            </w:pPr>
          </w:p>
        </w:tc>
        <w:tc>
          <w:tcPr>
            <w:tcW w:w="5094" w:type="dxa"/>
            <w:gridSpan w:val="3"/>
            <w:noWrap w:val="0"/>
            <w:vAlign w:val="center"/>
          </w:tcPr>
          <w:p w14:paraId="68908DCB">
            <w:pPr>
              <w:rPr>
                <w:rFonts w:hint="eastAsia" w:ascii="宋体" w:hAnsi="宋体" w:cs="宋体"/>
                <w:color w:val="auto"/>
                <w:kern w:val="0"/>
                <w:sz w:val="24"/>
                <w:szCs w:val="24"/>
                <w:highlight w:val="none"/>
              </w:rPr>
            </w:pPr>
          </w:p>
        </w:tc>
        <w:tc>
          <w:tcPr>
            <w:tcW w:w="970" w:type="dxa"/>
            <w:gridSpan w:val="2"/>
            <w:noWrap w:val="0"/>
            <w:vAlign w:val="center"/>
          </w:tcPr>
          <w:p w14:paraId="13270E83">
            <w:pPr>
              <w:rPr>
                <w:rFonts w:hint="eastAsia" w:ascii="宋体" w:hAnsi="宋体" w:cs="宋体"/>
                <w:color w:val="auto"/>
                <w:kern w:val="0"/>
                <w:sz w:val="24"/>
                <w:szCs w:val="24"/>
                <w:highlight w:val="none"/>
              </w:rPr>
            </w:pPr>
          </w:p>
        </w:tc>
        <w:tc>
          <w:tcPr>
            <w:tcW w:w="1258" w:type="dxa"/>
            <w:noWrap w:val="0"/>
            <w:vAlign w:val="center"/>
          </w:tcPr>
          <w:p w14:paraId="2B3AE83F">
            <w:pPr>
              <w:rPr>
                <w:rFonts w:hint="eastAsia" w:ascii="宋体" w:hAnsi="宋体" w:cs="宋体"/>
                <w:color w:val="auto"/>
                <w:kern w:val="0"/>
                <w:sz w:val="24"/>
                <w:szCs w:val="24"/>
                <w:highlight w:val="none"/>
              </w:rPr>
            </w:pPr>
          </w:p>
        </w:tc>
      </w:tr>
      <w:tr w14:paraId="6B52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798" w:type="dxa"/>
            <w:noWrap w:val="0"/>
            <w:vAlign w:val="center"/>
          </w:tcPr>
          <w:p w14:paraId="67218AC3">
            <w:pPr>
              <w:rPr>
                <w:rFonts w:hint="eastAsia" w:ascii="宋体" w:hAnsi="宋体" w:cs="宋体"/>
                <w:color w:val="auto"/>
                <w:sz w:val="24"/>
                <w:szCs w:val="24"/>
                <w:highlight w:val="none"/>
              </w:rPr>
            </w:pPr>
          </w:p>
        </w:tc>
        <w:tc>
          <w:tcPr>
            <w:tcW w:w="5094" w:type="dxa"/>
            <w:gridSpan w:val="3"/>
            <w:noWrap w:val="0"/>
            <w:vAlign w:val="center"/>
          </w:tcPr>
          <w:p w14:paraId="3A622E35">
            <w:pPr>
              <w:rPr>
                <w:rFonts w:hint="eastAsia" w:ascii="宋体" w:hAnsi="宋体" w:cs="宋体"/>
                <w:color w:val="auto"/>
                <w:kern w:val="0"/>
                <w:sz w:val="24"/>
                <w:szCs w:val="24"/>
                <w:highlight w:val="none"/>
              </w:rPr>
            </w:pPr>
          </w:p>
        </w:tc>
        <w:tc>
          <w:tcPr>
            <w:tcW w:w="970" w:type="dxa"/>
            <w:gridSpan w:val="2"/>
            <w:noWrap w:val="0"/>
            <w:vAlign w:val="center"/>
          </w:tcPr>
          <w:p w14:paraId="1C371C8D">
            <w:pPr>
              <w:rPr>
                <w:rFonts w:hint="eastAsia" w:ascii="宋体" w:hAnsi="宋体" w:cs="宋体"/>
                <w:color w:val="auto"/>
                <w:kern w:val="0"/>
                <w:sz w:val="24"/>
                <w:szCs w:val="24"/>
                <w:highlight w:val="none"/>
              </w:rPr>
            </w:pPr>
          </w:p>
        </w:tc>
        <w:tc>
          <w:tcPr>
            <w:tcW w:w="1258" w:type="dxa"/>
            <w:noWrap w:val="0"/>
            <w:vAlign w:val="center"/>
          </w:tcPr>
          <w:p w14:paraId="50845AC7">
            <w:pPr>
              <w:rPr>
                <w:rFonts w:hint="eastAsia" w:ascii="宋体" w:hAnsi="宋体" w:cs="宋体"/>
                <w:color w:val="auto"/>
                <w:kern w:val="0"/>
                <w:sz w:val="24"/>
                <w:szCs w:val="24"/>
                <w:highlight w:val="none"/>
              </w:rPr>
            </w:pPr>
          </w:p>
        </w:tc>
      </w:tr>
      <w:tr w14:paraId="5749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20" w:type="dxa"/>
            <w:gridSpan w:val="7"/>
            <w:noWrap w:val="0"/>
            <w:vAlign w:val="center"/>
          </w:tcPr>
          <w:p w14:paraId="0A9F455B">
            <w:pP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3．获奖情况</w:t>
            </w:r>
          </w:p>
        </w:tc>
      </w:tr>
      <w:tr w14:paraId="2D7B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120" w:type="dxa"/>
            <w:gridSpan w:val="7"/>
            <w:noWrap w:val="0"/>
            <w:vAlign w:val="center"/>
          </w:tcPr>
          <w:p w14:paraId="0275C594">
            <w:pPr>
              <w:rPr>
                <w:rFonts w:hint="eastAsia" w:ascii="宋体" w:hAnsi="宋体" w:cs="宋体"/>
                <w:color w:val="auto"/>
                <w:sz w:val="24"/>
                <w:szCs w:val="24"/>
                <w:highlight w:val="none"/>
              </w:rPr>
            </w:pPr>
          </w:p>
        </w:tc>
      </w:tr>
      <w:tr w14:paraId="5BB0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120" w:type="dxa"/>
            <w:gridSpan w:val="7"/>
            <w:noWrap w:val="0"/>
            <w:vAlign w:val="center"/>
          </w:tcPr>
          <w:p w14:paraId="04FD5921">
            <w:pP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4．目前承担的任务</w:t>
            </w:r>
          </w:p>
        </w:tc>
      </w:tr>
      <w:tr w14:paraId="0FA5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120" w:type="dxa"/>
            <w:gridSpan w:val="7"/>
            <w:noWrap w:val="0"/>
            <w:vAlign w:val="center"/>
          </w:tcPr>
          <w:p w14:paraId="0CEAF9F8">
            <w:pPr>
              <w:rPr>
                <w:rFonts w:hint="eastAsia" w:ascii="宋体" w:hAnsi="宋体" w:cs="宋体"/>
                <w:color w:val="auto"/>
                <w:sz w:val="24"/>
                <w:szCs w:val="24"/>
                <w:highlight w:val="none"/>
              </w:rPr>
            </w:pPr>
          </w:p>
        </w:tc>
      </w:tr>
    </w:tbl>
    <w:p w14:paraId="48F92A32">
      <w:pPr>
        <w:spacing w:before="120" w:beforeLines="50" w:after="120" w:afterLines="50"/>
        <w:ind w:right="420"/>
        <w:rPr>
          <w:rFonts w:hint="eastAsia" w:ascii="宋体" w:hAnsi="宋体" w:eastAsia="宋体" w:cs="宋体"/>
          <w:color w:val="auto"/>
          <w:kern w:val="0"/>
          <w:sz w:val="24"/>
          <w:szCs w:val="24"/>
          <w:highlight w:val="none"/>
          <w:u w:val="single"/>
          <w:lang w:eastAsia="zh-CN"/>
        </w:rPr>
      </w:pPr>
      <w:r>
        <w:rPr>
          <w:rFonts w:hint="eastAsia" w:hAnsi="宋体" w:cs="宋体"/>
          <w:color w:val="auto"/>
          <w:sz w:val="24"/>
          <w:szCs w:val="24"/>
          <w:highlight w:val="none"/>
        </w:rPr>
        <w:t>注：项目负责人具备相关</w:t>
      </w:r>
      <w:r>
        <w:rPr>
          <w:rFonts w:hint="eastAsia" w:hAnsi="宋体" w:cs="宋体"/>
          <w:color w:val="auto"/>
          <w:sz w:val="24"/>
          <w:szCs w:val="24"/>
          <w:highlight w:val="none"/>
          <w:lang w:eastAsia="zh-CN"/>
        </w:rPr>
        <w:t>证明资料。</w:t>
      </w:r>
    </w:p>
    <w:p w14:paraId="76D2D5D9">
      <w:pPr>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(五)其他资料表</w:t>
      </w:r>
    </w:p>
    <w:p w14:paraId="7B2E9950">
      <w:pPr>
        <w:rPr>
          <w:rFonts w:hint="eastAsia" w:ascii="宋体" w:hAnsi="宋体" w:cs="宋体"/>
          <w:color w:val="auto"/>
          <w:sz w:val="24"/>
          <w:highlight w:val="none"/>
        </w:rPr>
      </w:pPr>
    </w:p>
    <w:p w14:paraId="2D56F729">
      <w:pPr>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供应商：</w:t>
      </w:r>
    </w:p>
    <w:tbl>
      <w:tblPr>
        <w:tblStyle w:val="23"/>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5"/>
      </w:tblGrid>
      <w:tr w14:paraId="2AD9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8" w:hRule="atLeast"/>
        </w:trPr>
        <w:tc>
          <w:tcPr>
            <w:tcW w:w="8425" w:type="dxa"/>
            <w:noWrap w:val="0"/>
            <w:vAlign w:val="top"/>
          </w:tcPr>
          <w:p w14:paraId="0C9708AD">
            <w:pPr>
              <w:rPr>
                <w:rFonts w:hint="eastAsia" w:ascii="宋体" w:hAnsi="宋体" w:cs="宋体"/>
                <w:color w:val="auto"/>
                <w:sz w:val="24"/>
                <w:szCs w:val="24"/>
                <w:highlight w:val="none"/>
              </w:rPr>
            </w:pPr>
          </w:p>
          <w:p w14:paraId="388EFD0D">
            <w:pPr>
              <w:rPr>
                <w:rFonts w:hint="eastAsia" w:ascii="宋体" w:hAnsi="宋体" w:cs="宋体"/>
                <w:color w:val="auto"/>
                <w:sz w:val="24"/>
                <w:szCs w:val="24"/>
                <w:highlight w:val="none"/>
              </w:rPr>
            </w:pPr>
          </w:p>
          <w:p w14:paraId="50B1EBCB">
            <w:pPr>
              <w:ind w:firstLine="480" w:firstLineChars="200"/>
              <w:rPr>
                <w:rFonts w:hint="eastAsia" w:ascii="宋体" w:hAnsi="宋体" w:cs="宋体"/>
                <w:color w:val="auto"/>
                <w:sz w:val="24"/>
                <w:szCs w:val="24"/>
                <w:highlight w:val="none"/>
              </w:rPr>
            </w:pPr>
          </w:p>
        </w:tc>
      </w:tr>
    </w:tbl>
    <w:p w14:paraId="14AA17FB">
      <w:pPr>
        <w:ind w:left="960" w:hanging="960" w:hangingChars="400"/>
        <w:rPr>
          <w:rFonts w:hint="eastAsia" w:ascii="宋体" w:hAnsi="宋体" w:cs="宋体"/>
          <w:color w:val="auto"/>
          <w:kern w:val="0"/>
          <w:sz w:val="24"/>
          <w:szCs w:val="24"/>
          <w:highlight w:val="none"/>
        </w:rPr>
      </w:pPr>
    </w:p>
    <w:p w14:paraId="6ED59FC7">
      <w:pPr>
        <w:spacing w:before="120" w:beforeLines="50" w:after="120" w:afterLines="50"/>
        <w:rPr>
          <w:rFonts w:hint="eastAsia" w:ascii="宋体" w:hAnsi="宋体" w:cs="宋体"/>
          <w:color w:val="auto"/>
          <w:kern w:val="0"/>
          <w:sz w:val="44"/>
          <w:szCs w:val="44"/>
          <w:highlight w:val="none"/>
        </w:rPr>
      </w:pPr>
    </w:p>
    <w:p w14:paraId="53DF31FC">
      <w:pPr>
        <w:spacing w:before="120" w:beforeLines="50" w:after="120" w:afterLines="50"/>
        <w:jc w:val="center"/>
        <w:rPr>
          <w:rFonts w:hint="eastAsia" w:ascii="宋体" w:hAnsi="宋体" w:cs="宋体"/>
          <w:b/>
          <w:bCs/>
          <w:color w:val="auto"/>
          <w:sz w:val="36"/>
          <w:szCs w:val="36"/>
          <w:highlight w:val="none"/>
        </w:rPr>
      </w:pPr>
      <w:r>
        <w:rPr>
          <w:rFonts w:hint="eastAsia" w:cs="宋体"/>
          <w:b/>
          <w:color w:val="auto"/>
          <w:sz w:val="36"/>
          <w:szCs w:val="36"/>
          <w:highlight w:val="none"/>
          <w:lang w:val="zh-CN"/>
        </w:rPr>
        <w:t>五</w:t>
      </w:r>
      <w:r>
        <w:rPr>
          <w:rFonts w:hint="eastAsia" w:ascii="宋体" w:hAnsi="宋体" w:cs="宋体"/>
          <w:b/>
          <w:color w:val="auto"/>
          <w:sz w:val="36"/>
          <w:szCs w:val="36"/>
          <w:highlight w:val="none"/>
          <w:lang w:val="zh-CN"/>
        </w:rPr>
        <w:t>、</w:t>
      </w:r>
      <w:r>
        <w:rPr>
          <w:rFonts w:hint="eastAsia" w:ascii="宋体" w:hAnsi="宋体" w:cs="宋体"/>
          <w:b/>
          <w:bCs/>
          <w:color w:val="auto"/>
          <w:sz w:val="36"/>
          <w:szCs w:val="36"/>
          <w:highlight w:val="none"/>
        </w:rPr>
        <w:t>服务方案及各项制度</w:t>
      </w:r>
    </w:p>
    <w:p w14:paraId="797C2D7C">
      <w:pPr>
        <w:spacing w:before="120" w:beforeLines="50" w:after="120" w:afterLines="50"/>
        <w:rPr>
          <w:rFonts w:hint="eastAsia" w:ascii="宋体" w:hAnsi="宋体" w:cs="宋体"/>
          <w:bCs/>
          <w:color w:val="auto"/>
          <w:sz w:val="24"/>
          <w:highlight w:val="none"/>
        </w:rPr>
      </w:pPr>
    </w:p>
    <w:p w14:paraId="7AAD15FE">
      <w:pPr>
        <w:autoSpaceDE w:val="0"/>
        <w:autoSpaceDN w:val="0"/>
        <w:adjustRightInd w:val="0"/>
        <w:spacing w:line="360" w:lineRule="auto"/>
        <w:ind w:firstLine="601"/>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（建议写明，格式自拟）</w:t>
      </w:r>
    </w:p>
    <w:p w14:paraId="2FE7AFBB">
      <w:pPr>
        <w:spacing w:before="120" w:beforeLines="50" w:after="120" w:afterLines="50" w:line="360" w:lineRule="auto"/>
        <w:jc w:val="center"/>
        <w:rPr>
          <w:rFonts w:hint="eastAsia" w:ascii="宋体" w:hAnsi="宋体" w:cs="宋体"/>
          <w:color w:val="auto"/>
          <w:kern w:val="0"/>
          <w:sz w:val="24"/>
          <w:highlight w:val="none"/>
        </w:rPr>
      </w:pPr>
      <w:r>
        <w:rPr>
          <w:rFonts w:hint="eastAsia" w:ascii="宋体" w:hAnsi="宋体" w:cs="宋体"/>
          <w:bCs/>
          <w:color w:val="auto"/>
          <w:sz w:val="24"/>
          <w:highlight w:val="none"/>
        </w:rPr>
        <w:br w:type="page"/>
      </w:r>
      <w:r>
        <w:rPr>
          <w:rFonts w:hint="eastAsia" w:cs="宋体"/>
          <w:b/>
          <w:color w:val="auto"/>
          <w:sz w:val="36"/>
          <w:szCs w:val="36"/>
          <w:highlight w:val="none"/>
          <w:lang w:val="zh-CN"/>
        </w:rPr>
        <w:t>六</w:t>
      </w:r>
      <w:r>
        <w:rPr>
          <w:rFonts w:hint="eastAsia" w:ascii="宋体" w:hAnsi="宋体" w:cs="宋体"/>
          <w:b/>
          <w:color w:val="auto"/>
          <w:sz w:val="36"/>
          <w:szCs w:val="36"/>
          <w:highlight w:val="none"/>
          <w:lang w:val="zh-CN"/>
        </w:rPr>
        <w:t>、其他资料</w:t>
      </w:r>
    </w:p>
    <w:p w14:paraId="7295F8B1">
      <w:pPr>
        <w:spacing w:before="100" w:beforeAutospacing="1" w:after="100" w:afterAutospacing="1"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（1）优惠条件</w:t>
      </w:r>
    </w:p>
    <w:p w14:paraId="53107BC6">
      <w:pPr>
        <w:spacing w:before="100" w:beforeAutospacing="1" w:after="100" w:afterAutospacing="1" w:line="360" w:lineRule="auto"/>
        <w:rPr>
          <w:rFonts w:hint="eastAsia" w:hAnsi="宋体" w:cs="宋体"/>
          <w:bCs/>
          <w:color w:val="auto"/>
          <w:sz w:val="24"/>
          <w:szCs w:val="24"/>
          <w:highlight w:val="none"/>
          <w:lang w:val="zh-CN"/>
        </w:rPr>
      </w:pPr>
      <w:r>
        <w:rPr>
          <w:rFonts w:hint="eastAsia" w:ascii="宋体" w:hAnsi="宋体" w:cs="宋体"/>
          <w:color w:val="auto"/>
          <w:kern w:val="0"/>
          <w:sz w:val="24"/>
          <w:highlight w:val="none"/>
        </w:rPr>
        <w:t>（2）</w:t>
      </w:r>
      <w:r>
        <w:rPr>
          <w:rFonts w:hint="eastAsia" w:hAnsi="宋体" w:cs="宋体"/>
          <w:bCs/>
          <w:color w:val="auto"/>
          <w:sz w:val="24"/>
          <w:szCs w:val="24"/>
          <w:highlight w:val="none"/>
          <w:lang w:val="zh-CN"/>
        </w:rPr>
        <w:t>供应商认为</w:t>
      </w:r>
      <w:r>
        <w:rPr>
          <w:rFonts w:hint="eastAsia" w:hAnsi="宋体" w:cs="宋体"/>
          <w:bCs/>
          <w:color w:val="auto"/>
          <w:sz w:val="24"/>
          <w:szCs w:val="24"/>
          <w:highlight w:val="none"/>
        </w:rPr>
        <w:t>应</w:t>
      </w:r>
      <w:r>
        <w:rPr>
          <w:rFonts w:hint="eastAsia" w:hAnsi="宋体" w:cs="宋体"/>
          <w:bCs/>
          <w:color w:val="auto"/>
          <w:sz w:val="24"/>
          <w:szCs w:val="24"/>
          <w:highlight w:val="none"/>
          <w:lang w:val="zh-CN"/>
        </w:rPr>
        <w:t>要提供的其他资料</w:t>
      </w:r>
    </w:p>
    <w:p w14:paraId="4AA33D3D">
      <w:pPr>
        <w:pStyle w:val="22"/>
        <w:ind w:left="440"/>
        <w:rPr>
          <w:rFonts w:hint="default" w:ascii="宋体" w:hAnsi="宋体" w:eastAsia="宋体" w:cs="宋体"/>
        </w:rPr>
      </w:pPr>
      <w:r>
        <w:rPr>
          <w:rFonts w:hint="eastAsia" w:ascii="宋体" w:hAnsi="宋体" w:eastAsia="宋体" w:cs="宋体"/>
          <w:bCs/>
          <w:color w:val="auto"/>
          <w:sz w:val="24"/>
          <w:szCs w:val="24"/>
          <w:highlight w:val="none"/>
          <w:lang w:val="zh-CN"/>
        </w:rPr>
        <w:br w:type="page"/>
      </w:r>
    </w:p>
    <w:p w14:paraId="5DE0691B">
      <w:pPr>
        <w:spacing w:before="120" w:beforeLines="50" w:after="120" w:afterLines="50" w:line="360" w:lineRule="auto"/>
        <w:jc w:val="center"/>
        <w:rPr>
          <w:rFonts w:hint="default" w:ascii="宋体" w:hAnsi="宋体" w:eastAsia="宋体" w:cs="宋体"/>
          <w:b/>
          <w:color w:val="auto"/>
          <w:sz w:val="36"/>
          <w:szCs w:val="36"/>
          <w:highlight w:val="none"/>
          <w:lang w:val="zh-CN"/>
        </w:rPr>
      </w:pPr>
      <w:r>
        <w:rPr>
          <w:rFonts w:hint="eastAsia" w:cs="宋体"/>
          <w:b/>
          <w:color w:val="auto"/>
          <w:sz w:val="36"/>
          <w:szCs w:val="36"/>
          <w:highlight w:val="none"/>
          <w:lang w:val="zh-CN" w:eastAsia="zh-CN"/>
        </w:rPr>
        <w:t>七</w:t>
      </w:r>
      <w:r>
        <w:rPr>
          <w:rFonts w:hint="eastAsia" w:ascii="宋体" w:hAnsi="宋体" w:eastAsia="宋体" w:cs="宋体"/>
          <w:b/>
          <w:color w:val="auto"/>
          <w:sz w:val="36"/>
          <w:szCs w:val="36"/>
          <w:highlight w:val="none"/>
          <w:lang w:val="zh-CN" w:eastAsia="zh-CN"/>
        </w:rPr>
        <w:t>、</w:t>
      </w:r>
      <w:r>
        <w:rPr>
          <w:rFonts w:hint="eastAsia" w:ascii="宋体" w:hAnsi="宋体" w:eastAsia="宋体" w:cs="宋体"/>
          <w:b/>
          <w:color w:val="auto"/>
          <w:sz w:val="36"/>
          <w:szCs w:val="36"/>
          <w:highlight w:val="none"/>
          <w:lang w:val="zh-CN"/>
        </w:rPr>
        <w:t>中小企业声明函</w:t>
      </w:r>
    </w:p>
    <w:p w14:paraId="216D9827">
      <w:pPr>
        <w:spacing w:line="360" w:lineRule="auto"/>
        <w:ind w:firstLine="720" w:firstLineChars="300"/>
        <w:rPr>
          <w:rFonts w:hint="default" w:cs="仿宋"/>
          <w:sz w:val="24"/>
        </w:rPr>
      </w:pPr>
      <w:r>
        <w:rPr>
          <w:rFonts w:cs="仿宋"/>
          <w:sz w:val="24"/>
        </w:rPr>
        <w:t>本公司（联合体）郑重声明，根据《政府采购促进中小企业发展管理办法》（财库</w:t>
      </w:r>
      <w:r>
        <w:rPr>
          <w:rFonts w:cs="宋体"/>
          <w:sz w:val="24"/>
        </w:rPr>
        <w:t>﹝</w:t>
      </w:r>
      <w:r>
        <w:rPr>
          <w:rFonts w:cs="仿宋"/>
          <w:sz w:val="24"/>
        </w:rPr>
        <w:t>2020</w:t>
      </w:r>
      <w:r>
        <w:rPr>
          <w:rFonts w:cs="宋体"/>
          <w:sz w:val="24"/>
        </w:rPr>
        <w:t>﹞</w:t>
      </w:r>
      <w:r>
        <w:rPr>
          <w:rFonts w:cs="仿宋"/>
          <w:sz w:val="24"/>
        </w:rPr>
        <w:t>46 号）的规定，本公司（联合体）参加</w:t>
      </w:r>
      <w:r>
        <w:rPr>
          <w:rFonts w:cs="仿宋"/>
          <w:sz w:val="24"/>
          <w:u w:val="single"/>
        </w:rPr>
        <w:t>（单位名称）</w:t>
      </w:r>
      <w:r>
        <w:rPr>
          <w:rFonts w:cs="仿宋"/>
          <w:sz w:val="24"/>
        </w:rPr>
        <w:t>的</w:t>
      </w:r>
      <w:r>
        <w:rPr>
          <w:rFonts w:cs="仿宋"/>
          <w:sz w:val="24"/>
          <w:u w:val="single"/>
        </w:rPr>
        <w:t>（项目名称）</w:t>
      </w:r>
      <w:r>
        <w:rPr>
          <w:rFonts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5FEA6B10">
      <w:pPr>
        <w:spacing w:line="360" w:lineRule="auto"/>
        <w:rPr>
          <w:rFonts w:hint="default" w:cs="仿宋"/>
          <w:sz w:val="24"/>
        </w:rPr>
      </w:pPr>
      <w:r>
        <w:rPr>
          <w:rFonts w:cs="仿宋"/>
          <w:sz w:val="24"/>
        </w:rPr>
        <w:t>1.</w:t>
      </w:r>
      <w:r>
        <w:rPr>
          <w:rFonts w:cs="仿宋"/>
          <w:sz w:val="24"/>
          <w:u w:val="single"/>
        </w:rPr>
        <w:t>（标的名称）</w:t>
      </w:r>
      <w:r>
        <w:rPr>
          <w:rFonts w:cs="仿宋"/>
          <w:sz w:val="24"/>
        </w:rPr>
        <w:t>，属于</w:t>
      </w:r>
      <w:r>
        <w:rPr>
          <w:rFonts w:cs="仿宋"/>
          <w:sz w:val="24"/>
          <w:u w:val="single"/>
        </w:rPr>
        <w:t>（采购文件中明确的所属行业）</w:t>
      </w:r>
      <w:r>
        <w:rPr>
          <w:rFonts w:cs="仿宋"/>
          <w:sz w:val="24"/>
        </w:rPr>
        <w:t>；承建（承接）企业为</w:t>
      </w:r>
      <w:r>
        <w:rPr>
          <w:rFonts w:cs="仿宋"/>
          <w:sz w:val="24"/>
          <w:u w:val="single"/>
        </w:rPr>
        <w:t>（企业名称）</w:t>
      </w:r>
      <w:r>
        <w:rPr>
          <w:rFonts w:cs="仿宋"/>
          <w:sz w:val="24"/>
        </w:rPr>
        <w:t>，从业人员人，营业收入为万元，资产总额为万元，属于（</w:t>
      </w:r>
      <w:r>
        <w:rPr>
          <w:rFonts w:cs="仿宋"/>
          <w:sz w:val="24"/>
          <w:u w:val="single"/>
        </w:rPr>
        <w:t>中型企业、小型企业、微型企业</w:t>
      </w:r>
      <w:r>
        <w:rPr>
          <w:rFonts w:cs="仿宋"/>
          <w:sz w:val="24"/>
        </w:rPr>
        <w:t>）；</w:t>
      </w:r>
    </w:p>
    <w:p w14:paraId="2A61C355">
      <w:pPr>
        <w:spacing w:line="360" w:lineRule="auto"/>
        <w:rPr>
          <w:rFonts w:hint="default" w:cs="仿宋"/>
          <w:sz w:val="24"/>
        </w:rPr>
      </w:pPr>
      <w:r>
        <w:rPr>
          <w:rFonts w:cs="仿宋"/>
          <w:sz w:val="24"/>
        </w:rPr>
        <w:t xml:space="preserve">2. </w:t>
      </w:r>
      <w:r>
        <w:rPr>
          <w:rFonts w:cs="仿宋"/>
          <w:sz w:val="24"/>
          <w:u w:val="single"/>
        </w:rPr>
        <w:t>（标的名称）</w:t>
      </w:r>
      <w:r>
        <w:rPr>
          <w:rFonts w:cs="仿宋"/>
          <w:sz w:val="24"/>
        </w:rPr>
        <w:t>，属于</w:t>
      </w:r>
      <w:r>
        <w:rPr>
          <w:rFonts w:cs="仿宋"/>
          <w:sz w:val="24"/>
          <w:u w:val="single"/>
        </w:rPr>
        <w:t>（采购文件中明确的所属行业）</w:t>
      </w:r>
      <w:r>
        <w:rPr>
          <w:rFonts w:cs="仿宋"/>
          <w:sz w:val="24"/>
        </w:rPr>
        <w:t>；承建（承接）企业为</w:t>
      </w:r>
      <w:r>
        <w:rPr>
          <w:rFonts w:cs="仿宋"/>
          <w:sz w:val="24"/>
          <w:u w:val="single"/>
        </w:rPr>
        <w:t>（企业名称）</w:t>
      </w:r>
      <w:r>
        <w:rPr>
          <w:rFonts w:cs="仿宋"/>
          <w:sz w:val="24"/>
        </w:rPr>
        <w:t>，从业人员人，营业收入为万元，资产总额为万元，属于</w:t>
      </w:r>
      <w:r>
        <w:rPr>
          <w:rFonts w:cs="仿宋"/>
          <w:sz w:val="24"/>
          <w:u w:val="single"/>
        </w:rPr>
        <w:t>（中型企业、小型企业、微型企业）</w:t>
      </w:r>
      <w:r>
        <w:rPr>
          <w:rFonts w:cs="仿宋"/>
          <w:sz w:val="24"/>
        </w:rPr>
        <w:t>；</w:t>
      </w:r>
    </w:p>
    <w:p w14:paraId="4ABF49F7">
      <w:pPr>
        <w:spacing w:line="360" w:lineRule="auto"/>
        <w:rPr>
          <w:rFonts w:hint="default" w:cs="仿宋"/>
          <w:sz w:val="24"/>
        </w:rPr>
      </w:pPr>
      <w:r>
        <w:rPr>
          <w:rFonts w:cs="仿宋"/>
          <w:sz w:val="24"/>
        </w:rPr>
        <w:t>……</w:t>
      </w:r>
    </w:p>
    <w:p w14:paraId="6BC079CF">
      <w:pPr>
        <w:spacing w:line="360" w:lineRule="auto"/>
        <w:rPr>
          <w:rFonts w:hint="default" w:cs="仿宋"/>
          <w:sz w:val="24"/>
        </w:rPr>
      </w:pPr>
      <w:r>
        <w:rPr>
          <w:rFonts w:cs="仿宋"/>
          <w:sz w:val="24"/>
        </w:rPr>
        <w:t>以上企业，不属于大企业的分支机构，不存在控股股东为大企业的情形，也不存在与大企业的负责人为同一人的情形。本企业对上述声明内容的真实性负责。如有虚假，将依法承担相应责任。</w:t>
      </w:r>
    </w:p>
    <w:p w14:paraId="62938805">
      <w:pPr>
        <w:rPr>
          <w:rFonts w:hint="default" w:cs="仿宋"/>
          <w:sz w:val="24"/>
        </w:rPr>
      </w:pPr>
    </w:p>
    <w:p w14:paraId="4AF7445F">
      <w:pPr>
        <w:rPr>
          <w:rFonts w:hint="default" w:cs="仿宋"/>
          <w:sz w:val="24"/>
        </w:rPr>
      </w:pPr>
    </w:p>
    <w:p w14:paraId="4FDC25E2">
      <w:pPr>
        <w:rPr>
          <w:rFonts w:hint="default" w:cs="仿宋"/>
          <w:sz w:val="24"/>
        </w:rPr>
      </w:pPr>
    </w:p>
    <w:p w14:paraId="02ED114A">
      <w:pPr>
        <w:rPr>
          <w:rFonts w:hint="default" w:cs="仿宋"/>
          <w:sz w:val="24"/>
        </w:rPr>
      </w:pPr>
    </w:p>
    <w:p w14:paraId="69FC922F">
      <w:pPr>
        <w:jc w:val="right"/>
        <w:rPr>
          <w:rFonts w:hint="default" w:cs="仿宋"/>
          <w:sz w:val="24"/>
        </w:rPr>
      </w:pPr>
      <w:r>
        <w:rPr>
          <w:rFonts w:cs="仿宋"/>
          <w:sz w:val="24"/>
        </w:rPr>
        <w:t>企业名称（盖章）：</w:t>
      </w:r>
    </w:p>
    <w:p w14:paraId="6CCAEDA2">
      <w:pPr>
        <w:jc w:val="right"/>
        <w:rPr>
          <w:rFonts w:hint="default"/>
          <w:sz w:val="24"/>
        </w:rPr>
      </w:pPr>
      <w:r>
        <w:rPr>
          <w:rFonts w:cs="仿宋"/>
          <w:sz w:val="24"/>
        </w:rPr>
        <w:t>日期：</w:t>
      </w:r>
    </w:p>
    <w:p w14:paraId="547654FF">
      <w:pPr>
        <w:rPr>
          <w:rFonts w:hint="default"/>
        </w:rPr>
      </w:pPr>
    </w:p>
    <w:p w14:paraId="4AC08C4B">
      <w:pPr>
        <w:rPr>
          <w:rFonts w:hint="default"/>
        </w:rPr>
      </w:pPr>
    </w:p>
    <w:p w14:paraId="3DC619DE">
      <w:pPr>
        <w:pStyle w:val="36"/>
        <w:rPr>
          <w:rFonts w:ascii="Calibri"/>
          <w:color w:val="auto"/>
          <w:sz w:val="21"/>
        </w:rPr>
      </w:pPr>
    </w:p>
    <w:p w14:paraId="750951C8">
      <w:pPr>
        <w:tabs>
          <w:tab w:val="left" w:pos="270"/>
        </w:tabs>
        <w:rPr>
          <w:rFonts w:hint="default" w:ascii="Arial" w:hAnsi="Arial" w:cs="Arial"/>
          <w:sz w:val="24"/>
        </w:rPr>
      </w:pPr>
      <w:r>
        <w:rPr>
          <w:rFonts w:ascii="宋?" w:hAnsi="宋?" w:cs="宋?"/>
          <w:sz w:val="18"/>
          <w:szCs w:val="18"/>
        </w:rPr>
        <w:t>注：从业人员、营业收入、资产总额填报上一年度数据，无上一年度数据的新成立企业可不填报。</w:t>
      </w:r>
    </w:p>
    <w:p w14:paraId="714E4A1C">
      <w:pPr>
        <w:tabs>
          <w:tab w:val="left" w:pos="270"/>
        </w:tabs>
        <w:rPr>
          <w:rFonts w:hint="default" w:ascii="Arial" w:hAnsi="Arial" w:cs="Arial"/>
          <w:sz w:val="24"/>
        </w:rPr>
      </w:pPr>
    </w:p>
    <w:p w14:paraId="78EA4DA1">
      <w:pPr>
        <w:tabs>
          <w:tab w:val="left" w:pos="270"/>
        </w:tabs>
        <w:rPr>
          <w:rFonts w:hint="default" w:ascii="Arial" w:hAnsi="Arial" w:cs="Arial"/>
          <w:sz w:val="24"/>
        </w:rPr>
      </w:pPr>
    </w:p>
    <w:p w14:paraId="56FD7C18">
      <w:pPr>
        <w:tabs>
          <w:tab w:val="left" w:pos="270"/>
        </w:tabs>
        <w:rPr>
          <w:rFonts w:hint="default" w:ascii="Arial" w:hAnsi="Arial" w:cs="Arial"/>
          <w:sz w:val="24"/>
        </w:rPr>
      </w:pPr>
    </w:p>
    <w:p w14:paraId="6E426E4B">
      <w:pPr>
        <w:tabs>
          <w:tab w:val="left" w:pos="270"/>
        </w:tabs>
        <w:rPr>
          <w:rFonts w:hint="default" w:ascii="Arial" w:hAnsi="Arial" w:cs="Arial"/>
          <w:sz w:val="24"/>
        </w:rPr>
      </w:pPr>
    </w:p>
    <w:p w14:paraId="41D41C6C">
      <w:pPr>
        <w:tabs>
          <w:tab w:val="left" w:pos="270"/>
        </w:tabs>
        <w:rPr>
          <w:rFonts w:hint="default" w:ascii="Arial" w:hAnsi="Arial" w:cs="Arial"/>
          <w:sz w:val="24"/>
        </w:rPr>
      </w:pPr>
    </w:p>
    <w:p w14:paraId="13725960">
      <w:pPr>
        <w:tabs>
          <w:tab w:val="left" w:pos="270"/>
        </w:tabs>
        <w:rPr>
          <w:rFonts w:hint="default" w:ascii="Arial" w:hAnsi="Arial" w:cs="Arial"/>
          <w:sz w:val="24"/>
        </w:rPr>
      </w:pPr>
    </w:p>
    <w:p w14:paraId="530C2E84">
      <w:pPr>
        <w:tabs>
          <w:tab w:val="left" w:pos="270"/>
        </w:tabs>
        <w:rPr>
          <w:rFonts w:hint="default" w:ascii="Arial" w:hAnsi="Arial" w:cs="Arial"/>
          <w:sz w:val="24"/>
        </w:rPr>
      </w:pPr>
    </w:p>
    <w:p w14:paraId="53F4D645">
      <w:pPr>
        <w:tabs>
          <w:tab w:val="left" w:pos="270"/>
        </w:tabs>
        <w:rPr>
          <w:rFonts w:hint="default" w:ascii="Arial" w:hAnsi="Arial" w:cs="Arial"/>
          <w:sz w:val="24"/>
        </w:rPr>
      </w:pPr>
    </w:p>
    <w:p w14:paraId="4F70EF9E">
      <w:pPr>
        <w:pStyle w:val="3"/>
        <w:widowControl/>
        <w:spacing w:before="752" w:after="452" w:line="540" w:lineRule="atLeast"/>
        <w:ind w:left="150"/>
        <w:jc w:val="center"/>
        <w:rPr>
          <w:rFonts w:hint="default" w:cs="宋体"/>
          <w:bCs/>
          <w:szCs w:val="32"/>
        </w:rPr>
      </w:pPr>
      <w:r>
        <w:rPr>
          <w:rFonts w:cs="宋体"/>
          <w:bCs/>
          <w:szCs w:val="32"/>
          <w:shd w:val="clear" w:color="auto" w:fill="FFFFFF"/>
        </w:rPr>
        <w:t>关于进一步加大政府采购支持中小企业力度的通知</w:t>
      </w:r>
    </w:p>
    <w:p w14:paraId="315A2822">
      <w:pPr>
        <w:widowControl/>
        <w:spacing w:before="452" w:after="150" w:line="450" w:lineRule="atLeast"/>
        <w:ind w:left="150"/>
        <w:jc w:val="center"/>
        <w:rPr>
          <w:rFonts w:hint="default" w:cs="宋体"/>
          <w:sz w:val="21"/>
          <w:szCs w:val="21"/>
        </w:rPr>
      </w:pPr>
      <w:r>
        <w:rPr>
          <w:rFonts w:cs="宋体"/>
          <w:sz w:val="21"/>
          <w:szCs w:val="21"/>
          <w:shd w:val="clear" w:color="auto" w:fill="FFFFFF"/>
        </w:rPr>
        <w:t> </w:t>
      </w:r>
      <w:r>
        <w:rPr>
          <w:rFonts w:cs="宋体"/>
          <w:b/>
          <w:bCs/>
          <w:sz w:val="21"/>
          <w:szCs w:val="21"/>
          <w:shd w:val="clear" w:color="auto" w:fill="FFFFFF"/>
        </w:rPr>
        <w:t>财库〔2022〕19号</w:t>
      </w:r>
    </w:p>
    <w:p w14:paraId="734B493C">
      <w:pPr>
        <w:pStyle w:val="19"/>
        <w:spacing w:before="452" w:beforeAutospacing="0" w:after="362" w:afterAutospacing="0" w:line="27" w:lineRule="atLeast"/>
        <w:jc w:val="both"/>
        <w:rPr>
          <w:rFonts w:hint="default" w:ascii="宋体" w:hAnsi="宋体"/>
          <w:sz w:val="21"/>
          <w:szCs w:val="21"/>
        </w:rPr>
      </w:pPr>
      <w:r>
        <w:rPr>
          <w:rFonts w:ascii="宋体" w:hAnsi="宋体"/>
          <w:sz w:val="21"/>
          <w:szCs w:val="21"/>
          <w:shd w:val="clear" w:color="auto" w:fill="FFFFFF"/>
        </w:rPr>
        <w:t>各中央预算单位，各省、自治区、直辖市、计划单列市财政厅（局），新疆生产建设兵团财政局：</w:t>
      </w:r>
    </w:p>
    <w:p w14:paraId="531B7480">
      <w:pPr>
        <w:pStyle w:val="19"/>
        <w:spacing w:before="452" w:beforeAutospacing="0" w:after="362" w:afterAutospacing="0" w:line="27" w:lineRule="atLeast"/>
        <w:ind w:left="150"/>
        <w:jc w:val="both"/>
        <w:rPr>
          <w:rFonts w:hint="default" w:ascii="宋体" w:hAnsi="宋体"/>
          <w:sz w:val="21"/>
          <w:szCs w:val="21"/>
        </w:rPr>
      </w:pPr>
      <w:r>
        <w:rPr>
          <w:rFonts w:ascii="宋体" w:hAnsi="宋体"/>
          <w:sz w:val="21"/>
          <w:szCs w:val="21"/>
          <w:shd w:val="clear" w:color="auto"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0A6D8845">
      <w:pPr>
        <w:pStyle w:val="19"/>
        <w:spacing w:before="452" w:beforeAutospacing="0" w:after="362" w:afterAutospacing="0" w:line="27" w:lineRule="atLeast"/>
        <w:ind w:left="150"/>
        <w:jc w:val="both"/>
        <w:rPr>
          <w:rFonts w:hint="default" w:ascii="宋体" w:hAnsi="宋体"/>
          <w:sz w:val="21"/>
          <w:szCs w:val="21"/>
        </w:rPr>
      </w:pPr>
      <w:r>
        <w:rPr>
          <w:rFonts w:ascii="宋体" w:hAnsi="宋体"/>
          <w:sz w:val="21"/>
          <w:szCs w:val="21"/>
          <w:shd w:val="clear" w:color="auto" w:fill="FFFFFF"/>
        </w:rPr>
        <w:t>　　</w:t>
      </w:r>
      <w:r>
        <w:rPr>
          <w:rFonts w:ascii="宋体" w:hAnsi="宋体"/>
          <w:b/>
          <w:bCs/>
          <w:sz w:val="21"/>
          <w:szCs w:val="21"/>
          <w:shd w:val="clear" w:color="auto" w:fill="FFFFFF"/>
        </w:rPr>
        <w:t>一、严格落实支持中小企业政府采购政策。</w:t>
      </w:r>
      <w:r>
        <w:rPr>
          <w:rFonts w:ascii="宋体" w:hAnsi="宋体"/>
          <w:sz w:val="21"/>
          <w:szCs w:val="21"/>
          <w:shd w:val="clear" w:color="auto"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9304421">
      <w:pPr>
        <w:pStyle w:val="19"/>
        <w:spacing w:before="452" w:beforeAutospacing="0" w:after="362" w:afterAutospacing="0" w:line="27" w:lineRule="atLeast"/>
        <w:ind w:left="150"/>
        <w:jc w:val="both"/>
        <w:rPr>
          <w:rFonts w:hint="default" w:ascii="宋体" w:hAnsi="宋体"/>
          <w:sz w:val="21"/>
          <w:szCs w:val="21"/>
        </w:rPr>
      </w:pPr>
      <w:r>
        <w:rPr>
          <w:rFonts w:ascii="宋体" w:hAnsi="宋体"/>
          <w:sz w:val="21"/>
          <w:szCs w:val="21"/>
          <w:shd w:val="clear" w:color="auto" w:fill="FFFFFF"/>
        </w:rPr>
        <w:t>　　</w:t>
      </w:r>
      <w:r>
        <w:rPr>
          <w:rFonts w:ascii="宋体" w:hAnsi="宋体"/>
          <w:b/>
          <w:bCs/>
          <w:sz w:val="21"/>
          <w:szCs w:val="21"/>
          <w:shd w:val="clear" w:color="auto" w:fill="FFFFFF"/>
        </w:rPr>
        <w:t>二、调整对小微企业的价格评审优惠幅度。</w:t>
      </w:r>
      <w:r>
        <w:rPr>
          <w:rFonts w:ascii="宋体" w:hAnsi="宋体"/>
          <w:sz w:val="21"/>
          <w:szCs w:val="21"/>
          <w:shd w:val="clear" w:color="auto"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CF64D5A">
      <w:pPr>
        <w:pStyle w:val="19"/>
        <w:spacing w:before="452" w:beforeAutospacing="0" w:after="362" w:afterAutospacing="0" w:line="27" w:lineRule="atLeast"/>
        <w:ind w:left="150"/>
        <w:jc w:val="both"/>
        <w:rPr>
          <w:rFonts w:hint="default" w:ascii="宋体" w:hAnsi="宋体"/>
          <w:sz w:val="21"/>
          <w:szCs w:val="21"/>
        </w:rPr>
      </w:pPr>
      <w:r>
        <w:rPr>
          <w:rFonts w:ascii="宋体" w:hAnsi="宋体"/>
          <w:sz w:val="21"/>
          <w:szCs w:val="21"/>
          <w:shd w:val="clear" w:color="auto" w:fill="FFFFFF"/>
        </w:rPr>
        <w:t>　　</w:t>
      </w:r>
      <w:r>
        <w:rPr>
          <w:rFonts w:ascii="宋体" w:hAnsi="宋体"/>
          <w:b/>
          <w:bCs/>
          <w:sz w:val="21"/>
          <w:szCs w:val="21"/>
          <w:shd w:val="clear" w:color="auto" w:fill="FFFFFF"/>
        </w:rPr>
        <w:t>三、提高政府采购工程面向中小企业预留份额。</w:t>
      </w:r>
      <w:r>
        <w:rPr>
          <w:rFonts w:ascii="宋体" w:hAnsi="宋体"/>
          <w:sz w:val="21"/>
          <w:szCs w:val="21"/>
          <w:shd w:val="clear" w:color="auto"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66CA49E9">
      <w:pPr>
        <w:pStyle w:val="19"/>
        <w:spacing w:before="452" w:beforeAutospacing="0" w:after="362" w:afterAutospacing="0" w:line="27" w:lineRule="atLeast"/>
        <w:ind w:left="150"/>
        <w:jc w:val="both"/>
        <w:rPr>
          <w:rFonts w:hint="default" w:ascii="宋体" w:hAnsi="宋体"/>
          <w:sz w:val="21"/>
          <w:szCs w:val="21"/>
        </w:rPr>
      </w:pPr>
      <w:r>
        <w:rPr>
          <w:rFonts w:ascii="宋体" w:hAnsi="宋体"/>
          <w:sz w:val="21"/>
          <w:szCs w:val="21"/>
          <w:shd w:val="clear" w:color="auto" w:fill="FFFFFF"/>
        </w:rPr>
        <w:t>　　</w:t>
      </w:r>
      <w:r>
        <w:rPr>
          <w:rFonts w:ascii="宋体" w:hAnsi="宋体"/>
          <w:b/>
          <w:bCs/>
          <w:sz w:val="21"/>
          <w:szCs w:val="21"/>
          <w:shd w:val="clear" w:color="auto" w:fill="FFFFFF"/>
        </w:rPr>
        <w:t>四、认真做好组织实施。</w:t>
      </w:r>
      <w:r>
        <w:rPr>
          <w:rFonts w:ascii="宋体" w:hAnsi="宋体"/>
          <w:sz w:val="21"/>
          <w:szCs w:val="21"/>
          <w:shd w:val="clear" w:color="auto" w:fill="FFFFFF"/>
        </w:rPr>
        <w:t>各地区、各部门应当加强组织领导，明确工作责任，细化执行要求，强化监督检查，确保国务院部署落实到位，对通知执行中出现的问题要及时向财政部报告。</w:t>
      </w:r>
    </w:p>
    <w:p w14:paraId="6E5B7074">
      <w:pPr>
        <w:pStyle w:val="19"/>
        <w:spacing w:before="452" w:beforeAutospacing="0" w:after="362" w:afterAutospacing="0" w:line="27" w:lineRule="atLeast"/>
        <w:ind w:left="150"/>
        <w:jc w:val="right"/>
        <w:rPr>
          <w:rFonts w:hint="default" w:ascii="宋体" w:hAnsi="宋体"/>
          <w:sz w:val="21"/>
          <w:szCs w:val="21"/>
        </w:rPr>
      </w:pPr>
      <w:r>
        <w:rPr>
          <w:rFonts w:ascii="宋体" w:hAnsi="宋体"/>
          <w:sz w:val="21"/>
          <w:szCs w:val="21"/>
          <w:shd w:val="clear" w:color="auto" w:fill="FFFFFF"/>
        </w:rPr>
        <w:t>　　本通知自2022年7月1日起执行。　　财  政  部</w:t>
      </w:r>
    </w:p>
    <w:p w14:paraId="3BEC3F1D">
      <w:pPr>
        <w:pStyle w:val="19"/>
        <w:spacing w:before="452" w:beforeAutospacing="0" w:after="362" w:afterAutospacing="0" w:line="27" w:lineRule="atLeast"/>
        <w:ind w:left="150"/>
        <w:jc w:val="right"/>
        <w:rPr>
          <w:rFonts w:hint="default" w:ascii="宋体" w:hAnsi="宋体"/>
          <w:b/>
          <w:kern w:val="2"/>
          <w:sz w:val="21"/>
          <w:szCs w:val="21"/>
        </w:rPr>
      </w:pPr>
      <w:r>
        <w:rPr>
          <w:rFonts w:ascii="宋体" w:hAnsi="宋体"/>
          <w:sz w:val="21"/>
          <w:szCs w:val="21"/>
          <w:shd w:val="clear" w:color="auto" w:fill="FFFFFF"/>
        </w:rPr>
        <w:t>　　2022年5月30日</w:t>
      </w:r>
    </w:p>
    <w:p w14:paraId="3CD85B3A">
      <w:pPr>
        <w:spacing w:line="300" w:lineRule="auto"/>
        <w:ind w:firstLine="3080" w:firstLineChars="1400"/>
        <w:rPr>
          <w:rFonts w:cs="宋体"/>
        </w:rPr>
      </w:pPr>
    </w:p>
    <w:p w14:paraId="114A6142">
      <w:pPr>
        <w:spacing w:line="300" w:lineRule="auto"/>
        <w:ind w:firstLine="3080" w:firstLineChars="1400"/>
        <w:rPr>
          <w:rFonts w:hint="default" w:cs="宋体"/>
        </w:rPr>
      </w:pPr>
      <w:r>
        <w:rPr>
          <w:rFonts w:cs="宋体"/>
        </w:rPr>
        <w:t>政府采购促进中小企业发展管理办法</w:t>
      </w:r>
    </w:p>
    <w:p w14:paraId="346E346B">
      <w:pPr>
        <w:spacing w:line="360" w:lineRule="auto"/>
        <w:ind w:firstLine="440" w:firstLineChars="200"/>
        <w:rPr>
          <w:rFonts w:hint="default" w:cs="宋体"/>
        </w:rPr>
      </w:pPr>
      <w:r>
        <w:rPr>
          <w:rFonts w:cs="宋体"/>
        </w:rPr>
        <w:t xml:space="preserve"> 第一条</w:t>
      </w:r>
    </w:p>
    <w:p w14:paraId="56D7B5F1">
      <w:pPr>
        <w:spacing w:line="360" w:lineRule="auto"/>
        <w:ind w:firstLine="440" w:firstLineChars="200"/>
        <w:rPr>
          <w:rFonts w:hint="default" w:cs="宋体"/>
        </w:rPr>
      </w:pPr>
      <w:r>
        <w:rPr>
          <w:rFonts w:cs="宋体"/>
        </w:rPr>
        <w:t>为了发挥政府采购的政策功能，促进中小企业健康发展，根据《中华人民共和国政府采购法》、《中华人民共和国中小企业促进法》等有关法律法规，制定本办法。</w:t>
      </w:r>
    </w:p>
    <w:p w14:paraId="5B051310">
      <w:pPr>
        <w:spacing w:line="360" w:lineRule="auto"/>
        <w:ind w:firstLine="440" w:firstLineChars="200"/>
        <w:rPr>
          <w:rFonts w:hint="default" w:cs="宋体"/>
        </w:rPr>
      </w:pPr>
      <w:r>
        <w:rPr>
          <w:rFonts w:cs="宋体"/>
        </w:rPr>
        <w:t xml:space="preserve"> 第二条</w:t>
      </w:r>
    </w:p>
    <w:p w14:paraId="05140E08">
      <w:pPr>
        <w:spacing w:line="360" w:lineRule="auto"/>
        <w:ind w:firstLine="440" w:firstLineChars="200"/>
        <w:rPr>
          <w:rFonts w:hint="default" w:cs="宋体"/>
        </w:rPr>
      </w:pPr>
      <w:r>
        <w:rPr>
          <w:rFonts w:cs="宋体"/>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B77BFB6">
      <w:pPr>
        <w:spacing w:line="360" w:lineRule="auto"/>
        <w:ind w:firstLine="440" w:firstLineChars="200"/>
        <w:rPr>
          <w:rFonts w:hint="default" w:cs="宋体"/>
        </w:rPr>
      </w:pPr>
      <w:r>
        <w:rPr>
          <w:rFonts w:cs="宋体"/>
        </w:rPr>
        <w:t>符合中小企业划分标准的个体工商户，在政府采购活动中视同中小企业。</w:t>
      </w:r>
    </w:p>
    <w:p w14:paraId="168E4D8E">
      <w:pPr>
        <w:spacing w:line="360" w:lineRule="auto"/>
        <w:ind w:firstLine="440" w:firstLineChars="200"/>
        <w:rPr>
          <w:rFonts w:hint="default" w:cs="宋体"/>
        </w:rPr>
      </w:pPr>
      <w:r>
        <w:rPr>
          <w:rFonts w:cs="宋体"/>
        </w:rPr>
        <w:t>第三条</w:t>
      </w:r>
    </w:p>
    <w:p w14:paraId="7495FBED">
      <w:pPr>
        <w:spacing w:line="360" w:lineRule="auto"/>
        <w:ind w:firstLine="440" w:firstLineChars="200"/>
        <w:rPr>
          <w:rFonts w:hint="default" w:cs="宋体"/>
        </w:rPr>
      </w:pPr>
      <w:r>
        <w:rPr>
          <w:rFonts w:cs="宋体"/>
        </w:rPr>
        <w:t>采购人在政府采购活动中应当通过加强采购需求管理，落实预留采购份额、价格评审优惠、优先采购等措施，提高中小企业在政府采购中的份额，支持中小企业发展。</w:t>
      </w:r>
    </w:p>
    <w:p w14:paraId="3A6BD097">
      <w:pPr>
        <w:spacing w:line="360" w:lineRule="auto"/>
        <w:ind w:firstLine="440" w:firstLineChars="200"/>
        <w:rPr>
          <w:rFonts w:hint="default" w:cs="宋体"/>
        </w:rPr>
      </w:pPr>
      <w:r>
        <w:rPr>
          <w:rFonts w:cs="宋体"/>
        </w:rPr>
        <w:t>第四条</w:t>
      </w:r>
    </w:p>
    <w:p w14:paraId="39AD9192">
      <w:pPr>
        <w:spacing w:line="360" w:lineRule="auto"/>
        <w:ind w:firstLine="440" w:firstLineChars="200"/>
        <w:rPr>
          <w:rFonts w:hint="default" w:cs="宋体"/>
        </w:rPr>
      </w:pPr>
      <w:r>
        <w:rPr>
          <w:rFonts w:cs="宋体"/>
        </w:rPr>
        <w:t>在政府采购活动中，供应商提供的货物、工程或者服务符合下列情形的，享受本办法规定的中小企业扶持政策：</w:t>
      </w:r>
    </w:p>
    <w:p w14:paraId="5AD70C62">
      <w:pPr>
        <w:spacing w:line="360" w:lineRule="auto"/>
        <w:ind w:firstLine="440" w:firstLineChars="200"/>
        <w:rPr>
          <w:rFonts w:hint="default" w:cs="宋体"/>
        </w:rPr>
      </w:pPr>
      <w:r>
        <w:rPr>
          <w:rFonts w:cs="宋体"/>
        </w:rPr>
        <w:t>（一）在货物采购项目中，货物由中小企业制造，即货物由中小企业生产且使用该中小企业商号或者注册商标；</w:t>
      </w:r>
    </w:p>
    <w:p w14:paraId="430F03E2">
      <w:pPr>
        <w:spacing w:line="360" w:lineRule="auto"/>
        <w:ind w:firstLine="440" w:firstLineChars="200"/>
        <w:rPr>
          <w:rFonts w:hint="default" w:cs="宋体"/>
        </w:rPr>
      </w:pPr>
      <w:r>
        <w:rPr>
          <w:rFonts w:cs="宋体"/>
        </w:rPr>
        <w:t>（二）在工程采购项目中，工程由中小企业承建，即工程施工单位为中小企业；</w:t>
      </w:r>
    </w:p>
    <w:p w14:paraId="013D7193">
      <w:pPr>
        <w:spacing w:line="360" w:lineRule="auto"/>
        <w:ind w:firstLine="440" w:firstLineChars="200"/>
        <w:rPr>
          <w:rFonts w:hint="default" w:cs="宋体"/>
        </w:rPr>
      </w:pPr>
      <w:r>
        <w:rPr>
          <w:rFonts w:cs="宋体"/>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5C9208B6">
      <w:pPr>
        <w:spacing w:line="360" w:lineRule="auto"/>
        <w:ind w:firstLine="440" w:firstLineChars="200"/>
        <w:rPr>
          <w:rFonts w:hint="default" w:cs="宋体"/>
        </w:rPr>
      </w:pPr>
      <w:r>
        <w:rPr>
          <w:rFonts w:cs="宋体"/>
        </w:rPr>
        <w:t>以联合体形式参加政府采购活动，联合体各方均为中小企业的，联合体视同中小企业。其中，联合体各方均为小微企业的，联合体视同小微企业。</w:t>
      </w:r>
    </w:p>
    <w:p w14:paraId="76602C8A">
      <w:pPr>
        <w:spacing w:line="360" w:lineRule="auto"/>
        <w:ind w:firstLine="440" w:firstLineChars="200"/>
        <w:rPr>
          <w:rFonts w:hint="default" w:cs="宋体"/>
        </w:rPr>
      </w:pPr>
      <w:r>
        <w:rPr>
          <w:rFonts w:cs="宋体"/>
        </w:rPr>
        <w:t>第五条</w:t>
      </w:r>
    </w:p>
    <w:p w14:paraId="79DDC196">
      <w:pPr>
        <w:spacing w:line="360" w:lineRule="auto"/>
        <w:ind w:firstLine="440" w:firstLineChars="200"/>
        <w:rPr>
          <w:rFonts w:hint="default" w:cs="宋体"/>
        </w:rPr>
      </w:pPr>
      <w:r>
        <w:rPr>
          <w:rFonts w:cs="宋体"/>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137F13C">
      <w:pPr>
        <w:spacing w:line="360" w:lineRule="auto"/>
        <w:ind w:firstLine="440" w:firstLineChars="200"/>
        <w:rPr>
          <w:rFonts w:hint="default" w:cs="宋体"/>
        </w:rPr>
      </w:pPr>
      <w:r>
        <w:rPr>
          <w:rFonts w:cs="宋体"/>
        </w:rPr>
        <w:t>第六条</w:t>
      </w:r>
    </w:p>
    <w:p w14:paraId="0E9F739D">
      <w:pPr>
        <w:spacing w:line="360" w:lineRule="auto"/>
        <w:ind w:firstLine="440" w:firstLineChars="200"/>
        <w:rPr>
          <w:rFonts w:hint="default"/>
        </w:rPr>
      </w:pPr>
      <w: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C7D702C">
      <w:pPr>
        <w:spacing w:line="360" w:lineRule="auto"/>
        <w:ind w:firstLine="440" w:firstLineChars="200"/>
        <w:rPr>
          <w:rFonts w:hint="default"/>
        </w:rPr>
      </w:pPr>
      <w:r>
        <w:t>符合下列情形之一的，可不专门面向中小企业预留采购份额：</w:t>
      </w:r>
    </w:p>
    <w:p w14:paraId="0FEC5610">
      <w:pPr>
        <w:spacing w:line="360" w:lineRule="auto"/>
        <w:ind w:firstLine="440" w:firstLineChars="200"/>
        <w:rPr>
          <w:rFonts w:hint="default"/>
        </w:rPr>
      </w:pPr>
      <w:r>
        <w:t>（一）法律法规和国家有关政策明确规定优先或者应当面向事业单位、社会组织等非企业主体采购的；</w:t>
      </w:r>
    </w:p>
    <w:p w14:paraId="3193BFD5">
      <w:pPr>
        <w:spacing w:line="360" w:lineRule="auto"/>
        <w:ind w:firstLine="440" w:firstLineChars="200"/>
        <w:rPr>
          <w:rFonts w:hint="default"/>
        </w:rPr>
      </w:pPr>
      <w:r>
        <w:t>（二）因确需使用不可替代的专利、专有技术，基础设施限制，或者提供特定公共服务等原因，只能从中小企业之外的供应商处采购的；</w:t>
      </w:r>
    </w:p>
    <w:p w14:paraId="438AD9DD">
      <w:pPr>
        <w:spacing w:line="360" w:lineRule="auto"/>
        <w:ind w:firstLine="440" w:firstLineChars="200"/>
        <w:rPr>
          <w:rFonts w:hint="default"/>
        </w:rPr>
      </w:pPr>
      <w:r>
        <w:t>（三）按照本办法规定预留采购份额无法确保充分供应、充分竞争，或者存在可能影响政府采购目标实现的情形；</w:t>
      </w:r>
    </w:p>
    <w:p w14:paraId="788A0057">
      <w:pPr>
        <w:spacing w:line="360" w:lineRule="auto"/>
        <w:ind w:firstLine="440" w:firstLineChars="200"/>
        <w:rPr>
          <w:rFonts w:hint="default"/>
        </w:rPr>
      </w:pPr>
      <w:r>
        <w:t>（四）框架协议采购项目；</w:t>
      </w:r>
    </w:p>
    <w:p w14:paraId="2B8D1448">
      <w:pPr>
        <w:spacing w:line="360" w:lineRule="auto"/>
        <w:ind w:firstLine="440" w:firstLineChars="200"/>
        <w:rPr>
          <w:rFonts w:hint="default"/>
        </w:rPr>
      </w:pPr>
      <w:r>
        <w:t>（五）省级以上人民政府财政部门规定的其他情形。</w:t>
      </w:r>
    </w:p>
    <w:p w14:paraId="1205A860">
      <w:pPr>
        <w:spacing w:line="360" w:lineRule="auto"/>
        <w:ind w:firstLine="440" w:firstLineChars="200"/>
        <w:rPr>
          <w:rFonts w:hint="default"/>
        </w:rPr>
      </w:pPr>
      <w:r>
        <w:t>除上述情形外，其他均为适宜由中小企业提供的情形。</w:t>
      </w:r>
    </w:p>
    <w:p w14:paraId="00FADC3C">
      <w:pPr>
        <w:spacing w:line="360" w:lineRule="auto"/>
        <w:ind w:firstLine="440" w:firstLineChars="200"/>
        <w:rPr>
          <w:rFonts w:hint="default"/>
        </w:rPr>
      </w:pPr>
      <w:r>
        <w:t>第七条</w:t>
      </w:r>
    </w:p>
    <w:p w14:paraId="22D251D9">
      <w:pPr>
        <w:spacing w:line="360" w:lineRule="auto"/>
        <w:ind w:firstLine="440" w:firstLineChars="200"/>
        <w:rPr>
          <w:rFonts w:hint="default"/>
        </w:rPr>
      </w:pPr>
      <w:r>
        <w:t>采购限额标准以上，200 万元以下的货物和服务采购项目、400 万元以下的工程采购项目，适宜由中小企业提供的，采购人应当专门面向中小企业采购。</w:t>
      </w:r>
    </w:p>
    <w:p w14:paraId="120CED71">
      <w:pPr>
        <w:spacing w:line="360" w:lineRule="auto"/>
        <w:ind w:firstLine="440" w:firstLineChars="200"/>
        <w:rPr>
          <w:rFonts w:hint="default"/>
        </w:rPr>
      </w:pPr>
      <w:r>
        <w:t>第八条</w:t>
      </w:r>
    </w:p>
    <w:p w14:paraId="45A8A746">
      <w:pPr>
        <w:spacing w:line="360" w:lineRule="auto"/>
        <w:ind w:firstLine="440" w:firstLineChars="200"/>
        <w:rPr>
          <w:rFonts w:hint="default"/>
        </w:rPr>
      </w:pPr>
      <w:r>
        <w:t>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43038B6E">
      <w:pPr>
        <w:spacing w:line="360" w:lineRule="auto"/>
        <w:ind w:firstLine="440" w:firstLineChars="200"/>
        <w:rPr>
          <w:rFonts w:hint="default"/>
        </w:rPr>
      </w:pPr>
      <w:r>
        <w:t>（一）将采购项目整体或者设置采购包专门面向中小企业采购；</w:t>
      </w:r>
    </w:p>
    <w:p w14:paraId="5EB3AE0A">
      <w:pPr>
        <w:spacing w:line="360" w:lineRule="auto"/>
        <w:ind w:firstLine="440" w:firstLineChars="200"/>
        <w:rPr>
          <w:rFonts w:hint="default"/>
        </w:rPr>
      </w:pPr>
      <w:r>
        <w:t>（二）要求供应商以联合体形式参加采购活动，且联合体中中小企业承担的部分达到一定比例；</w:t>
      </w:r>
    </w:p>
    <w:p w14:paraId="526A59D3">
      <w:pPr>
        <w:spacing w:line="360" w:lineRule="auto"/>
        <w:ind w:firstLine="440" w:firstLineChars="200"/>
        <w:rPr>
          <w:rFonts w:hint="default"/>
        </w:rPr>
      </w:pPr>
      <w:r>
        <w:t>（三）要求获得采购合同的供应商将采购项目中的一定比例分包给一家或者多家中小企业。组成联合体或者接受分包合同的中小企业与联合体内其他企业、分包企业之间不得存在直接控股、管理关系。</w:t>
      </w:r>
    </w:p>
    <w:p w14:paraId="62EC95F6">
      <w:pPr>
        <w:spacing w:line="360" w:lineRule="auto"/>
        <w:ind w:firstLine="440" w:firstLineChars="200"/>
        <w:rPr>
          <w:rFonts w:hint="default"/>
        </w:rPr>
      </w:pPr>
      <w:r>
        <w:t>第九条</w:t>
      </w:r>
    </w:p>
    <w:p w14:paraId="44613FC7">
      <w:pPr>
        <w:spacing w:line="360" w:lineRule="auto"/>
        <w:ind w:firstLine="440" w:firstLineChars="200"/>
        <w:rPr>
          <w:rFonts w:hint="default"/>
        </w:rPr>
      </w:pPr>
      <w:r>
        <w:t>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BAF006C">
      <w:pPr>
        <w:spacing w:line="360" w:lineRule="auto"/>
        <w:ind w:firstLine="440" w:firstLineChars="200"/>
        <w:rPr>
          <w:rFonts w:hint="default"/>
        </w:rPr>
      </w:pPr>
      <w: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8390ED3">
      <w:pPr>
        <w:spacing w:line="360" w:lineRule="auto"/>
        <w:ind w:firstLine="440" w:firstLineChars="200"/>
        <w:rPr>
          <w:rFonts w:hint="default"/>
        </w:rPr>
      </w:pPr>
      <w:r>
        <w:t>第十条</w:t>
      </w:r>
    </w:p>
    <w:p w14:paraId="64CAB18B">
      <w:pPr>
        <w:spacing w:line="360" w:lineRule="auto"/>
        <w:ind w:firstLine="440" w:firstLineChars="200"/>
        <w:rPr>
          <w:rFonts w:hint="default"/>
        </w:rPr>
      </w:pPr>
      <w:r>
        <w:t>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32A62CED">
      <w:pPr>
        <w:spacing w:line="360" w:lineRule="auto"/>
        <w:ind w:firstLine="440" w:firstLineChars="200"/>
        <w:rPr>
          <w:rFonts w:hint="default"/>
        </w:rPr>
      </w:pPr>
      <w:r>
        <w:t>第十一条</w:t>
      </w:r>
    </w:p>
    <w:p w14:paraId="5AEFAD51">
      <w:pPr>
        <w:spacing w:line="360" w:lineRule="auto"/>
        <w:ind w:firstLine="440" w:firstLineChars="200"/>
        <w:rPr>
          <w:rFonts w:hint="default"/>
        </w:rPr>
      </w:pPr>
      <w:r>
        <w:t>中小企业参加政府采购活动，应当出具本办法规定的《中小企业声明函》（附 1），否则不得享受相关中小企业扶持政策。任何单位和个人不得要求供应商提供《中小企业声明函》之外的中小企业身份证明文件。</w:t>
      </w:r>
    </w:p>
    <w:p w14:paraId="4F01CD2A">
      <w:pPr>
        <w:spacing w:line="360" w:lineRule="auto"/>
        <w:ind w:firstLine="440" w:firstLineChars="200"/>
        <w:rPr>
          <w:rFonts w:hint="default"/>
        </w:rPr>
      </w:pPr>
      <w:r>
        <w:t>第十二条</w:t>
      </w:r>
    </w:p>
    <w:p w14:paraId="66A58D27">
      <w:pPr>
        <w:spacing w:line="360" w:lineRule="auto"/>
        <w:ind w:firstLine="440" w:firstLineChars="200"/>
        <w:rPr>
          <w:rFonts w:hint="default"/>
        </w:rPr>
      </w:pPr>
      <w:r>
        <w:t>采购项目涉及中小企业采购的，采购文件应当明确以下内容：</w:t>
      </w:r>
    </w:p>
    <w:p w14:paraId="037CEFED">
      <w:pPr>
        <w:spacing w:line="360" w:lineRule="auto"/>
        <w:ind w:firstLine="440" w:firstLineChars="200"/>
        <w:rPr>
          <w:rFonts w:hint="default"/>
        </w:rPr>
      </w:pPr>
      <w:r>
        <w:t>（一）预留份额的采购项目或者采购包，明确该项目或相关采购包专门面向中小企业采购，以及相关标的及预算金额；</w:t>
      </w:r>
    </w:p>
    <w:p w14:paraId="1C5D38FC">
      <w:pPr>
        <w:spacing w:line="360" w:lineRule="auto"/>
        <w:ind w:firstLine="440" w:firstLineChars="200"/>
        <w:rPr>
          <w:rFonts w:hint="default"/>
        </w:rPr>
      </w:pPr>
      <w:r>
        <w:t>（二）要求以联合体形式参加或者合同分包的，明确联合协议或者分包意向协议中中小企业合同金额应当达到的比例，并作为供应商资格条件；</w:t>
      </w:r>
    </w:p>
    <w:p w14:paraId="4D83CD1F">
      <w:pPr>
        <w:spacing w:line="360" w:lineRule="auto"/>
        <w:ind w:firstLine="440" w:firstLineChars="200"/>
        <w:rPr>
          <w:rFonts w:hint="default"/>
        </w:rPr>
      </w:pPr>
      <w:r>
        <w:t>（三）非预留份额的采购项目或者采购包，明确有关价格扣除比例或者价格分加分比例；</w:t>
      </w:r>
    </w:p>
    <w:p w14:paraId="2658BFAC">
      <w:pPr>
        <w:spacing w:line="360" w:lineRule="auto"/>
        <w:ind w:firstLine="440" w:firstLineChars="200"/>
        <w:rPr>
          <w:rFonts w:hint="default"/>
        </w:rPr>
      </w:pPr>
      <w:r>
        <w:t>（四）规定依据本办法规定享受扶持政策获得政府采购合同的，小微企业不得将合同分包给大中型企业，中型企业不得将合同分包给大型企业；</w:t>
      </w:r>
    </w:p>
    <w:p w14:paraId="22EAC242">
      <w:pPr>
        <w:spacing w:line="360" w:lineRule="auto"/>
        <w:ind w:firstLine="440" w:firstLineChars="200"/>
        <w:rPr>
          <w:rFonts w:hint="default"/>
        </w:rPr>
      </w:pPr>
      <w:r>
        <w:t>（五）采购人认为具备相关条件的，明确对中小企业在资金支付期限、预付款比例等方面的优惠措施；</w:t>
      </w:r>
    </w:p>
    <w:p w14:paraId="41BAA987">
      <w:pPr>
        <w:spacing w:line="360" w:lineRule="auto"/>
        <w:ind w:firstLine="440" w:firstLineChars="200"/>
        <w:rPr>
          <w:rFonts w:hint="default"/>
        </w:rPr>
      </w:pPr>
      <w:r>
        <w:t>（六）明确采购标的对应的中小企业划分标准所属行业；</w:t>
      </w:r>
    </w:p>
    <w:p w14:paraId="269AF53E">
      <w:pPr>
        <w:spacing w:line="360" w:lineRule="auto"/>
        <w:ind w:firstLine="440" w:firstLineChars="200"/>
        <w:rPr>
          <w:rFonts w:hint="default"/>
        </w:rPr>
      </w:pPr>
      <w:r>
        <w:t>（七）法律法规和省级以上人民政府财政部门规定的其他事项。</w:t>
      </w:r>
    </w:p>
    <w:p w14:paraId="1AFC2CAC">
      <w:pPr>
        <w:spacing w:line="360" w:lineRule="auto"/>
        <w:ind w:firstLine="440" w:firstLineChars="200"/>
        <w:rPr>
          <w:rFonts w:hint="default"/>
        </w:rPr>
      </w:pPr>
      <w:r>
        <w:t>第十三条</w:t>
      </w:r>
    </w:p>
    <w:p w14:paraId="0F71EB13">
      <w:pPr>
        <w:spacing w:line="360" w:lineRule="auto"/>
        <w:ind w:firstLine="440" w:firstLineChars="200"/>
        <w:rPr>
          <w:rFonts w:hint="default"/>
        </w:rPr>
      </w:pPr>
      <w: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7FF3EAA6">
      <w:pPr>
        <w:spacing w:line="360" w:lineRule="auto"/>
        <w:ind w:firstLine="440" w:firstLineChars="200"/>
        <w:rPr>
          <w:rFonts w:hint="default"/>
        </w:rPr>
      </w:pPr>
      <w:r>
        <w:t>第十四条</w:t>
      </w:r>
    </w:p>
    <w:p w14:paraId="4C6BF309">
      <w:pPr>
        <w:spacing w:line="360" w:lineRule="auto"/>
        <w:ind w:firstLine="440" w:firstLineChars="200"/>
        <w:rPr>
          <w:rFonts w:hint="default"/>
        </w:rPr>
      </w:pPr>
      <w: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F3D975C">
      <w:pPr>
        <w:spacing w:line="360" w:lineRule="auto"/>
        <w:ind w:firstLine="440" w:firstLineChars="200"/>
        <w:rPr>
          <w:rFonts w:hint="default"/>
        </w:rPr>
      </w:pPr>
      <w:r>
        <w:t>第十五条</w:t>
      </w:r>
    </w:p>
    <w:p w14:paraId="09A863FB">
      <w:pPr>
        <w:spacing w:line="360" w:lineRule="auto"/>
        <w:ind w:firstLine="440" w:firstLineChars="200"/>
        <w:rPr>
          <w:rFonts w:hint="default"/>
        </w:rPr>
      </w:pPr>
      <w:r>
        <w:t>鼓励各地区、各部门在采购活动中允许中小企业引入信用担保手段，为中小企业在投标（响应）保证、履约保证等方面提供专业化服务。鼓励中小企业依法合规通过政府采购合同融资。</w:t>
      </w:r>
    </w:p>
    <w:p w14:paraId="682BA1E9">
      <w:pPr>
        <w:spacing w:line="360" w:lineRule="auto"/>
        <w:ind w:firstLine="440" w:firstLineChars="200"/>
        <w:rPr>
          <w:rFonts w:hint="default"/>
        </w:rPr>
      </w:pPr>
      <w:r>
        <w:t>第十六条</w:t>
      </w:r>
    </w:p>
    <w:p w14:paraId="2A457F08">
      <w:pPr>
        <w:spacing w:line="360" w:lineRule="auto"/>
        <w:ind w:firstLine="440" w:firstLineChars="200"/>
        <w:rPr>
          <w:rFonts w:hint="default"/>
        </w:rPr>
      </w:pPr>
      <w:r>
        <w:t>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0CB8836B">
      <w:pPr>
        <w:spacing w:line="360" w:lineRule="auto"/>
        <w:ind w:firstLine="440" w:firstLineChars="200"/>
        <w:rPr>
          <w:rFonts w:hint="default"/>
        </w:rPr>
      </w:pPr>
      <w:r>
        <w:t>第十七条</w:t>
      </w:r>
    </w:p>
    <w:p w14:paraId="7D1C9BAC">
      <w:pPr>
        <w:spacing w:line="360" w:lineRule="auto"/>
        <w:ind w:firstLine="440" w:firstLineChars="200"/>
        <w:rPr>
          <w:rFonts w:hint="default"/>
        </w:rPr>
      </w:pPr>
      <w:r>
        <w:t>各地区、各部门应当对涉及中小企业采购的预算项目实施全过程绩效管理，合理设置绩效目标和指标，落实扶持中小企业有关政策要求，定期开展绩效监控和评价，强化绩效评价结果应用。</w:t>
      </w:r>
    </w:p>
    <w:p w14:paraId="67778461">
      <w:pPr>
        <w:spacing w:line="360" w:lineRule="auto"/>
        <w:ind w:firstLine="440" w:firstLineChars="200"/>
        <w:rPr>
          <w:rFonts w:hint="default"/>
        </w:rPr>
      </w:pPr>
      <w:r>
        <w:t>第十八条</w:t>
      </w:r>
    </w:p>
    <w:p w14:paraId="0B67059B">
      <w:pPr>
        <w:spacing w:line="360" w:lineRule="auto"/>
        <w:ind w:firstLine="440" w:firstLineChars="200"/>
        <w:rPr>
          <w:rFonts w:hint="default"/>
        </w:rPr>
      </w:pPr>
      <w: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A2E9374">
      <w:pPr>
        <w:spacing w:line="360" w:lineRule="auto"/>
        <w:ind w:firstLine="440" w:firstLineChars="200"/>
        <w:rPr>
          <w:rFonts w:hint="default"/>
        </w:rPr>
      </w:pPr>
      <w:r>
        <w:t>第十九条</w:t>
      </w:r>
    </w:p>
    <w:p w14:paraId="19DD486B">
      <w:pPr>
        <w:spacing w:line="360" w:lineRule="auto"/>
        <w:ind w:firstLine="440" w:firstLineChars="200"/>
        <w:rPr>
          <w:rFonts w:hint="default"/>
        </w:rPr>
      </w:pPr>
      <w: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ED8D0B1">
      <w:pPr>
        <w:spacing w:line="360" w:lineRule="auto"/>
        <w:ind w:firstLine="440" w:firstLineChars="200"/>
        <w:rPr>
          <w:rFonts w:hint="default"/>
        </w:rPr>
      </w:pPr>
      <w:r>
        <w:t>第二十条</w:t>
      </w:r>
    </w:p>
    <w:p w14:paraId="0C925B64">
      <w:pPr>
        <w:spacing w:line="360" w:lineRule="auto"/>
        <w:ind w:firstLine="440" w:firstLineChars="200"/>
        <w:rPr>
          <w:rFonts w:hint="default"/>
        </w:rPr>
      </w:pPr>
      <w:r>
        <w:t>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3ECD74A4">
      <w:pPr>
        <w:spacing w:line="360" w:lineRule="auto"/>
        <w:ind w:firstLine="440" w:firstLineChars="200"/>
        <w:rPr>
          <w:rFonts w:hint="default"/>
        </w:rPr>
      </w:pPr>
      <w:r>
        <w:t>第二十一条</w:t>
      </w:r>
    </w:p>
    <w:p w14:paraId="0C01F93F">
      <w:pPr>
        <w:spacing w:line="360" w:lineRule="auto"/>
        <w:ind w:firstLine="440" w:firstLineChars="200"/>
        <w:rPr>
          <w:rFonts w:hint="default"/>
        </w:rPr>
      </w:pPr>
      <w: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6BEDAC8F">
      <w:pPr>
        <w:spacing w:line="360" w:lineRule="auto"/>
        <w:ind w:firstLine="440" w:firstLineChars="200"/>
        <w:rPr>
          <w:rFonts w:hint="default"/>
        </w:rPr>
      </w:pPr>
      <w:r>
        <w:t>有关规定追究相应责任；涉嫌犯罪的，依法移送有关国家机关处理。</w:t>
      </w:r>
    </w:p>
    <w:p w14:paraId="35E8BF50">
      <w:pPr>
        <w:spacing w:line="360" w:lineRule="auto"/>
        <w:ind w:firstLine="440" w:firstLineChars="200"/>
        <w:rPr>
          <w:rFonts w:hint="default"/>
        </w:rPr>
      </w:pPr>
      <w:r>
        <w:t>第二十二条</w:t>
      </w:r>
    </w:p>
    <w:p w14:paraId="00301D66">
      <w:pPr>
        <w:spacing w:line="360" w:lineRule="auto"/>
        <w:ind w:firstLine="440" w:firstLineChars="200"/>
        <w:rPr>
          <w:rFonts w:hint="default"/>
        </w:rPr>
      </w:pPr>
      <w:r>
        <w:t>对外援助项目、国家相关资格或者资质管理制度另有规定的项目，不适用本办法。</w:t>
      </w:r>
    </w:p>
    <w:p w14:paraId="64D07170">
      <w:pPr>
        <w:spacing w:line="360" w:lineRule="auto"/>
        <w:ind w:firstLine="440" w:firstLineChars="200"/>
        <w:rPr>
          <w:rFonts w:hint="default"/>
        </w:rPr>
      </w:pPr>
      <w:r>
        <w:t>第二十三条</w:t>
      </w:r>
    </w:p>
    <w:p w14:paraId="470BC304">
      <w:pPr>
        <w:spacing w:line="360" w:lineRule="auto"/>
        <w:ind w:firstLine="440" w:firstLineChars="200"/>
        <w:rPr>
          <w:rFonts w:hint="default"/>
        </w:rPr>
      </w:pPr>
      <w:r>
        <w:t>关于视同中小企业的其他主体的政府采购扶持政策，由财政部会同有关部门另行规定。</w:t>
      </w:r>
    </w:p>
    <w:p w14:paraId="4FB2810F">
      <w:pPr>
        <w:spacing w:line="360" w:lineRule="auto"/>
        <w:ind w:firstLine="440" w:firstLineChars="200"/>
        <w:rPr>
          <w:rFonts w:hint="default"/>
        </w:rPr>
      </w:pPr>
      <w:r>
        <w:t>第二十四条</w:t>
      </w:r>
    </w:p>
    <w:p w14:paraId="36207024">
      <w:pPr>
        <w:spacing w:line="360" w:lineRule="auto"/>
        <w:ind w:firstLine="440" w:firstLineChars="200"/>
        <w:rPr>
          <w:rFonts w:hint="default"/>
        </w:rPr>
      </w:pPr>
      <w:r>
        <w:t>省级财政部门可以会同中小企业主管部门根据本办法的规定制定具体实施办法。</w:t>
      </w:r>
    </w:p>
    <w:p w14:paraId="31C4DCF4">
      <w:pPr>
        <w:spacing w:line="360" w:lineRule="auto"/>
        <w:ind w:firstLine="440" w:firstLineChars="200"/>
        <w:rPr>
          <w:rFonts w:hint="default"/>
        </w:rPr>
      </w:pPr>
      <w:r>
        <w:t>第二十五条</w:t>
      </w:r>
    </w:p>
    <w:p w14:paraId="187F14A3">
      <w:pPr>
        <w:spacing w:line="360" w:lineRule="auto"/>
        <w:ind w:firstLine="440" w:firstLineChars="200"/>
        <w:rPr>
          <w:rFonts w:hint="default"/>
        </w:rPr>
      </w:pPr>
      <w:r>
        <w:t>本办法自2021年1月1日起施行。 财政部工业和信息化部关于印发〈政府采购促进中小企业发展暂行办法〉的通知》（财库﹝2011﹞181 号）同时废止。</w:t>
      </w:r>
    </w:p>
    <w:p w14:paraId="5FE4AFB7">
      <w:pPr>
        <w:jc w:val="center"/>
        <w:rPr>
          <w:rFonts w:hint="default" w:hAnsi="Courier New" w:eastAsia="黑体" w:cs="Century"/>
          <w:b/>
          <w:bCs/>
          <w:sz w:val="36"/>
          <w:szCs w:val="36"/>
          <w:lang w:val="zh-CN"/>
        </w:rPr>
      </w:pPr>
    </w:p>
    <w:p w14:paraId="21CE724E">
      <w:pPr>
        <w:jc w:val="center"/>
        <w:rPr>
          <w:rFonts w:hint="default" w:hAnsi="Courier New" w:eastAsia="黑体" w:cs="Century"/>
          <w:b/>
          <w:bCs/>
          <w:sz w:val="36"/>
          <w:szCs w:val="36"/>
          <w:lang w:val="zh-CN"/>
        </w:rPr>
      </w:pPr>
    </w:p>
    <w:p w14:paraId="70D167F3">
      <w:pPr>
        <w:pStyle w:val="22"/>
        <w:ind w:left="0" w:leftChars="0" w:firstLine="0" w:firstLineChars="0"/>
        <w:rPr>
          <w:rFonts w:hint="default" w:ascii="宋体" w:hAnsi="Courier New" w:eastAsia="黑体" w:cs="Century"/>
          <w:b/>
          <w:bCs/>
          <w:sz w:val="36"/>
          <w:szCs w:val="36"/>
          <w:lang w:val="zh-CN"/>
        </w:rPr>
      </w:pPr>
    </w:p>
    <w:p w14:paraId="661F943D">
      <w:pPr>
        <w:pStyle w:val="22"/>
        <w:ind w:left="0" w:leftChars="0" w:firstLine="0" w:firstLineChars="0"/>
        <w:rPr>
          <w:rFonts w:hint="default" w:ascii="宋体" w:hAnsi="Courier New" w:eastAsia="黑体" w:cs="Century"/>
          <w:b/>
          <w:bCs/>
          <w:sz w:val="36"/>
          <w:szCs w:val="36"/>
          <w:lang w:val="zh-CN"/>
        </w:rPr>
      </w:pPr>
    </w:p>
    <w:p w14:paraId="4D522433">
      <w:pPr>
        <w:pStyle w:val="22"/>
        <w:ind w:left="0" w:leftChars="0" w:firstLine="0" w:firstLineChars="0"/>
        <w:rPr>
          <w:rFonts w:hint="default" w:ascii="宋体" w:hAnsi="Courier New" w:eastAsia="黑体" w:cs="Century"/>
          <w:b/>
          <w:bCs/>
          <w:sz w:val="36"/>
          <w:szCs w:val="36"/>
          <w:lang w:val="zh-CN"/>
        </w:rPr>
      </w:pPr>
    </w:p>
    <w:p w14:paraId="72CEA98B">
      <w:pPr>
        <w:pStyle w:val="22"/>
        <w:ind w:left="0" w:leftChars="0" w:firstLine="0" w:firstLineChars="0"/>
        <w:rPr>
          <w:rFonts w:hint="default" w:ascii="宋体" w:hAnsi="Courier New" w:eastAsia="黑体" w:cs="Century"/>
          <w:b/>
          <w:bCs/>
          <w:sz w:val="36"/>
          <w:szCs w:val="36"/>
          <w:lang w:val="zh-CN"/>
        </w:rPr>
      </w:pPr>
    </w:p>
    <w:p w14:paraId="706B2A61">
      <w:pPr>
        <w:pStyle w:val="22"/>
        <w:ind w:left="0" w:leftChars="0" w:firstLine="0" w:firstLineChars="0"/>
        <w:rPr>
          <w:rFonts w:hint="default" w:ascii="宋体" w:hAnsi="Courier New" w:eastAsia="黑体" w:cs="Century"/>
          <w:b/>
          <w:bCs/>
          <w:sz w:val="36"/>
          <w:szCs w:val="36"/>
          <w:lang w:val="zh-CN"/>
        </w:rPr>
      </w:pPr>
    </w:p>
    <w:p w14:paraId="33686792">
      <w:pPr>
        <w:pStyle w:val="22"/>
        <w:ind w:left="0" w:leftChars="0" w:firstLine="0" w:firstLineChars="0"/>
        <w:rPr>
          <w:rFonts w:hint="default" w:ascii="宋体" w:hAnsi="Courier New" w:eastAsia="黑体" w:cs="Century"/>
          <w:b/>
          <w:bCs/>
          <w:sz w:val="36"/>
          <w:szCs w:val="36"/>
          <w:lang w:val="zh-CN"/>
        </w:rPr>
      </w:pPr>
    </w:p>
    <w:p w14:paraId="52E08F61">
      <w:pPr>
        <w:pStyle w:val="22"/>
        <w:ind w:left="0" w:leftChars="0" w:firstLine="0" w:firstLineChars="0"/>
        <w:rPr>
          <w:rFonts w:hint="default" w:ascii="宋体" w:hAnsi="Courier New" w:eastAsia="黑体" w:cs="Century"/>
          <w:b/>
          <w:bCs/>
          <w:sz w:val="36"/>
          <w:szCs w:val="36"/>
          <w:lang w:val="zh-CN"/>
        </w:rPr>
      </w:pPr>
    </w:p>
    <w:p w14:paraId="1BEDF22F">
      <w:pPr>
        <w:pStyle w:val="22"/>
        <w:ind w:left="0" w:leftChars="0" w:firstLine="0" w:firstLineChars="0"/>
        <w:rPr>
          <w:rFonts w:hint="default" w:ascii="宋体" w:hAnsi="Courier New" w:eastAsia="黑体" w:cs="Century"/>
          <w:b/>
          <w:bCs/>
          <w:sz w:val="36"/>
          <w:szCs w:val="36"/>
          <w:lang w:val="zh-CN"/>
        </w:rPr>
      </w:pPr>
    </w:p>
    <w:p w14:paraId="09F0B456">
      <w:pPr>
        <w:jc w:val="center"/>
        <w:rPr>
          <w:rFonts w:hint="default" w:cs="宋体"/>
          <w:sz w:val="21"/>
          <w:szCs w:val="21"/>
        </w:rPr>
      </w:pPr>
      <w:r>
        <w:rPr>
          <w:rFonts w:cs="宋体"/>
          <w:sz w:val="21"/>
          <w:szCs w:val="21"/>
        </w:rPr>
        <w:br w:type="page"/>
      </w:r>
      <w:r>
        <w:rPr>
          <w:rFonts w:cs="宋体"/>
          <w:sz w:val="21"/>
          <w:szCs w:val="21"/>
        </w:rPr>
        <w:t>大中小微型企业划分标准</w:t>
      </w:r>
    </w:p>
    <w:tbl>
      <w:tblPr>
        <w:tblStyle w:val="23"/>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48"/>
        <w:gridCol w:w="709"/>
        <w:gridCol w:w="1125"/>
        <w:gridCol w:w="1701"/>
        <w:gridCol w:w="1426"/>
        <w:gridCol w:w="992"/>
      </w:tblGrid>
      <w:tr w14:paraId="1CA9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50" w:type="dxa"/>
            <w:noWrap/>
            <w:vAlign w:val="center"/>
          </w:tcPr>
          <w:p w14:paraId="5C81697A">
            <w:pPr>
              <w:widowControl/>
              <w:spacing w:line="240" w:lineRule="exact"/>
              <w:jc w:val="center"/>
              <w:rPr>
                <w:rFonts w:hint="eastAsia" w:ascii="宋体" w:hAnsi="宋体" w:eastAsia="宋体" w:cs="宋体"/>
                <w:b/>
                <w:bCs/>
                <w:sz w:val="21"/>
                <w:szCs w:val="21"/>
              </w:rPr>
            </w:pPr>
            <w:r>
              <w:rPr>
                <w:rFonts w:hint="eastAsia" w:ascii="宋体" w:hAnsi="宋体" w:eastAsia="宋体" w:cs="宋体"/>
                <w:b/>
                <w:bCs/>
                <w:sz w:val="21"/>
                <w:szCs w:val="21"/>
              </w:rPr>
              <w:t>行业名称</w:t>
            </w:r>
          </w:p>
        </w:tc>
        <w:tc>
          <w:tcPr>
            <w:tcW w:w="1648" w:type="dxa"/>
            <w:noWrap/>
            <w:vAlign w:val="center"/>
          </w:tcPr>
          <w:p w14:paraId="71349539">
            <w:pPr>
              <w:widowControl/>
              <w:jc w:val="center"/>
              <w:rPr>
                <w:rFonts w:hint="eastAsia" w:ascii="宋体" w:hAnsi="宋体" w:eastAsia="宋体" w:cs="宋体"/>
                <w:b/>
                <w:bCs/>
                <w:sz w:val="21"/>
                <w:szCs w:val="21"/>
              </w:rPr>
            </w:pPr>
            <w:r>
              <w:rPr>
                <w:rFonts w:hint="eastAsia" w:ascii="宋体" w:hAnsi="宋体" w:eastAsia="宋体" w:cs="宋体"/>
                <w:b/>
                <w:bCs/>
                <w:sz w:val="21"/>
                <w:szCs w:val="21"/>
              </w:rPr>
              <w:t>指标名称</w:t>
            </w:r>
          </w:p>
        </w:tc>
        <w:tc>
          <w:tcPr>
            <w:tcW w:w="709" w:type="dxa"/>
            <w:noWrap/>
            <w:vAlign w:val="center"/>
          </w:tcPr>
          <w:p w14:paraId="3E7F9091">
            <w:pPr>
              <w:widowControl/>
              <w:jc w:val="center"/>
              <w:rPr>
                <w:rFonts w:hint="eastAsia" w:ascii="宋体" w:hAnsi="宋体" w:eastAsia="宋体" w:cs="宋体"/>
                <w:b/>
                <w:bCs/>
                <w:sz w:val="21"/>
                <w:szCs w:val="21"/>
              </w:rPr>
            </w:pPr>
            <w:r>
              <w:rPr>
                <w:rFonts w:hint="eastAsia" w:ascii="宋体" w:hAnsi="宋体" w:eastAsia="宋体" w:cs="宋体"/>
                <w:b/>
                <w:bCs/>
                <w:sz w:val="21"/>
                <w:szCs w:val="21"/>
              </w:rPr>
              <w:t>计量</w:t>
            </w:r>
            <w:r>
              <w:rPr>
                <w:rFonts w:hint="eastAsia" w:ascii="宋体" w:hAnsi="宋体" w:eastAsia="宋体" w:cs="宋体"/>
                <w:b/>
                <w:bCs/>
                <w:sz w:val="21"/>
                <w:szCs w:val="21"/>
              </w:rPr>
              <w:br w:type="textWrapping"/>
            </w:r>
            <w:r>
              <w:rPr>
                <w:rFonts w:hint="eastAsia" w:ascii="宋体" w:hAnsi="宋体" w:eastAsia="宋体" w:cs="宋体"/>
                <w:b/>
                <w:bCs/>
                <w:sz w:val="21"/>
                <w:szCs w:val="21"/>
              </w:rPr>
              <w:t>单位</w:t>
            </w:r>
          </w:p>
        </w:tc>
        <w:tc>
          <w:tcPr>
            <w:tcW w:w="1125" w:type="dxa"/>
            <w:noWrap/>
            <w:vAlign w:val="center"/>
          </w:tcPr>
          <w:p w14:paraId="62503812">
            <w:pPr>
              <w:widowControl/>
              <w:jc w:val="center"/>
              <w:rPr>
                <w:rFonts w:hint="eastAsia" w:ascii="宋体" w:hAnsi="宋体" w:eastAsia="宋体" w:cs="宋体"/>
                <w:b/>
                <w:bCs/>
                <w:sz w:val="21"/>
                <w:szCs w:val="21"/>
              </w:rPr>
            </w:pPr>
            <w:r>
              <w:rPr>
                <w:rFonts w:hint="eastAsia" w:ascii="宋体" w:hAnsi="宋体" w:eastAsia="宋体" w:cs="宋体"/>
                <w:b/>
                <w:bCs/>
                <w:sz w:val="21"/>
                <w:szCs w:val="21"/>
              </w:rPr>
              <w:t>大型</w:t>
            </w:r>
          </w:p>
        </w:tc>
        <w:tc>
          <w:tcPr>
            <w:tcW w:w="1701" w:type="dxa"/>
            <w:noWrap/>
            <w:vAlign w:val="center"/>
          </w:tcPr>
          <w:p w14:paraId="075370DE">
            <w:pPr>
              <w:widowControl/>
              <w:jc w:val="center"/>
              <w:rPr>
                <w:rFonts w:hint="eastAsia" w:ascii="宋体" w:hAnsi="宋体" w:eastAsia="宋体" w:cs="宋体"/>
                <w:b/>
                <w:bCs/>
                <w:sz w:val="21"/>
                <w:szCs w:val="21"/>
              </w:rPr>
            </w:pPr>
            <w:r>
              <w:rPr>
                <w:rFonts w:hint="eastAsia" w:ascii="宋体" w:hAnsi="宋体" w:eastAsia="宋体" w:cs="宋体"/>
                <w:b/>
                <w:bCs/>
                <w:sz w:val="21"/>
                <w:szCs w:val="21"/>
              </w:rPr>
              <w:t>中型</w:t>
            </w:r>
          </w:p>
        </w:tc>
        <w:tc>
          <w:tcPr>
            <w:tcW w:w="1426" w:type="dxa"/>
            <w:noWrap/>
            <w:vAlign w:val="center"/>
          </w:tcPr>
          <w:p w14:paraId="7C2F1672">
            <w:pPr>
              <w:widowControl/>
              <w:jc w:val="center"/>
              <w:rPr>
                <w:rFonts w:hint="eastAsia" w:ascii="宋体" w:hAnsi="宋体" w:eastAsia="宋体" w:cs="宋体"/>
                <w:b/>
                <w:bCs/>
                <w:sz w:val="21"/>
                <w:szCs w:val="21"/>
              </w:rPr>
            </w:pPr>
            <w:r>
              <w:rPr>
                <w:rFonts w:hint="eastAsia" w:ascii="宋体" w:hAnsi="宋体" w:eastAsia="宋体" w:cs="宋体"/>
                <w:b/>
                <w:bCs/>
                <w:sz w:val="21"/>
                <w:szCs w:val="21"/>
              </w:rPr>
              <w:t>小型</w:t>
            </w:r>
          </w:p>
        </w:tc>
        <w:tc>
          <w:tcPr>
            <w:tcW w:w="992" w:type="dxa"/>
            <w:noWrap/>
            <w:vAlign w:val="center"/>
          </w:tcPr>
          <w:p w14:paraId="571CD397">
            <w:pPr>
              <w:widowControl/>
              <w:jc w:val="center"/>
              <w:rPr>
                <w:rFonts w:hint="eastAsia" w:ascii="宋体" w:hAnsi="宋体" w:eastAsia="宋体" w:cs="宋体"/>
                <w:b/>
                <w:bCs/>
                <w:sz w:val="21"/>
                <w:szCs w:val="21"/>
              </w:rPr>
            </w:pPr>
            <w:r>
              <w:rPr>
                <w:rFonts w:hint="eastAsia" w:ascii="宋体" w:hAnsi="宋体" w:eastAsia="宋体" w:cs="宋体"/>
                <w:b/>
                <w:bCs/>
                <w:sz w:val="21"/>
                <w:szCs w:val="21"/>
              </w:rPr>
              <w:t>微型</w:t>
            </w:r>
          </w:p>
        </w:tc>
      </w:tr>
      <w:tr w14:paraId="07F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950" w:type="dxa"/>
            <w:noWrap/>
            <w:vAlign w:val="center"/>
          </w:tcPr>
          <w:p w14:paraId="1070CAEA">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农、林、牧、渔业</w:t>
            </w:r>
          </w:p>
        </w:tc>
        <w:tc>
          <w:tcPr>
            <w:tcW w:w="1648" w:type="dxa"/>
            <w:noWrap/>
            <w:vAlign w:val="center"/>
          </w:tcPr>
          <w:p w14:paraId="7FFDA30B">
            <w:pPr>
              <w:widowControl/>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6F8489E6">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56CB2799">
            <w:pPr>
              <w:widowControl/>
              <w:jc w:val="center"/>
              <w:rPr>
                <w:rFonts w:hint="eastAsia" w:ascii="宋体" w:hAnsi="宋体" w:eastAsia="宋体" w:cs="宋体"/>
                <w:sz w:val="21"/>
                <w:szCs w:val="21"/>
              </w:rPr>
            </w:pPr>
            <w:r>
              <w:rPr>
                <w:rFonts w:hint="eastAsia" w:ascii="宋体" w:hAnsi="宋体" w:eastAsia="宋体" w:cs="宋体"/>
                <w:sz w:val="21"/>
                <w:szCs w:val="21"/>
              </w:rPr>
              <w:t>Y≥20000</w:t>
            </w:r>
          </w:p>
        </w:tc>
        <w:tc>
          <w:tcPr>
            <w:tcW w:w="1701" w:type="dxa"/>
            <w:noWrap/>
            <w:vAlign w:val="center"/>
          </w:tcPr>
          <w:p w14:paraId="53DBA4F7">
            <w:pPr>
              <w:widowControl/>
              <w:jc w:val="center"/>
              <w:rPr>
                <w:rFonts w:hint="eastAsia" w:ascii="宋体" w:hAnsi="宋体" w:eastAsia="宋体" w:cs="宋体"/>
                <w:sz w:val="21"/>
                <w:szCs w:val="21"/>
              </w:rPr>
            </w:pPr>
            <w:r>
              <w:rPr>
                <w:rFonts w:hint="eastAsia" w:ascii="宋体" w:hAnsi="宋体" w:eastAsia="宋体" w:cs="宋体"/>
                <w:sz w:val="21"/>
                <w:szCs w:val="21"/>
              </w:rPr>
              <w:t xml:space="preserve"> 500≤Y＜20000</w:t>
            </w:r>
          </w:p>
        </w:tc>
        <w:tc>
          <w:tcPr>
            <w:tcW w:w="1426" w:type="dxa"/>
            <w:noWrap/>
            <w:vAlign w:val="center"/>
          </w:tcPr>
          <w:p w14:paraId="71804ECD">
            <w:pPr>
              <w:widowControl/>
              <w:jc w:val="center"/>
              <w:rPr>
                <w:rFonts w:hint="eastAsia" w:ascii="宋体" w:hAnsi="宋体" w:eastAsia="宋体" w:cs="宋体"/>
                <w:sz w:val="21"/>
                <w:szCs w:val="21"/>
              </w:rPr>
            </w:pPr>
            <w:r>
              <w:rPr>
                <w:rFonts w:hint="eastAsia" w:ascii="宋体" w:hAnsi="宋体" w:eastAsia="宋体" w:cs="宋体"/>
                <w:sz w:val="21"/>
                <w:szCs w:val="21"/>
              </w:rPr>
              <w:t xml:space="preserve"> 50≤Y＜500</w:t>
            </w:r>
          </w:p>
        </w:tc>
        <w:tc>
          <w:tcPr>
            <w:tcW w:w="992" w:type="dxa"/>
            <w:noWrap/>
            <w:vAlign w:val="center"/>
          </w:tcPr>
          <w:p w14:paraId="193A543C">
            <w:pPr>
              <w:widowControl/>
              <w:jc w:val="center"/>
              <w:rPr>
                <w:rFonts w:hint="eastAsia" w:ascii="宋体" w:hAnsi="宋体" w:eastAsia="宋体" w:cs="宋体"/>
                <w:sz w:val="21"/>
                <w:szCs w:val="21"/>
              </w:rPr>
            </w:pPr>
            <w:r>
              <w:rPr>
                <w:rFonts w:hint="eastAsia" w:ascii="宋体" w:hAnsi="宋体" w:eastAsia="宋体" w:cs="宋体"/>
                <w:sz w:val="21"/>
                <w:szCs w:val="21"/>
              </w:rPr>
              <w:t>Y＜50</w:t>
            </w:r>
          </w:p>
        </w:tc>
      </w:tr>
      <w:tr w14:paraId="2DC9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2D7619E5">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工业 *</w:t>
            </w:r>
          </w:p>
        </w:tc>
        <w:tc>
          <w:tcPr>
            <w:tcW w:w="1648" w:type="dxa"/>
            <w:noWrap/>
            <w:vAlign w:val="center"/>
          </w:tcPr>
          <w:p w14:paraId="16386A3A">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6658141E">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100A0FC6">
            <w:pPr>
              <w:widowControl/>
              <w:jc w:val="center"/>
              <w:rPr>
                <w:rFonts w:hint="eastAsia" w:ascii="宋体" w:hAnsi="宋体" w:eastAsia="宋体" w:cs="宋体"/>
                <w:sz w:val="21"/>
                <w:szCs w:val="21"/>
              </w:rPr>
            </w:pPr>
            <w:r>
              <w:rPr>
                <w:rFonts w:hint="eastAsia" w:ascii="宋体" w:hAnsi="宋体" w:eastAsia="宋体" w:cs="宋体"/>
                <w:sz w:val="21"/>
                <w:szCs w:val="21"/>
              </w:rPr>
              <w:t>X≥1000</w:t>
            </w:r>
          </w:p>
        </w:tc>
        <w:tc>
          <w:tcPr>
            <w:tcW w:w="1701" w:type="dxa"/>
            <w:noWrap/>
            <w:vAlign w:val="center"/>
          </w:tcPr>
          <w:p w14:paraId="7A394ED0">
            <w:pPr>
              <w:widowControl/>
              <w:jc w:val="center"/>
              <w:rPr>
                <w:rFonts w:hint="eastAsia" w:ascii="宋体" w:hAnsi="宋体" w:eastAsia="宋体" w:cs="宋体"/>
                <w:sz w:val="21"/>
                <w:szCs w:val="21"/>
              </w:rPr>
            </w:pPr>
            <w:r>
              <w:rPr>
                <w:rFonts w:hint="eastAsia" w:ascii="宋体" w:hAnsi="宋体" w:eastAsia="宋体" w:cs="宋体"/>
                <w:sz w:val="21"/>
                <w:szCs w:val="21"/>
              </w:rPr>
              <w:t>300≤X＜1000</w:t>
            </w:r>
          </w:p>
        </w:tc>
        <w:tc>
          <w:tcPr>
            <w:tcW w:w="1426" w:type="dxa"/>
            <w:noWrap/>
            <w:vAlign w:val="center"/>
          </w:tcPr>
          <w:p w14:paraId="40D2665E">
            <w:pPr>
              <w:widowControl/>
              <w:jc w:val="center"/>
              <w:rPr>
                <w:rFonts w:hint="eastAsia" w:ascii="宋体" w:hAnsi="宋体" w:eastAsia="宋体" w:cs="宋体"/>
                <w:sz w:val="21"/>
                <w:szCs w:val="21"/>
              </w:rPr>
            </w:pPr>
            <w:r>
              <w:rPr>
                <w:rFonts w:hint="eastAsia" w:ascii="宋体" w:hAnsi="宋体" w:eastAsia="宋体" w:cs="宋体"/>
                <w:sz w:val="21"/>
                <w:szCs w:val="21"/>
              </w:rPr>
              <w:t xml:space="preserve"> 20≤X＜300</w:t>
            </w:r>
          </w:p>
        </w:tc>
        <w:tc>
          <w:tcPr>
            <w:tcW w:w="992" w:type="dxa"/>
            <w:noWrap/>
            <w:vAlign w:val="center"/>
          </w:tcPr>
          <w:p w14:paraId="1B2A23FA">
            <w:pPr>
              <w:widowControl/>
              <w:jc w:val="center"/>
              <w:rPr>
                <w:rFonts w:hint="eastAsia" w:ascii="宋体" w:hAnsi="宋体" w:eastAsia="宋体" w:cs="宋体"/>
                <w:sz w:val="21"/>
                <w:szCs w:val="21"/>
              </w:rPr>
            </w:pPr>
            <w:r>
              <w:rPr>
                <w:rFonts w:hint="eastAsia" w:ascii="宋体" w:hAnsi="宋体" w:eastAsia="宋体" w:cs="宋体"/>
                <w:sz w:val="21"/>
                <w:szCs w:val="21"/>
              </w:rPr>
              <w:t>X＜20</w:t>
            </w:r>
          </w:p>
        </w:tc>
      </w:tr>
      <w:tr w14:paraId="029D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05965D4C">
            <w:pPr>
              <w:widowControl/>
              <w:rPr>
                <w:rFonts w:hint="eastAsia" w:ascii="宋体" w:hAnsi="宋体" w:eastAsia="宋体" w:cs="宋体"/>
                <w:sz w:val="21"/>
                <w:szCs w:val="21"/>
              </w:rPr>
            </w:pPr>
          </w:p>
        </w:tc>
        <w:tc>
          <w:tcPr>
            <w:tcW w:w="1648" w:type="dxa"/>
            <w:noWrap/>
            <w:vAlign w:val="center"/>
          </w:tcPr>
          <w:p w14:paraId="4CF9D49D">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18CC46EF">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606263FA">
            <w:pPr>
              <w:widowControl/>
              <w:jc w:val="center"/>
              <w:rPr>
                <w:rFonts w:hint="eastAsia" w:ascii="宋体" w:hAnsi="宋体" w:eastAsia="宋体" w:cs="宋体"/>
                <w:sz w:val="21"/>
                <w:szCs w:val="21"/>
              </w:rPr>
            </w:pPr>
            <w:r>
              <w:rPr>
                <w:rFonts w:hint="eastAsia" w:ascii="宋体" w:hAnsi="宋体" w:eastAsia="宋体" w:cs="宋体"/>
                <w:sz w:val="21"/>
                <w:szCs w:val="21"/>
              </w:rPr>
              <w:t>Y≥40000</w:t>
            </w:r>
          </w:p>
        </w:tc>
        <w:tc>
          <w:tcPr>
            <w:tcW w:w="1701" w:type="dxa"/>
            <w:noWrap/>
            <w:vAlign w:val="center"/>
          </w:tcPr>
          <w:p w14:paraId="099B76CA">
            <w:pPr>
              <w:widowControl/>
              <w:jc w:val="center"/>
              <w:rPr>
                <w:rFonts w:hint="eastAsia" w:ascii="宋体" w:hAnsi="宋体" w:eastAsia="宋体" w:cs="宋体"/>
                <w:sz w:val="21"/>
                <w:szCs w:val="21"/>
              </w:rPr>
            </w:pPr>
            <w:r>
              <w:rPr>
                <w:rFonts w:hint="eastAsia" w:ascii="宋体" w:hAnsi="宋体" w:eastAsia="宋体" w:cs="宋体"/>
                <w:sz w:val="21"/>
                <w:szCs w:val="21"/>
              </w:rPr>
              <w:t>2000≤Y＜40000</w:t>
            </w:r>
          </w:p>
        </w:tc>
        <w:tc>
          <w:tcPr>
            <w:tcW w:w="1426" w:type="dxa"/>
            <w:noWrap/>
            <w:vAlign w:val="center"/>
          </w:tcPr>
          <w:p w14:paraId="04873231">
            <w:pPr>
              <w:widowControl/>
              <w:jc w:val="center"/>
              <w:rPr>
                <w:rFonts w:hint="eastAsia" w:ascii="宋体" w:hAnsi="宋体" w:eastAsia="宋体" w:cs="宋体"/>
                <w:sz w:val="21"/>
                <w:szCs w:val="21"/>
              </w:rPr>
            </w:pPr>
            <w:r>
              <w:rPr>
                <w:rFonts w:hint="eastAsia" w:ascii="宋体" w:hAnsi="宋体" w:eastAsia="宋体" w:cs="宋体"/>
                <w:sz w:val="21"/>
                <w:szCs w:val="21"/>
              </w:rPr>
              <w:t xml:space="preserve"> 300≤Y＜2000</w:t>
            </w:r>
          </w:p>
        </w:tc>
        <w:tc>
          <w:tcPr>
            <w:tcW w:w="992" w:type="dxa"/>
            <w:noWrap/>
            <w:vAlign w:val="center"/>
          </w:tcPr>
          <w:p w14:paraId="3536CC18">
            <w:pPr>
              <w:widowControl/>
              <w:jc w:val="center"/>
              <w:rPr>
                <w:rFonts w:hint="eastAsia" w:ascii="宋体" w:hAnsi="宋体" w:eastAsia="宋体" w:cs="宋体"/>
                <w:sz w:val="21"/>
                <w:szCs w:val="21"/>
              </w:rPr>
            </w:pPr>
            <w:r>
              <w:rPr>
                <w:rFonts w:hint="eastAsia" w:ascii="宋体" w:hAnsi="宋体" w:eastAsia="宋体" w:cs="宋体"/>
                <w:sz w:val="21"/>
                <w:szCs w:val="21"/>
              </w:rPr>
              <w:t>Y＜300</w:t>
            </w:r>
          </w:p>
        </w:tc>
      </w:tr>
      <w:tr w14:paraId="2C07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0D7102C4">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建筑业</w:t>
            </w:r>
          </w:p>
        </w:tc>
        <w:tc>
          <w:tcPr>
            <w:tcW w:w="1648" w:type="dxa"/>
            <w:noWrap/>
            <w:vAlign w:val="center"/>
          </w:tcPr>
          <w:p w14:paraId="18907C40">
            <w:pPr>
              <w:widowControl/>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00BE10F3">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60E7194F">
            <w:pPr>
              <w:widowControl/>
              <w:jc w:val="center"/>
              <w:rPr>
                <w:rFonts w:hint="eastAsia" w:ascii="宋体" w:hAnsi="宋体" w:eastAsia="宋体" w:cs="宋体"/>
                <w:sz w:val="21"/>
                <w:szCs w:val="21"/>
              </w:rPr>
            </w:pPr>
            <w:r>
              <w:rPr>
                <w:rFonts w:hint="eastAsia" w:ascii="宋体" w:hAnsi="宋体" w:eastAsia="宋体" w:cs="宋体"/>
                <w:sz w:val="21"/>
                <w:szCs w:val="21"/>
              </w:rPr>
              <w:t>Y≥80000</w:t>
            </w:r>
          </w:p>
        </w:tc>
        <w:tc>
          <w:tcPr>
            <w:tcW w:w="1701" w:type="dxa"/>
            <w:noWrap/>
            <w:vAlign w:val="center"/>
          </w:tcPr>
          <w:p w14:paraId="650F7BD6">
            <w:pPr>
              <w:widowControl/>
              <w:jc w:val="center"/>
              <w:rPr>
                <w:rFonts w:hint="eastAsia" w:ascii="宋体" w:hAnsi="宋体" w:eastAsia="宋体" w:cs="宋体"/>
                <w:sz w:val="21"/>
                <w:szCs w:val="21"/>
              </w:rPr>
            </w:pPr>
            <w:r>
              <w:rPr>
                <w:rFonts w:hint="eastAsia" w:ascii="宋体" w:hAnsi="宋体" w:eastAsia="宋体" w:cs="宋体"/>
                <w:sz w:val="21"/>
                <w:szCs w:val="21"/>
              </w:rPr>
              <w:t>6000≤Y＜80000</w:t>
            </w:r>
          </w:p>
        </w:tc>
        <w:tc>
          <w:tcPr>
            <w:tcW w:w="1426" w:type="dxa"/>
            <w:noWrap/>
            <w:vAlign w:val="center"/>
          </w:tcPr>
          <w:p w14:paraId="5FD85B3E">
            <w:pPr>
              <w:widowControl/>
              <w:jc w:val="center"/>
              <w:rPr>
                <w:rFonts w:hint="eastAsia" w:ascii="宋体" w:hAnsi="宋体" w:eastAsia="宋体" w:cs="宋体"/>
                <w:sz w:val="21"/>
                <w:szCs w:val="21"/>
              </w:rPr>
            </w:pPr>
            <w:r>
              <w:rPr>
                <w:rFonts w:hint="eastAsia" w:ascii="宋体" w:hAnsi="宋体" w:eastAsia="宋体" w:cs="宋体"/>
                <w:sz w:val="21"/>
                <w:szCs w:val="21"/>
              </w:rPr>
              <w:t xml:space="preserve"> 300≤Y＜6000</w:t>
            </w:r>
          </w:p>
        </w:tc>
        <w:tc>
          <w:tcPr>
            <w:tcW w:w="992" w:type="dxa"/>
            <w:noWrap/>
            <w:vAlign w:val="center"/>
          </w:tcPr>
          <w:p w14:paraId="5E751B1D">
            <w:pPr>
              <w:widowControl/>
              <w:jc w:val="center"/>
              <w:rPr>
                <w:rFonts w:hint="eastAsia" w:ascii="宋体" w:hAnsi="宋体" w:eastAsia="宋体" w:cs="宋体"/>
                <w:sz w:val="21"/>
                <w:szCs w:val="21"/>
              </w:rPr>
            </w:pPr>
            <w:r>
              <w:rPr>
                <w:rFonts w:hint="eastAsia" w:ascii="宋体" w:hAnsi="宋体" w:eastAsia="宋体" w:cs="宋体"/>
                <w:sz w:val="21"/>
                <w:szCs w:val="21"/>
              </w:rPr>
              <w:t>Y＜300</w:t>
            </w:r>
          </w:p>
        </w:tc>
      </w:tr>
      <w:tr w14:paraId="7771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788FEE5F">
            <w:pPr>
              <w:widowControl/>
              <w:rPr>
                <w:rFonts w:hint="eastAsia" w:ascii="宋体" w:hAnsi="宋体" w:eastAsia="宋体" w:cs="宋体"/>
                <w:sz w:val="21"/>
                <w:szCs w:val="21"/>
              </w:rPr>
            </w:pPr>
          </w:p>
        </w:tc>
        <w:tc>
          <w:tcPr>
            <w:tcW w:w="1648" w:type="dxa"/>
            <w:noWrap/>
            <w:vAlign w:val="center"/>
          </w:tcPr>
          <w:p w14:paraId="09512D18">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资产总额(Z)</w:t>
            </w:r>
          </w:p>
        </w:tc>
        <w:tc>
          <w:tcPr>
            <w:tcW w:w="709" w:type="dxa"/>
            <w:noWrap/>
            <w:vAlign w:val="center"/>
          </w:tcPr>
          <w:p w14:paraId="41B62D20">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5E7215F9">
            <w:pPr>
              <w:widowControl/>
              <w:jc w:val="center"/>
              <w:rPr>
                <w:rFonts w:hint="eastAsia" w:ascii="宋体" w:hAnsi="宋体" w:eastAsia="宋体" w:cs="宋体"/>
                <w:sz w:val="21"/>
                <w:szCs w:val="21"/>
              </w:rPr>
            </w:pPr>
            <w:r>
              <w:rPr>
                <w:rFonts w:hint="eastAsia" w:ascii="宋体" w:hAnsi="宋体" w:eastAsia="宋体" w:cs="宋体"/>
                <w:sz w:val="21"/>
                <w:szCs w:val="21"/>
              </w:rPr>
              <w:t>Z≥80000</w:t>
            </w:r>
          </w:p>
        </w:tc>
        <w:tc>
          <w:tcPr>
            <w:tcW w:w="1701" w:type="dxa"/>
            <w:noWrap/>
            <w:vAlign w:val="center"/>
          </w:tcPr>
          <w:p w14:paraId="49B76E3F">
            <w:pPr>
              <w:widowControl/>
              <w:jc w:val="center"/>
              <w:rPr>
                <w:rFonts w:hint="eastAsia" w:ascii="宋体" w:hAnsi="宋体" w:eastAsia="宋体" w:cs="宋体"/>
                <w:sz w:val="21"/>
                <w:szCs w:val="21"/>
              </w:rPr>
            </w:pPr>
            <w:r>
              <w:rPr>
                <w:rFonts w:hint="eastAsia" w:ascii="宋体" w:hAnsi="宋体" w:eastAsia="宋体" w:cs="宋体"/>
                <w:sz w:val="21"/>
                <w:szCs w:val="21"/>
              </w:rPr>
              <w:t>5000≤Z＜80000</w:t>
            </w:r>
          </w:p>
        </w:tc>
        <w:tc>
          <w:tcPr>
            <w:tcW w:w="1426" w:type="dxa"/>
            <w:noWrap/>
            <w:vAlign w:val="center"/>
          </w:tcPr>
          <w:p w14:paraId="5B8268B1">
            <w:pPr>
              <w:widowControl/>
              <w:jc w:val="center"/>
              <w:rPr>
                <w:rFonts w:hint="eastAsia" w:ascii="宋体" w:hAnsi="宋体" w:eastAsia="宋体" w:cs="宋体"/>
                <w:sz w:val="21"/>
                <w:szCs w:val="21"/>
              </w:rPr>
            </w:pPr>
            <w:r>
              <w:rPr>
                <w:rFonts w:hint="eastAsia" w:ascii="宋体" w:hAnsi="宋体" w:eastAsia="宋体" w:cs="宋体"/>
                <w:sz w:val="21"/>
                <w:szCs w:val="21"/>
              </w:rPr>
              <w:t xml:space="preserve"> 300≤Z＜5000</w:t>
            </w:r>
          </w:p>
        </w:tc>
        <w:tc>
          <w:tcPr>
            <w:tcW w:w="992" w:type="dxa"/>
            <w:noWrap/>
            <w:vAlign w:val="center"/>
          </w:tcPr>
          <w:p w14:paraId="3A10A0AD">
            <w:pPr>
              <w:widowControl/>
              <w:jc w:val="center"/>
              <w:rPr>
                <w:rFonts w:hint="eastAsia" w:ascii="宋体" w:hAnsi="宋体" w:eastAsia="宋体" w:cs="宋体"/>
                <w:sz w:val="21"/>
                <w:szCs w:val="21"/>
              </w:rPr>
            </w:pPr>
            <w:r>
              <w:rPr>
                <w:rFonts w:hint="eastAsia" w:ascii="宋体" w:hAnsi="宋体" w:eastAsia="宋体" w:cs="宋体"/>
                <w:sz w:val="21"/>
                <w:szCs w:val="21"/>
              </w:rPr>
              <w:t>Z＜300</w:t>
            </w:r>
          </w:p>
        </w:tc>
      </w:tr>
      <w:tr w14:paraId="3434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7DC7608B">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批发业</w:t>
            </w:r>
          </w:p>
        </w:tc>
        <w:tc>
          <w:tcPr>
            <w:tcW w:w="1648" w:type="dxa"/>
            <w:noWrap/>
            <w:vAlign w:val="center"/>
          </w:tcPr>
          <w:p w14:paraId="0644876F">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1235B853">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081C4BD7">
            <w:pPr>
              <w:widowControl/>
              <w:jc w:val="center"/>
              <w:rPr>
                <w:rFonts w:hint="eastAsia" w:ascii="宋体" w:hAnsi="宋体" w:eastAsia="宋体" w:cs="宋体"/>
                <w:sz w:val="21"/>
                <w:szCs w:val="21"/>
              </w:rPr>
            </w:pPr>
            <w:r>
              <w:rPr>
                <w:rFonts w:hint="eastAsia" w:ascii="宋体" w:hAnsi="宋体" w:eastAsia="宋体" w:cs="宋体"/>
                <w:sz w:val="21"/>
                <w:szCs w:val="21"/>
              </w:rPr>
              <w:t>X≥200</w:t>
            </w:r>
          </w:p>
        </w:tc>
        <w:tc>
          <w:tcPr>
            <w:tcW w:w="1701" w:type="dxa"/>
            <w:noWrap/>
            <w:vAlign w:val="center"/>
          </w:tcPr>
          <w:p w14:paraId="23364F8C">
            <w:pPr>
              <w:widowControl/>
              <w:jc w:val="center"/>
              <w:rPr>
                <w:rFonts w:hint="eastAsia" w:ascii="宋体" w:hAnsi="宋体" w:eastAsia="宋体" w:cs="宋体"/>
                <w:sz w:val="21"/>
                <w:szCs w:val="21"/>
              </w:rPr>
            </w:pPr>
            <w:r>
              <w:rPr>
                <w:rFonts w:hint="eastAsia" w:ascii="宋体" w:hAnsi="宋体" w:eastAsia="宋体" w:cs="宋体"/>
                <w:sz w:val="21"/>
                <w:szCs w:val="21"/>
              </w:rPr>
              <w:t>20≤X＜200</w:t>
            </w:r>
          </w:p>
        </w:tc>
        <w:tc>
          <w:tcPr>
            <w:tcW w:w="1426" w:type="dxa"/>
            <w:noWrap/>
            <w:vAlign w:val="center"/>
          </w:tcPr>
          <w:p w14:paraId="747F629E">
            <w:pPr>
              <w:widowControl/>
              <w:jc w:val="center"/>
              <w:rPr>
                <w:rFonts w:hint="eastAsia" w:ascii="宋体" w:hAnsi="宋体" w:eastAsia="宋体" w:cs="宋体"/>
                <w:sz w:val="21"/>
                <w:szCs w:val="21"/>
              </w:rPr>
            </w:pPr>
            <w:r>
              <w:rPr>
                <w:rFonts w:hint="eastAsia" w:ascii="宋体" w:hAnsi="宋体" w:eastAsia="宋体" w:cs="宋体"/>
                <w:sz w:val="21"/>
                <w:szCs w:val="21"/>
              </w:rPr>
              <w:t xml:space="preserve"> 5≤X＜20</w:t>
            </w:r>
          </w:p>
        </w:tc>
        <w:tc>
          <w:tcPr>
            <w:tcW w:w="992" w:type="dxa"/>
            <w:noWrap/>
            <w:vAlign w:val="center"/>
          </w:tcPr>
          <w:p w14:paraId="4B155CE1">
            <w:pPr>
              <w:widowControl/>
              <w:jc w:val="center"/>
              <w:rPr>
                <w:rFonts w:hint="eastAsia" w:ascii="宋体" w:hAnsi="宋体" w:eastAsia="宋体" w:cs="宋体"/>
                <w:sz w:val="21"/>
                <w:szCs w:val="21"/>
              </w:rPr>
            </w:pPr>
            <w:r>
              <w:rPr>
                <w:rFonts w:hint="eastAsia" w:ascii="宋体" w:hAnsi="宋体" w:eastAsia="宋体" w:cs="宋体"/>
                <w:sz w:val="21"/>
                <w:szCs w:val="21"/>
              </w:rPr>
              <w:t>X＜5</w:t>
            </w:r>
          </w:p>
        </w:tc>
      </w:tr>
      <w:tr w14:paraId="4827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787A0B5C">
            <w:pPr>
              <w:widowControl/>
              <w:rPr>
                <w:rFonts w:hint="eastAsia" w:ascii="宋体" w:hAnsi="宋体" w:eastAsia="宋体" w:cs="宋体"/>
                <w:sz w:val="21"/>
                <w:szCs w:val="21"/>
              </w:rPr>
            </w:pPr>
          </w:p>
        </w:tc>
        <w:tc>
          <w:tcPr>
            <w:tcW w:w="1648" w:type="dxa"/>
            <w:noWrap/>
            <w:vAlign w:val="center"/>
          </w:tcPr>
          <w:p w14:paraId="2390E91A">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6139D32C">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082359EA">
            <w:pPr>
              <w:widowControl/>
              <w:jc w:val="center"/>
              <w:rPr>
                <w:rFonts w:hint="eastAsia" w:ascii="宋体" w:hAnsi="宋体" w:eastAsia="宋体" w:cs="宋体"/>
                <w:sz w:val="21"/>
                <w:szCs w:val="21"/>
              </w:rPr>
            </w:pPr>
            <w:r>
              <w:rPr>
                <w:rFonts w:hint="eastAsia" w:ascii="宋体" w:hAnsi="宋体" w:eastAsia="宋体" w:cs="宋体"/>
                <w:sz w:val="21"/>
                <w:szCs w:val="21"/>
              </w:rPr>
              <w:t>Y≥40000</w:t>
            </w:r>
          </w:p>
        </w:tc>
        <w:tc>
          <w:tcPr>
            <w:tcW w:w="1701" w:type="dxa"/>
            <w:noWrap/>
            <w:vAlign w:val="center"/>
          </w:tcPr>
          <w:p w14:paraId="250FE5BE">
            <w:pPr>
              <w:widowControl/>
              <w:jc w:val="center"/>
              <w:rPr>
                <w:rFonts w:hint="eastAsia" w:ascii="宋体" w:hAnsi="宋体" w:eastAsia="宋体" w:cs="宋体"/>
                <w:sz w:val="21"/>
                <w:szCs w:val="21"/>
              </w:rPr>
            </w:pPr>
            <w:r>
              <w:rPr>
                <w:rFonts w:hint="eastAsia" w:ascii="宋体" w:hAnsi="宋体" w:eastAsia="宋体" w:cs="宋体"/>
                <w:sz w:val="21"/>
                <w:szCs w:val="21"/>
              </w:rPr>
              <w:t>5000≤Y＜40000</w:t>
            </w:r>
          </w:p>
        </w:tc>
        <w:tc>
          <w:tcPr>
            <w:tcW w:w="1426" w:type="dxa"/>
            <w:noWrap/>
            <w:vAlign w:val="center"/>
          </w:tcPr>
          <w:p w14:paraId="43D2A7A8">
            <w:pPr>
              <w:widowControl/>
              <w:ind w:left="-1" w:leftChars="-1" w:hanging="1"/>
              <w:jc w:val="center"/>
              <w:rPr>
                <w:rFonts w:hint="eastAsia" w:ascii="宋体" w:hAnsi="宋体" w:eastAsia="宋体" w:cs="宋体"/>
                <w:sz w:val="21"/>
                <w:szCs w:val="21"/>
              </w:rPr>
            </w:pPr>
            <w:r>
              <w:rPr>
                <w:rFonts w:hint="eastAsia" w:ascii="宋体" w:hAnsi="宋体" w:eastAsia="宋体" w:cs="宋体"/>
                <w:sz w:val="21"/>
                <w:szCs w:val="21"/>
              </w:rPr>
              <w:t>1000≤Y＜5000</w:t>
            </w:r>
          </w:p>
        </w:tc>
        <w:tc>
          <w:tcPr>
            <w:tcW w:w="992" w:type="dxa"/>
            <w:noWrap/>
            <w:vAlign w:val="center"/>
          </w:tcPr>
          <w:p w14:paraId="2CFF17F6">
            <w:pPr>
              <w:widowControl/>
              <w:jc w:val="center"/>
              <w:rPr>
                <w:rFonts w:hint="eastAsia" w:ascii="宋体" w:hAnsi="宋体" w:eastAsia="宋体" w:cs="宋体"/>
                <w:sz w:val="21"/>
                <w:szCs w:val="21"/>
              </w:rPr>
            </w:pPr>
            <w:r>
              <w:rPr>
                <w:rFonts w:hint="eastAsia" w:ascii="宋体" w:hAnsi="宋体" w:eastAsia="宋体" w:cs="宋体"/>
                <w:sz w:val="21"/>
                <w:szCs w:val="21"/>
              </w:rPr>
              <w:t>Y＜1000</w:t>
            </w:r>
          </w:p>
        </w:tc>
      </w:tr>
      <w:tr w14:paraId="327C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3B314394">
            <w:pPr>
              <w:widowControl/>
              <w:spacing w:line="240" w:lineRule="exact"/>
              <w:rPr>
                <w:rFonts w:hint="eastAsia" w:ascii="宋体" w:hAnsi="宋体" w:eastAsia="宋体" w:cs="宋体"/>
                <w:sz w:val="21"/>
                <w:szCs w:val="21"/>
              </w:rPr>
            </w:pPr>
            <w:r>
              <w:rPr>
                <w:rFonts w:hint="eastAsia" w:ascii="宋体" w:hAnsi="宋体" w:eastAsia="宋体" w:cs="宋体"/>
                <w:sz w:val="21"/>
                <w:szCs w:val="21"/>
              </w:rPr>
              <w:t>零售业</w:t>
            </w:r>
          </w:p>
        </w:tc>
        <w:tc>
          <w:tcPr>
            <w:tcW w:w="1648" w:type="dxa"/>
            <w:noWrap/>
            <w:vAlign w:val="center"/>
          </w:tcPr>
          <w:p w14:paraId="714C7CAF">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679ECE11">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2BE8DA02">
            <w:pPr>
              <w:widowControl/>
              <w:jc w:val="center"/>
              <w:rPr>
                <w:rFonts w:hint="eastAsia" w:ascii="宋体" w:hAnsi="宋体" w:eastAsia="宋体" w:cs="宋体"/>
                <w:sz w:val="21"/>
                <w:szCs w:val="21"/>
              </w:rPr>
            </w:pPr>
            <w:r>
              <w:rPr>
                <w:rFonts w:hint="eastAsia" w:ascii="宋体" w:hAnsi="宋体" w:eastAsia="宋体" w:cs="宋体"/>
                <w:sz w:val="21"/>
                <w:szCs w:val="21"/>
              </w:rPr>
              <w:t>X≥300</w:t>
            </w:r>
          </w:p>
        </w:tc>
        <w:tc>
          <w:tcPr>
            <w:tcW w:w="1701" w:type="dxa"/>
            <w:noWrap/>
            <w:vAlign w:val="center"/>
          </w:tcPr>
          <w:p w14:paraId="62C7298F">
            <w:pPr>
              <w:widowControl/>
              <w:jc w:val="center"/>
              <w:rPr>
                <w:rFonts w:hint="eastAsia" w:ascii="宋体" w:hAnsi="宋体" w:eastAsia="宋体" w:cs="宋体"/>
                <w:sz w:val="21"/>
                <w:szCs w:val="21"/>
              </w:rPr>
            </w:pPr>
            <w:r>
              <w:rPr>
                <w:rFonts w:hint="eastAsia" w:ascii="宋体" w:hAnsi="宋体" w:eastAsia="宋体" w:cs="宋体"/>
                <w:sz w:val="21"/>
                <w:szCs w:val="21"/>
              </w:rPr>
              <w:t>50≤X＜300</w:t>
            </w:r>
          </w:p>
        </w:tc>
        <w:tc>
          <w:tcPr>
            <w:tcW w:w="1426" w:type="dxa"/>
            <w:noWrap/>
            <w:vAlign w:val="center"/>
          </w:tcPr>
          <w:p w14:paraId="356F8C91">
            <w:pPr>
              <w:widowControl/>
              <w:ind w:left="-1" w:leftChars="-1" w:hanging="1"/>
              <w:jc w:val="center"/>
              <w:rPr>
                <w:rFonts w:hint="eastAsia" w:ascii="宋体" w:hAnsi="宋体" w:eastAsia="宋体" w:cs="宋体"/>
                <w:sz w:val="21"/>
                <w:szCs w:val="21"/>
              </w:rPr>
            </w:pPr>
            <w:r>
              <w:rPr>
                <w:rFonts w:hint="eastAsia" w:ascii="宋体" w:hAnsi="宋体" w:eastAsia="宋体" w:cs="宋体"/>
                <w:sz w:val="21"/>
                <w:szCs w:val="21"/>
              </w:rPr>
              <w:t xml:space="preserve">10≤X＜50 </w:t>
            </w:r>
          </w:p>
        </w:tc>
        <w:tc>
          <w:tcPr>
            <w:tcW w:w="992" w:type="dxa"/>
            <w:noWrap/>
            <w:vAlign w:val="center"/>
          </w:tcPr>
          <w:p w14:paraId="0EC701C3">
            <w:pPr>
              <w:widowControl/>
              <w:jc w:val="center"/>
              <w:rPr>
                <w:rFonts w:hint="eastAsia" w:ascii="宋体" w:hAnsi="宋体" w:eastAsia="宋体" w:cs="宋体"/>
                <w:sz w:val="21"/>
                <w:szCs w:val="21"/>
              </w:rPr>
            </w:pPr>
            <w:r>
              <w:rPr>
                <w:rFonts w:hint="eastAsia" w:ascii="宋体" w:hAnsi="宋体" w:eastAsia="宋体" w:cs="宋体"/>
                <w:sz w:val="21"/>
                <w:szCs w:val="21"/>
              </w:rPr>
              <w:t>X＜10</w:t>
            </w:r>
          </w:p>
        </w:tc>
      </w:tr>
      <w:tr w14:paraId="4BC4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4996C7BC">
            <w:pPr>
              <w:widowControl/>
              <w:rPr>
                <w:rFonts w:hint="eastAsia" w:ascii="宋体" w:hAnsi="宋体" w:eastAsia="宋体" w:cs="宋体"/>
                <w:sz w:val="21"/>
                <w:szCs w:val="21"/>
              </w:rPr>
            </w:pPr>
          </w:p>
        </w:tc>
        <w:tc>
          <w:tcPr>
            <w:tcW w:w="1648" w:type="dxa"/>
            <w:noWrap/>
            <w:vAlign w:val="center"/>
          </w:tcPr>
          <w:p w14:paraId="64FE4D60">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257B356A">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67BE214F">
            <w:pPr>
              <w:widowControl/>
              <w:jc w:val="center"/>
              <w:rPr>
                <w:rFonts w:hint="eastAsia" w:ascii="宋体" w:hAnsi="宋体" w:eastAsia="宋体" w:cs="宋体"/>
                <w:sz w:val="21"/>
                <w:szCs w:val="21"/>
              </w:rPr>
            </w:pPr>
            <w:r>
              <w:rPr>
                <w:rFonts w:hint="eastAsia" w:ascii="宋体" w:hAnsi="宋体" w:eastAsia="宋体" w:cs="宋体"/>
                <w:sz w:val="21"/>
                <w:szCs w:val="21"/>
              </w:rPr>
              <w:t>Y≥20000</w:t>
            </w:r>
          </w:p>
        </w:tc>
        <w:tc>
          <w:tcPr>
            <w:tcW w:w="1701" w:type="dxa"/>
            <w:noWrap/>
            <w:vAlign w:val="center"/>
          </w:tcPr>
          <w:p w14:paraId="057F05E2">
            <w:pPr>
              <w:widowControl/>
              <w:jc w:val="center"/>
              <w:rPr>
                <w:rFonts w:hint="eastAsia" w:ascii="宋体" w:hAnsi="宋体" w:eastAsia="宋体" w:cs="宋体"/>
                <w:sz w:val="21"/>
                <w:szCs w:val="21"/>
              </w:rPr>
            </w:pPr>
            <w:r>
              <w:rPr>
                <w:rFonts w:hint="eastAsia" w:ascii="宋体" w:hAnsi="宋体" w:eastAsia="宋体" w:cs="宋体"/>
                <w:sz w:val="21"/>
                <w:szCs w:val="21"/>
              </w:rPr>
              <w:t xml:space="preserve"> 500≤Y＜20000</w:t>
            </w:r>
          </w:p>
        </w:tc>
        <w:tc>
          <w:tcPr>
            <w:tcW w:w="1426" w:type="dxa"/>
            <w:noWrap/>
            <w:vAlign w:val="center"/>
          </w:tcPr>
          <w:p w14:paraId="6E9EED59">
            <w:pPr>
              <w:widowControl/>
              <w:ind w:left="-1" w:leftChars="-1" w:hanging="1"/>
              <w:jc w:val="center"/>
              <w:rPr>
                <w:rFonts w:hint="eastAsia" w:ascii="宋体" w:hAnsi="宋体" w:eastAsia="宋体" w:cs="宋体"/>
                <w:sz w:val="21"/>
                <w:szCs w:val="21"/>
              </w:rPr>
            </w:pPr>
            <w:r>
              <w:rPr>
                <w:rFonts w:hint="eastAsia" w:ascii="宋体" w:hAnsi="宋体" w:eastAsia="宋体" w:cs="宋体"/>
                <w:sz w:val="21"/>
                <w:szCs w:val="21"/>
              </w:rPr>
              <w:t xml:space="preserve">100≤Y＜500 </w:t>
            </w:r>
          </w:p>
        </w:tc>
        <w:tc>
          <w:tcPr>
            <w:tcW w:w="992" w:type="dxa"/>
            <w:noWrap/>
            <w:vAlign w:val="center"/>
          </w:tcPr>
          <w:p w14:paraId="191B276D">
            <w:pPr>
              <w:widowControl/>
              <w:jc w:val="center"/>
              <w:rPr>
                <w:rFonts w:hint="eastAsia" w:ascii="宋体" w:hAnsi="宋体" w:eastAsia="宋体" w:cs="宋体"/>
                <w:sz w:val="21"/>
                <w:szCs w:val="21"/>
              </w:rPr>
            </w:pPr>
            <w:r>
              <w:rPr>
                <w:rFonts w:hint="eastAsia" w:ascii="宋体" w:hAnsi="宋体" w:eastAsia="宋体" w:cs="宋体"/>
                <w:sz w:val="21"/>
                <w:szCs w:val="21"/>
              </w:rPr>
              <w:t>Y＜100</w:t>
            </w:r>
          </w:p>
        </w:tc>
      </w:tr>
      <w:tr w14:paraId="2FEC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182D554C">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交通运输业 *</w:t>
            </w:r>
          </w:p>
        </w:tc>
        <w:tc>
          <w:tcPr>
            <w:tcW w:w="1648" w:type="dxa"/>
            <w:noWrap/>
            <w:vAlign w:val="center"/>
          </w:tcPr>
          <w:p w14:paraId="15B1ECA3">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3F61215D">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7EBE6CA0">
            <w:pPr>
              <w:widowControl/>
              <w:jc w:val="center"/>
              <w:rPr>
                <w:rFonts w:hint="eastAsia" w:ascii="宋体" w:hAnsi="宋体" w:eastAsia="宋体" w:cs="宋体"/>
                <w:sz w:val="21"/>
                <w:szCs w:val="21"/>
              </w:rPr>
            </w:pPr>
            <w:r>
              <w:rPr>
                <w:rFonts w:hint="eastAsia" w:ascii="宋体" w:hAnsi="宋体" w:eastAsia="宋体" w:cs="宋体"/>
                <w:sz w:val="21"/>
                <w:szCs w:val="21"/>
              </w:rPr>
              <w:t>X≥1000</w:t>
            </w:r>
          </w:p>
        </w:tc>
        <w:tc>
          <w:tcPr>
            <w:tcW w:w="1701" w:type="dxa"/>
            <w:noWrap/>
            <w:vAlign w:val="center"/>
          </w:tcPr>
          <w:p w14:paraId="1E801C35">
            <w:pPr>
              <w:widowControl/>
              <w:jc w:val="center"/>
              <w:rPr>
                <w:rFonts w:hint="eastAsia" w:ascii="宋体" w:hAnsi="宋体" w:eastAsia="宋体" w:cs="宋体"/>
                <w:sz w:val="21"/>
                <w:szCs w:val="21"/>
              </w:rPr>
            </w:pPr>
            <w:r>
              <w:rPr>
                <w:rFonts w:hint="eastAsia" w:ascii="宋体" w:hAnsi="宋体" w:eastAsia="宋体" w:cs="宋体"/>
                <w:sz w:val="21"/>
                <w:szCs w:val="21"/>
              </w:rPr>
              <w:t>300≤X＜1000</w:t>
            </w:r>
          </w:p>
        </w:tc>
        <w:tc>
          <w:tcPr>
            <w:tcW w:w="1426" w:type="dxa"/>
            <w:noWrap/>
            <w:vAlign w:val="center"/>
          </w:tcPr>
          <w:p w14:paraId="4837FAB4">
            <w:pPr>
              <w:widowControl/>
              <w:jc w:val="center"/>
              <w:rPr>
                <w:rFonts w:hint="eastAsia" w:ascii="宋体" w:hAnsi="宋体" w:eastAsia="宋体" w:cs="宋体"/>
                <w:sz w:val="21"/>
                <w:szCs w:val="21"/>
              </w:rPr>
            </w:pPr>
            <w:r>
              <w:rPr>
                <w:rFonts w:hint="eastAsia" w:ascii="宋体" w:hAnsi="宋体" w:eastAsia="宋体" w:cs="宋体"/>
                <w:sz w:val="21"/>
                <w:szCs w:val="21"/>
              </w:rPr>
              <w:t xml:space="preserve"> 20≤X＜300</w:t>
            </w:r>
          </w:p>
        </w:tc>
        <w:tc>
          <w:tcPr>
            <w:tcW w:w="992" w:type="dxa"/>
            <w:noWrap/>
            <w:vAlign w:val="center"/>
          </w:tcPr>
          <w:p w14:paraId="7E89F27F">
            <w:pPr>
              <w:widowControl/>
              <w:jc w:val="center"/>
              <w:rPr>
                <w:rFonts w:hint="eastAsia" w:ascii="宋体" w:hAnsi="宋体" w:eastAsia="宋体" w:cs="宋体"/>
                <w:sz w:val="21"/>
                <w:szCs w:val="21"/>
              </w:rPr>
            </w:pPr>
            <w:r>
              <w:rPr>
                <w:rFonts w:hint="eastAsia" w:ascii="宋体" w:hAnsi="宋体" w:eastAsia="宋体" w:cs="宋体"/>
                <w:sz w:val="21"/>
                <w:szCs w:val="21"/>
              </w:rPr>
              <w:t>X＜20</w:t>
            </w:r>
          </w:p>
        </w:tc>
      </w:tr>
      <w:tr w14:paraId="596D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4847F24E">
            <w:pPr>
              <w:widowControl/>
              <w:rPr>
                <w:rFonts w:hint="eastAsia" w:ascii="宋体" w:hAnsi="宋体" w:eastAsia="宋体" w:cs="宋体"/>
                <w:sz w:val="21"/>
                <w:szCs w:val="21"/>
              </w:rPr>
            </w:pPr>
          </w:p>
        </w:tc>
        <w:tc>
          <w:tcPr>
            <w:tcW w:w="1648" w:type="dxa"/>
            <w:noWrap/>
            <w:vAlign w:val="center"/>
          </w:tcPr>
          <w:p w14:paraId="31259A40">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609260C6">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23C8746B">
            <w:pPr>
              <w:widowControl/>
              <w:jc w:val="center"/>
              <w:rPr>
                <w:rFonts w:hint="eastAsia" w:ascii="宋体" w:hAnsi="宋体" w:eastAsia="宋体" w:cs="宋体"/>
                <w:sz w:val="21"/>
                <w:szCs w:val="21"/>
              </w:rPr>
            </w:pPr>
            <w:r>
              <w:rPr>
                <w:rFonts w:hint="eastAsia" w:ascii="宋体" w:hAnsi="宋体" w:eastAsia="宋体" w:cs="宋体"/>
                <w:sz w:val="21"/>
                <w:szCs w:val="21"/>
              </w:rPr>
              <w:t>Y≥30000</w:t>
            </w:r>
          </w:p>
        </w:tc>
        <w:tc>
          <w:tcPr>
            <w:tcW w:w="1701" w:type="dxa"/>
            <w:noWrap/>
            <w:vAlign w:val="center"/>
          </w:tcPr>
          <w:p w14:paraId="78FE43D3">
            <w:pPr>
              <w:widowControl/>
              <w:jc w:val="center"/>
              <w:rPr>
                <w:rFonts w:hint="eastAsia" w:ascii="宋体" w:hAnsi="宋体" w:eastAsia="宋体" w:cs="宋体"/>
                <w:sz w:val="21"/>
                <w:szCs w:val="21"/>
              </w:rPr>
            </w:pPr>
            <w:r>
              <w:rPr>
                <w:rFonts w:hint="eastAsia" w:ascii="宋体" w:hAnsi="宋体" w:eastAsia="宋体" w:cs="宋体"/>
                <w:sz w:val="21"/>
                <w:szCs w:val="21"/>
              </w:rPr>
              <w:t>3000≤Y＜30000</w:t>
            </w:r>
          </w:p>
        </w:tc>
        <w:tc>
          <w:tcPr>
            <w:tcW w:w="1426" w:type="dxa"/>
            <w:noWrap/>
            <w:vAlign w:val="center"/>
          </w:tcPr>
          <w:p w14:paraId="1E39F899">
            <w:pPr>
              <w:widowControl/>
              <w:jc w:val="center"/>
              <w:rPr>
                <w:rFonts w:hint="eastAsia" w:ascii="宋体" w:hAnsi="宋体" w:eastAsia="宋体" w:cs="宋体"/>
                <w:sz w:val="21"/>
                <w:szCs w:val="21"/>
              </w:rPr>
            </w:pPr>
            <w:r>
              <w:rPr>
                <w:rFonts w:hint="eastAsia" w:ascii="宋体" w:hAnsi="宋体" w:eastAsia="宋体" w:cs="宋体"/>
                <w:sz w:val="21"/>
                <w:szCs w:val="21"/>
              </w:rPr>
              <w:t xml:space="preserve"> 200≤Y＜3000</w:t>
            </w:r>
          </w:p>
        </w:tc>
        <w:tc>
          <w:tcPr>
            <w:tcW w:w="992" w:type="dxa"/>
            <w:noWrap/>
            <w:vAlign w:val="center"/>
          </w:tcPr>
          <w:p w14:paraId="039B60C9">
            <w:pPr>
              <w:widowControl/>
              <w:jc w:val="center"/>
              <w:rPr>
                <w:rFonts w:hint="eastAsia" w:ascii="宋体" w:hAnsi="宋体" w:eastAsia="宋体" w:cs="宋体"/>
                <w:sz w:val="21"/>
                <w:szCs w:val="21"/>
              </w:rPr>
            </w:pPr>
            <w:r>
              <w:rPr>
                <w:rFonts w:hint="eastAsia" w:ascii="宋体" w:hAnsi="宋体" w:eastAsia="宋体" w:cs="宋体"/>
                <w:sz w:val="21"/>
                <w:szCs w:val="21"/>
              </w:rPr>
              <w:t>Y＜200</w:t>
            </w:r>
          </w:p>
        </w:tc>
      </w:tr>
      <w:tr w14:paraId="1EF2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5C6E5E40">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仓储业*</w:t>
            </w:r>
          </w:p>
        </w:tc>
        <w:tc>
          <w:tcPr>
            <w:tcW w:w="1648" w:type="dxa"/>
            <w:noWrap/>
            <w:vAlign w:val="center"/>
          </w:tcPr>
          <w:p w14:paraId="187F65F0">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5732BD6C">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01D1154B">
            <w:pPr>
              <w:widowControl/>
              <w:jc w:val="center"/>
              <w:rPr>
                <w:rFonts w:hint="eastAsia" w:ascii="宋体" w:hAnsi="宋体" w:eastAsia="宋体" w:cs="宋体"/>
                <w:sz w:val="21"/>
                <w:szCs w:val="21"/>
              </w:rPr>
            </w:pPr>
            <w:r>
              <w:rPr>
                <w:rFonts w:hint="eastAsia" w:ascii="宋体" w:hAnsi="宋体" w:eastAsia="宋体" w:cs="宋体"/>
                <w:sz w:val="21"/>
                <w:szCs w:val="21"/>
              </w:rPr>
              <w:t>X≥200</w:t>
            </w:r>
          </w:p>
        </w:tc>
        <w:tc>
          <w:tcPr>
            <w:tcW w:w="1701" w:type="dxa"/>
            <w:noWrap/>
            <w:vAlign w:val="center"/>
          </w:tcPr>
          <w:p w14:paraId="159F821E">
            <w:pPr>
              <w:widowControl/>
              <w:ind w:left="14" w:leftChars="-51" w:hanging="126" w:hangingChars="60"/>
              <w:jc w:val="center"/>
              <w:rPr>
                <w:rFonts w:hint="eastAsia" w:ascii="宋体" w:hAnsi="宋体" w:eastAsia="宋体" w:cs="宋体"/>
                <w:sz w:val="21"/>
                <w:szCs w:val="21"/>
              </w:rPr>
            </w:pPr>
            <w:r>
              <w:rPr>
                <w:rFonts w:hint="eastAsia" w:ascii="宋体" w:hAnsi="宋体" w:eastAsia="宋体" w:cs="宋体"/>
                <w:sz w:val="21"/>
                <w:szCs w:val="21"/>
              </w:rPr>
              <w:t>100≤X＜200</w:t>
            </w:r>
          </w:p>
        </w:tc>
        <w:tc>
          <w:tcPr>
            <w:tcW w:w="1426" w:type="dxa"/>
            <w:noWrap/>
            <w:vAlign w:val="center"/>
          </w:tcPr>
          <w:p w14:paraId="20536F9A">
            <w:pPr>
              <w:widowControl/>
              <w:jc w:val="center"/>
              <w:rPr>
                <w:rFonts w:hint="eastAsia" w:ascii="宋体" w:hAnsi="宋体" w:eastAsia="宋体" w:cs="宋体"/>
                <w:sz w:val="21"/>
                <w:szCs w:val="21"/>
              </w:rPr>
            </w:pPr>
            <w:r>
              <w:rPr>
                <w:rFonts w:hint="eastAsia" w:ascii="宋体" w:hAnsi="宋体" w:eastAsia="宋体" w:cs="宋体"/>
                <w:sz w:val="21"/>
                <w:szCs w:val="21"/>
              </w:rPr>
              <w:t xml:space="preserve"> 20≤X＜100</w:t>
            </w:r>
          </w:p>
        </w:tc>
        <w:tc>
          <w:tcPr>
            <w:tcW w:w="992" w:type="dxa"/>
            <w:noWrap/>
            <w:vAlign w:val="center"/>
          </w:tcPr>
          <w:p w14:paraId="6679DDEE">
            <w:pPr>
              <w:widowControl/>
              <w:jc w:val="center"/>
              <w:rPr>
                <w:rFonts w:hint="eastAsia" w:ascii="宋体" w:hAnsi="宋体" w:eastAsia="宋体" w:cs="宋体"/>
                <w:sz w:val="21"/>
                <w:szCs w:val="21"/>
              </w:rPr>
            </w:pPr>
            <w:r>
              <w:rPr>
                <w:rFonts w:hint="eastAsia" w:ascii="宋体" w:hAnsi="宋体" w:eastAsia="宋体" w:cs="宋体"/>
                <w:sz w:val="21"/>
                <w:szCs w:val="21"/>
              </w:rPr>
              <w:t>X＜20</w:t>
            </w:r>
          </w:p>
        </w:tc>
      </w:tr>
      <w:tr w14:paraId="37F0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65169A73">
            <w:pPr>
              <w:widowControl/>
              <w:rPr>
                <w:rFonts w:hint="eastAsia" w:ascii="宋体" w:hAnsi="宋体" w:eastAsia="宋体" w:cs="宋体"/>
                <w:sz w:val="21"/>
                <w:szCs w:val="21"/>
              </w:rPr>
            </w:pPr>
          </w:p>
        </w:tc>
        <w:tc>
          <w:tcPr>
            <w:tcW w:w="1648" w:type="dxa"/>
            <w:noWrap/>
            <w:vAlign w:val="center"/>
          </w:tcPr>
          <w:p w14:paraId="1DDB256A">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59FD7ACA">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332CD584">
            <w:pPr>
              <w:widowControl/>
              <w:jc w:val="center"/>
              <w:rPr>
                <w:rFonts w:hint="eastAsia" w:ascii="宋体" w:hAnsi="宋体" w:eastAsia="宋体" w:cs="宋体"/>
                <w:sz w:val="21"/>
                <w:szCs w:val="21"/>
              </w:rPr>
            </w:pPr>
            <w:r>
              <w:rPr>
                <w:rFonts w:hint="eastAsia" w:ascii="宋体" w:hAnsi="宋体" w:eastAsia="宋体" w:cs="宋体"/>
                <w:sz w:val="21"/>
                <w:szCs w:val="21"/>
              </w:rPr>
              <w:t>Y≥30000</w:t>
            </w:r>
          </w:p>
        </w:tc>
        <w:tc>
          <w:tcPr>
            <w:tcW w:w="1701" w:type="dxa"/>
            <w:noWrap/>
            <w:vAlign w:val="center"/>
          </w:tcPr>
          <w:p w14:paraId="4D5413A5">
            <w:pPr>
              <w:widowControl/>
              <w:jc w:val="center"/>
              <w:rPr>
                <w:rFonts w:hint="eastAsia" w:ascii="宋体" w:hAnsi="宋体" w:eastAsia="宋体" w:cs="宋体"/>
                <w:sz w:val="21"/>
                <w:szCs w:val="21"/>
              </w:rPr>
            </w:pPr>
            <w:r>
              <w:rPr>
                <w:rFonts w:hint="eastAsia" w:ascii="宋体" w:hAnsi="宋体" w:eastAsia="宋体" w:cs="宋体"/>
                <w:sz w:val="21"/>
                <w:szCs w:val="21"/>
              </w:rPr>
              <w:t>1000≤Y＜30000</w:t>
            </w:r>
          </w:p>
        </w:tc>
        <w:tc>
          <w:tcPr>
            <w:tcW w:w="1426" w:type="dxa"/>
            <w:noWrap/>
            <w:vAlign w:val="center"/>
          </w:tcPr>
          <w:p w14:paraId="229850FD">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100≤Y＜1000</w:t>
            </w:r>
          </w:p>
        </w:tc>
        <w:tc>
          <w:tcPr>
            <w:tcW w:w="992" w:type="dxa"/>
            <w:noWrap/>
            <w:vAlign w:val="center"/>
          </w:tcPr>
          <w:p w14:paraId="4D915A0A">
            <w:pPr>
              <w:widowControl/>
              <w:jc w:val="center"/>
              <w:rPr>
                <w:rFonts w:hint="eastAsia" w:ascii="宋体" w:hAnsi="宋体" w:eastAsia="宋体" w:cs="宋体"/>
                <w:sz w:val="21"/>
                <w:szCs w:val="21"/>
              </w:rPr>
            </w:pPr>
            <w:r>
              <w:rPr>
                <w:rFonts w:hint="eastAsia" w:ascii="宋体" w:hAnsi="宋体" w:eastAsia="宋体" w:cs="宋体"/>
                <w:sz w:val="21"/>
                <w:szCs w:val="21"/>
              </w:rPr>
              <w:t>Y＜100</w:t>
            </w:r>
          </w:p>
        </w:tc>
      </w:tr>
      <w:tr w14:paraId="5CBE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51C623B8">
            <w:pPr>
              <w:widowControl/>
              <w:spacing w:line="240" w:lineRule="exact"/>
              <w:rPr>
                <w:rFonts w:hint="eastAsia" w:ascii="宋体" w:hAnsi="宋体" w:eastAsia="宋体" w:cs="宋体"/>
                <w:sz w:val="21"/>
                <w:szCs w:val="21"/>
              </w:rPr>
            </w:pPr>
            <w:r>
              <w:rPr>
                <w:rFonts w:hint="eastAsia" w:ascii="宋体" w:hAnsi="宋体" w:eastAsia="宋体" w:cs="宋体"/>
                <w:sz w:val="21"/>
                <w:szCs w:val="21"/>
              </w:rPr>
              <w:t>邮政业</w:t>
            </w:r>
          </w:p>
        </w:tc>
        <w:tc>
          <w:tcPr>
            <w:tcW w:w="1648" w:type="dxa"/>
            <w:noWrap/>
            <w:vAlign w:val="center"/>
          </w:tcPr>
          <w:p w14:paraId="5358952E">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21018797">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08EAB96F">
            <w:pPr>
              <w:widowControl/>
              <w:jc w:val="center"/>
              <w:rPr>
                <w:rFonts w:hint="eastAsia" w:ascii="宋体" w:hAnsi="宋体" w:eastAsia="宋体" w:cs="宋体"/>
                <w:sz w:val="21"/>
                <w:szCs w:val="21"/>
              </w:rPr>
            </w:pPr>
            <w:r>
              <w:rPr>
                <w:rFonts w:hint="eastAsia" w:ascii="宋体" w:hAnsi="宋体" w:eastAsia="宋体" w:cs="宋体"/>
                <w:sz w:val="21"/>
                <w:szCs w:val="21"/>
              </w:rPr>
              <w:t>X≥1000</w:t>
            </w:r>
          </w:p>
        </w:tc>
        <w:tc>
          <w:tcPr>
            <w:tcW w:w="1701" w:type="dxa"/>
            <w:noWrap/>
            <w:vAlign w:val="center"/>
          </w:tcPr>
          <w:p w14:paraId="5B54C578">
            <w:pPr>
              <w:widowControl/>
              <w:jc w:val="center"/>
              <w:rPr>
                <w:rFonts w:hint="eastAsia" w:ascii="宋体" w:hAnsi="宋体" w:eastAsia="宋体" w:cs="宋体"/>
                <w:sz w:val="21"/>
                <w:szCs w:val="21"/>
              </w:rPr>
            </w:pPr>
            <w:r>
              <w:rPr>
                <w:rFonts w:hint="eastAsia" w:ascii="宋体" w:hAnsi="宋体" w:eastAsia="宋体" w:cs="宋体"/>
                <w:sz w:val="21"/>
                <w:szCs w:val="21"/>
              </w:rPr>
              <w:t>300≤X＜1000</w:t>
            </w:r>
          </w:p>
        </w:tc>
        <w:tc>
          <w:tcPr>
            <w:tcW w:w="1426" w:type="dxa"/>
            <w:noWrap/>
            <w:vAlign w:val="center"/>
          </w:tcPr>
          <w:p w14:paraId="41241BAF">
            <w:pPr>
              <w:widowControl/>
              <w:jc w:val="center"/>
              <w:rPr>
                <w:rFonts w:hint="eastAsia" w:ascii="宋体" w:hAnsi="宋体" w:eastAsia="宋体" w:cs="宋体"/>
                <w:sz w:val="21"/>
                <w:szCs w:val="21"/>
              </w:rPr>
            </w:pPr>
            <w:r>
              <w:rPr>
                <w:rFonts w:hint="eastAsia" w:ascii="宋体" w:hAnsi="宋体" w:eastAsia="宋体" w:cs="宋体"/>
                <w:sz w:val="21"/>
                <w:szCs w:val="21"/>
              </w:rPr>
              <w:t xml:space="preserve"> 20≤X＜300</w:t>
            </w:r>
          </w:p>
        </w:tc>
        <w:tc>
          <w:tcPr>
            <w:tcW w:w="992" w:type="dxa"/>
            <w:noWrap/>
            <w:vAlign w:val="center"/>
          </w:tcPr>
          <w:p w14:paraId="1A5E7A58">
            <w:pPr>
              <w:widowControl/>
              <w:jc w:val="center"/>
              <w:rPr>
                <w:rFonts w:hint="eastAsia" w:ascii="宋体" w:hAnsi="宋体" w:eastAsia="宋体" w:cs="宋体"/>
                <w:sz w:val="21"/>
                <w:szCs w:val="21"/>
              </w:rPr>
            </w:pPr>
            <w:r>
              <w:rPr>
                <w:rFonts w:hint="eastAsia" w:ascii="宋体" w:hAnsi="宋体" w:eastAsia="宋体" w:cs="宋体"/>
                <w:sz w:val="21"/>
                <w:szCs w:val="21"/>
              </w:rPr>
              <w:t>X＜20</w:t>
            </w:r>
          </w:p>
        </w:tc>
      </w:tr>
      <w:tr w14:paraId="1F12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22353091">
            <w:pPr>
              <w:widowControl/>
              <w:rPr>
                <w:rFonts w:hint="eastAsia" w:ascii="宋体" w:hAnsi="宋体" w:eastAsia="宋体" w:cs="宋体"/>
                <w:sz w:val="21"/>
                <w:szCs w:val="21"/>
              </w:rPr>
            </w:pPr>
          </w:p>
        </w:tc>
        <w:tc>
          <w:tcPr>
            <w:tcW w:w="1648" w:type="dxa"/>
            <w:noWrap/>
            <w:vAlign w:val="center"/>
          </w:tcPr>
          <w:p w14:paraId="2166AF50">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02437BA6">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6E9C4FF9">
            <w:pPr>
              <w:widowControl/>
              <w:jc w:val="center"/>
              <w:rPr>
                <w:rFonts w:hint="eastAsia" w:ascii="宋体" w:hAnsi="宋体" w:eastAsia="宋体" w:cs="宋体"/>
                <w:sz w:val="21"/>
                <w:szCs w:val="21"/>
              </w:rPr>
            </w:pPr>
            <w:r>
              <w:rPr>
                <w:rFonts w:hint="eastAsia" w:ascii="宋体" w:hAnsi="宋体" w:eastAsia="宋体" w:cs="宋体"/>
                <w:sz w:val="21"/>
                <w:szCs w:val="21"/>
              </w:rPr>
              <w:t>Y≥30000</w:t>
            </w:r>
          </w:p>
        </w:tc>
        <w:tc>
          <w:tcPr>
            <w:tcW w:w="1701" w:type="dxa"/>
            <w:noWrap/>
            <w:vAlign w:val="center"/>
          </w:tcPr>
          <w:p w14:paraId="6E4856EF">
            <w:pPr>
              <w:widowControl/>
              <w:jc w:val="center"/>
              <w:rPr>
                <w:rFonts w:hint="eastAsia" w:ascii="宋体" w:hAnsi="宋体" w:eastAsia="宋体" w:cs="宋体"/>
                <w:sz w:val="21"/>
                <w:szCs w:val="21"/>
              </w:rPr>
            </w:pPr>
            <w:r>
              <w:rPr>
                <w:rFonts w:hint="eastAsia" w:ascii="宋体" w:hAnsi="宋体" w:eastAsia="宋体" w:cs="宋体"/>
                <w:sz w:val="21"/>
                <w:szCs w:val="21"/>
              </w:rPr>
              <w:t>2000≤Y＜30000</w:t>
            </w:r>
          </w:p>
        </w:tc>
        <w:tc>
          <w:tcPr>
            <w:tcW w:w="1426" w:type="dxa"/>
            <w:noWrap/>
            <w:vAlign w:val="center"/>
          </w:tcPr>
          <w:p w14:paraId="4A07D072">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100≤Y＜2000</w:t>
            </w:r>
          </w:p>
        </w:tc>
        <w:tc>
          <w:tcPr>
            <w:tcW w:w="992" w:type="dxa"/>
            <w:noWrap/>
            <w:vAlign w:val="center"/>
          </w:tcPr>
          <w:p w14:paraId="20806A41">
            <w:pPr>
              <w:widowControl/>
              <w:jc w:val="center"/>
              <w:rPr>
                <w:rFonts w:hint="eastAsia" w:ascii="宋体" w:hAnsi="宋体" w:eastAsia="宋体" w:cs="宋体"/>
                <w:sz w:val="21"/>
                <w:szCs w:val="21"/>
              </w:rPr>
            </w:pPr>
            <w:r>
              <w:rPr>
                <w:rFonts w:hint="eastAsia" w:ascii="宋体" w:hAnsi="宋体" w:eastAsia="宋体" w:cs="宋体"/>
                <w:sz w:val="21"/>
                <w:szCs w:val="21"/>
              </w:rPr>
              <w:t>Y＜100</w:t>
            </w:r>
          </w:p>
        </w:tc>
      </w:tr>
      <w:tr w14:paraId="3404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1DFFBC18">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住宿业</w:t>
            </w:r>
          </w:p>
        </w:tc>
        <w:tc>
          <w:tcPr>
            <w:tcW w:w="1648" w:type="dxa"/>
            <w:noWrap/>
            <w:vAlign w:val="center"/>
          </w:tcPr>
          <w:p w14:paraId="5B24255A">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15CA7109">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21A1110F">
            <w:pPr>
              <w:widowControl/>
              <w:jc w:val="center"/>
              <w:rPr>
                <w:rFonts w:hint="eastAsia" w:ascii="宋体" w:hAnsi="宋体" w:eastAsia="宋体" w:cs="宋体"/>
                <w:sz w:val="21"/>
                <w:szCs w:val="21"/>
              </w:rPr>
            </w:pPr>
            <w:r>
              <w:rPr>
                <w:rFonts w:hint="eastAsia" w:ascii="宋体" w:hAnsi="宋体" w:eastAsia="宋体" w:cs="宋体"/>
                <w:sz w:val="21"/>
                <w:szCs w:val="21"/>
              </w:rPr>
              <w:t>X≥300</w:t>
            </w:r>
          </w:p>
        </w:tc>
        <w:tc>
          <w:tcPr>
            <w:tcW w:w="1701" w:type="dxa"/>
            <w:noWrap/>
            <w:vAlign w:val="center"/>
          </w:tcPr>
          <w:p w14:paraId="1823F033">
            <w:pPr>
              <w:widowControl/>
              <w:ind w:left="14" w:leftChars="-51" w:hanging="126" w:hangingChars="60"/>
              <w:jc w:val="center"/>
              <w:rPr>
                <w:rFonts w:hint="eastAsia" w:ascii="宋体" w:hAnsi="宋体" w:eastAsia="宋体" w:cs="宋体"/>
                <w:sz w:val="21"/>
                <w:szCs w:val="21"/>
              </w:rPr>
            </w:pPr>
            <w:r>
              <w:rPr>
                <w:rFonts w:hint="eastAsia" w:ascii="宋体" w:hAnsi="宋体" w:eastAsia="宋体" w:cs="宋体"/>
                <w:sz w:val="21"/>
                <w:szCs w:val="21"/>
              </w:rPr>
              <w:t xml:space="preserve">100≤X＜300 </w:t>
            </w:r>
          </w:p>
        </w:tc>
        <w:tc>
          <w:tcPr>
            <w:tcW w:w="1426" w:type="dxa"/>
            <w:noWrap/>
            <w:vAlign w:val="center"/>
          </w:tcPr>
          <w:p w14:paraId="3771CE3B">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10≤X＜100</w:t>
            </w:r>
          </w:p>
        </w:tc>
        <w:tc>
          <w:tcPr>
            <w:tcW w:w="992" w:type="dxa"/>
            <w:noWrap/>
            <w:vAlign w:val="center"/>
          </w:tcPr>
          <w:p w14:paraId="65EB1886">
            <w:pPr>
              <w:widowControl/>
              <w:jc w:val="center"/>
              <w:rPr>
                <w:rFonts w:hint="eastAsia" w:ascii="宋体" w:hAnsi="宋体" w:eastAsia="宋体" w:cs="宋体"/>
                <w:sz w:val="21"/>
                <w:szCs w:val="21"/>
              </w:rPr>
            </w:pPr>
            <w:r>
              <w:rPr>
                <w:rFonts w:hint="eastAsia" w:ascii="宋体" w:hAnsi="宋体" w:eastAsia="宋体" w:cs="宋体"/>
                <w:sz w:val="21"/>
                <w:szCs w:val="21"/>
              </w:rPr>
              <w:t>X＜10</w:t>
            </w:r>
          </w:p>
        </w:tc>
      </w:tr>
      <w:tr w14:paraId="31BB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0547F5C4">
            <w:pPr>
              <w:widowControl/>
              <w:rPr>
                <w:rFonts w:hint="eastAsia" w:ascii="宋体" w:hAnsi="宋体" w:eastAsia="宋体" w:cs="宋体"/>
                <w:sz w:val="21"/>
                <w:szCs w:val="21"/>
              </w:rPr>
            </w:pPr>
          </w:p>
        </w:tc>
        <w:tc>
          <w:tcPr>
            <w:tcW w:w="1648" w:type="dxa"/>
            <w:noWrap/>
            <w:vAlign w:val="center"/>
          </w:tcPr>
          <w:p w14:paraId="1E4AAABE">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0115007E">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63CF8B92">
            <w:pPr>
              <w:widowControl/>
              <w:jc w:val="center"/>
              <w:rPr>
                <w:rFonts w:hint="eastAsia" w:ascii="宋体" w:hAnsi="宋体" w:eastAsia="宋体" w:cs="宋体"/>
                <w:sz w:val="21"/>
                <w:szCs w:val="21"/>
              </w:rPr>
            </w:pPr>
            <w:r>
              <w:rPr>
                <w:rFonts w:hint="eastAsia" w:ascii="宋体" w:hAnsi="宋体" w:eastAsia="宋体" w:cs="宋体"/>
                <w:sz w:val="21"/>
                <w:szCs w:val="21"/>
              </w:rPr>
              <w:t>Y≥10000</w:t>
            </w:r>
          </w:p>
        </w:tc>
        <w:tc>
          <w:tcPr>
            <w:tcW w:w="1701" w:type="dxa"/>
            <w:noWrap/>
            <w:vAlign w:val="center"/>
          </w:tcPr>
          <w:p w14:paraId="39A9D47A">
            <w:pPr>
              <w:widowControl/>
              <w:jc w:val="center"/>
              <w:rPr>
                <w:rFonts w:hint="eastAsia" w:ascii="宋体" w:hAnsi="宋体" w:eastAsia="宋体" w:cs="宋体"/>
                <w:sz w:val="21"/>
                <w:szCs w:val="21"/>
              </w:rPr>
            </w:pPr>
            <w:r>
              <w:rPr>
                <w:rFonts w:hint="eastAsia" w:ascii="宋体" w:hAnsi="宋体" w:eastAsia="宋体" w:cs="宋体"/>
                <w:sz w:val="21"/>
                <w:szCs w:val="21"/>
              </w:rPr>
              <w:t>2000≤Y＜10000</w:t>
            </w:r>
          </w:p>
        </w:tc>
        <w:tc>
          <w:tcPr>
            <w:tcW w:w="1426" w:type="dxa"/>
            <w:noWrap/>
            <w:vAlign w:val="center"/>
          </w:tcPr>
          <w:p w14:paraId="3BE67097">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100≤Y＜2000</w:t>
            </w:r>
          </w:p>
        </w:tc>
        <w:tc>
          <w:tcPr>
            <w:tcW w:w="992" w:type="dxa"/>
            <w:noWrap/>
            <w:vAlign w:val="center"/>
          </w:tcPr>
          <w:p w14:paraId="5F10551E">
            <w:pPr>
              <w:widowControl/>
              <w:jc w:val="center"/>
              <w:rPr>
                <w:rFonts w:hint="eastAsia" w:ascii="宋体" w:hAnsi="宋体" w:eastAsia="宋体" w:cs="宋体"/>
                <w:sz w:val="21"/>
                <w:szCs w:val="21"/>
              </w:rPr>
            </w:pPr>
            <w:r>
              <w:rPr>
                <w:rFonts w:hint="eastAsia" w:ascii="宋体" w:hAnsi="宋体" w:eastAsia="宋体" w:cs="宋体"/>
                <w:sz w:val="21"/>
                <w:szCs w:val="21"/>
              </w:rPr>
              <w:t>Y＜100</w:t>
            </w:r>
          </w:p>
        </w:tc>
      </w:tr>
      <w:tr w14:paraId="7E8A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5B785FDF">
            <w:pPr>
              <w:widowControl/>
              <w:spacing w:line="240" w:lineRule="exact"/>
              <w:rPr>
                <w:rFonts w:hint="eastAsia" w:ascii="宋体" w:hAnsi="宋体" w:eastAsia="宋体" w:cs="宋体"/>
                <w:sz w:val="21"/>
                <w:szCs w:val="21"/>
              </w:rPr>
            </w:pPr>
            <w:r>
              <w:rPr>
                <w:rFonts w:hint="eastAsia" w:ascii="宋体" w:hAnsi="宋体" w:eastAsia="宋体" w:cs="宋体"/>
                <w:sz w:val="21"/>
                <w:szCs w:val="21"/>
              </w:rPr>
              <w:t>餐饮业</w:t>
            </w:r>
          </w:p>
        </w:tc>
        <w:tc>
          <w:tcPr>
            <w:tcW w:w="1648" w:type="dxa"/>
            <w:noWrap/>
            <w:vAlign w:val="center"/>
          </w:tcPr>
          <w:p w14:paraId="05CB32B0">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590BEABE">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440CBB39">
            <w:pPr>
              <w:widowControl/>
              <w:jc w:val="center"/>
              <w:rPr>
                <w:rFonts w:hint="eastAsia" w:ascii="宋体" w:hAnsi="宋体" w:eastAsia="宋体" w:cs="宋体"/>
                <w:sz w:val="21"/>
                <w:szCs w:val="21"/>
              </w:rPr>
            </w:pPr>
            <w:r>
              <w:rPr>
                <w:rFonts w:hint="eastAsia" w:ascii="宋体" w:hAnsi="宋体" w:eastAsia="宋体" w:cs="宋体"/>
                <w:sz w:val="21"/>
                <w:szCs w:val="21"/>
              </w:rPr>
              <w:t>X≥300</w:t>
            </w:r>
          </w:p>
        </w:tc>
        <w:tc>
          <w:tcPr>
            <w:tcW w:w="1701" w:type="dxa"/>
            <w:noWrap/>
            <w:vAlign w:val="center"/>
          </w:tcPr>
          <w:p w14:paraId="3EBDEBCC">
            <w:pPr>
              <w:widowControl/>
              <w:ind w:left="14" w:leftChars="-51" w:hanging="126" w:hangingChars="60"/>
              <w:jc w:val="center"/>
              <w:rPr>
                <w:rFonts w:hint="eastAsia" w:ascii="宋体" w:hAnsi="宋体" w:eastAsia="宋体" w:cs="宋体"/>
                <w:sz w:val="21"/>
                <w:szCs w:val="21"/>
              </w:rPr>
            </w:pPr>
            <w:r>
              <w:rPr>
                <w:rFonts w:hint="eastAsia" w:ascii="宋体" w:hAnsi="宋体" w:eastAsia="宋体" w:cs="宋体"/>
                <w:sz w:val="21"/>
                <w:szCs w:val="21"/>
              </w:rPr>
              <w:t xml:space="preserve">100≤X＜300 </w:t>
            </w:r>
          </w:p>
        </w:tc>
        <w:tc>
          <w:tcPr>
            <w:tcW w:w="1426" w:type="dxa"/>
            <w:noWrap/>
            <w:vAlign w:val="center"/>
          </w:tcPr>
          <w:p w14:paraId="7B6FD570">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10≤X＜100</w:t>
            </w:r>
          </w:p>
        </w:tc>
        <w:tc>
          <w:tcPr>
            <w:tcW w:w="992" w:type="dxa"/>
            <w:noWrap/>
            <w:vAlign w:val="center"/>
          </w:tcPr>
          <w:p w14:paraId="05DD6A75">
            <w:pPr>
              <w:widowControl/>
              <w:jc w:val="center"/>
              <w:rPr>
                <w:rFonts w:hint="eastAsia" w:ascii="宋体" w:hAnsi="宋体" w:eastAsia="宋体" w:cs="宋体"/>
                <w:sz w:val="21"/>
                <w:szCs w:val="21"/>
              </w:rPr>
            </w:pPr>
            <w:r>
              <w:rPr>
                <w:rFonts w:hint="eastAsia" w:ascii="宋体" w:hAnsi="宋体" w:eastAsia="宋体" w:cs="宋体"/>
                <w:sz w:val="21"/>
                <w:szCs w:val="21"/>
              </w:rPr>
              <w:t>X＜10</w:t>
            </w:r>
          </w:p>
        </w:tc>
      </w:tr>
      <w:tr w14:paraId="235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0B364FE7">
            <w:pPr>
              <w:widowControl/>
              <w:rPr>
                <w:rFonts w:hint="eastAsia" w:ascii="宋体" w:hAnsi="宋体" w:eastAsia="宋体" w:cs="宋体"/>
                <w:sz w:val="21"/>
                <w:szCs w:val="21"/>
              </w:rPr>
            </w:pPr>
          </w:p>
        </w:tc>
        <w:tc>
          <w:tcPr>
            <w:tcW w:w="1648" w:type="dxa"/>
            <w:noWrap/>
            <w:vAlign w:val="center"/>
          </w:tcPr>
          <w:p w14:paraId="71205D46">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304AE531">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42925B9A">
            <w:pPr>
              <w:widowControl/>
              <w:jc w:val="center"/>
              <w:rPr>
                <w:rFonts w:hint="eastAsia" w:ascii="宋体" w:hAnsi="宋体" w:eastAsia="宋体" w:cs="宋体"/>
                <w:sz w:val="21"/>
                <w:szCs w:val="21"/>
              </w:rPr>
            </w:pPr>
            <w:r>
              <w:rPr>
                <w:rFonts w:hint="eastAsia" w:ascii="宋体" w:hAnsi="宋体" w:eastAsia="宋体" w:cs="宋体"/>
                <w:sz w:val="21"/>
                <w:szCs w:val="21"/>
              </w:rPr>
              <w:t>Y≥10000</w:t>
            </w:r>
          </w:p>
        </w:tc>
        <w:tc>
          <w:tcPr>
            <w:tcW w:w="1701" w:type="dxa"/>
            <w:noWrap/>
            <w:vAlign w:val="center"/>
          </w:tcPr>
          <w:p w14:paraId="78D0505D">
            <w:pPr>
              <w:widowControl/>
              <w:jc w:val="center"/>
              <w:rPr>
                <w:rFonts w:hint="eastAsia" w:ascii="宋体" w:hAnsi="宋体" w:eastAsia="宋体" w:cs="宋体"/>
                <w:sz w:val="21"/>
                <w:szCs w:val="21"/>
              </w:rPr>
            </w:pPr>
            <w:r>
              <w:rPr>
                <w:rFonts w:hint="eastAsia" w:ascii="宋体" w:hAnsi="宋体" w:eastAsia="宋体" w:cs="宋体"/>
                <w:sz w:val="21"/>
                <w:szCs w:val="21"/>
              </w:rPr>
              <w:t>2000≤Y＜10000</w:t>
            </w:r>
          </w:p>
        </w:tc>
        <w:tc>
          <w:tcPr>
            <w:tcW w:w="1426" w:type="dxa"/>
            <w:noWrap/>
            <w:vAlign w:val="center"/>
          </w:tcPr>
          <w:p w14:paraId="1324FFF6">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100≤Y＜2000</w:t>
            </w:r>
          </w:p>
        </w:tc>
        <w:tc>
          <w:tcPr>
            <w:tcW w:w="992" w:type="dxa"/>
            <w:noWrap/>
            <w:vAlign w:val="center"/>
          </w:tcPr>
          <w:p w14:paraId="657AE402">
            <w:pPr>
              <w:widowControl/>
              <w:jc w:val="center"/>
              <w:rPr>
                <w:rFonts w:hint="eastAsia" w:ascii="宋体" w:hAnsi="宋体" w:eastAsia="宋体" w:cs="宋体"/>
                <w:sz w:val="21"/>
                <w:szCs w:val="21"/>
              </w:rPr>
            </w:pPr>
            <w:r>
              <w:rPr>
                <w:rFonts w:hint="eastAsia" w:ascii="宋体" w:hAnsi="宋体" w:eastAsia="宋体" w:cs="宋体"/>
                <w:sz w:val="21"/>
                <w:szCs w:val="21"/>
              </w:rPr>
              <w:t>Y＜100</w:t>
            </w:r>
          </w:p>
        </w:tc>
      </w:tr>
      <w:tr w14:paraId="237E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restart"/>
            <w:noWrap/>
            <w:vAlign w:val="center"/>
          </w:tcPr>
          <w:p w14:paraId="44A74301">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信息传输业 *</w:t>
            </w:r>
          </w:p>
        </w:tc>
        <w:tc>
          <w:tcPr>
            <w:tcW w:w="1648" w:type="dxa"/>
            <w:noWrap/>
            <w:vAlign w:val="center"/>
          </w:tcPr>
          <w:p w14:paraId="01EA65E4">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132D7AA1">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1E870A46">
            <w:pPr>
              <w:widowControl/>
              <w:jc w:val="center"/>
              <w:rPr>
                <w:rFonts w:hint="eastAsia" w:ascii="宋体" w:hAnsi="宋体" w:eastAsia="宋体" w:cs="宋体"/>
                <w:sz w:val="21"/>
                <w:szCs w:val="21"/>
              </w:rPr>
            </w:pPr>
            <w:r>
              <w:rPr>
                <w:rFonts w:hint="eastAsia" w:ascii="宋体" w:hAnsi="宋体" w:eastAsia="宋体" w:cs="宋体"/>
                <w:sz w:val="21"/>
                <w:szCs w:val="21"/>
              </w:rPr>
              <w:t>X≥2000</w:t>
            </w:r>
          </w:p>
        </w:tc>
        <w:tc>
          <w:tcPr>
            <w:tcW w:w="1701" w:type="dxa"/>
            <w:noWrap/>
            <w:vAlign w:val="center"/>
          </w:tcPr>
          <w:p w14:paraId="43591FCB">
            <w:pPr>
              <w:widowControl/>
              <w:jc w:val="center"/>
              <w:rPr>
                <w:rFonts w:hint="eastAsia" w:ascii="宋体" w:hAnsi="宋体" w:eastAsia="宋体" w:cs="宋体"/>
                <w:sz w:val="21"/>
                <w:szCs w:val="21"/>
              </w:rPr>
            </w:pPr>
            <w:r>
              <w:rPr>
                <w:rFonts w:hint="eastAsia" w:ascii="宋体" w:hAnsi="宋体" w:eastAsia="宋体" w:cs="宋体"/>
                <w:sz w:val="21"/>
                <w:szCs w:val="21"/>
              </w:rPr>
              <w:t>100≤X＜2000</w:t>
            </w:r>
          </w:p>
        </w:tc>
        <w:tc>
          <w:tcPr>
            <w:tcW w:w="1426" w:type="dxa"/>
            <w:noWrap/>
            <w:vAlign w:val="center"/>
          </w:tcPr>
          <w:p w14:paraId="5B368780">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10≤X＜100</w:t>
            </w:r>
          </w:p>
        </w:tc>
        <w:tc>
          <w:tcPr>
            <w:tcW w:w="992" w:type="dxa"/>
            <w:noWrap/>
            <w:vAlign w:val="center"/>
          </w:tcPr>
          <w:p w14:paraId="20A2C7A6">
            <w:pPr>
              <w:widowControl/>
              <w:jc w:val="center"/>
              <w:rPr>
                <w:rFonts w:hint="eastAsia" w:ascii="宋体" w:hAnsi="宋体" w:eastAsia="宋体" w:cs="宋体"/>
                <w:sz w:val="21"/>
                <w:szCs w:val="21"/>
              </w:rPr>
            </w:pPr>
            <w:r>
              <w:rPr>
                <w:rFonts w:hint="eastAsia" w:ascii="宋体" w:hAnsi="宋体" w:eastAsia="宋体" w:cs="宋体"/>
                <w:sz w:val="21"/>
                <w:szCs w:val="21"/>
              </w:rPr>
              <w:t>X＜10</w:t>
            </w:r>
          </w:p>
        </w:tc>
      </w:tr>
      <w:tr w14:paraId="1C96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vMerge w:val="continue"/>
            <w:noWrap/>
            <w:vAlign w:val="center"/>
          </w:tcPr>
          <w:p w14:paraId="1B7600BF">
            <w:pPr>
              <w:widowControl/>
              <w:rPr>
                <w:rFonts w:hint="eastAsia" w:ascii="宋体" w:hAnsi="宋体" w:eastAsia="宋体" w:cs="宋体"/>
                <w:sz w:val="21"/>
                <w:szCs w:val="21"/>
              </w:rPr>
            </w:pPr>
          </w:p>
        </w:tc>
        <w:tc>
          <w:tcPr>
            <w:tcW w:w="1648" w:type="dxa"/>
            <w:noWrap/>
            <w:vAlign w:val="center"/>
          </w:tcPr>
          <w:p w14:paraId="722DEF4C">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0548C174">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07758648">
            <w:pPr>
              <w:widowControl/>
              <w:jc w:val="center"/>
              <w:rPr>
                <w:rFonts w:hint="eastAsia" w:ascii="宋体" w:hAnsi="宋体" w:eastAsia="宋体" w:cs="宋体"/>
                <w:sz w:val="21"/>
                <w:szCs w:val="21"/>
              </w:rPr>
            </w:pPr>
            <w:r>
              <w:rPr>
                <w:rFonts w:hint="eastAsia" w:ascii="宋体" w:hAnsi="宋体" w:eastAsia="宋体" w:cs="宋体"/>
                <w:sz w:val="21"/>
                <w:szCs w:val="21"/>
              </w:rPr>
              <w:t>Y≥100000</w:t>
            </w:r>
          </w:p>
        </w:tc>
        <w:tc>
          <w:tcPr>
            <w:tcW w:w="1701" w:type="dxa"/>
            <w:noWrap/>
            <w:vAlign w:val="center"/>
          </w:tcPr>
          <w:p w14:paraId="0CDC8F72">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1000≤Y＜100000</w:t>
            </w:r>
          </w:p>
        </w:tc>
        <w:tc>
          <w:tcPr>
            <w:tcW w:w="1426" w:type="dxa"/>
            <w:noWrap/>
            <w:vAlign w:val="center"/>
          </w:tcPr>
          <w:p w14:paraId="25AF573D">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100≤Y＜1000</w:t>
            </w:r>
          </w:p>
        </w:tc>
        <w:tc>
          <w:tcPr>
            <w:tcW w:w="992" w:type="dxa"/>
            <w:noWrap/>
            <w:vAlign w:val="center"/>
          </w:tcPr>
          <w:p w14:paraId="713DDF0D">
            <w:pPr>
              <w:widowControl/>
              <w:jc w:val="center"/>
              <w:rPr>
                <w:rFonts w:hint="eastAsia" w:ascii="宋体" w:hAnsi="宋体" w:eastAsia="宋体" w:cs="宋体"/>
                <w:sz w:val="21"/>
                <w:szCs w:val="21"/>
              </w:rPr>
            </w:pPr>
            <w:r>
              <w:rPr>
                <w:rFonts w:hint="eastAsia" w:ascii="宋体" w:hAnsi="宋体" w:eastAsia="宋体" w:cs="宋体"/>
                <w:sz w:val="21"/>
                <w:szCs w:val="21"/>
              </w:rPr>
              <w:t>Y＜100</w:t>
            </w:r>
          </w:p>
        </w:tc>
      </w:tr>
      <w:tr w14:paraId="5EBB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0" w:type="dxa"/>
            <w:vMerge w:val="restart"/>
            <w:noWrap/>
            <w:vAlign w:val="center"/>
          </w:tcPr>
          <w:p w14:paraId="3BC644FD">
            <w:pPr>
              <w:widowControl/>
              <w:spacing w:line="240" w:lineRule="exact"/>
              <w:rPr>
                <w:rFonts w:hint="eastAsia" w:ascii="宋体" w:hAnsi="宋体" w:eastAsia="宋体" w:cs="宋体"/>
                <w:spacing w:val="-12"/>
                <w:sz w:val="21"/>
                <w:szCs w:val="21"/>
              </w:rPr>
            </w:pPr>
            <w:r>
              <w:rPr>
                <w:rFonts w:hint="eastAsia" w:ascii="宋体" w:hAnsi="宋体" w:eastAsia="宋体" w:cs="宋体"/>
                <w:spacing w:val="-12"/>
                <w:sz w:val="21"/>
                <w:szCs w:val="21"/>
              </w:rPr>
              <w:t>软件和信息技术服</w:t>
            </w:r>
            <w:r>
              <w:rPr>
                <w:rFonts w:hint="eastAsia" w:ascii="宋体" w:hAnsi="宋体" w:eastAsia="宋体" w:cs="宋体"/>
                <w:sz w:val="21"/>
                <w:szCs w:val="21"/>
              </w:rPr>
              <w:t>务业</w:t>
            </w:r>
          </w:p>
        </w:tc>
        <w:tc>
          <w:tcPr>
            <w:tcW w:w="1648" w:type="dxa"/>
            <w:noWrap/>
            <w:vAlign w:val="center"/>
          </w:tcPr>
          <w:p w14:paraId="1F50E455">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6510B65E">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49776CC7">
            <w:pPr>
              <w:widowControl/>
              <w:jc w:val="center"/>
              <w:rPr>
                <w:rFonts w:hint="eastAsia" w:ascii="宋体" w:hAnsi="宋体" w:eastAsia="宋体" w:cs="宋体"/>
                <w:sz w:val="21"/>
                <w:szCs w:val="21"/>
              </w:rPr>
            </w:pPr>
            <w:r>
              <w:rPr>
                <w:rFonts w:hint="eastAsia" w:ascii="宋体" w:hAnsi="宋体" w:eastAsia="宋体" w:cs="宋体"/>
                <w:sz w:val="21"/>
                <w:szCs w:val="21"/>
              </w:rPr>
              <w:t>X≥300</w:t>
            </w:r>
          </w:p>
        </w:tc>
        <w:tc>
          <w:tcPr>
            <w:tcW w:w="1701" w:type="dxa"/>
            <w:noWrap/>
            <w:vAlign w:val="center"/>
          </w:tcPr>
          <w:p w14:paraId="69529922">
            <w:pPr>
              <w:widowControl/>
              <w:ind w:left="14" w:leftChars="-51" w:hanging="126" w:hangingChars="60"/>
              <w:jc w:val="center"/>
              <w:rPr>
                <w:rFonts w:hint="eastAsia" w:ascii="宋体" w:hAnsi="宋体" w:eastAsia="宋体" w:cs="宋体"/>
                <w:sz w:val="21"/>
                <w:szCs w:val="21"/>
              </w:rPr>
            </w:pPr>
            <w:r>
              <w:rPr>
                <w:rFonts w:hint="eastAsia" w:ascii="宋体" w:hAnsi="宋体" w:eastAsia="宋体" w:cs="宋体"/>
                <w:sz w:val="21"/>
                <w:szCs w:val="21"/>
              </w:rPr>
              <w:t xml:space="preserve">100≤X＜300 </w:t>
            </w:r>
          </w:p>
        </w:tc>
        <w:tc>
          <w:tcPr>
            <w:tcW w:w="1426" w:type="dxa"/>
            <w:noWrap/>
            <w:vAlign w:val="center"/>
          </w:tcPr>
          <w:p w14:paraId="43BA7765">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10≤X＜100</w:t>
            </w:r>
          </w:p>
        </w:tc>
        <w:tc>
          <w:tcPr>
            <w:tcW w:w="992" w:type="dxa"/>
            <w:noWrap/>
            <w:vAlign w:val="center"/>
          </w:tcPr>
          <w:p w14:paraId="3011F594">
            <w:pPr>
              <w:widowControl/>
              <w:jc w:val="center"/>
              <w:rPr>
                <w:rFonts w:hint="eastAsia" w:ascii="宋体" w:hAnsi="宋体" w:eastAsia="宋体" w:cs="宋体"/>
                <w:sz w:val="21"/>
                <w:szCs w:val="21"/>
              </w:rPr>
            </w:pPr>
            <w:r>
              <w:rPr>
                <w:rFonts w:hint="eastAsia" w:ascii="宋体" w:hAnsi="宋体" w:eastAsia="宋体" w:cs="宋体"/>
                <w:sz w:val="21"/>
                <w:szCs w:val="21"/>
              </w:rPr>
              <w:t>X＜10</w:t>
            </w:r>
          </w:p>
        </w:tc>
      </w:tr>
      <w:tr w14:paraId="4347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0" w:type="dxa"/>
            <w:vMerge w:val="continue"/>
            <w:noWrap/>
            <w:vAlign w:val="center"/>
          </w:tcPr>
          <w:p w14:paraId="0BD80FDE">
            <w:pPr>
              <w:widowControl/>
              <w:rPr>
                <w:rFonts w:hint="eastAsia" w:ascii="宋体" w:hAnsi="宋体" w:eastAsia="宋体" w:cs="宋体"/>
                <w:spacing w:val="-12"/>
                <w:sz w:val="21"/>
                <w:szCs w:val="21"/>
              </w:rPr>
            </w:pPr>
          </w:p>
        </w:tc>
        <w:tc>
          <w:tcPr>
            <w:tcW w:w="1648" w:type="dxa"/>
            <w:noWrap/>
            <w:vAlign w:val="center"/>
          </w:tcPr>
          <w:p w14:paraId="5D5F832D">
            <w:pPr>
              <w:widowControl/>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30E1B79D">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4C1FAC23">
            <w:pPr>
              <w:widowControl/>
              <w:jc w:val="center"/>
              <w:rPr>
                <w:rFonts w:hint="eastAsia" w:ascii="宋体" w:hAnsi="宋体" w:eastAsia="宋体" w:cs="宋体"/>
                <w:sz w:val="21"/>
                <w:szCs w:val="21"/>
              </w:rPr>
            </w:pPr>
            <w:r>
              <w:rPr>
                <w:rFonts w:hint="eastAsia" w:ascii="宋体" w:hAnsi="宋体" w:eastAsia="宋体" w:cs="宋体"/>
                <w:sz w:val="21"/>
                <w:szCs w:val="21"/>
              </w:rPr>
              <w:t>Y≥10000</w:t>
            </w:r>
          </w:p>
        </w:tc>
        <w:tc>
          <w:tcPr>
            <w:tcW w:w="1701" w:type="dxa"/>
            <w:noWrap/>
            <w:vAlign w:val="center"/>
          </w:tcPr>
          <w:p w14:paraId="1D380176">
            <w:pPr>
              <w:widowControl/>
              <w:jc w:val="center"/>
              <w:rPr>
                <w:rFonts w:hint="eastAsia" w:ascii="宋体" w:hAnsi="宋体" w:eastAsia="宋体" w:cs="宋体"/>
                <w:sz w:val="21"/>
                <w:szCs w:val="21"/>
              </w:rPr>
            </w:pPr>
            <w:r>
              <w:rPr>
                <w:rFonts w:hint="eastAsia" w:ascii="宋体" w:hAnsi="宋体" w:eastAsia="宋体" w:cs="宋体"/>
                <w:sz w:val="21"/>
                <w:szCs w:val="21"/>
              </w:rPr>
              <w:t>1000≤Y＜10000</w:t>
            </w:r>
          </w:p>
        </w:tc>
        <w:tc>
          <w:tcPr>
            <w:tcW w:w="1426" w:type="dxa"/>
            <w:noWrap/>
            <w:vAlign w:val="center"/>
          </w:tcPr>
          <w:p w14:paraId="1187AE43">
            <w:pPr>
              <w:widowControl/>
              <w:jc w:val="center"/>
              <w:rPr>
                <w:rFonts w:hint="eastAsia" w:ascii="宋体" w:hAnsi="宋体" w:eastAsia="宋体" w:cs="宋体"/>
                <w:sz w:val="21"/>
                <w:szCs w:val="21"/>
              </w:rPr>
            </w:pPr>
            <w:r>
              <w:rPr>
                <w:rFonts w:hint="eastAsia" w:ascii="宋体" w:hAnsi="宋体" w:eastAsia="宋体" w:cs="宋体"/>
                <w:sz w:val="21"/>
                <w:szCs w:val="21"/>
              </w:rPr>
              <w:t xml:space="preserve">  50≤Y＜1000</w:t>
            </w:r>
          </w:p>
        </w:tc>
        <w:tc>
          <w:tcPr>
            <w:tcW w:w="992" w:type="dxa"/>
            <w:noWrap/>
            <w:vAlign w:val="center"/>
          </w:tcPr>
          <w:p w14:paraId="1572D55E">
            <w:pPr>
              <w:widowControl/>
              <w:jc w:val="center"/>
              <w:rPr>
                <w:rFonts w:hint="eastAsia" w:ascii="宋体" w:hAnsi="宋体" w:eastAsia="宋体" w:cs="宋体"/>
                <w:sz w:val="21"/>
                <w:szCs w:val="21"/>
              </w:rPr>
            </w:pPr>
            <w:r>
              <w:rPr>
                <w:rFonts w:hint="eastAsia" w:ascii="宋体" w:hAnsi="宋体" w:eastAsia="宋体" w:cs="宋体"/>
                <w:sz w:val="21"/>
                <w:szCs w:val="21"/>
              </w:rPr>
              <w:t>Y＜50</w:t>
            </w:r>
          </w:p>
        </w:tc>
      </w:tr>
      <w:tr w14:paraId="156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0" w:type="dxa"/>
            <w:vMerge w:val="restart"/>
            <w:noWrap/>
            <w:vAlign w:val="center"/>
          </w:tcPr>
          <w:p w14:paraId="4760AAE9">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房地产开发经营</w:t>
            </w:r>
          </w:p>
        </w:tc>
        <w:tc>
          <w:tcPr>
            <w:tcW w:w="1648" w:type="dxa"/>
            <w:noWrap/>
            <w:vAlign w:val="center"/>
          </w:tcPr>
          <w:p w14:paraId="022D188E">
            <w:pPr>
              <w:widowControl/>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5F99F22C">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71D1DC7F">
            <w:pPr>
              <w:widowControl/>
              <w:jc w:val="center"/>
              <w:rPr>
                <w:rFonts w:hint="eastAsia" w:ascii="宋体" w:hAnsi="宋体" w:eastAsia="宋体" w:cs="宋体"/>
                <w:sz w:val="21"/>
                <w:szCs w:val="21"/>
              </w:rPr>
            </w:pPr>
            <w:r>
              <w:rPr>
                <w:rFonts w:hint="eastAsia" w:ascii="宋体" w:hAnsi="宋体" w:eastAsia="宋体" w:cs="宋体"/>
                <w:sz w:val="21"/>
                <w:szCs w:val="21"/>
              </w:rPr>
              <w:t>Y≥200000</w:t>
            </w:r>
          </w:p>
        </w:tc>
        <w:tc>
          <w:tcPr>
            <w:tcW w:w="1701" w:type="dxa"/>
            <w:noWrap/>
            <w:vAlign w:val="center"/>
          </w:tcPr>
          <w:p w14:paraId="2258F853">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1000≤Y＜200000</w:t>
            </w:r>
          </w:p>
        </w:tc>
        <w:tc>
          <w:tcPr>
            <w:tcW w:w="1426" w:type="dxa"/>
            <w:noWrap/>
            <w:vAlign w:val="center"/>
          </w:tcPr>
          <w:p w14:paraId="2AD062BC">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100≤Y＜1000</w:t>
            </w:r>
          </w:p>
        </w:tc>
        <w:tc>
          <w:tcPr>
            <w:tcW w:w="992" w:type="dxa"/>
            <w:noWrap/>
            <w:vAlign w:val="center"/>
          </w:tcPr>
          <w:p w14:paraId="62AD8618">
            <w:pPr>
              <w:widowControl/>
              <w:jc w:val="center"/>
              <w:rPr>
                <w:rFonts w:hint="eastAsia" w:ascii="宋体" w:hAnsi="宋体" w:eastAsia="宋体" w:cs="宋体"/>
                <w:sz w:val="21"/>
                <w:szCs w:val="21"/>
              </w:rPr>
            </w:pPr>
            <w:r>
              <w:rPr>
                <w:rFonts w:hint="eastAsia" w:ascii="宋体" w:hAnsi="宋体" w:eastAsia="宋体" w:cs="宋体"/>
                <w:sz w:val="21"/>
                <w:szCs w:val="21"/>
              </w:rPr>
              <w:t>Y＜100</w:t>
            </w:r>
          </w:p>
        </w:tc>
      </w:tr>
      <w:tr w14:paraId="31F1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0" w:type="dxa"/>
            <w:vMerge w:val="continue"/>
            <w:noWrap/>
            <w:vAlign w:val="center"/>
          </w:tcPr>
          <w:p w14:paraId="2F64A529">
            <w:pPr>
              <w:widowControl/>
              <w:rPr>
                <w:rFonts w:hint="eastAsia" w:ascii="宋体" w:hAnsi="宋体" w:eastAsia="宋体" w:cs="宋体"/>
                <w:sz w:val="21"/>
                <w:szCs w:val="21"/>
              </w:rPr>
            </w:pPr>
          </w:p>
        </w:tc>
        <w:tc>
          <w:tcPr>
            <w:tcW w:w="1648" w:type="dxa"/>
            <w:noWrap/>
            <w:vAlign w:val="center"/>
          </w:tcPr>
          <w:p w14:paraId="4AA2EDE9">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资产总额(Z)</w:t>
            </w:r>
          </w:p>
        </w:tc>
        <w:tc>
          <w:tcPr>
            <w:tcW w:w="709" w:type="dxa"/>
            <w:noWrap/>
            <w:vAlign w:val="center"/>
          </w:tcPr>
          <w:p w14:paraId="5F46B2E4">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2F62FD97">
            <w:pPr>
              <w:widowControl/>
              <w:jc w:val="center"/>
              <w:rPr>
                <w:rFonts w:hint="eastAsia" w:ascii="宋体" w:hAnsi="宋体" w:eastAsia="宋体" w:cs="宋体"/>
                <w:sz w:val="21"/>
                <w:szCs w:val="21"/>
              </w:rPr>
            </w:pPr>
            <w:r>
              <w:rPr>
                <w:rFonts w:hint="eastAsia" w:ascii="宋体" w:hAnsi="宋体" w:eastAsia="宋体" w:cs="宋体"/>
                <w:sz w:val="21"/>
                <w:szCs w:val="21"/>
              </w:rPr>
              <w:t>Z≥10000</w:t>
            </w:r>
          </w:p>
        </w:tc>
        <w:tc>
          <w:tcPr>
            <w:tcW w:w="1701" w:type="dxa"/>
            <w:noWrap/>
            <w:vAlign w:val="center"/>
          </w:tcPr>
          <w:p w14:paraId="54CC461A">
            <w:pPr>
              <w:widowControl/>
              <w:jc w:val="center"/>
              <w:rPr>
                <w:rFonts w:hint="eastAsia" w:ascii="宋体" w:hAnsi="宋体" w:eastAsia="宋体" w:cs="宋体"/>
                <w:sz w:val="21"/>
                <w:szCs w:val="21"/>
              </w:rPr>
            </w:pPr>
            <w:r>
              <w:rPr>
                <w:rFonts w:hint="eastAsia" w:ascii="宋体" w:hAnsi="宋体" w:eastAsia="宋体" w:cs="宋体"/>
                <w:sz w:val="21"/>
                <w:szCs w:val="21"/>
              </w:rPr>
              <w:t>5000≤Z＜10000</w:t>
            </w:r>
          </w:p>
        </w:tc>
        <w:tc>
          <w:tcPr>
            <w:tcW w:w="1426" w:type="dxa"/>
            <w:noWrap/>
            <w:vAlign w:val="center"/>
          </w:tcPr>
          <w:p w14:paraId="65A76440">
            <w:pPr>
              <w:widowControl/>
              <w:jc w:val="center"/>
              <w:rPr>
                <w:rFonts w:hint="eastAsia" w:ascii="宋体" w:hAnsi="宋体" w:eastAsia="宋体" w:cs="宋体"/>
                <w:sz w:val="21"/>
                <w:szCs w:val="21"/>
              </w:rPr>
            </w:pPr>
            <w:r>
              <w:rPr>
                <w:rFonts w:hint="eastAsia" w:ascii="宋体" w:hAnsi="宋体" w:eastAsia="宋体" w:cs="宋体"/>
                <w:sz w:val="21"/>
                <w:szCs w:val="21"/>
              </w:rPr>
              <w:t xml:space="preserve">2000≤Z＜5000   </w:t>
            </w:r>
          </w:p>
        </w:tc>
        <w:tc>
          <w:tcPr>
            <w:tcW w:w="992" w:type="dxa"/>
            <w:noWrap/>
            <w:vAlign w:val="center"/>
          </w:tcPr>
          <w:p w14:paraId="2D65E14B">
            <w:pPr>
              <w:widowControl/>
              <w:jc w:val="center"/>
              <w:rPr>
                <w:rFonts w:hint="eastAsia" w:ascii="宋体" w:hAnsi="宋体" w:eastAsia="宋体" w:cs="宋体"/>
                <w:sz w:val="21"/>
                <w:szCs w:val="21"/>
              </w:rPr>
            </w:pPr>
            <w:r>
              <w:rPr>
                <w:rFonts w:hint="eastAsia" w:ascii="宋体" w:hAnsi="宋体" w:eastAsia="宋体" w:cs="宋体"/>
                <w:sz w:val="21"/>
                <w:szCs w:val="21"/>
              </w:rPr>
              <w:t>Z＜2000</w:t>
            </w:r>
          </w:p>
        </w:tc>
      </w:tr>
      <w:tr w14:paraId="1D57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0" w:type="dxa"/>
            <w:vMerge w:val="restart"/>
            <w:noWrap/>
            <w:vAlign w:val="center"/>
          </w:tcPr>
          <w:p w14:paraId="6EDD16F8">
            <w:pPr>
              <w:widowControl/>
              <w:spacing w:line="240" w:lineRule="exact"/>
              <w:rPr>
                <w:rFonts w:hint="eastAsia" w:ascii="宋体" w:hAnsi="宋体" w:eastAsia="宋体" w:cs="宋体"/>
                <w:sz w:val="21"/>
                <w:szCs w:val="21"/>
              </w:rPr>
            </w:pPr>
            <w:r>
              <w:rPr>
                <w:rFonts w:hint="eastAsia" w:ascii="宋体" w:hAnsi="宋体" w:eastAsia="宋体" w:cs="宋体"/>
                <w:sz w:val="21"/>
                <w:szCs w:val="21"/>
              </w:rPr>
              <w:t>物业管理</w:t>
            </w:r>
          </w:p>
        </w:tc>
        <w:tc>
          <w:tcPr>
            <w:tcW w:w="1648" w:type="dxa"/>
            <w:noWrap/>
            <w:vAlign w:val="center"/>
          </w:tcPr>
          <w:p w14:paraId="5F2EBECE">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49CFCEF6">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574B0B52">
            <w:pPr>
              <w:widowControl/>
              <w:jc w:val="center"/>
              <w:rPr>
                <w:rFonts w:hint="eastAsia" w:ascii="宋体" w:hAnsi="宋体" w:eastAsia="宋体" w:cs="宋体"/>
                <w:sz w:val="21"/>
                <w:szCs w:val="21"/>
              </w:rPr>
            </w:pPr>
            <w:r>
              <w:rPr>
                <w:rFonts w:hint="eastAsia" w:ascii="宋体" w:hAnsi="宋体" w:eastAsia="宋体" w:cs="宋体"/>
                <w:sz w:val="21"/>
                <w:szCs w:val="21"/>
              </w:rPr>
              <w:t>X≥1000</w:t>
            </w:r>
          </w:p>
        </w:tc>
        <w:tc>
          <w:tcPr>
            <w:tcW w:w="1701" w:type="dxa"/>
            <w:noWrap/>
            <w:vAlign w:val="center"/>
          </w:tcPr>
          <w:p w14:paraId="5AF47F1B">
            <w:pPr>
              <w:widowControl/>
              <w:jc w:val="center"/>
              <w:rPr>
                <w:rFonts w:hint="eastAsia" w:ascii="宋体" w:hAnsi="宋体" w:eastAsia="宋体" w:cs="宋体"/>
                <w:sz w:val="21"/>
                <w:szCs w:val="21"/>
              </w:rPr>
            </w:pPr>
            <w:r>
              <w:rPr>
                <w:rFonts w:hint="eastAsia" w:ascii="宋体" w:hAnsi="宋体" w:eastAsia="宋体" w:cs="宋体"/>
                <w:sz w:val="21"/>
                <w:szCs w:val="21"/>
              </w:rPr>
              <w:t>300≤X＜1000</w:t>
            </w:r>
          </w:p>
        </w:tc>
        <w:tc>
          <w:tcPr>
            <w:tcW w:w="1426" w:type="dxa"/>
            <w:noWrap/>
            <w:vAlign w:val="center"/>
          </w:tcPr>
          <w:p w14:paraId="07022AAD">
            <w:pPr>
              <w:widowControl/>
              <w:jc w:val="center"/>
              <w:rPr>
                <w:rFonts w:hint="eastAsia" w:ascii="宋体" w:hAnsi="宋体" w:eastAsia="宋体" w:cs="宋体"/>
                <w:sz w:val="21"/>
                <w:szCs w:val="21"/>
              </w:rPr>
            </w:pPr>
            <w:r>
              <w:rPr>
                <w:rFonts w:hint="eastAsia" w:ascii="宋体" w:hAnsi="宋体" w:eastAsia="宋体" w:cs="宋体"/>
                <w:sz w:val="21"/>
                <w:szCs w:val="21"/>
              </w:rPr>
              <w:t xml:space="preserve">100≤X＜300 </w:t>
            </w:r>
          </w:p>
        </w:tc>
        <w:tc>
          <w:tcPr>
            <w:tcW w:w="992" w:type="dxa"/>
            <w:noWrap/>
            <w:vAlign w:val="center"/>
          </w:tcPr>
          <w:p w14:paraId="0E7FD74C">
            <w:pPr>
              <w:widowControl/>
              <w:jc w:val="center"/>
              <w:rPr>
                <w:rFonts w:hint="eastAsia" w:ascii="宋体" w:hAnsi="宋体" w:eastAsia="宋体" w:cs="宋体"/>
                <w:sz w:val="21"/>
                <w:szCs w:val="21"/>
              </w:rPr>
            </w:pPr>
            <w:r>
              <w:rPr>
                <w:rFonts w:hint="eastAsia" w:ascii="宋体" w:hAnsi="宋体" w:eastAsia="宋体" w:cs="宋体"/>
                <w:sz w:val="21"/>
                <w:szCs w:val="21"/>
              </w:rPr>
              <w:t>X＜100</w:t>
            </w:r>
          </w:p>
        </w:tc>
      </w:tr>
      <w:tr w14:paraId="2289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0" w:type="dxa"/>
            <w:vMerge w:val="continue"/>
            <w:noWrap/>
            <w:vAlign w:val="center"/>
          </w:tcPr>
          <w:p w14:paraId="02BD73F9">
            <w:pPr>
              <w:widowControl/>
              <w:rPr>
                <w:rFonts w:hint="eastAsia" w:ascii="宋体" w:hAnsi="宋体" w:eastAsia="宋体" w:cs="宋体"/>
                <w:sz w:val="21"/>
                <w:szCs w:val="21"/>
              </w:rPr>
            </w:pPr>
          </w:p>
        </w:tc>
        <w:tc>
          <w:tcPr>
            <w:tcW w:w="1648" w:type="dxa"/>
            <w:noWrap/>
            <w:vAlign w:val="center"/>
          </w:tcPr>
          <w:p w14:paraId="76E9A303">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营业收入(Y)</w:t>
            </w:r>
          </w:p>
        </w:tc>
        <w:tc>
          <w:tcPr>
            <w:tcW w:w="709" w:type="dxa"/>
            <w:noWrap/>
            <w:vAlign w:val="center"/>
          </w:tcPr>
          <w:p w14:paraId="55CE624B">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05CFB7C3">
            <w:pPr>
              <w:widowControl/>
              <w:jc w:val="center"/>
              <w:rPr>
                <w:rFonts w:hint="eastAsia" w:ascii="宋体" w:hAnsi="宋体" w:eastAsia="宋体" w:cs="宋体"/>
                <w:sz w:val="21"/>
                <w:szCs w:val="21"/>
              </w:rPr>
            </w:pPr>
            <w:r>
              <w:rPr>
                <w:rFonts w:hint="eastAsia" w:ascii="宋体" w:hAnsi="宋体" w:eastAsia="宋体" w:cs="宋体"/>
                <w:sz w:val="21"/>
                <w:szCs w:val="21"/>
              </w:rPr>
              <w:t>Y≥5000</w:t>
            </w:r>
          </w:p>
        </w:tc>
        <w:tc>
          <w:tcPr>
            <w:tcW w:w="1701" w:type="dxa"/>
            <w:noWrap/>
            <w:vAlign w:val="center"/>
          </w:tcPr>
          <w:p w14:paraId="256EE23C">
            <w:pPr>
              <w:widowControl/>
              <w:ind w:left="14" w:leftChars="-51" w:hanging="126" w:hangingChars="60"/>
              <w:jc w:val="center"/>
              <w:rPr>
                <w:rFonts w:hint="eastAsia" w:ascii="宋体" w:hAnsi="宋体" w:eastAsia="宋体" w:cs="宋体"/>
                <w:sz w:val="21"/>
                <w:szCs w:val="21"/>
              </w:rPr>
            </w:pPr>
            <w:r>
              <w:rPr>
                <w:rFonts w:hint="eastAsia" w:ascii="宋体" w:hAnsi="宋体" w:eastAsia="宋体" w:cs="宋体"/>
                <w:sz w:val="21"/>
                <w:szCs w:val="21"/>
              </w:rPr>
              <w:t xml:space="preserve">1000≤Y＜5000 </w:t>
            </w:r>
          </w:p>
        </w:tc>
        <w:tc>
          <w:tcPr>
            <w:tcW w:w="1426" w:type="dxa"/>
            <w:noWrap/>
            <w:vAlign w:val="center"/>
          </w:tcPr>
          <w:p w14:paraId="061507F2">
            <w:pPr>
              <w:widowControl/>
              <w:jc w:val="center"/>
              <w:rPr>
                <w:rFonts w:hint="eastAsia" w:ascii="宋体" w:hAnsi="宋体" w:eastAsia="宋体" w:cs="宋体"/>
                <w:sz w:val="21"/>
                <w:szCs w:val="21"/>
              </w:rPr>
            </w:pPr>
            <w:r>
              <w:rPr>
                <w:rFonts w:hint="eastAsia" w:ascii="宋体" w:hAnsi="宋体" w:eastAsia="宋体" w:cs="宋体"/>
                <w:sz w:val="21"/>
                <w:szCs w:val="21"/>
              </w:rPr>
              <w:t xml:space="preserve"> 500≤Y＜1000</w:t>
            </w:r>
          </w:p>
        </w:tc>
        <w:tc>
          <w:tcPr>
            <w:tcW w:w="992" w:type="dxa"/>
            <w:noWrap/>
            <w:vAlign w:val="center"/>
          </w:tcPr>
          <w:p w14:paraId="0BBDB7B8">
            <w:pPr>
              <w:widowControl/>
              <w:jc w:val="center"/>
              <w:rPr>
                <w:rFonts w:hint="eastAsia" w:ascii="宋体" w:hAnsi="宋体" w:eastAsia="宋体" w:cs="宋体"/>
                <w:sz w:val="21"/>
                <w:szCs w:val="21"/>
              </w:rPr>
            </w:pPr>
            <w:r>
              <w:rPr>
                <w:rFonts w:hint="eastAsia" w:ascii="宋体" w:hAnsi="宋体" w:eastAsia="宋体" w:cs="宋体"/>
                <w:sz w:val="21"/>
                <w:szCs w:val="21"/>
              </w:rPr>
              <w:t>Y＜500</w:t>
            </w:r>
          </w:p>
        </w:tc>
      </w:tr>
      <w:tr w14:paraId="5D3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0" w:type="dxa"/>
            <w:vMerge w:val="restart"/>
            <w:noWrap/>
            <w:vAlign w:val="center"/>
          </w:tcPr>
          <w:p w14:paraId="14BBBC89">
            <w:pPr>
              <w:widowControl/>
              <w:spacing w:line="240" w:lineRule="exact"/>
              <w:rPr>
                <w:rFonts w:hint="eastAsia" w:ascii="宋体" w:hAnsi="宋体" w:eastAsia="宋体" w:cs="宋体"/>
                <w:sz w:val="21"/>
                <w:szCs w:val="21"/>
              </w:rPr>
            </w:pPr>
            <w:r>
              <w:rPr>
                <w:rFonts w:hint="eastAsia" w:ascii="宋体" w:hAnsi="宋体" w:eastAsia="宋体" w:cs="宋体"/>
                <w:sz w:val="21"/>
                <w:szCs w:val="21"/>
              </w:rPr>
              <w:t>租赁和商务服务业</w:t>
            </w:r>
          </w:p>
        </w:tc>
        <w:tc>
          <w:tcPr>
            <w:tcW w:w="1648" w:type="dxa"/>
            <w:noWrap/>
            <w:vAlign w:val="center"/>
          </w:tcPr>
          <w:p w14:paraId="377535B7">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44D78D19">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4D6A839B">
            <w:pPr>
              <w:widowControl/>
              <w:jc w:val="center"/>
              <w:rPr>
                <w:rFonts w:hint="eastAsia" w:ascii="宋体" w:hAnsi="宋体" w:eastAsia="宋体" w:cs="宋体"/>
                <w:sz w:val="21"/>
                <w:szCs w:val="21"/>
              </w:rPr>
            </w:pPr>
            <w:r>
              <w:rPr>
                <w:rFonts w:hint="eastAsia" w:ascii="宋体" w:hAnsi="宋体" w:eastAsia="宋体" w:cs="宋体"/>
                <w:sz w:val="21"/>
                <w:szCs w:val="21"/>
              </w:rPr>
              <w:t>X≥300</w:t>
            </w:r>
          </w:p>
        </w:tc>
        <w:tc>
          <w:tcPr>
            <w:tcW w:w="1701" w:type="dxa"/>
            <w:noWrap/>
            <w:vAlign w:val="center"/>
          </w:tcPr>
          <w:p w14:paraId="2D505731">
            <w:pPr>
              <w:widowControl/>
              <w:ind w:left="14" w:leftChars="-51" w:hanging="126" w:hangingChars="60"/>
              <w:jc w:val="center"/>
              <w:rPr>
                <w:rFonts w:hint="eastAsia" w:ascii="宋体" w:hAnsi="宋体" w:eastAsia="宋体" w:cs="宋体"/>
                <w:sz w:val="21"/>
                <w:szCs w:val="21"/>
              </w:rPr>
            </w:pPr>
            <w:r>
              <w:rPr>
                <w:rFonts w:hint="eastAsia" w:ascii="宋体" w:hAnsi="宋体" w:eastAsia="宋体" w:cs="宋体"/>
                <w:sz w:val="21"/>
                <w:szCs w:val="21"/>
              </w:rPr>
              <w:t xml:space="preserve">100≤X＜300 </w:t>
            </w:r>
          </w:p>
        </w:tc>
        <w:tc>
          <w:tcPr>
            <w:tcW w:w="1426" w:type="dxa"/>
            <w:noWrap/>
            <w:vAlign w:val="center"/>
          </w:tcPr>
          <w:p w14:paraId="12E753FD">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10≤X＜100</w:t>
            </w:r>
          </w:p>
        </w:tc>
        <w:tc>
          <w:tcPr>
            <w:tcW w:w="992" w:type="dxa"/>
            <w:noWrap/>
            <w:vAlign w:val="center"/>
          </w:tcPr>
          <w:p w14:paraId="40B1A2FD">
            <w:pPr>
              <w:widowControl/>
              <w:jc w:val="center"/>
              <w:rPr>
                <w:rFonts w:hint="eastAsia" w:ascii="宋体" w:hAnsi="宋体" w:eastAsia="宋体" w:cs="宋体"/>
                <w:sz w:val="21"/>
                <w:szCs w:val="21"/>
              </w:rPr>
            </w:pPr>
            <w:r>
              <w:rPr>
                <w:rFonts w:hint="eastAsia" w:ascii="宋体" w:hAnsi="宋体" w:eastAsia="宋体" w:cs="宋体"/>
                <w:sz w:val="21"/>
                <w:szCs w:val="21"/>
              </w:rPr>
              <w:t>X＜10</w:t>
            </w:r>
          </w:p>
        </w:tc>
      </w:tr>
      <w:tr w14:paraId="6C4B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0" w:type="dxa"/>
            <w:vMerge w:val="continue"/>
            <w:noWrap/>
            <w:vAlign w:val="center"/>
          </w:tcPr>
          <w:p w14:paraId="2F57C5DB">
            <w:pPr>
              <w:widowControl/>
              <w:rPr>
                <w:rFonts w:hint="eastAsia" w:ascii="宋体" w:hAnsi="宋体" w:eastAsia="宋体" w:cs="宋体"/>
                <w:sz w:val="21"/>
                <w:szCs w:val="21"/>
              </w:rPr>
            </w:pPr>
          </w:p>
        </w:tc>
        <w:tc>
          <w:tcPr>
            <w:tcW w:w="1648" w:type="dxa"/>
            <w:noWrap/>
            <w:vAlign w:val="center"/>
          </w:tcPr>
          <w:p w14:paraId="35F6EF6A">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资产总额(Z)</w:t>
            </w:r>
          </w:p>
        </w:tc>
        <w:tc>
          <w:tcPr>
            <w:tcW w:w="709" w:type="dxa"/>
            <w:noWrap/>
            <w:vAlign w:val="center"/>
          </w:tcPr>
          <w:p w14:paraId="39558D14">
            <w:pPr>
              <w:widowControl/>
              <w:jc w:val="center"/>
              <w:rPr>
                <w:rFonts w:hint="eastAsia" w:ascii="宋体" w:hAnsi="宋体" w:eastAsia="宋体" w:cs="宋体"/>
                <w:sz w:val="21"/>
                <w:szCs w:val="21"/>
              </w:rPr>
            </w:pPr>
            <w:r>
              <w:rPr>
                <w:rFonts w:hint="eastAsia" w:ascii="宋体" w:hAnsi="宋体" w:eastAsia="宋体" w:cs="宋体"/>
                <w:sz w:val="21"/>
                <w:szCs w:val="21"/>
              </w:rPr>
              <w:t>万元</w:t>
            </w:r>
          </w:p>
        </w:tc>
        <w:tc>
          <w:tcPr>
            <w:tcW w:w="1125" w:type="dxa"/>
            <w:noWrap/>
            <w:vAlign w:val="center"/>
          </w:tcPr>
          <w:p w14:paraId="6F9FE545">
            <w:pPr>
              <w:widowControl/>
              <w:jc w:val="center"/>
              <w:rPr>
                <w:rFonts w:hint="eastAsia" w:ascii="宋体" w:hAnsi="宋体" w:eastAsia="宋体" w:cs="宋体"/>
                <w:sz w:val="21"/>
                <w:szCs w:val="21"/>
              </w:rPr>
            </w:pPr>
            <w:r>
              <w:rPr>
                <w:rFonts w:hint="eastAsia" w:ascii="宋体" w:hAnsi="宋体" w:eastAsia="宋体" w:cs="宋体"/>
                <w:sz w:val="21"/>
                <w:szCs w:val="21"/>
              </w:rPr>
              <w:t>Z≥120000</w:t>
            </w:r>
          </w:p>
        </w:tc>
        <w:tc>
          <w:tcPr>
            <w:tcW w:w="1701" w:type="dxa"/>
            <w:noWrap/>
            <w:vAlign w:val="center"/>
          </w:tcPr>
          <w:p w14:paraId="0D9949D7">
            <w:pPr>
              <w:widowControl/>
              <w:jc w:val="center"/>
              <w:rPr>
                <w:rFonts w:hint="eastAsia" w:ascii="宋体" w:hAnsi="宋体" w:eastAsia="宋体" w:cs="宋体"/>
                <w:sz w:val="21"/>
                <w:szCs w:val="21"/>
              </w:rPr>
            </w:pPr>
            <w:r>
              <w:rPr>
                <w:rFonts w:hint="eastAsia" w:ascii="宋体" w:hAnsi="宋体" w:eastAsia="宋体" w:cs="宋体"/>
                <w:sz w:val="21"/>
                <w:szCs w:val="21"/>
              </w:rPr>
              <w:t xml:space="preserve"> 8000≤Z＜120000</w:t>
            </w:r>
          </w:p>
        </w:tc>
        <w:tc>
          <w:tcPr>
            <w:tcW w:w="1426" w:type="dxa"/>
            <w:noWrap/>
            <w:vAlign w:val="center"/>
          </w:tcPr>
          <w:p w14:paraId="3715B83C">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100≤Z＜8000</w:t>
            </w:r>
          </w:p>
        </w:tc>
        <w:tc>
          <w:tcPr>
            <w:tcW w:w="992" w:type="dxa"/>
            <w:noWrap/>
            <w:vAlign w:val="center"/>
          </w:tcPr>
          <w:p w14:paraId="7306341C">
            <w:pPr>
              <w:widowControl/>
              <w:jc w:val="center"/>
              <w:rPr>
                <w:rFonts w:hint="eastAsia" w:ascii="宋体" w:hAnsi="宋体" w:eastAsia="宋体" w:cs="宋体"/>
                <w:sz w:val="21"/>
                <w:szCs w:val="21"/>
              </w:rPr>
            </w:pPr>
            <w:r>
              <w:rPr>
                <w:rFonts w:hint="eastAsia" w:ascii="宋体" w:hAnsi="宋体" w:eastAsia="宋体" w:cs="宋体"/>
                <w:sz w:val="21"/>
                <w:szCs w:val="21"/>
              </w:rPr>
              <w:t>Z＜100</w:t>
            </w:r>
          </w:p>
        </w:tc>
      </w:tr>
      <w:tr w14:paraId="4062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0" w:type="dxa"/>
            <w:noWrap/>
            <w:vAlign w:val="center"/>
          </w:tcPr>
          <w:p w14:paraId="175D01DF">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其他未列明行业 *</w:t>
            </w:r>
          </w:p>
        </w:tc>
        <w:tc>
          <w:tcPr>
            <w:tcW w:w="1648" w:type="dxa"/>
            <w:noWrap/>
            <w:vAlign w:val="center"/>
          </w:tcPr>
          <w:p w14:paraId="2B52343E">
            <w:pPr>
              <w:widowControl/>
              <w:jc w:val="center"/>
              <w:rPr>
                <w:rFonts w:hint="eastAsia" w:ascii="宋体" w:hAnsi="宋体" w:eastAsia="宋体" w:cs="宋体"/>
                <w:sz w:val="21"/>
                <w:szCs w:val="21"/>
              </w:rPr>
            </w:pPr>
            <w:r>
              <w:rPr>
                <w:rFonts w:hint="eastAsia" w:ascii="宋体" w:hAnsi="宋体" w:eastAsia="宋体" w:cs="宋体"/>
                <w:sz w:val="21"/>
                <w:szCs w:val="21"/>
              </w:rPr>
              <w:t>从业人员(X)</w:t>
            </w:r>
          </w:p>
        </w:tc>
        <w:tc>
          <w:tcPr>
            <w:tcW w:w="709" w:type="dxa"/>
            <w:noWrap/>
            <w:vAlign w:val="center"/>
          </w:tcPr>
          <w:p w14:paraId="5A6411E5">
            <w:pPr>
              <w:widowControl/>
              <w:jc w:val="center"/>
              <w:rPr>
                <w:rFonts w:hint="eastAsia" w:ascii="宋体" w:hAnsi="宋体" w:eastAsia="宋体" w:cs="宋体"/>
                <w:sz w:val="21"/>
                <w:szCs w:val="21"/>
              </w:rPr>
            </w:pPr>
            <w:r>
              <w:rPr>
                <w:rFonts w:hint="eastAsia" w:ascii="宋体" w:hAnsi="宋体" w:eastAsia="宋体" w:cs="宋体"/>
                <w:sz w:val="21"/>
                <w:szCs w:val="21"/>
              </w:rPr>
              <w:t>人</w:t>
            </w:r>
          </w:p>
        </w:tc>
        <w:tc>
          <w:tcPr>
            <w:tcW w:w="1125" w:type="dxa"/>
            <w:noWrap/>
            <w:vAlign w:val="center"/>
          </w:tcPr>
          <w:p w14:paraId="721B12F4">
            <w:pPr>
              <w:widowControl/>
              <w:jc w:val="center"/>
              <w:rPr>
                <w:rFonts w:hint="eastAsia" w:ascii="宋体" w:hAnsi="宋体" w:eastAsia="宋体" w:cs="宋体"/>
                <w:sz w:val="21"/>
                <w:szCs w:val="21"/>
              </w:rPr>
            </w:pPr>
            <w:r>
              <w:rPr>
                <w:rFonts w:hint="eastAsia" w:ascii="宋体" w:hAnsi="宋体" w:eastAsia="宋体" w:cs="宋体"/>
                <w:sz w:val="21"/>
                <w:szCs w:val="21"/>
              </w:rPr>
              <w:t>X≥300</w:t>
            </w:r>
          </w:p>
        </w:tc>
        <w:tc>
          <w:tcPr>
            <w:tcW w:w="1701" w:type="dxa"/>
            <w:noWrap/>
            <w:vAlign w:val="center"/>
          </w:tcPr>
          <w:p w14:paraId="5273F6A8">
            <w:pPr>
              <w:widowControl/>
              <w:ind w:left="14" w:leftChars="-51" w:hanging="126" w:hangingChars="60"/>
              <w:jc w:val="center"/>
              <w:rPr>
                <w:rFonts w:hint="eastAsia" w:ascii="宋体" w:hAnsi="宋体" w:eastAsia="宋体" w:cs="宋体"/>
                <w:sz w:val="21"/>
                <w:szCs w:val="21"/>
              </w:rPr>
            </w:pPr>
            <w:r>
              <w:rPr>
                <w:rFonts w:hint="eastAsia" w:ascii="宋体" w:hAnsi="宋体" w:eastAsia="宋体" w:cs="宋体"/>
                <w:sz w:val="21"/>
                <w:szCs w:val="21"/>
              </w:rPr>
              <w:t xml:space="preserve">100≤X＜300 </w:t>
            </w:r>
          </w:p>
        </w:tc>
        <w:tc>
          <w:tcPr>
            <w:tcW w:w="1426" w:type="dxa"/>
            <w:noWrap/>
            <w:vAlign w:val="center"/>
          </w:tcPr>
          <w:p w14:paraId="22002EBF">
            <w:pPr>
              <w:widowControl/>
              <w:jc w:val="center"/>
              <w:rPr>
                <w:rFonts w:hint="eastAsia" w:ascii="宋体" w:hAnsi="宋体" w:eastAsia="宋体" w:cs="宋体"/>
                <w:sz w:val="21"/>
                <w:szCs w:val="21"/>
              </w:rPr>
            </w:pPr>
            <w:r>
              <w:rPr>
                <w:rFonts w:hint="eastAsia" w:ascii="宋体" w:hAnsi="宋体" w:eastAsia="宋体" w:cs="宋体"/>
                <w:sz w:val="21"/>
                <w:szCs w:val="21"/>
              </w:rPr>
              <w:t xml:space="preserve"> 10≤X＜100</w:t>
            </w:r>
          </w:p>
        </w:tc>
        <w:tc>
          <w:tcPr>
            <w:tcW w:w="992" w:type="dxa"/>
            <w:noWrap/>
            <w:vAlign w:val="center"/>
          </w:tcPr>
          <w:p w14:paraId="2848B680">
            <w:pPr>
              <w:widowControl/>
              <w:jc w:val="center"/>
              <w:rPr>
                <w:rFonts w:hint="eastAsia" w:ascii="宋体" w:hAnsi="宋体" w:eastAsia="宋体" w:cs="宋体"/>
                <w:sz w:val="21"/>
                <w:szCs w:val="21"/>
              </w:rPr>
            </w:pPr>
            <w:r>
              <w:rPr>
                <w:rFonts w:hint="eastAsia" w:ascii="宋体" w:hAnsi="宋体" w:eastAsia="宋体" w:cs="宋体"/>
                <w:sz w:val="21"/>
                <w:szCs w:val="21"/>
              </w:rPr>
              <w:t>X＜10</w:t>
            </w:r>
          </w:p>
        </w:tc>
      </w:tr>
    </w:tbl>
    <w:p w14:paraId="73D5A80F">
      <w:pPr>
        <w:widowControl/>
        <w:spacing w:line="360" w:lineRule="auto"/>
        <w:rPr>
          <w:rFonts w:cs="宋体"/>
          <w:spacing w:val="8"/>
          <w:sz w:val="21"/>
          <w:szCs w:val="21"/>
        </w:rPr>
      </w:pPr>
    </w:p>
    <w:p w14:paraId="5C01F366">
      <w:pPr>
        <w:widowControl/>
        <w:spacing w:line="360" w:lineRule="auto"/>
        <w:rPr>
          <w:rFonts w:cs="宋体"/>
          <w:spacing w:val="8"/>
          <w:sz w:val="21"/>
          <w:szCs w:val="21"/>
        </w:rPr>
      </w:pPr>
    </w:p>
    <w:p w14:paraId="0CA08615">
      <w:pPr>
        <w:widowControl/>
        <w:spacing w:line="360" w:lineRule="auto"/>
        <w:rPr>
          <w:rFonts w:hint="default" w:cs="宋体"/>
          <w:spacing w:val="8"/>
          <w:sz w:val="21"/>
          <w:szCs w:val="21"/>
        </w:rPr>
      </w:pPr>
      <w:r>
        <w:rPr>
          <w:rFonts w:cs="宋体"/>
          <w:spacing w:val="8"/>
          <w:sz w:val="21"/>
          <w:szCs w:val="21"/>
        </w:rPr>
        <w:t>说明：</w:t>
      </w:r>
    </w:p>
    <w:p w14:paraId="7A4DDF9F">
      <w:pPr>
        <w:spacing w:line="360" w:lineRule="auto"/>
        <w:rPr>
          <w:rFonts w:hint="default" w:cs="宋体"/>
          <w:spacing w:val="8"/>
          <w:sz w:val="21"/>
          <w:szCs w:val="21"/>
        </w:rPr>
      </w:pPr>
      <w:r>
        <w:rPr>
          <w:rFonts w:cs="宋体"/>
          <w:spacing w:val="8"/>
          <w:sz w:val="21"/>
          <w:szCs w:val="21"/>
        </w:rPr>
        <w:t>　　1.大型、中型和小型企业须同时满足所列指标的下限，否则下划一档；微型企业只须满足所列指标中的一项即可。</w:t>
      </w:r>
    </w:p>
    <w:p w14:paraId="2664BAD7">
      <w:pPr>
        <w:spacing w:line="360" w:lineRule="auto"/>
        <w:rPr>
          <w:rFonts w:hint="default" w:cs="宋体"/>
          <w:spacing w:val="8"/>
          <w:sz w:val="21"/>
          <w:szCs w:val="21"/>
        </w:rPr>
      </w:pPr>
      <w:r>
        <w:rPr>
          <w:rFonts w:cs="宋体"/>
          <w:spacing w:val="8"/>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6EB7F22">
      <w:pPr>
        <w:spacing w:line="360" w:lineRule="auto"/>
        <w:rPr>
          <w:rFonts w:hint="default" w:cs="宋体"/>
          <w:sz w:val="21"/>
          <w:szCs w:val="21"/>
        </w:rPr>
      </w:pPr>
      <w:r>
        <w:rPr>
          <w:rFonts w:cs="宋体"/>
          <w:spacing w:val="8"/>
          <w:sz w:val="21"/>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ED53FCF">
      <w:pPr>
        <w:pStyle w:val="7"/>
        <w:ind w:left="0" w:leftChars="0"/>
        <w:rPr>
          <w:rFonts w:ascii="宋体" w:hAnsi="宋体" w:cs="宋体"/>
          <w:sz w:val="21"/>
          <w:szCs w:val="21"/>
        </w:rPr>
      </w:pPr>
    </w:p>
    <w:p w14:paraId="527C5FE3">
      <w:pPr>
        <w:spacing w:line="360" w:lineRule="auto"/>
        <w:rPr>
          <w:rFonts w:hint="default" w:cs="宋体"/>
          <w:sz w:val="21"/>
          <w:szCs w:val="21"/>
        </w:rPr>
      </w:pPr>
    </w:p>
    <w:p w14:paraId="6EC1EDE5">
      <w:pPr>
        <w:pStyle w:val="22"/>
        <w:spacing w:line="360" w:lineRule="auto"/>
        <w:ind w:left="440"/>
        <w:rPr>
          <w:rFonts w:hint="default" w:ascii="宋体" w:hAnsi="宋体" w:eastAsia="宋体" w:cs="宋体"/>
          <w:szCs w:val="21"/>
        </w:rPr>
      </w:pPr>
    </w:p>
    <w:p w14:paraId="143EBE09">
      <w:pPr>
        <w:pStyle w:val="22"/>
        <w:spacing w:line="360" w:lineRule="auto"/>
        <w:ind w:left="440"/>
        <w:rPr>
          <w:rFonts w:hint="default" w:ascii="宋体" w:hAnsi="宋体" w:eastAsia="宋体" w:cs="宋体"/>
          <w:szCs w:val="21"/>
        </w:rPr>
      </w:pPr>
    </w:p>
    <w:p w14:paraId="222EE136">
      <w:pPr>
        <w:pStyle w:val="22"/>
        <w:spacing w:line="360" w:lineRule="auto"/>
        <w:ind w:left="440"/>
        <w:rPr>
          <w:rFonts w:hint="default" w:ascii="宋体" w:hAnsi="宋体" w:eastAsia="宋体" w:cs="宋体"/>
          <w:szCs w:val="21"/>
        </w:rPr>
      </w:pPr>
    </w:p>
    <w:p w14:paraId="60B2CA9B">
      <w:pPr>
        <w:rPr>
          <w:rFonts w:hint="default" w:cs="宋体"/>
          <w:sz w:val="21"/>
          <w:szCs w:val="21"/>
        </w:rPr>
      </w:pPr>
      <w:r>
        <w:rPr>
          <w:rFonts w:cs="宋体"/>
          <w:sz w:val="21"/>
          <w:szCs w:val="21"/>
        </w:rPr>
        <w:br w:type="page"/>
      </w:r>
    </w:p>
    <w:p w14:paraId="1B60C010">
      <w:pPr>
        <w:autoSpaceDE/>
        <w:autoSpaceDN/>
        <w:adjustRightInd/>
        <w:spacing w:line="360" w:lineRule="auto"/>
        <w:jc w:val="center"/>
        <w:rPr>
          <w:rFonts w:hint="default" w:cs="宋体"/>
          <w:sz w:val="21"/>
          <w:szCs w:val="21"/>
        </w:rPr>
      </w:pPr>
      <w:r>
        <w:rPr>
          <w:rFonts w:cs="宋体"/>
          <w:sz w:val="21"/>
          <w:szCs w:val="21"/>
        </w:rPr>
        <w:t>《中小企业划型标准规定（修订征求意见稿）》</w:t>
      </w:r>
    </w:p>
    <w:p w14:paraId="48AC8834">
      <w:pPr>
        <w:autoSpaceDE/>
        <w:autoSpaceDN/>
        <w:adjustRightInd/>
        <w:spacing w:line="360" w:lineRule="auto"/>
        <w:ind w:firstLine="420" w:firstLineChars="200"/>
        <w:rPr>
          <w:rFonts w:hint="default" w:cs="宋体"/>
          <w:sz w:val="21"/>
          <w:szCs w:val="21"/>
        </w:rPr>
      </w:pPr>
      <w:r>
        <w:rPr>
          <w:rFonts w:cs="宋体"/>
          <w:sz w:val="21"/>
          <w:szCs w:val="21"/>
        </w:rPr>
        <w:t>一、根据《中华人民共和国中小企业促进法》和国民经济社会发展需要，制定本规定。</w:t>
      </w:r>
    </w:p>
    <w:p w14:paraId="6D62006F">
      <w:pPr>
        <w:autoSpaceDE/>
        <w:autoSpaceDN/>
        <w:adjustRightInd/>
        <w:spacing w:line="360" w:lineRule="auto"/>
        <w:ind w:firstLine="420" w:firstLineChars="200"/>
        <w:rPr>
          <w:rFonts w:hint="default" w:cs="宋体"/>
          <w:sz w:val="21"/>
          <w:szCs w:val="21"/>
        </w:rPr>
      </w:pPr>
      <w:r>
        <w:rPr>
          <w:rFonts w:cs="宋体"/>
          <w:sz w:val="21"/>
          <w:szCs w:val="21"/>
        </w:rPr>
        <w:t>二、中小企业划分为中型、小型、微型三种类型，具体标准根据企业从业人员、营业收入、资产总额等指标以及企业控股等情况，结合行业特点制定。</w:t>
      </w:r>
    </w:p>
    <w:p w14:paraId="1D175625">
      <w:pPr>
        <w:autoSpaceDE/>
        <w:autoSpaceDN/>
        <w:adjustRightInd/>
        <w:spacing w:line="360" w:lineRule="auto"/>
        <w:ind w:firstLine="420" w:firstLineChars="200"/>
        <w:rPr>
          <w:rFonts w:hint="default" w:cs="宋体"/>
          <w:sz w:val="21"/>
          <w:szCs w:val="21"/>
        </w:rPr>
      </w:pPr>
      <w:r>
        <w:rPr>
          <w:rFonts w:cs="宋体"/>
          <w:sz w:val="21"/>
          <w:szCs w:val="21"/>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602963B4">
      <w:pPr>
        <w:autoSpaceDE/>
        <w:autoSpaceDN/>
        <w:adjustRightInd/>
        <w:spacing w:line="360" w:lineRule="auto"/>
        <w:ind w:firstLine="420" w:firstLineChars="200"/>
        <w:rPr>
          <w:rFonts w:hint="default" w:cs="宋体"/>
          <w:sz w:val="21"/>
          <w:szCs w:val="21"/>
        </w:rPr>
      </w:pPr>
      <w:r>
        <w:rPr>
          <w:rFonts w:cs="宋体"/>
          <w:sz w:val="21"/>
          <w:szCs w:val="21"/>
        </w:rPr>
        <w:t>四、各行业中小企业划型定量标准为：</w:t>
      </w:r>
    </w:p>
    <w:p w14:paraId="0108C095">
      <w:pPr>
        <w:autoSpaceDE/>
        <w:autoSpaceDN/>
        <w:adjustRightInd/>
        <w:spacing w:line="360" w:lineRule="auto"/>
        <w:ind w:firstLine="420" w:firstLineChars="200"/>
        <w:rPr>
          <w:rFonts w:hint="default" w:cs="宋体"/>
          <w:sz w:val="21"/>
          <w:szCs w:val="21"/>
        </w:rPr>
      </w:pPr>
      <w:r>
        <w:rPr>
          <w:rFonts w:cs="宋体"/>
          <w:sz w:val="21"/>
          <w:szCs w:val="21"/>
        </w:rPr>
        <w:t>（一）农、林、牧、渔业。营业收入2亿元以下的为中小微型企业。其中：营业收入300万元以下的为微型企业；营业收入3000万元以下的为小型企业；营业收入2亿元以下的为中型企业。</w:t>
      </w:r>
    </w:p>
    <w:p w14:paraId="06A020C3">
      <w:pPr>
        <w:autoSpaceDE/>
        <w:autoSpaceDN/>
        <w:adjustRightInd/>
        <w:spacing w:line="360" w:lineRule="auto"/>
        <w:ind w:firstLine="420" w:firstLineChars="200"/>
        <w:rPr>
          <w:rFonts w:hint="default" w:cs="宋体"/>
          <w:sz w:val="21"/>
          <w:szCs w:val="21"/>
        </w:rPr>
      </w:pPr>
      <w:r>
        <w:rPr>
          <w:rFonts w:cs="宋体"/>
          <w:sz w:val="21"/>
          <w:szCs w:val="21"/>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5A83ABDD">
      <w:pPr>
        <w:autoSpaceDE/>
        <w:autoSpaceDN/>
        <w:adjustRightInd/>
        <w:spacing w:line="360" w:lineRule="auto"/>
        <w:ind w:firstLine="420" w:firstLineChars="200"/>
        <w:rPr>
          <w:rFonts w:hint="default" w:cs="宋体"/>
          <w:sz w:val="21"/>
          <w:szCs w:val="21"/>
        </w:rPr>
      </w:pPr>
      <w:r>
        <w:rPr>
          <w:rFonts w:cs="宋体"/>
          <w:sz w:val="21"/>
          <w:szCs w:val="21"/>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4DE81465">
      <w:pPr>
        <w:autoSpaceDE/>
        <w:autoSpaceDN/>
        <w:adjustRightInd/>
        <w:spacing w:line="360" w:lineRule="auto"/>
        <w:ind w:firstLine="420" w:firstLineChars="200"/>
        <w:rPr>
          <w:rFonts w:hint="default" w:cs="宋体"/>
          <w:sz w:val="21"/>
          <w:szCs w:val="21"/>
        </w:rPr>
      </w:pPr>
      <w:r>
        <w:rPr>
          <w:rFonts w:cs="宋体"/>
          <w:sz w:val="21"/>
          <w:szCs w:val="21"/>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6879C7CE">
      <w:pPr>
        <w:autoSpaceDE/>
        <w:autoSpaceDN/>
        <w:adjustRightInd/>
        <w:spacing w:line="360" w:lineRule="auto"/>
        <w:ind w:firstLine="420" w:firstLineChars="200"/>
        <w:rPr>
          <w:rFonts w:hint="default" w:cs="宋体"/>
          <w:sz w:val="21"/>
          <w:szCs w:val="21"/>
        </w:rPr>
      </w:pPr>
      <w:r>
        <w:rPr>
          <w:rFonts w:cs="宋体"/>
          <w:sz w:val="21"/>
          <w:szCs w:val="21"/>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5A182541">
      <w:pPr>
        <w:autoSpaceDE/>
        <w:autoSpaceDN/>
        <w:adjustRightInd/>
        <w:spacing w:line="360" w:lineRule="auto"/>
        <w:ind w:firstLine="420" w:firstLineChars="200"/>
        <w:rPr>
          <w:rFonts w:hint="default" w:cs="宋体"/>
          <w:sz w:val="21"/>
          <w:szCs w:val="21"/>
        </w:rPr>
      </w:pPr>
      <w:r>
        <w:rPr>
          <w:rFonts w:cs="宋体"/>
          <w:sz w:val="21"/>
          <w:szCs w:val="21"/>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5F157F80">
      <w:pPr>
        <w:autoSpaceDE/>
        <w:autoSpaceDN/>
        <w:adjustRightInd/>
        <w:spacing w:line="360" w:lineRule="auto"/>
        <w:ind w:firstLine="420" w:firstLineChars="200"/>
        <w:rPr>
          <w:rFonts w:hint="default" w:cs="宋体"/>
          <w:sz w:val="21"/>
          <w:szCs w:val="21"/>
        </w:rPr>
      </w:pPr>
      <w:r>
        <w:rPr>
          <w:rFonts w:cs="宋体"/>
          <w:sz w:val="21"/>
          <w:szCs w:val="21"/>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4F7242CC">
      <w:pPr>
        <w:autoSpaceDE/>
        <w:autoSpaceDN/>
        <w:adjustRightInd/>
        <w:spacing w:line="360" w:lineRule="auto"/>
        <w:ind w:firstLine="420" w:firstLineChars="200"/>
        <w:rPr>
          <w:rFonts w:hint="default" w:cs="宋体"/>
          <w:sz w:val="21"/>
          <w:szCs w:val="21"/>
        </w:rPr>
      </w:pPr>
      <w:r>
        <w:rPr>
          <w:rFonts w:cs="宋体"/>
          <w:sz w:val="21"/>
          <w:szCs w:val="21"/>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4A985CCE">
      <w:pPr>
        <w:autoSpaceDE/>
        <w:autoSpaceDN/>
        <w:adjustRightInd/>
        <w:spacing w:line="360" w:lineRule="auto"/>
        <w:ind w:firstLine="420" w:firstLineChars="200"/>
        <w:rPr>
          <w:rFonts w:hint="default" w:cs="宋体"/>
          <w:sz w:val="21"/>
          <w:szCs w:val="21"/>
        </w:rPr>
      </w:pPr>
      <w:r>
        <w:rPr>
          <w:rFonts w:cs="宋体"/>
          <w:sz w:val="21"/>
          <w:szCs w:val="21"/>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3D5596EE">
      <w:pPr>
        <w:autoSpaceDE/>
        <w:autoSpaceDN/>
        <w:adjustRightInd/>
        <w:spacing w:line="360" w:lineRule="auto"/>
        <w:ind w:firstLine="420" w:firstLineChars="200"/>
        <w:rPr>
          <w:rFonts w:hint="default" w:cs="宋体"/>
          <w:sz w:val="21"/>
          <w:szCs w:val="21"/>
        </w:rPr>
      </w:pPr>
      <w:r>
        <w:rPr>
          <w:rFonts w:cs="宋体"/>
          <w:sz w:val="21"/>
          <w:szCs w:val="21"/>
        </w:rPr>
        <w:t>五、企业规模类型划分以企业有关指标上年度数据为定量依据。</w:t>
      </w:r>
    </w:p>
    <w:p w14:paraId="07C605AB">
      <w:pPr>
        <w:autoSpaceDE/>
        <w:autoSpaceDN/>
        <w:adjustRightInd/>
        <w:spacing w:line="360" w:lineRule="auto"/>
        <w:ind w:firstLine="420" w:firstLineChars="200"/>
        <w:rPr>
          <w:rFonts w:hint="default" w:cs="宋体"/>
          <w:sz w:val="21"/>
          <w:szCs w:val="21"/>
        </w:rPr>
      </w:pPr>
      <w:r>
        <w:rPr>
          <w:rFonts w:cs="宋体"/>
          <w:sz w:val="21"/>
          <w:szCs w:val="21"/>
        </w:rPr>
        <w:t>没有上年度完整数据的企业规模类型划分，从业人员、资产总额以划型时的数据为定量依据，营业收入按照以下公式计算：</w:t>
      </w:r>
    </w:p>
    <w:p w14:paraId="5E23EF9E">
      <w:pPr>
        <w:autoSpaceDE/>
        <w:autoSpaceDN/>
        <w:adjustRightInd/>
        <w:spacing w:line="360" w:lineRule="auto"/>
        <w:ind w:firstLine="420" w:firstLineChars="200"/>
        <w:rPr>
          <w:rFonts w:hint="default" w:cs="宋体"/>
          <w:sz w:val="21"/>
          <w:szCs w:val="21"/>
        </w:rPr>
      </w:pPr>
      <w:r>
        <w:rPr>
          <w:rFonts w:cs="宋体"/>
          <w:sz w:val="21"/>
          <w:szCs w:val="21"/>
        </w:rPr>
        <w:t>营业收入（年）=企业实际存续期间营业收入/企业实际存续月数*12。</w:t>
      </w:r>
    </w:p>
    <w:p w14:paraId="00FC9BBC">
      <w:pPr>
        <w:autoSpaceDE/>
        <w:autoSpaceDN/>
        <w:adjustRightInd/>
        <w:spacing w:line="360" w:lineRule="auto"/>
        <w:ind w:firstLine="420" w:firstLineChars="200"/>
        <w:rPr>
          <w:rFonts w:hint="default" w:cs="宋体"/>
          <w:sz w:val="21"/>
          <w:szCs w:val="21"/>
        </w:rPr>
      </w:pPr>
      <w:r>
        <w:rPr>
          <w:rFonts w:cs="宋体"/>
          <w:sz w:val="21"/>
          <w:szCs w:val="21"/>
        </w:rPr>
        <w:t>六、不符合中小企业划型定量标准的企业即为大型企业。国家统计部门据此制定大中小微型企业的统计分类。</w:t>
      </w:r>
    </w:p>
    <w:p w14:paraId="2D833A7C">
      <w:pPr>
        <w:autoSpaceDE/>
        <w:autoSpaceDN/>
        <w:adjustRightInd/>
        <w:spacing w:line="360" w:lineRule="auto"/>
        <w:ind w:firstLine="420" w:firstLineChars="200"/>
        <w:rPr>
          <w:rFonts w:hint="default" w:cs="宋体"/>
          <w:sz w:val="21"/>
          <w:szCs w:val="21"/>
        </w:rPr>
      </w:pPr>
      <w:r>
        <w:rPr>
          <w:rFonts w:cs="宋体"/>
          <w:sz w:val="21"/>
          <w:szCs w:val="21"/>
        </w:rPr>
        <w:t>七、本规定适用于在中华人民共和国境内依法设立的企业，企业的分支机构除外。</w:t>
      </w:r>
    </w:p>
    <w:p w14:paraId="724CDE7E">
      <w:pPr>
        <w:autoSpaceDE/>
        <w:autoSpaceDN/>
        <w:adjustRightInd/>
        <w:spacing w:line="360" w:lineRule="auto"/>
        <w:ind w:firstLine="420" w:firstLineChars="200"/>
        <w:rPr>
          <w:rFonts w:hint="default" w:cs="宋体"/>
          <w:sz w:val="21"/>
          <w:szCs w:val="21"/>
        </w:rPr>
      </w:pPr>
      <w:r>
        <w:rPr>
          <w:rFonts w:cs="宋体"/>
          <w:sz w:val="21"/>
          <w:szCs w:val="21"/>
        </w:rPr>
        <w:t>符合中小企业划型定量标准，但有下列情形之一的，视同大型企业：</w:t>
      </w:r>
    </w:p>
    <w:p w14:paraId="71F293E6">
      <w:pPr>
        <w:autoSpaceDE/>
        <w:autoSpaceDN/>
        <w:adjustRightInd/>
        <w:spacing w:line="360" w:lineRule="auto"/>
        <w:ind w:firstLine="420" w:firstLineChars="200"/>
        <w:rPr>
          <w:rFonts w:hint="default" w:cs="宋体"/>
          <w:sz w:val="21"/>
          <w:szCs w:val="21"/>
        </w:rPr>
      </w:pPr>
      <w:r>
        <w:rPr>
          <w:rFonts w:cs="宋体"/>
          <w:sz w:val="21"/>
          <w:szCs w:val="21"/>
        </w:rPr>
        <w:t>（一）单个大型企业或大型企业全资子公司直接控股超过50%的企业；</w:t>
      </w:r>
    </w:p>
    <w:p w14:paraId="7BA658F6">
      <w:pPr>
        <w:autoSpaceDE/>
        <w:autoSpaceDN/>
        <w:adjustRightInd/>
        <w:spacing w:line="360" w:lineRule="auto"/>
        <w:ind w:firstLine="420" w:firstLineChars="200"/>
        <w:rPr>
          <w:rFonts w:hint="default" w:cs="宋体"/>
          <w:sz w:val="21"/>
          <w:szCs w:val="21"/>
        </w:rPr>
      </w:pPr>
      <w:r>
        <w:rPr>
          <w:rFonts w:cs="宋体"/>
          <w:sz w:val="21"/>
          <w:szCs w:val="21"/>
        </w:rPr>
        <w:t>（二）两个以上大型企业或大型企业全资子公司直接控股超过50%的企业；</w:t>
      </w:r>
    </w:p>
    <w:p w14:paraId="7DC54771">
      <w:pPr>
        <w:autoSpaceDE/>
        <w:autoSpaceDN/>
        <w:adjustRightInd/>
        <w:spacing w:line="360" w:lineRule="auto"/>
        <w:ind w:firstLine="420" w:firstLineChars="200"/>
        <w:rPr>
          <w:rFonts w:hint="default" w:cs="宋体"/>
          <w:sz w:val="21"/>
          <w:szCs w:val="21"/>
        </w:rPr>
      </w:pPr>
      <w:r>
        <w:rPr>
          <w:rFonts w:cs="宋体"/>
          <w:sz w:val="21"/>
          <w:szCs w:val="21"/>
        </w:rPr>
        <w:t>（三）与大型企业或大型企业全资子公司的法定代表人为同一人的企业。</w:t>
      </w:r>
    </w:p>
    <w:p w14:paraId="36E74E2A">
      <w:pPr>
        <w:autoSpaceDE/>
        <w:autoSpaceDN/>
        <w:adjustRightInd/>
        <w:spacing w:line="360" w:lineRule="auto"/>
        <w:ind w:firstLine="420" w:firstLineChars="200"/>
        <w:rPr>
          <w:rFonts w:hint="default" w:cs="宋体"/>
          <w:sz w:val="21"/>
          <w:szCs w:val="21"/>
        </w:rPr>
      </w:pPr>
      <w:r>
        <w:rPr>
          <w:rFonts w:cs="宋体"/>
          <w:sz w:val="21"/>
          <w:szCs w:val="21"/>
        </w:rPr>
        <w:t>八、企业规模类型采用自我声明的方式，企业对自我声明内容的真实性负责。</w:t>
      </w:r>
    </w:p>
    <w:p w14:paraId="28E052E7">
      <w:pPr>
        <w:autoSpaceDE/>
        <w:autoSpaceDN/>
        <w:adjustRightInd/>
        <w:spacing w:line="360" w:lineRule="auto"/>
        <w:ind w:firstLine="420" w:firstLineChars="200"/>
        <w:rPr>
          <w:rFonts w:hint="default" w:cs="宋体"/>
          <w:sz w:val="21"/>
          <w:szCs w:val="21"/>
        </w:rPr>
      </w:pPr>
      <w:r>
        <w:rPr>
          <w:rFonts w:cs="宋体"/>
          <w:sz w:val="21"/>
          <w:szCs w:val="21"/>
        </w:rPr>
        <w:t>在监督检查、投诉处理中对中小企业规模类型有争议的，有关部门可以向有争议的企业登记所在地同级负责中小企业促进工作综合管理部门书面提请认定。</w:t>
      </w:r>
    </w:p>
    <w:p w14:paraId="18B1D3F5">
      <w:pPr>
        <w:autoSpaceDE/>
        <w:autoSpaceDN/>
        <w:adjustRightInd/>
        <w:spacing w:line="360" w:lineRule="auto"/>
        <w:ind w:firstLine="420" w:firstLineChars="200"/>
        <w:rPr>
          <w:rFonts w:hint="default" w:cs="宋体"/>
          <w:sz w:val="21"/>
          <w:szCs w:val="21"/>
        </w:rPr>
      </w:pPr>
      <w:r>
        <w:rPr>
          <w:rFonts w:cs="宋体"/>
          <w:sz w:val="21"/>
          <w:szCs w:val="21"/>
        </w:rPr>
        <w:t>九、本规定由国务院负责中小企业促进工作综合管理部门、国家统计部门会同有关部门根据经济社会发展情况，每5年定期评估，根据评估情况适时修订。</w:t>
      </w:r>
    </w:p>
    <w:p w14:paraId="03EDA932">
      <w:pPr>
        <w:autoSpaceDE/>
        <w:autoSpaceDN/>
        <w:adjustRightInd/>
        <w:spacing w:line="360" w:lineRule="auto"/>
        <w:ind w:firstLine="420" w:firstLineChars="200"/>
        <w:rPr>
          <w:rFonts w:hint="default" w:cs="宋体"/>
          <w:sz w:val="21"/>
          <w:szCs w:val="21"/>
        </w:rPr>
      </w:pPr>
      <w:r>
        <w:rPr>
          <w:rFonts w:cs="宋体"/>
          <w:sz w:val="21"/>
          <w:szCs w:val="21"/>
        </w:rPr>
        <w:t>十、本规定由国务院负责中小企业促进工作综合管理部门、国家统计部门会同有关部门负责解释。各部门各地区不得制定与本规定不一致的中小企业划型标准。</w:t>
      </w:r>
    </w:p>
    <w:p w14:paraId="3B61D62E">
      <w:pPr>
        <w:autoSpaceDE/>
        <w:autoSpaceDN/>
        <w:adjustRightInd/>
        <w:spacing w:line="360" w:lineRule="auto"/>
        <w:ind w:firstLine="420" w:firstLineChars="200"/>
        <w:rPr>
          <w:rFonts w:hint="default" w:cs="宋体"/>
          <w:sz w:val="21"/>
          <w:szCs w:val="21"/>
        </w:rPr>
      </w:pPr>
      <w:r>
        <w:rPr>
          <w:rFonts w:cs="宋体"/>
          <w:sz w:val="21"/>
          <w:szCs w:val="21"/>
        </w:rPr>
        <w:t>十一、个体工商户参照本规定进行划型。</w:t>
      </w:r>
    </w:p>
    <w:p w14:paraId="0A96D72F">
      <w:pPr>
        <w:autoSpaceDE/>
        <w:autoSpaceDN/>
        <w:adjustRightInd/>
        <w:spacing w:line="360" w:lineRule="auto"/>
        <w:ind w:firstLine="420" w:firstLineChars="200"/>
        <w:rPr>
          <w:rFonts w:hint="default" w:cs="宋体"/>
          <w:sz w:val="21"/>
          <w:szCs w:val="21"/>
        </w:rPr>
      </w:pPr>
      <w:r>
        <w:rPr>
          <w:rFonts w:cs="宋体"/>
          <w:sz w:val="21"/>
          <w:szCs w:val="21"/>
        </w:rPr>
        <w:t>十二、本规定自发布之日起执行，工业和信息化部、国家统计局、国家发展和改革委员会、财政部2011年颁布的《中小企业划型标准规定》同时废止。</w:t>
      </w:r>
    </w:p>
    <w:p w14:paraId="2A9D5148">
      <w:pPr>
        <w:rPr>
          <w:rFonts w:hint="default" w:cs="宋体"/>
          <w:sz w:val="21"/>
          <w:szCs w:val="21"/>
        </w:rPr>
      </w:pPr>
      <w:r>
        <w:rPr>
          <w:rFonts w:cs="宋体"/>
          <w:sz w:val="21"/>
          <w:szCs w:val="21"/>
        </w:rPr>
        <w:br w:type="page"/>
      </w:r>
    </w:p>
    <w:p w14:paraId="0D23C321">
      <w:pPr>
        <w:autoSpaceDE/>
        <w:autoSpaceDN/>
        <w:adjustRightInd/>
        <w:spacing w:line="360" w:lineRule="auto"/>
        <w:jc w:val="center"/>
        <w:rPr>
          <w:rFonts w:hint="default" w:cs="宋体"/>
          <w:sz w:val="21"/>
          <w:szCs w:val="21"/>
        </w:rPr>
      </w:pPr>
      <w:r>
        <w:rPr>
          <w:rFonts w:cs="宋体"/>
          <w:sz w:val="21"/>
          <w:szCs w:val="21"/>
        </w:rPr>
        <w:t>关于《</w:t>
      </w:r>
      <w:r>
        <w:rPr>
          <w:rFonts w:cs="宋体"/>
          <w:bCs/>
          <w:sz w:val="21"/>
          <w:szCs w:val="21"/>
        </w:rPr>
        <w:t>中小企业划型标准规定</w:t>
      </w:r>
      <w:r>
        <w:rPr>
          <w:rFonts w:cs="宋体"/>
          <w:sz w:val="21"/>
          <w:szCs w:val="21"/>
        </w:rPr>
        <w:t>》修订情况的说明</w:t>
      </w:r>
    </w:p>
    <w:p w14:paraId="3EC5DB0A">
      <w:pPr>
        <w:pStyle w:val="10"/>
        <w:spacing w:line="360" w:lineRule="auto"/>
        <w:rPr>
          <w:rFonts w:hint="default" w:cs="宋体"/>
          <w:sz w:val="21"/>
          <w:szCs w:val="21"/>
        </w:rPr>
      </w:pPr>
      <w:r>
        <w:rPr>
          <w:rFonts w:cs="宋体"/>
          <w:sz w:val="21"/>
          <w:szCs w:val="21"/>
        </w:rPr>
        <w:t>一、修订背景</w:t>
      </w:r>
    </w:p>
    <w:p w14:paraId="3B3BAD5E">
      <w:pPr>
        <w:spacing w:line="360" w:lineRule="auto"/>
        <w:ind w:firstLine="420" w:firstLineChars="200"/>
        <w:rPr>
          <w:rFonts w:hint="default" w:cs="宋体"/>
          <w:sz w:val="21"/>
          <w:szCs w:val="21"/>
        </w:rPr>
      </w:pPr>
      <w:r>
        <w:rPr>
          <w:rFonts w:cs="宋体"/>
          <w:sz w:val="21"/>
          <w:szCs w:val="21"/>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地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w:t>
      </w:r>
      <w:bookmarkStart w:id="64" w:name="_Toc534744176"/>
      <w:bookmarkStart w:id="65" w:name="_Toc534726769"/>
      <w:bookmarkStart w:id="66" w:name="_Toc536690535"/>
      <w:r>
        <w:rPr>
          <w:rFonts w:cs="宋体"/>
          <w:sz w:val="21"/>
          <w:szCs w:val="21"/>
        </w:rPr>
        <w:t>三是定性标准缺位。四是部分行业划型指标不适合行业大多数企业经营特征。五是定量标准需随劳动生产率提高等进行调整。</w:t>
      </w:r>
    </w:p>
    <w:bookmarkEnd w:id="64"/>
    <w:bookmarkEnd w:id="65"/>
    <w:bookmarkEnd w:id="66"/>
    <w:p w14:paraId="2A71F5A5">
      <w:pPr>
        <w:spacing w:line="360" w:lineRule="auto"/>
        <w:ind w:firstLine="420" w:firstLineChars="200"/>
        <w:rPr>
          <w:rFonts w:hint="default" w:cs="宋体"/>
          <w:sz w:val="21"/>
          <w:szCs w:val="21"/>
        </w:rPr>
      </w:pPr>
      <w:r>
        <w:rPr>
          <w:rFonts w:cs="宋体"/>
          <w:sz w:val="21"/>
          <w:szCs w:val="21"/>
        </w:rPr>
        <w:t>二、修订的原则</w:t>
      </w:r>
    </w:p>
    <w:p w14:paraId="52EB763A">
      <w:pPr>
        <w:widowControl/>
        <w:autoSpaceDE/>
        <w:autoSpaceDN/>
        <w:adjustRightInd/>
        <w:spacing w:line="360" w:lineRule="auto"/>
        <w:ind w:firstLine="420" w:firstLineChars="200"/>
        <w:rPr>
          <w:rFonts w:hint="default" w:cs="宋体"/>
          <w:sz w:val="21"/>
          <w:szCs w:val="21"/>
        </w:rPr>
      </w:pPr>
      <w:r>
        <w:rPr>
          <w:rFonts w:cs="宋体"/>
          <w:sz w:val="21"/>
          <w:szCs w:val="21"/>
        </w:rPr>
        <w:t>一是坚持问题导向。针对《划型标准》执行中存在的问题，提出解决的方法和路径。</w:t>
      </w:r>
    </w:p>
    <w:p w14:paraId="741F87EB">
      <w:pPr>
        <w:widowControl/>
        <w:autoSpaceDE/>
        <w:autoSpaceDN/>
        <w:adjustRightInd/>
        <w:spacing w:line="360" w:lineRule="auto"/>
        <w:ind w:firstLine="420" w:firstLineChars="200"/>
        <w:rPr>
          <w:rFonts w:hint="default" w:cs="宋体"/>
          <w:sz w:val="21"/>
          <w:szCs w:val="21"/>
        </w:rPr>
      </w:pPr>
      <w:r>
        <w:rPr>
          <w:rFonts w:cs="宋体"/>
          <w:sz w:val="21"/>
          <w:szCs w:val="21"/>
        </w:rPr>
        <w:t>二是综合现实发展需要和历史衔接。《划型标准》修订既要适应国民经济和促进中小企业发展需要，又要保持相对的稳定性和连续性。</w:t>
      </w:r>
    </w:p>
    <w:p w14:paraId="3AFA65EB">
      <w:pPr>
        <w:widowControl/>
        <w:autoSpaceDE/>
        <w:autoSpaceDN/>
        <w:adjustRightInd/>
        <w:spacing w:line="360" w:lineRule="auto"/>
        <w:ind w:firstLine="420" w:firstLineChars="200"/>
        <w:rPr>
          <w:rFonts w:hint="default" w:cs="宋体"/>
          <w:sz w:val="21"/>
          <w:szCs w:val="21"/>
        </w:rPr>
      </w:pPr>
      <w:r>
        <w:rPr>
          <w:rFonts w:cs="宋体"/>
          <w:sz w:val="21"/>
          <w:szCs w:val="21"/>
        </w:rPr>
        <w:t>三是注重与国际一般标准的可比性。借鉴国际经验，结合我国实际确定各行业划型指标及标准，为中小企业发展国际比较提供参照。</w:t>
      </w:r>
    </w:p>
    <w:p w14:paraId="704E08B6">
      <w:pPr>
        <w:widowControl/>
        <w:autoSpaceDE/>
        <w:autoSpaceDN/>
        <w:adjustRightInd/>
        <w:spacing w:line="360" w:lineRule="auto"/>
        <w:ind w:firstLine="420" w:firstLineChars="200"/>
        <w:rPr>
          <w:rFonts w:hint="default" w:cs="宋体"/>
          <w:sz w:val="21"/>
          <w:szCs w:val="21"/>
        </w:rPr>
      </w:pPr>
      <w:r>
        <w:rPr>
          <w:rFonts w:cs="宋体"/>
          <w:sz w:val="21"/>
          <w:szCs w:val="21"/>
        </w:rPr>
        <w:t>四是注重简单易行，便于操作。从实际出发，注重易于理解、识别和执行。</w:t>
      </w:r>
    </w:p>
    <w:p w14:paraId="4A65C529">
      <w:pPr>
        <w:autoSpaceDE/>
        <w:autoSpaceDN/>
        <w:adjustRightInd/>
        <w:spacing w:line="360" w:lineRule="auto"/>
        <w:ind w:firstLine="420" w:firstLineChars="200"/>
        <w:rPr>
          <w:rFonts w:hint="default" w:cs="宋体"/>
          <w:sz w:val="21"/>
          <w:szCs w:val="21"/>
        </w:rPr>
      </w:pPr>
      <w:r>
        <w:rPr>
          <w:rFonts w:cs="宋体"/>
          <w:sz w:val="21"/>
          <w:szCs w:val="21"/>
        </w:rPr>
        <w:t>三、修订的主要内容</w:t>
      </w:r>
    </w:p>
    <w:p w14:paraId="28DD3930">
      <w:pPr>
        <w:spacing w:line="360" w:lineRule="auto"/>
        <w:ind w:firstLine="422" w:firstLineChars="200"/>
        <w:rPr>
          <w:rFonts w:hint="default" w:cs="宋体"/>
          <w:b/>
          <w:sz w:val="21"/>
          <w:szCs w:val="21"/>
        </w:rPr>
      </w:pPr>
      <w:r>
        <w:rPr>
          <w:rFonts w:cs="宋体"/>
          <w:b/>
          <w:sz w:val="21"/>
          <w:szCs w:val="21"/>
        </w:rPr>
        <w:t>（一）关于行业分类的修订</w:t>
      </w:r>
    </w:p>
    <w:p w14:paraId="74773F22">
      <w:pPr>
        <w:spacing w:line="360" w:lineRule="auto"/>
        <w:ind w:firstLine="420" w:firstLineChars="200"/>
        <w:rPr>
          <w:rFonts w:hint="default" w:cs="宋体"/>
          <w:sz w:val="21"/>
          <w:szCs w:val="21"/>
        </w:rPr>
      </w:pPr>
      <w:r>
        <w:rPr>
          <w:rFonts w:cs="宋体"/>
          <w:sz w:val="21"/>
          <w:szCs w:val="21"/>
        </w:rPr>
        <w:t>一是部分行业分类保持不变。包括农、林、牧、渔业，工业，建筑业，批发业，零售业，房地产开发经营业等（涉及企业数量约占60%）。</w:t>
      </w:r>
    </w:p>
    <w:p w14:paraId="5EA998A0">
      <w:pPr>
        <w:spacing w:line="360" w:lineRule="auto"/>
        <w:ind w:firstLine="420" w:firstLineChars="200"/>
        <w:rPr>
          <w:rFonts w:hint="default" w:cs="宋体"/>
          <w:sz w:val="21"/>
          <w:szCs w:val="21"/>
        </w:rPr>
      </w:pPr>
      <w:r>
        <w:rPr>
          <w:rFonts w:cs="宋体"/>
          <w:sz w:val="21"/>
          <w:szCs w:val="21"/>
        </w:rPr>
        <w:t>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w:t>
      </w:r>
    </w:p>
    <w:p w14:paraId="1F509E7C">
      <w:pPr>
        <w:spacing w:line="360" w:lineRule="auto"/>
        <w:ind w:firstLine="420" w:firstLineChars="200"/>
        <w:rPr>
          <w:rFonts w:hint="default" w:cs="宋体"/>
          <w:sz w:val="21"/>
          <w:szCs w:val="21"/>
        </w:rPr>
      </w:pPr>
      <w:r>
        <w:rPr>
          <w:rFonts w:cs="宋体"/>
          <w:sz w:val="21"/>
          <w:szCs w:val="21"/>
        </w:rPr>
        <w:t>三是增加《划型标准》尚未覆盖的行业，如“教育”门类和“卫生”大类。</w:t>
      </w:r>
    </w:p>
    <w:p w14:paraId="32ACB6D0">
      <w:pPr>
        <w:spacing w:line="360" w:lineRule="auto"/>
        <w:ind w:firstLine="420" w:firstLineChars="200"/>
        <w:rPr>
          <w:rFonts w:hint="default" w:cs="宋体"/>
          <w:sz w:val="21"/>
          <w:szCs w:val="21"/>
        </w:rPr>
      </w:pPr>
      <w:r>
        <w:rPr>
          <w:rFonts w:cs="宋体"/>
          <w:sz w:val="21"/>
          <w:szCs w:val="21"/>
        </w:rPr>
        <w:t>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w:t>
      </w:r>
    </w:p>
    <w:p w14:paraId="72E8A418">
      <w:pPr>
        <w:spacing w:line="360" w:lineRule="auto"/>
        <w:rPr>
          <w:rFonts w:hint="default" w:cs="宋体"/>
          <w:sz w:val="21"/>
          <w:szCs w:val="21"/>
        </w:rPr>
      </w:pPr>
      <w:r>
        <w:rPr>
          <w:rFonts w:cs="宋体"/>
          <w:sz w:val="21"/>
          <w:szCs w:val="21"/>
        </w:rPr>
        <w:t>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0736321B">
      <w:pPr>
        <w:spacing w:line="360" w:lineRule="auto"/>
        <w:rPr>
          <w:rFonts w:hint="default" w:cs="宋体"/>
          <w:sz w:val="21"/>
          <w:szCs w:val="21"/>
        </w:rPr>
      </w:pPr>
      <w:r>
        <w:rPr>
          <w:rFonts w:cs="宋体"/>
          <w:sz w:val="21"/>
          <w:szCs w:val="21"/>
        </w:rPr>
        <w:t>本次修订后，行业分类由原来的16类减少为9类，覆盖《国民经济行业分类》（GB/T 4754-2017）除金融业、公共管理和社会组织、国际组织三个门类之外的所有行业企业。</w:t>
      </w:r>
    </w:p>
    <w:p w14:paraId="4B924B4E">
      <w:pPr>
        <w:spacing w:line="360" w:lineRule="auto"/>
        <w:ind w:firstLine="422" w:firstLineChars="200"/>
        <w:rPr>
          <w:rFonts w:hint="default" w:cs="宋体"/>
          <w:b/>
          <w:sz w:val="21"/>
          <w:szCs w:val="21"/>
        </w:rPr>
      </w:pPr>
      <w:r>
        <w:rPr>
          <w:rFonts w:cs="宋体"/>
          <w:b/>
          <w:sz w:val="21"/>
          <w:szCs w:val="21"/>
        </w:rPr>
        <w:t>（二）关于划型指标的修订</w:t>
      </w:r>
    </w:p>
    <w:p w14:paraId="26A405F9">
      <w:pPr>
        <w:spacing w:line="360" w:lineRule="auto"/>
        <w:ind w:firstLine="420" w:firstLineChars="200"/>
        <w:jc w:val="both"/>
        <w:rPr>
          <w:rFonts w:hint="default" w:cs="宋体"/>
          <w:sz w:val="21"/>
          <w:szCs w:val="21"/>
        </w:rPr>
      </w:pPr>
      <w:r>
        <w:rPr>
          <w:rFonts w:cs="宋体"/>
          <w:sz w:val="21"/>
          <w:szCs w:val="21"/>
        </w:rPr>
        <w:t>各行业划型指标基本沿用现行《划型标准》，主要是采用从业人员和营业收入双指标划型，仅有农业采用营业收入、建筑业和组织管理服务采用营业收入和资产总额划型。</w:t>
      </w:r>
    </w:p>
    <w:p w14:paraId="05699F49">
      <w:pPr>
        <w:spacing w:line="360" w:lineRule="auto"/>
        <w:ind w:firstLine="422" w:firstLineChars="200"/>
        <w:rPr>
          <w:rFonts w:hint="default" w:cs="宋体"/>
          <w:b/>
          <w:sz w:val="21"/>
          <w:szCs w:val="21"/>
        </w:rPr>
      </w:pPr>
      <w:r>
        <w:rPr>
          <w:rFonts w:cs="宋体"/>
          <w:b/>
          <w:sz w:val="21"/>
          <w:szCs w:val="21"/>
        </w:rPr>
        <w:t>（三）关于双指标并集转交集的调整</w:t>
      </w:r>
    </w:p>
    <w:p w14:paraId="0DCBFDDE">
      <w:pPr>
        <w:autoSpaceDE/>
        <w:autoSpaceDN/>
        <w:adjustRightInd/>
        <w:spacing w:line="360" w:lineRule="auto"/>
        <w:ind w:firstLine="420" w:firstLineChars="200"/>
        <w:jc w:val="both"/>
        <w:rPr>
          <w:rFonts w:hint="default" w:cs="宋体"/>
          <w:sz w:val="21"/>
          <w:szCs w:val="21"/>
        </w:rPr>
      </w:pPr>
      <w:r>
        <w:rPr>
          <w:rFonts w:cs="宋体"/>
          <w:sz w:val="21"/>
          <w:szCs w:val="21"/>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0AA74827">
      <w:pPr>
        <w:spacing w:line="360" w:lineRule="auto"/>
        <w:ind w:firstLine="422" w:firstLineChars="200"/>
        <w:rPr>
          <w:rFonts w:hint="default" w:cs="宋体"/>
          <w:b/>
          <w:sz w:val="21"/>
          <w:szCs w:val="21"/>
        </w:rPr>
      </w:pPr>
      <w:r>
        <w:rPr>
          <w:rFonts w:cs="宋体"/>
          <w:b/>
          <w:sz w:val="21"/>
          <w:szCs w:val="21"/>
        </w:rPr>
        <w:t>（四）关于定量指标阈值的调整</w:t>
      </w:r>
    </w:p>
    <w:p w14:paraId="09E652A0">
      <w:pPr>
        <w:spacing w:line="360" w:lineRule="auto"/>
        <w:ind w:firstLine="420" w:firstLineChars="200"/>
        <w:rPr>
          <w:rFonts w:hint="default" w:cs="宋体"/>
          <w:sz w:val="21"/>
          <w:szCs w:val="21"/>
        </w:rPr>
      </w:pPr>
      <w:r>
        <w:rPr>
          <w:rFonts w:cs="宋体"/>
          <w:sz w:val="21"/>
          <w:szCs w:val="21"/>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0FB58A4F">
      <w:pPr>
        <w:spacing w:line="360" w:lineRule="auto"/>
        <w:ind w:firstLine="643"/>
        <w:rPr>
          <w:rFonts w:hint="default" w:cs="宋体"/>
          <w:sz w:val="21"/>
          <w:szCs w:val="21"/>
        </w:rPr>
      </w:pPr>
      <w:r>
        <w:rPr>
          <w:rFonts w:cs="宋体"/>
          <w:sz w:val="21"/>
          <w:szCs w:val="21"/>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4C3C2EB4">
      <w:pPr>
        <w:spacing w:line="360" w:lineRule="auto"/>
        <w:ind w:firstLine="643"/>
        <w:rPr>
          <w:rFonts w:hint="default" w:cs="宋体"/>
          <w:sz w:val="21"/>
          <w:szCs w:val="21"/>
        </w:rPr>
      </w:pPr>
      <w:r>
        <w:rPr>
          <w:rFonts w:cs="宋体"/>
          <w:sz w:val="21"/>
          <w:szCs w:val="21"/>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0D927253">
      <w:pPr>
        <w:widowControl/>
        <w:autoSpaceDE/>
        <w:autoSpaceDN/>
        <w:adjustRightInd/>
        <w:spacing w:line="360" w:lineRule="auto"/>
        <w:ind w:firstLine="422" w:firstLineChars="200"/>
        <w:rPr>
          <w:rFonts w:hint="default" w:cs="宋体"/>
          <w:b/>
          <w:sz w:val="21"/>
          <w:szCs w:val="21"/>
        </w:rPr>
      </w:pPr>
      <w:r>
        <w:rPr>
          <w:rFonts w:cs="宋体"/>
          <w:b/>
          <w:sz w:val="21"/>
          <w:szCs w:val="21"/>
        </w:rPr>
        <w:t>（五）增加定性标准</w:t>
      </w:r>
    </w:p>
    <w:p w14:paraId="0A57017B">
      <w:pPr>
        <w:autoSpaceDE/>
        <w:autoSpaceDN/>
        <w:adjustRightInd/>
        <w:spacing w:line="360" w:lineRule="auto"/>
        <w:ind w:firstLine="420" w:firstLineChars="200"/>
        <w:jc w:val="both"/>
        <w:rPr>
          <w:rFonts w:hint="default" w:cs="宋体"/>
          <w:sz w:val="21"/>
          <w:szCs w:val="21"/>
        </w:rPr>
      </w:pPr>
      <w:r>
        <w:rPr>
          <w:rFonts w:cs="宋体"/>
          <w:sz w:val="21"/>
          <w:szCs w:val="21"/>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74F45474">
      <w:pPr>
        <w:autoSpaceDE/>
        <w:autoSpaceDN/>
        <w:adjustRightInd/>
        <w:spacing w:line="360" w:lineRule="auto"/>
        <w:ind w:firstLine="422" w:firstLineChars="200"/>
        <w:jc w:val="both"/>
        <w:rPr>
          <w:rFonts w:hint="default" w:cs="宋体"/>
          <w:b/>
          <w:sz w:val="21"/>
          <w:szCs w:val="21"/>
        </w:rPr>
      </w:pPr>
      <w:r>
        <w:rPr>
          <w:rFonts w:cs="宋体"/>
          <w:b/>
          <w:sz w:val="21"/>
          <w:szCs w:val="21"/>
        </w:rPr>
        <w:t>（六）增加有关中小企业规模类型自我声明及认定内容</w:t>
      </w:r>
    </w:p>
    <w:p w14:paraId="6F02BDFC">
      <w:pPr>
        <w:autoSpaceDE/>
        <w:autoSpaceDN/>
        <w:adjustRightInd/>
        <w:spacing w:line="360" w:lineRule="auto"/>
        <w:ind w:firstLine="420" w:firstLineChars="200"/>
        <w:rPr>
          <w:rFonts w:hint="default" w:cs="宋体"/>
          <w:kern w:val="2"/>
          <w:sz w:val="21"/>
          <w:szCs w:val="21"/>
        </w:rPr>
      </w:pPr>
      <w:r>
        <w:rPr>
          <w:rFonts w:cs="宋体"/>
          <w:kern w:val="2"/>
          <w:sz w:val="21"/>
          <w:szCs w:val="21"/>
        </w:rPr>
        <w:t>按照《国务院办公厅关于全面推行证明事项和涉企经营许可事项告知承诺制的指导意见》和《政府采购促进中小企业发展管理办法》的实践做法，《划型标准》修订中明确“</w:t>
      </w:r>
      <w:r>
        <w:rPr>
          <w:rFonts w:cs="宋体"/>
          <w:sz w:val="21"/>
          <w:szCs w:val="21"/>
        </w:rPr>
        <w:t>中小企业规模类型采用自我声明的方式，企业对自我声明内容的真实性负责</w:t>
      </w:r>
      <w:r>
        <w:rPr>
          <w:rFonts w:cs="宋体"/>
          <w:kern w:val="2"/>
          <w:sz w:val="21"/>
          <w:szCs w:val="21"/>
        </w:rPr>
        <w:t>”</w:t>
      </w:r>
      <w:r>
        <w:rPr>
          <w:rFonts w:cs="宋体"/>
          <w:sz w:val="21"/>
          <w:szCs w:val="21"/>
        </w:rPr>
        <w:t>。</w:t>
      </w:r>
      <w:r>
        <w:rPr>
          <w:rFonts w:cs="宋体"/>
          <w:kern w:val="2"/>
          <w:sz w:val="21"/>
          <w:szCs w:val="21"/>
        </w:rPr>
        <w:t>同时，明确“</w:t>
      </w:r>
      <w:r>
        <w:rPr>
          <w:rFonts w:cs="宋体"/>
          <w:sz w:val="21"/>
          <w:szCs w:val="21"/>
        </w:rPr>
        <w:t>在监督检查、投诉处理中对中小企业规模类型有争议的，有关部门可以向有争议的企业登记所在地同级负责中小企业促进工作综合管理部门书面提请认定</w:t>
      </w:r>
      <w:r>
        <w:rPr>
          <w:rFonts w:cs="宋体"/>
          <w:kern w:val="2"/>
          <w:sz w:val="21"/>
          <w:szCs w:val="21"/>
        </w:rPr>
        <w:t>”</w:t>
      </w:r>
      <w:r>
        <w:rPr>
          <w:rFonts w:cs="宋体"/>
          <w:sz w:val="21"/>
          <w:szCs w:val="21"/>
        </w:rPr>
        <w:t>。</w:t>
      </w:r>
    </w:p>
    <w:p w14:paraId="0F023A43">
      <w:pPr>
        <w:autoSpaceDE/>
        <w:autoSpaceDN/>
        <w:adjustRightInd/>
        <w:spacing w:line="360" w:lineRule="auto"/>
        <w:ind w:firstLine="422" w:firstLineChars="200"/>
        <w:jc w:val="both"/>
        <w:rPr>
          <w:rFonts w:hint="default" w:cs="宋体"/>
          <w:b/>
          <w:sz w:val="21"/>
          <w:szCs w:val="21"/>
        </w:rPr>
      </w:pPr>
      <w:r>
        <w:rPr>
          <w:rFonts w:cs="宋体"/>
          <w:b/>
          <w:sz w:val="21"/>
          <w:szCs w:val="21"/>
        </w:rPr>
        <w:t>（七）建立《划型标准》定期评估制度</w:t>
      </w:r>
    </w:p>
    <w:p w14:paraId="2B19E34B">
      <w:pPr>
        <w:spacing w:line="360" w:lineRule="auto"/>
        <w:ind w:firstLine="420" w:firstLineChars="200"/>
        <w:rPr>
          <w:rFonts w:hint="default" w:cs="宋体"/>
          <w:sz w:val="21"/>
          <w:szCs w:val="21"/>
        </w:rPr>
      </w:pPr>
      <w:r>
        <w:rPr>
          <w:rFonts w:cs="宋体"/>
          <w:sz w:val="21"/>
          <w:szCs w:val="21"/>
        </w:rPr>
        <w:t>借鉴国际经验，设立我国中小企业划型标准定期评估制度：“由国务院促进中小企业发展综合管理部门、国家统计部门会同有关部门根据经济社会发展情况，每5年定期评估，根据评估情况适时修订。”</w:t>
      </w:r>
    </w:p>
    <w:p w14:paraId="142ADDE7">
      <w:pPr>
        <w:tabs>
          <w:tab w:val="left" w:pos="7786"/>
        </w:tabs>
        <w:rPr>
          <w:rFonts w:hint="default" w:cs="宋体"/>
          <w:b/>
          <w:sz w:val="28"/>
        </w:rPr>
      </w:pPr>
    </w:p>
    <w:sectPr>
      <w:headerReference r:id="rId10" w:type="default"/>
      <w:footerReference r:id="rId11" w:type="default"/>
      <w:pgSz w:w="11906" w:h="16838"/>
      <w:pgMar w:top="1803" w:right="1440" w:bottom="1803"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
    <w:altName w:val="宋体"/>
    <w:panose1 w:val="00000000000000000000"/>
    <w:charset w:val="00"/>
    <w:family w:val="auto"/>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605A">
    <w:pPr>
      <w:pStyle w:val="17"/>
      <w:rPr>
        <w:rFonts w:hint="default"/>
      </w:rPr>
    </w:pPr>
    <w:r>
      <w:rPr>
        <w:rFonts w:hint="default"/>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E9CDB5">
                          <w:pPr>
                            <w:pStyle w:val="17"/>
                            <w:rPr>
                              <w:rFonts w:hint="default"/>
                            </w:rPr>
                          </w:pPr>
                          <w:r>
                            <w:fldChar w:fldCharType="begin"/>
                          </w:r>
                          <w:r>
                            <w:instrText xml:space="preserve"> PAGE  \* MERGEFORMAT </w:instrText>
                          </w:r>
                          <w:r>
                            <w:fldChar w:fldCharType="separate"/>
                          </w:r>
                          <w:r>
                            <w:rPr>
                              <w:rFonts w:hint="default"/>
                            </w:rPr>
                            <w:t>37</w:t>
                          </w:r>
                          <w:r>
                            <w:rPr>
                              <w:rFonts w:hint="default"/>
                            </w:rPr>
                            <w:fldChar w:fldCharType="end"/>
                          </w:r>
                        </w:p>
                      </w:txbxContent>
                    </wps:txbx>
                    <wps:bodyPr vert="horz" wrap="none" lIns="0" tIns="0" rIns="0" bIns="0" anchor="t"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m0lN0BAAC/AwAADgAAAGRycy9lMm9Eb2MueG1srVNNrtMwEN4jcQfL&#10;e5q0EqhETZ9A1UNICJAeHMB1nMaS/zTjNikHgBuwYsOec/UcjJ2kDx6bt2CTzJ+/me/zeHMzWMNO&#10;ClB7V/PlouRMOekb7Q41//zp9tmaM4zCNcJ4p2p+Vshvtk+fbPpQqZXvvGkUMAJxWPWh5l2MoSoK&#10;lJ2yAhc+KEfJ1oMVkVw4FA2IntCtKVZl+aLoPTQBvFSIFN2NST4hwmMAfdtqqXZeHq1ycUQFZUQk&#10;StjpgHybp21bJeOHtkUVmak5MY35S03I3qdvsd2I6gAidFpOI4jHjPCAkxXaUdMr1E5EwY6g/4Gy&#10;WoJH38aF9LYYiWRFiMWyfKDNXSeCylxIagxX0fH/wcr3p4/AdFPzl5w5YenCL9+/XX78uvz8ypbP&#10;kz59wIrK7gIVxuG1H2hr5jhSMNEeWrDpT4QY5Und81VdNUQm06H1ar0uKSUpNzuEX9wfD4DxjfKW&#10;JaPmQNeXVRWndxjH0rkkdXP+VhuTr9C4vwKEOUZU3oHpdGIyTpysOOyHid7eN2diR6+CunYevnDW&#10;007U3NET4My8dSR5Wp/ZgNnYz4Zwkg7WPHJ2DKAPHSEt8/AYXh0jTZoJpMZjNyKeHLrXLMG0g2lx&#10;/vRz1f27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XZtJTdAQAAvwMAAA4AAAAAAAAA&#10;AQAgAAAAHgEAAGRycy9lMm9Eb2MueG1sUEsFBgAAAAAGAAYAWQEAAG0FAAAAAA==&#10;">
              <v:fill on="f" focussize="0,0"/>
              <v:stroke on="f"/>
              <v:imagedata o:title=""/>
              <o:lock v:ext="edit" aspectratio="f"/>
              <v:textbox inset="0mm,0mm,0mm,0mm" style="mso-fit-shape-to-text:t;">
                <w:txbxContent>
                  <w:p w14:paraId="6DE9CDB5">
                    <w:pPr>
                      <w:pStyle w:val="17"/>
                      <w:rPr>
                        <w:rFonts w:hint="default"/>
                      </w:rPr>
                    </w:pPr>
                    <w:r>
                      <w:fldChar w:fldCharType="begin"/>
                    </w:r>
                    <w:r>
                      <w:instrText xml:space="preserve"> PAGE  \* MERGEFORMAT </w:instrText>
                    </w:r>
                    <w:r>
                      <w:fldChar w:fldCharType="separate"/>
                    </w:r>
                    <w:r>
                      <w:rPr>
                        <w:rFonts w:hint="default"/>
                      </w:rPr>
                      <w:t>37</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47C6">
    <w:pPr>
      <w:pStyle w:val="10"/>
      <w:kinsoku w:val="0"/>
      <w:overflowPunct w:val="0"/>
      <w:spacing w:line="14" w:lineRule="auto"/>
      <w:rPr>
        <w:rFonts w:hint="default"/>
        <w:sz w:val="12"/>
      </w:rPr>
    </w:pPr>
    <w:r>
      <w:rPr>
        <w:rFonts w:hint="default"/>
        <w:b/>
        <w:sz w:val="28"/>
      </w:rPr>
      <mc:AlternateContent>
        <mc:Choice Requires="wps">
          <w:drawing>
            <wp:anchor distT="0" distB="0" distL="114300" distR="114300" simplePos="0" relativeHeight="251660288" behindDoc="0" locked="0" layoutInCell="1" allowOverlap="1">
              <wp:simplePos x="0" y="0"/>
              <wp:positionH relativeFrom="margin">
                <wp:posOffset>3029585</wp:posOffset>
              </wp:positionH>
              <wp:positionV relativeFrom="paragraph">
                <wp:posOffset>-300355</wp:posOffset>
              </wp:positionV>
              <wp:extent cx="322580" cy="190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2580" cy="190500"/>
                      </a:xfrm>
                      <a:prstGeom prst="rect">
                        <a:avLst/>
                      </a:prstGeom>
                      <a:noFill/>
                      <a:ln>
                        <a:noFill/>
                      </a:ln>
                      <a:effectLst/>
                    </wps:spPr>
                    <wps:txbx>
                      <w:txbxContent>
                        <w:p w14:paraId="6E81E706">
                          <w:pPr>
                            <w:pStyle w:val="10"/>
                            <w:kinsoku w:val="0"/>
                            <w:overflowPunct w:val="0"/>
                            <w:spacing w:before="74"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8</w:t>
                          </w:r>
                          <w:r>
                            <w:rPr>
                              <w:sz w:val="18"/>
                            </w:rPr>
                            <w:fldChar w:fldCharType="end"/>
                          </w:r>
                        </w:p>
                      </w:txbxContent>
                    </wps:txbx>
                    <wps:bodyPr vert="horz" wrap="square" lIns="0" tIns="0" rIns="0" bIns="0" anchor="t" upright="1"/>
                  </wps:wsp>
                </a:graphicData>
              </a:graphic>
            </wp:anchor>
          </w:drawing>
        </mc:Choice>
        <mc:Fallback>
          <w:pict>
            <v:shape id="_x0000_s1026" o:spid="_x0000_s1026" o:spt="202" type="#_x0000_t202" style="position:absolute;left:0pt;margin-left:238.55pt;margin-top:-23.65pt;height:15pt;width:25.4pt;mso-position-horizontal-relative:margin;z-index:251660288;mso-width-relative:page;mso-height-relative:page;" filled="f" stroked="f" coordsize="21600,21600" o:gfxdata="UEsDBAoAAAAAAIdO4kAAAAAAAAAAAAAAAAAEAAAAZHJzL1BLAwQUAAAACACHTuJA8r4KJtoAAAAL&#10;AQAADwAAAGRycy9kb3ducmV2LnhtbE2PTU/DMAyG70j8h8hI3La0Y6ysNJ0QghMSoisHjmnjtdEa&#10;pzTZB/8ecxpHv370+nGxObtBHHEK1pOCdJ6AQGq9sdQp+KxfZw8gQtRk9OAJFfxggE15fVXo3PgT&#10;VXjcxk5wCYVcK+hjHHMpQ9uj02HuRyTe7fzkdORx6qSZ9InL3SAXSbKSTlviC70e8bnHdr89OAVP&#10;X1S92O/35qPaVbau1wm9rfZK3d6kySOIiOd4geFPn9WhZKfGH8gEMShYZlnKqILZMrsDwcT9IluD&#10;aDhJOZFlIf//UP4CUEsDBBQAAAAIAIdO4kDTGhl21wEAAKQDAAAOAAAAZHJzL2Uyb0RvYy54bWyt&#10;U82O0zAQviPtO1i+06RFi5ao6Uqo2hUSAqSFB3Adp7Fke8zYbVIeAN6AExfuPFefg7GTdn+47IFL&#10;Mp4ZfzPfN+Pl9WAN2ysMGlzN57OSM+UkNNpta/7l883LK85CFK4RBpyq+UEFfr26eLHsfaUW0IFp&#10;FDICcaHqfc27GH1VFEF2yoowA68cBVtAKyIdcVs0KHpCt6ZYlOXrogdsPIJUIZB3PQb5hIjPAYS2&#10;1VKtQe6scnFERWVEJEqh0z7wVe62bZWMH9s2qMhMzYlpzF8qQvYmfYvVUlRbFL7TcmpBPKeFJ5ys&#10;0I6KnqHWIgq2Q/0PlNUSIUAbZxJsMRLJihCLeflEm7tOeJW5kNTBn0UP/w9Wfth/QqYb2gTOnLA0&#10;8OPPH8dff46/v7N5kqf3oaKsO095cXgLQ0qd/IGcifXQok1/4sMoTuIezuKqITJJzleLxeUVRSSF&#10;5m/KyzKLX9xf9hjirQLLklFzpNllScX+fYhUkFJPKamWgxttTJ6fcY8clDh6VF6A6XbiMfabrDhs&#10;honEBpoDcaMnQVU7wG+c9bQQNQ9fdwIVZ+adI8XT9pwMPBmbkyGcpKs1j5ztPOptR1hZpiJVo+Hl&#10;/qdFS9vx8Ez2w8e1+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vgom2gAAAAsBAAAPAAAAAAAA&#10;AAEAIAAAACIAAABkcnMvZG93bnJldi54bWxQSwECFAAUAAAACACHTuJA0xoZdtcBAACkAwAADgAA&#10;AAAAAAABACAAAAApAQAAZHJzL2Uyb0RvYy54bWxQSwUGAAAAAAYABgBZAQAAcgUAAAAA&#10;">
              <v:fill on="f" focussize="0,0"/>
              <v:stroke on="f"/>
              <v:imagedata o:title=""/>
              <o:lock v:ext="edit" aspectratio="f"/>
              <v:textbox inset="0mm,0mm,0mm,0mm">
                <w:txbxContent>
                  <w:p w14:paraId="6E81E706">
                    <w:pPr>
                      <w:pStyle w:val="10"/>
                      <w:kinsoku w:val="0"/>
                      <w:overflowPunct w:val="0"/>
                      <w:spacing w:before="74"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8</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63434">
    <w:pPr>
      <w:pStyle w:val="10"/>
      <w:kinsoku w:val="0"/>
      <w:overflowPunct w:val="0"/>
      <w:spacing w:line="14" w:lineRule="auto"/>
      <w:rPr>
        <w:rFonts w:hint="default"/>
        <w:sz w:val="11"/>
      </w:rPr>
    </w:pPr>
    <w:r>
      <w:rPr>
        <w:rFonts w:hint="default"/>
      </w:rPr>
      <mc:AlternateContent>
        <mc:Choice Requires="wps">
          <w:drawing>
            <wp:anchor distT="0" distB="0" distL="114300" distR="114300" simplePos="0" relativeHeight="251662336" behindDoc="0" locked="0" layoutInCell="1" allowOverlap="1">
              <wp:simplePos x="0" y="0"/>
              <wp:positionH relativeFrom="margin">
                <wp:posOffset>2978150</wp:posOffset>
              </wp:positionH>
              <wp:positionV relativeFrom="paragraph">
                <wp:posOffset>-262255</wp:posOffset>
              </wp:positionV>
              <wp:extent cx="166370" cy="1930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93040"/>
                      </a:xfrm>
                      <a:prstGeom prst="rect">
                        <a:avLst/>
                      </a:prstGeom>
                      <a:noFill/>
                      <a:ln>
                        <a:noFill/>
                      </a:ln>
                      <a:effectLst/>
                    </wps:spPr>
                    <wps:txbx>
                      <w:txbxContent>
                        <w:p w14:paraId="0D58662A">
                          <w:pPr>
                            <w:pStyle w:val="10"/>
                            <w:kinsoku w:val="0"/>
                            <w:overflowPunct w:val="0"/>
                            <w:spacing w:before="78"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23</w:t>
                          </w:r>
                          <w:r>
                            <w:rPr>
                              <w:sz w:val="18"/>
                            </w:rPr>
                            <w:fldChar w:fldCharType="end"/>
                          </w:r>
                        </w:p>
                      </w:txbxContent>
                    </wps:txbx>
                    <wps:bodyPr vert="horz" wrap="square" lIns="0" tIns="0" rIns="0" bIns="0" anchor="t" upright="1"/>
                  </wps:wsp>
                </a:graphicData>
              </a:graphic>
            </wp:anchor>
          </w:drawing>
        </mc:Choice>
        <mc:Fallback>
          <w:pict>
            <v:shape id="_x0000_s1026" o:spid="_x0000_s1026" o:spt="202" type="#_x0000_t202" style="position:absolute;left:0pt;margin-left:234.5pt;margin-top:-20.65pt;height:15.2pt;width:13.1pt;mso-position-horizontal-relative:margin;z-index:251662336;mso-width-relative:page;mso-height-relative:page;" filled="f" stroked="f" coordsize="21600,21600" o:gfxdata="UEsDBAoAAAAAAIdO4kAAAAAAAAAAAAAAAAAEAAAAZHJzL1BLAwQUAAAACACHTuJAbpDwidoAAAAL&#10;AQAADwAAAGRycy9kb3ducmV2LnhtbE2PzU7DMBCE70i8g7WVuLV2SohIGqdCCE5IiDQcODqxm1iN&#10;1yF2f3h7llM5zs5o9ptye3EjO5k5WI8SkpUAZrDz2mIv4bN5XT4CC1GhVqNHI+HHBNhWtzelKrQ/&#10;Y21Ou9gzKsFQKAlDjFPBeegG41RY+ckgeXs/OxVJzj3XszpTuRv5WoiMO2WRPgxqMs+D6Q67o5Pw&#10;9IX1i/1+bz/qfW2bJhf4lh2kvFskYgMsmku8huEPn9ChIqbWH1EHNkpIs5y2RAnLNLkHRok0f1gD&#10;a+mSiBx4VfL/G6pfUEsDBBQAAAAIAIdO4kBmx2x31gEAAKQDAAAOAAAAZHJzL2Uyb0RvYy54bWyt&#10;U82O0zAQviPxDpbvNGkXFYiaroSqRUgIkBYewHUmjSX/MXablAeAN+DEhTvP1efYsZOWZbnsgUsy&#10;np9v5vs8Xl0PRrMDYFDO1nw+KzkDK12j7K7mnz/dPHvJWYjCNkI7CzU/QuDX66dPVr2vYOE6pxtA&#10;RiA2VL2veRejr4oiyA6MCDPnwVKwdWhEpCPuigZFT+hGF4uyXBa9w8ajkxACeTdjkE+I+BhA17ZK&#10;wsbJvQEbR1QELSJRCp3yga/ztG0LMn5o2wCR6ZoT05i/1ITsbfoW65Wodih8p+Q0gnjMCA84GaEs&#10;Nb1AbUQUbI/qHyijJLrg2jiTzhQjkawIsZiXD7S57YSHzIWkDv4ievh/sPL94SMy1dR8wZkVhi78&#10;9OP76efv069vbJHk6X2oKOvWU14cXruBlubsD+RMrIcWTfoTH0ZxEvd4EReGyGQqWi6vXlBEUmj+&#10;6qp8nsUv/hR7DPENOMOSUXOku8uSisO7EGkQSj2npF7W3Sit8/1p+5eDEkcP5AWYqhOPcd5kxWE7&#10;TOS2rjkSN3oS1LVz+JWznhai5uHLXiBwpt9aUjxtz9nAs7E9G8JKKq155GzvUe06wsoyFakbXV6e&#10;f1q0tB33z2Tff1z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6Q8InaAAAACwEAAA8AAAAAAAAA&#10;AQAgAAAAIgAAAGRycy9kb3ducmV2LnhtbFBLAQIUABQAAAAIAIdO4kBmx2x31gEAAKQDAAAOAAAA&#10;AAAAAAEAIAAAACkBAABkcnMvZTJvRG9jLnhtbFBLBQYAAAAABgAGAFkBAABxBQAAAAA=&#10;">
              <v:fill on="f" focussize="0,0"/>
              <v:stroke on="f"/>
              <v:imagedata o:title=""/>
              <o:lock v:ext="edit" aspectratio="f"/>
              <v:textbox inset="0mm,0mm,0mm,0mm">
                <w:txbxContent>
                  <w:p w14:paraId="0D58662A">
                    <w:pPr>
                      <w:pStyle w:val="10"/>
                      <w:kinsoku w:val="0"/>
                      <w:overflowPunct w:val="0"/>
                      <w:spacing w:before="78" w:line="225"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23</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48C0">
    <w:pPr>
      <w:pStyle w:val="10"/>
      <w:kinsoku w:val="0"/>
      <w:overflowPunct w:val="0"/>
      <w:spacing w:line="14" w:lineRule="auto"/>
      <w:rPr>
        <w:rFonts w:hint="default"/>
        <w:sz w:val="20"/>
      </w:rPr>
    </w:pPr>
    <w:r>
      <w:rPr>
        <w:rFonts w:hint="default"/>
      </w:rPr>
      <mc:AlternateContent>
        <mc:Choice Requires="wps">
          <w:drawing>
            <wp:anchor distT="0" distB="0" distL="114300" distR="114300" simplePos="0" relativeHeight="251663360" behindDoc="0" locked="0" layoutInCell="1" allowOverlap="1">
              <wp:simplePos x="0" y="0"/>
              <wp:positionH relativeFrom="margin">
                <wp:posOffset>2978150</wp:posOffset>
              </wp:positionH>
              <wp:positionV relativeFrom="paragraph">
                <wp:posOffset>-214630</wp:posOffset>
              </wp:positionV>
              <wp:extent cx="16637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5FA2309F">
                          <w:pPr>
                            <w:pStyle w:val="10"/>
                            <w:kinsoku w:val="0"/>
                            <w:overflowPunct w:val="0"/>
                            <w:spacing w:line="220"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28</w:t>
                          </w:r>
                          <w:r>
                            <w:rPr>
                              <w:sz w:val="18"/>
                            </w:rPr>
                            <w:fldChar w:fldCharType="end"/>
                          </w:r>
                        </w:p>
                      </w:txbxContent>
                    </wps:txbx>
                    <wps:bodyPr vert="horz" wrap="square" lIns="0" tIns="0" rIns="0" bIns="0" anchor="t" upright="1"/>
                  </wps:wsp>
                </a:graphicData>
              </a:graphic>
            </wp:anchor>
          </w:drawing>
        </mc:Choice>
        <mc:Fallback>
          <w:pict>
            <v:shape id="_x0000_s1026" o:spid="_x0000_s1026" o:spt="202" type="#_x0000_t202" style="position:absolute;left:0pt;margin-left:234.5pt;margin-top:-16.9pt;height:11pt;width:13.1pt;mso-position-horizontal-relative:margin;z-index:251663360;mso-width-relative:page;mso-height-relative:page;" filled="f" stroked="f" coordsize="21600,21600" o:gfxdata="UEsDBAoAAAAAAIdO4kAAAAAAAAAAAAAAAAAEAAAAZHJzL1BLAwQUAAAACACHTuJA9XAcT9sAAAAL&#10;AQAADwAAAGRycy9kb3ducmV2LnhtbE2Py07DMBBF90j9B2sqsWvttCVqQpwKIVghIdKwYOnEbmI1&#10;HofYffD3DKuynJmrO+cUu6sb2NlMwXqUkCwFMIOt1xY7CZ/162ILLESFWg0ejYQfE2BXzu4KlWt/&#10;wcqc97FjVIIhVxL6GMec89D2xqmw9KNBuh385FSkceq4ntSFyt3AV0Kk3CmL9KFXo3nuTXvcn5yE&#10;py+sXuz3e/NRHSpb15nAt/Qo5f08EY/AornGWxj+8AkdSmJq/Al1YIOETZqRS5SwWK/JgRKb7GEF&#10;rKFNkmyBlwX/71D+AlBLAwQUAAAACACHTuJAROTJ7tYBAACkAwAADgAAAGRycy9lMm9Eb2MueG1s&#10;rVPNjtMwEL4j8Q6W7zTpVupC1HQlVC1CQoC08ACu4zSW/MeM26Q8ALwBJy7cea4+x46dtCzLZQ9c&#10;kvH8fDPf5/HqZrCGHRSg9q7m81nJmXLSN9rtav750+2Ll5xhFK4RxjtV86NCfrN+/mzVh0pd+c6b&#10;RgEjEIdVH2rexRiqokDZKStw5oNyFGw9WBHpCLuiAdETujXFVVkui95DE8BLhUjezRjkEyI8BdC3&#10;rZZq4+XeKhdHVFBGRKKEnQ7I13natlUyfmhbVJGZmhPTmL/UhOxt+hbrlah2IEKn5TSCeMoIjzhZ&#10;oR01vUBtRBRsD/ofKKslePRtnElvi5FIVoRYzMtH2tx1IqjMhaTGcBEd/x+sfH/4CEw3NV9w5oSl&#10;Cz/9+H76+fv06xtbJHn6gBVl3QXKi8NrP9DSnP1IzsR6aMGmP/FhFCdxjxdx1RCZTEXL5eKaIpJC&#10;88Wr6zKLX/wpDoDxjfKWJaPmQHeXJRWHdxhpEEo9p6Rezt9qY/L9GfeXgxJHj8oLMFUnHuO8yYrD&#10;dpjIbX1zJG70JKhr5+ErZz0tRM3xy16A4sy8daR42p6zAWdjezaEk1Ra88jZPoDedYSVZSpSN7q8&#10;PP+0aGk7Hp7Jfvi41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cBxP2wAAAAsBAAAPAAAAAAAA&#10;AAEAIAAAACIAAABkcnMvZG93bnJldi54bWxQSwECFAAUAAAACACHTuJAROTJ7tYBAACkAwAADgAA&#10;AAAAAAABACAAAAAqAQAAZHJzL2Uyb0RvYy54bWxQSwUGAAAAAAYABgBZAQAAcgUAAAAA&#10;">
              <v:fill on="f" focussize="0,0"/>
              <v:stroke on="f"/>
              <v:imagedata o:title=""/>
              <o:lock v:ext="edit" aspectratio="f"/>
              <v:textbox inset="0mm,0mm,0mm,0mm">
                <w:txbxContent>
                  <w:p w14:paraId="5FA2309F">
                    <w:pPr>
                      <w:pStyle w:val="10"/>
                      <w:kinsoku w:val="0"/>
                      <w:overflowPunct w:val="0"/>
                      <w:spacing w:line="220"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28</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B950">
    <w:pPr>
      <w:pStyle w:val="10"/>
      <w:kinsoku w:val="0"/>
      <w:overflowPunct w:val="0"/>
      <w:spacing w:line="14" w:lineRule="auto"/>
      <w:rPr>
        <w:rFonts w:hint="default"/>
        <w:sz w:val="20"/>
      </w:rPr>
    </w:pPr>
    <w:r>
      <w:rPr>
        <w:rFonts w:hint="default"/>
      </w:rPr>
      <mc:AlternateContent>
        <mc:Choice Requires="wps">
          <w:drawing>
            <wp:anchor distT="0" distB="0" distL="114300" distR="114300" simplePos="0" relativeHeight="251664384" behindDoc="0" locked="0" layoutInCell="1" allowOverlap="1">
              <wp:simplePos x="0" y="0"/>
              <wp:positionH relativeFrom="margin">
                <wp:posOffset>2978150</wp:posOffset>
              </wp:positionH>
              <wp:positionV relativeFrom="paragraph">
                <wp:posOffset>-226060</wp:posOffset>
              </wp:positionV>
              <wp:extent cx="16637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68EA652C">
                          <w:pPr>
                            <w:pStyle w:val="10"/>
                            <w:kinsoku w:val="0"/>
                            <w:overflowPunct w:val="0"/>
                            <w:spacing w:line="220"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33</w:t>
                          </w:r>
                          <w:r>
                            <w:rPr>
                              <w:sz w:val="18"/>
                            </w:rPr>
                            <w:fldChar w:fldCharType="end"/>
                          </w:r>
                        </w:p>
                      </w:txbxContent>
                    </wps:txbx>
                    <wps:bodyPr vert="horz" wrap="square" lIns="0" tIns="0" rIns="0" bIns="0" anchor="t" upright="1"/>
                  </wps:wsp>
                </a:graphicData>
              </a:graphic>
            </wp:anchor>
          </w:drawing>
        </mc:Choice>
        <mc:Fallback>
          <w:pict>
            <v:shape id="_x0000_s1026" o:spid="_x0000_s1026" o:spt="202" type="#_x0000_t202" style="position:absolute;left:0pt;margin-left:234.5pt;margin-top:-17.8pt;height:11pt;width:13.1pt;mso-position-horizontal-relative:margin;z-index:251664384;mso-width-relative:page;mso-height-relative:page;" filled="f" stroked="f" coordsize="21600,21600" o:gfxdata="UEsDBAoAAAAAAIdO4kAAAAAAAAAAAAAAAAAEAAAAZHJzL1BLAwQUAAAACACHTuJAn8Mb4tsAAAAL&#10;AQAADwAAAGRycy9kb3ducmV2LnhtbE2PS0/DMBCE70j8B2srcWvt9BGRNE6FEJyQEGk4cHRiN7Ea&#10;r0PsPvj3LKdynJ3R7DfF7uoGdjZTsB4lJAsBzGDrtcVOwmf9On8EFqJCrQaPRsKPCbAr7+8KlWt/&#10;wcqc97FjVIIhVxL6GMec89D2xqmw8KNB8g5+ciqSnDquJ3WhcjfwpRApd8oifejVaJ570x73Jyfh&#10;6QurF/v93nxUh8rWdSbwLT1K+TBLxBZYNNd4C8MfPqFDSUyNP6EObJCwTjPaEiXMV5sUGCXW2WYJ&#10;rKFLskqBlwX/v6H8BVBLAwQUAAAACACHTuJAllPdQdcBAACkAwAADgAAAGRycy9lMm9Eb2MueG1s&#10;rVPNjtMwEL4j8Q6W7zTp7qoLUdOVULUICQHSwgO4zqSx5D/GbpPyAPAGnLhw57n6HDt20rIslz1w&#10;Scbz8818n8fLm8FotgcMytmaz2clZ2Cla5Td1vzzp9sXLzkLUdhGaGeh5gcI/Gb1/Nmy9xVcuM7p&#10;BpARiA1V72vexeirogiyAyPCzHmwFGwdGhHpiNuiQdETutHFRVkuit5h49FJCIG86zHIJ0R8CqBr&#10;WyVh7eTOgI0jKoIWkSiFTvnAV3natgUZP7RtgMh0zYlpzF9qQvYmfYvVUlRbFL5TchpBPGWER5yM&#10;UJaanqHWIgq2Q/UPlFESXXBtnElnipFIVoRYzMtH2tx1wkPmQlIHfxY9/D9Y+X7/EZlqan7FmRWG&#10;Lvz44/vx5+/jr2/sKsnT+1BR1p2nvDi8dgMtzckfyJlYDy2a9Cc+jOIk7uEsLgyRyVS0WFxeU0RS&#10;aH756rrM4hd/ij2G+AacYcmoOdLdZUnF/l2INAilnlJSL+tuldb5/rT9y0GJowfyAkzVicc4b7Li&#10;sBkmchvXHIgbPQnq2jn8yllPC1Hz8GUnEDjTby0pnrbnZODJ2JwMYSWV1jxytvOoth1hZZmK1I0u&#10;L88/LVrajodnsh8+rt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8Mb4tsAAAALAQAADwAAAAAA&#10;AAABACAAAAAiAAAAZHJzL2Rvd25yZXYueG1sUEsBAhQAFAAAAAgAh07iQJZT3UHXAQAApAMAAA4A&#10;AAAAAAAAAQAgAAAAKgEAAGRycy9lMm9Eb2MueG1sUEsFBgAAAAAGAAYAWQEAAHMFAAAAAA==&#10;">
              <v:fill on="f" focussize="0,0"/>
              <v:stroke on="f"/>
              <v:imagedata o:title=""/>
              <o:lock v:ext="edit" aspectratio="f"/>
              <v:textbox inset="0mm,0mm,0mm,0mm">
                <w:txbxContent>
                  <w:p w14:paraId="68EA652C">
                    <w:pPr>
                      <w:pStyle w:val="10"/>
                      <w:kinsoku w:val="0"/>
                      <w:overflowPunct w:val="0"/>
                      <w:spacing w:line="220"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33</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655CA">
    <w:pPr>
      <w:pStyle w:val="17"/>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9B490D9">
                          <w:pPr>
                            <w:pStyle w:val="17"/>
                            <w:rPr>
                              <w:rFonts w:hint="default"/>
                            </w:rPr>
                          </w:pPr>
                          <w:r>
                            <w:fldChar w:fldCharType="begin"/>
                          </w:r>
                          <w:r>
                            <w:instrText xml:space="preserve"> PAGE  \* MERGEFORMAT </w:instrText>
                          </w:r>
                          <w:r>
                            <w:fldChar w:fldCharType="separate"/>
                          </w:r>
                          <w:r>
                            <w:rPr>
                              <w:rFonts w:hint="default"/>
                            </w:rPr>
                            <w:t>36</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14:paraId="09B490D9">
                    <w:pPr>
                      <w:pStyle w:val="17"/>
                      <w:rPr>
                        <w:rFonts w:hint="default"/>
                      </w:rPr>
                    </w:pPr>
                    <w:r>
                      <w:fldChar w:fldCharType="begin"/>
                    </w:r>
                    <w:r>
                      <w:instrText xml:space="preserve"> PAGE  \* MERGEFORMAT </w:instrText>
                    </w:r>
                    <w:r>
                      <w:fldChar w:fldCharType="separate"/>
                    </w:r>
                    <w:r>
                      <w:rPr>
                        <w:rFonts w:hint="default"/>
                      </w:rPr>
                      <w:t>36</w:t>
                    </w:r>
                    <w:r>
                      <w:rPr>
                        <w:rFonts w:hint="default"/>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DC09F">
    <w:pPr>
      <w:pStyle w:val="10"/>
      <w:kinsoku w:val="0"/>
      <w:overflowPunct w:val="0"/>
      <w:spacing w:line="14" w:lineRule="auto"/>
      <w:rPr>
        <w:rFonts w:hint="default"/>
        <w:sz w:val="20"/>
      </w:rPr>
    </w:pPr>
    <w:r>
      <w:rPr>
        <w:rFonts w:hint="default"/>
        <w:sz w:val="20"/>
      </w:rPr>
      <mc:AlternateContent>
        <mc:Choice Requires="wps">
          <w:drawing>
            <wp:anchor distT="0" distB="0" distL="114300" distR="114300" simplePos="0" relativeHeight="251665408" behindDoc="0" locked="0" layoutInCell="1" allowOverlap="1">
              <wp:simplePos x="0" y="0"/>
              <wp:positionH relativeFrom="margin">
                <wp:posOffset>2966720</wp:posOffset>
              </wp:positionH>
              <wp:positionV relativeFrom="paragraph">
                <wp:posOffset>-238125</wp:posOffset>
              </wp:positionV>
              <wp:extent cx="166370" cy="1397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6922D3E4">
                          <w:pPr>
                            <w:pStyle w:val="10"/>
                            <w:kinsoku w:val="0"/>
                            <w:overflowPunct w:val="0"/>
                            <w:spacing w:line="220"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39</w:t>
                          </w:r>
                          <w:r>
                            <w:rPr>
                              <w:sz w:val="18"/>
                            </w:rPr>
                            <w:fldChar w:fldCharType="end"/>
                          </w:r>
                        </w:p>
                      </w:txbxContent>
                    </wps:txbx>
                    <wps:bodyPr vert="horz" wrap="square" lIns="0" tIns="0" rIns="0" bIns="0" anchor="t" upright="1"/>
                  </wps:wsp>
                </a:graphicData>
              </a:graphic>
            </wp:anchor>
          </w:drawing>
        </mc:Choice>
        <mc:Fallback>
          <w:pict>
            <v:shape id="文本框 6" o:spid="_x0000_s1026" o:spt="202" type="#_x0000_t202" style="position:absolute;left:0pt;margin-left:233.6pt;margin-top:-18.75pt;height:11pt;width:13.1pt;mso-position-horizontal-relative:margin;z-index:251665408;mso-width-relative:page;mso-height-relative:page;" filled="f" stroked="f" coordsize="21600,21600" o:gfxdata="UEsDBAoAAAAAAIdO4kAAAAAAAAAAAAAAAAAEAAAAZHJzL1BLAwQUAAAACACHTuJAQplsZdsAAAAL&#10;AQAADwAAAGRycy9kb3ducmV2LnhtbE2Py07DMBBF90j8gzVI7FonbZK2aZwKIVghIdKwYOnEbmI1&#10;HofYffD3DKuynJmjO+cWu6sd2FlP3jgUEM8jYBpbpwx2Aj7r19kamA8SlRwcagE/2sOuvL8rZK7c&#10;BSt93oeOUQj6XAroQxhzzn3bayv93I0a6XZwk5WBxqnjapIXCrcDX0RRxq00SB96OernXrfH/ckK&#10;ePrC6sV8vzcf1aEydb2J8C07CvH4EEdbYEFfww2GP31Sh5KcGndC5dkgIMlWC0IFzJarFBgRyWaZ&#10;AGtoE6cp8LLg/zuUv1BLAwQUAAAACACHTuJAgnWuGdcBAACkAwAADgAAAGRycy9lMm9Eb2MueG1s&#10;rVPNjtMwEL4j8Q6W7zTpruhC1HQlVC1CQoC08ACu4zSW/MeM26Q8ALwBJy7cea4+B2MnLcvuZQ97&#10;Scbz8818n8fL68EatleA2ruaz2clZ8pJ32i3rfmXzzcvXnGGUbhGGO9UzQ8K+fXq+bNlHyp14Ttv&#10;GgWMQBxWfah5F2OoigJlp6zAmQ/KUbD1YEWkI2yLBkRP6NYUF2W5KHoPTQAvFSJ512OQT4jwGEDf&#10;tlqqtZc7q1wcUUEZEYkSdjogX+Vp21bJ+LFtUUVmak5MY/5SE7I36VuslqLaggidltMI4jEj3ONk&#10;hXbU9Ay1FlGwHegHUFZL8OjbOJPeFiORrAixmJf3tLntRFCZC0mN4Sw6Ph2s/LD/BEw3NX/JmROW&#10;Lvz488fx15/j7+9skeTpA1aUdRsoLw5v/EBLc/IjORProQWb/sSHUZzEPZzFVUNkMhUtFpdXFJEU&#10;ml++viqz+MW/4gAY3ypvWTJqDnR3WVKxf4+RBqHUU0rq5fyNNibfn3H/OShx9Ki8AFN14jHOm6w4&#10;bIaJ3MY3B+JGT4K6dh6+cdbTQtQcv+4EKM7MO0eKp+05GXAyNidDOEmlNY+c7QLobUdYWaYidaPL&#10;y/NPi5a24+6Z7LuPa/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plsZdsAAAALAQAADwAAAAAA&#10;AAABACAAAAAiAAAAZHJzL2Rvd25yZXYueG1sUEsBAhQAFAAAAAgAh07iQIJ1rhnXAQAApAMAAA4A&#10;AAAAAAAAAQAgAAAAKgEAAGRycy9lMm9Eb2MueG1sUEsFBgAAAAAGAAYAWQEAAHMFAAAAAA==&#10;">
              <v:fill on="f" focussize="0,0"/>
              <v:stroke on="f"/>
              <v:imagedata o:title=""/>
              <o:lock v:ext="edit" aspectratio="f"/>
              <v:textbox inset="0mm,0mm,0mm,0mm">
                <w:txbxContent>
                  <w:p w14:paraId="6922D3E4">
                    <w:pPr>
                      <w:pStyle w:val="10"/>
                      <w:kinsoku w:val="0"/>
                      <w:overflowPunct w:val="0"/>
                      <w:spacing w:line="220" w:lineRule="exact"/>
                      <w:ind w:left="40"/>
                      <w:rPr>
                        <w:rFonts w:hint="default"/>
                        <w:sz w:val="18"/>
                      </w:rPr>
                    </w:pPr>
                    <w:r>
                      <w:rPr>
                        <w:sz w:val="18"/>
                      </w:rPr>
                      <w:fldChar w:fldCharType="begin"/>
                    </w:r>
                    <w:r>
                      <w:rPr>
                        <w:sz w:val="18"/>
                      </w:rPr>
                      <w:instrText xml:space="preserve"> PAGE </w:instrText>
                    </w:r>
                    <w:r>
                      <w:rPr>
                        <w:rFonts w:hint="default"/>
                        <w:sz w:val="18"/>
                      </w:rPr>
                      <w:fldChar w:fldCharType="separate"/>
                    </w:r>
                    <w:r>
                      <w:rPr>
                        <w:rFonts w:hint="default"/>
                        <w:sz w:val="18"/>
                      </w:rPr>
                      <w:t>39</w:t>
                    </w:r>
                    <w:r>
                      <w:rPr>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8FD4">
    <w:pPr>
      <w:pStyle w:val="17"/>
      <w:tabs>
        <w:tab w:val="center" w:pos="4677"/>
        <w:tab w:val="clear" w:pos="4153"/>
        <w:tab w:val="clear" w:pos="8306"/>
      </w:tabs>
      <w:ind w:firstLine="4680" w:firstLineChars="2600"/>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3A02F19">
                          <w:pPr>
                            <w:pStyle w:val="17"/>
                            <w:rPr>
                              <w:rFonts w:hint="default"/>
                            </w:rPr>
                          </w:pPr>
                          <w:r>
                            <w:fldChar w:fldCharType="begin"/>
                          </w:r>
                          <w:r>
                            <w:instrText xml:space="preserve"> PAGE  \* MERGEFORMAT </w:instrText>
                          </w:r>
                          <w:r>
                            <w:fldChar w:fldCharType="separate"/>
                          </w:r>
                          <w:r>
                            <w:rPr>
                              <w:rFonts w:hint="default"/>
                            </w:rPr>
                            <w:t>63</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rACXX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i5uwpMQygzd+/vXz/Pvv&#10;+c8PgjEUqPdQY929x8o4fHQDFs9xwGDiPchg0h8ZEcyjvKeLvGKIhKdD1aqqSkxxzM0O4hePx32A&#10;eCecIcloaMD7y7Ky42eIY+lckrpZd6u0zneoLekR9bp6f51PXFKIrm0qFnkdJpzEaZw9WXHYDRPR&#10;nWtPyLPHlWioxRdAif5kUfG0PbMRZmM3Gwcf1L7L65V6gf9wiDhcnjl1GGGRa3LwLjPrae/Ssjz1&#10;c9XjW9v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yKwAl1wEAALMDAAAOAAAAAAAAAAEA&#10;IAAAACIBAABkcnMvZTJvRG9jLnhtbFBLBQYAAAAABgAGAFkBAABrBQAAAAA=&#10;">
              <v:fill on="f" focussize="0,0"/>
              <v:stroke on="f" weight="1.25pt"/>
              <v:imagedata o:title=""/>
              <o:lock v:ext="edit" aspectratio="f"/>
              <v:textbox inset="0mm,0mm,0mm,0mm" style="mso-fit-shape-to-text:t;">
                <w:txbxContent>
                  <w:p w14:paraId="53A02F19">
                    <w:pPr>
                      <w:pStyle w:val="17"/>
                      <w:rPr>
                        <w:rFonts w:hint="default"/>
                      </w:rPr>
                    </w:pPr>
                    <w:r>
                      <w:fldChar w:fldCharType="begin"/>
                    </w:r>
                    <w:r>
                      <w:instrText xml:space="preserve"> PAGE  \* MERGEFORMAT </w:instrText>
                    </w:r>
                    <w:r>
                      <w:fldChar w:fldCharType="separate"/>
                    </w:r>
                    <w:r>
                      <w:rPr>
                        <w:rFonts w:hint="default"/>
                      </w:rPr>
                      <w:t>63</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1443">
    <w:pPr>
      <w:pStyle w:val="18"/>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47B3A"/>
    <w:multiLevelType w:val="multilevel"/>
    <w:tmpl w:val="90F47B3A"/>
    <w:lvl w:ilvl="0" w:tentative="0">
      <w:start w:val="5"/>
      <w:numFmt w:val="chineseCounting"/>
      <w:suff w:val="space"/>
      <w:lvlText w:val="第%1章"/>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746F99E"/>
    <w:multiLevelType w:val="singleLevel"/>
    <w:tmpl w:val="A746F99E"/>
    <w:lvl w:ilvl="0" w:tentative="0">
      <w:start w:val="1"/>
      <w:numFmt w:val="decimal"/>
      <w:suff w:val="nothing"/>
      <w:lvlText w:val="%1、"/>
      <w:lvlJc w:val="left"/>
    </w:lvl>
  </w:abstractNum>
  <w:abstractNum w:abstractNumId="2">
    <w:nsid w:val="CEAAACC2"/>
    <w:multiLevelType w:val="singleLevel"/>
    <w:tmpl w:val="CEAAACC2"/>
    <w:lvl w:ilvl="0" w:tentative="0">
      <w:start w:val="1"/>
      <w:numFmt w:val="decimal"/>
      <w:lvlText w:val="%1."/>
      <w:lvlJc w:val="left"/>
      <w:pPr>
        <w:tabs>
          <w:tab w:val="left" w:pos="312"/>
        </w:tabs>
      </w:pPr>
    </w:lvl>
  </w:abstractNum>
  <w:abstractNum w:abstractNumId="3">
    <w:nsid w:val="D10EA431"/>
    <w:multiLevelType w:val="singleLevel"/>
    <w:tmpl w:val="D10EA431"/>
    <w:lvl w:ilvl="0" w:tentative="0">
      <w:start w:val="1"/>
      <w:numFmt w:val="decimal"/>
      <w:suff w:val="nothing"/>
      <w:lvlText w:val="%1、"/>
      <w:lvlJc w:val="left"/>
    </w:lvl>
  </w:abstractNum>
  <w:abstractNum w:abstractNumId="4">
    <w:nsid w:val="E2FB938F"/>
    <w:multiLevelType w:val="singleLevel"/>
    <w:tmpl w:val="E2FB938F"/>
    <w:lvl w:ilvl="0" w:tentative="0">
      <w:start w:val="1"/>
      <w:numFmt w:val="decimal"/>
      <w:suff w:val="nothing"/>
      <w:lvlText w:val="%1、"/>
      <w:lvlJc w:val="left"/>
    </w:lvl>
  </w:abstractNum>
  <w:abstractNum w:abstractNumId="5">
    <w:nsid w:val="00431D4D"/>
    <w:multiLevelType w:val="singleLevel"/>
    <w:tmpl w:val="00431D4D"/>
    <w:lvl w:ilvl="0" w:tentative="0">
      <w:start w:val="1"/>
      <w:numFmt w:val="chineseCounting"/>
      <w:suff w:val="nothing"/>
      <w:lvlText w:val="（%1）"/>
      <w:lvlJc w:val="left"/>
      <w:rPr>
        <w:rFonts w:hint="eastAsia"/>
      </w:rPr>
    </w:lvl>
  </w:abstractNum>
  <w:abstractNum w:abstractNumId="6">
    <w:nsid w:val="420C153B"/>
    <w:multiLevelType w:val="multilevel"/>
    <w:tmpl w:val="420C153B"/>
    <w:lvl w:ilvl="0" w:tentative="0">
      <w:start w:val="1"/>
      <w:numFmt w:val="decimal"/>
      <w:pStyle w:val="37"/>
      <w:lvlText w:val="%1."/>
      <w:lvlJc w:val="left"/>
      <w:pPr>
        <w:tabs>
          <w:tab w:val="left" w:pos="709"/>
        </w:tabs>
        <w:ind w:left="709" w:hanging="709"/>
      </w:pPr>
      <w:rPr>
        <w:rFonts w:hint="default" w:ascii="Times New Roman"/>
        <w:u w:val="none"/>
      </w:rPr>
    </w:lvl>
    <w:lvl w:ilvl="1" w:tentative="0">
      <w:start w:val="1"/>
      <w:numFmt w:val="decimal"/>
      <w:lvlText w:val="%1.%2"/>
      <w:lvlJc w:val="left"/>
      <w:pPr>
        <w:tabs>
          <w:tab w:val="left" w:pos="709"/>
        </w:tabs>
        <w:ind w:left="709" w:hanging="709"/>
      </w:pPr>
      <w:rPr>
        <w:rFonts w:hint="default" w:ascii="Times New Roman"/>
        <w:u w:val="none"/>
      </w:rPr>
    </w:lvl>
    <w:lvl w:ilvl="2" w:tentative="0">
      <w:start w:val="1"/>
      <w:numFmt w:val="decimal"/>
      <w:lvlText w:val="%1.%2.%3."/>
      <w:lvlJc w:val="left"/>
      <w:pPr>
        <w:tabs>
          <w:tab w:val="left" w:pos="425"/>
        </w:tabs>
        <w:ind w:left="425" w:hanging="425"/>
      </w:pPr>
      <w:rPr>
        <w:rFonts w:hint="default" w:ascii="Times New Roman"/>
        <w:u w:val="none"/>
      </w:rPr>
    </w:lvl>
    <w:lvl w:ilvl="3" w:tentative="0">
      <w:start w:val="1"/>
      <w:numFmt w:val="decimal"/>
      <w:lvlText w:val="%1.%2.%3.%4."/>
      <w:lvlJc w:val="left"/>
      <w:pPr>
        <w:tabs>
          <w:tab w:val="left" w:pos="851"/>
        </w:tabs>
        <w:ind w:left="851" w:hanging="851"/>
      </w:pPr>
      <w:rPr>
        <w:rFonts w:hint="default" w:ascii="Times New Roman"/>
        <w:u w:val="none"/>
      </w:rPr>
    </w:lvl>
    <w:lvl w:ilvl="4" w:tentative="0">
      <w:start w:val="1"/>
      <w:numFmt w:val="decimal"/>
      <w:lvlText w:val="%1.%2.%3.%4.%5."/>
      <w:lvlJc w:val="left"/>
      <w:pPr>
        <w:tabs>
          <w:tab w:val="left" w:pos="992"/>
        </w:tabs>
        <w:ind w:left="992" w:hanging="992"/>
      </w:pPr>
      <w:rPr>
        <w:rFonts w:hint="default" w:ascii="Times New Roman"/>
        <w:u w:val="none"/>
      </w:rPr>
    </w:lvl>
    <w:lvl w:ilvl="5" w:tentative="0">
      <w:start w:val="1"/>
      <w:numFmt w:val="decimal"/>
      <w:lvlText w:val="%1.%2.%3.%4.%5.%6."/>
      <w:lvlJc w:val="left"/>
      <w:pPr>
        <w:tabs>
          <w:tab w:val="left" w:pos="1134"/>
        </w:tabs>
        <w:ind w:left="1134" w:hanging="1134"/>
      </w:pPr>
      <w:rPr>
        <w:rFonts w:hint="default" w:ascii="Times New Roman"/>
        <w:u w:val="none"/>
      </w:rPr>
    </w:lvl>
    <w:lvl w:ilvl="6" w:tentative="0">
      <w:start w:val="1"/>
      <w:numFmt w:val="decimal"/>
      <w:lvlText w:val="%1.%2.%3.%4.%5.%6.%7."/>
      <w:lvlJc w:val="left"/>
      <w:pPr>
        <w:tabs>
          <w:tab w:val="left" w:pos="1276"/>
        </w:tabs>
        <w:ind w:left="1276" w:hanging="1276"/>
      </w:pPr>
      <w:rPr>
        <w:rFonts w:hint="default" w:ascii="Times New Roman"/>
        <w:u w:val="none"/>
      </w:rPr>
    </w:lvl>
    <w:lvl w:ilvl="7" w:tentative="0">
      <w:start w:val="1"/>
      <w:numFmt w:val="decimal"/>
      <w:lvlText w:val="%1.%2.%3.%4.%5.%6.%7.%8."/>
      <w:lvlJc w:val="left"/>
      <w:pPr>
        <w:tabs>
          <w:tab w:val="left" w:pos="1418"/>
        </w:tabs>
        <w:ind w:left="1418" w:hanging="1418"/>
      </w:pPr>
      <w:rPr>
        <w:rFonts w:hint="default" w:ascii="Times New Roman"/>
        <w:u w:val="none"/>
      </w:rPr>
    </w:lvl>
    <w:lvl w:ilvl="8" w:tentative="0">
      <w:start w:val="1"/>
      <w:numFmt w:val="decimal"/>
      <w:lvlText w:val="%1.%2.%3.%4.%5.%6.%7.%8.%9."/>
      <w:lvlJc w:val="left"/>
      <w:pPr>
        <w:tabs>
          <w:tab w:val="left" w:pos="1559"/>
        </w:tabs>
        <w:ind w:left="1559" w:hanging="1559"/>
      </w:pPr>
      <w:rPr>
        <w:rFonts w:hint="default" w:ascii="Times New Roman"/>
        <w:u w:val="none"/>
      </w:rPr>
    </w:lvl>
  </w:abstractNum>
  <w:abstractNum w:abstractNumId="7">
    <w:nsid w:val="5DDB0E99"/>
    <w:multiLevelType w:val="singleLevel"/>
    <w:tmpl w:val="5DDB0E99"/>
    <w:lvl w:ilvl="0" w:tentative="0">
      <w:start w:val="1"/>
      <w:numFmt w:val="chineseCounting"/>
      <w:suff w:val="nothing"/>
      <w:lvlText w:val="%1、"/>
      <w:lvlJc w:val="left"/>
      <w:rPr>
        <w:rFonts w:hint="eastAsia"/>
      </w:rPr>
    </w:lvl>
  </w:abstractNum>
  <w:abstractNum w:abstractNumId="8">
    <w:nsid w:val="7948F4EE"/>
    <w:multiLevelType w:val="singleLevel"/>
    <w:tmpl w:val="7948F4EE"/>
    <w:lvl w:ilvl="0" w:tentative="0">
      <w:start w:val="1"/>
      <w:numFmt w:val="decimal"/>
      <w:suff w:val="nothing"/>
      <w:lvlText w:val="%1、"/>
      <w:lvlJc w:val="left"/>
    </w:lvl>
  </w:abstractNum>
  <w:num w:numId="1">
    <w:abstractNumId w:val="6"/>
  </w:num>
  <w:num w:numId="2">
    <w:abstractNumId w:val="7"/>
  </w:num>
  <w:num w:numId="3">
    <w:abstractNumId w:val="5"/>
  </w:num>
  <w:num w:numId="4">
    <w:abstractNumId w:val="4"/>
  </w:num>
  <w:num w:numId="5">
    <w:abstractNumId w:val="1"/>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ZTBjMWY1NGQ1N2ZiMjM4NGE0ODExYjY0NmRiOWEifQ=="/>
  </w:docVars>
  <w:rsids>
    <w:rsidRoot w:val="00172A27"/>
    <w:rsid w:val="00172A27"/>
    <w:rsid w:val="002B3391"/>
    <w:rsid w:val="006235B9"/>
    <w:rsid w:val="007745F2"/>
    <w:rsid w:val="007E68C6"/>
    <w:rsid w:val="00814795"/>
    <w:rsid w:val="00820BFE"/>
    <w:rsid w:val="008B73C2"/>
    <w:rsid w:val="008C64E9"/>
    <w:rsid w:val="008F09EA"/>
    <w:rsid w:val="00920316"/>
    <w:rsid w:val="009A0723"/>
    <w:rsid w:val="00A07480"/>
    <w:rsid w:val="00C27868"/>
    <w:rsid w:val="011B5DA1"/>
    <w:rsid w:val="013435B5"/>
    <w:rsid w:val="014F6641"/>
    <w:rsid w:val="01521C8D"/>
    <w:rsid w:val="01883901"/>
    <w:rsid w:val="01981D96"/>
    <w:rsid w:val="01AE3368"/>
    <w:rsid w:val="01B76739"/>
    <w:rsid w:val="01C761D7"/>
    <w:rsid w:val="01DB4FC7"/>
    <w:rsid w:val="01E66FA5"/>
    <w:rsid w:val="024548ED"/>
    <w:rsid w:val="028B5457"/>
    <w:rsid w:val="02AF383B"/>
    <w:rsid w:val="03263036"/>
    <w:rsid w:val="03800B8E"/>
    <w:rsid w:val="038B5375"/>
    <w:rsid w:val="03AB0B33"/>
    <w:rsid w:val="03BE360A"/>
    <w:rsid w:val="04095775"/>
    <w:rsid w:val="041B2DC7"/>
    <w:rsid w:val="041D2A27"/>
    <w:rsid w:val="042865FF"/>
    <w:rsid w:val="04333FF8"/>
    <w:rsid w:val="049571C7"/>
    <w:rsid w:val="04A0147D"/>
    <w:rsid w:val="04C60971"/>
    <w:rsid w:val="04D8694E"/>
    <w:rsid w:val="04E11CA6"/>
    <w:rsid w:val="05027E6C"/>
    <w:rsid w:val="05172353"/>
    <w:rsid w:val="05285089"/>
    <w:rsid w:val="0539563E"/>
    <w:rsid w:val="057129D3"/>
    <w:rsid w:val="05A11FF3"/>
    <w:rsid w:val="05A30D0A"/>
    <w:rsid w:val="05AA653C"/>
    <w:rsid w:val="05D435B9"/>
    <w:rsid w:val="05D67331"/>
    <w:rsid w:val="05EF21A1"/>
    <w:rsid w:val="061B4D44"/>
    <w:rsid w:val="063C18F6"/>
    <w:rsid w:val="06587D46"/>
    <w:rsid w:val="06CB676A"/>
    <w:rsid w:val="06E94E42"/>
    <w:rsid w:val="070D6D82"/>
    <w:rsid w:val="073A1895"/>
    <w:rsid w:val="0745615D"/>
    <w:rsid w:val="076E2754"/>
    <w:rsid w:val="076E7D23"/>
    <w:rsid w:val="07B2792A"/>
    <w:rsid w:val="07BB0688"/>
    <w:rsid w:val="07BD022E"/>
    <w:rsid w:val="07D438D1"/>
    <w:rsid w:val="0802440D"/>
    <w:rsid w:val="080A7CAB"/>
    <w:rsid w:val="084A5DB4"/>
    <w:rsid w:val="0855563D"/>
    <w:rsid w:val="085F7B1F"/>
    <w:rsid w:val="086959E0"/>
    <w:rsid w:val="08803584"/>
    <w:rsid w:val="08BD1861"/>
    <w:rsid w:val="08C56734"/>
    <w:rsid w:val="08D12032"/>
    <w:rsid w:val="08E0598B"/>
    <w:rsid w:val="08ED6E6B"/>
    <w:rsid w:val="08F55692"/>
    <w:rsid w:val="08FD2E27"/>
    <w:rsid w:val="090A101F"/>
    <w:rsid w:val="090E7A32"/>
    <w:rsid w:val="091D4FD1"/>
    <w:rsid w:val="09304EDB"/>
    <w:rsid w:val="095F07CB"/>
    <w:rsid w:val="09713A8C"/>
    <w:rsid w:val="09825DD5"/>
    <w:rsid w:val="098454EA"/>
    <w:rsid w:val="09945539"/>
    <w:rsid w:val="09975493"/>
    <w:rsid w:val="09A566CA"/>
    <w:rsid w:val="0A0B38BB"/>
    <w:rsid w:val="0A2269D0"/>
    <w:rsid w:val="0A2C39C3"/>
    <w:rsid w:val="0A3D2217"/>
    <w:rsid w:val="0A784EBD"/>
    <w:rsid w:val="0A9711AC"/>
    <w:rsid w:val="0AB1211B"/>
    <w:rsid w:val="0AB17623"/>
    <w:rsid w:val="0AD6392F"/>
    <w:rsid w:val="0AD92205"/>
    <w:rsid w:val="0B094A92"/>
    <w:rsid w:val="0B23589B"/>
    <w:rsid w:val="0B5639F4"/>
    <w:rsid w:val="0B7203EA"/>
    <w:rsid w:val="0B72042D"/>
    <w:rsid w:val="0B7A7309"/>
    <w:rsid w:val="0B941820"/>
    <w:rsid w:val="0BC32105"/>
    <w:rsid w:val="0BD065D0"/>
    <w:rsid w:val="0BE13316"/>
    <w:rsid w:val="0C403461"/>
    <w:rsid w:val="0C770DBF"/>
    <w:rsid w:val="0C7C4062"/>
    <w:rsid w:val="0C9D4705"/>
    <w:rsid w:val="0CE20369"/>
    <w:rsid w:val="0D116EA1"/>
    <w:rsid w:val="0D4252AC"/>
    <w:rsid w:val="0D705975"/>
    <w:rsid w:val="0D731909"/>
    <w:rsid w:val="0D7C2AD3"/>
    <w:rsid w:val="0D7E5469"/>
    <w:rsid w:val="0DB53CD0"/>
    <w:rsid w:val="0DC42165"/>
    <w:rsid w:val="0DF02F5A"/>
    <w:rsid w:val="0E75128A"/>
    <w:rsid w:val="0E850506"/>
    <w:rsid w:val="0E865DC7"/>
    <w:rsid w:val="0ED2440E"/>
    <w:rsid w:val="0EFE5739"/>
    <w:rsid w:val="0F0767AD"/>
    <w:rsid w:val="0F110A35"/>
    <w:rsid w:val="0F202FA7"/>
    <w:rsid w:val="0F493874"/>
    <w:rsid w:val="0F714E7D"/>
    <w:rsid w:val="0FA937C3"/>
    <w:rsid w:val="0FC13B04"/>
    <w:rsid w:val="0FC50D84"/>
    <w:rsid w:val="0FCB0088"/>
    <w:rsid w:val="0FE305DC"/>
    <w:rsid w:val="0FFC5BE6"/>
    <w:rsid w:val="102F7D69"/>
    <w:rsid w:val="10723F91"/>
    <w:rsid w:val="107240FA"/>
    <w:rsid w:val="10CA3C7F"/>
    <w:rsid w:val="10D8131B"/>
    <w:rsid w:val="1122167C"/>
    <w:rsid w:val="11443D2A"/>
    <w:rsid w:val="11511F61"/>
    <w:rsid w:val="115832F0"/>
    <w:rsid w:val="11664A63"/>
    <w:rsid w:val="11733D66"/>
    <w:rsid w:val="11A622AD"/>
    <w:rsid w:val="11D80C38"/>
    <w:rsid w:val="11E06E41"/>
    <w:rsid w:val="11F56D91"/>
    <w:rsid w:val="12035A07"/>
    <w:rsid w:val="120D49C2"/>
    <w:rsid w:val="12331667"/>
    <w:rsid w:val="127557DC"/>
    <w:rsid w:val="127746A2"/>
    <w:rsid w:val="12802653"/>
    <w:rsid w:val="12AF0CEE"/>
    <w:rsid w:val="12B3367B"/>
    <w:rsid w:val="12CC7B1C"/>
    <w:rsid w:val="12E36BE9"/>
    <w:rsid w:val="12E50BB3"/>
    <w:rsid w:val="12FD414F"/>
    <w:rsid w:val="13053004"/>
    <w:rsid w:val="13084BB3"/>
    <w:rsid w:val="130F1F2D"/>
    <w:rsid w:val="132C233E"/>
    <w:rsid w:val="1331204B"/>
    <w:rsid w:val="13357BA7"/>
    <w:rsid w:val="135E44C2"/>
    <w:rsid w:val="13631E88"/>
    <w:rsid w:val="136F4921"/>
    <w:rsid w:val="13A126D9"/>
    <w:rsid w:val="13C94031"/>
    <w:rsid w:val="13F55782"/>
    <w:rsid w:val="140A0CC6"/>
    <w:rsid w:val="140E3224"/>
    <w:rsid w:val="14213135"/>
    <w:rsid w:val="143860A5"/>
    <w:rsid w:val="145B66F8"/>
    <w:rsid w:val="145F68EF"/>
    <w:rsid w:val="1461561F"/>
    <w:rsid w:val="147F4A98"/>
    <w:rsid w:val="14902DA1"/>
    <w:rsid w:val="149F033B"/>
    <w:rsid w:val="14FB0DAD"/>
    <w:rsid w:val="15155645"/>
    <w:rsid w:val="15191DA8"/>
    <w:rsid w:val="15406575"/>
    <w:rsid w:val="15740784"/>
    <w:rsid w:val="157E709D"/>
    <w:rsid w:val="15A101C6"/>
    <w:rsid w:val="15E354EE"/>
    <w:rsid w:val="15FB06EE"/>
    <w:rsid w:val="161B669A"/>
    <w:rsid w:val="161E7EC6"/>
    <w:rsid w:val="16322361"/>
    <w:rsid w:val="164B6F7F"/>
    <w:rsid w:val="16526560"/>
    <w:rsid w:val="16585B40"/>
    <w:rsid w:val="166167A3"/>
    <w:rsid w:val="16893F4C"/>
    <w:rsid w:val="16C00026"/>
    <w:rsid w:val="16D03928"/>
    <w:rsid w:val="16D72F09"/>
    <w:rsid w:val="170F7357"/>
    <w:rsid w:val="172212BC"/>
    <w:rsid w:val="176C3651"/>
    <w:rsid w:val="17A728DB"/>
    <w:rsid w:val="17C36FE9"/>
    <w:rsid w:val="17C45FF9"/>
    <w:rsid w:val="17C66166"/>
    <w:rsid w:val="17E042A8"/>
    <w:rsid w:val="17EA0A1A"/>
    <w:rsid w:val="181810E3"/>
    <w:rsid w:val="183879D7"/>
    <w:rsid w:val="184E71FB"/>
    <w:rsid w:val="186B7B52"/>
    <w:rsid w:val="186E195B"/>
    <w:rsid w:val="18AA2E4C"/>
    <w:rsid w:val="18AF24EB"/>
    <w:rsid w:val="18C748B7"/>
    <w:rsid w:val="18F90F15"/>
    <w:rsid w:val="18FB77EB"/>
    <w:rsid w:val="193617B2"/>
    <w:rsid w:val="19434886"/>
    <w:rsid w:val="1946518D"/>
    <w:rsid w:val="19483C4A"/>
    <w:rsid w:val="194D300E"/>
    <w:rsid w:val="19AD7A29"/>
    <w:rsid w:val="19B50CBA"/>
    <w:rsid w:val="19B906A4"/>
    <w:rsid w:val="1A0A0EFF"/>
    <w:rsid w:val="1A29398A"/>
    <w:rsid w:val="1A430A8A"/>
    <w:rsid w:val="1A5B79AD"/>
    <w:rsid w:val="1A5C68C5"/>
    <w:rsid w:val="1AE016A5"/>
    <w:rsid w:val="1B3D1960"/>
    <w:rsid w:val="1B696C58"/>
    <w:rsid w:val="1B6F54BE"/>
    <w:rsid w:val="1BA3785E"/>
    <w:rsid w:val="1BA51B61"/>
    <w:rsid w:val="1BB93E21"/>
    <w:rsid w:val="1BBD05DE"/>
    <w:rsid w:val="1BE03147"/>
    <w:rsid w:val="1C035987"/>
    <w:rsid w:val="1C2129F2"/>
    <w:rsid w:val="1C3654C0"/>
    <w:rsid w:val="1C6D36AD"/>
    <w:rsid w:val="1CA40F51"/>
    <w:rsid w:val="1CAE0268"/>
    <w:rsid w:val="1CB46F25"/>
    <w:rsid w:val="1CBF06C7"/>
    <w:rsid w:val="1CF772A9"/>
    <w:rsid w:val="1CFE11EF"/>
    <w:rsid w:val="1D1A36B1"/>
    <w:rsid w:val="1D2B18B9"/>
    <w:rsid w:val="1D393220"/>
    <w:rsid w:val="1D660176"/>
    <w:rsid w:val="1D78009C"/>
    <w:rsid w:val="1D950E12"/>
    <w:rsid w:val="1DA619A9"/>
    <w:rsid w:val="1DA72961"/>
    <w:rsid w:val="1DAD49C3"/>
    <w:rsid w:val="1DE63A32"/>
    <w:rsid w:val="1DE877AA"/>
    <w:rsid w:val="1E2A6014"/>
    <w:rsid w:val="1E402734"/>
    <w:rsid w:val="1E480248"/>
    <w:rsid w:val="1E601A36"/>
    <w:rsid w:val="1E6037E4"/>
    <w:rsid w:val="1E6465FB"/>
    <w:rsid w:val="1E7C2FB3"/>
    <w:rsid w:val="1E84525F"/>
    <w:rsid w:val="1E965458"/>
    <w:rsid w:val="1EA00084"/>
    <w:rsid w:val="1EDD72DB"/>
    <w:rsid w:val="1EEE2B9E"/>
    <w:rsid w:val="1EFC438F"/>
    <w:rsid w:val="1F5D5145"/>
    <w:rsid w:val="1F787A1B"/>
    <w:rsid w:val="1F881244"/>
    <w:rsid w:val="1FA67C20"/>
    <w:rsid w:val="1FA752D0"/>
    <w:rsid w:val="1FB714D5"/>
    <w:rsid w:val="1FD75BF2"/>
    <w:rsid w:val="1FFA7A5A"/>
    <w:rsid w:val="202820DF"/>
    <w:rsid w:val="20384BB5"/>
    <w:rsid w:val="2039253E"/>
    <w:rsid w:val="205A223A"/>
    <w:rsid w:val="209F35AF"/>
    <w:rsid w:val="209F7B96"/>
    <w:rsid w:val="20F64686"/>
    <w:rsid w:val="20FA1CCE"/>
    <w:rsid w:val="210D7E6E"/>
    <w:rsid w:val="211A411E"/>
    <w:rsid w:val="21276E66"/>
    <w:rsid w:val="213B4989"/>
    <w:rsid w:val="21472A39"/>
    <w:rsid w:val="219559D3"/>
    <w:rsid w:val="21A659DC"/>
    <w:rsid w:val="21AE2AB8"/>
    <w:rsid w:val="21B811FA"/>
    <w:rsid w:val="21D04DE5"/>
    <w:rsid w:val="21D400D8"/>
    <w:rsid w:val="21F65411"/>
    <w:rsid w:val="21FE1E97"/>
    <w:rsid w:val="220362E7"/>
    <w:rsid w:val="220C5E38"/>
    <w:rsid w:val="2221772E"/>
    <w:rsid w:val="2231561A"/>
    <w:rsid w:val="22521696"/>
    <w:rsid w:val="226A7D59"/>
    <w:rsid w:val="22AA0064"/>
    <w:rsid w:val="22BE6D2B"/>
    <w:rsid w:val="22CA1B74"/>
    <w:rsid w:val="22D4654E"/>
    <w:rsid w:val="22F62969"/>
    <w:rsid w:val="233200CD"/>
    <w:rsid w:val="234F5BD5"/>
    <w:rsid w:val="236D2135"/>
    <w:rsid w:val="23B95E70"/>
    <w:rsid w:val="23D17AD4"/>
    <w:rsid w:val="23E32EED"/>
    <w:rsid w:val="23ED78C8"/>
    <w:rsid w:val="24410D33"/>
    <w:rsid w:val="24466FD8"/>
    <w:rsid w:val="246F29D3"/>
    <w:rsid w:val="24CD5DC1"/>
    <w:rsid w:val="24E862E1"/>
    <w:rsid w:val="24E94533"/>
    <w:rsid w:val="24F032B6"/>
    <w:rsid w:val="25096A53"/>
    <w:rsid w:val="25331C52"/>
    <w:rsid w:val="2533755C"/>
    <w:rsid w:val="2536529E"/>
    <w:rsid w:val="254C54BA"/>
    <w:rsid w:val="258328DE"/>
    <w:rsid w:val="25A20D9F"/>
    <w:rsid w:val="25AD214B"/>
    <w:rsid w:val="25AE12D9"/>
    <w:rsid w:val="25BD32CA"/>
    <w:rsid w:val="25DC4559"/>
    <w:rsid w:val="25F85EE9"/>
    <w:rsid w:val="26174689"/>
    <w:rsid w:val="2634590A"/>
    <w:rsid w:val="26354676"/>
    <w:rsid w:val="26362F9B"/>
    <w:rsid w:val="2646277D"/>
    <w:rsid w:val="264E590F"/>
    <w:rsid w:val="26597454"/>
    <w:rsid w:val="265D759D"/>
    <w:rsid w:val="26723EA0"/>
    <w:rsid w:val="26A00015"/>
    <w:rsid w:val="26A10E3D"/>
    <w:rsid w:val="26B4291F"/>
    <w:rsid w:val="26D0626D"/>
    <w:rsid w:val="26D1527F"/>
    <w:rsid w:val="26E66850"/>
    <w:rsid w:val="270D7567"/>
    <w:rsid w:val="272F1FA5"/>
    <w:rsid w:val="27313F6F"/>
    <w:rsid w:val="27514612"/>
    <w:rsid w:val="278F2CE8"/>
    <w:rsid w:val="27B150B0"/>
    <w:rsid w:val="27BD5803"/>
    <w:rsid w:val="27C32D84"/>
    <w:rsid w:val="27DB0475"/>
    <w:rsid w:val="27F529C8"/>
    <w:rsid w:val="280671AA"/>
    <w:rsid w:val="280A4BE6"/>
    <w:rsid w:val="281E6C37"/>
    <w:rsid w:val="2829567C"/>
    <w:rsid w:val="28417A60"/>
    <w:rsid w:val="288C3A04"/>
    <w:rsid w:val="28BE7E3F"/>
    <w:rsid w:val="28DE5559"/>
    <w:rsid w:val="28DE6F1A"/>
    <w:rsid w:val="28F6721F"/>
    <w:rsid w:val="29200914"/>
    <w:rsid w:val="29225284"/>
    <w:rsid w:val="29257B04"/>
    <w:rsid w:val="293D0EAC"/>
    <w:rsid w:val="2944442E"/>
    <w:rsid w:val="29455883"/>
    <w:rsid w:val="29566692"/>
    <w:rsid w:val="295D1B45"/>
    <w:rsid w:val="29657F00"/>
    <w:rsid w:val="29A2748E"/>
    <w:rsid w:val="2A1B1D77"/>
    <w:rsid w:val="2A1F27A5"/>
    <w:rsid w:val="2A1F4553"/>
    <w:rsid w:val="2A5F42C8"/>
    <w:rsid w:val="2A6603D4"/>
    <w:rsid w:val="2A69740E"/>
    <w:rsid w:val="2A7946E6"/>
    <w:rsid w:val="2A9071FF"/>
    <w:rsid w:val="2A9B4F00"/>
    <w:rsid w:val="2AA4477D"/>
    <w:rsid w:val="2AC24BFC"/>
    <w:rsid w:val="2AC57DDC"/>
    <w:rsid w:val="2AD52E64"/>
    <w:rsid w:val="2AED5939"/>
    <w:rsid w:val="2AED63FF"/>
    <w:rsid w:val="2AEE548D"/>
    <w:rsid w:val="2AFF5F75"/>
    <w:rsid w:val="2B314C2E"/>
    <w:rsid w:val="2B4029D3"/>
    <w:rsid w:val="2B471FB3"/>
    <w:rsid w:val="2B4C52E2"/>
    <w:rsid w:val="2B681F2A"/>
    <w:rsid w:val="2B7663F5"/>
    <w:rsid w:val="2B9D7614"/>
    <w:rsid w:val="2BA26294"/>
    <w:rsid w:val="2BC929C8"/>
    <w:rsid w:val="2BE1504C"/>
    <w:rsid w:val="2C271DE5"/>
    <w:rsid w:val="2C2B3683"/>
    <w:rsid w:val="2C855858"/>
    <w:rsid w:val="2C8B2374"/>
    <w:rsid w:val="2C974875"/>
    <w:rsid w:val="2C9F7BCD"/>
    <w:rsid w:val="2CA51D59"/>
    <w:rsid w:val="2CAA478A"/>
    <w:rsid w:val="2CAB0320"/>
    <w:rsid w:val="2CB87D93"/>
    <w:rsid w:val="2CFB12A7"/>
    <w:rsid w:val="2D1B4F93"/>
    <w:rsid w:val="2D4051F4"/>
    <w:rsid w:val="2D5C5ABE"/>
    <w:rsid w:val="2D662499"/>
    <w:rsid w:val="2D836238"/>
    <w:rsid w:val="2D867696"/>
    <w:rsid w:val="2D8827FB"/>
    <w:rsid w:val="2D925C00"/>
    <w:rsid w:val="2DAC07F4"/>
    <w:rsid w:val="2DB47B6D"/>
    <w:rsid w:val="2DB50D6C"/>
    <w:rsid w:val="2DB87198"/>
    <w:rsid w:val="2DBC42E6"/>
    <w:rsid w:val="2DC9797D"/>
    <w:rsid w:val="2DDF4725"/>
    <w:rsid w:val="2DFC55D7"/>
    <w:rsid w:val="2E083AA5"/>
    <w:rsid w:val="2E092F7B"/>
    <w:rsid w:val="2E344345"/>
    <w:rsid w:val="2E8D45A7"/>
    <w:rsid w:val="2E9077CD"/>
    <w:rsid w:val="2EA9088F"/>
    <w:rsid w:val="2EDA313F"/>
    <w:rsid w:val="2EDB31CD"/>
    <w:rsid w:val="2EED10C4"/>
    <w:rsid w:val="2EFD38D9"/>
    <w:rsid w:val="2F122114"/>
    <w:rsid w:val="2F185767"/>
    <w:rsid w:val="2F380761"/>
    <w:rsid w:val="2F563188"/>
    <w:rsid w:val="2F61116A"/>
    <w:rsid w:val="2F641271"/>
    <w:rsid w:val="2F8F30E5"/>
    <w:rsid w:val="2F9E57B3"/>
    <w:rsid w:val="2FA75FD5"/>
    <w:rsid w:val="2FE7539E"/>
    <w:rsid w:val="30162DEA"/>
    <w:rsid w:val="30224D9D"/>
    <w:rsid w:val="30330D58"/>
    <w:rsid w:val="303C379C"/>
    <w:rsid w:val="30403D11"/>
    <w:rsid w:val="30475DB2"/>
    <w:rsid w:val="305A0D1C"/>
    <w:rsid w:val="30847806"/>
    <w:rsid w:val="309A4933"/>
    <w:rsid w:val="30A22EB6"/>
    <w:rsid w:val="31056946"/>
    <w:rsid w:val="3106646D"/>
    <w:rsid w:val="310D20A5"/>
    <w:rsid w:val="31181CFC"/>
    <w:rsid w:val="31564FD8"/>
    <w:rsid w:val="31886AE6"/>
    <w:rsid w:val="318A0E4C"/>
    <w:rsid w:val="31945827"/>
    <w:rsid w:val="31C205E6"/>
    <w:rsid w:val="31C80319"/>
    <w:rsid w:val="31ED3847"/>
    <w:rsid w:val="32075FF9"/>
    <w:rsid w:val="32290955"/>
    <w:rsid w:val="323963CE"/>
    <w:rsid w:val="32551D6B"/>
    <w:rsid w:val="32975B30"/>
    <w:rsid w:val="32A777DC"/>
    <w:rsid w:val="32AE31AE"/>
    <w:rsid w:val="32E60304"/>
    <w:rsid w:val="33022C64"/>
    <w:rsid w:val="33051730"/>
    <w:rsid w:val="33093FF2"/>
    <w:rsid w:val="330B7D6A"/>
    <w:rsid w:val="33185FE3"/>
    <w:rsid w:val="333559FB"/>
    <w:rsid w:val="33435756"/>
    <w:rsid w:val="33576B0C"/>
    <w:rsid w:val="338F1769"/>
    <w:rsid w:val="33900270"/>
    <w:rsid w:val="33A361F5"/>
    <w:rsid w:val="33A87367"/>
    <w:rsid w:val="33C86F17"/>
    <w:rsid w:val="33D321C5"/>
    <w:rsid w:val="33E31CFF"/>
    <w:rsid w:val="33F45CD6"/>
    <w:rsid w:val="34052A0C"/>
    <w:rsid w:val="340F3439"/>
    <w:rsid w:val="34140DCC"/>
    <w:rsid w:val="34146F68"/>
    <w:rsid w:val="341E1D1F"/>
    <w:rsid w:val="343513AE"/>
    <w:rsid w:val="34727975"/>
    <w:rsid w:val="34A773FE"/>
    <w:rsid w:val="34F767F8"/>
    <w:rsid w:val="3508020B"/>
    <w:rsid w:val="35277F68"/>
    <w:rsid w:val="352868F0"/>
    <w:rsid w:val="356D6ABA"/>
    <w:rsid w:val="35C20AD4"/>
    <w:rsid w:val="35CF1523"/>
    <w:rsid w:val="35D47F95"/>
    <w:rsid w:val="3613376A"/>
    <w:rsid w:val="36211C6F"/>
    <w:rsid w:val="36240AE3"/>
    <w:rsid w:val="365732C7"/>
    <w:rsid w:val="367C06AB"/>
    <w:rsid w:val="3688043B"/>
    <w:rsid w:val="369E0EF6"/>
    <w:rsid w:val="36D52B69"/>
    <w:rsid w:val="36DF7544"/>
    <w:rsid w:val="36ED4D5C"/>
    <w:rsid w:val="36FF7BE6"/>
    <w:rsid w:val="370813E9"/>
    <w:rsid w:val="370C2C7B"/>
    <w:rsid w:val="37233B65"/>
    <w:rsid w:val="372633C5"/>
    <w:rsid w:val="37265173"/>
    <w:rsid w:val="37B07132"/>
    <w:rsid w:val="37D03331"/>
    <w:rsid w:val="37D83F93"/>
    <w:rsid w:val="37DE714E"/>
    <w:rsid w:val="380546C2"/>
    <w:rsid w:val="382162EF"/>
    <w:rsid w:val="386472FB"/>
    <w:rsid w:val="387261B8"/>
    <w:rsid w:val="38B63362"/>
    <w:rsid w:val="38B71E45"/>
    <w:rsid w:val="38C51E7E"/>
    <w:rsid w:val="38EF77E6"/>
    <w:rsid w:val="38F46226"/>
    <w:rsid w:val="38FD3E69"/>
    <w:rsid w:val="38FE540C"/>
    <w:rsid w:val="39225E0E"/>
    <w:rsid w:val="39243934"/>
    <w:rsid w:val="39253208"/>
    <w:rsid w:val="393F3B9F"/>
    <w:rsid w:val="396106E4"/>
    <w:rsid w:val="39822409"/>
    <w:rsid w:val="398D772B"/>
    <w:rsid w:val="39B747A8"/>
    <w:rsid w:val="39D709A6"/>
    <w:rsid w:val="39E55E16"/>
    <w:rsid w:val="39EA2472"/>
    <w:rsid w:val="39F426BA"/>
    <w:rsid w:val="3A13066D"/>
    <w:rsid w:val="3A614714"/>
    <w:rsid w:val="3A677AF9"/>
    <w:rsid w:val="3A824208"/>
    <w:rsid w:val="3A8D0FE2"/>
    <w:rsid w:val="3ABB2076"/>
    <w:rsid w:val="3AC16F61"/>
    <w:rsid w:val="3ACD1DA9"/>
    <w:rsid w:val="3AE304AA"/>
    <w:rsid w:val="3AE570F3"/>
    <w:rsid w:val="3B084B8F"/>
    <w:rsid w:val="3B2220F5"/>
    <w:rsid w:val="3B53405D"/>
    <w:rsid w:val="3B716F4F"/>
    <w:rsid w:val="3BB30C78"/>
    <w:rsid w:val="3BC1546A"/>
    <w:rsid w:val="3BC92571"/>
    <w:rsid w:val="3BDF1D94"/>
    <w:rsid w:val="3BEE0D20"/>
    <w:rsid w:val="3BFE63DE"/>
    <w:rsid w:val="3C10166C"/>
    <w:rsid w:val="3C485B8B"/>
    <w:rsid w:val="3C8F5568"/>
    <w:rsid w:val="3CDD1897"/>
    <w:rsid w:val="3CE77152"/>
    <w:rsid w:val="3D141F11"/>
    <w:rsid w:val="3D3B7769"/>
    <w:rsid w:val="3D41719F"/>
    <w:rsid w:val="3D4A148F"/>
    <w:rsid w:val="3D833E79"/>
    <w:rsid w:val="3DC56C24"/>
    <w:rsid w:val="3DE418E4"/>
    <w:rsid w:val="3DE57EBB"/>
    <w:rsid w:val="3DFF671E"/>
    <w:rsid w:val="3E2A4991"/>
    <w:rsid w:val="3E6E73FF"/>
    <w:rsid w:val="3E8F04BB"/>
    <w:rsid w:val="3E990920"/>
    <w:rsid w:val="3E9C281B"/>
    <w:rsid w:val="3EAE61CE"/>
    <w:rsid w:val="3EBA43F3"/>
    <w:rsid w:val="3EE1484F"/>
    <w:rsid w:val="3F446ADE"/>
    <w:rsid w:val="3F58592E"/>
    <w:rsid w:val="3F957C46"/>
    <w:rsid w:val="3F9F0816"/>
    <w:rsid w:val="3FB83199"/>
    <w:rsid w:val="3FBA775F"/>
    <w:rsid w:val="3FFB2F15"/>
    <w:rsid w:val="401031CF"/>
    <w:rsid w:val="40167D4F"/>
    <w:rsid w:val="401C35B7"/>
    <w:rsid w:val="40295CD4"/>
    <w:rsid w:val="40300E10"/>
    <w:rsid w:val="406A323D"/>
    <w:rsid w:val="40B41A41"/>
    <w:rsid w:val="40B76E3C"/>
    <w:rsid w:val="40BA15E8"/>
    <w:rsid w:val="40E635E7"/>
    <w:rsid w:val="40FE4A6B"/>
    <w:rsid w:val="412B476F"/>
    <w:rsid w:val="4146590F"/>
    <w:rsid w:val="416074D3"/>
    <w:rsid w:val="418338D6"/>
    <w:rsid w:val="41840BB5"/>
    <w:rsid w:val="4192304C"/>
    <w:rsid w:val="41B20A9B"/>
    <w:rsid w:val="41C05764"/>
    <w:rsid w:val="41DA7286"/>
    <w:rsid w:val="41EC0755"/>
    <w:rsid w:val="421A1D78"/>
    <w:rsid w:val="421D2BB5"/>
    <w:rsid w:val="4228159C"/>
    <w:rsid w:val="42A94EAA"/>
    <w:rsid w:val="42AD6748"/>
    <w:rsid w:val="42DA5063"/>
    <w:rsid w:val="42EE327C"/>
    <w:rsid w:val="43135FC3"/>
    <w:rsid w:val="432307B8"/>
    <w:rsid w:val="43350C92"/>
    <w:rsid w:val="434371A8"/>
    <w:rsid w:val="435D33BE"/>
    <w:rsid w:val="43767478"/>
    <w:rsid w:val="43CF0940"/>
    <w:rsid w:val="440C3501"/>
    <w:rsid w:val="44103802"/>
    <w:rsid w:val="4411288D"/>
    <w:rsid w:val="44185D2F"/>
    <w:rsid w:val="442D2230"/>
    <w:rsid w:val="44442EB2"/>
    <w:rsid w:val="444A7FC7"/>
    <w:rsid w:val="44620BDD"/>
    <w:rsid w:val="446C2633"/>
    <w:rsid w:val="44A46D96"/>
    <w:rsid w:val="451231DA"/>
    <w:rsid w:val="451A5BEB"/>
    <w:rsid w:val="45321187"/>
    <w:rsid w:val="4537715E"/>
    <w:rsid w:val="454809AA"/>
    <w:rsid w:val="456357E4"/>
    <w:rsid w:val="45697A2C"/>
    <w:rsid w:val="45A55DFD"/>
    <w:rsid w:val="45C752FE"/>
    <w:rsid w:val="45CC2524"/>
    <w:rsid w:val="45D608E4"/>
    <w:rsid w:val="45E85CE9"/>
    <w:rsid w:val="460629CB"/>
    <w:rsid w:val="46083551"/>
    <w:rsid w:val="461767B6"/>
    <w:rsid w:val="462C0654"/>
    <w:rsid w:val="462F3918"/>
    <w:rsid w:val="46343C0C"/>
    <w:rsid w:val="46522ED9"/>
    <w:rsid w:val="46601D24"/>
    <w:rsid w:val="466B0687"/>
    <w:rsid w:val="466E7094"/>
    <w:rsid w:val="467B090B"/>
    <w:rsid w:val="469D0882"/>
    <w:rsid w:val="469F0A9E"/>
    <w:rsid w:val="46AE0CE1"/>
    <w:rsid w:val="46D5626E"/>
    <w:rsid w:val="46E64BF1"/>
    <w:rsid w:val="46E9350F"/>
    <w:rsid w:val="471C20EE"/>
    <w:rsid w:val="472F33C8"/>
    <w:rsid w:val="47321912"/>
    <w:rsid w:val="475C073D"/>
    <w:rsid w:val="47792254"/>
    <w:rsid w:val="47AB6FCE"/>
    <w:rsid w:val="47B45B1C"/>
    <w:rsid w:val="47D44777"/>
    <w:rsid w:val="47DF3BBE"/>
    <w:rsid w:val="47E53ACD"/>
    <w:rsid w:val="4810172E"/>
    <w:rsid w:val="48182A6C"/>
    <w:rsid w:val="482A083B"/>
    <w:rsid w:val="482C7B57"/>
    <w:rsid w:val="48396CD0"/>
    <w:rsid w:val="483E7E42"/>
    <w:rsid w:val="48645E7B"/>
    <w:rsid w:val="486E3D98"/>
    <w:rsid w:val="48731EA3"/>
    <w:rsid w:val="487678F3"/>
    <w:rsid w:val="489D2DBB"/>
    <w:rsid w:val="48B604EB"/>
    <w:rsid w:val="48EE1869"/>
    <w:rsid w:val="48F962A5"/>
    <w:rsid w:val="493D5AD7"/>
    <w:rsid w:val="494871CB"/>
    <w:rsid w:val="498F71A9"/>
    <w:rsid w:val="49902920"/>
    <w:rsid w:val="49937105"/>
    <w:rsid w:val="49A563CB"/>
    <w:rsid w:val="49D176FC"/>
    <w:rsid w:val="49F50475"/>
    <w:rsid w:val="4A030171"/>
    <w:rsid w:val="4A616F89"/>
    <w:rsid w:val="4A7B77DA"/>
    <w:rsid w:val="4A7E5E3B"/>
    <w:rsid w:val="4A897A9B"/>
    <w:rsid w:val="4A995073"/>
    <w:rsid w:val="4AA46683"/>
    <w:rsid w:val="4AAB4C88"/>
    <w:rsid w:val="4AB21E64"/>
    <w:rsid w:val="4AB70B50"/>
    <w:rsid w:val="4ABD7744"/>
    <w:rsid w:val="4AC960E9"/>
    <w:rsid w:val="4ACA75C6"/>
    <w:rsid w:val="4B5B661A"/>
    <w:rsid w:val="4BBB0559"/>
    <w:rsid w:val="4BD80BED"/>
    <w:rsid w:val="4BF95FB8"/>
    <w:rsid w:val="4C061EC7"/>
    <w:rsid w:val="4C147838"/>
    <w:rsid w:val="4C2832E3"/>
    <w:rsid w:val="4C285F61"/>
    <w:rsid w:val="4C393A63"/>
    <w:rsid w:val="4C3954F1"/>
    <w:rsid w:val="4C7D362F"/>
    <w:rsid w:val="4C7E15B6"/>
    <w:rsid w:val="4C843B16"/>
    <w:rsid w:val="4CEA67EB"/>
    <w:rsid w:val="4CF04EEA"/>
    <w:rsid w:val="4CF136D5"/>
    <w:rsid w:val="4D38363C"/>
    <w:rsid w:val="4D5A571F"/>
    <w:rsid w:val="4DB210B7"/>
    <w:rsid w:val="4DE2355A"/>
    <w:rsid w:val="4DFA32ED"/>
    <w:rsid w:val="4E177B64"/>
    <w:rsid w:val="4E1F3515"/>
    <w:rsid w:val="4E4A7541"/>
    <w:rsid w:val="4E5E123E"/>
    <w:rsid w:val="4E5E4D9B"/>
    <w:rsid w:val="4E604FB7"/>
    <w:rsid w:val="4E6600F3"/>
    <w:rsid w:val="4E6C395B"/>
    <w:rsid w:val="4E785D14"/>
    <w:rsid w:val="4E7D5618"/>
    <w:rsid w:val="4EC579D8"/>
    <w:rsid w:val="4ED1677F"/>
    <w:rsid w:val="4EF15C0F"/>
    <w:rsid w:val="4EF3321D"/>
    <w:rsid w:val="4F0103F9"/>
    <w:rsid w:val="4F1B2C8C"/>
    <w:rsid w:val="4F1B712F"/>
    <w:rsid w:val="4F4421E2"/>
    <w:rsid w:val="4F4C5E7F"/>
    <w:rsid w:val="4F843AC5"/>
    <w:rsid w:val="4FAB400F"/>
    <w:rsid w:val="4FBC4CCB"/>
    <w:rsid w:val="4FBC621D"/>
    <w:rsid w:val="50250266"/>
    <w:rsid w:val="50267B3A"/>
    <w:rsid w:val="502F7321"/>
    <w:rsid w:val="503B242E"/>
    <w:rsid w:val="504571A0"/>
    <w:rsid w:val="5060304C"/>
    <w:rsid w:val="50723F07"/>
    <w:rsid w:val="50A218B6"/>
    <w:rsid w:val="50C06CA9"/>
    <w:rsid w:val="50C64592"/>
    <w:rsid w:val="50CD6207"/>
    <w:rsid w:val="511A58F1"/>
    <w:rsid w:val="513B5867"/>
    <w:rsid w:val="515D73FF"/>
    <w:rsid w:val="516E081B"/>
    <w:rsid w:val="51954F77"/>
    <w:rsid w:val="519C4558"/>
    <w:rsid w:val="519E415B"/>
    <w:rsid w:val="51CD5E49"/>
    <w:rsid w:val="52213EAE"/>
    <w:rsid w:val="524469BC"/>
    <w:rsid w:val="52491C0C"/>
    <w:rsid w:val="52833FCB"/>
    <w:rsid w:val="5289432D"/>
    <w:rsid w:val="52A02A3B"/>
    <w:rsid w:val="52A477C3"/>
    <w:rsid w:val="52AA6800"/>
    <w:rsid w:val="52B633F7"/>
    <w:rsid w:val="52B81953"/>
    <w:rsid w:val="52DA31EA"/>
    <w:rsid w:val="52E02222"/>
    <w:rsid w:val="52E141EC"/>
    <w:rsid w:val="52E33B12"/>
    <w:rsid w:val="52FB3C24"/>
    <w:rsid w:val="53065A01"/>
    <w:rsid w:val="53121201"/>
    <w:rsid w:val="534D48CA"/>
    <w:rsid w:val="536F4CB6"/>
    <w:rsid w:val="539E1248"/>
    <w:rsid w:val="539E2921"/>
    <w:rsid w:val="53D37FD9"/>
    <w:rsid w:val="546A02C2"/>
    <w:rsid w:val="54752E3E"/>
    <w:rsid w:val="54853F15"/>
    <w:rsid w:val="54A97AD9"/>
    <w:rsid w:val="54C55B73"/>
    <w:rsid w:val="551366CC"/>
    <w:rsid w:val="556A2B47"/>
    <w:rsid w:val="558772CD"/>
    <w:rsid w:val="558A46C7"/>
    <w:rsid w:val="5596730D"/>
    <w:rsid w:val="55BE6E26"/>
    <w:rsid w:val="55DB06CF"/>
    <w:rsid w:val="55E0078B"/>
    <w:rsid w:val="55F33436"/>
    <w:rsid w:val="561B3A8F"/>
    <w:rsid w:val="562371A6"/>
    <w:rsid w:val="5635484D"/>
    <w:rsid w:val="56356D29"/>
    <w:rsid w:val="56881417"/>
    <w:rsid w:val="568C26C8"/>
    <w:rsid w:val="568F2C19"/>
    <w:rsid w:val="569A3030"/>
    <w:rsid w:val="56A944A2"/>
    <w:rsid w:val="56B30B22"/>
    <w:rsid w:val="56D06A51"/>
    <w:rsid w:val="56FA587C"/>
    <w:rsid w:val="570D03D6"/>
    <w:rsid w:val="571C1C97"/>
    <w:rsid w:val="571C3A45"/>
    <w:rsid w:val="572D7A00"/>
    <w:rsid w:val="57587EA7"/>
    <w:rsid w:val="575B6C94"/>
    <w:rsid w:val="575C2093"/>
    <w:rsid w:val="57650F48"/>
    <w:rsid w:val="57876642"/>
    <w:rsid w:val="578C4726"/>
    <w:rsid w:val="579202F8"/>
    <w:rsid w:val="57A21802"/>
    <w:rsid w:val="57B96258"/>
    <w:rsid w:val="57CE2F91"/>
    <w:rsid w:val="57F7579B"/>
    <w:rsid w:val="57FA1FD8"/>
    <w:rsid w:val="587F24DD"/>
    <w:rsid w:val="5886561A"/>
    <w:rsid w:val="58937D37"/>
    <w:rsid w:val="58962892"/>
    <w:rsid w:val="58AC2BA6"/>
    <w:rsid w:val="58B43BB6"/>
    <w:rsid w:val="58BF28DA"/>
    <w:rsid w:val="58C505BE"/>
    <w:rsid w:val="58EB4EB0"/>
    <w:rsid w:val="58F72073"/>
    <w:rsid w:val="59154BEF"/>
    <w:rsid w:val="591B0458"/>
    <w:rsid w:val="5920775E"/>
    <w:rsid w:val="59586497"/>
    <w:rsid w:val="59617E35"/>
    <w:rsid w:val="5977365A"/>
    <w:rsid w:val="5A18057C"/>
    <w:rsid w:val="5A5625F0"/>
    <w:rsid w:val="5A690D4F"/>
    <w:rsid w:val="5A763509"/>
    <w:rsid w:val="5A875679"/>
    <w:rsid w:val="5A9C7376"/>
    <w:rsid w:val="5AAD47D4"/>
    <w:rsid w:val="5ABB54F5"/>
    <w:rsid w:val="5AC715D3"/>
    <w:rsid w:val="5AD52888"/>
    <w:rsid w:val="5AE42ACB"/>
    <w:rsid w:val="5AEE394A"/>
    <w:rsid w:val="5AF95A53"/>
    <w:rsid w:val="5B11117E"/>
    <w:rsid w:val="5B157129"/>
    <w:rsid w:val="5B2B0D69"/>
    <w:rsid w:val="5B763DD3"/>
    <w:rsid w:val="5B840E60"/>
    <w:rsid w:val="5B914A01"/>
    <w:rsid w:val="5BCC14C5"/>
    <w:rsid w:val="5BD4669C"/>
    <w:rsid w:val="5BD968E4"/>
    <w:rsid w:val="5BDC19F5"/>
    <w:rsid w:val="5BDD348F"/>
    <w:rsid w:val="5BE270E8"/>
    <w:rsid w:val="5C016082"/>
    <w:rsid w:val="5C033324"/>
    <w:rsid w:val="5C033E03"/>
    <w:rsid w:val="5C0D4457"/>
    <w:rsid w:val="5C2D5DA3"/>
    <w:rsid w:val="5C2E1802"/>
    <w:rsid w:val="5C467FC3"/>
    <w:rsid w:val="5C645C72"/>
    <w:rsid w:val="5C83784C"/>
    <w:rsid w:val="5C9B684E"/>
    <w:rsid w:val="5CB023B9"/>
    <w:rsid w:val="5CC11316"/>
    <w:rsid w:val="5CD34369"/>
    <w:rsid w:val="5CDD18D5"/>
    <w:rsid w:val="5D0815B3"/>
    <w:rsid w:val="5D0B26CA"/>
    <w:rsid w:val="5D7C60A8"/>
    <w:rsid w:val="5D923A15"/>
    <w:rsid w:val="5DE11544"/>
    <w:rsid w:val="5DE52DE2"/>
    <w:rsid w:val="5DEF3BB9"/>
    <w:rsid w:val="5E2F405E"/>
    <w:rsid w:val="5E535B26"/>
    <w:rsid w:val="5ED54C05"/>
    <w:rsid w:val="5ED846F5"/>
    <w:rsid w:val="5EDF3CD6"/>
    <w:rsid w:val="5F090D52"/>
    <w:rsid w:val="5F1009CA"/>
    <w:rsid w:val="5F597E25"/>
    <w:rsid w:val="5F5D0FE7"/>
    <w:rsid w:val="5F61293D"/>
    <w:rsid w:val="5F6406ED"/>
    <w:rsid w:val="5F776BD1"/>
    <w:rsid w:val="5F7B3F6D"/>
    <w:rsid w:val="5F9D2CFC"/>
    <w:rsid w:val="5FE4557D"/>
    <w:rsid w:val="60145C01"/>
    <w:rsid w:val="60295975"/>
    <w:rsid w:val="60326087"/>
    <w:rsid w:val="60345243"/>
    <w:rsid w:val="60365B77"/>
    <w:rsid w:val="60536729"/>
    <w:rsid w:val="605B55DE"/>
    <w:rsid w:val="60602BF4"/>
    <w:rsid w:val="606C77EB"/>
    <w:rsid w:val="60934D78"/>
    <w:rsid w:val="60AF592A"/>
    <w:rsid w:val="60BD3BA3"/>
    <w:rsid w:val="60E90E3C"/>
    <w:rsid w:val="61691F7C"/>
    <w:rsid w:val="61693D2A"/>
    <w:rsid w:val="617526CF"/>
    <w:rsid w:val="619A6C69"/>
    <w:rsid w:val="61AF5296"/>
    <w:rsid w:val="61D27B22"/>
    <w:rsid w:val="623676B5"/>
    <w:rsid w:val="624C1F73"/>
    <w:rsid w:val="625416B1"/>
    <w:rsid w:val="62634C1E"/>
    <w:rsid w:val="628175C3"/>
    <w:rsid w:val="628E2720"/>
    <w:rsid w:val="62975407"/>
    <w:rsid w:val="62B92A90"/>
    <w:rsid w:val="62BF4365"/>
    <w:rsid w:val="62CF3DAA"/>
    <w:rsid w:val="62E22EB0"/>
    <w:rsid w:val="62F67840"/>
    <w:rsid w:val="632207DA"/>
    <w:rsid w:val="632435C1"/>
    <w:rsid w:val="63416FE4"/>
    <w:rsid w:val="63695274"/>
    <w:rsid w:val="639C1818"/>
    <w:rsid w:val="63D511F7"/>
    <w:rsid w:val="63ED0C43"/>
    <w:rsid w:val="6424218B"/>
    <w:rsid w:val="642D54E3"/>
    <w:rsid w:val="643C2F76"/>
    <w:rsid w:val="643C648E"/>
    <w:rsid w:val="64436AB5"/>
    <w:rsid w:val="64532D31"/>
    <w:rsid w:val="64610CE9"/>
    <w:rsid w:val="648D59EA"/>
    <w:rsid w:val="64B051F1"/>
    <w:rsid w:val="64CC7BCC"/>
    <w:rsid w:val="64E0475B"/>
    <w:rsid w:val="652266CA"/>
    <w:rsid w:val="652E1513"/>
    <w:rsid w:val="653D783D"/>
    <w:rsid w:val="656C5B83"/>
    <w:rsid w:val="6578278E"/>
    <w:rsid w:val="659B647C"/>
    <w:rsid w:val="65D40ACD"/>
    <w:rsid w:val="65F97E0A"/>
    <w:rsid w:val="66022DE1"/>
    <w:rsid w:val="660364FC"/>
    <w:rsid w:val="666176C6"/>
    <w:rsid w:val="666351EC"/>
    <w:rsid w:val="66677CF3"/>
    <w:rsid w:val="666D1BC7"/>
    <w:rsid w:val="667271DD"/>
    <w:rsid w:val="668C4743"/>
    <w:rsid w:val="669B1E94"/>
    <w:rsid w:val="66BC48FC"/>
    <w:rsid w:val="66C51A03"/>
    <w:rsid w:val="66C64D00"/>
    <w:rsid w:val="66C979B7"/>
    <w:rsid w:val="66E06E74"/>
    <w:rsid w:val="67161D68"/>
    <w:rsid w:val="67206C39"/>
    <w:rsid w:val="672B7901"/>
    <w:rsid w:val="67650AF0"/>
    <w:rsid w:val="67682BBB"/>
    <w:rsid w:val="676D1FE2"/>
    <w:rsid w:val="677C7B7C"/>
    <w:rsid w:val="67832B8E"/>
    <w:rsid w:val="678B3221"/>
    <w:rsid w:val="67AE2497"/>
    <w:rsid w:val="67BE61DF"/>
    <w:rsid w:val="67CC0AF3"/>
    <w:rsid w:val="67CE0D8B"/>
    <w:rsid w:val="68384A7E"/>
    <w:rsid w:val="68536A93"/>
    <w:rsid w:val="68633281"/>
    <w:rsid w:val="689773CF"/>
    <w:rsid w:val="68BD770F"/>
    <w:rsid w:val="68E33782"/>
    <w:rsid w:val="68F16ADF"/>
    <w:rsid w:val="68F20AA9"/>
    <w:rsid w:val="68FA376A"/>
    <w:rsid w:val="68FB6D4F"/>
    <w:rsid w:val="69262F6C"/>
    <w:rsid w:val="692D2FFC"/>
    <w:rsid w:val="692F13B6"/>
    <w:rsid w:val="69327D5A"/>
    <w:rsid w:val="694330B3"/>
    <w:rsid w:val="69845BA5"/>
    <w:rsid w:val="6999604E"/>
    <w:rsid w:val="69B762F3"/>
    <w:rsid w:val="69CC5B83"/>
    <w:rsid w:val="69D51723"/>
    <w:rsid w:val="69F36887"/>
    <w:rsid w:val="6A130C9E"/>
    <w:rsid w:val="6A165448"/>
    <w:rsid w:val="6A3759D8"/>
    <w:rsid w:val="6A3F1ACC"/>
    <w:rsid w:val="6A6C5054"/>
    <w:rsid w:val="6A7A2B04"/>
    <w:rsid w:val="6A81203A"/>
    <w:rsid w:val="6A9F07BD"/>
    <w:rsid w:val="6AA83AD2"/>
    <w:rsid w:val="6B0625EA"/>
    <w:rsid w:val="6B1B37A3"/>
    <w:rsid w:val="6B45045D"/>
    <w:rsid w:val="6BC07F1C"/>
    <w:rsid w:val="6BCC199B"/>
    <w:rsid w:val="6BD6020E"/>
    <w:rsid w:val="6BDB56B5"/>
    <w:rsid w:val="6BEE7306"/>
    <w:rsid w:val="6BF62553"/>
    <w:rsid w:val="6BF84629"/>
    <w:rsid w:val="6C0C5B46"/>
    <w:rsid w:val="6C2902D2"/>
    <w:rsid w:val="6C4675A1"/>
    <w:rsid w:val="6C514E3E"/>
    <w:rsid w:val="6C57670D"/>
    <w:rsid w:val="6C76055B"/>
    <w:rsid w:val="6C8B2DA7"/>
    <w:rsid w:val="6CE05411"/>
    <w:rsid w:val="6CE8644B"/>
    <w:rsid w:val="6D0A4613"/>
    <w:rsid w:val="6D6F4814"/>
    <w:rsid w:val="6D806684"/>
    <w:rsid w:val="6D8C5028"/>
    <w:rsid w:val="6D8D2B4F"/>
    <w:rsid w:val="6E122170"/>
    <w:rsid w:val="6E140753"/>
    <w:rsid w:val="6E466A5F"/>
    <w:rsid w:val="6E6516E8"/>
    <w:rsid w:val="6E7F693B"/>
    <w:rsid w:val="6E80153E"/>
    <w:rsid w:val="6E857B86"/>
    <w:rsid w:val="6EA80C3C"/>
    <w:rsid w:val="6EBA6BD9"/>
    <w:rsid w:val="6ECD58F9"/>
    <w:rsid w:val="6ED76777"/>
    <w:rsid w:val="6EDA0016"/>
    <w:rsid w:val="6EE16006"/>
    <w:rsid w:val="6EED5F9B"/>
    <w:rsid w:val="6EF15303"/>
    <w:rsid w:val="6F113A1E"/>
    <w:rsid w:val="6F176B74"/>
    <w:rsid w:val="6F294E0A"/>
    <w:rsid w:val="6F3C22BC"/>
    <w:rsid w:val="6F3F213F"/>
    <w:rsid w:val="6F5074C1"/>
    <w:rsid w:val="6F832C04"/>
    <w:rsid w:val="6F8C57B4"/>
    <w:rsid w:val="6FA80114"/>
    <w:rsid w:val="6FAE3B54"/>
    <w:rsid w:val="6FB22D40"/>
    <w:rsid w:val="6FB42FDE"/>
    <w:rsid w:val="6FB571C0"/>
    <w:rsid w:val="6FD730E6"/>
    <w:rsid w:val="6FDE777C"/>
    <w:rsid w:val="6FE27182"/>
    <w:rsid w:val="70096E04"/>
    <w:rsid w:val="700C41FF"/>
    <w:rsid w:val="702459EC"/>
    <w:rsid w:val="70323087"/>
    <w:rsid w:val="703341B3"/>
    <w:rsid w:val="70345611"/>
    <w:rsid w:val="70624CF8"/>
    <w:rsid w:val="70650896"/>
    <w:rsid w:val="70785D38"/>
    <w:rsid w:val="70830C8B"/>
    <w:rsid w:val="7096798B"/>
    <w:rsid w:val="70B21E99"/>
    <w:rsid w:val="712244BF"/>
    <w:rsid w:val="71241A1C"/>
    <w:rsid w:val="716C71E9"/>
    <w:rsid w:val="71752277"/>
    <w:rsid w:val="71DE4D4E"/>
    <w:rsid w:val="71EB3F48"/>
    <w:rsid w:val="71EF656B"/>
    <w:rsid w:val="71FB0A9C"/>
    <w:rsid w:val="72023B0B"/>
    <w:rsid w:val="72074AD7"/>
    <w:rsid w:val="720D24B0"/>
    <w:rsid w:val="7229553C"/>
    <w:rsid w:val="72391946"/>
    <w:rsid w:val="724304DE"/>
    <w:rsid w:val="72455BB2"/>
    <w:rsid w:val="724D4BF5"/>
    <w:rsid w:val="7257767A"/>
    <w:rsid w:val="725F69E4"/>
    <w:rsid w:val="72790FF2"/>
    <w:rsid w:val="729145D6"/>
    <w:rsid w:val="72B648F6"/>
    <w:rsid w:val="72B902CA"/>
    <w:rsid w:val="72CB6984"/>
    <w:rsid w:val="7309757A"/>
    <w:rsid w:val="730C1D93"/>
    <w:rsid w:val="730E4BF0"/>
    <w:rsid w:val="732D4BB8"/>
    <w:rsid w:val="73695914"/>
    <w:rsid w:val="738B2AE9"/>
    <w:rsid w:val="73A806E2"/>
    <w:rsid w:val="73D94D40"/>
    <w:rsid w:val="73E62FB9"/>
    <w:rsid w:val="73EA0CFB"/>
    <w:rsid w:val="740775BE"/>
    <w:rsid w:val="74160C07"/>
    <w:rsid w:val="74370445"/>
    <w:rsid w:val="744321B9"/>
    <w:rsid w:val="744523D5"/>
    <w:rsid w:val="74943930"/>
    <w:rsid w:val="74980757"/>
    <w:rsid w:val="749B3DA3"/>
    <w:rsid w:val="74B66E2F"/>
    <w:rsid w:val="74D955D7"/>
    <w:rsid w:val="74E61367"/>
    <w:rsid w:val="74EF608F"/>
    <w:rsid w:val="7535520D"/>
    <w:rsid w:val="755A1EB0"/>
    <w:rsid w:val="755C75FB"/>
    <w:rsid w:val="756F3306"/>
    <w:rsid w:val="75705230"/>
    <w:rsid w:val="75720FA8"/>
    <w:rsid w:val="75847FEF"/>
    <w:rsid w:val="75891404"/>
    <w:rsid w:val="758F2D15"/>
    <w:rsid w:val="75BB3453"/>
    <w:rsid w:val="75BB7BB2"/>
    <w:rsid w:val="75CA22FC"/>
    <w:rsid w:val="75D27C98"/>
    <w:rsid w:val="76094936"/>
    <w:rsid w:val="7615375C"/>
    <w:rsid w:val="761C3A0C"/>
    <w:rsid w:val="762F50EB"/>
    <w:rsid w:val="763224E5"/>
    <w:rsid w:val="76354D90"/>
    <w:rsid w:val="763556F8"/>
    <w:rsid w:val="767D7C04"/>
    <w:rsid w:val="76840E09"/>
    <w:rsid w:val="76D071F0"/>
    <w:rsid w:val="76E62ACA"/>
    <w:rsid w:val="7702635B"/>
    <w:rsid w:val="770B0EDC"/>
    <w:rsid w:val="770E4550"/>
    <w:rsid w:val="771D3063"/>
    <w:rsid w:val="772F63ED"/>
    <w:rsid w:val="773504DF"/>
    <w:rsid w:val="77526E0C"/>
    <w:rsid w:val="777F79AC"/>
    <w:rsid w:val="778356EE"/>
    <w:rsid w:val="77846D70"/>
    <w:rsid w:val="778C4E61"/>
    <w:rsid w:val="77BF249E"/>
    <w:rsid w:val="77D47CF8"/>
    <w:rsid w:val="77D777E8"/>
    <w:rsid w:val="77EB3293"/>
    <w:rsid w:val="781E71C5"/>
    <w:rsid w:val="782D565A"/>
    <w:rsid w:val="78342545"/>
    <w:rsid w:val="7874753C"/>
    <w:rsid w:val="78BD36AD"/>
    <w:rsid w:val="78CF3608"/>
    <w:rsid w:val="78EB3ACC"/>
    <w:rsid w:val="78F47F26"/>
    <w:rsid w:val="78F65A4C"/>
    <w:rsid w:val="79565B20"/>
    <w:rsid w:val="7956645B"/>
    <w:rsid w:val="79693F11"/>
    <w:rsid w:val="796B468C"/>
    <w:rsid w:val="7985762A"/>
    <w:rsid w:val="798C015E"/>
    <w:rsid w:val="798D5059"/>
    <w:rsid w:val="79927E6B"/>
    <w:rsid w:val="79F32903"/>
    <w:rsid w:val="79FA5A10"/>
    <w:rsid w:val="7A077F60"/>
    <w:rsid w:val="7A2D2BD3"/>
    <w:rsid w:val="7A3101DD"/>
    <w:rsid w:val="7A367611"/>
    <w:rsid w:val="7A3A405E"/>
    <w:rsid w:val="7A411788"/>
    <w:rsid w:val="7A4A40EE"/>
    <w:rsid w:val="7A5B64AE"/>
    <w:rsid w:val="7A767A64"/>
    <w:rsid w:val="7A804167"/>
    <w:rsid w:val="7AB20098"/>
    <w:rsid w:val="7AB636E5"/>
    <w:rsid w:val="7AB64A16"/>
    <w:rsid w:val="7AB67B89"/>
    <w:rsid w:val="7AC533D8"/>
    <w:rsid w:val="7AFD7566"/>
    <w:rsid w:val="7B234AF2"/>
    <w:rsid w:val="7B276391"/>
    <w:rsid w:val="7B315461"/>
    <w:rsid w:val="7B641393"/>
    <w:rsid w:val="7B6F174D"/>
    <w:rsid w:val="7B8A1033"/>
    <w:rsid w:val="7BA47703"/>
    <w:rsid w:val="7BAF20C7"/>
    <w:rsid w:val="7BB045D8"/>
    <w:rsid w:val="7BC2430B"/>
    <w:rsid w:val="7BD13A32"/>
    <w:rsid w:val="7BE65BEC"/>
    <w:rsid w:val="7BF95FA4"/>
    <w:rsid w:val="7C2B0A1F"/>
    <w:rsid w:val="7C70483D"/>
    <w:rsid w:val="7CA0289E"/>
    <w:rsid w:val="7CAD09A2"/>
    <w:rsid w:val="7CE91E5A"/>
    <w:rsid w:val="7D053ADF"/>
    <w:rsid w:val="7D165046"/>
    <w:rsid w:val="7D210EF9"/>
    <w:rsid w:val="7D63567A"/>
    <w:rsid w:val="7D66043F"/>
    <w:rsid w:val="7D6A6A08"/>
    <w:rsid w:val="7D6A7A30"/>
    <w:rsid w:val="7D7B09FC"/>
    <w:rsid w:val="7D80622C"/>
    <w:rsid w:val="7D985ACE"/>
    <w:rsid w:val="7DAE675E"/>
    <w:rsid w:val="7DC9372F"/>
    <w:rsid w:val="7DCA74A7"/>
    <w:rsid w:val="7DF52776"/>
    <w:rsid w:val="7E105802"/>
    <w:rsid w:val="7E1C7D03"/>
    <w:rsid w:val="7E5F290D"/>
    <w:rsid w:val="7E9065B5"/>
    <w:rsid w:val="7E923F80"/>
    <w:rsid w:val="7EE8790A"/>
    <w:rsid w:val="7EFD4430"/>
    <w:rsid w:val="7F030EC3"/>
    <w:rsid w:val="7F283D6E"/>
    <w:rsid w:val="7F501F9B"/>
    <w:rsid w:val="7F637BB3"/>
    <w:rsid w:val="7F6A3CDA"/>
    <w:rsid w:val="7F743B6E"/>
    <w:rsid w:val="7F935DE1"/>
    <w:rsid w:val="7FCC7507"/>
    <w:rsid w:val="7FD5285F"/>
    <w:rsid w:val="7FD91C23"/>
    <w:rsid w:val="7FFD3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eastAsia" w:ascii="宋体" w:hAnsi="宋体" w:eastAsia="宋体" w:cs="Times New Roman"/>
      <w:sz w:val="22"/>
      <w:lang w:val="en-US" w:eastAsia="zh-CN" w:bidi="ar-SA"/>
    </w:rPr>
  </w:style>
  <w:style w:type="paragraph" w:styleId="2">
    <w:name w:val="heading 1"/>
    <w:basedOn w:val="1"/>
    <w:next w:val="1"/>
    <w:link w:val="55"/>
    <w:autoRedefine/>
    <w:unhideWhenUsed/>
    <w:qFormat/>
    <w:uiPriority w:val="1"/>
    <w:pPr>
      <w:spacing w:before="23"/>
      <w:outlineLvl w:val="0"/>
    </w:pPr>
    <w:rPr>
      <w:b/>
      <w:sz w:val="36"/>
    </w:rPr>
  </w:style>
  <w:style w:type="paragraph" w:styleId="3">
    <w:name w:val="heading 2"/>
    <w:basedOn w:val="1"/>
    <w:next w:val="1"/>
    <w:autoRedefine/>
    <w:unhideWhenUsed/>
    <w:qFormat/>
    <w:uiPriority w:val="1"/>
    <w:pPr>
      <w:spacing w:before="38"/>
      <w:outlineLvl w:val="1"/>
    </w:pPr>
    <w:rPr>
      <w:b/>
      <w:sz w:val="32"/>
    </w:rPr>
  </w:style>
  <w:style w:type="paragraph" w:styleId="4">
    <w:name w:val="heading 3"/>
    <w:basedOn w:val="1"/>
    <w:next w:val="1"/>
    <w:autoRedefine/>
    <w:unhideWhenUsed/>
    <w:qFormat/>
    <w:uiPriority w:val="1"/>
    <w:pPr>
      <w:spacing w:before="85"/>
      <w:ind w:left="1256"/>
      <w:outlineLvl w:val="2"/>
    </w:pPr>
    <w:rPr>
      <w:b/>
      <w:sz w:val="28"/>
    </w:rPr>
  </w:style>
  <w:style w:type="paragraph" w:styleId="5">
    <w:name w:val="heading 4"/>
    <w:basedOn w:val="1"/>
    <w:next w:val="1"/>
    <w:autoRedefine/>
    <w:unhideWhenUsed/>
    <w:qFormat/>
    <w:uiPriority w:val="1"/>
    <w:pPr>
      <w:spacing w:before="42"/>
      <w:ind w:left="1256"/>
      <w:outlineLvl w:val="3"/>
    </w:pPr>
    <w:rPr>
      <w:sz w:val="28"/>
    </w:rPr>
  </w:style>
  <w:style w:type="paragraph" w:styleId="6">
    <w:name w:val="heading 5"/>
    <w:basedOn w:val="1"/>
    <w:next w:val="1"/>
    <w:unhideWhenUsed/>
    <w:qFormat/>
    <w:uiPriority w:val="1"/>
    <w:pPr>
      <w:spacing w:before="42"/>
      <w:ind w:left="1256"/>
      <w:outlineLvl w:val="4"/>
    </w:pPr>
    <w:rPr>
      <w:b/>
      <w:sz w:val="24"/>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qFormat/>
    <w:uiPriority w:val="0"/>
    <w:pPr>
      <w:spacing w:line="360" w:lineRule="auto"/>
      <w:ind w:left="420" w:leftChars="200"/>
      <w:jc w:val="both"/>
    </w:pPr>
    <w:rPr>
      <w:rFonts w:hint="default" w:ascii="Times New Roman" w:hAnsi="Times New Roman"/>
      <w:b/>
      <w:kern w:val="2"/>
      <w:sz w:val="28"/>
      <w:szCs w:val="24"/>
    </w:rPr>
  </w:style>
  <w:style w:type="paragraph" w:styleId="8">
    <w:name w:val="Normal Indent"/>
    <w:basedOn w:val="1"/>
    <w:autoRedefine/>
    <w:qFormat/>
    <w:uiPriority w:val="0"/>
    <w:pPr>
      <w:ind w:firstLine="420" w:firstLineChars="200"/>
    </w:pPr>
  </w:style>
  <w:style w:type="paragraph" w:styleId="9">
    <w:name w:val="Body Text 3"/>
    <w:basedOn w:val="1"/>
    <w:autoRedefine/>
    <w:qFormat/>
    <w:uiPriority w:val="0"/>
    <w:pPr>
      <w:spacing w:line="80" w:lineRule="atLeast"/>
    </w:pPr>
    <w:rPr>
      <w:rFonts w:ascii="楷体_GB2312" w:eastAsia="楷体_GB2312"/>
      <w:sz w:val="28"/>
    </w:rPr>
  </w:style>
  <w:style w:type="paragraph" w:styleId="10">
    <w:name w:val="Body Text"/>
    <w:basedOn w:val="1"/>
    <w:next w:val="1"/>
    <w:autoRedefine/>
    <w:unhideWhenUsed/>
    <w:qFormat/>
    <w:uiPriority w:val="1"/>
    <w:rPr>
      <w:sz w:val="24"/>
    </w:rPr>
  </w:style>
  <w:style w:type="paragraph" w:styleId="11">
    <w:name w:val="Body Text Indent"/>
    <w:basedOn w:val="1"/>
    <w:next w:val="12"/>
    <w:unhideWhenUsed/>
    <w:qFormat/>
    <w:uiPriority w:val="99"/>
    <w:pPr>
      <w:spacing w:after="120"/>
      <w:ind w:left="420" w:leftChars="200"/>
    </w:pPr>
    <w:rPr>
      <w:rFonts w:ascii="Times New Roman" w:hAnsi="Times New Roman" w:eastAsia="仿宋_GB2312"/>
      <w:sz w:val="32"/>
    </w:r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ind w:left="420" w:right="33"/>
      <w:textAlignment w:val="baseline"/>
    </w:pPr>
    <w:rPr>
      <w:sz w:val="24"/>
    </w:rPr>
  </w:style>
  <w:style w:type="paragraph" w:styleId="14">
    <w:name w:val="Plain Text"/>
    <w:basedOn w:val="1"/>
    <w:autoRedefine/>
    <w:qFormat/>
    <w:uiPriority w:val="0"/>
    <w:rPr>
      <w:rFonts w:hAnsi="Courier New" w:cs="Courier New"/>
      <w:szCs w:val="21"/>
    </w:rPr>
  </w:style>
  <w:style w:type="paragraph" w:styleId="15">
    <w:name w:val="Date"/>
    <w:basedOn w:val="1"/>
    <w:next w:val="1"/>
    <w:autoRedefine/>
    <w:qFormat/>
    <w:uiPriority w:val="0"/>
    <w:rPr>
      <w:sz w:val="24"/>
    </w:rPr>
  </w:style>
  <w:style w:type="paragraph" w:styleId="16">
    <w:name w:val="Body Text Indent 2"/>
    <w:basedOn w:val="1"/>
    <w:autoRedefine/>
    <w:qFormat/>
    <w:uiPriority w:val="0"/>
    <w:pPr>
      <w:spacing w:after="120" w:afterLines="0" w:afterAutospacing="0" w:line="480" w:lineRule="auto"/>
      <w:ind w:left="420" w:leftChars="200"/>
    </w:pPr>
  </w:style>
  <w:style w:type="paragraph" w:styleId="17">
    <w:name w:val="footer"/>
    <w:basedOn w:val="1"/>
    <w:autoRedefine/>
    <w:unhideWhenUsed/>
    <w:qFormat/>
    <w:uiPriority w:val="99"/>
    <w:pPr>
      <w:tabs>
        <w:tab w:val="center" w:pos="4153"/>
        <w:tab w:val="right" w:pos="8306"/>
      </w:tabs>
      <w:snapToGrid w:val="0"/>
    </w:pPr>
    <w:rPr>
      <w:sz w:val="18"/>
    </w:rPr>
  </w:style>
  <w:style w:type="paragraph" w:styleId="18">
    <w:name w:val="header"/>
    <w:basedOn w:val="1"/>
    <w:autoRedefine/>
    <w:unhideWhenUsed/>
    <w:qFormat/>
    <w:uiPriority w:val="99"/>
    <w:pPr>
      <w:tabs>
        <w:tab w:val="center" w:pos="4153"/>
        <w:tab w:val="right" w:pos="8306"/>
      </w:tabs>
      <w:snapToGrid w:val="0"/>
      <w:jc w:val="both"/>
    </w:pPr>
    <w:rPr>
      <w:sz w:val="18"/>
    </w:rPr>
  </w:style>
  <w:style w:type="paragraph" w:styleId="19">
    <w:name w:val="Normal (Web)"/>
    <w:basedOn w:val="1"/>
    <w:autoRedefine/>
    <w:unhideWhenUsed/>
    <w:qFormat/>
    <w:uiPriority w:val="99"/>
    <w:pPr>
      <w:widowControl/>
      <w:spacing w:before="100" w:beforeAutospacing="1" w:after="100" w:afterAutospacing="1"/>
    </w:pPr>
    <w:rPr>
      <w:rFonts w:ascii="??" w:hAnsi="??" w:cs="宋体"/>
      <w:sz w:val="24"/>
      <w:szCs w:val="24"/>
    </w:rPr>
  </w:style>
  <w:style w:type="paragraph" w:styleId="20">
    <w:name w:val="Title"/>
    <w:basedOn w:val="1"/>
    <w:next w:val="1"/>
    <w:autoRedefine/>
    <w:unhideWhenUsed/>
    <w:qFormat/>
    <w:uiPriority w:val="10"/>
    <w:pPr>
      <w:spacing w:before="240" w:after="60" w:line="420" w:lineRule="atLeast"/>
      <w:jc w:val="center"/>
      <w:textAlignment w:val="baseline"/>
      <w:outlineLvl w:val="0"/>
    </w:pPr>
    <w:rPr>
      <w:rFonts w:ascii="Arial" w:hAnsi="Arial"/>
      <w:b/>
      <w:sz w:val="32"/>
    </w:rPr>
  </w:style>
  <w:style w:type="paragraph" w:styleId="21">
    <w:name w:val="Body Text First Indent"/>
    <w:basedOn w:val="10"/>
    <w:autoRedefine/>
    <w:qFormat/>
    <w:uiPriority w:val="0"/>
    <w:pPr>
      <w:ind w:firstLine="420" w:firstLineChars="100"/>
    </w:pPr>
  </w:style>
  <w:style w:type="paragraph" w:styleId="22">
    <w:name w:val="Body Text First Indent 2"/>
    <w:basedOn w:val="11"/>
    <w:next w:val="1"/>
    <w:unhideWhenUsed/>
    <w:qFormat/>
    <w:uiPriority w:val="99"/>
    <w:pPr>
      <w:ind w:firstLine="420" w:firstLineChars="200"/>
    </w:pPr>
    <w:rPr>
      <w:sz w:val="21"/>
    </w:rPr>
  </w:style>
  <w:style w:type="character" w:styleId="25">
    <w:name w:val="Strong"/>
    <w:basedOn w:val="24"/>
    <w:autoRedefine/>
    <w:qFormat/>
    <w:uiPriority w:val="99"/>
    <w:rPr>
      <w:b/>
      <w:bCs/>
    </w:rPr>
  </w:style>
  <w:style w:type="character" w:styleId="26">
    <w:name w:val="FollowedHyperlink"/>
    <w:basedOn w:val="24"/>
    <w:autoRedefine/>
    <w:qFormat/>
    <w:uiPriority w:val="99"/>
    <w:rPr>
      <w:color w:val="338DE6"/>
      <w:u w:val="none"/>
    </w:rPr>
  </w:style>
  <w:style w:type="character" w:styleId="27">
    <w:name w:val="Emphasis"/>
    <w:basedOn w:val="24"/>
    <w:qFormat/>
    <w:uiPriority w:val="99"/>
  </w:style>
  <w:style w:type="character" w:styleId="28">
    <w:name w:val="HTML Definition"/>
    <w:basedOn w:val="24"/>
    <w:autoRedefine/>
    <w:qFormat/>
    <w:uiPriority w:val="99"/>
  </w:style>
  <w:style w:type="character" w:styleId="29">
    <w:name w:val="HTML Variable"/>
    <w:basedOn w:val="24"/>
    <w:autoRedefine/>
    <w:qFormat/>
    <w:uiPriority w:val="99"/>
  </w:style>
  <w:style w:type="character" w:styleId="30">
    <w:name w:val="Hyperlink"/>
    <w:basedOn w:val="24"/>
    <w:autoRedefine/>
    <w:qFormat/>
    <w:uiPriority w:val="99"/>
    <w:rPr>
      <w:color w:val="0000FF"/>
      <w:u w:val="single"/>
    </w:rPr>
  </w:style>
  <w:style w:type="character" w:styleId="31">
    <w:name w:val="HTML Code"/>
    <w:basedOn w:val="24"/>
    <w:autoRedefine/>
    <w:qFormat/>
    <w:uiPriority w:val="99"/>
    <w:rPr>
      <w:rFonts w:ascii="serif" w:hAnsi="serif" w:eastAsia="serif" w:cs="serif"/>
      <w:sz w:val="21"/>
      <w:szCs w:val="21"/>
    </w:rPr>
  </w:style>
  <w:style w:type="character" w:styleId="32">
    <w:name w:val="HTML Cite"/>
    <w:basedOn w:val="24"/>
    <w:autoRedefine/>
    <w:qFormat/>
    <w:uiPriority w:val="99"/>
  </w:style>
  <w:style w:type="character" w:styleId="33">
    <w:name w:val="HTML Keyboard"/>
    <w:basedOn w:val="24"/>
    <w:autoRedefine/>
    <w:qFormat/>
    <w:uiPriority w:val="99"/>
    <w:rPr>
      <w:rFonts w:hint="default" w:ascii="serif" w:hAnsi="serif" w:eastAsia="serif" w:cs="serif"/>
      <w:sz w:val="21"/>
      <w:szCs w:val="21"/>
    </w:rPr>
  </w:style>
  <w:style w:type="character" w:styleId="34">
    <w:name w:val="HTML Sample"/>
    <w:basedOn w:val="24"/>
    <w:autoRedefine/>
    <w:qFormat/>
    <w:uiPriority w:val="99"/>
    <w:rPr>
      <w:rFonts w:hint="default" w:ascii="serif" w:hAnsi="serif" w:eastAsia="serif" w:cs="serif"/>
      <w:sz w:val="21"/>
      <w:szCs w:val="21"/>
    </w:rPr>
  </w:style>
  <w:style w:type="paragraph" w:customStyle="1" w:styleId="3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Default"/>
    <w:next w:val="15"/>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样式1"/>
    <w:basedOn w:val="1"/>
    <w:autoRedefine/>
    <w:unhideWhenUsed/>
    <w:qFormat/>
    <w:uiPriority w:val="0"/>
    <w:pPr>
      <w:numPr>
        <w:ilvl w:val="0"/>
        <w:numId w:val="1"/>
      </w:numPr>
    </w:pPr>
  </w:style>
  <w:style w:type="paragraph" w:styleId="38">
    <w:name w:val="List Paragraph"/>
    <w:basedOn w:val="1"/>
    <w:autoRedefine/>
    <w:unhideWhenUsed/>
    <w:qFormat/>
    <w:uiPriority w:val="1"/>
    <w:pPr>
      <w:spacing w:before="2"/>
      <w:ind w:left="520" w:firstLine="480"/>
    </w:pPr>
    <w:rPr>
      <w:sz w:val="24"/>
    </w:rPr>
  </w:style>
  <w:style w:type="paragraph" w:customStyle="1" w:styleId="39">
    <w:name w:val="Table Paragraph"/>
    <w:basedOn w:val="1"/>
    <w:autoRedefine/>
    <w:unhideWhenUsed/>
    <w:qFormat/>
    <w:uiPriority w:val="1"/>
    <w:rPr>
      <w:sz w:val="24"/>
    </w:rPr>
  </w:style>
  <w:style w:type="character" w:customStyle="1" w:styleId="40">
    <w:name w:val="font41"/>
    <w:basedOn w:val="24"/>
    <w:unhideWhenUsed/>
    <w:qFormat/>
    <w:uiPriority w:val="0"/>
    <w:rPr>
      <w:rFonts w:hint="eastAsia" w:ascii="宋体" w:hAnsi="宋体" w:eastAsia="宋体"/>
      <w:color w:val="000000"/>
      <w:sz w:val="18"/>
    </w:rPr>
  </w:style>
  <w:style w:type="character" w:customStyle="1" w:styleId="41">
    <w:name w:val="font71"/>
    <w:basedOn w:val="24"/>
    <w:autoRedefine/>
    <w:unhideWhenUsed/>
    <w:qFormat/>
    <w:uiPriority w:val="0"/>
    <w:rPr>
      <w:rFonts w:hint="default" w:ascii="Calibri" w:hAnsi="Calibri" w:eastAsia="宋体"/>
      <w:color w:val="000000"/>
      <w:sz w:val="18"/>
    </w:rPr>
  </w:style>
  <w:style w:type="character" w:customStyle="1" w:styleId="42">
    <w:name w:val="font31"/>
    <w:basedOn w:val="24"/>
    <w:autoRedefine/>
    <w:qFormat/>
    <w:uiPriority w:val="0"/>
    <w:rPr>
      <w:rFonts w:ascii="黑体" w:hAnsi="宋体" w:eastAsia="黑体" w:cs="黑体"/>
      <w:color w:val="000000"/>
      <w:sz w:val="22"/>
      <w:szCs w:val="22"/>
      <w:u w:val="none"/>
    </w:rPr>
  </w:style>
  <w:style w:type="character" w:customStyle="1" w:styleId="43">
    <w:name w:val="font11"/>
    <w:basedOn w:val="24"/>
    <w:autoRedefine/>
    <w:qFormat/>
    <w:uiPriority w:val="0"/>
    <w:rPr>
      <w:rFonts w:hint="eastAsia" w:ascii="宋体" w:hAnsi="宋体" w:eastAsia="宋体" w:cs="宋体"/>
      <w:color w:val="000000"/>
      <w:sz w:val="22"/>
      <w:szCs w:val="22"/>
      <w:u w:val="none"/>
    </w:rPr>
  </w:style>
  <w:style w:type="character" w:customStyle="1" w:styleId="44">
    <w:name w:val="font21"/>
    <w:basedOn w:val="24"/>
    <w:autoRedefine/>
    <w:qFormat/>
    <w:uiPriority w:val="0"/>
    <w:rPr>
      <w:rFonts w:hint="default" w:ascii="Times New Roman" w:hAnsi="Times New Roman" w:cs="Times New Roman"/>
      <w:color w:val="000000"/>
      <w:sz w:val="22"/>
      <w:szCs w:val="22"/>
      <w:u w:val="none"/>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character" w:customStyle="1" w:styleId="46">
    <w:name w:val="font01"/>
    <w:basedOn w:val="24"/>
    <w:autoRedefine/>
    <w:qFormat/>
    <w:uiPriority w:val="0"/>
    <w:rPr>
      <w:rFonts w:hint="eastAsia" w:ascii="宋体" w:hAnsi="宋体" w:eastAsia="宋体" w:cs="宋体"/>
      <w:color w:val="000000"/>
      <w:sz w:val="32"/>
      <w:szCs w:val="32"/>
      <w:u w:val="none"/>
    </w:rPr>
  </w:style>
  <w:style w:type="character" w:customStyle="1" w:styleId="47">
    <w:name w:val="hidden4"/>
    <w:basedOn w:val="24"/>
    <w:autoRedefine/>
    <w:qFormat/>
    <w:uiPriority w:val="0"/>
    <w:rPr>
      <w:vanish/>
    </w:rPr>
  </w:style>
  <w:style w:type="character" w:customStyle="1" w:styleId="48">
    <w:name w:val="fontstrikethrough"/>
    <w:basedOn w:val="24"/>
    <w:autoRedefine/>
    <w:qFormat/>
    <w:uiPriority w:val="0"/>
    <w:rPr>
      <w:strike/>
    </w:rPr>
  </w:style>
  <w:style w:type="character" w:customStyle="1" w:styleId="49">
    <w:name w:val="trumbowyg-msg-error"/>
    <w:basedOn w:val="24"/>
    <w:autoRedefine/>
    <w:qFormat/>
    <w:uiPriority w:val="0"/>
    <w:rPr>
      <w:color w:val="E74C3C"/>
    </w:rPr>
  </w:style>
  <w:style w:type="character" w:customStyle="1" w:styleId="50">
    <w:name w:val="trumbowyg-msg-error1"/>
    <w:basedOn w:val="24"/>
    <w:autoRedefine/>
    <w:qFormat/>
    <w:uiPriority w:val="0"/>
    <w:rPr>
      <w:color w:val="E74C3C"/>
    </w:rPr>
  </w:style>
  <w:style w:type="character" w:customStyle="1" w:styleId="51">
    <w:name w:val="fontborder"/>
    <w:basedOn w:val="24"/>
    <w:qFormat/>
    <w:uiPriority w:val="0"/>
    <w:rPr>
      <w:bdr w:val="single" w:color="000000" w:sz="6" w:space="0"/>
    </w:rPr>
  </w:style>
  <w:style w:type="character" w:customStyle="1" w:styleId="52">
    <w:name w:val="two-lines"/>
    <w:basedOn w:val="24"/>
    <w:autoRedefine/>
    <w:qFormat/>
    <w:uiPriority w:val="0"/>
  </w:style>
  <w:style w:type="character" w:customStyle="1" w:styleId="53">
    <w:name w:val="one-lines"/>
    <w:basedOn w:val="24"/>
    <w:autoRedefine/>
    <w:qFormat/>
    <w:uiPriority w:val="0"/>
  </w:style>
  <w:style w:type="paragraph" w:customStyle="1" w:styleId="54">
    <w:name w:val="目录"/>
    <w:basedOn w:val="1"/>
    <w:autoRedefine/>
    <w:qFormat/>
    <w:uiPriority w:val="0"/>
    <w:pPr>
      <w:widowControl/>
      <w:jc w:val="center"/>
    </w:pPr>
    <w:rPr>
      <w:rFonts w:hAnsi="Times New Roman"/>
      <w:sz w:val="36"/>
    </w:rPr>
  </w:style>
  <w:style w:type="character" w:customStyle="1" w:styleId="55">
    <w:name w:val="标题 1 Char"/>
    <w:link w:val="2"/>
    <w:autoRedefine/>
    <w:qFormat/>
    <w:uiPriority w:val="0"/>
    <w:rPr>
      <w:b/>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17376</Words>
  <Characters>19087</Characters>
  <Lines>320</Lines>
  <Paragraphs>90</Paragraphs>
  <TotalTime>2</TotalTime>
  <ScaleCrop>false</ScaleCrop>
  <LinksUpToDate>false</LinksUpToDate>
  <CharactersWithSpaces>19316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2023-11-23T04:55:00Z</dcterms:created>
  <dc:creator>Administrator</dc:creator>
  <cp:lastModifiedBy>Administrator</cp:lastModifiedBy>
  <dcterms:modified xsi:type="dcterms:W3CDTF">2025-01-03T07:33:15Z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B98E1FCFACCE465380B5EDA3591062E4_13</vt:lpwstr>
  </property>
  <property fmtid="{D5CDD505-2E9C-101B-9397-08002B2CF9AE}" pid="4" name="KSOTemplateDocerSaveRecord">
    <vt:lpwstr>eyJoZGlkIjoiMWU5OGU1ZmI3MTYzYmU1ODhlODU4NDYwNTYyMDA2Y2MiLCJ1c2VySWQiOiIyNDk1OTgwMiJ9</vt:lpwstr>
  </property>
</Properties>
</file>