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8C19">
      <w:pPr>
        <w:pStyle w:val="23"/>
        <w:ind w:left="0" w:leftChars="0" w:firstLine="0" w:firstLineChars="0"/>
        <w:rPr>
          <w:rFonts w:hint="eastAsia" w:ascii="宋体" w:hAnsi="宋体" w:eastAsia="宋体" w:cs="宋体"/>
          <w:highlight w:val="none"/>
        </w:rPr>
      </w:pPr>
    </w:p>
    <w:p w14:paraId="24E47B67">
      <w:pPr>
        <w:pStyle w:val="23"/>
        <w:ind w:left="0" w:leftChars="0" w:firstLine="0" w:firstLineChars="0"/>
        <w:outlineLvl w:val="9"/>
        <w:rPr>
          <w:rFonts w:hint="eastAsia" w:ascii="宋体" w:hAnsi="宋体" w:eastAsia="宋体" w:cs="宋体"/>
          <w:highlight w:val="none"/>
        </w:rPr>
      </w:pPr>
    </w:p>
    <w:p w14:paraId="1C8E4A7D">
      <w:pPr>
        <w:rPr>
          <w:rFonts w:hint="eastAsia" w:ascii="宋体" w:hAnsi="宋体" w:eastAsia="宋体" w:cs="宋体"/>
          <w:highlight w:val="none"/>
        </w:rPr>
      </w:pPr>
    </w:p>
    <w:p w14:paraId="4B3048C0">
      <w:pPr>
        <w:pStyle w:val="6"/>
        <w:rPr>
          <w:rFonts w:hint="eastAsia"/>
          <w:highlight w:val="none"/>
        </w:rPr>
      </w:pPr>
    </w:p>
    <w:p w14:paraId="27E713E6">
      <w:pPr>
        <w:bidi w:val="0"/>
        <w:jc w:val="center"/>
        <w:rPr>
          <w:rFonts w:hint="default"/>
          <w:b/>
          <w:bCs/>
          <w:sz w:val="72"/>
          <w:szCs w:val="72"/>
          <w:highlight w:val="none"/>
          <w:lang w:val="en-US" w:eastAsia="zh-CN"/>
        </w:rPr>
      </w:pPr>
      <w:r>
        <w:rPr>
          <w:rFonts w:hint="default"/>
          <w:b/>
          <w:bCs/>
          <w:sz w:val="72"/>
          <w:szCs w:val="72"/>
          <w:highlight w:val="none"/>
          <w:lang w:val="en-US" w:eastAsia="zh-CN"/>
        </w:rPr>
        <w:t>2024年度梅河口市中心医院</w:t>
      </w:r>
    </w:p>
    <w:p w14:paraId="38763919">
      <w:pPr>
        <w:bidi w:val="0"/>
        <w:jc w:val="center"/>
        <w:rPr>
          <w:rFonts w:hint="default"/>
          <w:b/>
          <w:bCs/>
          <w:sz w:val="72"/>
          <w:szCs w:val="72"/>
          <w:highlight w:val="none"/>
          <w:lang w:val="en-US" w:eastAsia="zh-CN"/>
        </w:rPr>
      </w:pPr>
      <w:r>
        <w:rPr>
          <w:rFonts w:hint="eastAsia"/>
          <w:b/>
          <w:bCs/>
          <w:sz w:val="72"/>
          <w:szCs w:val="72"/>
          <w:highlight w:val="none"/>
          <w:lang w:val="en-US" w:eastAsia="zh-CN"/>
        </w:rPr>
        <w:t>数据综合服务平台</w:t>
      </w:r>
      <w:r>
        <w:rPr>
          <w:rFonts w:hint="default"/>
          <w:b/>
          <w:bCs/>
          <w:sz w:val="72"/>
          <w:szCs w:val="72"/>
          <w:highlight w:val="none"/>
          <w:lang w:val="en-US" w:eastAsia="zh-CN"/>
        </w:rPr>
        <w:t>采购项目</w:t>
      </w:r>
    </w:p>
    <w:p w14:paraId="5497A565">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 xml:space="preserve">                   </w:t>
      </w:r>
    </w:p>
    <w:p w14:paraId="2D55C895">
      <w:pPr>
        <w:pStyle w:val="23"/>
        <w:outlineLvl w:val="9"/>
        <w:rPr>
          <w:rFonts w:hint="eastAsia" w:ascii="宋体" w:hAnsi="宋体" w:eastAsia="宋体" w:cs="宋体"/>
          <w:highlight w:val="none"/>
          <w:lang w:val="en-US" w:eastAsia="zh-CN"/>
        </w:rPr>
      </w:pPr>
    </w:p>
    <w:p w14:paraId="50761CF6">
      <w:pPr>
        <w:ind w:left="4337" w:hanging="3132" w:hangingChars="600"/>
        <w:jc w:val="center"/>
        <w:outlineLvl w:val="9"/>
        <w:rPr>
          <w:rFonts w:hint="eastAsia" w:ascii="宋体" w:hAnsi="宋体" w:eastAsia="宋体" w:cs="宋体"/>
          <w:b/>
          <w:bCs/>
          <w:sz w:val="52"/>
          <w:szCs w:val="52"/>
          <w:highlight w:val="none"/>
        </w:rPr>
      </w:pPr>
    </w:p>
    <w:p w14:paraId="560EE9F6">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55B55CEE">
      <w:pPr>
        <w:pStyle w:val="40"/>
        <w:spacing w:line="400" w:lineRule="exact"/>
        <w:ind w:firstLine="482"/>
        <w:outlineLvl w:val="9"/>
        <w:rPr>
          <w:rFonts w:hint="eastAsia" w:ascii="宋体" w:hAnsi="宋体" w:eastAsia="宋体" w:cs="宋体"/>
          <w:b/>
          <w:sz w:val="24"/>
          <w:highlight w:val="none"/>
        </w:rPr>
      </w:pPr>
    </w:p>
    <w:p w14:paraId="35C65B19">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default" w:ascii="宋体" w:hAnsi="宋体" w:eastAsia="宋体" w:cs="宋体"/>
          <w:b/>
          <w:sz w:val="32"/>
          <w:highlight w:val="none"/>
          <w:lang w:val="en-US" w:eastAsia="zh-CN"/>
        </w:rPr>
        <w:t>BY-HWZB-20241218</w:t>
      </w:r>
    </w:p>
    <w:p w14:paraId="51FF4E8F">
      <w:pPr>
        <w:pStyle w:val="40"/>
        <w:spacing w:line="400" w:lineRule="exact"/>
        <w:ind w:firstLine="640"/>
        <w:outlineLvl w:val="9"/>
        <w:rPr>
          <w:rFonts w:hint="eastAsia" w:ascii="宋体" w:hAnsi="宋体" w:eastAsia="宋体" w:cs="宋体"/>
          <w:sz w:val="32"/>
          <w:highlight w:val="none"/>
        </w:rPr>
      </w:pPr>
    </w:p>
    <w:p w14:paraId="21708814">
      <w:pPr>
        <w:pStyle w:val="40"/>
        <w:spacing w:line="400" w:lineRule="exact"/>
        <w:ind w:firstLine="0" w:firstLineChars="0"/>
        <w:outlineLvl w:val="9"/>
        <w:rPr>
          <w:rFonts w:hint="eastAsia" w:ascii="宋体" w:hAnsi="宋体" w:eastAsia="宋体" w:cs="宋体"/>
          <w:sz w:val="32"/>
          <w:highlight w:val="none"/>
        </w:rPr>
      </w:pPr>
    </w:p>
    <w:p w14:paraId="6C257C4D">
      <w:pPr>
        <w:pStyle w:val="40"/>
        <w:spacing w:line="400" w:lineRule="exact"/>
        <w:ind w:firstLine="0" w:firstLineChars="0"/>
        <w:outlineLvl w:val="9"/>
        <w:rPr>
          <w:rFonts w:hint="eastAsia" w:ascii="宋体" w:hAnsi="宋体" w:eastAsia="宋体" w:cs="宋体"/>
          <w:sz w:val="32"/>
          <w:highlight w:val="none"/>
        </w:rPr>
      </w:pPr>
    </w:p>
    <w:p w14:paraId="1D9F7CCC">
      <w:pPr>
        <w:pStyle w:val="40"/>
        <w:spacing w:line="400" w:lineRule="exact"/>
        <w:ind w:firstLine="0" w:firstLineChars="0"/>
        <w:outlineLvl w:val="9"/>
        <w:rPr>
          <w:rFonts w:hint="eastAsia" w:ascii="宋体" w:hAnsi="宋体" w:eastAsia="宋体" w:cs="宋体"/>
          <w:sz w:val="32"/>
          <w:highlight w:val="none"/>
        </w:rPr>
      </w:pPr>
    </w:p>
    <w:p w14:paraId="4C165E74">
      <w:pPr>
        <w:pStyle w:val="40"/>
        <w:spacing w:line="400" w:lineRule="exact"/>
        <w:ind w:firstLine="0" w:firstLineChars="0"/>
        <w:outlineLvl w:val="9"/>
        <w:rPr>
          <w:rFonts w:hint="eastAsia" w:ascii="宋体" w:hAnsi="宋体" w:eastAsia="宋体" w:cs="宋体"/>
          <w:sz w:val="32"/>
          <w:highlight w:val="none"/>
        </w:rPr>
      </w:pPr>
    </w:p>
    <w:p w14:paraId="310899B4">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21FF100C">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00175506">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14:paraId="3EF892D7">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吉林省博扬招标项目管理有限公司</w:t>
      </w:r>
    </w:p>
    <w:p w14:paraId="76DB02FE">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十二</w:t>
      </w:r>
      <w:r>
        <w:rPr>
          <w:rFonts w:hint="eastAsia" w:ascii="宋体" w:hAnsi="宋体" w:eastAsia="宋体" w:cs="宋体"/>
          <w:b/>
          <w:sz w:val="30"/>
          <w:szCs w:val="30"/>
          <w:highlight w:val="none"/>
        </w:rPr>
        <w:t>月</w:t>
      </w:r>
    </w:p>
    <w:p w14:paraId="37ABE56A">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22597939">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392D322A">
          <w:pPr>
            <w:pStyle w:val="16"/>
            <w:tabs>
              <w:tab w:val="right" w:leader="dot" w:pos="9638"/>
            </w:tabs>
            <w:rPr>
              <w:sz w:val="28"/>
              <w:szCs w:val="32"/>
              <w:highlight w:val="none"/>
            </w:rPr>
          </w:pPr>
          <w:r>
            <w:rPr>
              <w:rFonts w:hint="eastAsia" w:ascii="宋体" w:hAnsi="宋体" w:eastAsia="宋体" w:cs="宋体"/>
              <w:sz w:val="160"/>
              <w:szCs w:val="160"/>
              <w:highlight w:val="none"/>
            </w:rPr>
            <w:fldChar w:fldCharType="begin"/>
          </w:r>
          <w:r>
            <w:rPr>
              <w:rFonts w:hint="eastAsia" w:ascii="宋体" w:hAnsi="宋体" w:eastAsia="宋体" w:cs="宋体"/>
              <w:sz w:val="160"/>
              <w:szCs w:val="160"/>
              <w:highlight w:val="none"/>
            </w:rPr>
            <w:instrText xml:space="preserve">TOC \o "1-1" \h \u </w:instrText>
          </w:r>
          <w:r>
            <w:rPr>
              <w:rFonts w:hint="eastAsia" w:ascii="宋体" w:hAnsi="宋体" w:eastAsia="宋体" w:cs="宋体"/>
              <w:sz w:val="160"/>
              <w:szCs w:val="160"/>
              <w:highlight w:val="none"/>
            </w:rPr>
            <w:fldChar w:fldCharType="separate"/>
          </w: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_Toc20074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rPr>
            <w:t xml:space="preserve">第一章 </w:t>
          </w:r>
          <w:r>
            <w:rPr>
              <w:rFonts w:hint="eastAsia" w:ascii="宋体" w:hAnsi="宋体" w:eastAsia="宋体" w:cs="宋体"/>
              <w:sz w:val="28"/>
              <w:szCs w:val="40"/>
              <w:highlight w:val="none"/>
              <w:lang w:val="en-US" w:eastAsia="zh-CN"/>
            </w:rPr>
            <w:t xml:space="preserve"> </w:t>
          </w:r>
          <w:r>
            <w:rPr>
              <w:rFonts w:hint="eastAsia" w:ascii="宋体" w:hAnsi="宋体" w:cs="宋体"/>
              <w:sz w:val="28"/>
              <w:szCs w:val="40"/>
              <w:highlight w:val="none"/>
              <w:lang w:val="en-US" w:eastAsia="zh-CN"/>
            </w:rPr>
            <w:t>招标</w:t>
          </w:r>
          <w:r>
            <w:rPr>
              <w:rFonts w:hint="eastAsia" w:ascii="宋体" w:hAnsi="宋体" w:eastAsia="宋体" w:cs="宋体"/>
              <w:sz w:val="28"/>
              <w:szCs w:val="40"/>
              <w:highlight w:val="none"/>
              <w:lang w:val="zh-CN"/>
            </w:rPr>
            <w:t>公告</w:t>
          </w:r>
          <w:r>
            <w:rPr>
              <w:sz w:val="28"/>
              <w:szCs w:val="32"/>
              <w:highlight w:val="none"/>
            </w:rPr>
            <w:tab/>
          </w:r>
          <w:r>
            <w:rPr>
              <w:sz w:val="28"/>
              <w:szCs w:val="32"/>
              <w:highlight w:val="none"/>
            </w:rPr>
            <w:fldChar w:fldCharType="begin"/>
          </w:r>
          <w:r>
            <w:rPr>
              <w:sz w:val="28"/>
              <w:szCs w:val="32"/>
              <w:highlight w:val="none"/>
            </w:rPr>
            <w:instrText xml:space="preserve"> PAGEREF _Toc20074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宋体" w:hAnsi="宋体" w:eastAsia="宋体" w:cs="宋体"/>
              <w:sz w:val="28"/>
              <w:szCs w:val="160"/>
              <w:highlight w:val="none"/>
            </w:rPr>
            <w:fldChar w:fldCharType="end"/>
          </w:r>
        </w:p>
        <w:p w14:paraId="70364B5A">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_Toc10742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en-US" w:eastAsia="zh-CN"/>
            </w:rPr>
            <w:t>第二章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en-US" w:eastAsia="zh-CN"/>
            </w:rPr>
            <w:t xml:space="preserve"> 供应商须知</w:t>
          </w:r>
          <w:r>
            <w:rPr>
              <w:sz w:val="28"/>
              <w:szCs w:val="32"/>
              <w:highlight w:val="none"/>
            </w:rPr>
            <w:tab/>
          </w:r>
          <w:r>
            <w:rPr>
              <w:sz w:val="28"/>
              <w:szCs w:val="32"/>
              <w:highlight w:val="none"/>
            </w:rPr>
            <w:fldChar w:fldCharType="begin"/>
          </w:r>
          <w:r>
            <w:rPr>
              <w:sz w:val="28"/>
              <w:szCs w:val="32"/>
              <w:highlight w:val="none"/>
            </w:rPr>
            <w:instrText xml:space="preserve"> PAGEREF _Toc10742 \h </w:instrText>
          </w:r>
          <w:r>
            <w:rPr>
              <w:sz w:val="28"/>
              <w:szCs w:val="32"/>
              <w:highlight w:val="none"/>
            </w:rPr>
            <w:fldChar w:fldCharType="separate"/>
          </w:r>
          <w:r>
            <w:rPr>
              <w:sz w:val="28"/>
              <w:szCs w:val="32"/>
              <w:highlight w:val="none"/>
            </w:rPr>
            <w:t>4</w:t>
          </w:r>
          <w:r>
            <w:rPr>
              <w:sz w:val="28"/>
              <w:szCs w:val="32"/>
              <w:highlight w:val="none"/>
            </w:rPr>
            <w:fldChar w:fldCharType="end"/>
          </w:r>
          <w:r>
            <w:rPr>
              <w:rFonts w:hint="eastAsia" w:ascii="宋体" w:hAnsi="宋体" w:eastAsia="宋体" w:cs="宋体"/>
              <w:sz w:val="28"/>
              <w:szCs w:val="160"/>
              <w:highlight w:val="none"/>
            </w:rPr>
            <w:fldChar w:fldCharType="end"/>
          </w:r>
        </w:p>
        <w:p w14:paraId="09E398E3">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_Toc17892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第三章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zh-CN" w:eastAsia="zh-CN"/>
            </w:rPr>
            <w:t>评标办法</w:t>
          </w:r>
          <w:r>
            <w:rPr>
              <w:sz w:val="28"/>
              <w:szCs w:val="32"/>
              <w:highlight w:val="none"/>
            </w:rPr>
            <w:tab/>
          </w:r>
          <w:r>
            <w:rPr>
              <w:sz w:val="28"/>
              <w:szCs w:val="32"/>
              <w:highlight w:val="none"/>
            </w:rPr>
            <w:fldChar w:fldCharType="begin"/>
          </w:r>
          <w:r>
            <w:rPr>
              <w:sz w:val="28"/>
              <w:szCs w:val="32"/>
              <w:highlight w:val="none"/>
            </w:rPr>
            <w:instrText xml:space="preserve"> PAGEREF _Toc17892 \h </w:instrText>
          </w:r>
          <w:r>
            <w:rPr>
              <w:sz w:val="28"/>
              <w:szCs w:val="32"/>
              <w:highlight w:val="none"/>
            </w:rPr>
            <w:fldChar w:fldCharType="separate"/>
          </w:r>
          <w:r>
            <w:rPr>
              <w:sz w:val="28"/>
              <w:szCs w:val="32"/>
              <w:highlight w:val="none"/>
            </w:rPr>
            <w:t>15</w:t>
          </w:r>
          <w:r>
            <w:rPr>
              <w:sz w:val="28"/>
              <w:szCs w:val="32"/>
              <w:highlight w:val="none"/>
            </w:rPr>
            <w:fldChar w:fldCharType="end"/>
          </w:r>
          <w:r>
            <w:rPr>
              <w:rFonts w:hint="eastAsia" w:ascii="宋体" w:hAnsi="宋体" w:eastAsia="宋体" w:cs="宋体"/>
              <w:sz w:val="28"/>
              <w:szCs w:val="160"/>
              <w:highlight w:val="none"/>
            </w:rPr>
            <w:fldChar w:fldCharType="end"/>
          </w:r>
        </w:p>
        <w:p w14:paraId="613641DF">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_Toc31141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第四章 合同条款及格式</w:t>
          </w:r>
          <w:r>
            <w:rPr>
              <w:sz w:val="28"/>
              <w:szCs w:val="32"/>
              <w:highlight w:val="none"/>
            </w:rPr>
            <w:tab/>
          </w:r>
          <w:r>
            <w:rPr>
              <w:sz w:val="28"/>
              <w:szCs w:val="32"/>
              <w:highlight w:val="none"/>
            </w:rPr>
            <w:fldChar w:fldCharType="begin"/>
          </w:r>
          <w:r>
            <w:rPr>
              <w:sz w:val="28"/>
              <w:szCs w:val="32"/>
              <w:highlight w:val="none"/>
            </w:rPr>
            <w:instrText xml:space="preserve"> PAGEREF _Toc31141 \h </w:instrText>
          </w:r>
          <w:r>
            <w:rPr>
              <w:sz w:val="28"/>
              <w:szCs w:val="32"/>
              <w:highlight w:val="none"/>
            </w:rPr>
            <w:fldChar w:fldCharType="separate"/>
          </w:r>
          <w:r>
            <w:rPr>
              <w:sz w:val="28"/>
              <w:szCs w:val="32"/>
              <w:highlight w:val="none"/>
            </w:rPr>
            <w:t>22</w:t>
          </w:r>
          <w:r>
            <w:rPr>
              <w:sz w:val="28"/>
              <w:szCs w:val="32"/>
              <w:highlight w:val="none"/>
            </w:rPr>
            <w:fldChar w:fldCharType="end"/>
          </w:r>
          <w:r>
            <w:rPr>
              <w:rFonts w:hint="eastAsia" w:ascii="宋体" w:hAnsi="宋体" w:eastAsia="宋体" w:cs="宋体"/>
              <w:sz w:val="28"/>
              <w:szCs w:val="160"/>
              <w:highlight w:val="none"/>
            </w:rPr>
            <w:fldChar w:fldCharType="end"/>
          </w:r>
        </w:p>
        <w:p w14:paraId="099EE0F3">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_Toc30149 </w:instrText>
          </w:r>
          <w:r>
            <w:rPr>
              <w:rFonts w:hint="eastAsia" w:ascii="宋体" w:hAnsi="宋体" w:eastAsia="宋体" w:cs="宋体"/>
              <w:sz w:val="28"/>
              <w:szCs w:val="160"/>
              <w:highlight w:val="none"/>
            </w:rPr>
            <w:fldChar w:fldCharType="separate"/>
          </w:r>
          <w:r>
            <w:rPr>
              <w:rFonts w:hint="eastAsia"/>
              <w:sz w:val="28"/>
              <w:szCs w:val="32"/>
              <w:highlight w:val="none"/>
              <w:lang w:val="en-US" w:eastAsia="zh-CN"/>
            </w:rPr>
            <w:t>第五章 政府采购合同书</w:t>
          </w:r>
          <w:r>
            <w:rPr>
              <w:sz w:val="28"/>
              <w:szCs w:val="32"/>
              <w:highlight w:val="none"/>
            </w:rPr>
            <w:tab/>
          </w:r>
          <w:r>
            <w:rPr>
              <w:sz w:val="28"/>
              <w:szCs w:val="32"/>
              <w:highlight w:val="none"/>
            </w:rPr>
            <w:fldChar w:fldCharType="begin"/>
          </w:r>
          <w:r>
            <w:rPr>
              <w:sz w:val="28"/>
              <w:szCs w:val="32"/>
              <w:highlight w:val="none"/>
            </w:rPr>
            <w:instrText xml:space="preserve"> PAGEREF _Toc30149 \h </w:instrText>
          </w:r>
          <w:r>
            <w:rPr>
              <w:sz w:val="28"/>
              <w:szCs w:val="32"/>
              <w:highlight w:val="none"/>
            </w:rPr>
            <w:fldChar w:fldCharType="separate"/>
          </w:r>
          <w:r>
            <w:rPr>
              <w:sz w:val="28"/>
              <w:szCs w:val="32"/>
              <w:highlight w:val="none"/>
            </w:rPr>
            <w:t>28</w:t>
          </w:r>
          <w:r>
            <w:rPr>
              <w:sz w:val="28"/>
              <w:szCs w:val="32"/>
              <w:highlight w:val="none"/>
            </w:rPr>
            <w:fldChar w:fldCharType="end"/>
          </w:r>
          <w:r>
            <w:rPr>
              <w:rFonts w:hint="eastAsia" w:ascii="宋体" w:hAnsi="宋体" w:eastAsia="宋体" w:cs="宋体"/>
              <w:sz w:val="28"/>
              <w:szCs w:val="160"/>
              <w:highlight w:val="none"/>
            </w:rPr>
            <w:fldChar w:fldCharType="end"/>
          </w:r>
        </w:p>
        <w:p w14:paraId="42FB12A2">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_Toc3824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六</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采购</w:t>
          </w:r>
          <w:r>
            <w:rPr>
              <w:rFonts w:hint="eastAsia" w:ascii="宋体" w:hAnsi="宋体" w:eastAsia="宋体" w:cs="宋体"/>
              <w:sz w:val="28"/>
              <w:szCs w:val="40"/>
              <w:highlight w:val="none"/>
              <w:lang w:val="en-US" w:eastAsia="zh-CN"/>
            </w:rPr>
            <w:t>需求</w:t>
          </w:r>
          <w:r>
            <w:rPr>
              <w:sz w:val="28"/>
              <w:szCs w:val="32"/>
              <w:highlight w:val="none"/>
            </w:rPr>
            <w:tab/>
          </w:r>
          <w:r>
            <w:rPr>
              <w:sz w:val="28"/>
              <w:szCs w:val="32"/>
              <w:highlight w:val="none"/>
            </w:rPr>
            <w:fldChar w:fldCharType="begin"/>
          </w:r>
          <w:r>
            <w:rPr>
              <w:sz w:val="28"/>
              <w:szCs w:val="32"/>
              <w:highlight w:val="none"/>
            </w:rPr>
            <w:instrText xml:space="preserve"> PAGEREF _Toc3824 \h </w:instrText>
          </w:r>
          <w:r>
            <w:rPr>
              <w:sz w:val="28"/>
              <w:szCs w:val="32"/>
              <w:highlight w:val="none"/>
            </w:rPr>
            <w:fldChar w:fldCharType="separate"/>
          </w:r>
          <w:r>
            <w:rPr>
              <w:sz w:val="28"/>
              <w:szCs w:val="32"/>
              <w:highlight w:val="none"/>
            </w:rPr>
            <w:t>30</w:t>
          </w:r>
          <w:r>
            <w:rPr>
              <w:sz w:val="28"/>
              <w:szCs w:val="32"/>
              <w:highlight w:val="none"/>
            </w:rPr>
            <w:fldChar w:fldCharType="end"/>
          </w:r>
          <w:r>
            <w:rPr>
              <w:rFonts w:hint="eastAsia" w:ascii="宋体" w:hAnsi="宋体" w:eastAsia="宋体" w:cs="宋体"/>
              <w:sz w:val="28"/>
              <w:szCs w:val="160"/>
              <w:highlight w:val="none"/>
            </w:rPr>
            <w:fldChar w:fldCharType="end"/>
          </w:r>
        </w:p>
        <w:p w14:paraId="0CDE6D68">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_Toc24506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七</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投标</w:t>
          </w:r>
          <w:r>
            <w:rPr>
              <w:rFonts w:hint="eastAsia" w:ascii="宋体" w:hAnsi="宋体" w:eastAsia="宋体" w:cs="宋体"/>
              <w:sz w:val="28"/>
              <w:szCs w:val="40"/>
              <w:highlight w:val="none"/>
              <w:lang w:val="zh-CN" w:eastAsia="zh-CN"/>
            </w:rPr>
            <w:t>文件格式</w:t>
          </w:r>
          <w:r>
            <w:rPr>
              <w:sz w:val="28"/>
              <w:szCs w:val="32"/>
              <w:highlight w:val="none"/>
            </w:rPr>
            <w:tab/>
          </w:r>
          <w:r>
            <w:rPr>
              <w:sz w:val="28"/>
              <w:szCs w:val="32"/>
              <w:highlight w:val="none"/>
            </w:rPr>
            <w:fldChar w:fldCharType="begin"/>
          </w:r>
          <w:r>
            <w:rPr>
              <w:sz w:val="28"/>
              <w:szCs w:val="32"/>
              <w:highlight w:val="none"/>
            </w:rPr>
            <w:instrText xml:space="preserve"> PAGEREF _Toc24506 \h </w:instrText>
          </w:r>
          <w:r>
            <w:rPr>
              <w:sz w:val="28"/>
              <w:szCs w:val="32"/>
              <w:highlight w:val="none"/>
            </w:rPr>
            <w:fldChar w:fldCharType="separate"/>
          </w:r>
          <w:r>
            <w:rPr>
              <w:sz w:val="28"/>
              <w:szCs w:val="32"/>
              <w:highlight w:val="none"/>
            </w:rPr>
            <w:t>35</w:t>
          </w:r>
          <w:r>
            <w:rPr>
              <w:sz w:val="28"/>
              <w:szCs w:val="32"/>
              <w:highlight w:val="none"/>
            </w:rPr>
            <w:fldChar w:fldCharType="end"/>
          </w:r>
          <w:r>
            <w:rPr>
              <w:rFonts w:hint="eastAsia" w:ascii="宋体" w:hAnsi="宋体" w:eastAsia="宋体" w:cs="宋体"/>
              <w:sz w:val="28"/>
              <w:szCs w:val="160"/>
              <w:highlight w:val="none"/>
            </w:rPr>
            <w:fldChar w:fldCharType="end"/>
          </w:r>
        </w:p>
        <w:p w14:paraId="0D2D4887">
          <w:pPr>
            <w:spacing w:line="360" w:lineRule="auto"/>
            <w:outlineLvl w:val="9"/>
            <w:rPr>
              <w:rFonts w:hint="eastAsia" w:ascii="宋体" w:hAnsi="宋体" w:eastAsia="宋体" w:cs="宋体"/>
              <w:highlight w:val="none"/>
            </w:rPr>
          </w:pPr>
          <w:r>
            <w:rPr>
              <w:rFonts w:hint="eastAsia" w:ascii="宋体" w:hAnsi="宋体" w:eastAsia="宋体" w:cs="宋体"/>
              <w:sz w:val="28"/>
              <w:szCs w:val="160"/>
              <w:highlight w:val="none"/>
            </w:rPr>
            <w:fldChar w:fldCharType="end"/>
          </w:r>
        </w:p>
      </w:sdtContent>
    </w:sdt>
    <w:p w14:paraId="38CF920E">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694D8F2D">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060A945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r>
        <w:rPr>
          <w:rFonts w:hint="eastAsia" w:ascii="宋体" w:hAnsi="宋体" w:eastAsia="宋体" w:cs="宋体"/>
          <w:b/>
          <w:sz w:val="32"/>
          <w:szCs w:val="28"/>
          <w:highlight w:val="none"/>
        </w:rPr>
        <w:t xml:space="preserve">第一章 </w:t>
      </w:r>
      <w:bookmarkEnd w:id="0"/>
      <w:r>
        <w:rPr>
          <w:rFonts w:hint="eastAsia" w:ascii="宋体" w:hAnsi="宋体" w:eastAsia="宋体" w:cs="宋体"/>
          <w:b/>
          <w:sz w:val="32"/>
          <w:szCs w:val="28"/>
          <w:highlight w:val="none"/>
          <w:lang w:val="en-US" w:eastAsia="zh-CN"/>
        </w:rPr>
        <w:t xml:space="preserve"> </w:t>
      </w:r>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p>
    <w:p w14:paraId="4CAD535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2A4DC36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2024年度梅河口市中心医院数据综合服务平台采购项目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color w:val="auto"/>
          <w:spacing w:val="-20"/>
          <w:sz w:val="21"/>
          <w:szCs w:val="21"/>
          <w:highlight w:val="none"/>
          <w:lang w:eastAsia="zh-CN"/>
        </w:rPr>
        <w:t>http:// www.zcygov.cn</w:t>
      </w:r>
      <w:r>
        <w:rPr>
          <w:rFonts w:hint="eastAsia" w:ascii="宋体" w:hAnsi="宋体" w:eastAsia="宋体" w:cs="宋体"/>
          <w:color w:val="auto"/>
          <w:sz w:val="21"/>
          <w:szCs w:val="21"/>
          <w:highlight w:val="none"/>
          <w:lang w:eastAsia="zh-CN"/>
        </w:rPr>
        <w:t>）网上注册（</w:t>
      </w:r>
      <w:r>
        <w:rPr>
          <w:rFonts w:hint="eastAsia" w:ascii="宋体" w:hAnsi="宋体" w:eastAsia="宋体" w:cs="宋体"/>
          <w:color w:val="auto"/>
          <w:spacing w:val="-20"/>
          <w:sz w:val="21"/>
          <w:szCs w:val="21"/>
          <w:highlight w:val="none"/>
          <w:lang w:eastAsia="zh-CN"/>
        </w:rPr>
        <w:t>https://middle.zcygov.cn/v-settle-front/regist</w:t>
      </w:r>
      <w:r>
        <w:rPr>
          <w:rFonts w:hint="eastAsia" w:ascii="宋体" w:hAnsi="宋体" w:eastAsia="宋体" w:cs="宋体"/>
          <w:spacing w:val="-20"/>
          <w:sz w:val="21"/>
          <w:szCs w:val="21"/>
          <w:highlight w:val="none"/>
          <w:lang w:eastAsia="zh-CN"/>
        </w:rPr>
        <w: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bookmarkStart w:id="3"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3"/>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6E189A6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02"/>
      <w:bookmarkStart w:id="5" w:name="_Toc28359079"/>
      <w:r>
        <w:rPr>
          <w:rFonts w:hint="eastAsia" w:ascii="宋体" w:hAnsi="宋体" w:eastAsia="宋体" w:cs="宋体"/>
          <w:b/>
          <w:bCs/>
          <w:sz w:val="21"/>
          <w:szCs w:val="21"/>
          <w:highlight w:val="none"/>
        </w:rPr>
        <w:t>一、项目基本情况</w:t>
      </w:r>
      <w:bookmarkEnd w:id="4"/>
      <w:bookmarkEnd w:id="5"/>
    </w:p>
    <w:p w14:paraId="2A26DB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eastAsia="宋体" w:cs="宋体"/>
          <w:sz w:val="21"/>
          <w:szCs w:val="21"/>
          <w:highlight w:val="none"/>
          <w:lang w:val="en-US" w:eastAsia="zh-CN"/>
        </w:rPr>
        <w:t>BY-HWZB-20241218</w:t>
      </w:r>
      <w:r>
        <w:rPr>
          <w:rFonts w:hint="eastAsia" w:ascii="宋体" w:hAnsi="宋体" w:eastAsia="宋体" w:cs="宋体"/>
          <w:sz w:val="21"/>
          <w:szCs w:val="21"/>
          <w:highlight w:val="none"/>
          <w:lang w:eastAsia="zh-CN"/>
        </w:rPr>
        <w:t>；</w:t>
      </w:r>
    </w:p>
    <w:p w14:paraId="5558EA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2024年度梅河口市中心医院数据综合服务平台采购项目</w:t>
      </w:r>
      <w:r>
        <w:rPr>
          <w:rFonts w:hint="eastAsia" w:ascii="宋体" w:hAnsi="宋体" w:eastAsia="宋体" w:cs="宋体"/>
          <w:sz w:val="21"/>
          <w:szCs w:val="21"/>
          <w:highlight w:val="none"/>
        </w:rPr>
        <w:t>；</w:t>
      </w:r>
    </w:p>
    <w:p w14:paraId="09D5F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0E2C60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700万元</w:t>
      </w:r>
      <w:r>
        <w:rPr>
          <w:rFonts w:hint="eastAsia" w:ascii="宋体" w:hAnsi="宋体" w:eastAsia="宋体" w:cs="宋体"/>
          <w:sz w:val="21"/>
          <w:szCs w:val="21"/>
          <w:highlight w:val="none"/>
        </w:rPr>
        <w:t>；</w:t>
      </w:r>
    </w:p>
    <w:p w14:paraId="17C83A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700万元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69E1C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数据综合服务平台（详见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r>
        <w:rPr>
          <w:rFonts w:hint="eastAsia" w:ascii="宋体" w:hAnsi="宋体" w:eastAsia="宋体" w:cs="宋体"/>
          <w:sz w:val="21"/>
          <w:szCs w:val="21"/>
          <w:highlight w:val="none"/>
          <w:lang w:val="en-US" w:eastAsia="zh-CN"/>
        </w:rPr>
        <w:t>；</w:t>
      </w:r>
    </w:p>
    <w:p w14:paraId="40A0A5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yellow"/>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rPr>
        <w:t>；</w:t>
      </w:r>
    </w:p>
    <w:p w14:paraId="61C27E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5C62D6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48BF2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2DC1966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08"/>
      <w:bookmarkStart w:id="7" w:name="_Toc28359085"/>
      <w:r>
        <w:rPr>
          <w:rFonts w:hint="eastAsia" w:ascii="宋体" w:hAnsi="宋体" w:eastAsia="宋体" w:cs="宋体"/>
          <w:b/>
          <w:bCs/>
          <w:sz w:val="21"/>
          <w:szCs w:val="21"/>
          <w:highlight w:val="none"/>
          <w:lang w:val="en-US" w:eastAsia="zh-CN"/>
        </w:rPr>
        <w:t>二、申请人的资格要求</w:t>
      </w:r>
    </w:p>
    <w:p w14:paraId="098935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43DCF610">
      <w:pPr>
        <w:pStyle w:val="20"/>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本项目为非专门面向中小企业项目</w:t>
      </w:r>
      <w:r>
        <w:rPr>
          <w:rFonts w:hint="eastAsia" w:ascii="宋体" w:hAnsi="宋体" w:eastAsia="宋体" w:cs="宋体"/>
          <w:sz w:val="21"/>
          <w:szCs w:val="21"/>
          <w:highlight w:val="none"/>
          <w:lang w:val="en-US" w:eastAsia="zh-CN"/>
        </w:rPr>
        <w:t>，所属行业为软件和信息技术服务业。</w:t>
      </w:r>
    </w:p>
    <w:p w14:paraId="18F103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009FF0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42A376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16CDF2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6DE3C3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2C512E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4CB92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16972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A7A06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2CD22AC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650F68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（每天08时30分至16时00分止）</w:t>
      </w:r>
    </w:p>
    <w:p w14:paraId="3BB6B6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-找到本项目-点击“申请获取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”），电子响应文件制作需要基于“政采云”平台获取的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58BCA7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55DA8F4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0" w:name="_Toc28359005"/>
      <w:bookmarkStart w:id="11" w:name="_Toc28359082"/>
      <w:r>
        <w:rPr>
          <w:rFonts w:hint="eastAsia" w:ascii="宋体" w:hAnsi="宋体" w:eastAsia="宋体" w:cs="宋体"/>
          <w:b/>
          <w:bCs/>
          <w:sz w:val="21"/>
          <w:szCs w:val="21"/>
          <w:highlight w:val="none"/>
          <w:lang w:val="en-US" w:eastAsia="zh-CN"/>
        </w:rPr>
        <w:t>四、</w:t>
      </w:r>
      <w:bookmarkEnd w:id="10"/>
      <w:bookmarkEnd w:id="11"/>
      <w:r>
        <w:rPr>
          <w:rFonts w:hint="eastAsia" w:ascii="宋体" w:hAnsi="宋体" w:eastAsia="宋体" w:cs="宋体"/>
          <w:b/>
          <w:bCs/>
          <w:sz w:val="21"/>
          <w:szCs w:val="21"/>
          <w:highlight w:val="none"/>
          <w:lang w:val="en-US" w:eastAsia="zh-CN"/>
        </w:rPr>
        <w:t>开标时间和地点</w:t>
      </w:r>
    </w:p>
    <w:p w14:paraId="34031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sz w:val="21"/>
          <w:szCs w:val="21"/>
          <w:highlight w:val="none"/>
          <w:lang w:val="en-US" w:eastAsia="zh-CN"/>
        </w:rPr>
        <w:t>（北京时间）</w:t>
      </w:r>
    </w:p>
    <w:p w14:paraId="663965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开标地点：梅河口市公共资源交易中心开标一室</w:t>
      </w:r>
      <w:r>
        <w:rPr>
          <w:rFonts w:hint="eastAsia" w:ascii="宋体" w:hAnsi="宋体" w:eastAsia="宋体" w:cs="宋体"/>
          <w:sz w:val="21"/>
          <w:szCs w:val="21"/>
          <w:highlight w:val="none"/>
          <w:lang w:val="zh-CN" w:eastAsia="zh-CN"/>
        </w:rPr>
        <w:t>。</w:t>
      </w:r>
    </w:p>
    <w:p w14:paraId="3BFC95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2" w:name="_Toc28359084"/>
      <w:bookmarkStart w:id="13" w:name="_Toc28359007"/>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p w14:paraId="7E95A1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4"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4"/>
    <w:p w14:paraId="6BD5E3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76F95C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69130D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6E5606C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2"/>
      <w:bookmarkEnd w:id="13"/>
      <w:r>
        <w:rPr>
          <w:rFonts w:hint="eastAsia" w:ascii="宋体" w:hAnsi="宋体" w:eastAsia="宋体" w:cs="宋体"/>
          <w:b/>
          <w:bCs/>
          <w:sz w:val="21"/>
          <w:szCs w:val="21"/>
          <w:highlight w:val="none"/>
          <w:lang w:val="en-US" w:eastAsia="zh-CN"/>
        </w:rPr>
        <w:t>公告期限</w:t>
      </w:r>
    </w:p>
    <w:p w14:paraId="32B3E2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017692C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val="en-US" w:eastAsia="zh-CN"/>
        </w:rPr>
        <w:t>公告发布媒介：吉林省政府采购云平台（同步推送到吉林省政府采购网）、中国政府采购网、中国招标投标公共服务平台。</w:t>
      </w:r>
    </w:p>
    <w:p w14:paraId="6638A4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七、对本次招标提出询问，请按以下方式联系。</w:t>
      </w:r>
      <w:bookmarkEnd w:id="6"/>
      <w:bookmarkEnd w:id="7"/>
    </w:p>
    <w:p w14:paraId="201BD9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691B4B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名称：梅河口市中心医院</w:t>
      </w:r>
    </w:p>
    <w:p w14:paraId="6B9741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地址：梅河口市爱民大街866号</w:t>
      </w:r>
    </w:p>
    <w:p w14:paraId="711602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联系人：盛德成</w:t>
      </w:r>
    </w:p>
    <w:p w14:paraId="4BF62C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电话：0435-4578769</w:t>
      </w:r>
    </w:p>
    <w:p w14:paraId="55EC3F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19DF83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吉林省博扬招标项目管理有限公司</w:t>
      </w:r>
    </w:p>
    <w:p w14:paraId="67785B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长春市二道区洋浦大街凯利中心十三楼1308室</w:t>
      </w:r>
    </w:p>
    <w:p w14:paraId="0827FB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李冬烨</w:t>
      </w:r>
    </w:p>
    <w:p w14:paraId="38EFCB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14:paraId="10A179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081D6C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14:paraId="0E27BA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348968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李冬烨</w:t>
      </w:r>
    </w:p>
    <w:p w14:paraId="30A450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14:paraId="75CA5490">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786250F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5" w:name="_Toc25349"/>
      <w:bookmarkStart w:id="16" w:name="_Toc10742"/>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 xml:space="preserve"> 供应商须知</w:t>
      </w:r>
      <w:bookmarkEnd w:id="15"/>
      <w:bookmarkEnd w:id="16"/>
    </w:p>
    <w:p w14:paraId="279E4EF1">
      <w:pPr>
        <w:pStyle w:val="40"/>
        <w:spacing w:line="360" w:lineRule="auto"/>
        <w:ind w:firstLine="0" w:firstLineChars="0"/>
        <w:jc w:val="center"/>
        <w:outlineLvl w:val="1"/>
        <w:rPr>
          <w:rFonts w:hint="eastAsia" w:ascii="宋体" w:hAnsi="宋体" w:eastAsia="宋体" w:cs="宋体"/>
          <w:b/>
          <w:sz w:val="28"/>
          <w:szCs w:val="28"/>
          <w:highlight w:val="none"/>
        </w:rPr>
      </w:pPr>
      <w:bookmarkStart w:id="17"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7"/>
    </w:p>
    <w:tbl>
      <w:tblPr>
        <w:tblStyle w:val="24"/>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0F922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7A38651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9531BD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6ADF6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10C8A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09C088E">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7267B0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4C4D1E8">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名称：梅河口市中心医院</w:t>
            </w:r>
          </w:p>
          <w:p w14:paraId="41682E73">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地址：梅河口市爱民大街866号</w:t>
            </w:r>
          </w:p>
          <w:p w14:paraId="5368CD14">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联系人：盛德成</w:t>
            </w:r>
          </w:p>
          <w:p w14:paraId="45D719C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电话：0435-4578769</w:t>
            </w:r>
          </w:p>
        </w:tc>
      </w:tr>
      <w:tr w14:paraId="0B81E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864731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EC13B4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66C8C2A">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吉林省博扬招标项目管理有限公司</w:t>
            </w:r>
          </w:p>
          <w:p w14:paraId="589810C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长春市二道区洋浦大街凯利中心十三楼1308室</w:t>
            </w:r>
          </w:p>
          <w:p w14:paraId="5E0DA62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李冬烨</w:t>
            </w:r>
          </w:p>
          <w:p w14:paraId="534B728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0431-80534709</w:t>
            </w:r>
          </w:p>
        </w:tc>
      </w:tr>
      <w:tr w14:paraId="206A7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D8FBDE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84B3E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C0DA5A9">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2024年度梅河口市中心医院数据综合服务平台采购项目</w:t>
            </w:r>
          </w:p>
          <w:p w14:paraId="5D539F72">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eastAsia="宋体" w:cs="宋体"/>
                <w:sz w:val="21"/>
                <w:szCs w:val="21"/>
                <w:highlight w:val="none"/>
                <w:lang w:val="zh-CN" w:eastAsia="zh-CN"/>
              </w:rPr>
              <w:t>BY-HWZB-20241218</w:t>
            </w:r>
          </w:p>
        </w:tc>
      </w:tr>
      <w:tr w14:paraId="2B30D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BB8CFE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6AF36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7F1F460">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数据综合服务平台（详见招标文件采购需求）</w:t>
            </w:r>
          </w:p>
        </w:tc>
      </w:tr>
      <w:tr w14:paraId="42E24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27E02CE">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35247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CD06468">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0457E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BC884A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72AF27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02397B2">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4555D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D3CE8F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1F9E83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16F9CE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213F9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D1CCB7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5F0D093">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01BDE42">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合同签订后3个月内完成供货、安装及调试</w:t>
            </w:r>
          </w:p>
        </w:tc>
      </w:tr>
      <w:tr w14:paraId="04906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75CF5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0B1608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E00C0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6CDABE9D">
            <w:pPr>
              <w:pStyle w:val="20"/>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本项目为非专门面向中小企业项目</w:t>
            </w:r>
            <w:r>
              <w:rPr>
                <w:rFonts w:hint="eastAsia" w:ascii="宋体" w:hAnsi="宋体" w:eastAsia="宋体" w:cs="宋体"/>
                <w:sz w:val="21"/>
                <w:szCs w:val="21"/>
                <w:highlight w:val="none"/>
                <w:lang w:val="en-US" w:eastAsia="zh-CN"/>
              </w:rPr>
              <w:t>，所属行业为软件和信息技术服务业。</w:t>
            </w:r>
          </w:p>
          <w:p w14:paraId="1161D4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41293C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6DD88F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7448E6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64068E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6DC441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91454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7DCF0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7AC74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1706F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733799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2EBD18C">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AD0CFA6">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以实际签订合同为准</w:t>
            </w:r>
          </w:p>
        </w:tc>
      </w:tr>
      <w:tr w14:paraId="2D8D2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064E069">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7C91DD">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DB3A9E">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5D5CE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9A4630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5616C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3BF46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700万元</w:t>
            </w:r>
          </w:p>
        </w:tc>
      </w:tr>
      <w:tr w14:paraId="58445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B0E0F7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57C96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3BCE0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1CE22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057ABDA">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C9ADE47">
            <w:pPr>
              <w:spacing w:line="360" w:lineRule="auto"/>
              <w:jc w:val="center"/>
              <w:rPr>
                <w:rFonts w:hint="eastAsia" w:ascii="宋体" w:hAnsi="宋体"/>
                <w:szCs w:val="21"/>
                <w:highlight w:val="none"/>
              </w:rPr>
            </w:pPr>
            <w:bookmarkStart w:id="18" w:name="OLE_LINK2"/>
            <w:r>
              <w:rPr>
                <w:rFonts w:hint="eastAsia" w:ascii="宋体" w:hAnsi="宋体" w:cs="宋体"/>
                <w:szCs w:val="21"/>
                <w:highlight w:val="none"/>
              </w:rPr>
              <w:t>评审办法</w:t>
            </w:r>
            <w:bookmarkEnd w:id="18"/>
          </w:p>
        </w:tc>
        <w:tc>
          <w:tcPr>
            <w:tcW w:w="7318" w:type="dxa"/>
            <w:tcBorders>
              <w:top w:val="single" w:color="auto" w:sz="4" w:space="0"/>
              <w:left w:val="single" w:color="auto" w:sz="4" w:space="0"/>
              <w:bottom w:val="single" w:color="auto" w:sz="4" w:space="0"/>
              <w:right w:val="single" w:color="auto" w:sz="4" w:space="0"/>
            </w:tcBorders>
            <w:noWrap w:val="0"/>
            <w:vAlign w:val="center"/>
          </w:tcPr>
          <w:p w14:paraId="30E6F597">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7C705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C89C5C8">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82EDA1">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1E2332F">
            <w:pPr>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5976F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210FFC2">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D74A5C6">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0AEF41B">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456C1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A59BE9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1DFFF5">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20C01C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硬件保修3年</w:t>
            </w:r>
            <w:r>
              <w:rPr>
                <w:rFonts w:hint="eastAsia" w:ascii="宋体" w:hAnsi="宋体" w:cs="宋体"/>
                <w:kern w:val="0"/>
                <w:sz w:val="21"/>
                <w:szCs w:val="21"/>
                <w:highlight w:val="none"/>
                <w:lang w:val="zh-CN" w:eastAsia="zh-CN"/>
              </w:rPr>
              <w:t>，</w:t>
            </w:r>
            <w:r>
              <w:rPr>
                <w:rFonts w:hint="eastAsia" w:ascii="宋体" w:hAnsi="宋体" w:eastAsia="宋体" w:cs="宋体"/>
                <w:kern w:val="0"/>
                <w:sz w:val="21"/>
                <w:szCs w:val="21"/>
                <w:highlight w:val="none"/>
                <w:lang w:val="zh-CN" w:eastAsia="zh-CN"/>
              </w:rPr>
              <w:t>软件保修5年</w:t>
            </w:r>
          </w:p>
        </w:tc>
      </w:tr>
      <w:tr w14:paraId="29EDD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C47A6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9BF601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9872E8C">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0BB97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9C2FBD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C81789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3A84AB96">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733399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68DC7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0E6851">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621246">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6BDFF62F">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C63474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3B5B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9AEB059">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E6C540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AF52036">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3ACBB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ED2721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DF80FE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3E0F20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6B0B7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DA5B1D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85CEC6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67B7ED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2E17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29669E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B4709A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1BEFAA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60E57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261820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3D065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AC493C6">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7B60D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F3B2E0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BF41CE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77ED38D">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444EB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81277A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F16788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64DD08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4902F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78E5FA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4A12E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3791BF4">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6BEA8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3B875EB">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343401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1F30BBE">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61B59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16DD73F">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8C8CC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B9B6157">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7A470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A5D1D1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09A72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27C3DE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1B0A0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41DAB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587875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B53B44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6259C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0E35610">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71F40C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193F4F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22F4C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638BFCA">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9F2AAF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响应文件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A9E6707">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3F3D1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4167E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2CD24C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DB00BF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73E87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93498B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EBDA7B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0AEC1D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5E95A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98" w:type="dxa"/>
            <w:tcBorders>
              <w:top w:val="single" w:color="auto" w:sz="4" w:space="0"/>
              <w:left w:val="single" w:color="auto" w:sz="4" w:space="0"/>
              <w:right w:val="single" w:color="auto" w:sz="4" w:space="0"/>
            </w:tcBorders>
            <w:noWrap w:val="0"/>
            <w:vAlign w:val="center"/>
          </w:tcPr>
          <w:p w14:paraId="4EDF3193">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right w:val="single" w:color="auto" w:sz="4" w:space="0"/>
            </w:tcBorders>
            <w:noWrap w:val="0"/>
            <w:vAlign w:val="center"/>
          </w:tcPr>
          <w:p w14:paraId="752AEA4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F0B4988">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14:paraId="2F8A6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38704C3">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D17FA4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5F6EB9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20932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85E74B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022CC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BBF2C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lang w:val="en-US" w:eastAsia="zh-CN"/>
              </w:rPr>
              <w:t>(北京时间）</w:t>
            </w:r>
          </w:p>
          <w:p w14:paraId="3735C4F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eastAsia="宋体" w:cs="宋体"/>
                <w:sz w:val="21"/>
                <w:szCs w:val="21"/>
                <w:highlight w:val="none"/>
                <w:u w:val="none"/>
                <w:lang w:val="en-US" w:eastAsia="zh-CN"/>
              </w:rPr>
              <w:t>梅河口市公共资源交易中心开标一室</w:t>
            </w:r>
          </w:p>
        </w:tc>
      </w:tr>
      <w:tr w14:paraId="3D757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984EBDA">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C082E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7667B36">
            <w:pPr>
              <w:rPr>
                <w:rFonts w:hint="eastAsia" w:ascii="宋体" w:hAnsi="宋体" w:cs="宋体"/>
                <w:szCs w:val="21"/>
                <w:highlight w:val="none"/>
                <w:lang w:val="en-US" w:eastAsia="zh-CN"/>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w:t>
            </w:r>
          </w:p>
          <w:p w14:paraId="2671ADB0">
            <w:pPr>
              <w:keepNext w:val="0"/>
              <w:keepLines w:val="0"/>
              <w:pageBreakBefore w:val="0"/>
              <w:kinsoku/>
              <w:wordWrap/>
              <w:topLinePunct w:val="0"/>
              <w:bidi w:val="0"/>
              <w:spacing w:line="360" w:lineRule="auto"/>
              <w:ind w:firstLine="0" w:firstLineChars="0"/>
              <w:jc w:val="left"/>
              <w:rPr>
                <w:rFonts w:hint="eastAsia" w:ascii="宋体" w:hAnsi="宋体" w:eastAsia="宋体" w:cs="宋体"/>
                <w:sz w:val="21"/>
                <w:szCs w:val="21"/>
                <w:highlight w:val="none"/>
              </w:rPr>
            </w:pPr>
            <w:r>
              <w:rPr>
                <w:rFonts w:hint="eastAsia" w:ascii="宋体" w:hAnsi="宋体" w:cs="宋体"/>
                <w:szCs w:val="21"/>
                <w:highlight w:val="none"/>
                <w:lang w:val="zh-CN"/>
              </w:rPr>
              <w:t>136-764-384。</w:t>
            </w:r>
            <w:r>
              <w:rPr>
                <w:rFonts w:hint="eastAsia"/>
                <w:b w:val="0"/>
                <w:bCs w:val="0"/>
                <w:highlight w:val="none"/>
                <w:u w:val="none"/>
                <w:lang w:val="en-US" w:eastAsia="zh-CN"/>
              </w:rPr>
              <w:t>进入视频会议人员应改名为“投标人+被授权人”</w:t>
            </w:r>
          </w:p>
        </w:tc>
      </w:tr>
      <w:tr w14:paraId="5B838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6F93DB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CD0FE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5B0233">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w:t>
            </w:r>
            <w:r>
              <w:rPr>
                <w:rFonts w:hint="eastAsia" w:ascii="宋体" w:hAnsi="宋体" w:cs="宋体"/>
                <w:kern w:val="2"/>
                <w:sz w:val="21"/>
                <w:szCs w:val="21"/>
                <w:highlight w:val="none"/>
                <w:lang w:val="en-US" w:eastAsia="zh-CN" w:bidi="ar-SA"/>
              </w:rPr>
              <w:t>采购人1人，</w:t>
            </w:r>
            <w:r>
              <w:rPr>
                <w:rFonts w:hint="eastAsia" w:ascii="宋体" w:hAnsi="宋体" w:eastAsia="宋体" w:cs="宋体"/>
                <w:kern w:val="2"/>
                <w:sz w:val="21"/>
                <w:szCs w:val="21"/>
                <w:highlight w:val="none"/>
                <w:lang w:val="en-US" w:eastAsia="zh-CN" w:bidi="ar-SA"/>
              </w:rPr>
              <w:t>技术、经济等方面的专家</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人组成</w:t>
            </w:r>
          </w:p>
          <w:p w14:paraId="67A7A6C4">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260CF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6B06FF1">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39FD3E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61D5671">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26DF8528">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3069C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7403C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573A3F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1331B45">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中标金额的1.2%</w:t>
            </w:r>
            <w:r>
              <w:rPr>
                <w:rFonts w:hint="eastAsia" w:ascii="宋体" w:hAnsi="宋体" w:eastAsia="宋体" w:cs="宋体"/>
                <w:kern w:val="2"/>
                <w:sz w:val="21"/>
                <w:szCs w:val="21"/>
                <w:highlight w:val="none"/>
                <w:lang w:val="en-US" w:eastAsia="zh-CN" w:bidi="ar-SA"/>
              </w:rPr>
              <w:t>，由中标单位支付</w:t>
            </w:r>
          </w:p>
        </w:tc>
      </w:tr>
      <w:tr w14:paraId="03523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968590">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53895F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19" w:name="OLE_LINK3"/>
            <w:r>
              <w:rPr>
                <w:rFonts w:hint="eastAsia" w:ascii="宋体" w:hAnsi="宋体" w:eastAsia="宋体" w:cs="宋体"/>
                <w:sz w:val="21"/>
                <w:szCs w:val="21"/>
                <w:highlight w:val="none"/>
                <w:lang w:val="en-US" w:eastAsia="zh-CN"/>
              </w:rPr>
              <w:t>履约</w:t>
            </w:r>
            <w:bookmarkEnd w:id="19"/>
            <w:r>
              <w:rPr>
                <w:rFonts w:hint="eastAsia" w:ascii="宋体" w:hAnsi="宋体" w:eastAsia="宋体" w:cs="宋体"/>
                <w:sz w:val="21"/>
                <w:szCs w:val="21"/>
                <w:highlight w:val="none"/>
                <w:lang w:val="en-US" w:eastAsia="zh-CN"/>
              </w:rPr>
              <w:t>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9A84F14">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14:paraId="1951F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FD9F9C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CA896C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283B58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382FB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DA4AAFB">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043DDB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19E49E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78F0D73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5BBCAD51">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14:paraId="76FD5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0BB1DB0">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A43F830">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2FB2966E">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5DD35E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本项目为</w:t>
            </w:r>
            <w:r>
              <w:rPr>
                <w:rFonts w:hint="eastAsia" w:ascii="宋体" w:hAnsi="宋体" w:cs="宋体"/>
                <w:sz w:val="21"/>
                <w:szCs w:val="21"/>
                <w:highlight w:val="none"/>
                <w:lang w:val="en-US" w:eastAsia="zh-CN"/>
              </w:rPr>
              <w:t>非</w:t>
            </w:r>
            <w:r>
              <w:rPr>
                <w:rFonts w:hint="eastAsia" w:ascii="宋体" w:hAnsi="宋体" w:eastAsia="宋体" w:cs="宋体"/>
                <w:sz w:val="21"/>
                <w:szCs w:val="21"/>
                <w:highlight w:val="none"/>
              </w:rPr>
              <w:t>专门面向中小企业采购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所属行业为</w:t>
            </w:r>
            <w:r>
              <w:rPr>
                <w:rFonts w:hint="eastAsia" w:ascii="宋体" w:hAnsi="宋体" w:eastAsia="宋体" w:cs="宋体"/>
                <w:spacing w:val="0"/>
                <w:w w:val="100"/>
                <w:kern w:val="2"/>
                <w:position w:val="0"/>
                <w:sz w:val="21"/>
                <w:szCs w:val="21"/>
                <w:highlight w:val="none"/>
              </w:rPr>
              <w:t>软件和信息技术服务业</w:t>
            </w:r>
            <w:r>
              <w:rPr>
                <w:rFonts w:hint="eastAsia" w:ascii="宋体" w:hAnsi="宋体" w:eastAsia="宋体" w:cs="宋体"/>
                <w:sz w:val="21"/>
                <w:szCs w:val="21"/>
                <w:highlight w:val="none"/>
              </w:rPr>
              <w:t>。</w:t>
            </w:r>
          </w:p>
          <w:p w14:paraId="3F17817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6F68B36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25F7A6B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53E1D9C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3）供应商为残疾人福利性单位的视同小型和微型企业，应当提供《残疾人福利性单位声明函》</w:t>
            </w:r>
          </w:p>
        </w:tc>
      </w:tr>
      <w:tr w14:paraId="281EE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29AF54C3">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582B3DB7">
      <w:pPr>
        <w:outlineLvl w:val="9"/>
        <w:rPr>
          <w:rFonts w:hint="eastAsia" w:ascii="宋体" w:hAnsi="宋体" w:eastAsia="宋体" w:cs="宋体"/>
          <w:highlight w:val="none"/>
          <w:lang w:val="en-US" w:eastAsia="zh-CN"/>
        </w:rPr>
      </w:pPr>
    </w:p>
    <w:p w14:paraId="3DB6AE39">
      <w:pPr>
        <w:rPr>
          <w:rFonts w:hint="eastAsia" w:ascii="宋体" w:hAnsi="宋体" w:eastAsia="宋体" w:cs="宋体"/>
          <w:highlight w:val="none"/>
        </w:rPr>
      </w:pPr>
      <w:r>
        <w:rPr>
          <w:rFonts w:hint="eastAsia" w:ascii="宋体" w:hAnsi="宋体" w:eastAsia="宋体" w:cs="宋体"/>
          <w:highlight w:val="none"/>
        </w:rPr>
        <w:br w:type="page"/>
      </w:r>
    </w:p>
    <w:p w14:paraId="097AA7EF">
      <w:pPr>
        <w:pStyle w:val="3"/>
        <w:rPr>
          <w:rFonts w:hint="eastAsia"/>
          <w:highlight w:val="none"/>
        </w:rPr>
      </w:pPr>
      <w:r>
        <w:rPr>
          <w:rFonts w:hint="eastAsia"/>
          <w:highlight w:val="none"/>
        </w:rPr>
        <w:t>投标人须知总则</w:t>
      </w:r>
    </w:p>
    <w:p w14:paraId="4B681AC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20" w:name="OLE_LINK9"/>
      <w:r>
        <w:rPr>
          <w:rFonts w:hint="eastAsia" w:ascii="宋体" w:hAnsi="宋体" w:cs="宋体"/>
          <w:szCs w:val="21"/>
          <w:highlight w:val="none"/>
          <w:lang w:val="zh-CN"/>
        </w:rPr>
        <w:t>标其它相关法规。</w:t>
      </w:r>
    </w:p>
    <w:p w14:paraId="1C2D5FE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007CE58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吉林省博扬招标项目管理有限公司</w:t>
      </w:r>
      <w:r>
        <w:rPr>
          <w:rFonts w:hint="eastAsia" w:ascii="宋体" w:hAnsi="宋体" w:cs="宋体"/>
          <w:szCs w:val="21"/>
          <w:highlight w:val="none"/>
          <w:lang w:val="zh-CN"/>
        </w:rPr>
        <w:t>，负责招标活动的组织工作。</w:t>
      </w:r>
    </w:p>
    <w:p w14:paraId="06748FA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36398A2E">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详见第七章《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33AA5C7E">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41F7572A">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2BFE4D95">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20"/>
    <w:p w14:paraId="05AE9E7B">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6A58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43D5E094">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57489EB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5FA630B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52CE5CAD"/>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52CE5CAD"/>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6F90AF1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7589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28F7EF93">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319A03A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24107FC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69D37A7F"/>
                              </w:txbxContent>
                            </wps:txbx>
                            <wps:bodyPr upright="1"/>
                          </wps:wsp>
                        </a:graphicData>
                      </a:graphic>
                    </wp:anchor>
                  </w:drawing>
                </mc:Choice>
                <mc:Fallback>
                  <w:pict>
                    <v:rect id="_x0000_s1026" o:spid="_x0000_s1026" o:spt="1" style="position:absolute;left:0pt;margin-left:-1.25pt;margin-top:9pt;height:9.75pt;width:9.75pt;z-index:-251657216;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69D37A7F"/>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26A79A1D">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498B1CA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6ADAD3B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70AA731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2E0E056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7884667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668B64D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28C9615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7253EA2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687C614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51477B9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655894A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0F94BFE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51C1427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568B642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290BE12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2A0C9B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7375C58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7D2D645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0BE7965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1F7F091E">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04C24BFA">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1BA512C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504786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51ACDA2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05F18CD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64CEBF15">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2A40ECEE">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2790B8E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1C3D4AE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4919ABD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5D6EF5D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210EE2A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7F11A73B">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442FBB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1E831CA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49FF063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2797180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6C39160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2EA7808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168E8D1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34BFD9FF">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325767E5">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2562F549">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45825424">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61006A2A">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3B00C1AD">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45025E47">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44B9CDF6">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6D4A8A4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5A546AA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73917F4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640A5CF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2A7D517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667EB85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15. 投标（执行供应商须知前附表）</w:t>
      </w:r>
    </w:p>
    <w:p w14:paraId="4055663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1249839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6D5A97A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46EFC42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7177582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678665D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494573D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0A360F63">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59EA03F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65B5FBF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43C6ADF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345B890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28628DB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62ED554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4B24DF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4731DFF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62D4F9F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768B299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1DD61BE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3C5D8FB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392DBEB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4BBE50C6">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5EEF98A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70F1D5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69D518E2">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281544F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335D6D2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6D7C307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7AB4458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21A37AA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5B81F67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1302809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0D12ED6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5530FE6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4AC5044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6AFD38EB">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70CA551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6152F11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64EE0B6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69E8EC37">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17E1FB45">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662F5190">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4B23FDD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51FEF64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3ABF0953">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19ACB77F">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490465DF">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1EAE2C7F">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0D60699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0F7B9B3E">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0933CDCD">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35A9FD5D">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F180BE1">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537C7633">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1FE9640F">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08EBAF2C">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1AAB10D0">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73876194">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2E61F439">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55B097CD">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68CB260D">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0935FF7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2432D2F2">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66AC6014">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3B68FF5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224B35B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59C2CD8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34B22A7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3079624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354D95AF">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58B6A7CF">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7F47D2FF">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67606063">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1C75474B">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7249B3B3">
      <w:pPr>
        <w:rPr>
          <w:rFonts w:hint="eastAsia" w:ascii="宋体" w:hAnsi="宋体" w:eastAsia="宋体" w:cs="宋体"/>
          <w:highlight w:val="none"/>
        </w:rPr>
      </w:pPr>
      <w:r>
        <w:rPr>
          <w:rFonts w:hint="eastAsia" w:ascii="宋体" w:hAnsi="宋体" w:eastAsia="宋体" w:cs="宋体"/>
          <w:highlight w:val="none"/>
        </w:rPr>
        <w:br w:type="page"/>
      </w:r>
    </w:p>
    <w:p w14:paraId="4074C5CB">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1" w:name="_Toc17892"/>
      <w:bookmarkStart w:id="22" w:name="_Toc22415"/>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21"/>
      <w:bookmarkEnd w:id="22"/>
    </w:p>
    <w:p w14:paraId="09ACEB07">
      <w:pPr>
        <w:bidi w:val="0"/>
        <w:jc w:val="center"/>
        <w:rPr>
          <w:rFonts w:hint="eastAsia" w:ascii="宋体" w:hAnsi="宋体" w:eastAsia="宋体" w:cs="宋体"/>
          <w:highlight w:val="none"/>
          <w:lang w:val="zh-CN"/>
        </w:rPr>
      </w:pPr>
      <w:bookmarkStart w:id="23" w:name="_Toc382396561"/>
      <w:bookmarkStart w:id="24" w:name="_Toc2149"/>
      <w:r>
        <w:rPr>
          <w:rFonts w:hint="eastAsia" w:ascii="宋体" w:hAnsi="宋体" w:eastAsia="宋体" w:cs="宋体"/>
          <w:highlight w:val="none"/>
          <w:lang w:val="zh-CN"/>
        </w:rPr>
        <w:t>评标办法前附表（一）</w:t>
      </w:r>
      <w:bookmarkEnd w:id="23"/>
      <w:bookmarkEnd w:id="24"/>
    </w:p>
    <w:tbl>
      <w:tblPr>
        <w:tblStyle w:val="2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6B64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00781D0D">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57B8944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20882D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7ED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0D3C294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2.1.1</w:t>
            </w:r>
          </w:p>
        </w:tc>
        <w:tc>
          <w:tcPr>
            <w:tcW w:w="410" w:type="dxa"/>
            <w:vMerge w:val="restart"/>
            <w:noWrap w:val="0"/>
            <w:vAlign w:val="center"/>
          </w:tcPr>
          <w:p w14:paraId="106322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形式评审标准</w:t>
            </w:r>
          </w:p>
        </w:tc>
        <w:tc>
          <w:tcPr>
            <w:tcW w:w="2408" w:type="dxa"/>
            <w:noWrap w:val="0"/>
            <w:vAlign w:val="center"/>
          </w:tcPr>
          <w:p w14:paraId="318DE0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541E5B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6F9A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06D9C33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039713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1A12EBF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14:paraId="449D2AA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7F21042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p>
        </w:tc>
      </w:tr>
      <w:tr w14:paraId="1DB4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tcBorders>
              <w:bottom w:val="single" w:color="auto" w:sz="4" w:space="0"/>
            </w:tcBorders>
            <w:noWrap w:val="0"/>
            <w:vAlign w:val="center"/>
          </w:tcPr>
          <w:p w14:paraId="6FEE593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68EE4BF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6B3D3E7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14:paraId="5DDA868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七</w:t>
            </w:r>
            <w:r>
              <w:rPr>
                <w:rFonts w:hint="eastAsia" w:ascii="宋体" w:hAnsi="宋体" w:eastAsia="宋体" w:cs="宋体"/>
                <w:b w:val="0"/>
                <w:sz w:val="21"/>
                <w:szCs w:val="21"/>
                <w:highlight w:val="none"/>
                <w:lang w:val="zh-CN"/>
              </w:rPr>
              <w:t>章“</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p>
        </w:tc>
      </w:tr>
      <w:tr w14:paraId="6893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62A69CE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5002EE4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202B66D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735156D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p>
        </w:tc>
      </w:tr>
      <w:tr w14:paraId="190C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7112E31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注：以上各项评审标准，有一项不合格，即为投标被否决，不再进入后续资格评审。</w:t>
            </w:r>
          </w:p>
        </w:tc>
      </w:tr>
      <w:tr w14:paraId="0D17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restart"/>
            <w:noWrap w:val="0"/>
            <w:vAlign w:val="center"/>
          </w:tcPr>
          <w:p w14:paraId="5D5074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2.1.2</w:t>
            </w:r>
          </w:p>
        </w:tc>
        <w:tc>
          <w:tcPr>
            <w:tcW w:w="410" w:type="dxa"/>
            <w:vMerge w:val="restart"/>
            <w:noWrap w:val="0"/>
            <w:vAlign w:val="center"/>
          </w:tcPr>
          <w:p w14:paraId="190719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6613EE4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292FBE6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5C2F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 w:type="dxa"/>
            <w:vMerge w:val="continue"/>
            <w:noWrap w:val="0"/>
            <w:vAlign w:val="center"/>
          </w:tcPr>
          <w:p w14:paraId="5B7467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A7598C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83F01B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31528D2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050D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14" w:type="dxa"/>
            <w:vMerge w:val="continue"/>
            <w:noWrap w:val="0"/>
            <w:vAlign w:val="center"/>
          </w:tcPr>
          <w:p w14:paraId="7352D5F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B74FB8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30D9C3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40F885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5FAB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514" w:type="dxa"/>
            <w:vMerge w:val="continue"/>
            <w:noWrap w:val="0"/>
            <w:vAlign w:val="center"/>
          </w:tcPr>
          <w:p w14:paraId="51E3B45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21472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53684B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140CD2A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0748930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6CB6AB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6763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0627" w:type="dxa"/>
            <w:gridSpan w:val="4"/>
            <w:noWrap w:val="0"/>
            <w:vAlign w:val="center"/>
          </w:tcPr>
          <w:p w14:paraId="2858723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651C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14" w:type="dxa"/>
            <w:vMerge w:val="restart"/>
            <w:noWrap w:val="0"/>
            <w:vAlign w:val="center"/>
          </w:tcPr>
          <w:p w14:paraId="2FDF595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2.1.3</w:t>
            </w:r>
          </w:p>
        </w:tc>
        <w:tc>
          <w:tcPr>
            <w:tcW w:w="410" w:type="dxa"/>
            <w:vMerge w:val="restart"/>
            <w:noWrap w:val="0"/>
            <w:vAlign w:val="center"/>
          </w:tcPr>
          <w:p w14:paraId="37A5175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2408" w:type="dxa"/>
            <w:noWrap w:val="0"/>
            <w:vAlign w:val="center"/>
          </w:tcPr>
          <w:p w14:paraId="54758363">
            <w:pPr>
              <w:pStyle w:val="14"/>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7295" w:type="dxa"/>
            <w:noWrap w:val="0"/>
            <w:vAlign w:val="center"/>
          </w:tcPr>
          <w:p w14:paraId="5503DA35">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1"/>
                <w:szCs w:val="21"/>
                <w:highlight w:val="none"/>
                <w:lang w:val="en-US" w:eastAsia="zh-CN"/>
              </w:rPr>
            </w:pPr>
            <w:r>
              <w:rPr>
                <w:rFonts w:hint="eastAsia" w:ascii="宋体" w:hAnsi="宋体" w:cs="宋体"/>
                <w:sz w:val="21"/>
                <w:szCs w:val="21"/>
                <w:highlight w:val="none"/>
                <w:lang w:val="en-US" w:eastAsia="zh-CN"/>
              </w:rPr>
              <w:t>合同签订后3个月内完成供货、安装及调试。</w:t>
            </w:r>
          </w:p>
        </w:tc>
      </w:tr>
      <w:tr w14:paraId="4BC6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4" w:type="dxa"/>
            <w:vMerge w:val="continue"/>
            <w:noWrap w:val="0"/>
            <w:vAlign w:val="center"/>
          </w:tcPr>
          <w:p w14:paraId="783FAF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79708E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64C9D1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7295" w:type="dxa"/>
            <w:noWrap w:val="0"/>
            <w:vAlign w:val="center"/>
          </w:tcPr>
          <w:p w14:paraId="0961766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1CC7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514" w:type="dxa"/>
            <w:vMerge w:val="continue"/>
            <w:noWrap w:val="0"/>
            <w:vAlign w:val="center"/>
          </w:tcPr>
          <w:p w14:paraId="2B1FD08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B316CD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79F7457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noWrap w:val="0"/>
            <w:vAlign w:val="center"/>
          </w:tcPr>
          <w:p w14:paraId="70E98FA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0926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14:paraId="242463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809CD2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0CA7297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noWrap w:val="0"/>
            <w:vAlign w:val="center"/>
          </w:tcPr>
          <w:p w14:paraId="37618E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700万元</w:t>
            </w:r>
            <w:r>
              <w:rPr>
                <w:rFonts w:hint="eastAsia" w:ascii="宋体" w:hAnsi="宋体" w:eastAsia="宋体" w:cs="宋体"/>
                <w:b w:val="0"/>
                <w:sz w:val="21"/>
                <w:szCs w:val="21"/>
                <w:highlight w:val="none"/>
                <w:lang w:val="en-US" w:eastAsia="zh-CN"/>
              </w:rPr>
              <w:t>；</w:t>
            </w:r>
          </w:p>
          <w:p w14:paraId="3442637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700万元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58C2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14" w:type="dxa"/>
            <w:vMerge w:val="continue"/>
            <w:noWrap w:val="0"/>
            <w:vAlign w:val="center"/>
          </w:tcPr>
          <w:p w14:paraId="7FFBA00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761959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22CBD84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295" w:type="dxa"/>
            <w:noWrap w:val="0"/>
            <w:vAlign w:val="center"/>
          </w:tcPr>
          <w:p w14:paraId="65899D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3A5F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627" w:type="dxa"/>
            <w:gridSpan w:val="4"/>
            <w:noWrap w:val="0"/>
            <w:vAlign w:val="center"/>
          </w:tcPr>
          <w:p w14:paraId="153560B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339D2D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31DACFDE">
      <w:pPr>
        <w:bidi w:val="0"/>
        <w:jc w:val="center"/>
        <w:rPr>
          <w:rFonts w:hint="eastAsia" w:ascii="宋体" w:hAnsi="宋体" w:eastAsia="宋体" w:cs="宋体"/>
          <w:highlight w:val="none"/>
          <w:lang w:val="zh-CN"/>
        </w:rPr>
      </w:pPr>
      <w:bookmarkStart w:id="25" w:name="_Toc31653"/>
      <w:r>
        <w:rPr>
          <w:rFonts w:hint="eastAsia" w:ascii="宋体" w:hAnsi="宋体" w:eastAsia="宋体" w:cs="宋体"/>
          <w:highlight w:val="none"/>
          <w:lang w:val="zh-CN"/>
        </w:rPr>
        <w:t>评标办法前附表（二）</w:t>
      </w:r>
      <w:bookmarkEnd w:id="25"/>
    </w:p>
    <w:tbl>
      <w:tblPr>
        <w:tblStyle w:val="2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39"/>
        <w:gridCol w:w="1384"/>
        <w:gridCol w:w="5628"/>
        <w:gridCol w:w="812"/>
      </w:tblGrid>
      <w:tr w14:paraId="0D7D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 w:hRule="atLeast"/>
          <w:jc w:val="center"/>
        </w:trPr>
        <w:tc>
          <w:tcPr>
            <w:tcW w:w="1714" w:type="dxa"/>
            <w:gridSpan w:val="2"/>
            <w:noWrap w:val="0"/>
            <w:vAlign w:val="center"/>
          </w:tcPr>
          <w:p w14:paraId="1FC53042">
            <w:pPr>
              <w:jc w:val="center"/>
              <w:rPr>
                <w:rFonts w:hint="eastAsia" w:ascii="宋体" w:hAnsi="宋体" w:cs="宋体"/>
                <w:color w:val="auto"/>
                <w:highlight w:val="none"/>
              </w:rPr>
            </w:pPr>
            <w:r>
              <w:rPr>
                <w:rFonts w:hint="eastAsia" w:ascii="宋体" w:hAnsi="宋体" w:cs="宋体"/>
                <w:color w:val="auto"/>
                <w:highlight w:val="none"/>
              </w:rPr>
              <w:t>序号</w:t>
            </w:r>
          </w:p>
        </w:tc>
        <w:tc>
          <w:tcPr>
            <w:tcW w:w="1384" w:type="dxa"/>
            <w:noWrap w:val="0"/>
            <w:vAlign w:val="center"/>
          </w:tcPr>
          <w:p w14:paraId="54A0CA60">
            <w:pPr>
              <w:jc w:val="center"/>
              <w:rPr>
                <w:rFonts w:hint="eastAsia" w:ascii="宋体" w:hAnsi="宋体" w:cs="宋体"/>
                <w:color w:val="auto"/>
                <w:highlight w:val="none"/>
              </w:rPr>
            </w:pPr>
            <w:r>
              <w:rPr>
                <w:rFonts w:hint="eastAsia" w:ascii="宋体" w:hAnsi="宋体" w:cs="宋体"/>
                <w:color w:val="auto"/>
                <w:highlight w:val="none"/>
              </w:rPr>
              <w:t>评审因素</w:t>
            </w:r>
          </w:p>
        </w:tc>
        <w:tc>
          <w:tcPr>
            <w:tcW w:w="6440" w:type="dxa"/>
            <w:gridSpan w:val="2"/>
            <w:noWrap w:val="0"/>
            <w:vAlign w:val="center"/>
          </w:tcPr>
          <w:p w14:paraId="5ECF48F4">
            <w:pPr>
              <w:jc w:val="center"/>
              <w:rPr>
                <w:rFonts w:hint="eastAsia" w:ascii="宋体" w:hAnsi="宋体" w:cs="宋体"/>
                <w:color w:val="auto"/>
                <w:highlight w:val="none"/>
              </w:rPr>
            </w:pPr>
            <w:r>
              <w:rPr>
                <w:rFonts w:hint="eastAsia" w:ascii="宋体" w:hAnsi="宋体" w:cs="宋体"/>
                <w:color w:val="auto"/>
                <w:highlight w:val="none"/>
              </w:rPr>
              <w:t>评审标准</w:t>
            </w:r>
          </w:p>
        </w:tc>
      </w:tr>
      <w:tr w14:paraId="7DD6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714" w:type="dxa"/>
            <w:gridSpan w:val="2"/>
            <w:noWrap w:val="0"/>
            <w:vAlign w:val="center"/>
          </w:tcPr>
          <w:p w14:paraId="0297F122">
            <w:pPr>
              <w:jc w:val="center"/>
              <w:rPr>
                <w:rFonts w:hint="eastAsia" w:ascii="宋体" w:hAnsi="宋体" w:cs="宋体"/>
                <w:color w:val="auto"/>
                <w:highlight w:val="none"/>
              </w:rPr>
            </w:pPr>
            <w:r>
              <w:rPr>
                <w:rFonts w:hint="eastAsia" w:ascii="宋体" w:hAnsi="宋体" w:cs="宋体"/>
                <w:color w:val="auto"/>
                <w:highlight w:val="none"/>
              </w:rPr>
              <w:t>1</w:t>
            </w:r>
          </w:p>
        </w:tc>
        <w:tc>
          <w:tcPr>
            <w:tcW w:w="1384" w:type="dxa"/>
            <w:noWrap w:val="0"/>
            <w:vAlign w:val="center"/>
          </w:tcPr>
          <w:p w14:paraId="220C79FF">
            <w:pPr>
              <w:rPr>
                <w:rFonts w:hint="eastAsia" w:ascii="宋体" w:hAnsi="宋体" w:cs="宋体"/>
                <w:color w:val="auto"/>
                <w:highlight w:val="none"/>
              </w:rPr>
            </w:pPr>
            <w:r>
              <w:rPr>
                <w:rFonts w:hint="eastAsia" w:ascii="宋体" w:hAnsi="宋体" w:cs="宋体"/>
                <w:color w:val="auto"/>
                <w:highlight w:val="none"/>
              </w:rPr>
              <w:t>分值构成</w:t>
            </w:r>
          </w:p>
          <w:p w14:paraId="1BFCEB5F">
            <w:pPr>
              <w:jc w:val="left"/>
              <w:rPr>
                <w:rFonts w:hint="eastAsia" w:ascii="宋体" w:hAnsi="宋体" w:cs="宋体"/>
                <w:color w:val="auto"/>
                <w:highlight w:val="none"/>
              </w:rPr>
            </w:pPr>
            <w:r>
              <w:rPr>
                <w:rFonts w:hint="eastAsia" w:ascii="宋体" w:hAnsi="宋体" w:cs="宋体"/>
                <w:color w:val="auto"/>
                <w:highlight w:val="none"/>
              </w:rPr>
              <w:t>(总分100分)</w:t>
            </w:r>
          </w:p>
        </w:tc>
        <w:tc>
          <w:tcPr>
            <w:tcW w:w="6440" w:type="dxa"/>
            <w:gridSpan w:val="2"/>
            <w:noWrap w:val="0"/>
            <w:vAlign w:val="center"/>
          </w:tcPr>
          <w:p w14:paraId="6D49F696">
            <w:pPr>
              <w:rPr>
                <w:rFonts w:hint="eastAsia" w:ascii="宋体" w:hAnsi="宋体" w:cs="宋体"/>
                <w:color w:val="auto"/>
                <w:highlight w:val="none"/>
              </w:rPr>
            </w:pPr>
            <w:r>
              <w:rPr>
                <w:rFonts w:hint="eastAsia" w:ascii="宋体" w:hAnsi="宋体" w:cs="宋体"/>
                <w:color w:val="auto"/>
                <w:highlight w:val="none"/>
              </w:rPr>
              <w:t>技术部分：</w:t>
            </w:r>
            <w:r>
              <w:rPr>
                <w:rFonts w:hint="eastAsia" w:ascii="宋体" w:hAnsi="宋体" w:cs="宋体"/>
                <w:color w:val="auto"/>
                <w:highlight w:val="none"/>
                <w:lang w:val="en-US" w:eastAsia="zh-CN"/>
              </w:rPr>
              <w:t>61</w:t>
            </w:r>
            <w:r>
              <w:rPr>
                <w:rFonts w:hint="eastAsia" w:ascii="宋体" w:hAnsi="宋体" w:cs="宋体"/>
                <w:color w:val="auto"/>
                <w:highlight w:val="none"/>
              </w:rPr>
              <w:t>分</w:t>
            </w:r>
          </w:p>
          <w:p w14:paraId="63FE9DD1">
            <w:pPr>
              <w:rPr>
                <w:rFonts w:hint="eastAsia" w:ascii="宋体" w:hAnsi="宋体" w:cs="宋体"/>
                <w:color w:val="auto"/>
                <w:highlight w:val="none"/>
              </w:rPr>
            </w:pPr>
            <w:r>
              <w:rPr>
                <w:rFonts w:hint="eastAsia" w:ascii="宋体" w:hAnsi="宋体" w:cs="宋体"/>
                <w:color w:val="auto"/>
                <w:highlight w:val="none"/>
              </w:rPr>
              <w:t>商务部分：</w:t>
            </w:r>
            <w:r>
              <w:rPr>
                <w:rFonts w:hint="eastAsia" w:ascii="宋体" w:hAnsi="宋体" w:cs="宋体"/>
                <w:color w:val="auto"/>
                <w:highlight w:val="none"/>
                <w:lang w:val="en-US" w:eastAsia="zh-CN"/>
              </w:rPr>
              <w:t>39分</w:t>
            </w:r>
            <w:r>
              <w:rPr>
                <w:rFonts w:hint="eastAsia" w:ascii="宋体" w:hAnsi="宋体" w:cs="宋体"/>
                <w:color w:val="auto"/>
                <w:highlight w:val="none"/>
              </w:rPr>
              <w:t>（包含投标报价30分）</w:t>
            </w:r>
          </w:p>
        </w:tc>
      </w:tr>
      <w:tr w14:paraId="4AEA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1" w:hRule="atLeast"/>
          <w:jc w:val="center"/>
        </w:trPr>
        <w:tc>
          <w:tcPr>
            <w:tcW w:w="1714" w:type="dxa"/>
            <w:gridSpan w:val="2"/>
            <w:noWrap w:val="0"/>
            <w:vAlign w:val="center"/>
          </w:tcPr>
          <w:p w14:paraId="0A183BFA">
            <w:pPr>
              <w:jc w:val="center"/>
              <w:rPr>
                <w:rFonts w:hint="eastAsia" w:ascii="宋体" w:hAnsi="宋体" w:cs="宋体"/>
                <w:color w:val="auto"/>
                <w:highlight w:val="none"/>
              </w:rPr>
            </w:pPr>
            <w:r>
              <w:rPr>
                <w:rFonts w:hint="eastAsia" w:ascii="宋体" w:hAnsi="宋体" w:cs="宋体"/>
                <w:color w:val="auto"/>
                <w:highlight w:val="none"/>
              </w:rPr>
              <w:t>2</w:t>
            </w:r>
          </w:p>
        </w:tc>
        <w:tc>
          <w:tcPr>
            <w:tcW w:w="1384" w:type="dxa"/>
            <w:noWrap w:val="0"/>
            <w:vAlign w:val="center"/>
          </w:tcPr>
          <w:p w14:paraId="4C2F4394">
            <w:pPr>
              <w:autoSpaceDE w:val="0"/>
              <w:autoSpaceDN w:val="0"/>
              <w:adjustRightInd w:val="0"/>
              <w:rPr>
                <w:rFonts w:hint="eastAsia" w:ascii="宋体" w:hAnsi="宋体" w:cs="宋体"/>
                <w:color w:val="auto"/>
                <w:highlight w:val="none"/>
              </w:rPr>
            </w:pPr>
            <w:r>
              <w:rPr>
                <w:rFonts w:hint="eastAsia" w:ascii="宋体" w:hAnsi="宋体" w:cs="宋体"/>
                <w:bCs/>
                <w:color w:val="auto"/>
                <w:szCs w:val="21"/>
                <w:highlight w:val="none"/>
                <w:lang w:val="zh-CN"/>
              </w:rPr>
              <w:t>评标基准价计算方法</w:t>
            </w:r>
          </w:p>
        </w:tc>
        <w:tc>
          <w:tcPr>
            <w:tcW w:w="6440" w:type="dxa"/>
            <w:gridSpan w:val="2"/>
            <w:noWrap w:val="0"/>
            <w:vAlign w:val="center"/>
          </w:tcPr>
          <w:p w14:paraId="466AAC9D">
            <w:pPr>
              <w:rPr>
                <w:rFonts w:hint="eastAsia" w:ascii="宋体" w:hAnsi="宋体" w:cs="宋体"/>
                <w:color w:val="auto"/>
                <w:highlight w:val="none"/>
              </w:rPr>
            </w:pPr>
            <w:r>
              <w:rPr>
                <w:rFonts w:hint="eastAsia" w:ascii="宋体" w:hAnsi="宋体" w:cs="宋体"/>
                <w:color w:val="auto"/>
                <w:highlight w:val="none"/>
              </w:rPr>
              <w:t>价格分统一采用低价优先法计算，即满足招标文件要求且报价最低的投标报价为评标基准价，其价格分为满分。其他供应商的价格分统一按照下列公式计算：</w:t>
            </w:r>
          </w:p>
          <w:p w14:paraId="7ADAD565">
            <w:pPr>
              <w:rPr>
                <w:rFonts w:hint="eastAsia" w:ascii="宋体" w:hAnsi="宋体" w:cs="宋体"/>
                <w:color w:val="auto"/>
                <w:highlight w:val="none"/>
              </w:rPr>
            </w:pPr>
            <w:r>
              <w:rPr>
                <w:rFonts w:hint="eastAsia" w:ascii="宋体" w:hAnsi="宋体" w:cs="宋体"/>
                <w:color w:val="auto"/>
                <w:highlight w:val="none"/>
              </w:rPr>
              <w:t>投标报价得分=（评标基准价／投标报价）×价权值×100</w:t>
            </w:r>
          </w:p>
          <w:p w14:paraId="38F95802">
            <w:pPr>
              <w:rPr>
                <w:rFonts w:hint="eastAsia" w:ascii="宋体" w:hAnsi="宋体" w:cs="宋体"/>
                <w:color w:val="auto"/>
                <w:highlight w:val="none"/>
              </w:rPr>
            </w:pPr>
            <w:r>
              <w:rPr>
                <w:rFonts w:hint="eastAsia" w:ascii="宋体" w:hAnsi="宋体" w:cs="宋体"/>
                <w:color w:val="auto"/>
                <w:highlight w:val="none"/>
              </w:rPr>
              <w:t>备注：</w:t>
            </w:r>
          </w:p>
          <w:p w14:paraId="32D5DF7B">
            <w:pPr>
              <w:numPr>
                <w:ilvl w:val="0"/>
                <w:numId w:val="0"/>
              </w:numPr>
              <w:rPr>
                <w:rFonts w:hint="eastAsia" w:ascii="宋体" w:hAnsi="宋体" w:cs="宋体"/>
                <w:b w:val="0"/>
                <w:bCs w:val="0"/>
                <w:color w:val="auto"/>
                <w:highlight w:val="none"/>
              </w:rPr>
            </w:pPr>
            <w:r>
              <w:rPr>
                <w:rFonts w:hint="eastAsia" w:ascii="宋体" w:hAnsi="宋体" w:cs="宋体"/>
                <w:b w:val="0"/>
                <w:bCs w:val="0"/>
                <w:color w:val="auto"/>
                <w:kern w:val="2"/>
                <w:sz w:val="21"/>
                <w:szCs w:val="24"/>
                <w:highlight w:val="none"/>
                <w:lang w:val="en-US" w:eastAsia="zh-CN" w:bidi="ar-SA"/>
              </w:rPr>
              <w:t>1.</w:t>
            </w:r>
            <w:r>
              <w:rPr>
                <w:rFonts w:hint="eastAsia" w:ascii="宋体" w:hAnsi="宋体" w:cs="宋体"/>
                <w:b w:val="0"/>
                <w:bCs w:val="0"/>
                <w:color w:val="auto"/>
                <w:highlight w:val="none"/>
              </w:rPr>
              <w:t>投标报价得分四舍五入后，小数点后保留两位有效数字。</w:t>
            </w:r>
          </w:p>
          <w:p w14:paraId="3BE9375B">
            <w:pP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zh-CN"/>
              </w:rPr>
              <w:t>评标委员会认为供应商的报价明显低于其他通过符合性审查供应商的报价，有可能影响产品质量或者不能诚信履约的，应当要求其在评标现场合理的时间内（评标工作结束前）提供书面说明，必要时提交相关证明材料；供应商不能证明其报价合理性的，评标委员会应当将其作为无效投标处理。</w:t>
            </w:r>
          </w:p>
        </w:tc>
      </w:tr>
      <w:tr w14:paraId="581B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14" w:type="dxa"/>
            <w:gridSpan w:val="2"/>
            <w:noWrap w:val="0"/>
            <w:vAlign w:val="center"/>
          </w:tcPr>
          <w:p w14:paraId="39AC4F41">
            <w:pPr>
              <w:jc w:val="center"/>
              <w:rPr>
                <w:rFonts w:hint="eastAsia" w:ascii="宋体" w:hAnsi="宋体" w:cs="宋体"/>
                <w:color w:val="auto"/>
                <w:highlight w:val="none"/>
              </w:rPr>
            </w:pPr>
            <w:r>
              <w:rPr>
                <w:rFonts w:hint="eastAsia" w:ascii="宋体" w:hAnsi="宋体" w:cs="宋体"/>
                <w:color w:val="auto"/>
                <w:highlight w:val="none"/>
              </w:rPr>
              <w:t>序号</w:t>
            </w:r>
          </w:p>
        </w:tc>
        <w:tc>
          <w:tcPr>
            <w:tcW w:w="1384" w:type="dxa"/>
            <w:noWrap w:val="0"/>
            <w:vAlign w:val="center"/>
          </w:tcPr>
          <w:p w14:paraId="413790C4">
            <w:pPr>
              <w:jc w:val="center"/>
              <w:rPr>
                <w:rFonts w:hint="eastAsia" w:ascii="宋体" w:hAnsi="宋体" w:cs="宋体"/>
                <w:color w:val="auto"/>
                <w:highlight w:val="none"/>
              </w:rPr>
            </w:pPr>
            <w:r>
              <w:rPr>
                <w:rFonts w:hint="eastAsia" w:ascii="宋体" w:hAnsi="宋体" w:cs="宋体"/>
                <w:color w:val="auto"/>
                <w:highlight w:val="none"/>
              </w:rPr>
              <w:t>评分因素</w:t>
            </w:r>
          </w:p>
        </w:tc>
        <w:tc>
          <w:tcPr>
            <w:tcW w:w="5628" w:type="dxa"/>
            <w:noWrap w:val="0"/>
            <w:vAlign w:val="center"/>
          </w:tcPr>
          <w:p w14:paraId="1553A89A">
            <w:pPr>
              <w:jc w:val="center"/>
              <w:rPr>
                <w:rFonts w:hint="eastAsia" w:ascii="宋体" w:hAnsi="宋体" w:cs="宋体"/>
                <w:color w:val="auto"/>
                <w:highlight w:val="none"/>
              </w:rPr>
            </w:pPr>
            <w:r>
              <w:rPr>
                <w:rFonts w:hint="eastAsia" w:ascii="宋体" w:hAnsi="宋体" w:cs="宋体"/>
                <w:color w:val="auto"/>
                <w:highlight w:val="none"/>
              </w:rPr>
              <w:t>评分标准</w:t>
            </w:r>
          </w:p>
        </w:tc>
        <w:tc>
          <w:tcPr>
            <w:tcW w:w="812" w:type="dxa"/>
            <w:noWrap w:val="0"/>
            <w:vAlign w:val="center"/>
          </w:tcPr>
          <w:p w14:paraId="5B060A1D">
            <w:pPr>
              <w:jc w:val="center"/>
              <w:rPr>
                <w:rFonts w:hint="eastAsia" w:ascii="宋体" w:hAnsi="宋体" w:cs="宋体"/>
                <w:color w:val="auto"/>
                <w:highlight w:val="none"/>
              </w:rPr>
            </w:pPr>
            <w:r>
              <w:rPr>
                <w:rFonts w:hint="eastAsia" w:ascii="宋体" w:hAnsi="宋体" w:cs="宋体"/>
                <w:color w:val="auto"/>
                <w:highlight w:val="none"/>
              </w:rPr>
              <w:t>分值</w:t>
            </w:r>
          </w:p>
        </w:tc>
      </w:tr>
      <w:tr w14:paraId="1047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675" w:type="dxa"/>
            <w:vMerge w:val="restart"/>
            <w:noWrap w:val="0"/>
            <w:vAlign w:val="center"/>
          </w:tcPr>
          <w:p w14:paraId="7C5BD828">
            <w:pPr>
              <w:rPr>
                <w:rFonts w:hint="eastAsia" w:ascii="宋体" w:hAnsi="宋体" w:cs="宋体"/>
                <w:color w:val="auto"/>
                <w:highlight w:val="none"/>
              </w:rPr>
            </w:pPr>
            <w:r>
              <w:rPr>
                <w:rFonts w:hint="eastAsia" w:ascii="宋体" w:hAnsi="宋体" w:cs="宋体"/>
                <w:color w:val="auto"/>
                <w:highlight w:val="none"/>
              </w:rPr>
              <w:t>1</w:t>
            </w:r>
          </w:p>
        </w:tc>
        <w:tc>
          <w:tcPr>
            <w:tcW w:w="1039" w:type="dxa"/>
            <w:vMerge w:val="restart"/>
            <w:noWrap w:val="0"/>
            <w:vAlign w:val="center"/>
          </w:tcPr>
          <w:p w14:paraId="615FF110">
            <w:pPr>
              <w:rPr>
                <w:rFonts w:hint="eastAsia" w:ascii="宋体" w:hAnsi="宋体" w:cs="宋体"/>
                <w:color w:val="auto"/>
                <w:highlight w:val="none"/>
              </w:rPr>
            </w:pPr>
            <w:r>
              <w:rPr>
                <w:rFonts w:hint="eastAsia" w:ascii="宋体" w:hAnsi="宋体" w:cs="宋体"/>
                <w:color w:val="auto"/>
                <w:highlight w:val="none"/>
              </w:rPr>
              <w:t>技术</w:t>
            </w:r>
          </w:p>
          <w:p w14:paraId="3D0FC405">
            <w:pPr>
              <w:rPr>
                <w:rFonts w:hint="eastAsia" w:ascii="宋体" w:hAnsi="宋体" w:cs="宋体"/>
                <w:color w:val="auto"/>
                <w:highlight w:val="none"/>
              </w:rPr>
            </w:pPr>
            <w:r>
              <w:rPr>
                <w:rFonts w:hint="eastAsia" w:ascii="宋体" w:hAnsi="宋体" w:cs="宋体"/>
                <w:color w:val="auto"/>
                <w:highlight w:val="none"/>
              </w:rPr>
              <w:t>部分</w:t>
            </w:r>
          </w:p>
          <w:p w14:paraId="5581E882">
            <w:pPr>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61</w:t>
            </w:r>
            <w:r>
              <w:rPr>
                <w:rFonts w:hint="eastAsia" w:ascii="宋体" w:hAnsi="宋体" w:cs="宋体"/>
                <w:color w:val="auto"/>
                <w:highlight w:val="none"/>
              </w:rPr>
              <w:t>分）</w:t>
            </w:r>
          </w:p>
        </w:tc>
        <w:tc>
          <w:tcPr>
            <w:tcW w:w="1384" w:type="dxa"/>
            <w:noWrap w:val="0"/>
            <w:vAlign w:val="center"/>
          </w:tcPr>
          <w:p w14:paraId="1479FFC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投标货物功能配置及技术指标</w:t>
            </w:r>
          </w:p>
          <w:p w14:paraId="13151AF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rPr>
              <w:t>（</w:t>
            </w:r>
            <w:r>
              <w:rPr>
                <w:rFonts w:hint="eastAsia" w:ascii="宋体" w:hAnsi="宋体" w:cs="Times New Roman"/>
                <w:b w:val="0"/>
                <w:bCs/>
                <w:color w:val="auto"/>
                <w:kern w:val="0"/>
                <w:szCs w:val="21"/>
                <w:highlight w:val="none"/>
                <w:lang w:val="en-US" w:eastAsia="zh-CN"/>
              </w:rPr>
              <w:t>20</w:t>
            </w:r>
            <w:r>
              <w:rPr>
                <w:rFonts w:hint="eastAsia" w:ascii="宋体" w:hAnsi="宋体" w:eastAsia="宋体" w:cs="Times New Roman"/>
                <w:b w:val="0"/>
                <w:bCs/>
                <w:color w:val="auto"/>
                <w:kern w:val="0"/>
                <w:szCs w:val="21"/>
                <w:highlight w:val="none"/>
              </w:rPr>
              <w:t>分）</w:t>
            </w:r>
          </w:p>
        </w:tc>
        <w:tc>
          <w:tcPr>
            <w:tcW w:w="5628" w:type="dxa"/>
            <w:noWrap w:val="0"/>
            <w:vAlign w:val="center"/>
          </w:tcPr>
          <w:p w14:paraId="130A2B0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采购需求中</w:t>
            </w:r>
            <w:r>
              <w:rPr>
                <w:rFonts w:hint="eastAsia" w:ascii="宋体" w:hAnsi="宋体" w:cs="Times New Roman"/>
                <w:b w:val="0"/>
                <w:bCs/>
                <w:color w:val="auto"/>
                <w:kern w:val="0"/>
                <w:szCs w:val="21"/>
                <w:highlight w:val="none"/>
                <w:lang w:val="en-US" w:eastAsia="zh-CN"/>
              </w:rPr>
              <w:t>技术参数</w:t>
            </w:r>
            <w:r>
              <w:rPr>
                <w:rFonts w:hint="eastAsia" w:ascii="宋体" w:hAnsi="宋体" w:eastAsia="宋体" w:cs="Times New Roman"/>
                <w:b w:val="0"/>
                <w:bCs/>
                <w:color w:val="auto"/>
                <w:kern w:val="0"/>
                <w:szCs w:val="21"/>
                <w:highlight w:val="none"/>
                <w:lang w:val="en-US" w:eastAsia="zh-CN"/>
              </w:rPr>
              <w:t>每有1项负偏离从基础分扣除2分，扣完为止。</w:t>
            </w:r>
          </w:p>
          <w:p w14:paraId="49A44E6D">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需提供设备生产企业的满足技术参数证明文件（如宣传册、产品检测报告、说明书等能够显示参数符合的证明材料）并加盖投标人公章，如未提供，该项参数不得分。</w:t>
            </w:r>
          </w:p>
        </w:tc>
        <w:tc>
          <w:tcPr>
            <w:tcW w:w="812" w:type="dxa"/>
            <w:noWrap w:val="0"/>
            <w:vAlign w:val="center"/>
          </w:tcPr>
          <w:p w14:paraId="5FD8529A">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20</w:t>
            </w:r>
          </w:p>
        </w:tc>
      </w:tr>
      <w:tr w14:paraId="6BF4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7" w:hRule="atLeast"/>
          <w:jc w:val="center"/>
        </w:trPr>
        <w:tc>
          <w:tcPr>
            <w:tcW w:w="675" w:type="dxa"/>
            <w:vMerge w:val="continue"/>
            <w:noWrap w:val="0"/>
            <w:vAlign w:val="center"/>
          </w:tcPr>
          <w:p w14:paraId="5059D88D">
            <w:pPr>
              <w:rPr>
                <w:rFonts w:hint="eastAsia" w:ascii="宋体" w:hAnsi="宋体" w:cs="宋体"/>
                <w:color w:val="auto"/>
                <w:highlight w:val="none"/>
              </w:rPr>
            </w:pPr>
          </w:p>
        </w:tc>
        <w:tc>
          <w:tcPr>
            <w:tcW w:w="1039" w:type="dxa"/>
            <w:vMerge w:val="continue"/>
            <w:noWrap w:val="0"/>
            <w:vAlign w:val="center"/>
          </w:tcPr>
          <w:p w14:paraId="2A782A40">
            <w:pPr>
              <w:rPr>
                <w:rFonts w:hint="eastAsia" w:ascii="宋体" w:hAnsi="宋体" w:cs="宋体"/>
                <w:color w:val="auto"/>
                <w:highlight w:val="none"/>
              </w:rPr>
            </w:pPr>
          </w:p>
        </w:tc>
        <w:tc>
          <w:tcPr>
            <w:tcW w:w="1384" w:type="dxa"/>
            <w:noWrap w:val="0"/>
            <w:vAlign w:val="center"/>
          </w:tcPr>
          <w:p w14:paraId="66165D6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质量保证措施</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12</w:t>
            </w:r>
            <w:r>
              <w:rPr>
                <w:rFonts w:hint="eastAsia" w:ascii="新宋体" w:hAnsi="新宋体" w:eastAsia="新宋体" w:cs="新宋体"/>
                <w:color w:val="auto"/>
                <w:highlight w:val="none"/>
              </w:rPr>
              <w:t>分）</w:t>
            </w:r>
          </w:p>
        </w:tc>
        <w:tc>
          <w:tcPr>
            <w:tcW w:w="5628" w:type="dxa"/>
            <w:noWrap w:val="0"/>
            <w:vAlign w:val="center"/>
          </w:tcPr>
          <w:p w14:paraId="4368B345">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针对于本项目制定相应的产品质量保证措施 方案，从产品的生产、运输、交付、使用、验 收等方面为制做方案依据，包含但不限于以下几个方面：1.质量保障措施；2.质量方针；3.质量目标；4.质量标准；5.质量保证依据；6.质量保证原则。</w:t>
            </w:r>
          </w:p>
          <w:p w14:paraId="4A34463D">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以上六项方案每提供一小项内容适用于项目且无缺失的方案得2分，方案有缺失的得1分，满分12分。提供内容中与本项目无关的不得分。 </w:t>
            </w:r>
          </w:p>
          <w:p w14:paraId="69AB1311">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 容缺失有瑕疵、无具体流程细节描述之处）</w:t>
            </w:r>
          </w:p>
        </w:tc>
        <w:tc>
          <w:tcPr>
            <w:tcW w:w="812" w:type="dxa"/>
            <w:noWrap w:val="0"/>
            <w:vAlign w:val="center"/>
          </w:tcPr>
          <w:p w14:paraId="239999BA">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12</w:t>
            </w:r>
          </w:p>
        </w:tc>
      </w:tr>
      <w:tr w14:paraId="35AC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D44D1B5">
            <w:pPr>
              <w:rPr>
                <w:rFonts w:hint="eastAsia" w:ascii="宋体" w:hAnsi="宋体" w:cs="宋体"/>
                <w:color w:val="auto"/>
                <w:highlight w:val="none"/>
              </w:rPr>
            </w:pPr>
          </w:p>
        </w:tc>
        <w:tc>
          <w:tcPr>
            <w:tcW w:w="1039" w:type="dxa"/>
            <w:vMerge w:val="continue"/>
            <w:noWrap w:val="0"/>
            <w:vAlign w:val="center"/>
          </w:tcPr>
          <w:p w14:paraId="5B12C6B7">
            <w:pPr>
              <w:rPr>
                <w:rFonts w:hint="eastAsia" w:ascii="宋体" w:hAnsi="宋体" w:cs="宋体"/>
                <w:color w:val="auto"/>
                <w:highlight w:val="none"/>
              </w:rPr>
            </w:pPr>
          </w:p>
        </w:tc>
        <w:tc>
          <w:tcPr>
            <w:tcW w:w="1384" w:type="dxa"/>
            <w:noWrap w:val="0"/>
            <w:vAlign w:val="center"/>
          </w:tcPr>
          <w:p w14:paraId="5B9E4A3B">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培训方案</w:t>
            </w:r>
          </w:p>
          <w:p w14:paraId="27ED0952">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5</w:t>
            </w:r>
            <w:r>
              <w:rPr>
                <w:rFonts w:hint="eastAsia" w:ascii="新宋体" w:hAnsi="新宋体" w:eastAsia="新宋体" w:cs="新宋体"/>
                <w:color w:val="auto"/>
                <w:highlight w:val="none"/>
              </w:rPr>
              <w:t>分）</w:t>
            </w:r>
          </w:p>
        </w:tc>
        <w:tc>
          <w:tcPr>
            <w:tcW w:w="5628" w:type="dxa"/>
            <w:noWrap w:val="0"/>
            <w:vAlign w:val="center"/>
          </w:tcPr>
          <w:p w14:paraId="50E90B73">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培训计划方案中应至少包括以下内容：1.培训内容；2.培训计划；3.培训目标；4.培训理念；5.培训方式。以上五项方案每提供一小项内容适用于项目且无缺失的方案得1分，方案有缺失的得0.5分，满分5分。提供内容中与本项目无关的不得分。 </w:t>
            </w:r>
          </w:p>
          <w:p w14:paraId="5CF6CD8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2A247069">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0-5</w:t>
            </w:r>
          </w:p>
        </w:tc>
      </w:tr>
      <w:tr w14:paraId="5214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4AA891A3">
            <w:pPr>
              <w:rPr>
                <w:rFonts w:hint="eastAsia" w:ascii="宋体" w:hAnsi="宋体" w:cs="宋体"/>
                <w:color w:val="auto"/>
                <w:highlight w:val="none"/>
              </w:rPr>
            </w:pPr>
          </w:p>
        </w:tc>
        <w:tc>
          <w:tcPr>
            <w:tcW w:w="1039" w:type="dxa"/>
            <w:vMerge w:val="continue"/>
            <w:noWrap w:val="0"/>
            <w:vAlign w:val="center"/>
          </w:tcPr>
          <w:p w14:paraId="31D46FF4">
            <w:pPr>
              <w:rPr>
                <w:rFonts w:hint="eastAsia" w:ascii="宋体" w:hAnsi="宋体" w:cs="宋体"/>
                <w:color w:val="auto"/>
                <w:highlight w:val="none"/>
              </w:rPr>
            </w:pPr>
          </w:p>
        </w:tc>
        <w:tc>
          <w:tcPr>
            <w:tcW w:w="1384" w:type="dxa"/>
            <w:noWrap w:val="0"/>
            <w:vAlign w:val="center"/>
          </w:tcPr>
          <w:p w14:paraId="6DE3E3E6">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供货方案</w:t>
            </w:r>
          </w:p>
          <w:p w14:paraId="139825D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（10</w:t>
            </w:r>
            <w:r>
              <w:rPr>
                <w:rFonts w:hint="eastAsia" w:ascii="新宋体" w:hAnsi="新宋体" w:eastAsia="新宋体" w:cs="新宋体"/>
                <w:color w:val="auto"/>
                <w:highlight w:val="none"/>
              </w:rPr>
              <w:t>分）</w:t>
            </w:r>
          </w:p>
        </w:tc>
        <w:tc>
          <w:tcPr>
            <w:tcW w:w="5628" w:type="dxa"/>
            <w:noWrap w:val="0"/>
            <w:vAlign w:val="center"/>
          </w:tcPr>
          <w:p w14:paraId="0CACC674">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投标人提供本项目产品的供货方案：内容包含 1.供货计划；2.供货流程；3.时间安排；4.供货方式；5.运输方案等，以上五项内容每提供一小项内容适用于项目且无缺失方案得2分，方案有缺失的得1分，满分10分。提供内容中与本项目无关的不得分。</w:t>
            </w:r>
          </w:p>
          <w:p w14:paraId="297F537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3B12A035">
            <w:pPr>
              <w:jc w:val="center"/>
              <w:rPr>
                <w:rFonts w:hint="default" w:ascii="宋体" w:hAnsi="宋体" w:eastAsia="宋体" w:cs="宋体"/>
                <w:color w:val="auto"/>
                <w:szCs w:val="21"/>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10</w:t>
            </w:r>
          </w:p>
        </w:tc>
      </w:tr>
      <w:tr w14:paraId="390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75" w:type="dxa"/>
            <w:vMerge w:val="continue"/>
            <w:noWrap w:val="0"/>
            <w:vAlign w:val="center"/>
          </w:tcPr>
          <w:p w14:paraId="2745E540">
            <w:pPr>
              <w:rPr>
                <w:rFonts w:hint="eastAsia" w:ascii="宋体" w:hAnsi="宋体" w:cs="宋体"/>
                <w:color w:val="auto"/>
                <w:highlight w:val="none"/>
              </w:rPr>
            </w:pPr>
          </w:p>
        </w:tc>
        <w:tc>
          <w:tcPr>
            <w:tcW w:w="1039" w:type="dxa"/>
            <w:vMerge w:val="continue"/>
            <w:noWrap w:val="0"/>
            <w:vAlign w:val="center"/>
          </w:tcPr>
          <w:p w14:paraId="16678C9D">
            <w:pPr>
              <w:rPr>
                <w:rFonts w:hint="eastAsia" w:ascii="宋体" w:hAnsi="宋体" w:cs="宋体"/>
                <w:color w:val="auto"/>
                <w:highlight w:val="none"/>
              </w:rPr>
            </w:pPr>
          </w:p>
        </w:tc>
        <w:tc>
          <w:tcPr>
            <w:tcW w:w="1384" w:type="dxa"/>
            <w:noWrap w:val="0"/>
            <w:vAlign w:val="center"/>
          </w:tcPr>
          <w:p w14:paraId="410E80AD">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应急方案及措施（</w:t>
            </w:r>
            <w:r>
              <w:rPr>
                <w:rFonts w:hint="eastAsia" w:ascii="新宋体" w:hAnsi="新宋体" w:eastAsia="新宋体" w:cs="新宋体"/>
                <w:color w:val="auto"/>
                <w:highlight w:val="none"/>
                <w:lang w:val="en-US" w:eastAsia="zh-CN"/>
              </w:rPr>
              <w:t>6</w:t>
            </w:r>
            <w:r>
              <w:rPr>
                <w:rFonts w:hint="eastAsia" w:ascii="新宋体" w:hAnsi="新宋体" w:eastAsia="新宋体" w:cs="新宋体"/>
                <w:color w:val="auto"/>
                <w:highlight w:val="none"/>
              </w:rPr>
              <w:t>分）</w:t>
            </w:r>
          </w:p>
        </w:tc>
        <w:tc>
          <w:tcPr>
            <w:tcW w:w="5628" w:type="dxa"/>
            <w:noWrap w:val="0"/>
            <w:vAlign w:val="center"/>
          </w:tcPr>
          <w:p w14:paraId="3B5CC05F">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应急方案中应至少包括以下内容：1.人身伤害应急处理；2.设备事故应急处理；3.安全突发事件技术鉴定；4.应急装备、物资保障；5.应急响应时间6.应急预防措施等。以上六项方案每提供一小项内容适用于项目且无缺失的方案得1分，方案有缺失的得0.5分，满分6分。提供内容中与本项目无关的不得分。 </w:t>
            </w:r>
          </w:p>
          <w:p w14:paraId="59430205">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04DCC55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14:paraId="5B78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6A386365">
            <w:pPr>
              <w:rPr>
                <w:rFonts w:hint="eastAsia" w:ascii="宋体" w:hAnsi="宋体" w:cs="宋体"/>
                <w:color w:val="auto"/>
                <w:highlight w:val="none"/>
              </w:rPr>
            </w:pPr>
          </w:p>
        </w:tc>
        <w:tc>
          <w:tcPr>
            <w:tcW w:w="1039" w:type="dxa"/>
            <w:vMerge w:val="continue"/>
            <w:noWrap w:val="0"/>
            <w:vAlign w:val="center"/>
          </w:tcPr>
          <w:p w14:paraId="34BA220A">
            <w:pPr>
              <w:rPr>
                <w:rFonts w:hint="eastAsia" w:ascii="宋体" w:hAnsi="宋体" w:cs="宋体"/>
                <w:color w:val="auto"/>
                <w:highlight w:val="none"/>
              </w:rPr>
            </w:pPr>
          </w:p>
        </w:tc>
        <w:tc>
          <w:tcPr>
            <w:tcW w:w="1384" w:type="dxa"/>
            <w:noWrap w:val="0"/>
            <w:vAlign w:val="center"/>
          </w:tcPr>
          <w:p w14:paraId="3613A3E3">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安装调试方案</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8</w:t>
            </w:r>
            <w:r>
              <w:rPr>
                <w:rFonts w:hint="eastAsia" w:ascii="新宋体" w:hAnsi="新宋体" w:eastAsia="新宋体" w:cs="新宋体"/>
                <w:color w:val="auto"/>
                <w:highlight w:val="none"/>
              </w:rPr>
              <w:t>分）</w:t>
            </w:r>
          </w:p>
        </w:tc>
        <w:tc>
          <w:tcPr>
            <w:tcW w:w="5628" w:type="dxa"/>
            <w:noWrap w:val="0"/>
            <w:vAlign w:val="center"/>
          </w:tcPr>
          <w:p w14:paraId="02C4CC5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针对本项目实际安装情况：1.安装方案；2.调试方案；3.运输方案；4.验收方案。以上四项内容每提供一小项内容适用于项目且无缺失的方案得2分，方案有缺失的得1分，满分8分。提供内容中与本项目无关的不得分。 </w:t>
            </w:r>
          </w:p>
          <w:p w14:paraId="539CFA8D">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3A10BEEE">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0-8</w:t>
            </w:r>
          </w:p>
        </w:tc>
      </w:tr>
      <w:tr w14:paraId="35EC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675" w:type="dxa"/>
            <w:vMerge w:val="restart"/>
            <w:noWrap w:val="0"/>
            <w:vAlign w:val="center"/>
          </w:tcPr>
          <w:p w14:paraId="75AC9C3B">
            <w:pPr>
              <w:rPr>
                <w:rFonts w:hint="eastAsia" w:ascii="宋体" w:hAnsi="宋体" w:cs="宋体"/>
                <w:color w:val="auto"/>
                <w:highlight w:val="none"/>
              </w:rPr>
            </w:pPr>
            <w:r>
              <w:rPr>
                <w:rFonts w:hint="eastAsia" w:ascii="宋体" w:hAnsi="宋体" w:cs="宋体"/>
                <w:color w:val="auto"/>
                <w:highlight w:val="none"/>
              </w:rPr>
              <w:t>2</w:t>
            </w:r>
          </w:p>
        </w:tc>
        <w:tc>
          <w:tcPr>
            <w:tcW w:w="1039" w:type="dxa"/>
            <w:vMerge w:val="restart"/>
            <w:noWrap w:val="0"/>
            <w:vAlign w:val="center"/>
          </w:tcPr>
          <w:p w14:paraId="6752A025">
            <w:pPr>
              <w:rPr>
                <w:rFonts w:hint="eastAsia" w:ascii="宋体" w:hAnsi="宋体" w:cs="宋体"/>
                <w:color w:val="auto"/>
                <w:highlight w:val="none"/>
              </w:rPr>
            </w:pPr>
            <w:r>
              <w:rPr>
                <w:rFonts w:hint="eastAsia" w:ascii="宋体" w:hAnsi="宋体" w:cs="宋体"/>
                <w:color w:val="auto"/>
                <w:highlight w:val="none"/>
              </w:rPr>
              <w:t>商务</w:t>
            </w:r>
          </w:p>
          <w:p w14:paraId="206E3419">
            <w:pPr>
              <w:rPr>
                <w:rFonts w:hint="eastAsia" w:ascii="宋体" w:hAnsi="宋体" w:cs="宋体"/>
                <w:color w:val="auto"/>
                <w:highlight w:val="none"/>
              </w:rPr>
            </w:pPr>
            <w:r>
              <w:rPr>
                <w:rFonts w:hint="eastAsia" w:ascii="宋体" w:hAnsi="宋体" w:cs="宋体"/>
                <w:color w:val="auto"/>
                <w:highlight w:val="none"/>
              </w:rPr>
              <w:t>部分</w:t>
            </w:r>
          </w:p>
          <w:p w14:paraId="2A618152">
            <w:pP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39</w:t>
            </w:r>
            <w:r>
              <w:rPr>
                <w:rFonts w:hint="eastAsia" w:ascii="宋体" w:hAnsi="宋体" w:cs="宋体"/>
                <w:color w:val="auto"/>
                <w:highlight w:val="none"/>
              </w:rPr>
              <w:t>分）</w:t>
            </w:r>
          </w:p>
        </w:tc>
        <w:tc>
          <w:tcPr>
            <w:tcW w:w="1384" w:type="dxa"/>
            <w:noWrap w:val="0"/>
            <w:vAlign w:val="center"/>
          </w:tcPr>
          <w:p w14:paraId="0D75C31B">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投标报价得分</w:t>
            </w:r>
          </w:p>
          <w:p w14:paraId="0CA0959A">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（30分）</w:t>
            </w:r>
          </w:p>
        </w:tc>
        <w:tc>
          <w:tcPr>
            <w:tcW w:w="5628" w:type="dxa"/>
            <w:noWrap w:val="0"/>
            <w:vAlign w:val="center"/>
          </w:tcPr>
          <w:p w14:paraId="4F9AF16C">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投标报价得分=（评标基准价／投标报价）×价权值×100 </w:t>
            </w:r>
          </w:p>
        </w:tc>
        <w:tc>
          <w:tcPr>
            <w:tcW w:w="812" w:type="dxa"/>
            <w:noWrap w:val="0"/>
            <w:vAlign w:val="center"/>
          </w:tcPr>
          <w:p w14:paraId="643027BD">
            <w:pPr>
              <w:jc w:val="center"/>
              <w:rPr>
                <w:rFonts w:hint="eastAsia" w:ascii="宋体" w:hAnsi="宋体" w:cs="宋体"/>
                <w:color w:val="auto"/>
                <w:highlight w:val="none"/>
              </w:rPr>
            </w:pPr>
            <w:r>
              <w:rPr>
                <w:rFonts w:hint="eastAsia" w:ascii="宋体" w:hAnsi="宋体" w:cs="宋体"/>
                <w:color w:val="auto"/>
                <w:highlight w:val="none"/>
              </w:rPr>
              <w:t>0-30</w:t>
            </w:r>
          </w:p>
        </w:tc>
      </w:tr>
      <w:tr w14:paraId="2697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282A8DB">
            <w:pPr>
              <w:rPr>
                <w:rFonts w:hint="eastAsia" w:ascii="宋体" w:hAnsi="宋体" w:cs="宋体"/>
                <w:color w:val="auto"/>
                <w:highlight w:val="none"/>
              </w:rPr>
            </w:pPr>
          </w:p>
        </w:tc>
        <w:tc>
          <w:tcPr>
            <w:tcW w:w="1039" w:type="dxa"/>
            <w:vMerge w:val="continue"/>
            <w:noWrap w:val="0"/>
            <w:vAlign w:val="center"/>
          </w:tcPr>
          <w:p w14:paraId="591D48C3">
            <w:pPr>
              <w:rPr>
                <w:rFonts w:hint="eastAsia" w:ascii="宋体" w:hAnsi="宋体" w:cs="宋体"/>
                <w:color w:val="auto"/>
                <w:highlight w:val="none"/>
              </w:rPr>
            </w:pPr>
          </w:p>
        </w:tc>
        <w:tc>
          <w:tcPr>
            <w:tcW w:w="1384" w:type="dxa"/>
            <w:noWrap w:val="0"/>
            <w:vAlign w:val="center"/>
          </w:tcPr>
          <w:p w14:paraId="434B70F2">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售后服务</w:t>
            </w:r>
          </w:p>
          <w:p w14:paraId="3EED1FF1">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（3分）</w:t>
            </w:r>
          </w:p>
        </w:tc>
        <w:tc>
          <w:tcPr>
            <w:tcW w:w="5628" w:type="dxa"/>
            <w:noWrap w:val="0"/>
            <w:vAlign w:val="center"/>
          </w:tcPr>
          <w:p w14:paraId="6B62ECC3">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售后服务方案至少包括以下内容：</w:t>
            </w:r>
            <w:r>
              <w:rPr>
                <w:rFonts w:hint="eastAsia" w:ascii="新宋体" w:hAnsi="新宋体" w:eastAsia="新宋体" w:cs="新宋体"/>
                <w:color w:val="auto"/>
                <w:highlight w:val="none"/>
                <w:lang w:val="en-US" w:eastAsia="zh-CN"/>
              </w:rPr>
              <w:t>1.</w:t>
            </w:r>
            <w:r>
              <w:rPr>
                <w:rFonts w:hint="default" w:ascii="新宋体" w:hAnsi="新宋体" w:eastAsia="新宋体" w:cs="新宋体"/>
                <w:color w:val="auto"/>
                <w:highlight w:val="none"/>
                <w:lang w:val="en-US" w:eastAsia="zh-CN"/>
              </w:rPr>
              <w:t>售后服务承诺体系；</w:t>
            </w:r>
            <w:r>
              <w:rPr>
                <w:rFonts w:hint="eastAsia" w:ascii="新宋体" w:hAnsi="新宋体" w:eastAsia="新宋体" w:cs="新宋体"/>
                <w:color w:val="auto"/>
                <w:highlight w:val="none"/>
                <w:lang w:val="en-US" w:eastAsia="zh-CN"/>
              </w:rPr>
              <w:t>2</w:t>
            </w:r>
            <w:r>
              <w:rPr>
                <w:rFonts w:hint="default" w:ascii="新宋体" w:hAnsi="新宋体" w:eastAsia="新宋体" w:cs="新宋体"/>
                <w:color w:val="auto"/>
                <w:highlight w:val="none"/>
                <w:lang w:val="en-US" w:eastAsia="zh-CN"/>
              </w:rPr>
              <w:t>.技术支持保障；</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.退换货流程</w:t>
            </w:r>
            <w:r>
              <w:rPr>
                <w:rFonts w:hint="eastAsia" w:ascii="新宋体" w:hAnsi="新宋体" w:eastAsia="新宋体" w:cs="新宋体"/>
                <w:color w:val="auto"/>
                <w:highlight w:val="none"/>
                <w:lang w:val="en-US" w:eastAsia="zh-CN"/>
              </w:rPr>
              <w:t>及</w:t>
            </w:r>
            <w:r>
              <w:rPr>
                <w:rFonts w:hint="default" w:ascii="新宋体" w:hAnsi="新宋体" w:eastAsia="新宋体" w:cs="新宋体"/>
                <w:color w:val="auto"/>
                <w:highlight w:val="none"/>
                <w:lang w:val="en-US" w:eastAsia="zh-CN"/>
              </w:rPr>
              <w:t>售后服务响应时间；以上</w:t>
            </w:r>
            <w:r>
              <w:rPr>
                <w:rFonts w:hint="eastAsia" w:ascii="新宋体" w:hAnsi="新宋体" w:eastAsia="新宋体" w:cs="新宋体"/>
                <w:color w:val="auto"/>
                <w:highlight w:val="none"/>
                <w:lang w:val="en-US" w:eastAsia="zh-CN"/>
              </w:rPr>
              <w:t>三</w:t>
            </w:r>
            <w:r>
              <w:rPr>
                <w:rFonts w:hint="default" w:ascii="新宋体" w:hAnsi="新宋体" w:eastAsia="新宋体" w:cs="新宋体"/>
                <w:color w:val="auto"/>
                <w:highlight w:val="none"/>
                <w:lang w:val="en-US" w:eastAsia="zh-CN"/>
              </w:rPr>
              <w:t>项方案每提供一小项内容适用于项目且无缺失的方案得1分，方案有缺失的得0.5分，满分</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 xml:space="preserve">分。提供内容中与本项目无关的不得分。 </w:t>
            </w:r>
          </w:p>
          <w:p w14:paraId="2B0B5237">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6344EBCE">
            <w:pPr>
              <w:jc w:val="center"/>
              <w:rPr>
                <w:rFonts w:hint="eastAsia" w:ascii="宋体" w:hAnsi="宋体" w:eastAsia="宋体" w:cs="宋体"/>
                <w:color w:val="auto"/>
                <w:highlight w:val="none"/>
                <w:lang w:eastAsia="zh-CN"/>
              </w:rPr>
            </w:pPr>
            <w:r>
              <w:rPr>
                <w:rFonts w:hint="eastAsia" w:ascii="宋体" w:hAnsi="宋体" w:cs="宋体"/>
                <w:color w:val="auto"/>
                <w:highlight w:val="none"/>
              </w:rPr>
              <w:t>0-</w:t>
            </w:r>
            <w:r>
              <w:rPr>
                <w:rFonts w:hint="eastAsia" w:ascii="宋体" w:hAnsi="宋体" w:cs="宋体"/>
                <w:color w:val="auto"/>
                <w:highlight w:val="none"/>
                <w:lang w:val="en-US" w:eastAsia="zh-CN"/>
              </w:rPr>
              <w:t>3</w:t>
            </w:r>
          </w:p>
        </w:tc>
      </w:tr>
      <w:tr w14:paraId="4E08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675" w:type="dxa"/>
            <w:vMerge w:val="continue"/>
            <w:noWrap w:val="0"/>
            <w:vAlign w:val="center"/>
          </w:tcPr>
          <w:p w14:paraId="534D6A89">
            <w:pPr>
              <w:rPr>
                <w:rFonts w:hint="eastAsia" w:ascii="宋体" w:hAnsi="宋体" w:cs="宋体"/>
                <w:color w:val="auto"/>
                <w:highlight w:val="none"/>
              </w:rPr>
            </w:pPr>
          </w:p>
        </w:tc>
        <w:tc>
          <w:tcPr>
            <w:tcW w:w="1039" w:type="dxa"/>
            <w:vMerge w:val="continue"/>
            <w:noWrap w:val="0"/>
            <w:vAlign w:val="center"/>
          </w:tcPr>
          <w:p w14:paraId="2B8042E6">
            <w:pPr>
              <w:rPr>
                <w:rFonts w:hint="eastAsia" w:ascii="宋体" w:hAnsi="宋体" w:cs="宋体"/>
                <w:color w:val="auto"/>
                <w:highlight w:val="none"/>
              </w:rPr>
            </w:pPr>
          </w:p>
        </w:tc>
        <w:tc>
          <w:tcPr>
            <w:tcW w:w="1384" w:type="dxa"/>
            <w:noWrap w:val="0"/>
            <w:vAlign w:val="center"/>
          </w:tcPr>
          <w:p w14:paraId="135469C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05B2B711">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5628" w:type="dxa"/>
            <w:noWrap w:val="0"/>
            <w:vAlign w:val="center"/>
          </w:tcPr>
          <w:p w14:paraId="25D7C43F">
            <w:pPr>
              <w:autoSpaceDE w:val="0"/>
              <w:autoSpaceDN w:val="0"/>
              <w:adjustRightInd w:val="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供应商每提供一项</w:t>
            </w:r>
            <w:r>
              <w:rPr>
                <w:rFonts w:hint="eastAsia" w:ascii="宋体" w:hAnsi="宋体" w:cs="宋体"/>
                <w:color w:val="auto"/>
                <w:sz w:val="21"/>
                <w:szCs w:val="21"/>
                <w:highlight w:val="none"/>
              </w:rPr>
              <w:t>近三年(202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年1月1日</w:t>
            </w:r>
            <w:r>
              <w:rPr>
                <w:rFonts w:hint="eastAsia" w:ascii="宋体" w:hAnsi="宋体" w:cs="宋体"/>
                <w:color w:val="auto"/>
                <w:sz w:val="21"/>
                <w:szCs w:val="21"/>
                <w:highlight w:val="none"/>
                <w:lang w:eastAsia="zh-CN"/>
              </w:rPr>
              <w:t>至今</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完成的类似项目业绩，</w:t>
            </w:r>
            <w:r>
              <w:rPr>
                <w:rFonts w:hint="eastAsia" w:ascii="宋体" w:hAnsi="宋体" w:cs="宋体"/>
                <w:color w:val="auto"/>
                <w:kern w:val="0"/>
                <w:sz w:val="21"/>
                <w:szCs w:val="21"/>
                <w:highlight w:val="none"/>
                <w:lang w:eastAsia="zh-CN"/>
              </w:rPr>
              <w:t>每</w:t>
            </w:r>
            <w:r>
              <w:rPr>
                <w:rFonts w:hint="eastAsia" w:ascii="宋体" w:hAnsi="宋体" w:cs="宋体"/>
                <w:color w:val="auto"/>
                <w:kern w:val="0"/>
                <w:sz w:val="21"/>
                <w:szCs w:val="21"/>
                <w:highlight w:val="none"/>
                <w:lang w:val="en-US" w:eastAsia="zh-CN"/>
              </w:rPr>
              <w:t>提供一</w:t>
            </w:r>
            <w:r>
              <w:rPr>
                <w:rFonts w:hint="eastAsia" w:ascii="宋体" w:hAnsi="宋体" w:cs="宋体"/>
                <w:color w:val="auto"/>
                <w:kern w:val="0"/>
                <w:sz w:val="21"/>
                <w:szCs w:val="21"/>
                <w:highlight w:val="none"/>
                <w:lang w:eastAsia="zh-CN"/>
              </w:rPr>
              <w:t>项</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分。（评分依据：</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内提供业绩合同或中标通知书复印件，未按要求提供不得分）。</w:t>
            </w:r>
          </w:p>
        </w:tc>
        <w:tc>
          <w:tcPr>
            <w:tcW w:w="812" w:type="dxa"/>
            <w:noWrap w:val="0"/>
            <w:vAlign w:val="center"/>
          </w:tcPr>
          <w:p w14:paraId="5BD23E0F">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0-</w:t>
            </w:r>
            <w:r>
              <w:rPr>
                <w:rFonts w:hint="eastAsia" w:ascii="宋体" w:hAnsi="宋体" w:cs="宋体"/>
                <w:color w:val="auto"/>
                <w:highlight w:val="none"/>
                <w:lang w:val="en-US" w:eastAsia="zh-CN"/>
              </w:rPr>
              <w:t>2</w:t>
            </w:r>
          </w:p>
        </w:tc>
      </w:tr>
      <w:tr w14:paraId="0A63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675" w:type="dxa"/>
            <w:vMerge w:val="continue"/>
            <w:noWrap w:val="0"/>
            <w:vAlign w:val="center"/>
          </w:tcPr>
          <w:p w14:paraId="7587895C">
            <w:pPr>
              <w:rPr>
                <w:rFonts w:hint="eastAsia" w:ascii="宋体" w:hAnsi="宋体" w:cs="宋体"/>
                <w:color w:val="auto"/>
                <w:highlight w:val="none"/>
              </w:rPr>
            </w:pPr>
          </w:p>
        </w:tc>
        <w:tc>
          <w:tcPr>
            <w:tcW w:w="1039" w:type="dxa"/>
            <w:vMerge w:val="continue"/>
            <w:noWrap w:val="0"/>
            <w:vAlign w:val="center"/>
          </w:tcPr>
          <w:p w14:paraId="5673BF9C">
            <w:pPr>
              <w:rPr>
                <w:rFonts w:hint="eastAsia" w:ascii="宋体" w:hAnsi="宋体" w:cs="宋体"/>
                <w:color w:val="auto"/>
                <w:highlight w:val="none"/>
              </w:rPr>
            </w:pPr>
          </w:p>
        </w:tc>
        <w:tc>
          <w:tcPr>
            <w:tcW w:w="1384" w:type="dxa"/>
            <w:noWrap w:val="0"/>
            <w:vAlign w:val="center"/>
          </w:tcPr>
          <w:p w14:paraId="7E446458">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优惠条件</w:t>
            </w:r>
          </w:p>
          <w:p w14:paraId="78F819CA">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5628" w:type="dxa"/>
            <w:noWrap w:val="0"/>
            <w:vAlign w:val="center"/>
          </w:tcPr>
          <w:p w14:paraId="3F388968">
            <w:pPr>
              <w:autoSpaceDE w:val="0"/>
              <w:autoSpaceDN w:val="0"/>
              <w:adjustRightInd w:val="0"/>
              <w:rPr>
                <w:rFonts w:hint="default" w:ascii="宋体" w:hAnsi="宋体" w:cs="宋体"/>
                <w:color w:val="auto"/>
                <w:kern w:val="0"/>
                <w:sz w:val="21"/>
                <w:szCs w:val="21"/>
                <w:highlight w:val="none"/>
                <w:lang w:val="en-US" w:eastAsia="zh-CN" w:bidi="ar-SA"/>
              </w:rPr>
            </w:pPr>
            <w:r>
              <w:rPr>
                <w:rFonts w:hint="eastAsia" w:ascii="宋体" w:hAnsi="宋体" w:eastAsia="宋体" w:cs="宋体"/>
                <w:color w:val="auto"/>
                <w:sz w:val="21"/>
                <w:szCs w:val="21"/>
                <w:lang w:val="en-US" w:eastAsia="zh-CN"/>
              </w:rPr>
              <w:t>采购人能够接受的实质性的优惠条件，包括但不限于产品的更新、维护时间、服务响应时间，服务承诺体系等</w:t>
            </w:r>
            <w:r>
              <w:rPr>
                <w:rFonts w:hint="eastAsia" w:ascii="宋体" w:hAnsi="宋体" w:cs="宋体"/>
                <w:color w:val="auto"/>
                <w:sz w:val="21"/>
                <w:szCs w:val="21"/>
                <w:lang w:val="en-US" w:eastAsia="zh-CN"/>
              </w:rPr>
              <w:t>相关内容</w:t>
            </w:r>
            <w:r>
              <w:rPr>
                <w:rFonts w:hint="eastAsia" w:ascii="宋体" w:hAnsi="宋体" w:eastAsia="宋体" w:cs="宋体"/>
                <w:color w:val="auto"/>
                <w:sz w:val="21"/>
                <w:szCs w:val="21"/>
                <w:lang w:val="en-US" w:eastAsia="zh-CN"/>
              </w:rPr>
              <w:t>，每有一项得1分，最高得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分，没有不得分</w:t>
            </w:r>
          </w:p>
        </w:tc>
        <w:tc>
          <w:tcPr>
            <w:tcW w:w="812" w:type="dxa"/>
            <w:noWrap w:val="0"/>
            <w:vAlign w:val="center"/>
          </w:tcPr>
          <w:p w14:paraId="0C98E9A4">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r>
    </w:tbl>
    <w:p w14:paraId="7729C3A2">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76B3BE92">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0A1A894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3B7CD77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0BD5A5B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202E15E5">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2176FF59">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1DC34116">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0F26C11F">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4711539E">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4991C28E">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1A2BA7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7542B4E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6150DE9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074A73A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3CB0DE5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268B2E1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6A77582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247E073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47339A58">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6F2302D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09F6A15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B7433D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1E54688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302BD5B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0ECCF6C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7AABE48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5914630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2C9E53AE">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447451A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189A65C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16E2E31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6DC1A47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16BEDE2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7DC6C5F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043B0D4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55596F18">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3E0D28E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02E85C7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65ED46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7DF0E83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1F35C18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7697379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785A564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6B9CB23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F4CADE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559F9E3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2748176E">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4F7AABB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581FCA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055780C7">
      <w:pPr>
        <w:rPr>
          <w:rFonts w:hint="eastAsia" w:ascii="宋体" w:hAnsi="宋体" w:eastAsia="宋体" w:cs="宋体"/>
          <w:b/>
          <w:bCs/>
          <w:sz w:val="40"/>
          <w:szCs w:val="40"/>
          <w:highlight w:val="none"/>
          <w:lang w:val="zh-CN"/>
        </w:rPr>
      </w:pPr>
      <w:bookmarkStart w:id="26" w:name="_Toc28368"/>
      <w:r>
        <w:rPr>
          <w:rFonts w:hint="eastAsia" w:ascii="宋体" w:hAnsi="宋体" w:eastAsia="宋体" w:cs="宋体"/>
          <w:b/>
          <w:bCs/>
          <w:sz w:val="40"/>
          <w:szCs w:val="40"/>
          <w:highlight w:val="none"/>
          <w:lang w:val="zh-CN"/>
        </w:rPr>
        <w:br w:type="page"/>
      </w:r>
    </w:p>
    <w:p w14:paraId="2469B914">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7" w:name="_Toc31141"/>
      <w:r>
        <w:rPr>
          <w:rFonts w:hint="eastAsia" w:ascii="宋体" w:hAnsi="宋体" w:eastAsia="宋体" w:cs="宋体"/>
          <w:b/>
          <w:sz w:val="32"/>
          <w:szCs w:val="28"/>
          <w:highlight w:val="none"/>
          <w:lang w:val="zh-CN" w:eastAsia="zh-CN"/>
        </w:rPr>
        <w:t>第四章  合同条款及格式</w:t>
      </w:r>
      <w:bookmarkEnd w:id="26"/>
      <w:bookmarkEnd w:id="27"/>
    </w:p>
    <w:p w14:paraId="64472627">
      <w:pPr>
        <w:pStyle w:val="2"/>
        <w:spacing w:after="120" w:line="240" w:lineRule="auto"/>
        <w:rPr>
          <w:rFonts w:hint="eastAsia" w:ascii="宋体" w:hAnsi="宋体" w:cs="宋体"/>
          <w:highlight w:val="none"/>
          <w:lang w:val="zh-CN"/>
        </w:rPr>
      </w:pPr>
      <w:bookmarkStart w:id="28" w:name="_Toc2050"/>
      <w:bookmarkStart w:id="29" w:name="_Toc21023"/>
      <w:r>
        <w:rPr>
          <w:rFonts w:hint="eastAsia" w:ascii="宋体" w:hAnsi="宋体" w:cs="宋体"/>
          <w:highlight w:val="none"/>
          <w:lang w:val="zh-CN"/>
        </w:rPr>
        <w:t>（仅供参考，以双方实际签订合同为准）</w:t>
      </w:r>
      <w:bookmarkEnd w:id="28"/>
      <w:bookmarkEnd w:id="29"/>
    </w:p>
    <w:p w14:paraId="226D971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0625E04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57CDB6D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28A33F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41EAFC9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171F4D6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4073387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225152E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72CCA9C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53D1F7E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5F6A8A6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1E18B549">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75C9615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1A1CB1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21ADA763">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7B5DFF4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65DAAB6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39F1759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E62078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5BF4D3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17FA32A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66DB689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73F0530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44178C18">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7501D4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7FC92D7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073AAFE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7FC1C8D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16826D0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1A18374E">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5267C7A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76C0B27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3A579D5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1545A6F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14A78ED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776D89B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485CCFC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19ABCC25">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2286685D">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4161B71F">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4D4680D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42B5AE7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4CD96EC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1375CEC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1DC2472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7AD711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478B437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D1C24A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6D5242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04C9AAD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2597C53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45A1C16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789408E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7AD7285B">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0DE10C4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1EFC708A">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398220C0">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75A2FA2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1BEC6DF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5AE562E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4F40F5C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28EB1AB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FA478E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57C59A1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5BACFE8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367937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4F7C06A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3A81806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1A9D76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4F612E0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2AF812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4FC5636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62CD912F">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146438D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5CF3361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6149C3D7">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56CBCE7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7653D5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61B1791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632C1CB5">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458B5EA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1D64253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4690CFD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50ECD8E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6C53F7F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7B0DF497">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491B3F38">
      <w:pPr>
        <w:autoSpaceDE w:val="0"/>
        <w:autoSpaceDN w:val="0"/>
        <w:adjustRightInd w:val="0"/>
        <w:spacing w:line="360" w:lineRule="auto"/>
        <w:ind w:firstLine="482"/>
        <w:rPr>
          <w:rFonts w:hint="eastAsia" w:ascii="宋体" w:hAnsi="宋体" w:cs="宋体"/>
          <w:sz w:val="24"/>
          <w:highlight w:val="none"/>
        </w:rPr>
      </w:pPr>
    </w:p>
    <w:p w14:paraId="76E60BF6">
      <w:pPr>
        <w:autoSpaceDE w:val="0"/>
        <w:autoSpaceDN w:val="0"/>
        <w:adjustRightInd w:val="0"/>
        <w:spacing w:line="360" w:lineRule="auto"/>
        <w:ind w:firstLine="482"/>
        <w:rPr>
          <w:rFonts w:hint="eastAsia" w:ascii="宋体" w:hAnsi="宋体" w:cs="宋体"/>
          <w:sz w:val="24"/>
          <w:highlight w:val="none"/>
        </w:rPr>
      </w:pPr>
    </w:p>
    <w:p w14:paraId="049C0361">
      <w:pPr>
        <w:rPr>
          <w:rFonts w:hint="eastAsia" w:ascii="宋体" w:hAnsi="宋体" w:cs="宋体"/>
          <w:highlight w:val="none"/>
          <w:lang w:val="zh-CN"/>
        </w:rPr>
      </w:pPr>
    </w:p>
    <w:p w14:paraId="5758C761">
      <w:pPr>
        <w:autoSpaceDE w:val="0"/>
        <w:autoSpaceDN w:val="0"/>
        <w:adjustRightInd w:val="0"/>
        <w:spacing w:line="360" w:lineRule="auto"/>
        <w:ind w:firstLine="482"/>
        <w:rPr>
          <w:rFonts w:hint="eastAsia" w:ascii="宋体" w:hAnsi="宋体" w:cs="宋体"/>
          <w:szCs w:val="21"/>
          <w:highlight w:val="none"/>
        </w:rPr>
      </w:pPr>
    </w:p>
    <w:p w14:paraId="3E3FB080">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1AE2E63F">
      <w:pPr>
        <w:pStyle w:val="2"/>
        <w:bidi w:val="0"/>
        <w:rPr>
          <w:rFonts w:hint="eastAsia"/>
          <w:highlight w:val="none"/>
          <w:lang w:val="en-US" w:eastAsia="zh-CN"/>
        </w:rPr>
      </w:pPr>
      <w:bookmarkStart w:id="30" w:name="_Toc30149"/>
      <w:r>
        <w:rPr>
          <w:rFonts w:hint="eastAsia"/>
          <w:highlight w:val="none"/>
          <w:lang w:val="en-US" w:eastAsia="zh-CN"/>
        </w:rPr>
        <w:t>第五章 政府采购合同书</w:t>
      </w:r>
      <w:bookmarkEnd w:id="30"/>
    </w:p>
    <w:p w14:paraId="052D9736">
      <w:pPr>
        <w:pStyle w:val="7"/>
        <w:ind w:firstLine="640"/>
        <w:jc w:val="center"/>
        <w:rPr>
          <w:rFonts w:hint="eastAsia"/>
          <w:sz w:val="32"/>
          <w:szCs w:val="28"/>
          <w:highlight w:val="none"/>
          <w:lang w:val="zh-CN"/>
        </w:rPr>
      </w:pPr>
      <w:r>
        <w:rPr>
          <w:rFonts w:hint="eastAsia" w:ascii="宋体" w:hAnsi="宋体" w:cs="宋体"/>
          <w:sz w:val="32"/>
          <w:szCs w:val="28"/>
          <w:highlight w:val="none"/>
          <w:lang w:val="zh-CN"/>
        </w:rPr>
        <w:t>（此合同仅供参考）</w:t>
      </w:r>
    </w:p>
    <w:p w14:paraId="7350B9C1">
      <w:pPr>
        <w:pStyle w:val="7"/>
        <w:ind w:firstLine="560"/>
        <w:rPr>
          <w:rFonts w:hint="eastAsia"/>
          <w:sz w:val="28"/>
          <w:szCs w:val="24"/>
          <w:highlight w:val="none"/>
          <w:lang w:val="zh-CN"/>
        </w:rPr>
      </w:pPr>
    </w:p>
    <w:p w14:paraId="20781FE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合同编号：</w:t>
      </w:r>
    </w:p>
    <w:p w14:paraId="2FF9337A">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签订地点： </w:t>
      </w:r>
    </w:p>
    <w:p w14:paraId="2BEEDCD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签订日期：二○  年  月  日 </w:t>
      </w:r>
    </w:p>
    <w:p w14:paraId="69B160F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招标任务通知书编号：</w:t>
      </w:r>
    </w:p>
    <w:p w14:paraId="53B7C8DD">
      <w:pPr>
        <w:autoSpaceDE w:val="0"/>
        <w:autoSpaceDN w:val="0"/>
        <w:adjustRightInd w:val="0"/>
        <w:spacing w:line="360" w:lineRule="auto"/>
        <w:rPr>
          <w:rFonts w:hint="eastAsia" w:ascii="宋体" w:hAnsi="宋体" w:cs="宋体"/>
          <w:szCs w:val="21"/>
          <w:highlight w:val="none"/>
          <w:lang w:val="zh-CN"/>
        </w:rPr>
      </w:pPr>
    </w:p>
    <w:p w14:paraId="72DC779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（需方）需求的</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（货物名称）经采购代理机构以编号为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的招标文件在国内公开招标，评标委员会评定（供方）为中标供应商。供需双方</w:t>
      </w:r>
      <w:r>
        <w:rPr>
          <w:rFonts w:hint="eastAsia" w:ascii="宋体" w:hAnsi="宋体" w:cs="宋体"/>
          <w:szCs w:val="21"/>
          <w:highlight w:val="none"/>
          <w:u w:val="single"/>
        </w:rPr>
        <w:t xml:space="preserve">          </w:t>
      </w:r>
      <w:r>
        <w:rPr>
          <w:rFonts w:hint="eastAsia" w:ascii="宋体" w:hAnsi="宋体" w:cs="宋体"/>
          <w:szCs w:val="21"/>
          <w:highlight w:val="none"/>
          <w:lang w:val="zh-CN"/>
        </w:rPr>
        <w:t>按照《中华人民共和国民法典》和有关法律法规，遵循平等、自愿、公平和诚实信用原则，同意按照下面的条款和条件订立本合同，共同信守。</w:t>
      </w:r>
    </w:p>
    <w:p w14:paraId="6F08BBE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1.合同标的</w:t>
      </w:r>
      <w:r>
        <w:rPr>
          <w:rFonts w:hint="eastAsia" w:ascii="宋体" w:hAnsi="宋体" w:cs="宋体"/>
          <w:szCs w:val="21"/>
          <w:highlight w:val="none"/>
          <w:lang w:val="zh-CN"/>
        </w:rPr>
        <w:t xml:space="preserve">： </w:t>
      </w:r>
    </w:p>
    <w:tbl>
      <w:tblPr>
        <w:tblStyle w:val="24"/>
        <w:tblW w:w="0" w:type="auto"/>
        <w:jc w:val="center"/>
        <w:tblLayout w:type="fixed"/>
        <w:tblCellMar>
          <w:top w:w="0" w:type="dxa"/>
          <w:left w:w="10" w:type="dxa"/>
          <w:bottom w:w="0" w:type="dxa"/>
          <w:right w:w="10" w:type="dxa"/>
        </w:tblCellMar>
      </w:tblPr>
      <w:tblGrid>
        <w:gridCol w:w="1634"/>
        <w:gridCol w:w="2708"/>
        <w:gridCol w:w="1065"/>
        <w:gridCol w:w="1052"/>
        <w:gridCol w:w="1627"/>
      </w:tblGrid>
      <w:tr w14:paraId="06A45A96">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0808C43D">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招标项目名称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3CD2D789">
            <w:pPr>
              <w:autoSpaceDE w:val="0"/>
              <w:autoSpaceDN w:val="0"/>
              <w:adjustRightInd w:val="0"/>
              <w:jc w:val="center"/>
              <w:rPr>
                <w:rFonts w:ascii="宋体" w:hAnsi="宋体" w:cs="宋体"/>
                <w:szCs w:val="21"/>
                <w:highlight w:val="none"/>
              </w:rPr>
            </w:pPr>
            <w:r>
              <w:rPr>
                <w:rFonts w:hint="eastAsia" w:ascii="宋体" w:hAnsi="宋体" w:cs="宋体"/>
                <w:szCs w:val="21"/>
                <w:highlight w:val="none"/>
                <w:lang w:val="zh-CN"/>
              </w:rPr>
              <w:t>详细配置及主要</w:t>
            </w:r>
            <w:r>
              <w:rPr>
                <w:rFonts w:hint="eastAsia" w:ascii="宋体" w:hAnsi="宋体" w:cs="宋体"/>
                <w:szCs w:val="21"/>
                <w:highlight w:val="none"/>
              </w:rPr>
              <w:t>采购需求</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213C45E">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3D63C4A2">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单价</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20615D1E">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小计金额</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r>
      <w:tr w14:paraId="592D3E57">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564BF8D6">
            <w:pPr>
              <w:autoSpaceDE w:val="0"/>
              <w:autoSpaceDN w:val="0"/>
              <w:adjustRightInd w:val="0"/>
              <w:jc w:val="center"/>
              <w:rPr>
                <w:rFonts w:hint="eastAsia" w:ascii="宋体" w:hAnsi="宋体" w:cs="宋体"/>
                <w:szCs w:val="21"/>
                <w:highlight w:val="none"/>
                <w:lang w:val="zh-CN"/>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55ECAF6B">
            <w:pPr>
              <w:autoSpaceDE w:val="0"/>
              <w:autoSpaceDN w:val="0"/>
              <w:adjustRightInd w:val="0"/>
              <w:jc w:val="center"/>
              <w:rPr>
                <w:rFonts w:hint="eastAsia" w:ascii="宋体" w:hAnsi="宋体" w:cs="宋体"/>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0C149CA">
            <w:pPr>
              <w:autoSpaceDE w:val="0"/>
              <w:autoSpaceDN w:val="0"/>
              <w:adjustRightInd w:val="0"/>
              <w:jc w:val="center"/>
              <w:rPr>
                <w:rFonts w:hint="eastAsia" w:ascii="宋体" w:hAnsi="宋体" w:cs="宋体"/>
                <w:szCs w:val="21"/>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49584D97">
            <w:pPr>
              <w:autoSpaceDE w:val="0"/>
              <w:autoSpaceDN w:val="0"/>
              <w:adjustRightInd w:val="0"/>
              <w:jc w:val="center"/>
              <w:rPr>
                <w:rFonts w:hint="eastAsia" w:ascii="宋体" w:hAnsi="宋体" w:cs="宋体"/>
                <w:szCs w:val="21"/>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633B82E4">
            <w:pPr>
              <w:autoSpaceDE w:val="0"/>
              <w:autoSpaceDN w:val="0"/>
              <w:adjustRightInd w:val="0"/>
              <w:jc w:val="center"/>
              <w:rPr>
                <w:rFonts w:hint="eastAsia" w:ascii="宋体" w:hAnsi="宋体" w:cs="宋体"/>
                <w:szCs w:val="21"/>
                <w:highlight w:val="none"/>
                <w:lang w:val="zh-CN"/>
              </w:rPr>
            </w:pPr>
          </w:p>
        </w:tc>
      </w:tr>
      <w:tr w14:paraId="0B798A22">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0416B5AC">
            <w:pPr>
              <w:autoSpaceDE w:val="0"/>
              <w:autoSpaceDN w:val="0"/>
              <w:adjustRightInd w:val="0"/>
              <w:jc w:val="center"/>
              <w:rPr>
                <w:rFonts w:hint="eastAsia" w:ascii="宋体" w:hAnsi="宋体" w:cs="宋体"/>
                <w:szCs w:val="21"/>
                <w:highlight w:val="none"/>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23D111D9">
            <w:pPr>
              <w:autoSpaceDE w:val="0"/>
              <w:autoSpaceDN w:val="0"/>
              <w:adjustRightInd w:val="0"/>
              <w:jc w:val="center"/>
              <w:rPr>
                <w:rFonts w:hint="eastAsia" w:ascii="宋体" w:hAnsi="宋体" w:cs="宋体"/>
                <w:szCs w:val="21"/>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7EA2910">
            <w:pPr>
              <w:autoSpaceDE w:val="0"/>
              <w:autoSpaceDN w:val="0"/>
              <w:adjustRightInd w:val="0"/>
              <w:jc w:val="center"/>
              <w:rPr>
                <w:rFonts w:hint="eastAsia" w:ascii="宋体" w:hAnsi="宋体" w:cs="宋体"/>
                <w:szCs w:val="21"/>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48581062">
            <w:pPr>
              <w:autoSpaceDE w:val="0"/>
              <w:autoSpaceDN w:val="0"/>
              <w:adjustRightInd w:val="0"/>
              <w:jc w:val="center"/>
              <w:rPr>
                <w:rFonts w:hint="eastAsia" w:ascii="宋体" w:hAnsi="宋体" w:cs="宋体"/>
                <w:szCs w:val="21"/>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2CDF8EC6">
            <w:pPr>
              <w:autoSpaceDE w:val="0"/>
              <w:autoSpaceDN w:val="0"/>
              <w:adjustRightInd w:val="0"/>
              <w:jc w:val="center"/>
              <w:rPr>
                <w:rFonts w:hint="eastAsia" w:ascii="宋体" w:hAnsi="宋体" w:cs="宋体"/>
                <w:szCs w:val="21"/>
                <w:highlight w:val="none"/>
              </w:rPr>
            </w:pPr>
          </w:p>
        </w:tc>
      </w:tr>
    </w:tbl>
    <w:p w14:paraId="4F6807D3">
      <w:pPr>
        <w:autoSpaceDE w:val="0"/>
        <w:autoSpaceDN w:val="0"/>
        <w:adjustRightInd w:val="0"/>
        <w:spacing w:line="360" w:lineRule="auto"/>
        <w:ind w:firstLine="482"/>
        <w:rPr>
          <w:rFonts w:hint="eastAsia" w:ascii="宋体" w:hAnsi="宋体" w:cs="宋体"/>
          <w:b/>
          <w:szCs w:val="21"/>
          <w:highlight w:val="none"/>
          <w:lang w:val="zh-CN"/>
        </w:rPr>
      </w:pPr>
    </w:p>
    <w:p w14:paraId="782C6B3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 合同价格：</w:t>
      </w:r>
      <w:r>
        <w:rPr>
          <w:rFonts w:hint="eastAsia" w:ascii="宋体" w:hAnsi="宋体" w:cs="宋体"/>
          <w:szCs w:val="21"/>
          <w:highlight w:val="none"/>
          <w:lang w:val="zh-CN"/>
        </w:rPr>
        <w:t>人民币（大写）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元，（小写）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w:t>
      </w:r>
    </w:p>
    <w:p w14:paraId="1103713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3. 交货时间、地点、方式</w:t>
      </w:r>
    </w:p>
    <w:p w14:paraId="1595E17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3.1交货时间：</w:t>
      </w:r>
    </w:p>
    <w:p w14:paraId="36A4AE2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3.2交货地点：</w:t>
      </w:r>
    </w:p>
    <w:p w14:paraId="541772D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3.3交货方式：供方负责将货物安全完好运抵交货地点、安装调试并保证验收合格。</w:t>
      </w:r>
    </w:p>
    <w:p w14:paraId="3B05ED4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4. 付款方式 </w:t>
      </w:r>
    </w:p>
    <w:p w14:paraId="2A136FCD">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01839F1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4.2 本合同总价款中由需方自行支付</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元。需方承诺全部货物安装并验收合格后。如果需方届时不能支付或者不能全额支付，由需方承担违约责任，供方承担全部收款责任，与招标机构无关。</w:t>
      </w:r>
    </w:p>
    <w:p w14:paraId="7481FB5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5．履约保证金</w:t>
      </w:r>
    </w:p>
    <w:p w14:paraId="1358C25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rPr>
        <w:t>5.1   无</w:t>
      </w:r>
    </w:p>
    <w:p w14:paraId="53D6B45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6.质量保证金</w:t>
      </w:r>
    </w:p>
    <w:p w14:paraId="022E377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w:t>
      </w:r>
      <w:r>
        <w:rPr>
          <w:rFonts w:hint="eastAsia" w:ascii="宋体" w:hAnsi="宋体" w:cs="宋体"/>
          <w:szCs w:val="21"/>
          <w:highlight w:val="none"/>
        </w:rPr>
        <w:t>无</w:t>
      </w:r>
    </w:p>
    <w:p w14:paraId="7F29942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7.合同补充条款：</w:t>
      </w:r>
    </w:p>
    <w:p w14:paraId="7BA2D95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8.争议解决方式：</w:t>
      </w:r>
      <w:r>
        <w:rPr>
          <w:rFonts w:hint="eastAsia" w:ascii="宋体" w:hAnsi="宋体" w:cs="宋体"/>
          <w:szCs w:val="21"/>
          <w:highlight w:val="none"/>
          <w:lang w:val="zh-CN"/>
        </w:rPr>
        <w:t>供需双方达成仲裁协议，向仲裁委员会申请仲裁（向合同签订地人民法院提起诉讼）。</w:t>
      </w:r>
    </w:p>
    <w:p w14:paraId="7C6B8C8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9．合同构成：</w:t>
      </w:r>
      <w:r>
        <w:rPr>
          <w:rFonts w:hint="eastAsia" w:ascii="宋体" w:hAnsi="宋体" w:cs="宋体"/>
          <w:szCs w:val="21"/>
          <w:highlight w:val="none"/>
          <w:lang w:val="zh-CN"/>
        </w:rPr>
        <w:t>下列文件构成本合同不可分割的组成部分，与本合同具有同等法律效力：</w:t>
      </w:r>
    </w:p>
    <w:p w14:paraId="688622C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9.1本合同书；</w:t>
      </w:r>
    </w:p>
    <w:p w14:paraId="75A695C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9.2中标通知书；</w:t>
      </w:r>
    </w:p>
    <w:p w14:paraId="45640B6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9.3招标文件及澄清、修改、补遗文件；</w:t>
      </w:r>
    </w:p>
    <w:p w14:paraId="07DB1A0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9.4供方的投标文件及书面澄清、说明、补正文件；</w:t>
      </w:r>
    </w:p>
    <w:p w14:paraId="41F0F21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9.5产品样本、样品（样机）、说明书、图纸等有关资料；</w:t>
      </w:r>
    </w:p>
    <w:p w14:paraId="71DA915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9.6政府招标验收报告单；</w:t>
      </w:r>
    </w:p>
    <w:p w14:paraId="31812B4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9.7合同的其它附件。</w:t>
      </w:r>
    </w:p>
    <w:p w14:paraId="5620611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上述组成合同的文件如有不一致之处，以日期在后的为准。</w:t>
      </w:r>
    </w:p>
    <w:p w14:paraId="3E709DDA">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b/>
          <w:szCs w:val="21"/>
          <w:highlight w:val="none"/>
          <w:lang w:val="zh-CN"/>
        </w:rPr>
        <w:t xml:space="preserve"> 10.合同份数：</w:t>
      </w:r>
      <w:r>
        <w:rPr>
          <w:rFonts w:hint="eastAsia" w:ascii="宋体" w:hAnsi="宋体" w:cs="宋体"/>
          <w:szCs w:val="21"/>
          <w:highlight w:val="none"/>
          <w:lang w:val="zh-CN"/>
        </w:rPr>
        <w:t xml:space="preserve">本合同一式三份，供需双方各执一份，另一份需提交至监管部门做备存。 </w:t>
      </w:r>
    </w:p>
    <w:p w14:paraId="537C37E2">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11.合同生效：</w:t>
      </w:r>
      <w:r>
        <w:rPr>
          <w:rFonts w:hint="eastAsia" w:ascii="宋体" w:hAnsi="宋体" w:cs="宋体"/>
          <w:szCs w:val="21"/>
          <w:highlight w:val="none"/>
          <w:lang w:val="zh-CN"/>
        </w:rPr>
        <w:t>本合同在供需双方法定代表人或其授权代理人签字、加盖双方公章或者合同专用章后生效。</w:t>
      </w:r>
    </w:p>
    <w:p w14:paraId="037D3CAE">
      <w:pPr>
        <w:autoSpaceDE w:val="0"/>
        <w:autoSpaceDN w:val="0"/>
        <w:adjustRightInd w:val="0"/>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12.合同修改：</w:t>
      </w:r>
      <w:r>
        <w:rPr>
          <w:rFonts w:hint="eastAsia" w:ascii="宋体" w:hAnsi="宋体" w:cs="宋体"/>
          <w:szCs w:val="21"/>
          <w:highlight w:val="none"/>
          <w:lang w:val="zh-CN"/>
        </w:rPr>
        <w:t>除供需双方签署书面修改、补充协议外，本合同条件不得有任何变化或修改。</w:t>
      </w:r>
    </w:p>
    <w:p w14:paraId="7F8E9DE5">
      <w:pPr>
        <w:autoSpaceDE w:val="0"/>
        <w:autoSpaceDN w:val="0"/>
        <w:adjustRightInd w:val="0"/>
        <w:rPr>
          <w:rFonts w:hint="eastAsia" w:ascii="宋体" w:hAnsi="宋体" w:cs="宋体"/>
          <w:szCs w:val="21"/>
          <w:highlight w:val="none"/>
          <w:lang w:val="zh-CN"/>
        </w:rPr>
      </w:pPr>
    </w:p>
    <w:p w14:paraId="441A99E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需方：                   供方：</w:t>
      </w:r>
    </w:p>
    <w:p w14:paraId="2E2F401C">
      <w:pPr>
        <w:autoSpaceDE w:val="0"/>
        <w:autoSpaceDN w:val="0"/>
        <w:adjustRightInd w:val="0"/>
        <w:spacing w:line="360" w:lineRule="auto"/>
        <w:ind w:firstLine="735" w:firstLineChars="350"/>
        <w:rPr>
          <w:rFonts w:hint="eastAsia" w:ascii="宋体" w:hAnsi="宋体" w:cs="宋体"/>
          <w:szCs w:val="21"/>
          <w:highlight w:val="none"/>
          <w:lang w:val="zh-CN"/>
        </w:rPr>
      </w:pPr>
      <w:r>
        <w:rPr>
          <w:rFonts w:hint="eastAsia" w:ascii="宋体" w:hAnsi="宋体" w:cs="宋体"/>
          <w:szCs w:val="21"/>
          <w:highlight w:val="none"/>
          <w:lang w:val="zh-CN"/>
        </w:rPr>
        <w:t>（加盖公章或合同专用章）  （加盖公章或合同专用章）</w:t>
      </w:r>
    </w:p>
    <w:p w14:paraId="7A56DC53">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地址：                   地址：</w:t>
      </w:r>
    </w:p>
    <w:p w14:paraId="7B29ABA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法定代表人               法定代表人               </w:t>
      </w:r>
    </w:p>
    <w:p w14:paraId="4C690600">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或授权代理人签字：       或授权代理人签字：</w:t>
      </w:r>
    </w:p>
    <w:p w14:paraId="7E21A109">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签字日期：               签字日期：</w:t>
      </w:r>
    </w:p>
    <w:p w14:paraId="54DCFF04">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邮政编码：               邮政编码：</w:t>
      </w:r>
    </w:p>
    <w:p w14:paraId="7C6943D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 xml:space="preserve">                             电话：</w:t>
      </w:r>
    </w:p>
    <w:p w14:paraId="52FB1CA7">
      <w:pPr>
        <w:autoSpaceDE w:val="0"/>
        <w:autoSpaceDN w:val="0"/>
        <w:adjustRightInd w:val="0"/>
        <w:spacing w:line="360" w:lineRule="auto"/>
        <w:ind w:firstLine="3465" w:firstLineChars="1650"/>
        <w:rPr>
          <w:rFonts w:hint="eastAsia" w:ascii="宋体" w:hAnsi="宋体" w:cs="宋体"/>
          <w:szCs w:val="21"/>
          <w:highlight w:val="none"/>
          <w:lang w:val="zh-CN"/>
        </w:rPr>
      </w:pPr>
      <w:r>
        <w:rPr>
          <w:rFonts w:hint="eastAsia" w:ascii="宋体" w:hAnsi="宋体" w:cs="宋体"/>
          <w:szCs w:val="21"/>
          <w:highlight w:val="none"/>
          <w:lang w:val="zh-CN"/>
        </w:rPr>
        <w:t>传真：</w:t>
      </w:r>
    </w:p>
    <w:p w14:paraId="52EA28E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联系人：</w:t>
      </w:r>
    </w:p>
    <w:p w14:paraId="6785A8C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开户银行：</w:t>
      </w:r>
    </w:p>
    <w:p w14:paraId="0C86C214">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账户名称：</w:t>
      </w:r>
    </w:p>
    <w:p w14:paraId="51E2D3A9">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账号：</w:t>
      </w:r>
    </w:p>
    <w:p w14:paraId="1F530458">
      <w:pPr>
        <w:autoSpaceDE w:val="0"/>
        <w:autoSpaceDN w:val="0"/>
        <w:adjustRightInd w:val="0"/>
        <w:rPr>
          <w:rFonts w:hint="eastAsia" w:ascii="宋体" w:hAnsi="宋体" w:cs="宋体"/>
          <w:sz w:val="24"/>
          <w:highlight w:val="none"/>
          <w:lang w:val="zh-CN"/>
        </w:rPr>
      </w:pPr>
    </w:p>
    <w:p w14:paraId="67D16604">
      <w:pPr>
        <w:autoSpaceDE w:val="0"/>
        <w:autoSpaceDN w:val="0"/>
        <w:adjustRightInd w:val="0"/>
        <w:rPr>
          <w:rFonts w:hint="eastAsia" w:ascii="宋体" w:hAnsi="宋体" w:cs="宋体"/>
          <w:sz w:val="24"/>
          <w:highlight w:val="none"/>
          <w:lang w:val="zh-CN"/>
        </w:rPr>
      </w:pPr>
    </w:p>
    <w:p w14:paraId="2C5D548F">
      <w:pPr>
        <w:autoSpaceDE w:val="0"/>
        <w:autoSpaceDN w:val="0"/>
        <w:adjustRightInd w:val="0"/>
        <w:rPr>
          <w:rFonts w:hint="eastAsia" w:ascii="宋体" w:hAnsi="宋体" w:cs="宋体"/>
          <w:sz w:val="24"/>
          <w:highlight w:val="none"/>
          <w:lang w:val="zh-CN"/>
        </w:rPr>
      </w:pPr>
    </w:p>
    <w:p w14:paraId="794DFBFB">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31" w:name="_Toc14358"/>
      <w:bookmarkStart w:id="32" w:name="_Toc16877"/>
      <w:bookmarkStart w:id="33" w:name="_Toc382396567"/>
    </w:p>
    <w:p w14:paraId="74C70E0A">
      <w:pPr>
        <w:keepNext w:val="0"/>
        <w:keepLines w:val="0"/>
        <w:pageBreakBefore w:val="0"/>
        <w:kinsoku/>
        <w:wordWrap/>
        <w:overflowPunct/>
        <w:topLinePunct w:val="0"/>
        <w:bidi w:val="0"/>
        <w:spacing w:line="360" w:lineRule="auto"/>
        <w:jc w:val="center"/>
        <w:textAlignment w:val="auto"/>
        <w:outlineLvl w:val="0"/>
        <w:rPr>
          <w:rFonts w:hint="default" w:ascii="宋体" w:hAnsi="宋体" w:eastAsia="宋体" w:cs="宋体"/>
          <w:b/>
          <w:sz w:val="32"/>
          <w:szCs w:val="28"/>
          <w:highlight w:val="none"/>
          <w:lang w:val="en-US" w:eastAsia="zh-CN"/>
        </w:rPr>
      </w:pPr>
      <w:bookmarkStart w:id="34" w:name="_Toc3824"/>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六</w:t>
      </w:r>
      <w:r>
        <w:rPr>
          <w:rFonts w:hint="eastAsia" w:ascii="宋体" w:hAnsi="宋体" w:eastAsia="宋体" w:cs="宋体"/>
          <w:b/>
          <w:sz w:val="32"/>
          <w:szCs w:val="28"/>
          <w:highlight w:val="none"/>
          <w:lang w:val="zh-CN" w:eastAsia="zh-CN"/>
        </w:rPr>
        <w:t xml:space="preserve">章  </w:t>
      </w:r>
      <w:bookmarkEnd w:id="31"/>
      <w:bookmarkEnd w:id="32"/>
      <w:bookmarkEnd w:id="33"/>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34"/>
    </w:p>
    <w:p w14:paraId="2D0000F0">
      <w:pPr>
        <w:pStyle w:val="22"/>
        <w:keepNext w:val="0"/>
        <w:keepLines w:val="0"/>
        <w:pageBreakBefore w:val="0"/>
        <w:widowControl w:val="0"/>
        <w:kinsoku/>
        <w:wordWrap/>
        <w:overflowPunct/>
        <w:topLinePunct w:val="0"/>
        <w:autoSpaceDE/>
        <w:autoSpaceDN/>
        <w:bidi w:val="0"/>
        <w:snapToGrid/>
        <w:spacing w:line="300" w:lineRule="auto"/>
        <w:ind w:left="0" w:leftChars="0" w:right="72" w:firstLine="480" w:firstLineChars="200"/>
        <w:jc w:val="left"/>
        <w:textAlignment w:val="auto"/>
        <w:rPr>
          <w:rFonts w:hint="eastAsia" w:ascii="宋体" w:hAnsi="宋体" w:eastAsia="宋体" w:cs="宋体"/>
          <w:b w:val="0"/>
          <w:bCs w:val="0"/>
          <w:sz w:val="24"/>
          <w:szCs w:val="24"/>
          <w:highlight w:val="none"/>
        </w:rPr>
      </w:pPr>
      <w:bookmarkStart w:id="35" w:name="_Toc382396568"/>
      <w:bookmarkStart w:id="36" w:name="_Toc8670"/>
      <w:bookmarkStart w:id="37" w:name="_Toc3197"/>
    </w:p>
    <w:tbl>
      <w:tblPr>
        <w:tblStyle w:val="24"/>
        <w:tblW w:w="92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737"/>
        <w:gridCol w:w="5070"/>
        <w:gridCol w:w="810"/>
        <w:gridCol w:w="1020"/>
      </w:tblGrid>
      <w:tr w14:paraId="4ADC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5" w:type="dxa"/>
          </w:tcPr>
          <w:p w14:paraId="39A105A8">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737" w:type="dxa"/>
            <w:vAlign w:val="center"/>
          </w:tcPr>
          <w:p w14:paraId="2B4C4D48">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设备名称</w:t>
            </w:r>
          </w:p>
        </w:tc>
        <w:tc>
          <w:tcPr>
            <w:tcW w:w="5070" w:type="dxa"/>
            <w:vAlign w:val="center"/>
          </w:tcPr>
          <w:p w14:paraId="285067A0">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参数</w:t>
            </w:r>
          </w:p>
        </w:tc>
        <w:tc>
          <w:tcPr>
            <w:tcW w:w="810" w:type="dxa"/>
            <w:vAlign w:val="center"/>
          </w:tcPr>
          <w:p w14:paraId="513A3F75">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020" w:type="dxa"/>
            <w:vAlign w:val="center"/>
          </w:tcPr>
          <w:p w14:paraId="76BE107B">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r>
      <w:tr w14:paraId="4925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55" w:type="dxa"/>
            <w:vMerge w:val="restart"/>
          </w:tcPr>
          <w:p w14:paraId="62C725E9">
            <w:pPr>
              <w:jc w:val="center"/>
              <w:rPr>
                <w:rFonts w:asciiTheme="minorEastAsia" w:hAnsiTheme="minorEastAsia" w:eastAsiaTheme="minorEastAsia" w:cstheme="minorEastAsia"/>
              </w:rPr>
            </w:pPr>
          </w:p>
          <w:p w14:paraId="6EBEECC4">
            <w:pPr>
              <w:spacing w:line="400" w:lineRule="exact"/>
              <w:jc w:val="center"/>
              <w:rPr>
                <w:rFonts w:asciiTheme="minorEastAsia" w:hAnsiTheme="minorEastAsia" w:eastAsiaTheme="minorEastAsia" w:cstheme="minorEastAsia"/>
              </w:rPr>
            </w:pPr>
          </w:p>
          <w:p w14:paraId="42109679">
            <w:pPr>
              <w:spacing w:line="400" w:lineRule="exact"/>
              <w:jc w:val="center"/>
              <w:rPr>
                <w:rFonts w:asciiTheme="minorEastAsia" w:hAnsiTheme="minorEastAsia" w:eastAsiaTheme="minorEastAsia" w:cstheme="minorEastAsia"/>
              </w:rPr>
            </w:pPr>
          </w:p>
          <w:p w14:paraId="255A5577">
            <w:pPr>
              <w:spacing w:line="400" w:lineRule="exact"/>
              <w:jc w:val="center"/>
              <w:rPr>
                <w:rFonts w:asciiTheme="minorEastAsia" w:hAnsiTheme="minorEastAsia" w:eastAsiaTheme="minorEastAsia" w:cstheme="minorEastAsia"/>
              </w:rPr>
            </w:pPr>
          </w:p>
          <w:p w14:paraId="58DF46C3">
            <w:pPr>
              <w:spacing w:line="300" w:lineRule="exact"/>
              <w:jc w:val="center"/>
              <w:rPr>
                <w:rFonts w:asciiTheme="minorEastAsia" w:hAnsiTheme="minorEastAsia" w:eastAsiaTheme="minorEastAsia" w:cstheme="minorEastAsia"/>
              </w:rPr>
            </w:pPr>
          </w:p>
          <w:p w14:paraId="756FA486">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737" w:type="dxa"/>
            <w:vMerge w:val="restart"/>
          </w:tcPr>
          <w:p w14:paraId="749967BA">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数据综合服务平台</w:t>
            </w:r>
          </w:p>
        </w:tc>
        <w:tc>
          <w:tcPr>
            <w:tcW w:w="5070" w:type="dxa"/>
          </w:tcPr>
          <w:p w14:paraId="3E7D53E3">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功能用途：</w:t>
            </w:r>
          </w:p>
          <w:p w14:paraId="2C13F4D2">
            <w:pPr>
              <w:ind w:firstLine="420" w:firstLineChars="200"/>
              <w:rPr>
                <w:rFonts w:asciiTheme="minorEastAsia" w:hAnsiTheme="minorEastAsia" w:eastAsiaTheme="minorEastAsia" w:cstheme="minorEastAsia"/>
                <w:color w:val="000000"/>
                <w:kern w:val="0"/>
                <w:lang w:bidi="ar"/>
              </w:rPr>
            </w:pPr>
            <w:r>
              <w:rPr>
                <w:rFonts w:hint="eastAsia" w:asciiTheme="minorEastAsia" w:hAnsiTheme="minorEastAsia" w:eastAsiaTheme="minorEastAsia" w:cstheme="minorEastAsia"/>
                <w:color w:val="000000"/>
                <w:kern w:val="0"/>
                <w:lang w:bidi="ar"/>
              </w:rPr>
              <w:t>由于医院基础信息化系统进行重新采购，为保证软件系统能够良好稳定运行，并对现有超融合平台进行扩容，对所扩容的设备参数进行提高，保证扩容后整个平台运行稳定，满足业务应用要求，保证业务连续性。平台支持统一管理功能，全图形化模式，支持在同一界面对超融合、虚拟化、桌面云产品进行集中管理。</w:t>
            </w:r>
          </w:p>
        </w:tc>
        <w:tc>
          <w:tcPr>
            <w:tcW w:w="810" w:type="dxa"/>
            <w:vMerge w:val="restart"/>
          </w:tcPr>
          <w:p w14:paraId="7FBDC9E8">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020" w:type="dxa"/>
            <w:vMerge w:val="restart"/>
          </w:tcPr>
          <w:p w14:paraId="26A2B6AE">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套</w:t>
            </w:r>
          </w:p>
        </w:tc>
      </w:tr>
      <w:tr w14:paraId="1203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655" w:type="dxa"/>
            <w:vMerge w:val="continue"/>
          </w:tcPr>
          <w:p w14:paraId="567949E4">
            <w:pPr>
              <w:jc w:val="center"/>
            </w:pPr>
          </w:p>
        </w:tc>
        <w:tc>
          <w:tcPr>
            <w:tcW w:w="1737" w:type="dxa"/>
            <w:vMerge w:val="continue"/>
          </w:tcPr>
          <w:p w14:paraId="7B739320">
            <w:pPr>
              <w:jc w:val="center"/>
            </w:pPr>
          </w:p>
        </w:tc>
        <w:tc>
          <w:tcPr>
            <w:tcW w:w="5070" w:type="dxa"/>
            <w:shd w:val="clear" w:color="auto" w:fill="auto"/>
            <w:vAlign w:val="center"/>
          </w:tcPr>
          <w:p w14:paraId="48F82763">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一、产品名称：HIS数据库集群节点</w:t>
            </w:r>
          </w:p>
          <w:p w14:paraId="546541D9">
            <w:pPr>
              <w:widowControl/>
              <w:jc w:val="left"/>
            </w:pPr>
            <w:r>
              <w:rPr>
                <w:rFonts w:hint="eastAsia"/>
              </w:rPr>
              <w:t>数量：3套</w:t>
            </w:r>
          </w:p>
          <w:p w14:paraId="37606775">
            <w:pPr>
              <w:widowControl/>
              <w:jc w:val="left"/>
            </w:pPr>
            <w:r>
              <w:rPr>
                <w:rFonts w:hint="eastAsia"/>
              </w:rPr>
              <w:t>设备参数：</w:t>
            </w:r>
          </w:p>
          <w:p w14:paraId="69CA89DB">
            <w:pPr>
              <w:widowControl/>
              <w:jc w:val="left"/>
              <w:rPr>
                <w:rFonts w:ascii="宋体" w:hAnsi="宋体" w:cs="仿宋"/>
                <w:sz w:val="20"/>
                <w:szCs w:val="20"/>
              </w:rPr>
            </w:pPr>
            <w:r>
              <w:rPr>
                <w:rFonts w:hint="eastAsia" w:ascii="宋体" w:hAnsi="宋体" w:cs="仿宋"/>
                <w:sz w:val="20"/>
                <w:szCs w:val="20"/>
              </w:rPr>
              <w:t>1、规格：≥4U国产（非OEM）；</w:t>
            </w:r>
          </w:p>
          <w:p w14:paraId="34495B31">
            <w:pPr>
              <w:widowControl/>
              <w:ind w:left="200" w:hanging="200" w:hangingChars="100"/>
              <w:jc w:val="left"/>
              <w:rPr>
                <w:rFonts w:ascii="宋体" w:hAnsi="宋体" w:cs="仿宋"/>
                <w:sz w:val="20"/>
                <w:szCs w:val="20"/>
              </w:rPr>
            </w:pPr>
            <w:r>
              <w:rPr>
                <w:rFonts w:hint="eastAsia" w:ascii="宋体" w:hAnsi="宋体" w:cs="仿宋"/>
                <w:sz w:val="20"/>
                <w:szCs w:val="20"/>
              </w:rPr>
              <w:t>2、处理器：配置≥4颗Intel Xeon Gold 6418H 24C 165W 2.1GHz处理器，具备≥3个UPI链路的网络拓扑结构；</w:t>
            </w:r>
          </w:p>
          <w:p w14:paraId="246A90C5">
            <w:pPr>
              <w:widowControl/>
              <w:jc w:val="left"/>
              <w:rPr>
                <w:rFonts w:ascii="宋体" w:hAnsi="宋体" w:cs="仿宋"/>
                <w:sz w:val="20"/>
                <w:szCs w:val="20"/>
              </w:rPr>
            </w:pPr>
            <w:r>
              <w:rPr>
                <w:rFonts w:hint="eastAsia" w:ascii="宋体" w:hAnsi="宋体" w:cs="仿宋"/>
                <w:sz w:val="20"/>
                <w:szCs w:val="20"/>
              </w:rPr>
              <w:t>3、内存：配置≥1TB TruDDR5内存，单挑内存容量≥64GB，可选64个内存插槽；</w:t>
            </w:r>
          </w:p>
          <w:p w14:paraId="77F9D546">
            <w:pPr>
              <w:widowControl/>
              <w:jc w:val="left"/>
              <w:rPr>
                <w:rFonts w:ascii="宋体" w:hAnsi="宋体" w:cs="仿宋"/>
                <w:sz w:val="20"/>
                <w:szCs w:val="20"/>
              </w:rPr>
            </w:pPr>
            <w:r>
              <w:rPr>
                <w:rFonts w:hint="eastAsia" w:ascii="宋体" w:hAnsi="宋体" w:cs="仿宋"/>
                <w:sz w:val="20"/>
                <w:szCs w:val="20"/>
              </w:rPr>
              <w:t>4、硬盘：内置硬盘类型：本次配置≥3块3.84TB 2.5寸SSD硬盘；</w:t>
            </w:r>
          </w:p>
          <w:p w14:paraId="6DA03285">
            <w:pPr>
              <w:widowControl/>
              <w:jc w:val="left"/>
              <w:rPr>
                <w:rFonts w:ascii="宋体" w:hAnsi="宋体" w:cs="仿宋"/>
                <w:sz w:val="20"/>
                <w:szCs w:val="20"/>
              </w:rPr>
            </w:pPr>
            <w:r>
              <w:rPr>
                <w:rFonts w:hint="eastAsia" w:ascii="宋体" w:hAnsi="宋体" w:cs="仿宋"/>
                <w:sz w:val="20"/>
                <w:szCs w:val="20"/>
              </w:rPr>
              <w:t>5、RAID卡：配置≥1块RAID卡，缓存≥2GB，支持RAID 0、1、5、6、10、50、60；</w:t>
            </w:r>
            <w:r>
              <w:rPr>
                <w:rFonts w:ascii="宋体" w:hAnsi="宋体" w:cs="仿宋"/>
                <w:sz w:val="20"/>
                <w:szCs w:val="20"/>
              </w:rPr>
              <w:t xml:space="preserve"> </w:t>
            </w:r>
          </w:p>
          <w:p w14:paraId="117C16C1">
            <w:pPr>
              <w:widowControl/>
              <w:jc w:val="left"/>
              <w:rPr>
                <w:rFonts w:ascii="宋体" w:hAnsi="宋体" w:cs="仿宋"/>
                <w:sz w:val="20"/>
                <w:szCs w:val="20"/>
              </w:rPr>
            </w:pPr>
            <w:r>
              <w:rPr>
                <w:rFonts w:hint="eastAsia" w:ascii="宋体" w:hAnsi="宋体" w:cs="仿宋"/>
                <w:sz w:val="20"/>
                <w:szCs w:val="20"/>
              </w:rPr>
              <w:t>6、安全性：支持信任根模块；</w:t>
            </w:r>
          </w:p>
          <w:p w14:paraId="4E1F5E75">
            <w:pPr>
              <w:widowControl/>
              <w:jc w:val="left"/>
              <w:rPr>
                <w:rFonts w:ascii="宋体" w:hAnsi="宋体" w:cs="仿宋"/>
                <w:sz w:val="20"/>
                <w:szCs w:val="20"/>
              </w:rPr>
            </w:pPr>
            <w:r>
              <w:rPr>
                <w:rFonts w:hint="eastAsia" w:ascii="宋体" w:hAnsi="宋体" w:cs="仿宋"/>
                <w:sz w:val="20"/>
                <w:szCs w:val="20"/>
              </w:rPr>
              <w:t>7、I/O扩展：支持PCI-E插槽总数≥</w:t>
            </w:r>
            <w:r>
              <w:rPr>
                <w:rFonts w:ascii="宋体" w:hAnsi="宋体" w:cs="仿宋"/>
                <w:sz w:val="20"/>
                <w:szCs w:val="20"/>
              </w:rPr>
              <w:t>1</w:t>
            </w:r>
            <w:r>
              <w:rPr>
                <w:rFonts w:hint="eastAsia" w:ascii="宋体" w:hAnsi="宋体" w:cs="仿宋"/>
                <w:sz w:val="20"/>
                <w:szCs w:val="20"/>
              </w:rPr>
              <w:t>8个，支持≥2个OCP插槽；</w:t>
            </w:r>
          </w:p>
          <w:p w14:paraId="13DAFE93">
            <w:pPr>
              <w:widowControl/>
              <w:jc w:val="left"/>
              <w:rPr>
                <w:rFonts w:ascii="宋体" w:hAnsi="宋体" w:cs="仿宋"/>
                <w:sz w:val="20"/>
                <w:szCs w:val="20"/>
              </w:rPr>
            </w:pPr>
            <w:r>
              <w:rPr>
                <w:rFonts w:hint="eastAsia" w:ascii="宋体" w:hAnsi="宋体" w:cs="仿宋"/>
                <w:sz w:val="20"/>
                <w:szCs w:val="20"/>
              </w:rPr>
              <w:t>8、网络接口：配置≥2个双口25Gb光纤网卡（含4个25Gb SFP28多模模块），配置1个四口千兆网卡；</w:t>
            </w:r>
          </w:p>
          <w:p w14:paraId="06560375">
            <w:pPr>
              <w:widowControl/>
              <w:jc w:val="left"/>
              <w:rPr>
                <w:rFonts w:ascii="宋体" w:hAnsi="宋体" w:cs="仿宋"/>
                <w:sz w:val="20"/>
                <w:szCs w:val="20"/>
              </w:rPr>
            </w:pPr>
            <w:r>
              <w:rPr>
                <w:rFonts w:hint="eastAsia" w:ascii="宋体" w:hAnsi="宋体" w:cs="仿宋"/>
                <w:sz w:val="20"/>
                <w:szCs w:val="20"/>
              </w:rPr>
              <w:t>9、HBA卡：配置≥2块双端口32Gb FC HBA卡，满配模块；</w:t>
            </w:r>
          </w:p>
          <w:p w14:paraId="5B2F1A15">
            <w:pPr>
              <w:widowControl/>
              <w:jc w:val="left"/>
              <w:rPr>
                <w:rFonts w:ascii="宋体" w:hAnsi="宋体" w:cs="仿宋"/>
                <w:sz w:val="20"/>
                <w:szCs w:val="20"/>
              </w:rPr>
            </w:pPr>
            <w:r>
              <w:rPr>
                <w:rFonts w:hint="eastAsia" w:ascii="宋体" w:hAnsi="宋体" w:cs="仿宋"/>
                <w:sz w:val="20"/>
                <w:szCs w:val="20"/>
              </w:rPr>
              <w:t>10、电源：提供2+2冗余电源，散热：配置冗余风扇；</w:t>
            </w:r>
          </w:p>
          <w:p w14:paraId="3DE7D037">
            <w:pPr>
              <w:widowControl/>
              <w:jc w:val="left"/>
              <w:rPr>
                <w:rFonts w:ascii="宋体" w:hAnsi="宋体" w:cs="仿宋"/>
                <w:sz w:val="20"/>
                <w:szCs w:val="20"/>
              </w:rPr>
            </w:pPr>
            <w:r>
              <w:rPr>
                <w:rFonts w:hint="eastAsia" w:ascii="宋体" w:hAnsi="宋体" w:cs="仿宋"/>
                <w:sz w:val="20"/>
                <w:szCs w:val="20"/>
              </w:rPr>
              <w:t>11、为保障机器正常工作能力，所投HIS数据库集群节点须通过“环境应力筛选-储存温度”测试，测试值为-40至70度之间；</w:t>
            </w:r>
          </w:p>
          <w:p w14:paraId="4200D404">
            <w:pPr>
              <w:widowControl/>
              <w:jc w:val="left"/>
              <w:rPr>
                <w:rFonts w:ascii="宋体" w:hAnsi="宋体" w:cs="仿宋"/>
                <w:sz w:val="20"/>
                <w:szCs w:val="20"/>
              </w:rPr>
            </w:pPr>
            <w:r>
              <w:rPr>
                <w:rFonts w:hint="eastAsia" w:ascii="宋体" w:hAnsi="宋体" w:cs="仿宋"/>
                <w:sz w:val="20"/>
                <w:szCs w:val="20"/>
              </w:rPr>
              <w:t>12、为保障机器承受一定带宽的随机振动仍旧正常工作的能力，所投HIS数据库集群节点须通过“环境应力筛选-随机移动”测试，测试范围在5Hz-2000Hz之间；</w:t>
            </w:r>
          </w:p>
          <w:p w14:paraId="643D09A9">
            <w:pPr>
              <w:widowControl/>
              <w:jc w:val="left"/>
              <w:rPr>
                <w:rFonts w:ascii="宋体" w:hAnsi="宋体" w:cs="仿宋"/>
                <w:sz w:val="20"/>
                <w:szCs w:val="20"/>
              </w:rPr>
            </w:pPr>
            <w:r>
              <w:rPr>
                <w:rFonts w:hint="eastAsia" w:ascii="宋体" w:hAnsi="宋体" w:cs="仿宋"/>
                <w:sz w:val="20"/>
                <w:szCs w:val="20"/>
              </w:rPr>
              <w:t>13、为保障机器正常工作噪音问题，所投HIS数据库集群节点的噪声声功率值在5Bel以下；</w:t>
            </w:r>
          </w:p>
          <w:p w14:paraId="055F7D75">
            <w:pPr>
              <w:widowControl/>
              <w:jc w:val="left"/>
              <w:rPr>
                <w:rFonts w:ascii="宋体" w:hAnsi="宋体" w:cs="仿宋"/>
                <w:sz w:val="20"/>
                <w:szCs w:val="20"/>
              </w:rPr>
            </w:pPr>
            <w:r>
              <w:rPr>
                <w:rFonts w:hint="eastAsia" w:ascii="宋体" w:hAnsi="宋体" w:cs="仿宋"/>
                <w:sz w:val="20"/>
                <w:szCs w:val="20"/>
              </w:rPr>
              <w:t>14、为保障机器抗扰度性能，所投HIS数据库集群节点须通过电磁兼容性检验且工频磁场抗扰度磁场强度不低于10A/m；</w:t>
            </w:r>
          </w:p>
          <w:p w14:paraId="4A64E40B">
            <w:pPr>
              <w:widowControl/>
              <w:jc w:val="left"/>
              <w:rPr>
                <w:rFonts w:ascii="宋体" w:hAnsi="宋体" w:cs="仿宋"/>
                <w:sz w:val="20"/>
                <w:szCs w:val="20"/>
              </w:rPr>
            </w:pPr>
            <w:r>
              <w:rPr>
                <w:rFonts w:hint="eastAsia" w:ascii="宋体" w:hAnsi="宋体" w:cs="仿宋"/>
                <w:sz w:val="20"/>
                <w:szCs w:val="20"/>
              </w:rPr>
              <w:t>15、为保障机器的耐用度，所投HIS数据库集群节点须具有一定抗盐雾腐蚀的能力；</w:t>
            </w:r>
          </w:p>
          <w:p w14:paraId="26613CEA">
            <w:pPr>
              <w:widowControl/>
              <w:jc w:val="left"/>
              <w:rPr>
                <w:rFonts w:ascii="宋体" w:hAnsi="宋体" w:cs="仿宋"/>
                <w:sz w:val="20"/>
                <w:szCs w:val="20"/>
              </w:rPr>
            </w:pPr>
            <w:r>
              <w:rPr>
                <w:rFonts w:hint="eastAsia" w:ascii="宋体" w:hAnsi="宋体" w:cs="仿宋"/>
                <w:sz w:val="20"/>
                <w:szCs w:val="20"/>
              </w:rPr>
              <w:t>16、为保证所投HIS数据库集群节点监控管理软件的效率质量及安全性，要求监控管理软件针对Microsoft System Center进行自主可控的开发管理。</w:t>
            </w:r>
          </w:p>
          <w:p w14:paraId="63E98A00">
            <w:pPr>
              <w:widowControl/>
              <w:jc w:val="left"/>
              <w:rPr>
                <w:rFonts w:ascii="宋体" w:hAnsi="宋体" w:cs="仿宋"/>
                <w:sz w:val="20"/>
                <w:szCs w:val="20"/>
              </w:rPr>
            </w:pPr>
            <w:r>
              <w:rPr>
                <w:rFonts w:hint="eastAsia" w:ascii="宋体" w:hAnsi="宋体" w:cs="仿宋"/>
                <w:sz w:val="20"/>
                <w:szCs w:val="20"/>
              </w:rPr>
              <w:t>17、为保证所投HIS数据库集群节点监控管理软件的效率质量及安全性，要求监控管理软件针对VMware vCenter进行自主可控的开发管理；</w:t>
            </w:r>
          </w:p>
          <w:p w14:paraId="2E800878">
            <w:pPr>
              <w:widowControl/>
              <w:jc w:val="left"/>
              <w:rPr>
                <w:rFonts w:ascii="宋体" w:hAnsi="宋体" w:cs="仿宋"/>
                <w:sz w:val="20"/>
                <w:szCs w:val="20"/>
              </w:rPr>
            </w:pPr>
            <w:r>
              <w:rPr>
                <w:rFonts w:hint="eastAsia" w:ascii="宋体" w:hAnsi="宋体" w:cs="仿宋"/>
                <w:sz w:val="20"/>
                <w:szCs w:val="20"/>
              </w:rPr>
              <w:t>18、为了应付突发应急情况，所投HIS数据库集群节点平均无故障时间MTBF的m1的值不低于150000小时；</w:t>
            </w:r>
          </w:p>
          <w:p w14:paraId="30665596">
            <w:pPr>
              <w:rPr>
                <w:rFonts w:hint="eastAsia" w:ascii="宋体" w:hAnsi="宋体" w:cs="仿宋"/>
              </w:rPr>
            </w:pPr>
            <w:r>
              <w:rPr>
                <w:rFonts w:hint="eastAsia" w:ascii="宋体" w:hAnsi="宋体" w:cs="仿宋"/>
                <w:sz w:val="20"/>
                <w:szCs w:val="20"/>
              </w:rPr>
              <w:t>19、</w:t>
            </w:r>
            <w:r>
              <w:rPr>
                <w:rFonts w:hint="eastAsia" w:ascii="宋体" w:hAnsi="宋体" w:cs="仿宋"/>
              </w:rPr>
              <w:t>为保证</w:t>
            </w:r>
            <w:r>
              <w:rPr>
                <w:rFonts w:hint="eastAsia" w:ascii="宋体" w:hAnsi="宋体" w:cs="仿宋"/>
                <w:sz w:val="20"/>
                <w:szCs w:val="20"/>
              </w:rPr>
              <w:t>所投HIS数据库集群</w:t>
            </w:r>
            <w:r>
              <w:rPr>
                <w:rFonts w:hint="eastAsia" w:ascii="宋体" w:hAnsi="宋体" w:cs="仿宋"/>
              </w:rPr>
              <w:t>性能,</w:t>
            </w:r>
            <w:r>
              <w:rPr>
                <w:rFonts w:hint="eastAsia" w:ascii="宋体" w:hAnsi="宋体" w:cs="仿宋"/>
                <w:sz w:val="20"/>
                <w:szCs w:val="20"/>
              </w:rPr>
              <w:t>所投HIS数据库集群节点</w:t>
            </w:r>
            <w:r>
              <w:rPr>
                <w:rFonts w:hint="eastAsia" w:ascii="宋体" w:hAnsi="宋体" w:cs="仿宋"/>
              </w:rPr>
              <w:t>进行了SAP SD-Benchmark测试，且测试值</w:t>
            </w:r>
            <w:r>
              <w:rPr>
                <w:rFonts w:hint="eastAsia" w:ascii="宋体" w:hAnsi="宋体" w:cs="仿宋"/>
                <w:sz w:val="20"/>
                <w:szCs w:val="20"/>
              </w:rPr>
              <w:t>≥</w:t>
            </w:r>
            <w:r>
              <w:rPr>
                <w:rFonts w:ascii="宋体" w:hAnsi="宋体" w:cs="仿宋"/>
              </w:rPr>
              <w:t>710000</w:t>
            </w:r>
            <w:r>
              <w:rPr>
                <w:rFonts w:hint="eastAsia" w:ascii="宋体" w:hAnsi="宋体" w:cs="仿宋"/>
              </w:rPr>
              <w:t>；</w:t>
            </w:r>
          </w:p>
          <w:p w14:paraId="159DB45B">
            <w:pPr>
              <w:rPr>
                <w:rFonts w:hint="default" w:ascii="宋体" w:hAnsi="宋体" w:eastAsia="宋体" w:cs="仿宋"/>
                <w:lang w:val="en-US" w:eastAsia="zh-CN"/>
              </w:rPr>
            </w:pPr>
            <w:r>
              <w:rPr>
                <w:rFonts w:hint="eastAsia" w:ascii="宋体" w:hAnsi="宋体" w:cs="仿宋"/>
                <w:lang w:val="en-US" w:eastAsia="zh-CN"/>
              </w:rPr>
              <w:t>20、质保：3年</w:t>
            </w:r>
          </w:p>
          <w:p w14:paraId="304C0F3F">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二、产品名称：HIS数据库集群存储</w:t>
            </w:r>
          </w:p>
          <w:p w14:paraId="758B55AD">
            <w:r>
              <w:rPr>
                <w:rFonts w:hint="eastAsia"/>
              </w:rPr>
              <w:t>数量：2套</w:t>
            </w:r>
          </w:p>
          <w:p w14:paraId="076134BA">
            <w:r>
              <w:rPr>
                <w:rFonts w:hint="eastAsia"/>
              </w:rPr>
              <w:t>设备参数：</w:t>
            </w:r>
          </w:p>
          <w:p w14:paraId="29F5B629">
            <w:pPr>
              <w:rPr>
                <w:rFonts w:ascii="宋体" w:hAnsi="宋体"/>
              </w:rPr>
            </w:pPr>
            <w:r>
              <w:rPr>
                <w:rFonts w:ascii="宋体" w:hAnsi="宋体"/>
              </w:rPr>
              <w:t>1</w:t>
            </w:r>
            <w:r>
              <w:rPr>
                <w:rFonts w:hint="eastAsia" w:ascii="宋体" w:hAnsi="宋体"/>
              </w:rPr>
              <w:t>、</w:t>
            </w:r>
            <w:r>
              <w:rPr>
                <w:rFonts w:ascii="宋体" w:hAnsi="宋体"/>
              </w:rPr>
              <w:t>控制器：冗余多控制器集群结构，同时活动的NAS或SAN控制器数量要求≥2，不同型号存储控制器可组成集群系统统一对外提供服务，集群系统SAN</w:t>
            </w:r>
            <w:r>
              <w:rPr>
                <w:rFonts w:hint="eastAsia" w:ascii="宋体" w:hAnsi="宋体"/>
              </w:rPr>
              <w:t>横向扩展</w:t>
            </w:r>
            <w:r>
              <w:rPr>
                <w:rFonts w:ascii="宋体" w:hAnsi="宋体"/>
              </w:rPr>
              <w:t>≥</w:t>
            </w:r>
            <w:r>
              <w:rPr>
                <w:rFonts w:hint="eastAsia" w:ascii="宋体" w:hAnsi="宋体"/>
              </w:rPr>
              <w:t>6个高可用组</w:t>
            </w:r>
            <w:r>
              <w:rPr>
                <w:rFonts w:ascii="宋体" w:hAnsi="宋体"/>
              </w:rPr>
              <w:t>，NAS</w:t>
            </w:r>
            <w:r>
              <w:rPr>
                <w:rFonts w:hint="eastAsia" w:ascii="宋体" w:hAnsi="宋体"/>
              </w:rPr>
              <w:t>横向扩展</w:t>
            </w:r>
            <w:r>
              <w:rPr>
                <w:rFonts w:ascii="宋体" w:hAnsi="宋体"/>
              </w:rPr>
              <w:t>≥</w:t>
            </w:r>
            <w:r>
              <w:rPr>
                <w:rFonts w:hint="eastAsia" w:ascii="宋体" w:hAnsi="宋体"/>
              </w:rPr>
              <w:t>12个高可用组</w:t>
            </w:r>
            <w:r>
              <w:rPr>
                <w:rFonts w:ascii="宋体" w:hAnsi="宋体"/>
              </w:rPr>
              <w:t xml:space="preserve">，可同时管理块、文件和对象数据。 </w:t>
            </w:r>
          </w:p>
          <w:p w14:paraId="479C48D3">
            <w:pPr>
              <w:rPr>
                <w:rFonts w:ascii="宋体" w:hAnsi="宋体"/>
              </w:rPr>
            </w:pPr>
            <w:r>
              <w:rPr>
                <w:rFonts w:ascii="宋体" w:hAnsi="宋体"/>
              </w:rPr>
              <w:t>2.</w:t>
            </w:r>
            <w:r>
              <w:rPr>
                <w:rFonts w:hint="eastAsia" w:ascii="宋体" w:hAnsi="宋体"/>
              </w:rPr>
              <w:t>、</w:t>
            </w:r>
            <w:r>
              <w:rPr>
                <w:rFonts w:ascii="宋体" w:hAnsi="宋体"/>
              </w:rPr>
              <w:t>硬盘：本次配置≥</w:t>
            </w:r>
            <w:r>
              <w:rPr>
                <w:rFonts w:hint="eastAsia" w:ascii="宋体" w:hAnsi="宋体"/>
              </w:rPr>
              <w:t>12</w:t>
            </w:r>
            <w:r>
              <w:rPr>
                <w:rFonts w:ascii="宋体" w:hAnsi="宋体"/>
              </w:rPr>
              <w:t>块</w:t>
            </w:r>
            <w:r>
              <w:rPr>
                <w:rFonts w:hint="eastAsia" w:ascii="宋体" w:hAnsi="宋体"/>
              </w:rPr>
              <w:t>1.9T</w:t>
            </w:r>
            <w:r>
              <w:rPr>
                <w:rFonts w:ascii="宋体" w:hAnsi="宋体"/>
              </w:rPr>
              <w:t>热插拔NVMe硬盘，支持全局动态热备盘</w:t>
            </w:r>
            <w:r>
              <w:rPr>
                <w:rFonts w:hint="eastAsia" w:ascii="宋体" w:hAnsi="宋体"/>
              </w:rPr>
              <w:t>，</w:t>
            </w:r>
            <w:r>
              <w:rPr>
                <w:rFonts w:ascii="宋体" w:hAnsi="宋体"/>
              </w:rPr>
              <w:t>支持多种RAID存储方式，包含：RAID 0 /1 /5/ 6 /10或提供三重奇偶校验位或双奇偶校验位 RAID技术 ，双控最大可扩充NVMe磁盘数≥48</w:t>
            </w:r>
            <w:r>
              <w:rPr>
                <w:rFonts w:hint="eastAsia" w:ascii="宋体" w:hAnsi="宋体"/>
              </w:rPr>
              <w:t>块</w:t>
            </w:r>
          </w:p>
          <w:p w14:paraId="0AC91190">
            <w:pPr>
              <w:rPr>
                <w:rFonts w:ascii="宋体" w:hAnsi="宋体"/>
              </w:rPr>
            </w:pPr>
            <w:r>
              <w:rPr>
                <w:rFonts w:ascii="宋体" w:hAnsi="宋体"/>
              </w:rPr>
              <w:t>3</w:t>
            </w:r>
            <w:r>
              <w:rPr>
                <w:rFonts w:hint="eastAsia" w:ascii="宋体" w:hAnsi="宋体"/>
              </w:rPr>
              <w:t>、</w:t>
            </w:r>
            <w:r>
              <w:rPr>
                <w:rFonts w:ascii="宋体" w:hAnsi="宋体"/>
              </w:rPr>
              <w:t>数据缓存容量：配置</w:t>
            </w:r>
            <w:r>
              <w:rPr>
                <w:rFonts w:hint="eastAsia" w:ascii="宋体" w:hAnsi="宋体"/>
              </w:rPr>
              <w:t>内存</w:t>
            </w:r>
            <w:r>
              <w:rPr>
                <w:rFonts w:ascii="宋体" w:hAnsi="宋体"/>
              </w:rPr>
              <w:t>≥128GB（不含任何性能加速模块或NAS缓存、FlashCache、PAM卡，SSDCache等，配置</w:t>
            </w:r>
            <w:r>
              <w:rPr>
                <w:rFonts w:hint="eastAsia" w:ascii="宋体" w:hAnsi="宋体"/>
              </w:rPr>
              <w:t>NVRAM</w:t>
            </w:r>
            <w:r>
              <w:rPr>
                <w:rFonts w:ascii="宋体" w:hAnsi="宋体"/>
              </w:rPr>
              <w:t>≥16GB</w:t>
            </w:r>
          </w:p>
          <w:p w14:paraId="71A6A8EB">
            <w:pPr>
              <w:rPr>
                <w:rFonts w:ascii="宋体" w:hAnsi="宋体"/>
              </w:rPr>
            </w:pPr>
            <w:r>
              <w:rPr>
                <w:rFonts w:ascii="宋体" w:hAnsi="宋体"/>
              </w:rPr>
              <w:t>4</w:t>
            </w:r>
            <w:r>
              <w:rPr>
                <w:rFonts w:hint="eastAsia" w:ascii="宋体" w:hAnsi="宋体"/>
              </w:rPr>
              <w:t>、</w:t>
            </w:r>
            <w:r>
              <w:rPr>
                <w:rFonts w:ascii="宋体" w:hAnsi="宋体"/>
              </w:rPr>
              <w:t>数据传输能力（以太网连接，前端端口，不包含集群内部互联端口）：统一模式端口，支持32Gb FC或者10Gb/25Gb 以太网，本次配置</w:t>
            </w:r>
            <w:r>
              <w:rPr>
                <w:rFonts w:hint="eastAsia" w:ascii="宋体" w:hAnsi="宋体"/>
              </w:rPr>
              <w:t>32Gb FC</w:t>
            </w:r>
            <w:r>
              <w:rPr>
                <w:rFonts w:ascii="宋体" w:hAnsi="宋体"/>
              </w:rPr>
              <w:t>端口≥</w:t>
            </w:r>
            <w:r>
              <w:rPr>
                <w:rFonts w:hint="eastAsia" w:ascii="宋体" w:hAnsi="宋体"/>
              </w:rPr>
              <w:t>8</w:t>
            </w:r>
            <w:r>
              <w:rPr>
                <w:rFonts w:ascii="宋体" w:hAnsi="宋体"/>
              </w:rPr>
              <w:t>个</w:t>
            </w:r>
            <w:r>
              <w:rPr>
                <w:rFonts w:hint="eastAsia" w:ascii="宋体" w:hAnsi="宋体"/>
              </w:rPr>
              <w:t>，</w:t>
            </w:r>
            <w:r>
              <w:rPr>
                <w:rFonts w:ascii="宋体" w:hAnsi="宋体"/>
              </w:rPr>
              <w:t>配置</w:t>
            </w:r>
            <w:r>
              <w:rPr>
                <w:rFonts w:hint="eastAsia" w:ascii="宋体" w:hAnsi="宋体"/>
              </w:rPr>
              <w:t>25Gb以太网</w:t>
            </w:r>
            <w:r>
              <w:rPr>
                <w:rFonts w:ascii="宋体" w:hAnsi="宋体"/>
              </w:rPr>
              <w:t>端口≥</w:t>
            </w:r>
            <w:r>
              <w:rPr>
                <w:rFonts w:hint="eastAsia" w:ascii="宋体" w:hAnsi="宋体"/>
              </w:rPr>
              <w:t>8</w:t>
            </w:r>
            <w:r>
              <w:rPr>
                <w:rFonts w:ascii="宋体" w:hAnsi="宋体"/>
              </w:rPr>
              <w:t>个；</w:t>
            </w:r>
          </w:p>
          <w:p w14:paraId="5D5533E3">
            <w:pPr>
              <w:rPr>
                <w:rFonts w:ascii="宋体" w:hAnsi="宋体"/>
              </w:rPr>
            </w:pPr>
            <w:r>
              <w:rPr>
                <w:rFonts w:hint="eastAsia" w:ascii="宋体" w:hAnsi="宋体"/>
              </w:rPr>
              <w:t>5、</w:t>
            </w:r>
            <w:r>
              <w:rPr>
                <w:rFonts w:ascii="宋体" w:hAnsi="宋体"/>
              </w:rPr>
              <w:t>存储QoS： 提供针对前端不同级别的应用提供存储资源的优先分配功能；</w:t>
            </w:r>
          </w:p>
          <w:p w14:paraId="2CF80D4D">
            <w:pPr>
              <w:rPr>
                <w:rFonts w:ascii="宋体" w:hAnsi="宋体"/>
              </w:rPr>
            </w:pPr>
            <w:r>
              <w:rPr>
                <w:rFonts w:hint="eastAsia" w:ascii="宋体" w:hAnsi="宋体"/>
              </w:rPr>
              <w:t>6、</w:t>
            </w:r>
            <w:r>
              <w:rPr>
                <w:rFonts w:ascii="宋体" w:hAnsi="宋体"/>
              </w:rPr>
              <w:t>存储快照 ：提供存储快照功能，配置相应快照软件</w:t>
            </w:r>
          </w:p>
          <w:p w14:paraId="408BD555">
            <w:pPr>
              <w:rPr>
                <w:rFonts w:ascii="宋体" w:hAnsi="宋体"/>
              </w:rPr>
            </w:pPr>
            <w:r>
              <w:rPr>
                <w:rFonts w:hint="eastAsia" w:ascii="宋体" w:hAnsi="宋体"/>
              </w:rPr>
              <w:t>7、</w:t>
            </w:r>
            <w:r>
              <w:rPr>
                <w:rFonts w:ascii="宋体" w:hAnsi="宋体"/>
              </w:rPr>
              <w:t>提供 WORM 文件级锁定，防止更改和删除文件；</w:t>
            </w:r>
          </w:p>
          <w:p w14:paraId="2AF88E4E">
            <w:pPr>
              <w:rPr>
                <w:rFonts w:ascii="宋体" w:hAnsi="宋体"/>
              </w:rPr>
            </w:pPr>
            <w:r>
              <w:rPr>
                <w:rFonts w:hint="eastAsia" w:ascii="宋体" w:hAnsi="宋体"/>
              </w:rPr>
              <w:t>8、</w:t>
            </w:r>
            <w:r>
              <w:rPr>
                <w:rFonts w:ascii="宋体" w:hAnsi="宋体"/>
              </w:rPr>
              <w:t>设备兼容性：支持业界主流平台（Windows server、LINUX、VMware等），支持多种高可用集群系统</w:t>
            </w:r>
          </w:p>
          <w:p w14:paraId="2D37946F">
            <w:pPr>
              <w:rPr>
                <w:rFonts w:ascii="宋体" w:hAnsi="宋体"/>
              </w:rPr>
            </w:pPr>
            <w:r>
              <w:rPr>
                <w:rFonts w:hint="eastAsia" w:ascii="宋体" w:hAnsi="宋体"/>
              </w:rPr>
              <w:t>9、</w:t>
            </w:r>
            <w:r>
              <w:rPr>
                <w:rFonts w:ascii="宋体" w:hAnsi="宋体"/>
              </w:rPr>
              <w:t>云数据复制：支持利用</w:t>
            </w:r>
            <w:r>
              <w:rPr>
                <w:rFonts w:hint="eastAsia" w:ascii="宋体" w:hAnsi="宋体"/>
              </w:rPr>
              <w:t>云原生</w:t>
            </w:r>
            <w:r>
              <w:rPr>
                <w:rFonts w:ascii="宋体" w:hAnsi="宋体"/>
              </w:rPr>
              <w:t>S3</w:t>
            </w:r>
            <w:r>
              <w:rPr>
                <w:rFonts w:hint="eastAsia" w:ascii="宋体" w:hAnsi="宋体"/>
              </w:rPr>
              <w:t>进行</w:t>
            </w:r>
            <w:r>
              <w:rPr>
                <w:rFonts w:ascii="宋体" w:hAnsi="宋体"/>
              </w:rPr>
              <w:t>备份</w:t>
            </w:r>
            <w:r>
              <w:rPr>
                <w:rFonts w:hint="eastAsia" w:ascii="宋体" w:hAnsi="宋体"/>
              </w:rPr>
              <w:t>、数据分发</w:t>
            </w:r>
            <w:r>
              <w:rPr>
                <w:rFonts w:ascii="宋体" w:hAnsi="宋体"/>
              </w:rPr>
              <w:t>和灾难恢复</w:t>
            </w:r>
          </w:p>
          <w:p w14:paraId="7547F191">
            <w:pPr>
              <w:rPr>
                <w:rFonts w:ascii="宋体" w:hAnsi="宋体"/>
              </w:rPr>
            </w:pPr>
            <w:r>
              <w:rPr>
                <w:rFonts w:ascii="宋体" w:hAnsi="宋体"/>
              </w:rPr>
              <w:t>1</w:t>
            </w:r>
            <w:r>
              <w:rPr>
                <w:rFonts w:hint="eastAsia" w:ascii="宋体" w:hAnsi="宋体"/>
              </w:rPr>
              <w:t>0、</w:t>
            </w:r>
            <w:r>
              <w:rPr>
                <w:rFonts w:ascii="宋体" w:hAnsi="宋体"/>
              </w:rPr>
              <w:t>勒索软件防护：提供强大的内置功能，可检测勒索软件活动、防止其传播并实现快速 恢复</w:t>
            </w:r>
            <w:r>
              <w:rPr>
                <w:rFonts w:hint="eastAsia" w:ascii="宋体" w:hAnsi="宋体"/>
              </w:rPr>
              <w:t>，</w:t>
            </w:r>
            <w:r>
              <w:rPr>
                <w:rFonts w:ascii="宋体" w:hAnsi="宋体"/>
              </w:rPr>
              <w:t>包括自动拍摄快照并在检测到异常文件活动时提醒管理员</w:t>
            </w:r>
            <w:r>
              <w:rPr>
                <w:rFonts w:hint="eastAsia" w:ascii="宋体" w:hAnsi="宋体"/>
              </w:rPr>
              <w:t>。</w:t>
            </w:r>
          </w:p>
          <w:p w14:paraId="5A564C50">
            <w:pPr>
              <w:rPr>
                <w:rFonts w:ascii="宋体" w:hAnsi="宋体"/>
              </w:rPr>
            </w:pPr>
            <w:r>
              <w:rPr>
                <w:rFonts w:ascii="宋体" w:hAnsi="宋体"/>
              </w:rPr>
              <w:t>1</w:t>
            </w:r>
            <w:r>
              <w:rPr>
                <w:rFonts w:hint="eastAsia" w:ascii="宋体" w:hAnsi="宋体"/>
              </w:rPr>
              <w:t>1、</w:t>
            </w:r>
            <w:r>
              <w:rPr>
                <w:rFonts w:ascii="宋体" w:hAnsi="宋体"/>
              </w:rPr>
              <w:t>可用性：配置冗余电源、冗余风扇、冗余控制器;必须支持在线可热插拔更换；保证系统内无任何单点错误的隐患</w:t>
            </w:r>
            <w:r>
              <w:rPr>
                <w:rFonts w:hint="eastAsia" w:ascii="宋体" w:hAnsi="宋体"/>
              </w:rPr>
              <w:t>。</w:t>
            </w:r>
          </w:p>
          <w:p w14:paraId="42428CBC">
            <w:pPr>
              <w:rPr>
                <w:rFonts w:ascii="宋体" w:hAnsi="宋体"/>
              </w:rPr>
            </w:pPr>
            <w:r>
              <w:rPr>
                <w:rFonts w:ascii="宋体" w:hAnsi="宋体"/>
              </w:rPr>
              <w:t>1</w:t>
            </w:r>
            <w:r>
              <w:rPr>
                <w:rFonts w:hint="eastAsia" w:ascii="宋体" w:hAnsi="宋体"/>
              </w:rPr>
              <w:t>2、</w:t>
            </w:r>
            <w:r>
              <w:rPr>
                <w:rFonts w:ascii="宋体" w:hAnsi="宋体"/>
              </w:rPr>
              <w:t>存储软件及功能要求：</w:t>
            </w:r>
            <w:r>
              <w:rPr>
                <w:rFonts w:hint="eastAsia" w:ascii="宋体" w:hAnsi="宋体"/>
              </w:rPr>
              <w:t>存储软件</w:t>
            </w:r>
            <w:r>
              <w:rPr>
                <w:rFonts w:ascii="宋体" w:hAnsi="宋体"/>
              </w:rPr>
              <w:t>可提供领先的数据管理、存储效率、数据保护、高性能和先进功能，原生支持FC</w:t>
            </w:r>
            <w:r>
              <w:rPr>
                <w:rFonts w:hint="eastAsia" w:ascii="宋体" w:hAnsi="宋体"/>
              </w:rPr>
              <w:t>、</w:t>
            </w:r>
            <w:r>
              <w:rPr>
                <w:rFonts w:ascii="宋体" w:hAnsi="宋体"/>
              </w:rPr>
              <w:t>iSCSI</w:t>
            </w:r>
            <w:r>
              <w:rPr>
                <w:rFonts w:hint="eastAsia" w:ascii="宋体" w:hAnsi="宋体"/>
              </w:rPr>
              <w:t>、SMB、</w:t>
            </w:r>
            <w:r>
              <w:rPr>
                <w:rFonts w:ascii="宋体" w:hAnsi="宋体"/>
              </w:rPr>
              <w:t>NFS</w:t>
            </w:r>
            <w:r>
              <w:rPr>
                <w:rFonts w:hint="eastAsia" w:ascii="宋体" w:hAnsi="宋体"/>
              </w:rPr>
              <w:t>、</w:t>
            </w:r>
            <w:r>
              <w:rPr>
                <w:rFonts w:ascii="宋体" w:hAnsi="宋体"/>
              </w:rPr>
              <w:t>S3</w:t>
            </w:r>
            <w:r>
              <w:rPr>
                <w:rFonts w:hint="eastAsia" w:ascii="宋体" w:hAnsi="宋体"/>
              </w:rPr>
              <w:t>、</w:t>
            </w:r>
            <w:r>
              <w:rPr>
                <w:rFonts w:ascii="宋体" w:hAnsi="宋体"/>
              </w:rPr>
              <w:t>pNFS</w:t>
            </w:r>
            <w:r>
              <w:rPr>
                <w:rFonts w:hint="eastAsia" w:ascii="宋体" w:hAnsi="宋体"/>
              </w:rPr>
              <w:t>、NVMe/FC存储网络</w:t>
            </w:r>
            <w:r>
              <w:rPr>
                <w:rFonts w:ascii="宋体" w:hAnsi="宋体"/>
              </w:rPr>
              <w:t>，无需外部网关设备；支持单个命名空间扩展为多达20PB和4000亿个文件；实现零数据丢失和透明的应用程序故障转移，利用简单的管理和平台灵活性保持高性能和业务弹性；提供丰富的存储管理功能，包括快照、卷复制、服务质量、精简配置、压缩、去重、加密、基于磁 盘的备份、应用程序和虚拟机感知备份、快速数据恢复、集群、同步复制和异步复制。</w:t>
            </w:r>
          </w:p>
          <w:p w14:paraId="4257E5CA">
            <w:pPr>
              <w:rPr>
                <w:rFonts w:hint="eastAsia" w:ascii="宋体" w:hAnsi="宋体"/>
              </w:rPr>
            </w:pPr>
            <w:r>
              <w:rPr>
                <w:rFonts w:hint="eastAsia" w:ascii="宋体" w:hAnsi="宋体"/>
              </w:rPr>
              <w:t>13、可选用统一管理软件与服务器和其他同品牌设备统一管理；</w:t>
            </w:r>
          </w:p>
          <w:p w14:paraId="76A25837">
            <w:pPr>
              <w:rPr>
                <w:rFonts w:hint="default" w:ascii="宋体" w:hAnsi="宋体" w:eastAsia="宋体"/>
                <w:lang w:val="en-US" w:eastAsia="zh-CN"/>
              </w:rPr>
            </w:pPr>
            <w:r>
              <w:rPr>
                <w:rFonts w:hint="eastAsia" w:ascii="宋体" w:hAnsi="宋体"/>
                <w:lang w:val="en-US" w:eastAsia="zh-CN"/>
              </w:rPr>
              <w:t>14、质保：3年</w:t>
            </w:r>
          </w:p>
          <w:p w14:paraId="129F2FF1">
            <w:pPr>
              <w:rPr>
                <w:rFonts w:hint="eastAsia" w:ascii="宋体" w:hAnsi="宋体"/>
              </w:rPr>
            </w:pPr>
          </w:p>
          <w:p w14:paraId="17A86AB5">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三、产品名称：PACS数据库与应用集群节点</w:t>
            </w:r>
          </w:p>
          <w:p w14:paraId="5F6CAB3C">
            <w:r>
              <w:rPr>
                <w:rFonts w:hint="eastAsia"/>
              </w:rPr>
              <w:t>数量：2套</w:t>
            </w:r>
          </w:p>
          <w:p w14:paraId="70B4C526">
            <w:r>
              <w:rPr>
                <w:rFonts w:hint="eastAsia"/>
              </w:rPr>
              <w:t>设备参数：</w:t>
            </w:r>
          </w:p>
          <w:p w14:paraId="4736D7AB">
            <w:pPr>
              <w:widowControl/>
              <w:jc w:val="left"/>
              <w:rPr>
                <w:rFonts w:ascii="宋体" w:hAnsi="宋体" w:cs="仿宋"/>
                <w:sz w:val="20"/>
                <w:szCs w:val="20"/>
              </w:rPr>
            </w:pPr>
            <w:r>
              <w:rPr>
                <w:rFonts w:hint="eastAsia" w:ascii="宋体" w:hAnsi="宋体" w:cs="仿宋"/>
                <w:sz w:val="20"/>
                <w:szCs w:val="20"/>
              </w:rPr>
              <w:t>1、规格：≥4U国产（非OEM）；</w:t>
            </w:r>
          </w:p>
          <w:p w14:paraId="1DFC8E98">
            <w:pPr>
              <w:widowControl/>
              <w:jc w:val="left"/>
              <w:rPr>
                <w:rFonts w:ascii="宋体" w:hAnsi="宋体" w:cs="仿宋"/>
                <w:sz w:val="20"/>
                <w:szCs w:val="20"/>
              </w:rPr>
            </w:pPr>
            <w:r>
              <w:rPr>
                <w:rFonts w:hint="eastAsia" w:ascii="宋体" w:hAnsi="宋体" w:cs="仿宋"/>
                <w:sz w:val="20"/>
                <w:szCs w:val="20"/>
              </w:rPr>
              <w:t>2、处理器：配置≥4颗Intel Xeon Gold 6418H 24C 165W 2.1GHz处理器，具备≥3个UPI链路的网络拓扑结构；</w:t>
            </w:r>
          </w:p>
          <w:p w14:paraId="7CF71E07">
            <w:pPr>
              <w:widowControl/>
              <w:jc w:val="left"/>
              <w:rPr>
                <w:rFonts w:ascii="宋体" w:hAnsi="宋体" w:cs="仿宋"/>
                <w:sz w:val="20"/>
                <w:szCs w:val="20"/>
              </w:rPr>
            </w:pPr>
            <w:r>
              <w:rPr>
                <w:rFonts w:hint="eastAsia" w:ascii="宋体" w:hAnsi="宋体" w:cs="仿宋"/>
                <w:sz w:val="20"/>
                <w:szCs w:val="20"/>
              </w:rPr>
              <w:t>3、内存：配置≥512GB TruDDR5内存，单挑内存容量≥64GB，可选64个内存插槽；</w:t>
            </w:r>
          </w:p>
          <w:p w14:paraId="2F47F751">
            <w:pPr>
              <w:widowControl/>
              <w:jc w:val="left"/>
              <w:rPr>
                <w:rFonts w:ascii="宋体" w:hAnsi="宋体" w:cs="仿宋"/>
                <w:sz w:val="20"/>
                <w:szCs w:val="20"/>
              </w:rPr>
            </w:pPr>
            <w:r>
              <w:rPr>
                <w:rFonts w:hint="eastAsia" w:ascii="宋体" w:hAnsi="宋体" w:cs="仿宋"/>
                <w:sz w:val="20"/>
                <w:szCs w:val="20"/>
              </w:rPr>
              <w:t>4、硬盘：内置硬盘类型：本次配置≥3块3.84TB 2.5寸SSD硬盘；</w:t>
            </w:r>
          </w:p>
          <w:p w14:paraId="76E7B32B">
            <w:pPr>
              <w:widowControl/>
              <w:jc w:val="left"/>
              <w:rPr>
                <w:rFonts w:ascii="宋体" w:hAnsi="宋体" w:cs="仿宋"/>
                <w:sz w:val="20"/>
                <w:szCs w:val="20"/>
              </w:rPr>
            </w:pPr>
            <w:r>
              <w:rPr>
                <w:rFonts w:hint="eastAsia" w:ascii="宋体" w:hAnsi="宋体" w:cs="仿宋"/>
                <w:sz w:val="20"/>
                <w:szCs w:val="20"/>
              </w:rPr>
              <w:t>5、RAID卡：配置≥1块RAID卡，缓存≥2GB，支持RAID 0、1、5、6、10、50、60；</w:t>
            </w:r>
            <w:r>
              <w:rPr>
                <w:rFonts w:ascii="宋体" w:hAnsi="宋体" w:cs="仿宋"/>
                <w:sz w:val="20"/>
                <w:szCs w:val="20"/>
              </w:rPr>
              <w:t xml:space="preserve"> </w:t>
            </w:r>
          </w:p>
          <w:p w14:paraId="31D1632C">
            <w:pPr>
              <w:widowControl/>
              <w:jc w:val="left"/>
              <w:rPr>
                <w:rFonts w:ascii="宋体" w:hAnsi="宋体" w:cs="仿宋"/>
                <w:sz w:val="20"/>
                <w:szCs w:val="20"/>
              </w:rPr>
            </w:pPr>
            <w:r>
              <w:rPr>
                <w:rFonts w:hint="eastAsia" w:ascii="宋体" w:hAnsi="宋体" w:cs="仿宋"/>
                <w:sz w:val="20"/>
                <w:szCs w:val="20"/>
              </w:rPr>
              <w:t>6、安全性：支持信任根模块；</w:t>
            </w:r>
          </w:p>
          <w:p w14:paraId="48D64DD9">
            <w:pPr>
              <w:widowControl/>
              <w:jc w:val="left"/>
              <w:rPr>
                <w:rFonts w:ascii="宋体" w:hAnsi="宋体" w:cs="仿宋"/>
                <w:sz w:val="20"/>
                <w:szCs w:val="20"/>
              </w:rPr>
            </w:pPr>
            <w:r>
              <w:rPr>
                <w:rFonts w:hint="eastAsia" w:ascii="宋体" w:hAnsi="宋体" w:cs="仿宋"/>
                <w:sz w:val="20"/>
                <w:szCs w:val="20"/>
              </w:rPr>
              <w:t>e7、I/O扩展：支持PCI-E插槽总数≥</w:t>
            </w:r>
            <w:r>
              <w:rPr>
                <w:rFonts w:ascii="宋体" w:hAnsi="宋体" w:cs="仿宋"/>
                <w:sz w:val="20"/>
                <w:szCs w:val="20"/>
              </w:rPr>
              <w:t>1</w:t>
            </w:r>
            <w:r>
              <w:rPr>
                <w:rFonts w:hint="eastAsia" w:ascii="宋体" w:hAnsi="宋体" w:cs="仿宋"/>
                <w:sz w:val="20"/>
                <w:szCs w:val="20"/>
              </w:rPr>
              <w:t>8个，支持≥2个OCP插槽；</w:t>
            </w:r>
          </w:p>
          <w:p w14:paraId="607566E1">
            <w:pPr>
              <w:widowControl/>
              <w:jc w:val="left"/>
              <w:rPr>
                <w:rFonts w:ascii="宋体" w:hAnsi="宋体" w:cs="仿宋"/>
                <w:sz w:val="20"/>
                <w:szCs w:val="20"/>
              </w:rPr>
            </w:pPr>
            <w:r>
              <w:rPr>
                <w:rFonts w:hint="eastAsia" w:ascii="宋体" w:hAnsi="宋体" w:cs="仿宋"/>
                <w:sz w:val="20"/>
                <w:szCs w:val="20"/>
              </w:rPr>
              <w:t>8、网络接口：配置≥2个双口25Gb光纤网卡（含4个25Gb SFP28多模模块），配置1个四口千兆网卡；</w:t>
            </w:r>
          </w:p>
          <w:p w14:paraId="12F8B8E8">
            <w:pPr>
              <w:widowControl/>
              <w:jc w:val="left"/>
              <w:rPr>
                <w:rFonts w:ascii="宋体" w:hAnsi="宋体" w:cs="仿宋"/>
                <w:sz w:val="20"/>
                <w:szCs w:val="20"/>
              </w:rPr>
            </w:pPr>
            <w:r>
              <w:rPr>
                <w:rFonts w:hint="eastAsia" w:ascii="宋体" w:hAnsi="宋体" w:cs="仿宋"/>
                <w:sz w:val="20"/>
                <w:szCs w:val="20"/>
              </w:rPr>
              <w:t>9、HBA卡：配置≥2块双端口32Gb FC HBA卡，满配模块；</w:t>
            </w:r>
          </w:p>
          <w:p w14:paraId="6ADA56B9">
            <w:pPr>
              <w:widowControl/>
              <w:jc w:val="left"/>
              <w:rPr>
                <w:rFonts w:ascii="宋体" w:hAnsi="宋体" w:cs="仿宋"/>
                <w:sz w:val="20"/>
                <w:szCs w:val="20"/>
              </w:rPr>
            </w:pPr>
            <w:r>
              <w:rPr>
                <w:rFonts w:hint="eastAsia" w:ascii="宋体" w:hAnsi="宋体" w:cs="仿宋"/>
                <w:sz w:val="20"/>
                <w:szCs w:val="20"/>
              </w:rPr>
              <w:t>10、电源：提供2+2冗余电源，散热：配置冗余风扇；</w:t>
            </w:r>
          </w:p>
          <w:p w14:paraId="553DEB1F">
            <w:pPr>
              <w:widowControl/>
              <w:jc w:val="left"/>
              <w:rPr>
                <w:rFonts w:ascii="宋体" w:hAnsi="宋体" w:cs="仿宋"/>
                <w:sz w:val="20"/>
                <w:szCs w:val="20"/>
              </w:rPr>
            </w:pPr>
            <w:r>
              <w:rPr>
                <w:rFonts w:hint="eastAsia" w:ascii="宋体" w:hAnsi="宋体" w:cs="仿宋"/>
                <w:sz w:val="20"/>
                <w:szCs w:val="20"/>
              </w:rPr>
              <w:t>11、为保障机器正常工作能力，所投HIS数据库集群节点须通过“环境应力筛选-储存温度”测试，测试值为-40至70度之间；</w:t>
            </w:r>
          </w:p>
          <w:p w14:paraId="4371DE1A">
            <w:pPr>
              <w:widowControl/>
              <w:jc w:val="left"/>
              <w:rPr>
                <w:rFonts w:ascii="宋体" w:hAnsi="宋体" w:cs="仿宋"/>
                <w:sz w:val="20"/>
                <w:szCs w:val="20"/>
              </w:rPr>
            </w:pPr>
            <w:r>
              <w:rPr>
                <w:rFonts w:hint="eastAsia" w:ascii="宋体" w:hAnsi="宋体" w:cs="仿宋"/>
                <w:sz w:val="20"/>
                <w:szCs w:val="20"/>
              </w:rPr>
              <w:t>12、为保障机器承受一定带宽的随机振动仍旧正常工作的能力，所投HIS数据库集群节点须通过“环境应力筛选-随机移动”测试，测试范围在5Hz-2000Hz之间；</w:t>
            </w:r>
          </w:p>
          <w:p w14:paraId="02625D1F">
            <w:pPr>
              <w:widowControl/>
              <w:jc w:val="left"/>
              <w:rPr>
                <w:rFonts w:ascii="宋体" w:hAnsi="宋体" w:cs="仿宋"/>
                <w:sz w:val="20"/>
                <w:szCs w:val="20"/>
              </w:rPr>
            </w:pPr>
            <w:r>
              <w:rPr>
                <w:rFonts w:hint="eastAsia" w:ascii="宋体" w:hAnsi="宋体" w:cs="仿宋"/>
                <w:sz w:val="20"/>
                <w:szCs w:val="20"/>
              </w:rPr>
              <w:t>13、为保障机器正常工作噪音问题，所投HIS数据库集群节点的噪声声功率值在5Bel以下；</w:t>
            </w:r>
          </w:p>
          <w:p w14:paraId="129B214A">
            <w:pPr>
              <w:widowControl/>
              <w:jc w:val="left"/>
              <w:rPr>
                <w:rFonts w:ascii="宋体" w:hAnsi="宋体" w:cs="仿宋"/>
                <w:sz w:val="20"/>
                <w:szCs w:val="20"/>
              </w:rPr>
            </w:pPr>
            <w:r>
              <w:rPr>
                <w:rFonts w:hint="eastAsia" w:ascii="宋体" w:hAnsi="宋体" w:cs="仿宋"/>
                <w:sz w:val="20"/>
                <w:szCs w:val="20"/>
              </w:rPr>
              <w:t>14、为保障机器抗扰度性能，所投HIS数据库集群节点须通过电磁兼容性检验且工频磁场抗扰度磁场强度不低于10A/m；</w:t>
            </w:r>
          </w:p>
          <w:p w14:paraId="6458E21C">
            <w:pPr>
              <w:widowControl/>
              <w:jc w:val="left"/>
              <w:rPr>
                <w:rFonts w:ascii="宋体" w:hAnsi="宋体" w:cs="仿宋"/>
                <w:sz w:val="20"/>
                <w:szCs w:val="20"/>
              </w:rPr>
            </w:pPr>
            <w:r>
              <w:rPr>
                <w:rFonts w:hint="eastAsia" w:ascii="宋体" w:hAnsi="宋体" w:cs="仿宋"/>
                <w:sz w:val="20"/>
                <w:szCs w:val="20"/>
              </w:rPr>
              <w:t>15、为保障机器的耐用度，所投HIS数据库集群节点须具有一定抗盐雾腐蚀的能力；</w:t>
            </w:r>
          </w:p>
          <w:p w14:paraId="40E72EED">
            <w:pPr>
              <w:widowControl/>
              <w:jc w:val="left"/>
              <w:rPr>
                <w:rFonts w:ascii="宋体" w:hAnsi="宋体" w:cs="仿宋"/>
                <w:sz w:val="20"/>
                <w:szCs w:val="20"/>
              </w:rPr>
            </w:pPr>
            <w:r>
              <w:rPr>
                <w:rFonts w:hint="eastAsia" w:ascii="宋体" w:hAnsi="宋体" w:cs="仿宋"/>
                <w:sz w:val="20"/>
                <w:szCs w:val="20"/>
              </w:rPr>
              <w:t>16、为保证所投HIS数据库集群节点监控管理软件的效率质量及安全性，要求监控管理软件针对Microsoft System Center进行自主可控的开发管理；</w:t>
            </w:r>
          </w:p>
          <w:p w14:paraId="00002360">
            <w:pPr>
              <w:widowControl/>
              <w:jc w:val="left"/>
              <w:rPr>
                <w:rFonts w:ascii="宋体" w:hAnsi="宋体" w:cs="仿宋"/>
                <w:sz w:val="20"/>
                <w:szCs w:val="20"/>
              </w:rPr>
            </w:pPr>
            <w:r>
              <w:rPr>
                <w:rFonts w:hint="eastAsia" w:ascii="宋体" w:hAnsi="宋体" w:cs="仿宋"/>
                <w:sz w:val="20"/>
                <w:szCs w:val="20"/>
              </w:rPr>
              <w:t>17、为保证所投HIS数据库集群节点监控管理软件的效率质量及安全性，要求监控管理软件针对VMware vCenter进行自主可控的开发管理；</w:t>
            </w:r>
          </w:p>
          <w:p w14:paraId="2059D538">
            <w:pPr>
              <w:widowControl/>
              <w:jc w:val="left"/>
              <w:rPr>
                <w:rFonts w:ascii="宋体" w:hAnsi="宋体" w:cs="仿宋"/>
                <w:sz w:val="20"/>
                <w:szCs w:val="20"/>
              </w:rPr>
            </w:pPr>
            <w:r>
              <w:rPr>
                <w:rFonts w:hint="eastAsia" w:ascii="宋体" w:hAnsi="宋体" w:cs="仿宋"/>
                <w:sz w:val="20"/>
                <w:szCs w:val="20"/>
              </w:rPr>
              <w:t>18、为了应付突发应急情况，所投HIS数据库集群节点平均无故障时间MTBF的m1的值不低于150000小时；</w:t>
            </w:r>
          </w:p>
          <w:p w14:paraId="03632CCC">
            <w:pPr>
              <w:rPr>
                <w:rFonts w:hint="eastAsia" w:ascii="宋体" w:hAnsi="宋体" w:cs="仿宋"/>
              </w:rPr>
            </w:pPr>
            <w:r>
              <w:rPr>
                <w:rFonts w:hint="eastAsia" w:ascii="宋体" w:hAnsi="宋体" w:cs="仿宋"/>
                <w:sz w:val="20"/>
                <w:szCs w:val="20"/>
              </w:rPr>
              <w:t>19、</w:t>
            </w:r>
            <w:r>
              <w:rPr>
                <w:rFonts w:hint="eastAsia" w:ascii="宋体" w:hAnsi="宋体" w:cs="仿宋"/>
              </w:rPr>
              <w:t>为保证</w:t>
            </w:r>
            <w:r>
              <w:rPr>
                <w:rFonts w:hint="eastAsia" w:ascii="宋体" w:hAnsi="宋体" w:cs="仿宋"/>
                <w:sz w:val="20"/>
                <w:szCs w:val="20"/>
              </w:rPr>
              <w:t>所投HIS数据库集群</w:t>
            </w:r>
            <w:r>
              <w:rPr>
                <w:rFonts w:hint="eastAsia" w:ascii="宋体" w:hAnsi="宋体" w:cs="仿宋"/>
              </w:rPr>
              <w:t>性能,</w:t>
            </w:r>
            <w:r>
              <w:rPr>
                <w:rFonts w:hint="eastAsia" w:ascii="宋体" w:hAnsi="宋体" w:cs="仿宋"/>
                <w:sz w:val="20"/>
                <w:szCs w:val="20"/>
              </w:rPr>
              <w:t>所投HIS数据库集群节点</w:t>
            </w:r>
            <w:r>
              <w:rPr>
                <w:rFonts w:hint="eastAsia" w:ascii="宋体" w:hAnsi="宋体" w:cs="仿宋"/>
              </w:rPr>
              <w:t>进行了SAP SD-Benchmark测试，且测试值</w:t>
            </w:r>
            <w:r>
              <w:rPr>
                <w:rFonts w:hint="eastAsia" w:ascii="宋体" w:hAnsi="宋体" w:cs="仿宋"/>
                <w:sz w:val="20"/>
                <w:szCs w:val="20"/>
              </w:rPr>
              <w:t>≥</w:t>
            </w:r>
            <w:r>
              <w:rPr>
                <w:rFonts w:ascii="宋体" w:hAnsi="宋体" w:cs="仿宋"/>
              </w:rPr>
              <w:t>710000</w:t>
            </w:r>
            <w:r>
              <w:rPr>
                <w:rFonts w:hint="eastAsia" w:ascii="宋体" w:hAnsi="宋体" w:cs="仿宋"/>
              </w:rPr>
              <w:t>；</w:t>
            </w:r>
          </w:p>
          <w:p w14:paraId="40F4381D">
            <w:pPr>
              <w:rPr>
                <w:rFonts w:hint="default" w:ascii="宋体" w:hAnsi="宋体" w:eastAsia="宋体" w:cs="仿宋"/>
                <w:lang w:val="en-US" w:eastAsia="zh-CN"/>
              </w:rPr>
            </w:pPr>
            <w:r>
              <w:rPr>
                <w:rFonts w:hint="eastAsia" w:ascii="宋体" w:hAnsi="宋体" w:cs="仿宋"/>
                <w:lang w:val="en-US" w:eastAsia="zh-CN"/>
              </w:rPr>
              <w:t>20、质保：3年</w:t>
            </w:r>
          </w:p>
          <w:p w14:paraId="30C31189">
            <w:pPr>
              <w:rPr>
                <w:rFonts w:ascii="宋体" w:hAnsi="宋体" w:cs="仿宋"/>
              </w:rPr>
            </w:pPr>
          </w:p>
          <w:p w14:paraId="2802AB62">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四、产品名称：PACS存储</w:t>
            </w:r>
          </w:p>
          <w:p w14:paraId="4FAEB7C0">
            <w:r>
              <w:rPr>
                <w:rFonts w:hint="eastAsia"/>
              </w:rPr>
              <w:t>数量：1套</w:t>
            </w:r>
          </w:p>
          <w:p w14:paraId="7534C150">
            <w:r>
              <w:rPr>
                <w:rFonts w:hint="eastAsia"/>
              </w:rPr>
              <w:t>设备参数：</w:t>
            </w:r>
          </w:p>
          <w:p w14:paraId="79E293A2">
            <w:pPr>
              <w:rPr>
                <w:rFonts w:ascii="宋体" w:hAnsi="宋体"/>
              </w:rPr>
            </w:pPr>
            <w:r>
              <w:rPr>
                <w:rFonts w:hint="eastAsia" w:ascii="宋体" w:hAnsi="宋体"/>
              </w:rPr>
              <w:t>1、</w:t>
            </w:r>
            <w:r>
              <w:rPr>
                <w:rFonts w:ascii="宋体" w:hAnsi="宋体"/>
              </w:rPr>
              <w:t>控制器：冗余双控制器架构，控制器为双活工作模式，可支持FC、iSCSI、SAS协议</w:t>
            </w:r>
          </w:p>
          <w:p w14:paraId="0446B94C">
            <w:pPr>
              <w:rPr>
                <w:rFonts w:ascii="宋体" w:hAnsi="宋体"/>
              </w:rPr>
            </w:pPr>
            <w:r>
              <w:rPr>
                <w:rFonts w:hint="eastAsia" w:ascii="宋体" w:hAnsi="宋体"/>
              </w:rPr>
              <w:t>2、</w:t>
            </w:r>
            <w:r>
              <w:rPr>
                <w:rFonts w:ascii="宋体" w:hAnsi="宋体"/>
              </w:rPr>
              <w:t>数据缓存：缓存（不含任何性能加速模块或NAS缓存、FlashCache、PAM卡，SSDCache等），本次配置要求≥128GB</w:t>
            </w:r>
            <w:r>
              <w:rPr>
                <w:rFonts w:hint="eastAsia" w:ascii="宋体" w:hAnsi="宋体"/>
              </w:rPr>
              <w:t>；</w:t>
            </w:r>
          </w:p>
          <w:p w14:paraId="283F4D70">
            <w:pPr>
              <w:rPr>
                <w:rFonts w:ascii="宋体" w:hAnsi="宋体"/>
              </w:rPr>
            </w:pPr>
            <w:r>
              <w:rPr>
                <w:rFonts w:hint="eastAsia" w:ascii="宋体" w:hAnsi="宋体"/>
              </w:rPr>
              <w:t>3、</w:t>
            </w:r>
            <w:r>
              <w:rPr>
                <w:rFonts w:ascii="宋体" w:hAnsi="宋体"/>
              </w:rPr>
              <w:t>磁盘：双控最大可扩充磁盘数≥480, 支持SAS、NL-SAS、SSD盘，支持不同容量、不同类型的磁盘混合安装，本次配置</w:t>
            </w:r>
            <w:r>
              <w:rPr>
                <w:rFonts w:hint="eastAsia" w:ascii="宋体" w:hAnsi="宋体"/>
              </w:rPr>
              <w:t>22T NL-SAS</w:t>
            </w:r>
            <w:r>
              <w:rPr>
                <w:rFonts w:ascii="宋体" w:hAnsi="宋体"/>
              </w:rPr>
              <w:t>硬盘≥</w:t>
            </w:r>
            <w:r>
              <w:rPr>
                <w:rFonts w:hint="eastAsia" w:ascii="宋体" w:hAnsi="宋体"/>
              </w:rPr>
              <w:t>24</w:t>
            </w:r>
            <w:r>
              <w:rPr>
                <w:rFonts w:ascii="宋体" w:hAnsi="宋体"/>
              </w:rPr>
              <w:t>块</w:t>
            </w:r>
            <w:r>
              <w:rPr>
                <w:rFonts w:ascii="宋体" w:hAnsi="宋体"/>
              </w:rPr>
              <w:tab/>
            </w:r>
          </w:p>
          <w:p w14:paraId="1F8A7757">
            <w:pPr>
              <w:rPr>
                <w:rFonts w:ascii="宋体" w:hAnsi="宋体"/>
              </w:rPr>
            </w:pPr>
            <w:r>
              <w:rPr>
                <w:rFonts w:hint="eastAsia" w:ascii="宋体" w:hAnsi="宋体"/>
              </w:rPr>
              <w:t>4、</w:t>
            </w:r>
            <w:r>
              <w:rPr>
                <w:rFonts w:ascii="宋体" w:hAnsi="宋体"/>
              </w:rPr>
              <w:t>RAID种类: 支持多种工业标准RAID存储方式混用，包括单盘失效、双盘失效保护技术，包括RAID0/1/10/</w:t>
            </w:r>
            <w:r>
              <w:rPr>
                <w:rFonts w:hint="eastAsia" w:ascii="宋体" w:hAnsi="宋体"/>
              </w:rPr>
              <w:t>3/</w:t>
            </w:r>
            <w:r>
              <w:rPr>
                <w:rFonts w:ascii="宋体" w:hAnsi="宋体"/>
              </w:rPr>
              <w:t>5/6/及动态磁盘池技术。</w:t>
            </w:r>
          </w:p>
          <w:p w14:paraId="1E10FA2E">
            <w:pPr>
              <w:rPr>
                <w:rFonts w:ascii="宋体" w:hAnsi="宋体"/>
              </w:rPr>
            </w:pPr>
            <w:r>
              <w:rPr>
                <w:rFonts w:hint="eastAsia" w:ascii="宋体" w:hAnsi="宋体"/>
              </w:rPr>
              <w:t>5、读</w:t>
            </w:r>
            <w:r>
              <w:rPr>
                <w:rFonts w:ascii="宋体" w:hAnsi="宋体"/>
              </w:rPr>
              <w:t>缓存技术：支持SSD盘的</w:t>
            </w:r>
            <w:r>
              <w:rPr>
                <w:rFonts w:hint="eastAsia" w:ascii="宋体" w:hAnsi="宋体"/>
              </w:rPr>
              <w:t>读</w:t>
            </w:r>
            <w:r>
              <w:rPr>
                <w:rFonts w:ascii="宋体" w:hAnsi="宋体"/>
              </w:rPr>
              <w:t>缓存加速技术。</w:t>
            </w:r>
          </w:p>
          <w:p w14:paraId="0C5A8BAF">
            <w:pPr>
              <w:rPr>
                <w:rFonts w:ascii="宋体" w:hAnsi="宋体"/>
              </w:rPr>
            </w:pPr>
            <w:r>
              <w:rPr>
                <w:rFonts w:hint="eastAsia" w:ascii="宋体" w:hAnsi="宋体"/>
              </w:rPr>
              <w:t>6、</w:t>
            </w:r>
            <w:r>
              <w:rPr>
                <w:rFonts w:ascii="宋体" w:hAnsi="宋体"/>
              </w:rPr>
              <w:t>前端服务器接口：最大支持</w:t>
            </w:r>
            <w:r>
              <w:rPr>
                <w:rFonts w:hint="eastAsia" w:ascii="宋体" w:hAnsi="宋体"/>
              </w:rPr>
              <w:t>8</w:t>
            </w:r>
            <w:r>
              <w:rPr>
                <w:rFonts w:ascii="宋体" w:hAnsi="宋体"/>
              </w:rPr>
              <w:t>个10Gb</w:t>
            </w:r>
            <w:r>
              <w:rPr>
                <w:rFonts w:hint="eastAsia" w:ascii="宋体" w:hAnsi="宋体"/>
              </w:rPr>
              <w:t>或</w:t>
            </w:r>
            <w:r>
              <w:rPr>
                <w:rFonts w:ascii="宋体" w:hAnsi="宋体"/>
              </w:rPr>
              <w:t>25Gb</w:t>
            </w:r>
            <w:r>
              <w:rPr>
                <w:rFonts w:hint="eastAsia" w:ascii="宋体" w:hAnsi="宋体"/>
              </w:rPr>
              <w:t xml:space="preserve"> iSCSI端</w:t>
            </w:r>
            <w:r>
              <w:rPr>
                <w:rFonts w:ascii="宋体" w:hAnsi="宋体"/>
              </w:rPr>
              <w:t>口</w:t>
            </w:r>
            <w:r>
              <w:rPr>
                <w:rFonts w:hint="eastAsia" w:ascii="宋体" w:hAnsi="宋体"/>
              </w:rPr>
              <w:t>、最大支持8</w:t>
            </w:r>
            <w:r>
              <w:rPr>
                <w:rFonts w:ascii="宋体" w:hAnsi="宋体"/>
              </w:rPr>
              <w:t>个16Gb或32Gb FC</w:t>
            </w:r>
            <w:r>
              <w:rPr>
                <w:rFonts w:hint="eastAsia" w:ascii="宋体" w:hAnsi="宋体"/>
              </w:rPr>
              <w:t>端</w:t>
            </w:r>
            <w:r>
              <w:rPr>
                <w:rFonts w:ascii="宋体" w:hAnsi="宋体"/>
              </w:rPr>
              <w:t>口</w:t>
            </w:r>
            <w:r>
              <w:rPr>
                <w:rFonts w:hint="eastAsia" w:ascii="宋体" w:hAnsi="宋体"/>
              </w:rPr>
              <w:t>、最大支持</w:t>
            </w:r>
            <w:r>
              <w:rPr>
                <w:rFonts w:ascii="宋体" w:hAnsi="宋体"/>
              </w:rPr>
              <w:t>8个12Gb SAS端口，本次配置</w:t>
            </w:r>
            <w:r>
              <w:rPr>
                <w:rFonts w:hint="eastAsia" w:ascii="宋体" w:hAnsi="宋体"/>
              </w:rPr>
              <w:t>8</w:t>
            </w:r>
            <w:r>
              <w:rPr>
                <w:rFonts w:ascii="宋体" w:hAnsi="宋体"/>
              </w:rPr>
              <w:t>个32Gb FC端口</w:t>
            </w:r>
            <w:r>
              <w:rPr>
                <w:rFonts w:ascii="宋体" w:hAnsi="宋体"/>
              </w:rPr>
              <w:tab/>
            </w:r>
          </w:p>
          <w:p w14:paraId="08AD6B4E">
            <w:pPr>
              <w:rPr>
                <w:rFonts w:ascii="宋体" w:hAnsi="宋体"/>
              </w:rPr>
            </w:pPr>
            <w:r>
              <w:rPr>
                <w:rFonts w:hint="eastAsia" w:ascii="宋体" w:hAnsi="宋体"/>
              </w:rPr>
              <w:t>7、</w:t>
            </w:r>
            <w:r>
              <w:rPr>
                <w:rFonts w:ascii="宋体" w:hAnsi="宋体"/>
              </w:rPr>
              <w:t>存储快照与克隆复制：提供存储快照与</w:t>
            </w:r>
            <w:r>
              <w:rPr>
                <w:rFonts w:hint="eastAsia" w:ascii="宋体" w:hAnsi="宋体"/>
              </w:rPr>
              <w:t>卷</w:t>
            </w:r>
            <w:r>
              <w:rPr>
                <w:rFonts w:ascii="宋体" w:hAnsi="宋体"/>
              </w:rPr>
              <w:t>复制功能</w:t>
            </w:r>
            <w:r>
              <w:rPr>
                <w:rFonts w:hint="eastAsia" w:ascii="宋体" w:hAnsi="宋体"/>
              </w:rPr>
              <w:t>；</w:t>
            </w:r>
          </w:p>
          <w:p w14:paraId="7FFA41AF">
            <w:pPr>
              <w:rPr>
                <w:rFonts w:ascii="宋体" w:hAnsi="宋体"/>
              </w:rPr>
            </w:pPr>
            <w:r>
              <w:rPr>
                <w:rFonts w:hint="eastAsia" w:ascii="宋体" w:hAnsi="宋体"/>
              </w:rPr>
              <w:t>8、</w:t>
            </w:r>
            <w:r>
              <w:rPr>
                <w:rFonts w:ascii="宋体" w:hAnsi="宋体"/>
              </w:rPr>
              <w:t>精简配置：提供精简配置功能，提高存储利用率</w:t>
            </w:r>
            <w:r>
              <w:rPr>
                <w:rFonts w:hint="eastAsia" w:ascii="宋体" w:hAnsi="宋体"/>
              </w:rPr>
              <w:t>；</w:t>
            </w:r>
          </w:p>
          <w:p w14:paraId="3EB6D92D">
            <w:pPr>
              <w:rPr>
                <w:rFonts w:ascii="宋体" w:hAnsi="宋体"/>
              </w:rPr>
            </w:pPr>
            <w:r>
              <w:rPr>
                <w:rFonts w:hint="eastAsia" w:ascii="宋体" w:hAnsi="宋体"/>
              </w:rPr>
              <w:t>9、</w:t>
            </w:r>
            <w:r>
              <w:rPr>
                <w:rFonts w:ascii="宋体" w:hAnsi="宋体"/>
              </w:rPr>
              <w:t>设备兼容性：支持业界主流平台（Windows server、VMware、SuSE及Redhat等主流操作系统）</w:t>
            </w:r>
            <w:r>
              <w:rPr>
                <w:rFonts w:hint="eastAsia" w:ascii="宋体" w:hAnsi="宋体"/>
              </w:rPr>
              <w:t>；</w:t>
            </w:r>
          </w:p>
          <w:p w14:paraId="07B65DE8">
            <w:pPr>
              <w:rPr>
                <w:rFonts w:ascii="宋体" w:hAnsi="宋体"/>
              </w:rPr>
            </w:pPr>
            <w:r>
              <w:rPr>
                <w:rFonts w:hint="eastAsia" w:ascii="宋体" w:hAnsi="宋体"/>
              </w:rPr>
              <w:t>10、</w:t>
            </w:r>
            <w:r>
              <w:rPr>
                <w:rFonts w:ascii="宋体" w:hAnsi="宋体"/>
              </w:rPr>
              <w:t>数据复制：</w:t>
            </w:r>
            <w:r>
              <w:rPr>
                <w:rFonts w:hint="eastAsia" w:ascii="宋体" w:hAnsi="宋体"/>
              </w:rPr>
              <w:t>可选</w:t>
            </w:r>
            <w:r>
              <w:rPr>
                <w:rFonts w:ascii="宋体" w:hAnsi="宋体"/>
              </w:rPr>
              <w:t>同步复制、异步复制功能</w:t>
            </w:r>
            <w:r>
              <w:rPr>
                <w:rFonts w:hint="eastAsia" w:ascii="宋体" w:hAnsi="宋体"/>
              </w:rPr>
              <w:t>；</w:t>
            </w:r>
          </w:p>
          <w:p w14:paraId="7A3D367D">
            <w:pPr>
              <w:rPr>
                <w:rFonts w:ascii="宋体" w:hAnsi="宋体"/>
              </w:rPr>
            </w:pPr>
            <w:r>
              <w:rPr>
                <w:rFonts w:ascii="宋体" w:hAnsi="宋体"/>
              </w:rPr>
              <w:t>1</w:t>
            </w:r>
            <w:r>
              <w:rPr>
                <w:rFonts w:hint="eastAsia" w:ascii="宋体" w:hAnsi="宋体"/>
              </w:rPr>
              <w:t>1、</w:t>
            </w:r>
            <w:r>
              <w:rPr>
                <w:rFonts w:ascii="宋体" w:hAnsi="宋体"/>
              </w:rPr>
              <w:t>基本技术性能要求：最大卷数量≥2048，支持磁盘分区≥512，</w:t>
            </w:r>
            <w:r>
              <w:rPr>
                <w:rFonts w:hint="eastAsia" w:ascii="宋体" w:hAnsi="宋体"/>
              </w:rPr>
              <w:t>持续吞吐量</w:t>
            </w:r>
            <w:r>
              <w:rPr>
                <w:rFonts w:ascii="宋体" w:hAnsi="宋体"/>
              </w:rPr>
              <w:t>≥21GB/s</w:t>
            </w:r>
            <w:r>
              <w:rPr>
                <w:rFonts w:hint="eastAsia" w:ascii="宋体" w:hAnsi="宋体"/>
              </w:rPr>
              <w:t>，IOPS</w:t>
            </w:r>
            <w:r>
              <w:rPr>
                <w:rFonts w:ascii="宋体" w:hAnsi="宋体"/>
              </w:rPr>
              <w:t>≥1,000,000</w:t>
            </w:r>
            <w:r>
              <w:rPr>
                <w:rFonts w:hint="eastAsia" w:ascii="宋体" w:hAnsi="宋体"/>
              </w:rPr>
              <w:t>；</w:t>
            </w:r>
          </w:p>
          <w:p w14:paraId="196055DE">
            <w:pPr>
              <w:rPr>
                <w:rFonts w:ascii="宋体" w:hAnsi="宋体"/>
              </w:rPr>
            </w:pPr>
            <w:r>
              <w:rPr>
                <w:rFonts w:ascii="宋体" w:hAnsi="宋体"/>
              </w:rPr>
              <w:t>1</w:t>
            </w:r>
            <w:r>
              <w:rPr>
                <w:rFonts w:hint="eastAsia" w:ascii="宋体" w:hAnsi="宋体"/>
              </w:rPr>
              <w:t>2、</w:t>
            </w:r>
            <w:r>
              <w:rPr>
                <w:rFonts w:ascii="宋体" w:hAnsi="宋体"/>
              </w:rPr>
              <w:t>可管理性：</w:t>
            </w:r>
            <w:r>
              <w:rPr>
                <w:rFonts w:hint="eastAsia" w:ascii="宋体" w:hAnsi="宋体"/>
              </w:rPr>
              <w:t>可选用统一管理软件与服务器和其他同品牌设备统一管理；</w:t>
            </w:r>
          </w:p>
          <w:p w14:paraId="1FCAF440">
            <w:pPr>
              <w:rPr>
                <w:rFonts w:ascii="宋体" w:hAnsi="宋体"/>
              </w:rPr>
            </w:pPr>
            <w:r>
              <w:rPr>
                <w:rFonts w:ascii="宋体" w:hAnsi="宋体"/>
              </w:rPr>
              <w:t>1</w:t>
            </w:r>
            <w:r>
              <w:rPr>
                <w:rFonts w:hint="eastAsia" w:ascii="宋体" w:hAnsi="宋体"/>
              </w:rPr>
              <w:t>3、</w:t>
            </w:r>
            <w:r>
              <w:rPr>
                <w:rFonts w:ascii="宋体" w:hAnsi="宋体"/>
              </w:rPr>
              <w:t xml:space="preserve">可用性：配置冗余电源、冗余风扇、冗余控制器；必须支持在线可热插拔更换； </w:t>
            </w:r>
          </w:p>
          <w:p w14:paraId="36E14A8B">
            <w:pPr>
              <w:rPr>
                <w:rFonts w:hint="default" w:ascii="宋体" w:hAnsi="宋体" w:eastAsia="宋体"/>
                <w:lang w:val="en-US" w:eastAsia="zh-CN"/>
              </w:rPr>
            </w:pPr>
            <w:r>
              <w:rPr>
                <w:rFonts w:hint="eastAsia" w:ascii="宋体" w:hAnsi="宋体"/>
                <w:lang w:val="en-US" w:eastAsia="zh-CN"/>
              </w:rPr>
              <w:t>14、质保：3年</w:t>
            </w:r>
          </w:p>
          <w:p w14:paraId="526048A6">
            <w:pPr>
              <w:rPr>
                <w:rFonts w:ascii="宋体" w:hAnsi="宋体" w:cs="仿宋"/>
              </w:rPr>
            </w:pPr>
          </w:p>
          <w:p w14:paraId="489C1D1C">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五、</w:t>
            </w:r>
            <w:r>
              <w:rPr>
                <w:rFonts w:hint="eastAsia"/>
                <w:b/>
                <w:bCs/>
                <w:kern w:val="2"/>
                <w:sz w:val="21"/>
                <w:szCs w:val="21"/>
              </w:rPr>
              <w:t>产品名称：光纤交换机</w:t>
            </w:r>
          </w:p>
          <w:p w14:paraId="192D1EC7">
            <w:r>
              <w:rPr>
                <w:rFonts w:hint="eastAsia"/>
              </w:rPr>
              <w:t>数量：2套</w:t>
            </w:r>
          </w:p>
          <w:p w14:paraId="5ECA2E57">
            <w:r>
              <w:rPr>
                <w:rFonts w:hint="eastAsia"/>
              </w:rPr>
              <w:t>设备清单：</w:t>
            </w:r>
          </w:p>
          <w:p w14:paraId="518EE257">
            <w:pPr>
              <w:rPr>
                <w:rFonts w:ascii="宋体" w:hAnsi="宋体"/>
              </w:rPr>
            </w:pPr>
            <w:r>
              <w:rPr>
                <w:rFonts w:hint="eastAsia" w:ascii="宋体" w:hAnsi="宋体"/>
              </w:rPr>
              <w:t>1、扩展能力：支持最大不少于64个端口扩展；</w:t>
            </w:r>
          </w:p>
          <w:p w14:paraId="718DF32D">
            <w:pPr>
              <w:rPr>
                <w:rFonts w:ascii="宋体" w:hAnsi="宋体"/>
              </w:rPr>
            </w:pPr>
            <w:r>
              <w:rPr>
                <w:rFonts w:hint="eastAsia" w:ascii="宋体" w:hAnsi="宋体"/>
              </w:rPr>
              <w:t>2、全线速：</w:t>
            </w:r>
            <w:r>
              <w:rPr>
                <w:rFonts w:ascii="宋体" w:hAnsi="宋体"/>
              </w:rPr>
              <w:t>所有FC端口支持32G全线速</w:t>
            </w:r>
          </w:p>
          <w:p w14:paraId="6DB701CD">
            <w:pPr>
              <w:rPr>
                <w:rFonts w:ascii="宋体" w:hAnsi="宋体"/>
              </w:rPr>
            </w:pPr>
            <w:r>
              <w:rPr>
                <w:rFonts w:hint="eastAsia" w:ascii="宋体" w:hAnsi="宋体"/>
              </w:rPr>
              <w:t>3、光模块特性：</w:t>
            </w:r>
            <w:r>
              <w:rPr>
                <w:rFonts w:ascii="宋体" w:hAnsi="宋体"/>
              </w:rPr>
              <w:t xml:space="preserve">支持16Gb、32Gb光模块和128Gb（4×32Gb）QSFP光模块 ； </w:t>
            </w:r>
          </w:p>
          <w:p w14:paraId="20CD0A70">
            <w:pPr>
              <w:rPr>
                <w:rFonts w:ascii="宋体" w:hAnsi="宋体"/>
              </w:rPr>
            </w:pPr>
            <w:r>
              <w:rPr>
                <w:rFonts w:hint="eastAsia" w:ascii="宋体" w:hAnsi="宋体"/>
              </w:rPr>
              <w:t>4、端口类型：至少要包括</w:t>
            </w:r>
            <w:r>
              <w:rPr>
                <w:rFonts w:ascii="宋体" w:hAnsi="宋体"/>
              </w:rPr>
              <w:t>全光纤模式</w:t>
            </w:r>
            <w:r>
              <w:rPr>
                <w:rFonts w:hint="eastAsia" w:ascii="宋体" w:hAnsi="宋体"/>
              </w:rPr>
              <w:t>和访问网关模式两种，在全光纤模式下支持：</w:t>
            </w:r>
            <w:r>
              <w:rPr>
                <w:rFonts w:ascii="宋体" w:hAnsi="宋体"/>
              </w:rPr>
              <w:t>F端口, M端口 (镜像端口), E端口, EX端口, D 端口 (诊断端口)</w:t>
            </w:r>
            <w:r>
              <w:rPr>
                <w:rFonts w:hint="eastAsia" w:ascii="宋体" w:hAnsi="宋体"/>
              </w:rPr>
              <w:t>，在</w:t>
            </w:r>
            <w:r>
              <w:rPr>
                <w:rFonts w:ascii="宋体" w:hAnsi="宋体"/>
              </w:rPr>
              <w:t>访问网关模式</w:t>
            </w:r>
            <w:r>
              <w:rPr>
                <w:rFonts w:hint="eastAsia" w:ascii="宋体" w:hAnsi="宋体"/>
              </w:rPr>
              <w:t>下</w:t>
            </w:r>
            <w:r>
              <w:rPr>
                <w:rFonts w:ascii="宋体" w:hAnsi="宋体"/>
              </w:rPr>
              <w:t>: F端口 和 NPIV 启用的N端口</w:t>
            </w:r>
            <w:r>
              <w:rPr>
                <w:rFonts w:hint="eastAsia" w:ascii="宋体" w:hAnsi="宋体"/>
              </w:rPr>
              <w:t>；</w:t>
            </w:r>
          </w:p>
          <w:p w14:paraId="751632FE">
            <w:pPr>
              <w:rPr>
                <w:rFonts w:ascii="宋体" w:hAnsi="宋体"/>
              </w:rPr>
            </w:pPr>
            <w:r>
              <w:rPr>
                <w:rFonts w:hint="eastAsia" w:ascii="宋体" w:hAnsi="宋体"/>
              </w:rPr>
              <w:t>5、</w:t>
            </w:r>
            <w:r>
              <w:rPr>
                <w:rFonts w:ascii="宋体" w:hAnsi="宋体"/>
              </w:rPr>
              <w:t>服务类别</w:t>
            </w:r>
            <w:r>
              <w:rPr>
                <w:rFonts w:hint="eastAsia" w:ascii="宋体" w:hAnsi="宋体"/>
              </w:rPr>
              <w:t>：</w:t>
            </w:r>
            <w:r>
              <w:rPr>
                <w:rFonts w:ascii="宋体" w:hAnsi="宋体"/>
              </w:rPr>
              <w:t>第2类、第3类、第F类（交换机间帧）</w:t>
            </w:r>
          </w:p>
          <w:p w14:paraId="6FAF1EF9">
            <w:pPr>
              <w:rPr>
                <w:rFonts w:ascii="宋体" w:hAnsi="宋体"/>
              </w:rPr>
            </w:pPr>
            <w:r>
              <w:rPr>
                <w:rFonts w:hint="eastAsia" w:ascii="宋体" w:hAnsi="宋体"/>
              </w:rPr>
              <w:t>6、性能：</w:t>
            </w:r>
            <w:r>
              <w:rPr>
                <w:rFonts w:ascii="宋体" w:hAnsi="宋体"/>
              </w:rPr>
              <w:t>聚合吞吐量≥2 Tbps</w:t>
            </w:r>
          </w:p>
          <w:p w14:paraId="2C443B75">
            <w:pPr>
              <w:rPr>
                <w:rFonts w:ascii="宋体" w:hAnsi="宋体"/>
              </w:rPr>
            </w:pPr>
            <w:r>
              <w:rPr>
                <w:rFonts w:hint="eastAsia" w:ascii="宋体" w:hAnsi="宋体"/>
              </w:rPr>
              <w:t>7、支持区域划分：高级分区</w:t>
            </w:r>
          </w:p>
          <w:p w14:paraId="50A9BADD">
            <w:pPr>
              <w:rPr>
                <w:rFonts w:ascii="宋体" w:hAnsi="宋体"/>
              </w:rPr>
            </w:pPr>
            <w:r>
              <w:rPr>
                <w:rFonts w:hint="eastAsia" w:ascii="宋体" w:hAnsi="宋体"/>
              </w:rPr>
              <w:t>8、可管理性：</w:t>
            </w:r>
            <w:r>
              <w:rPr>
                <w:rFonts w:ascii="宋体" w:hAnsi="宋体"/>
              </w:rPr>
              <w:t>支持SNMP 、</w:t>
            </w:r>
            <w:r>
              <w:rPr>
                <w:rFonts w:hint="eastAsia" w:ascii="宋体" w:hAnsi="宋体"/>
              </w:rPr>
              <w:t>命令行CLI</w:t>
            </w:r>
            <w:r>
              <w:rPr>
                <w:rFonts w:ascii="宋体" w:hAnsi="宋体"/>
              </w:rPr>
              <w:t>、</w:t>
            </w:r>
            <w:r>
              <w:rPr>
                <w:rFonts w:hint="eastAsia" w:ascii="宋体" w:hAnsi="宋体"/>
              </w:rPr>
              <w:t>基于</w:t>
            </w:r>
            <w:r>
              <w:rPr>
                <w:rFonts w:ascii="宋体" w:hAnsi="宋体"/>
              </w:rPr>
              <w:t>Web</w:t>
            </w:r>
            <w:r>
              <w:rPr>
                <w:rFonts w:hint="eastAsia" w:ascii="宋体" w:hAnsi="宋体"/>
              </w:rPr>
              <w:t>的</w:t>
            </w:r>
            <w:r>
              <w:rPr>
                <w:rFonts w:ascii="宋体" w:hAnsi="宋体"/>
              </w:rPr>
              <w:t>GUI</w:t>
            </w:r>
            <w:r>
              <w:rPr>
                <w:rFonts w:hint="eastAsia" w:ascii="宋体" w:hAnsi="宋体"/>
              </w:rPr>
              <w:t>管理</w:t>
            </w:r>
          </w:p>
          <w:p w14:paraId="1A729571">
            <w:pPr>
              <w:rPr>
                <w:rFonts w:ascii="宋体" w:hAnsi="宋体"/>
              </w:rPr>
            </w:pPr>
            <w:r>
              <w:rPr>
                <w:rFonts w:hint="eastAsia" w:ascii="宋体" w:hAnsi="宋体"/>
              </w:rPr>
              <w:t>9、端口需求</w:t>
            </w:r>
            <w:r>
              <w:rPr>
                <w:rFonts w:ascii="宋体" w:hAnsi="宋体"/>
              </w:rPr>
              <w:t>(*)</w:t>
            </w:r>
            <w:r>
              <w:rPr>
                <w:rFonts w:ascii="宋体" w:hAnsi="宋体"/>
              </w:rPr>
              <w:tab/>
            </w:r>
            <w:r>
              <w:rPr>
                <w:rFonts w:ascii="宋体" w:hAnsi="宋体"/>
              </w:rPr>
              <w:t>每台SAN交换机配置</w:t>
            </w:r>
            <w:r>
              <w:rPr>
                <w:rFonts w:hint="eastAsia" w:ascii="宋体" w:hAnsi="宋体"/>
              </w:rPr>
              <w:t>48</w:t>
            </w:r>
            <w:r>
              <w:rPr>
                <w:rFonts w:ascii="宋体" w:hAnsi="宋体"/>
              </w:rPr>
              <w:t>个</w:t>
            </w:r>
            <w:r>
              <w:rPr>
                <w:rFonts w:hint="eastAsia" w:ascii="宋体" w:hAnsi="宋体"/>
              </w:rPr>
              <w:t>SFP+物理端口和4个QSFP+物理端口，</w:t>
            </w:r>
            <w:r>
              <w:rPr>
                <w:rFonts w:ascii="宋体" w:hAnsi="宋体"/>
              </w:rPr>
              <w:t>并配置24个</w:t>
            </w:r>
            <w:r>
              <w:rPr>
                <w:rFonts w:hint="eastAsia" w:ascii="宋体" w:hAnsi="宋体"/>
              </w:rPr>
              <w:t>32</w:t>
            </w:r>
            <w:r>
              <w:rPr>
                <w:rFonts w:ascii="宋体" w:hAnsi="宋体"/>
              </w:rPr>
              <w:t>Gb光模块</w:t>
            </w:r>
            <w:r>
              <w:rPr>
                <w:rFonts w:hint="eastAsia" w:ascii="宋体" w:hAnsi="宋体"/>
              </w:rPr>
              <w:t>，24个端口激活；</w:t>
            </w:r>
          </w:p>
          <w:p w14:paraId="38DBCBC5">
            <w:pPr>
              <w:rPr>
                <w:rFonts w:ascii="宋体" w:hAnsi="宋体"/>
              </w:rPr>
            </w:pPr>
            <w:r>
              <w:rPr>
                <w:rFonts w:hint="eastAsia" w:ascii="宋体" w:hAnsi="宋体"/>
              </w:rPr>
              <w:t>10、加密和压缩</w:t>
            </w:r>
            <w:r>
              <w:rPr>
                <w:rFonts w:ascii="宋体" w:hAnsi="宋体"/>
              </w:rPr>
              <w:t>(*)</w:t>
            </w:r>
            <w:r>
              <w:rPr>
                <w:rFonts w:ascii="宋体" w:hAnsi="宋体"/>
              </w:rPr>
              <w:tab/>
            </w:r>
            <w:r>
              <w:rPr>
                <w:rFonts w:ascii="宋体" w:hAnsi="宋体"/>
              </w:rPr>
              <w:t>提供免费的加密和压缩功能</w:t>
            </w:r>
          </w:p>
          <w:p w14:paraId="6325157D">
            <w:pPr>
              <w:rPr>
                <w:rFonts w:hint="eastAsia" w:ascii="宋体" w:hAnsi="宋体"/>
              </w:rPr>
            </w:pPr>
            <w:r>
              <w:rPr>
                <w:rFonts w:hint="eastAsia" w:ascii="宋体" w:hAnsi="宋体"/>
              </w:rPr>
              <w:t>11、外型：</w:t>
            </w:r>
            <w:r>
              <w:rPr>
                <w:rFonts w:ascii="宋体" w:hAnsi="宋体"/>
              </w:rPr>
              <w:t>1U高</w:t>
            </w:r>
            <w:r>
              <w:rPr>
                <w:rFonts w:hint="eastAsia" w:ascii="宋体" w:hAnsi="宋体"/>
              </w:rPr>
              <w:t>机架式安装</w:t>
            </w:r>
          </w:p>
          <w:p w14:paraId="34E6E8BA">
            <w:pPr>
              <w:rPr>
                <w:rFonts w:hint="default" w:ascii="宋体" w:hAnsi="宋体" w:eastAsia="宋体"/>
                <w:lang w:val="en-US" w:eastAsia="zh-CN"/>
              </w:rPr>
            </w:pPr>
            <w:r>
              <w:rPr>
                <w:rFonts w:hint="eastAsia" w:ascii="宋体" w:hAnsi="宋体"/>
                <w:lang w:val="en-US" w:eastAsia="zh-CN"/>
              </w:rPr>
              <w:t>12、质保：3年</w:t>
            </w:r>
          </w:p>
          <w:p w14:paraId="76CCB97A">
            <w:pPr>
              <w:rPr>
                <w:rFonts w:ascii="宋体" w:hAnsi="宋体"/>
              </w:rPr>
            </w:pPr>
          </w:p>
          <w:p w14:paraId="1A60CFDB">
            <w:pPr>
              <w:pStyle w:val="20"/>
              <w:widowControl w:val="0"/>
              <w:adjustRightInd w:val="0"/>
              <w:snapToGrid w:val="0"/>
              <w:spacing w:before="0" w:beforeAutospacing="0" w:after="0" w:afterAutospacing="0"/>
              <w:jc w:val="both"/>
              <w:rPr>
                <w:b/>
                <w:bCs/>
                <w:kern w:val="2"/>
                <w:sz w:val="21"/>
                <w:szCs w:val="21"/>
              </w:rPr>
            </w:pPr>
            <w:r>
              <w:rPr>
                <w:rFonts w:hint="eastAsia"/>
                <w:b/>
                <w:bCs/>
              </w:rPr>
              <w:t>六、</w:t>
            </w:r>
            <w:r>
              <w:rPr>
                <w:rFonts w:hint="eastAsia"/>
                <w:b/>
                <w:bCs/>
                <w:kern w:val="2"/>
                <w:sz w:val="21"/>
                <w:szCs w:val="21"/>
              </w:rPr>
              <w:t>产品名称：管理以太网交换机</w:t>
            </w:r>
          </w:p>
          <w:p w14:paraId="3545C7D1">
            <w:r>
              <w:rPr>
                <w:rFonts w:hint="eastAsia"/>
              </w:rPr>
              <w:t>数量：1台</w:t>
            </w:r>
          </w:p>
          <w:p w14:paraId="0A990F8D">
            <w:r>
              <w:rPr>
                <w:rFonts w:hint="eastAsia"/>
              </w:rPr>
              <w:t>设备清单：</w:t>
            </w:r>
          </w:p>
          <w:p w14:paraId="1A14482B">
            <w:pPr>
              <w:rPr>
                <w:rFonts w:ascii="宋体" w:hAnsi="宋体"/>
              </w:rPr>
            </w:pPr>
            <w:r>
              <w:rPr>
                <w:rFonts w:hint="eastAsia" w:ascii="宋体" w:hAnsi="宋体"/>
              </w:rPr>
              <w:t>1、交换容量不小于6.72</w:t>
            </w:r>
            <w:r>
              <w:rPr>
                <w:rFonts w:ascii="宋体" w:hAnsi="宋体"/>
              </w:rPr>
              <w:t>Tbps</w:t>
            </w:r>
            <w:r>
              <w:rPr>
                <w:rFonts w:hint="eastAsia" w:ascii="宋体" w:hAnsi="宋体"/>
              </w:rPr>
              <w:t>；</w:t>
            </w:r>
          </w:p>
          <w:p w14:paraId="17215471">
            <w:pPr>
              <w:rPr>
                <w:rFonts w:ascii="宋体" w:hAnsi="宋体"/>
              </w:rPr>
            </w:pPr>
            <w:r>
              <w:rPr>
                <w:rFonts w:hint="eastAsia" w:ascii="宋体" w:hAnsi="宋体"/>
              </w:rPr>
              <w:t>2、包转发速率不小于309</w:t>
            </w:r>
            <w:r>
              <w:rPr>
                <w:rFonts w:ascii="宋体" w:hAnsi="宋体"/>
              </w:rPr>
              <w:t>Mpps</w:t>
            </w:r>
            <w:r>
              <w:rPr>
                <w:rFonts w:hint="eastAsia" w:ascii="宋体" w:hAnsi="宋体"/>
              </w:rPr>
              <w:t>；</w:t>
            </w:r>
          </w:p>
          <w:p w14:paraId="74B13D14">
            <w:pPr>
              <w:rPr>
                <w:rFonts w:ascii="宋体" w:hAnsi="宋体"/>
              </w:rPr>
            </w:pPr>
            <w:r>
              <w:rPr>
                <w:rFonts w:hint="eastAsia" w:ascii="宋体" w:hAnsi="宋体"/>
              </w:rPr>
              <w:t>3、</w:t>
            </w:r>
            <w:r>
              <w:rPr>
                <w:rFonts w:ascii="宋体" w:hAnsi="宋体"/>
              </w:rPr>
              <w:t>固化</w:t>
            </w:r>
            <w:r>
              <w:rPr>
                <w:rFonts w:hint="eastAsia" w:ascii="宋体" w:hAnsi="宋体"/>
              </w:rPr>
              <w:t>不少于</w:t>
            </w:r>
            <w:r>
              <w:t>24个10/100/1000M自适应电口，4个1G/10G SFP+ 光口</w:t>
            </w:r>
            <w:r>
              <w:rPr>
                <w:rFonts w:hint="eastAsia"/>
              </w:rPr>
              <w:t>，配置2个10G SFP+多模模块；</w:t>
            </w:r>
          </w:p>
          <w:p w14:paraId="4E8113CA">
            <w:pPr>
              <w:rPr>
                <w:rFonts w:ascii="宋体" w:hAnsi="宋体"/>
              </w:rPr>
            </w:pPr>
            <w:r>
              <w:rPr>
                <w:rFonts w:hint="eastAsia" w:ascii="宋体" w:hAnsi="宋体"/>
              </w:rPr>
              <w:t>4、产品深度＜</w:t>
            </w:r>
            <w:r>
              <w:rPr>
                <w:rFonts w:ascii="宋体" w:hAnsi="宋体"/>
              </w:rPr>
              <w:t>4</w:t>
            </w:r>
            <w:r>
              <w:rPr>
                <w:rFonts w:hint="eastAsia" w:ascii="宋体" w:hAnsi="宋体"/>
              </w:rPr>
              <w:t>2</w:t>
            </w:r>
            <w:r>
              <w:rPr>
                <w:rFonts w:ascii="宋体" w:hAnsi="宋体"/>
              </w:rPr>
              <w:t>0mm</w:t>
            </w:r>
            <w:r>
              <w:rPr>
                <w:rFonts w:hint="eastAsia" w:ascii="宋体" w:hAnsi="宋体"/>
              </w:rPr>
              <w:t>；</w:t>
            </w:r>
          </w:p>
          <w:p w14:paraId="48E0F909">
            <w:pPr>
              <w:rPr>
                <w:rFonts w:ascii="宋体" w:hAnsi="宋体"/>
              </w:rPr>
            </w:pPr>
            <w:r>
              <w:rPr>
                <w:rFonts w:hint="eastAsia" w:ascii="宋体" w:hAnsi="宋体"/>
              </w:rPr>
              <w:t>5、工作温度</w:t>
            </w:r>
            <w:r>
              <w:rPr>
                <w:rFonts w:ascii="宋体" w:hAnsi="宋体"/>
              </w:rPr>
              <w:t>0°~45°</w:t>
            </w:r>
            <w:r>
              <w:rPr>
                <w:rFonts w:hint="eastAsia" w:ascii="宋体" w:hAnsi="宋体"/>
              </w:rPr>
              <w:t>；</w:t>
            </w:r>
          </w:p>
          <w:p w14:paraId="79BEA123">
            <w:pPr>
              <w:rPr>
                <w:rFonts w:hint="eastAsia" w:ascii="宋体" w:hAnsi="宋体"/>
              </w:rPr>
            </w:pPr>
            <w:r>
              <w:rPr>
                <w:rFonts w:hint="eastAsia" w:ascii="宋体" w:hAnsi="宋体"/>
              </w:rPr>
              <w:t>6、配置不少于</w:t>
            </w:r>
            <w:r>
              <w:rPr>
                <w:rFonts w:ascii="宋体" w:hAnsi="宋体"/>
              </w:rPr>
              <w:t>2个电源，电源支持1+1冗余</w:t>
            </w:r>
            <w:r>
              <w:rPr>
                <w:rFonts w:hint="eastAsia" w:ascii="宋体" w:hAnsi="宋体"/>
              </w:rPr>
              <w:t>，功耗不高于40W；</w:t>
            </w:r>
          </w:p>
          <w:p w14:paraId="7634FAC4">
            <w:pPr>
              <w:rPr>
                <w:rFonts w:hint="default" w:ascii="宋体" w:hAnsi="宋体" w:eastAsia="宋体"/>
                <w:lang w:val="en-US" w:eastAsia="zh-CN"/>
              </w:rPr>
            </w:pPr>
            <w:r>
              <w:rPr>
                <w:rFonts w:hint="eastAsia" w:ascii="宋体" w:hAnsi="宋体"/>
                <w:lang w:val="en-US" w:eastAsia="zh-CN"/>
              </w:rPr>
              <w:t>7、质保：3年</w:t>
            </w:r>
          </w:p>
          <w:p w14:paraId="75700003">
            <w:pPr>
              <w:rPr>
                <w:rFonts w:ascii="宋体" w:hAnsi="宋体" w:cs="仿宋"/>
              </w:rPr>
            </w:pPr>
          </w:p>
          <w:p w14:paraId="740CEF9D">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七、</w:t>
            </w:r>
            <w:r>
              <w:rPr>
                <w:rFonts w:hint="eastAsia"/>
                <w:b/>
                <w:bCs/>
                <w:kern w:val="2"/>
                <w:sz w:val="21"/>
                <w:szCs w:val="21"/>
              </w:rPr>
              <w:t>产品名称：业务以太网交换机</w:t>
            </w:r>
          </w:p>
          <w:p w14:paraId="45AA5FF3">
            <w:r>
              <w:rPr>
                <w:rFonts w:hint="eastAsia"/>
              </w:rPr>
              <w:t>数量：2台</w:t>
            </w:r>
          </w:p>
          <w:p w14:paraId="68F7D93B">
            <w:r>
              <w:rPr>
                <w:rFonts w:hint="eastAsia"/>
              </w:rPr>
              <w:t>设备清单：</w:t>
            </w:r>
          </w:p>
          <w:p w14:paraId="0BE23B46">
            <w:pPr>
              <w:rPr>
                <w:rFonts w:ascii="宋体" w:hAnsi="宋体"/>
              </w:rPr>
            </w:pPr>
            <w:r>
              <w:rPr>
                <w:rFonts w:hint="eastAsia" w:ascii="宋体" w:hAnsi="宋体"/>
              </w:rPr>
              <w:t>1、交换容量不小于</w:t>
            </w:r>
            <w:r>
              <w:rPr>
                <w:rFonts w:ascii="宋体" w:hAnsi="宋体"/>
              </w:rPr>
              <w:t>4.8Tbps</w:t>
            </w:r>
          </w:p>
          <w:p w14:paraId="010899B1">
            <w:pPr>
              <w:rPr>
                <w:rFonts w:ascii="宋体" w:hAnsi="宋体"/>
              </w:rPr>
            </w:pPr>
            <w:r>
              <w:rPr>
                <w:rFonts w:hint="eastAsia" w:ascii="宋体" w:hAnsi="宋体"/>
              </w:rPr>
              <w:t>2、包转发速率不小于</w:t>
            </w:r>
            <w:r>
              <w:rPr>
                <w:rFonts w:ascii="宋体" w:hAnsi="宋体"/>
              </w:rPr>
              <w:t>2000Mpps</w:t>
            </w:r>
          </w:p>
          <w:p w14:paraId="41FCC3B0">
            <w:pPr>
              <w:rPr>
                <w:rFonts w:ascii="宋体" w:hAnsi="宋体"/>
              </w:rPr>
            </w:pPr>
            <w:r>
              <w:rPr>
                <w:rFonts w:hint="eastAsia" w:ascii="宋体" w:hAnsi="宋体"/>
              </w:rPr>
              <w:t>3、</w:t>
            </w:r>
            <w:r>
              <w:rPr>
                <w:rFonts w:ascii="宋体" w:hAnsi="宋体"/>
              </w:rPr>
              <w:t>固化</w:t>
            </w:r>
            <w:r>
              <w:rPr>
                <w:rFonts w:hint="eastAsia" w:ascii="宋体" w:hAnsi="宋体"/>
              </w:rPr>
              <w:t>不少于</w:t>
            </w:r>
            <w:r>
              <w:rPr>
                <w:rFonts w:ascii="宋体" w:hAnsi="宋体"/>
              </w:rPr>
              <w:t>48个25G端口</w:t>
            </w:r>
            <w:r>
              <w:rPr>
                <w:rFonts w:hint="eastAsia" w:ascii="宋体" w:hAnsi="宋体"/>
              </w:rPr>
              <w:t>和</w:t>
            </w:r>
            <w:r>
              <w:rPr>
                <w:rFonts w:ascii="宋体" w:hAnsi="宋体"/>
              </w:rPr>
              <w:t>8个100G端口</w:t>
            </w:r>
            <w:r>
              <w:rPr>
                <w:rFonts w:hint="eastAsia" w:ascii="宋体" w:hAnsi="宋体"/>
              </w:rPr>
              <w:t>，配置不少于24个</w:t>
            </w:r>
            <w:r>
              <w:rPr>
                <w:rFonts w:ascii="宋体" w:hAnsi="宋体"/>
              </w:rPr>
              <w:t>25G</w:t>
            </w:r>
            <w:r>
              <w:rPr>
                <w:rFonts w:hint="eastAsia" w:ascii="宋体" w:hAnsi="宋体"/>
              </w:rPr>
              <w:t>多模模块</w:t>
            </w:r>
          </w:p>
          <w:p w14:paraId="18EC0D1C">
            <w:pPr>
              <w:rPr>
                <w:rFonts w:ascii="宋体" w:hAnsi="宋体"/>
              </w:rPr>
            </w:pPr>
            <w:r>
              <w:rPr>
                <w:rFonts w:hint="eastAsia" w:ascii="宋体" w:hAnsi="宋体"/>
              </w:rPr>
              <w:t>4、产品深度＜</w:t>
            </w:r>
            <w:r>
              <w:rPr>
                <w:rFonts w:ascii="宋体" w:hAnsi="宋体"/>
              </w:rPr>
              <w:t xml:space="preserve">400mm， </w:t>
            </w:r>
          </w:p>
          <w:p w14:paraId="32BFA5C4">
            <w:pPr>
              <w:rPr>
                <w:rFonts w:ascii="宋体" w:hAnsi="宋体"/>
              </w:rPr>
            </w:pPr>
            <w:r>
              <w:rPr>
                <w:rFonts w:hint="eastAsia" w:ascii="宋体" w:hAnsi="宋体"/>
              </w:rPr>
              <w:t>5、工作温度</w:t>
            </w:r>
            <w:r>
              <w:rPr>
                <w:rFonts w:ascii="宋体" w:hAnsi="宋体"/>
              </w:rPr>
              <w:t>0°~45°</w:t>
            </w:r>
          </w:p>
          <w:p w14:paraId="7D472BB0">
            <w:pPr>
              <w:rPr>
                <w:rFonts w:ascii="宋体" w:hAnsi="宋体"/>
              </w:rPr>
            </w:pPr>
            <w:r>
              <w:rPr>
                <w:rFonts w:hint="eastAsia" w:ascii="宋体" w:hAnsi="宋体"/>
              </w:rPr>
              <w:t>6、配置不少于</w:t>
            </w:r>
            <w:r>
              <w:rPr>
                <w:rFonts w:ascii="宋体" w:hAnsi="宋体"/>
              </w:rPr>
              <w:t>2个电源，电源支持1+1冗余</w:t>
            </w:r>
          </w:p>
          <w:p w14:paraId="2E63F6D3">
            <w:pPr>
              <w:rPr>
                <w:rFonts w:ascii="宋体" w:hAnsi="宋体"/>
              </w:rPr>
            </w:pPr>
            <w:r>
              <w:rPr>
                <w:rFonts w:hint="eastAsia" w:ascii="宋体" w:hAnsi="宋体"/>
              </w:rPr>
              <w:t>7、风扇支持</w:t>
            </w:r>
            <w:r>
              <w:rPr>
                <w:rFonts w:ascii="宋体" w:hAnsi="宋体"/>
              </w:rPr>
              <w:t>N+1冗余(N≥2)，一个风扇盘损坏的情况下，系统仍可正常运行</w:t>
            </w:r>
          </w:p>
          <w:p w14:paraId="5A373064">
            <w:pPr>
              <w:rPr>
                <w:rFonts w:hint="default" w:ascii="宋体" w:hAnsi="宋体" w:eastAsia="宋体"/>
                <w:lang w:val="en-US" w:eastAsia="zh-CN"/>
              </w:rPr>
            </w:pPr>
            <w:r>
              <w:rPr>
                <w:rFonts w:hint="eastAsia" w:ascii="宋体" w:hAnsi="宋体"/>
                <w:lang w:val="en-US" w:eastAsia="zh-CN"/>
              </w:rPr>
              <w:t>8、质保：3年</w:t>
            </w:r>
          </w:p>
          <w:p w14:paraId="535C88E2">
            <w:pPr>
              <w:rPr>
                <w:rFonts w:ascii="宋体" w:hAnsi="宋体" w:cs="仿宋"/>
              </w:rPr>
            </w:pPr>
          </w:p>
          <w:p w14:paraId="4092E20B">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八、</w:t>
            </w:r>
            <w:r>
              <w:rPr>
                <w:rFonts w:hint="eastAsia"/>
                <w:b/>
                <w:bCs/>
                <w:kern w:val="2"/>
                <w:sz w:val="21"/>
                <w:szCs w:val="21"/>
              </w:rPr>
              <w:t>产品名称：超融合资源节点</w:t>
            </w:r>
          </w:p>
          <w:p w14:paraId="7F443C80">
            <w:r>
              <w:rPr>
                <w:rFonts w:hint="eastAsia"/>
              </w:rPr>
              <w:t>数量：7套</w:t>
            </w:r>
          </w:p>
          <w:p w14:paraId="31C943E0">
            <w:r>
              <w:rPr>
                <w:rFonts w:hint="eastAsia"/>
              </w:rPr>
              <w:t>设备清单：</w:t>
            </w:r>
          </w:p>
          <w:p w14:paraId="4AA71116">
            <w:pPr>
              <w:widowControl/>
              <w:jc w:val="left"/>
              <w:rPr>
                <w:rFonts w:ascii="宋体" w:hAnsi="宋体" w:cs="仿宋"/>
                <w:sz w:val="20"/>
                <w:szCs w:val="20"/>
              </w:rPr>
            </w:pPr>
            <w:r>
              <w:rPr>
                <w:rFonts w:hint="eastAsia" w:ascii="宋体" w:hAnsi="宋体" w:cs="仿宋"/>
                <w:sz w:val="20"/>
                <w:szCs w:val="20"/>
              </w:rPr>
              <w:t>1、所投超融合系统须与院内原有超融合系统兼容，同时底层存储资源池必须与原有超融合系统整合成一套存储资源池；此项所产生的费用均包含在本项目中，不在额外支付费用。（品牌：联想，型号：AIO H1000）</w:t>
            </w:r>
          </w:p>
          <w:p w14:paraId="06474460">
            <w:pPr>
              <w:widowControl/>
              <w:jc w:val="left"/>
              <w:rPr>
                <w:rFonts w:ascii="宋体" w:hAnsi="宋体" w:cs="仿宋"/>
                <w:sz w:val="20"/>
                <w:szCs w:val="20"/>
              </w:rPr>
            </w:pPr>
            <w:r>
              <w:rPr>
                <w:rFonts w:hint="eastAsia" w:ascii="宋体" w:hAnsi="宋体" w:cs="仿宋"/>
                <w:sz w:val="20"/>
                <w:szCs w:val="20"/>
              </w:rPr>
              <w:t>2、超融合一体机软件不接受采用开源分布式存储技术（Glusterfs、Ceph、Lustre等）二次开发，掌握存储核心技术，提供更高的可靠性和性能</w:t>
            </w:r>
            <w:r>
              <w:rPr>
                <w:rFonts w:hint="eastAsia" w:ascii="宋体" w:hAnsi="宋体" w:cs="仿宋"/>
              </w:rPr>
              <w:t>。</w:t>
            </w:r>
          </w:p>
          <w:p w14:paraId="7716C002">
            <w:pPr>
              <w:widowControl/>
              <w:jc w:val="left"/>
              <w:rPr>
                <w:rFonts w:ascii="宋体" w:hAnsi="宋体" w:cs="仿宋"/>
                <w:sz w:val="20"/>
                <w:szCs w:val="20"/>
              </w:rPr>
            </w:pPr>
            <w:r>
              <w:rPr>
                <w:rFonts w:hint="eastAsia" w:ascii="宋体" w:hAnsi="宋体" w:cs="仿宋"/>
                <w:sz w:val="20"/>
                <w:szCs w:val="20"/>
              </w:rPr>
              <w:t>3、所投超融合一体机软件必须自主可控</w:t>
            </w:r>
            <w:r>
              <w:rPr>
                <w:rFonts w:hint="eastAsia" w:ascii="宋体" w:hAnsi="宋体" w:cs="仿宋"/>
              </w:rPr>
              <w:t>。</w:t>
            </w:r>
          </w:p>
          <w:p w14:paraId="3ED10237">
            <w:pPr>
              <w:widowControl/>
              <w:jc w:val="left"/>
              <w:rPr>
                <w:rFonts w:ascii="宋体" w:hAnsi="宋体" w:cs="仿宋"/>
                <w:sz w:val="20"/>
                <w:szCs w:val="20"/>
              </w:rPr>
            </w:pPr>
            <w:r>
              <w:rPr>
                <w:rFonts w:hint="eastAsia" w:ascii="宋体" w:hAnsi="宋体" w:cs="仿宋"/>
                <w:sz w:val="20"/>
                <w:szCs w:val="20"/>
              </w:rPr>
              <w:t xml:space="preserve">4、规格：≥2U国产（非OEM）；处理器：配置≥2颗Intel Xeon </w:t>
            </w:r>
            <w:r>
              <w:rPr>
                <w:rFonts w:ascii="宋体" w:hAnsi="宋体" w:cs="仿宋"/>
                <w:sz w:val="20"/>
                <w:szCs w:val="20"/>
              </w:rPr>
              <w:t xml:space="preserve"> Platinum 8358P 32</w:t>
            </w:r>
            <w:r>
              <w:rPr>
                <w:rFonts w:hint="eastAsia" w:ascii="宋体" w:hAnsi="宋体" w:cs="仿宋"/>
                <w:sz w:val="20"/>
                <w:szCs w:val="20"/>
              </w:rPr>
              <w:t>核</w:t>
            </w:r>
            <w:r>
              <w:rPr>
                <w:rFonts w:ascii="宋体" w:hAnsi="宋体" w:cs="仿宋"/>
                <w:sz w:val="20"/>
                <w:szCs w:val="20"/>
              </w:rPr>
              <w:t>2.60GHz</w:t>
            </w:r>
            <w:r>
              <w:rPr>
                <w:rFonts w:hint="eastAsia" w:ascii="宋体" w:hAnsi="宋体" w:cs="仿宋"/>
                <w:sz w:val="20"/>
                <w:szCs w:val="20"/>
              </w:rPr>
              <w:t xml:space="preserve"> </w:t>
            </w:r>
            <w:r>
              <w:rPr>
                <w:rFonts w:ascii="宋体" w:hAnsi="宋体" w:cs="仿宋"/>
                <w:sz w:val="20"/>
                <w:szCs w:val="20"/>
              </w:rPr>
              <w:t>240W处理器</w:t>
            </w:r>
            <w:r>
              <w:rPr>
                <w:rFonts w:hint="eastAsia" w:ascii="宋体" w:hAnsi="宋体" w:cs="仿宋"/>
                <w:sz w:val="20"/>
                <w:szCs w:val="20"/>
              </w:rPr>
              <w:t>；内存：配置≥512GB DDR4 3200MHz内存，配置≥32个内存插槽；硬盘：本次配置≥2块1.92TB SSD硬盘作为缓存盘，4块≥16TB SATA硬盘作为数据盘，配置≥2块480G SATA SSD做系统盘；RAID卡：配置≥1块2G缓存RAID卡，至少支持RAID0、1、5、6和JBOD模式；系统管理：提供BMC管理芯片，至少一个RJ-45管理端口；</w:t>
            </w:r>
          </w:p>
          <w:p w14:paraId="734ECAA0">
            <w:pPr>
              <w:widowControl/>
              <w:jc w:val="left"/>
              <w:rPr>
                <w:rFonts w:ascii="宋体" w:hAnsi="宋体" w:cs="仿宋"/>
                <w:sz w:val="20"/>
                <w:szCs w:val="20"/>
              </w:rPr>
            </w:pPr>
            <w:r>
              <w:rPr>
                <w:rFonts w:hint="eastAsia" w:ascii="宋体" w:hAnsi="宋体" w:cs="仿宋"/>
                <w:sz w:val="20"/>
                <w:szCs w:val="20"/>
              </w:rPr>
              <w:t>5、扩展能力：支持PCI-E插槽总数≥12个，支持≥2个OCP插槽，可在计算节点的2U空间内提供不少于36块NVMe SSD盘扩展。</w:t>
            </w:r>
          </w:p>
          <w:p w14:paraId="01C97121">
            <w:pPr>
              <w:widowControl/>
              <w:jc w:val="left"/>
              <w:rPr>
                <w:rFonts w:ascii="宋体" w:hAnsi="宋体" w:cs="仿宋"/>
                <w:sz w:val="20"/>
                <w:szCs w:val="20"/>
              </w:rPr>
            </w:pPr>
            <w:r>
              <w:rPr>
                <w:rFonts w:hint="eastAsia" w:ascii="宋体" w:hAnsi="宋体" w:cs="仿宋"/>
                <w:sz w:val="20"/>
                <w:szCs w:val="20"/>
              </w:rPr>
              <w:t>6、网络接口：配置≥2个双口25G光纤网卡（含4个25G SFP28多模模块）；电源：配置2个≥1300w热插拔冗余电源，可选支持336V高压直流电源；</w:t>
            </w:r>
          </w:p>
          <w:p w14:paraId="30C04361">
            <w:pPr>
              <w:widowControl/>
              <w:jc w:val="left"/>
              <w:rPr>
                <w:rFonts w:ascii="宋体" w:hAnsi="宋体" w:cs="仿宋"/>
                <w:sz w:val="20"/>
                <w:szCs w:val="20"/>
              </w:rPr>
            </w:pPr>
            <w:r>
              <w:rPr>
                <w:rFonts w:hint="eastAsia" w:ascii="宋体" w:hAnsi="宋体" w:cs="仿宋"/>
                <w:sz w:val="20"/>
                <w:szCs w:val="20"/>
              </w:rPr>
              <w:t>7、超融合系统软件：配置与本项目硬件配置相匹配的超融合软件许可，超融合软件支持对存储的数据进行2副本（所有数据写2份）的数据冗余配置，软件许可容量不低于实际配置的物理容量；单一节点内，没有SSD和HDD存储容量的限制，支持以1个节点为单位进行扩容；</w:t>
            </w:r>
          </w:p>
          <w:p w14:paraId="5AE59F67">
            <w:pPr>
              <w:widowControl/>
              <w:jc w:val="left"/>
              <w:rPr>
                <w:rFonts w:ascii="宋体" w:hAnsi="宋体" w:cs="仿宋"/>
                <w:sz w:val="20"/>
                <w:szCs w:val="20"/>
              </w:rPr>
            </w:pPr>
            <w:r>
              <w:rPr>
                <w:rFonts w:hint="eastAsia" w:ascii="宋体" w:hAnsi="宋体" w:cs="仿宋"/>
                <w:sz w:val="20"/>
                <w:szCs w:val="20"/>
              </w:rPr>
              <w:t>8、数据本地化读写：为确保最短IO路径和读写延迟并减少网络流量，支持虚拟机在运行服务器节点存储建立完整的数据副本，其它数据副本在其他服务器节点硬盘均匀放置，数据副本优先在本地放置一份，虚机读取数据时优先读取本地副本</w:t>
            </w:r>
            <w:r>
              <w:rPr>
                <w:rFonts w:hint="eastAsia" w:ascii="宋体" w:hAnsi="宋体" w:cs="仿宋"/>
              </w:rPr>
              <w:t>。</w:t>
            </w:r>
          </w:p>
          <w:p w14:paraId="362110FA">
            <w:pPr>
              <w:widowControl/>
              <w:jc w:val="left"/>
              <w:rPr>
                <w:rFonts w:ascii="宋体" w:hAnsi="宋体" w:cs="仿宋"/>
                <w:sz w:val="20"/>
                <w:szCs w:val="20"/>
              </w:rPr>
            </w:pPr>
            <w:r>
              <w:rPr>
                <w:rFonts w:hint="eastAsia" w:ascii="宋体" w:hAnsi="宋体" w:cs="仿宋"/>
                <w:sz w:val="20"/>
                <w:szCs w:val="20"/>
              </w:rPr>
              <w:t>9、业务加速：为满足业务快速处理需求，本次要求使用SSD硬盘（非PCI-E SSD卡），实现业务加速；为了保障核心业务虚拟机的性能，在既有SSD又有HDD的混合节点中将单个虚拟机或者虚拟机的卷指定存储到SSD层中。提升性能。不需要单独设置SSD存储池；</w:t>
            </w:r>
          </w:p>
          <w:p w14:paraId="2D952981">
            <w:pPr>
              <w:widowControl/>
              <w:jc w:val="left"/>
              <w:rPr>
                <w:rFonts w:ascii="宋体" w:hAnsi="宋体" w:cs="仿宋"/>
                <w:sz w:val="20"/>
                <w:szCs w:val="20"/>
              </w:rPr>
            </w:pPr>
            <w:r>
              <w:rPr>
                <w:rFonts w:hint="eastAsia" w:ascii="宋体" w:hAnsi="宋体" w:cs="仿宋"/>
                <w:sz w:val="20"/>
                <w:szCs w:val="20"/>
              </w:rPr>
              <w:t>10、超融合平台支持强制置备功能，开启该选项后，即使卷容器不满足存储策略中指定的允许的故障数，也会置备该对象，支持1节点和2节点强制置备2副本</w:t>
            </w:r>
            <w:r>
              <w:rPr>
                <w:rFonts w:hint="eastAsia" w:ascii="宋体" w:hAnsi="宋体" w:cs="仿宋"/>
              </w:rPr>
              <w:t>。</w:t>
            </w:r>
          </w:p>
          <w:p w14:paraId="4E65F5CE">
            <w:pPr>
              <w:widowControl/>
              <w:jc w:val="left"/>
              <w:rPr>
                <w:rFonts w:ascii="宋体" w:hAnsi="宋体" w:cs="仿宋"/>
                <w:sz w:val="20"/>
                <w:szCs w:val="20"/>
              </w:rPr>
            </w:pPr>
            <w:r>
              <w:rPr>
                <w:rFonts w:hint="eastAsia" w:ascii="宋体" w:hAnsi="宋体" w:cs="仿宋"/>
                <w:sz w:val="20"/>
                <w:szCs w:val="20"/>
              </w:rPr>
              <w:t>11、存储快照：支持快照功能，可对开机、关机状态虚拟机生成快照，支持对生成的快照进行克隆虚拟机或模板操作，支持全克隆和链接克隆；</w:t>
            </w:r>
          </w:p>
          <w:p w14:paraId="3893C5AA">
            <w:pPr>
              <w:widowControl/>
              <w:jc w:val="left"/>
              <w:rPr>
                <w:rFonts w:ascii="宋体" w:hAnsi="宋体" w:cs="仿宋"/>
                <w:sz w:val="20"/>
                <w:szCs w:val="20"/>
              </w:rPr>
            </w:pPr>
            <w:r>
              <w:rPr>
                <w:rFonts w:hint="eastAsia" w:ascii="宋体" w:hAnsi="宋体" w:cs="仿宋"/>
                <w:sz w:val="20"/>
                <w:szCs w:val="20"/>
              </w:rPr>
              <w:t>12、虚拟机锁定：支持虚拟机锁定功能，可以将重要虚拟机设置密码锁定，只有解锁后才可对虚拟机进行配置操作</w:t>
            </w:r>
            <w:r>
              <w:rPr>
                <w:rFonts w:hint="eastAsia" w:ascii="宋体" w:hAnsi="宋体" w:cs="仿宋"/>
              </w:rPr>
              <w:t>。</w:t>
            </w:r>
          </w:p>
          <w:p w14:paraId="52D74972">
            <w:pPr>
              <w:widowControl/>
              <w:jc w:val="left"/>
              <w:rPr>
                <w:rFonts w:ascii="宋体" w:hAnsi="宋体" w:cs="仿宋"/>
                <w:sz w:val="20"/>
                <w:szCs w:val="20"/>
              </w:rPr>
            </w:pPr>
            <w:r>
              <w:rPr>
                <w:rFonts w:hint="eastAsia" w:ascii="宋体" w:hAnsi="宋体" w:cs="仿宋"/>
                <w:sz w:val="20"/>
                <w:szCs w:val="20"/>
              </w:rPr>
              <w:t>13、运维管理：平台支持统一管理功能，全图形化B/S模式，支持在同一界面对超融合、虚拟化、桌面云产品进行集中管理，无需多个管理界面进行切换，支持对多种CPU架构集群进行集中管理，支持同时纳管多个VMware vCenter集群；</w:t>
            </w:r>
          </w:p>
          <w:p w14:paraId="5B44426E">
            <w:pPr>
              <w:widowControl/>
              <w:jc w:val="left"/>
              <w:rPr>
                <w:rFonts w:ascii="宋体" w:hAnsi="宋体" w:cs="仿宋"/>
                <w:sz w:val="20"/>
                <w:szCs w:val="20"/>
              </w:rPr>
            </w:pPr>
            <w:r>
              <w:rPr>
                <w:rFonts w:hint="eastAsia" w:ascii="宋体" w:hAnsi="宋体" w:cs="仿宋"/>
                <w:sz w:val="20"/>
                <w:szCs w:val="20"/>
              </w:rPr>
              <w:t>14、直观展示存储池/硬盘数据空间分布和数据访问热度，提供最近一小时的热度展示。其中存储池级别的热力图支持按照节点和硬盘类型维度分别展示；</w:t>
            </w:r>
          </w:p>
          <w:p w14:paraId="07169F8C">
            <w:pPr>
              <w:widowControl/>
              <w:jc w:val="left"/>
              <w:rPr>
                <w:rFonts w:ascii="宋体" w:hAnsi="宋体" w:cs="仿宋"/>
                <w:sz w:val="20"/>
                <w:szCs w:val="20"/>
              </w:rPr>
            </w:pPr>
            <w:r>
              <w:rPr>
                <w:rFonts w:hint="eastAsia" w:ascii="宋体" w:hAnsi="宋体" w:cs="仿宋"/>
                <w:sz w:val="20"/>
                <w:szCs w:val="20"/>
              </w:rPr>
              <w:t>15、支持慢盘检测功能，系统可以自动检测硬盘的读性能、写性能，出现性能问题的硬盘会被置于faulted状态；</w:t>
            </w:r>
          </w:p>
          <w:p w14:paraId="1812DED5">
            <w:pPr>
              <w:widowControl/>
              <w:jc w:val="left"/>
              <w:rPr>
                <w:rFonts w:ascii="宋体" w:hAnsi="宋体" w:cs="仿宋"/>
                <w:sz w:val="20"/>
                <w:szCs w:val="20"/>
              </w:rPr>
            </w:pPr>
            <w:r>
              <w:rPr>
                <w:rFonts w:hint="eastAsia" w:ascii="宋体" w:hAnsi="宋体" w:cs="仿宋"/>
                <w:sz w:val="20"/>
                <w:szCs w:val="20"/>
              </w:rPr>
              <w:t>16、支持在线的VM迁移，可以在不停机状态下，手工或自动地实现VM在资源池内不同物理机之间、不同存储卷之间进行迁移，保障业务连续性；</w:t>
            </w:r>
          </w:p>
          <w:p w14:paraId="26FB3D37">
            <w:pPr>
              <w:widowControl/>
              <w:jc w:val="left"/>
              <w:rPr>
                <w:rFonts w:ascii="宋体" w:hAnsi="宋体" w:cs="仿宋"/>
                <w:sz w:val="20"/>
                <w:szCs w:val="20"/>
              </w:rPr>
            </w:pPr>
            <w:r>
              <w:rPr>
                <w:rFonts w:hint="eastAsia" w:ascii="宋体" w:hAnsi="宋体" w:cs="仿宋"/>
                <w:sz w:val="20"/>
                <w:szCs w:val="20"/>
              </w:rPr>
              <w:t>17、告警通知：支持告警信息可以通过邮件和微信方式发送，并可以在管理平台记录发送历史，为后期审计提供依据</w:t>
            </w:r>
            <w:r>
              <w:rPr>
                <w:rFonts w:hint="eastAsia" w:ascii="宋体" w:hAnsi="宋体" w:cs="仿宋"/>
              </w:rPr>
              <w:t>。</w:t>
            </w:r>
          </w:p>
          <w:p w14:paraId="0F68246D">
            <w:pPr>
              <w:widowControl/>
              <w:jc w:val="left"/>
              <w:rPr>
                <w:rFonts w:ascii="宋体" w:hAnsi="宋体" w:cs="仿宋"/>
                <w:sz w:val="20"/>
                <w:szCs w:val="20"/>
              </w:rPr>
            </w:pPr>
            <w:r>
              <w:rPr>
                <w:rFonts w:hint="eastAsia" w:ascii="宋体" w:hAnsi="宋体" w:cs="仿宋"/>
                <w:sz w:val="20"/>
                <w:szCs w:val="20"/>
              </w:rPr>
              <w:t>18、提供内置连续数据扫描功能，从交付完成开始，超融合系统持续比对数据副本的一致性，及时修复发现的数据校验错误。统一管理界面提供一键式数据完整性扫描，提供可视化的数据扫描进度，针对每个存储卷容器提供正常扫描和快速扫描两种方式，直观展示开始扫描的时间、风险状态、风险虚拟机，针对风险的虚拟机系统会自动触发数据修复，并提供再次扫描的功能</w:t>
            </w:r>
            <w:r>
              <w:rPr>
                <w:rFonts w:hint="eastAsia" w:ascii="宋体" w:hAnsi="宋体" w:cs="仿宋"/>
              </w:rPr>
              <w:t>。</w:t>
            </w:r>
          </w:p>
          <w:p w14:paraId="294A1AFA">
            <w:pPr>
              <w:widowControl/>
              <w:jc w:val="left"/>
              <w:rPr>
                <w:rFonts w:ascii="宋体" w:hAnsi="宋体" w:cs="仿宋"/>
                <w:sz w:val="20"/>
                <w:szCs w:val="20"/>
              </w:rPr>
            </w:pPr>
            <w:r>
              <w:rPr>
                <w:rFonts w:hint="eastAsia" w:ascii="宋体" w:hAnsi="宋体" w:cs="仿宋"/>
                <w:sz w:val="20"/>
                <w:szCs w:val="20"/>
              </w:rPr>
              <w:t>19、为保障超融合计算节点在复杂电磁环境的兼容性能力，所投超融合计算节点须通过“电磁兼容性”检验检测，其中浪涌（冲击）抗扰度试验电压不低于2KV</w:t>
            </w:r>
            <w:r>
              <w:rPr>
                <w:rFonts w:hint="eastAsia" w:ascii="宋体" w:hAnsi="宋体" w:cs="仿宋"/>
              </w:rPr>
              <w:t>。</w:t>
            </w:r>
          </w:p>
          <w:p w14:paraId="1AF9B733">
            <w:pPr>
              <w:widowControl/>
              <w:jc w:val="left"/>
              <w:rPr>
                <w:rFonts w:ascii="宋体" w:hAnsi="宋体" w:cs="仿宋"/>
                <w:sz w:val="20"/>
                <w:szCs w:val="20"/>
              </w:rPr>
            </w:pPr>
            <w:r>
              <w:rPr>
                <w:rFonts w:hint="eastAsia" w:ascii="宋体" w:hAnsi="宋体" w:cs="仿宋"/>
                <w:sz w:val="20"/>
                <w:szCs w:val="20"/>
              </w:rPr>
              <w:t>20、为保障超融合计算节点承受一定复杂环境工作的能力，超融合计算节点须通过“环境适应性”检验检测</w:t>
            </w:r>
            <w:r>
              <w:rPr>
                <w:rFonts w:hint="eastAsia" w:ascii="宋体" w:hAnsi="宋体" w:cs="仿宋"/>
              </w:rPr>
              <w:t>。</w:t>
            </w:r>
          </w:p>
          <w:p w14:paraId="78F5D2DA">
            <w:pPr>
              <w:widowControl/>
              <w:jc w:val="left"/>
              <w:rPr>
                <w:rFonts w:ascii="宋体" w:hAnsi="宋体" w:cs="仿宋"/>
                <w:sz w:val="20"/>
                <w:szCs w:val="20"/>
              </w:rPr>
            </w:pPr>
            <w:r>
              <w:rPr>
                <w:rFonts w:hint="eastAsia" w:ascii="宋体" w:hAnsi="宋体" w:cs="仿宋"/>
                <w:sz w:val="20"/>
                <w:szCs w:val="20"/>
              </w:rPr>
              <w:t>21、为保障超融合计算节点正常工作噪音问题，所投超融合计算节点须噪声声功率级在7Bel（A）以下</w:t>
            </w:r>
            <w:r>
              <w:rPr>
                <w:rFonts w:hint="eastAsia" w:ascii="宋体" w:hAnsi="宋体" w:cs="仿宋"/>
              </w:rPr>
              <w:t>。</w:t>
            </w:r>
          </w:p>
          <w:p w14:paraId="09A6DF4C">
            <w:pPr>
              <w:widowControl/>
              <w:jc w:val="left"/>
              <w:rPr>
                <w:rFonts w:ascii="宋体" w:hAnsi="宋体" w:cs="仿宋"/>
                <w:sz w:val="20"/>
                <w:szCs w:val="20"/>
              </w:rPr>
            </w:pPr>
            <w:r>
              <w:rPr>
                <w:rFonts w:hint="eastAsia" w:ascii="宋体" w:hAnsi="宋体" w:cs="仿宋"/>
                <w:sz w:val="20"/>
                <w:szCs w:val="20"/>
              </w:rPr>
              <w:t>22、为保障超融合计算节点抗扰度性能，所投超融合计算节点须通过电磁兼容性检验且射频电磁场抗扰度试验磁场强不低于10V/m</w:t>
            </w:r>
            <w:r>
              <w:rPr>
                <w:rFonts w:hint="eastAsia" w:ascii="宋体" w:hAnsi="宋体" w:cs="仿宋"/>
              </w:rPr>
              <w:t>。</w:t>
            </w:r>
          </w:p>
          <w:p w14:paraId="61D121E0">
            <w:pPr>
              <w:widowControl/>
              <w:jc w:val="left"/>
              <w:rPr>
                <w:rFonts w:ascii="宋体" w:hAnsi="宋体" w:cs="仿宋"/>
                <w:sz w:val="20"/>
                <w:szCs w:val="20"/>
              </w:rPr>
            </w:pPr>
            <w:r>
              <w:rPr>
                <w:rFonts w:hint="eastAsia" w:ascii="宋体" w:hAnsi="宋体" w:cs="仿宋"/>
                <w:sz w:val="20"/>
                <w:szCs w:val="20"/>
              </w:rPr>
              <w:t>23、为保障超融合计算节点的耐用度，所投超融合计算节点须具有一定抗盐雾腐蚀的能力</w:t>
            </w:r>
            <w:r>
              <w:rPr>
                <w:rFonts w:hint="eastAsia" w:ascii="宋体" w:hAnsi="宋体" w:cs="仿宋"/>
              </w:rPr>
              <w:t>。</w:t>
            </w:r>
          </w:p>
          <w:p w14:paraId="2F0D8237">
            <w:pPr>
              <w:widowControl/>
              <w:jc w:val="left"/>
              <w:rPr>
                <w:rFonts w:ascii="宋体" w:hAnsi="宋体" w:cs="仿宋"/>
                <w:sz w:val="20"/>
                <w:szCs w:val="20"/>
              </w:rPr>
            </w:pPr>
            <w:r>
              <w:rPr>
                <w:rFonts w:hint="eastAsia" w:ascii="宋体" w:hAnsi="宋体" w:cs="仿宋"/>
                <w:sz w:val="20"/>
                <w:szCs w:val="20"/>
              </w:rPr>
              <w:t>24、回收站功能：防止因虚拟机误删除导致数据丢失，为了防止误删除、误清空操作，在删除资源或清空回收站时需通过验证码或用户密码等方式进行验证，支持设置回收站文件保存周期，超期的文件将被自动删除</w:t>
            </w:r>
            <w:r>
              <w:rPr>
                <w:rFonts w:hint="eastAsia" w:ascii="宋体" w:hAnsi="宋体" w:cs="仿宋"/>
              </w:rPr>
              <w:t>。</w:t>
            </w:r>
          </w:p>
          <w:p w14:paraId="34494AC7">
            <w:pPr>
              <w:widowControl/>
              <w:jc w:val="left"/>
              <w:rPr>
                <w:rFonts w:ascii="宋体" w:hAnsi="宋体" w:cs="仿宋"/>
                <w:sz w:val="20"/>
                <w:szCs w:val="20"/>
              </w:rPr>
            </w:pPr>
            <w:r>
              <w:rPr>
                <w:rFonts w:hint="eastAsia" w:ascii="宋体" w:hAnsi="宋体" w:cs="仿宋"/>
                <w:sz w:val="20"/>
                <w:szCs w:val="20"/>
              </w:rPr>
              <w:t>25、超融合计算节点可以以最小1节点构建超融合，支持以1节点为最小单位横向扩容至2、3、4、5、6……节点，支持在线扩容</w:t>
            </w:r>
            <w:r>
              <w:rPr>
                <w:rFonts w:hint="eastAsia" w:ascii="宋体" w:hAnsi="宋体" w:cs="仿宋"/>
              </w:rPr>
              <w:t>。</w:t>
            </w:r>
          </w:p>
          <w:p w14:paraId="7AC6831D">
            <w:pPr>
              <w:widowControl/>
              <w:jc w:val="left"/>
              <w:rPr>
                <w:rFonts w:ascii="宋体" w:hAnsi="宋体" w:cs="仿宋"/>
                <w:sz w:val="20"/>
                <w:szCs w:val="20"/>
              </w:rPr>
            </w:pPr>
            <w:r>
              <w:rPr>
                <w:rFonts w:hint="eastAsia" w:ascii="宋体" w:hAnsi="宋体" w:cs="仿宋"/>
                <w:sz w:val="20"/>
                <w:szCs w:val="20"/>
              </w:rPr>
              <w:t>26、身份认证：支持多种身份认证方式，至少支持账户密码、企业微信扫码、OTP、Ukey方式进行登录认证，可进行双因子认证登录设置，保证平台安全</w:t>
            </w:r>
            <w:r>
              <w:rPr>
                <w:rFonts w:hint="eastAsia" w:ascii="宋体" w:hAnsi="宋体" w:cs="仿宋"/>
              </w:rPr>
              <w:t>。</w:t>
            </w:r>
          </w:p>
          <w:p w14:paraId="7F15D415">
            <w:pPr>
              <w:rPr>
                <w:rFonts w:hint="eastAsia" w:ascii="宋体" w:hAnsi="宋体" w:cs="仿宋"/>
                <w:color w:val="0000FF"/>
              </w:rPr>
            </w:pPr>
            <w:r>
              <w:rPr>
                <w:rFonts w:hint="eastAsia" w:ascii="宋体" w:hAnsi="宋体" w:cs="仿宋"/>
                <w:sz w:val="20"/>
                <w:szCs w:val="20"/>
              </w:rPr>
              <w:t>27、为了应付突发应急情况，所投超融合计算节点平均无故障时间MTBF的m1的值不低于240000小时</w:t>
            </w:r>
            <w:r>
              <w:rPr>
                <w:rFonts w:hint="eastAsia" w:ascii="宋体" w:hAnsi="宋体" w:cs="仿宋"/>
                <w:color w:val="0000FF"/>
              </w:rPr>
              <w:t>。</w:t>
            </w:r>
          </w:p>
          <w:p w14:paraId="6AF52405">
            <w:pPr>
              <w:rPr>
                <w:rFonts w:hint="default" w:ascii="宋体" w:hAnsi="宋体" w:eastAsia="宋体" w:cs="仿宋"/>
                <w:color w:val="auto"/>
                <w:lang w:val="en-US" w:eastAsia="zh-CN"/>
              </w:rPr>
            </w:pPr>
            <w:r>
              <w:rPr>
                <w:rFonts w:hint="eastAsia" w:ascii="宋体" w:hAnsi="宋体" w:cs="仿宋"/>
                <w:color w:val="auto"/>
                <w:lang w:val="en-US" w:eastAsia="zh-CN"/>
              </w:rPr>
              <w:t>28、质保:3年</w:t>
            </w:r>
          </w:p>
          <w:p w14:paraId="23BA0472">
            <w:pPr>
              <w:rPr>
                <w:rFonts w:ascii="宋体" w:hAnsi="宋体" w:cs="仿宋"/>
              </w:rPr>
            </w:pPr>
          </w:p>
          <w:p w14:paraId="18BA8BD3">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九、产品名称：超融合以太网交换机</w:t>
            </w:r>
          </w:p>
          <w:p w14:paraId="198F21D5">
            <w:r>
              <w:rPr>
                <w:rFonts w:hint="eastAsia"/>
              </w:rPr>
              <w:t>数量：2台</w:t>
            </w:r>
          </w:p>
          <w:p w14:paraId="5A860813">
            <w:r>
              <w:rPr>
                <w:rFonts w:hint="eastAsia"/>
              </w:rPr>
              <w:t>设备清单：</w:t>
            </w:r>
          </w:p>
          <w:p w14:paraId="008D384D">
            <w:pPr>
              <w:rPr>
                <w:rFonts w:ascii="宋体" w:hAnsi="宋体"/>
              </w:rPr>
            </w:pPr>
            <w:r>
              <w:rPr>
                <w:rFonts w:hint="eastAsia" w:ascii="宋体" w:hAnsi="宋体"/>
              </w:rPr>
              <w:t>1、交换容量不小于</w:t>
            </w:r>
            <w:r>
              <w:rPr>
                <w:rFonts w:ascii="宋体" w:hAnsi="宋体"/>
              </w:rPr>
              <w:t>4.8Tbps</w:t>
            </w:r>
          </w:p>
          <w:p w14:paraId="44B5A050">
            <w:pPr>
              <w:rPr>
                <w:rFonts w:ascii="宋体" w:hAnsi="宋体"/>
              </w:rPr>
            </w:pPr>
            <w:r>
              <w:rPr>
                <w:rFonts w:hint="eastAsia" w:ascii="宋体" w:hAnsi="宋体"/>
              </w:rPr>
              <w:t>2、包转发速率不小于</w:t>
            </w:r>
            <w:r>
              <w:rPr>
                <w:rFonts w:ascii="宋体" w:hAnsi="宋体"/>
              </w:rPr>
              <w:t>2000Mpps</w:t>
            </w:r>
          </w:p>
          <w:p w14:paraId="06D3FBB4">
            <w:pPr>
              <w:rPr>
                <w:rFonts w:ascii="宋体" w:hAnsi="宋体"/>
              </w:rPr>
            </w:pPr>
            <w:r>
              <w:rPr>
                <w:rFonts w:hint="eastAsia" w:ascii="宋体" w:hAnsi="宋体"/>
              </w:rPr>
              <w:t>3、</w:t>
            </w:r>
            <w:r>
              <w:rPr>
                <w:rFonts w:ascii="宋体" w:hAnsi="宋体"/>
              </w:rPr>
              <w:t>固化</w:t>
            </w:r>
            <w:r>
              <w:rPr>
                <w:rFonts w:hint="eastAsia" w:ascii="宋体" w:hAnsi="宋体"/>
              </w:rPr>
              <w:t>不少于</w:t>
            </w:r>
            <w:r>
              <w:rPr>
                <w:rFonts w:ascii="宋体" w:hAnsi="宋体"/>
              </w:rPr>
              <w:t>48个25G端口</w:t>
            </w:r>
            <w:r>
              <w:rPr>
                <w:rFonts w:hint="eastAsia" w:ascii="宋体" w:hAnsi="宋体"/>
              </w:rPr>
              <w:t>和</w:t>
            </w:r>
            <w:r>
              <w:rPr>
                <w:rFonts w:ascii="宋体" w:hAnsi="宋体"/>
              </w:rPr>
              <w:t>8个100G端口</w:t>
            </w:r>
            <w:r>
              <w:rPr>
                <w:rFonts w:hint="eastAsia" w:ascii="宋体" w:hAnsi="宋体"/>
              </w:rPr>
              <w:t>，配置不少于24个</w:t>
            </w:r>
            <w:r>
              <w:rPr>
                <w:rFonts w:ascii="宋体" w:hAnsi="宋体"/>
              </w:rPr>
              <w:t>25G</w:t>
            </w:r>
            <w:r>
              <w:rPr>
                <w:rFonts w:hint="eastAsia" w:ascii="宋体" w:hAnsi="宋体"/>
              </w:rPr>
              <w:t>多模模块</w:t>
            </w:r>
          </w:p>
          <w:p w14:paraId="0D6BD0C8">
            <w:pPr>
              <w:rPr>
                <w:rFonts w:ascii="宋体" w:hAnsi="宋体"/>
              </w:rPr>
            </w:pPr>
            <w:r>
              <w:rPr>
                <w:rFonts w:hint="eastAsia" w:ascii="宋体" w:hAnsi="宋体"/>
              </w:rPr>
              <w:t>4、产品深度＜</w:t>
            </w:r>
            <w:r>
              <w:rPr>
                <w:rFonts w:ascii="宋体" w:hAnsi="宋体"/>
              </w:rPr>
              <w:t xml:space="preserve">400mm， </w:t>
            </w:r>
          </w:p>
          <w:p w14:paraId="7C353875">
            <w:pPr>
              <w:rPr>
                <w:rFonts w:ascii="宋体" w:hAnsi="宋体"/>
              </w:rPr>
            </w:pPr>
            <w:r>
              <w:rPr>
                <w:rFonts w:hint="eastAsia" w:ascii="宋体" w:hAnsi="宋体"/>
              </w:rPr>
              <w:t>5、工作温度</w:t>
            </w:r>
            <w:r>
              <w:rPr>
                <w:rFonts w:ascii="宋体" w:hAnsi="宋体"/>
              </w:rPr>
              <w:t>0°~45°</w:t>
            </w:r>
          </w:p>
          <w:p w14:paraId="20C3DC5D">
            <w:pPr>
              <w:rPr>
                <w:rFonts w:ascii="宋体" w:hAnsi="宋体"/>
              </w:rPr>
            </w:pPr>
            <w:r>
              <w:rPr>
                <w:rFonts w:hint="eastAsia" w:ascii="宋体" w:hAnsi="宋体"/>
              </w:rPr>
              <w:t>6、配置不少于</w:t>
            </w:r>
            <w:r>
              <w:rPr>
                <w:rFonts w:ascii="宋体" w:hAnsi="宋体"/>
              </w:rPr>
              <w:t>2个电源，电源支持1+1冗余</w:t>
            </w:r>
          </w:p>
          <w:p w14:paraId="14E99901">
            <w:pPr>
              <w:rPr>
                <w:rFonts w:ascii="宋体" w:hAnsi="宋体"/>
              </w:rPr>
            </w:pPr>
            <w:r>
              <w:rPr>
                <w:rFonts w:hint="eastAsia" w:ascii="宋体" w:hAnsi="宋体"/>
              </w:rPr>
              <w:t>7、风扇支持</w:t>
            </w:r>
            <w:r>
              <w:rPr>
                <w:rFonts w:ascii="宋体" w:hAnsi="宋体"/>
              </w:rPr>
              <w:t>N+1冗余(N≥2)，一个风扇盘损坏的情况下，系统仍可正常运行</w:t>
            </w:r>
          </w:p>
          <w:p w14:paraId="138A1882">
            <w:pPr>
              <w:rPr>
                <w:rFonts w:hint="default" w:ascii="宋体" w:hAnsi="宋体" w:eastAsia="宋体"/>
                <w:lang w:val="en-US" w:eastAsia="zh-CN"/>
              </w:rPr>
            </w:pPr>
            <w:r>
              <w:rPr>
                <w:rFonts w:hint="eastAsia" w:ascii="宋体" w:hAnsi="宋体"/>
                <w:lang w:val="en-US" w:eastAsia="zh-CN"/>
              </w:rPr>
              <w:t>8、质保：3年</w:t>
            </w:r>
          </w:p>
          <w:p w14:paraId="246D408E">
            <w:pPr>
              <w:rPr>
                <w:rFonts w:ascii="宋体" w:hAnsi="宋体" w:cs="仿宋"/>
              </w:rPr>
            </w:pPr>
          </w:p>
          <w:p w14:paraId="5A55F7B2">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十、</w:t>
            </w:r>
            <w:r>
              <w:rPr>
                <w:rFonts w:hint="eastAsia"/>
                <w:b/>
                <w:bCs/>
                <w:kern w:val="2"/>
                <w:sz w:val="21"/>
                <w:szCs w:val="21"/>
              </w:rPr>
              <w:t>产品名称：存储服务器</w:t>
            </w:r>
          </w:p>
          <w:p w14:paraId="56E5C916">
            <w:r>
              <w:rPr>
                <w:rFonts w:hint="eastAsia"/>
              </w:rPr>
              <w:t>数量：1套</w:t>
            </w:r>
          </w:p>
          <w:p w14:paraId="66AE18AF">
            <w:r>
              <w:rPr>
                <w:rFonts w:hint="eastAsia"/>
              </w:rPr>
              <w:t>设备清单：</w:t>
            </w:r>
          </w:p>
          <w:p w14:paraId="119D4E29">
            <w:r>
              <w:rPr>
                <w:rFonts w:hint="eastAsia"/>
              </w:rPr>
              <w:t>1、集成数字录像机及视频、照片、文件资料集中管理系统，并支持iOS 及Android 平台移动设备调用、发布及云端存储功能</w:t>
            </w:r>
          </w:p>
          <w:p w14:paraId="4924F719">
            <w:r>
              <w:rPr>
                <w:rFonts w:hint="eastAsia"/>
              </w:rPr>
              <w:t>2)、需完整支持 Windows ACL 13种权限设定，并可同时透过 Windows窗口及网页管理接口直接设定 ACL权限</w:t>
            </w:r>
          </w:p>
          <w:p w14:paraId="26BC20A2">
            <w:r>
              <w:rPr>
                <w:rFonts w:hint="eastAsia"/>
              </w:rPr>
              <w:t>3、 提供磁盘空间配额管理(Quota Management)功能，限制在共享资料用户的磁盘空间使用量，以避免少數用户大量占用共享磁盘空间，达到妥善分配磁盘资源的目的。</w:t>
            </w:r>
          </w:p>
          <w:p w14:paraId="1496239E">
            <w:r>
              <w:rPr>
                <w:rFonts w:hint="eastAsia"/>
              </w:rPr>
              <w:t xml:space="preserve">4、 </w:t>
            </w:r>
            <w:r>
              <w:t>可创建共享文件夹和 LUN 的时间点副本，以防止它们 受到意外修改或勒索软件事件的影响</w:t>
            </w:r>
            <w:r>
              <w:rPr>
                <w:rFonts w:ascii="MyriadPro-Regular" w:hAnsi="MyriadPro-Regular"/>
                <w:color w:val="57585A"/>
                <w:sz w:val="11"/>
                <w:szCs w:val="11"/>
              </w:rPr>
              <w:t>，</w:t>
            </w:r>
            <w:r>
              <w:rPr>
                <w:rFonts w:hint="eastAsia"/>
              </w:rPr>
              <w:t>支持多台同品牌服务器远程双向自动同步文件，且可提供权限控制。</w:t>
            </w:r>
          </w:p>
          <w:p w14:paraId="4E7D5534">
            <w:r>
              <w:rPr>
                <w:rFonts w:hint="eastAsia"/>
              </w:rPr>
              <w:t>5、处理器 2</w:t>
            </w:r>
            <w:r>
              <w:t xml:space="preserve"> 颗</w:t>
            </w:r>
            <w:r>
              <w:rPr>
                <w:rFonts w:hint="eastAsia"/>
              </w:rPr>
              <w:t xml:space="preserve"> 十核心2..4GHz </w:t>
            </w:r>
            <w:r>
              <w:t xml:space="preserve"> </w:t>
            </w:r>
            <w:r>
              <w:rPr>
                <w:rFonts w:hint="eastAsia"/>
              </w:rPr>
              <w:t>64位处理器</w:t>
            </w:r>
          </w:p>
          <w:p w14:paraId="64730557">
            <w:r>
              <w:rPr>
                <w:rFonts w:hint="eastAsia"/>
              </w:rPr>
              <w:t>6、系统缓存：64</w:t>
            </w:r>
            <w:r>
              <w:t>GB 可扩展至512GB</w:t>
            </w:r>
          </w:p>
          <w:p w14:paraId="14673E56">
            <w:r>
              <w:t>7</w:t>
            </w:r>
            <w:r>
              <w:rPr>
                <w:rFonts w:hint="eastAsia"/>
              </w:rPr>
              <w:t>、1 x 1GbE RJ-45（带外管理和数据传输）2 x 1GbE RJ-45（数据传输） 2 x 10GbE RJ-45</w:t>
            </w:r>
          </w:p>
          <w:p w14:paraId="05D43717">
            <w:r>
              <w:t>8</w:t>
            </w:r>
            <w:r>
              <w:rPr>
                <w:rFonts w:hint="eastAsia"/>
              </w:rPr>
              <w:t>、 带外管理  远程电源打开/关闭/重新启动 / 定时开关机</w:t>
            </w:r>
          </w:p>
          <w:p w14:paraId="3A07EDFC">
            <w:r>
              <w:rPr>
                <w:rFonts w:hint="eastAsia"/>
              </w:rPr>
              <w:t>9、4</w:t>
            </w:r>
            <w:r>
              <w:t>U机架式主机</w:t>
            </w:r>
            <w:r>
              <w:rPr>
                <w:rFonts w:hint="eastAsia"/>
              </w:rPr>
              <w:t>，含</w:t>
            </w:r>
            <w:r>
              <w:t>7</w:t>
            </w:r>
            <w:r>
              <w:rPr>
                <w:rFonts w:hint="eastAsia"/>
              </w:rPr>
              <w:t>0</w:t>
            </w:r>
            <w:r>
              <w:t xml:space="preserve"> 颗18TB SATA 硬盘，最多可扩展至300颗硬盘</w:t>
            </w:r>
          </w:p>
          <w:p w14:paraId="1EB9755C">
            <w:r>
              <w:rPr>
                <w:rFonts w:hint="eastAsia"/>
              </w:rPr>
              <w:t>10、系统电源：双电源冗余</w:t>
            </w:r>
          </w:p>
          <w:p w14:paraId="4C2474B9">
            <w:r>
              <w:rPr>
                <w:rFonts w:hint="eastAsia"/>
              </w:rPr>
              <w:t>11、提供与公有云存储提供商的单向或双向同步，这些提供商包括 Alibaba Cloud OSS、Backblaze B2、百度云、Box、Dropbox、Google Cloud Storage、Google 云端硬盘、hubiC、MegaDisk、Microsoft OneDrive、OpenStack Swift 兼容存储、腾讯 COS、WebDAV Server 和 Yandex Disk</w:t>
            </w:r>
          </w:p>
          <w:p w14:paraId="3C264501">
            <w:r>
              <w:rPr>
                <w:rFonts w:hint="eastAsia"/>
              </w:rPr>
              <w:t>12、支持提高传输速度的 SSD 缓存技术</w:t>
            </w:r>
          </w:p>
          <w:p w14:paraId="0737918E">
            <w:r>
              <w:rPr>
                <w:rFonts w:hint="eastAsia"/>
              </w:rPr>
              <w:t>13、</w:t>
            </w:r>
            <w:r>
              <w:t>支持</w:t>
            </w:r>
            <w:r>
              <w:rPr>
                <w:rFonts w:hint="eastAsia"/>
              </w:rPr>
              <w:t>与 Windows® AD/LDAP 服务器连接，使域用户可以使用其现有凭据通过 SMB/NFS/AFP/FTP/File Station 登录</w:t>
            </w:r>
          </w:p>
          <w:p w14:paraId="0D364BE2">
            <w:r>
              <w:rPr>
                <w:rFonts w:hint="eastAsia"/>
              </w:rPr>
              <w:t>14、单一共享文件夹最大支持快照数量≥1024</w:t>
            </w:r>
          </w:p>
          <w:p w14:paraId="787BF319">
            <w:r>
              <w:rPr>
                <w:rFonts w:hint="eastAsia"/>
              </w:rPr>
              <w:t>15、使用者账号数≥16000</w:t>
            </w:r>
          </w:p>
          <w:p w14:paraId="58C89B2C">
            <w:r>
              <w:rPr>
                <w:rFonts w:hint="eastAsia"/>
              </w:rPr>
              <w:t>16、</w:t>
            </w:r>
            <w:r>
              <w:t>用户</w:t>
            </w:r>
            <w:r>
              <w:rPr>
                <w:rFonts w:hint="eastAsia"/>
              </w:rPr>
              <w:t>群组数≥ 512</w:t>
            </w:r>
          </w:p>
          <w:p w14:paraId="358600A1">
            <w:r>
              <w:rPr>
                <w:rFonts w:hint="eastAsia"/>
              </w:rPr>
              <w:t>17、共享文件夹数≥512</w:t>
            </w:r>
          </w:p>
          <w:p w14:paraId="119C77A4">
            <w:r>
              <w:rPr>
                <w:rFonts w:hint="eastAsia"/>
              </w:rPr>
              <w:t>18、SMB/NFS/AFP/FTP 并发连接数量上限≥</w:t>
            </w:r>
            <w:r>
              <w:t>6000</w:t>
            </w:r>
          </w:p>
          <w:p w14:paraId="3554CA78">
            <w:r>
              <w:rPr>
                <w:rFonts w:hint="eastAsia"/>
              </w:rPr>
              <w:t>19、</w:t>
            </w:r>
            <w:r>
              <w:t xml:space="preserve"> High Availability可在主-备用集群中配置的两台相同 设备 之间提供快速故障转移，以在发生计划维护、更新或灾难时尽可能减少停机 时间</w:t>
            </w:r>
          </w:p>
          <w:p w14:paraId="20161B6D">
            <w:r>
              <w:rPr>
                <w:rFonts w:hint="eastAsia"/>
              </w:rPr>
              <w:t>20、网络支持  SMB、AFP、NFS、FTP、WebDAV、CalDAV、iSCSI、Telnet、SSH、SNMP 和 VPN（PPTP、OpenVPN™、L2TP）</w:t>
            </w:r>
          </w:p>
          <w:p w14:paraId="61B0D064">
            <w:r>
              <w:rPr>
                <w:rFonts w:hint="eastAsia"/>
              </w:rPr>
              <w:t xml:space="preserve">21、支持虚拟化 VMware® vSphere™、Microsoft® Hyper-V®、Citrix® XenServer™、OpenStack 和 Kubernetes </w:t>
            </w:r>
          </w:p>
          <w:p w14:paraId="57CF6015">
            <w:r>
              <w:t>2</w:t>
            </w:r>
            <w:r>
              <w:rPr>
                <w:rFonts w:hint="eastAsia"/>
              </w:rPr>
              <w:t>2、 支持 TCP 连接带宽控制、自定义 FTP 被动端口范围、匿名 FTP、通过 SSL/TLS 的 FTP 和 SFTP 协议、支持 TFTP 和 PXE 的网络启动以及传 输日志</w:t>
            </w:r>
          </w:p>
          <w:p w14:paraId="7D62F256">
            <w:r>
              <w:rPr>
                <w:rFonts w:hint="eastAsia"/>
              </w:rPr>
              <w:t>23、系统需含完整联机及传输日志系统，并可导入系统内建之Syslog服务器</w:t>
            </w:r>
          </w:p>
          <w:p w14:paraId="61FB8E21">
            <w:r>
              <w:t>2</w:t>
            </w:r>
            <w:r>
              <w:rPr>
                <w:rFonts w:hint="eastAsia"/>
              </w:rPr>
              <w:t>4、 防火墙、共享文件夹加密、SMB 加密、通过 SSL/TLS 的 FTP、SFTP、通过 SSH 的 rsync、登录自动封锁、Let's Encrypt 支持和 HTTPS（ 可配置的加密套件）</w:t>
            </w:r>
          </w:p>
          <w:p w14:paraId="3CDCC5D6">
            <w:r>
              <w:rPr>
                <w:rFonts w:hint="eastAsia"/>
              </w:rPr>
              <w:t>25、提供一体化备份，可以从一个集中化控制台远程备份计算机、服务器和虚拟机</w:t>
            </w:r>
          </w:p>
          <w:p w14:paraId="74EF14F9">
            <w:pPr>
              <w:rPr>
                <w:rFonts w:hint="eastAsia"/>
              </w:rPr>
            </w:pPr>
            <w:r>
              <w:rPr>
                <w:rFonts w:hint="eastAsia"/>
              </w:rPr>
              <w:t>26、</w:t>
            </w:r>
            <w:r>
              <w:t xml:space="preserve"> </w:t>
            </w:r>
            <w:r>
              <w:rPr>
                <w:rFonts w:hint="eastAsia"/>
              </w:rPr>
              <w:t>支持用户二次登入认证，登入主机时候可以通过手机发送随机验证码。</w:t>
            </w:r>
          </w:p>
          <w:p w14:paraId="63F93A12">
            <w:pPr>
              <w:rPr>
                <w:rFonts w:hint="default" w:eastAsia="宋体"/>
                <w:lang w:val="en-US" w:eastAsia="zh-CN"/>
              </w:rPr>
            </w:pPr>
            <w:r>
              <w:rPr>
                <w:rFonts w:hint="eastAsia"/>
                <w:lang w:val="en-US" w:eastAsia="zh-CN"/>
              </w:rPr>
              <w:t>27、质保：3年</w:t>
            </w:r>
          </w:p>
          <w:p w14:paraId="12A7D60F"/>
          <w:p w14:paraId="564E37E8">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十一、产品名称：超融合平台数据迁移</w:t>
            </w:r>
          </w:p>
          <w:p w14:paraId="773074CF">
            <w:r>
              <w:rPr>
                <w:rFonts w:hint="eastAsia"/>
              </w:rPr>
              <w:t>数量：1次</w:t>
            </w:r>
          </w:p>
          <w:p w14:paraId="2B09ED16">
            <w:r>
              <w:rPr>
                <w:rFonts w:hint="eastAsia"/>
              </w:rPr>
              <w:t>设备清单：</w:t>
            </w:r>
          </w:p>
          <w:p w14:paraId="7FC789FC">
            <w:pPr>
              <w:rPr>
                <w:rFonts w:ascii="宋体" w:hAnsi="宋体"/>
              </w:rPr>
            </w:pPr>
            <w:r>
              <w:rPr>
                <w:rFonts w:hint="eastAsia" w:ascii="宋体" w:hAnsi="宋体"/>
              </w:rPr>
              <w:t>1、根据用户提供的超融合节点备件，对院内现有2个超融合节点的内存、硬盘等资源进行升级；</w:t>
            </w:r>
          </w:p>
          <w:p w14:paraId="25057498">
            <w:pPr>
              <w:rPr>
                <w:rFonts w:ascii="宋体" w:hAnsi="宋体"/>
              </w:rPr>
            </w:pPr>
            <w:r>
              <w:rPr>
                <w:rFonts w:hint="eastAsia" w:ascii="宋体" w:hAnsi="宋体"/>
              </w:rPr>
              <w:t>2、将资源升级后的2个节点，在线添加到原有的超融合集群中，实现原集群资源、性能、容量的全面提升；</w:t>
            </w:r>
          </w:p>
          <w:p w14:paraId="5D56C25C">
            <w:pPr>
              <w:rPr>
                <w:rFonts w:hint="eastAsia" w:ascii="宋体" w:hAnsi="宋体" w:eastAsia="宋体"/>
                <w:lang w:eastAsia="zh-CN"/>
              </w:rPr>
            </w:pPr>
            <w:r>
              <w:rPr>
                <w:rFonts w:hint="eastAsia" w:ascii="宋体" w:hAnsi="宋体"/>
              </w:rPr>
              <w:t>3、新业务平台调试完成后，将原信息平台的业务数据和应用进行迁移，提供保障服务</w:t>
            </w:r>
            <w:r>
              <w:rPr>
                <w:rFonts w:hint="eastAsia" w:ascii="宋体" w:hAnsi="宋体"/>
                <w:lang w:eastAsia="zh-CN"/>
              </w:rPr>
              <w:t>。</w:t>
            </w:r>
          </w:p>
          <w:p w14:paraId="44838045">
            <w:pPr>
              <w:rPr>
                <w:rFonts w:ascii="宋体" w:hAnsi="宋体"/>
              </w:rPr>
            </w:pPr>
          </w:p>
          <w:p w14:paraId="415123DE">
            <w:pPr>
              <w:pStyle w:val="20"/>
              <w:widowControl w:val="0"/>
              <w:adjustRightInd w:val="0"/>
              <w:snapToGrid w:val="0"/>
              <w:spacing w:before="0" w:beforeAutospacing="0" w:after="0" w:afterAutospacing="0"/>
              <w:jc w:val="both"/>
              <w:rPr>
                <w:b/>
                <w:bCs/>
                <w:kern w:val="2"/>
                <w:sz w:val="21"/>
                <w:szCs w:val="21"/>
              </w:rPr>
            </w:pPr>
            <w:r>
              <w:rPr>
                <w:rFonts w:hint="eastAsia"/>
                <w:b/>
                <w:bCs/>
              </w:rPr>
              <w:t>十二、</w:t>
            </w:r>
            <w:r>
              <w:rPr>
                <w:rFonts w:hint="eastAsia"/>
                <w:b/>
                <w:bCs/>
                <w:kern w:val="2"/>
                <w:sz w:val="21"/>
                <w:szCs w:val="21"/>
              </w:rPr>
              <w:t>产品名称：</w:t>
            </w:r>
            <w:r>
              <w:rPr>
                <w:rFonts w:hint="eastAsia"/>
                <w:b/>
                <w:bCs/>
                <w:color w:val="000000"/>
                <w:sz w:val="21"/>
                <w:szCs w:val="21"/>
                <w:lang w:bidi="ar"/>
              </w:rPr>
              <w:t>超融合节点扩容</w:t>
            </w:r>
          </w:p>
          <w:p w14:paraId="4D261242">
            <w:r>
              <w:rPr>
                <w:rFonts w:hint="eastAsia"/>
              </w:rPr>
              <w:t>数量：2套</w:t>
            </w:r>
          </w:p>
          <w:p w14:paraId="56B92E2A">
            <w:r>
              <w:rPr>
                <w:rFonts w:hint="eastAsia"/>
              </w:rPr>
              <w:t>设备清单：</w:t>
            </w:r>
          </w:p>
          <w:p w14:paraId="50D7519F">
            <w:pPr>
              <w:widowControl/>
              <w:jc w:val="left"/>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1、处理器：配置</w:t>
            </w:r>
            <w:r>
              <w:rPr>
                <w:rFonts w:ascii="等线" w:hAnsi="等线" w:eastAsia="等线" w:cs="等线"/>
                <w:color w:val="000000"/>
                <w:kern w:val="0"/>
                <w:szCs w:val="16"/>
                <w:lang w:bidi="ar"/>
              </w:rPr>
              <w:t>1</w:t>
            </w:r>
            <w:r>
              <w:rPr>
                <w:rFonts w:hint="eastAsia" w:ascii="等线" w:hAnsi="等线" w:eastAsia="等线" w:cs="等线"/>
                <w:color w:val="000000"/>
                <w:kern w:val="0"/>
                <w:szCs w:val="16"/>
                <w:lang w:bidi="ar"/>
              </w:rPr>
              <w:t>颗Intel Xeon Silver 4214R 12C 100W 2.4GHz 处理器。</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2、内存：配置≥51</w:t>
            </w:r>
            <w:r>
              <w:rPr>
                <w:rFonts w:ascii="等线" w:hAnsi="等线" w:eastAsia="等线" w:cs="等线"/>
                <w:color w:val="000000"/>
                <w:kern w:val="0"/>
                <w:szCs w:val="16"/>
                <w:lang w:bidi="ar"/>
              </w:rPr>
              <w:t>2</w:t>
            </w:r>
            <w:r>
              <w:rPr>
                <w:rFonts w:hint="eastAsia" w:ascii="等线" w:hAnsi="等线" w:eastAsia="等线" w:cs="等线"/>
                <w:color w:val="000000"/>
                <w:kern w:val="0"/>
                <w:szCs w:val="16"/>
                <w:lang w:bidi="ar"/>
              </w:rPr>
              <w:t>GB TruDDR4 内存。单</w:t>
            </w:r>
            <w:r>
              <w:rPr>
                <w:rFonts w:ascii="等线" w:hAnsi="等线" w:eastAsia="等线" w:cs="等线"/>
                <w:color w:val="000000"/>
                <w:kern w:val="0"/>
                <w:szCs w:val="16"/>
                <w:lang w:bidi="ar"/>
              </w:rPr>
              <w:t>条</w:t>
            </w:r>
            <w:r>
              <w:rPr>
                <w:rFonts w:hint="eastAsia" w:ascii="等线" w:hAnsi="等线" w:eastAsia="等线" w:cs="等线"/>
                <w:color w:val="000000"/>
                <w:kern w:val="0"/>
                <w:szCs w:val="16"/>
                <w:lang w:bidi="ar"/>
              </w:rPr>
              <w:t>64</w:t>
            </w:r>
            <w:r>
              <w:rPr>
                <w:rFonts w:ascii="等线" w:hAnsi="等线" w:eastAsia="等线" w:cs="等线"/>
                <w:color w:val="000000"/>
                <w:kern w:val="0"/>
                <w:szCs w:val="16"/>
                <w:lang w:bidi="ar"/>
              </w:rPr>
              <w:t>GB。</w:t>
            </w:r>
          </w:p>
          <w:p w14:paraId="46C90D67">
            <w:pPr>
              <w:widowControl/>
              <w:jc w:val="left"/>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3、</w:t>
            </w:r>
            <w:r>
              <w:rPr>
                <w:rFonts w:ascii="等线" w:hAnsi="等线" w:eastAsia="等线" w:cs="等线"/>
                <w:color w:val="000000"/>
                <w:kern w:val="0"/>
                <w:szCs w:val="16"/>
                <w:lang w:bidi="ar"/>
              </w:rPr>
              <w:t>ThinkSystem 430-8i SAS/SATA 12Gb HBA</w:t>
            </w:r>
            <w:r>
              <w:rPr>
                <w:rFonts w:hint="eastAsia" w:ascii="等线" w:hAnsi="等线" w:eastAsia="等线" w:cs="等线"/>
                <w:color w:val="000000"/>
                <w:kern w:val="0"/>
                <w:szCs w:val="16"/>
                <w:lang w:bidi="ar"/>
              </w:rPr>
              <w:t>。</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4、硬盘：配置≥2块1</w:t>
            </w:r>
            <w:r>
              <w:rPr>
                <w:rFonts w:ascii="等线" w:hAnsi="等线" w:eastAsia="等线" w:cs="等线"/>
                <w:color w:val="000000"/>
                <w:kern w:val="0"/>
                <w:szCs w:val="16"/>
                <w:lang w:bidi="ar"/>
              </w:rPr>
              <w:t>.92T</w:t>
            </w:r>
            <w:r>
              <w:rPr>
                <w:rFonts w:hint="eastAsia" w:ascii="等线" w:hAnsi="等线" w:eastAsia="等线" w:cs="等线"/>
                <w:color w:val="000000"/>
                <w:kern w:val="0"/>
                <w:szCs w:val="16"/>
                <w:lang w:bidi="ar"/>
              </w:rPr>
              <w:t>B SDD硬盘，≥4块7</w:t>
            </w:r>
            <w:r>
              <w:rPr>
                <w:rFonts w:ascii="等线" w:hAnsi="等线" w:eastAsia="等线" w:cs="等线"/>
                <w:color w:val="000000"/>
                <w:kern w:val="0"/>
                <w:szCs w:val="16"/>
                <w:lang w:bidi="ar"/>
              </w:rPr>
              <w:t>.2K SATA16TB硬盘。</w:t>
            </w:r>
            <w:r>
              <w:rPr>
                <w:rFonts w:hint="eastAsia" w:ascii="等线" w:hAnsi="等线" w:eastAsia="等线" w:cs="等线"/>
                <w:color w:val="000000"/>
                <w:kern w:val="0"/>
                <w:szCs w:val="16"/>
                <w:lang w:bidi="ar"/>
              </w:rPr>
              <w:t>ThinkSystem  固态硬盘套件。</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5、配置12Gb 8口 SAS HBA卡, 支持JBOD；</w:t>
            </w:r>
          </w:p>
          <w:p w14:paraId="6D0FD0CA">
            <w:pPr>
              <w:widowControl/>
              <w:jc w:val="left"/>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6、万兆网卡：ThinkSystem X710-DA2  双口PCIe 含模块*</w:t>
            </w:r>
            <w:r>
              <w:rPr>
                <w:rFonts w:ascii="等线" w:hAnsi="等线" w:eastAsia="等线" w:cs="等线"/>
                <w:color w:val="000000"/>
                <w:kern w:val="0"/>
                <w:szCs w:val="16"/>
                <w:lang w:bidi="ar"/>
              </w:rPr>
              <w:t xml:space="preserve">2. </w:t>
            </w:r>
            <w:r>
              <w:rPr>
                <w:rFonts w:hint="eastAsia" w:ascii="等线" w:hAnsi="等线" w:eastAsia="等线" w:cs="等线"/>
                <w:color w:val="000000"/>
                <w:kern w:val="0"/>
                <w:szCs w:val="16"/>
                <w:lang w:bidi="ar"/>
              </w:rPr>
              <w:t>扩展插槽3接口。</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7、电源： 1个冗余电源750</w:t>
            </w:r>
            <w:r>
              <w:rPr>
                <w:rFonts w:ascii="等线" w:hAnsi="等线" w:eastAsia="等线" w:cs="等线"/>
                <w:color w:val="000000"/>
                <w:kern w:val="0"/>
                <w:szCs w:val="16"/>
                <w:lang w:bidi="ar"/>
              </w:rPr>
              <w:t>W</w:t>
            </w:r>
            <w:r>
              <w:rPr>
                <w:rFonts w:hint="eastAsia" w:ascii="等线" w:hAnsi="等线" w:eastAsia="等线" w:cs="等线"/>
                <w:color w:val="000000"/>
                <w:kern w:val="0"/>
                <w:szCs w:val="16"/>
                <w:lang w:bidi="ar"/>
              </w:rPr>
              <w:t>，支持240V高压直流。</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8、I/O扩展：最大支持≥6个PCIe 3.0插槽，配置前置USB口用以连接手机管理服务器（可提供移动应用中的与操作面板类似的功能），配置≥2个后置USB 3.0接口。</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9、配置服务器外管理软件，支持≥1000台服务器统一管理，功能要求：</w:t>
            </w:r>
          </w:p>
          <w:p w14:paraId="252261E7">
            <w:pPr>
              <w:widowControl/>
              <w:textAlignment w:val="center"/>
              <w:rPr>
                <w:rFonts w:ascii="等线" w:hAnsi="等线" w:eastAsia="等线" w:cs="等线"/>
                <w:color w:val="000000"/>
                <w:kern w:val="0"/>
                <w:szCs w:val="16"/>
                <w:lang w:bidi="ar"/>
              </w:rPr>
            </w:pPr>
          </w:p>
          <w:p w14:paraId="4E35B016">
            <w:pPr>
              <w:widowControl/>
              <w:textAlignment w:val="center"/>
              <w:rPr>
                <w:rFonts w:ascii="等线" w:hAnsi="等线" w:eastAsia="等线" w:cs="等线"/>
                <w:color w:val="000000"/>
                <w:kern w:val="0"/>
                <w:szCs w:val="16"/>
                <w:lang w:bidi="ar"/>
              </w:rPr>
            </w:pPr>
            <w:r>
              <w:rPr>
                <w:rFonts w:ascii="等线" w:hAnsi="等线" w:eastAsia="等线" w:cs="等线"/>
                <w:color w:val="000000"/>
                <w:kern w:val="0"/>
                <w:szCs w:val="16"/>
                <w:lang w:bidi="ar"/>
              </w:rPr>
              <w:t>软件部分：</w:t>
            </w:r>
          </w:p>
          <w:p w14:paraId="292ABBDA">
            <w:pPr>
              <w:widowControl/>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1、超融合H1000高级版*2套</w:t>
            </w:r>
            <w:r>
              <w:rPr>
                <w:rFonts w:ascii="等线" w:hAnsi="等线" w:eastAsia="等线" w:cs="等线"/>
                <w:color w:val="000000"/>
                <w:kern w:val="0"/>
                <w:szCs w:val="16"/>
                <w:lang w:bidi="ar"/>
              </w:rPr>
              <w:t>。</w:t>
            </w:r>
            <w:r>
              <w:rPr>
                <w:rFonts w:hint="eastAsia" w:ascii="等线" w:hAnsi="等线" w:eastAsia="等线" w:cs="等线"/>
                <w:color w:val="000000"/>
                <w:kern w:val="0"/>
                <w:szCs w:val="16"/>
                <w:lang w:bidi="ar"/>
              </w:rPr>
              <w:t>单节点支持CPU授权数量≥2C，不限制容量许可；超融合产品支持更换服务器硬件无需更换软件，软件授权不锁定硬件，软件授权可转移，提供更高的灵活性和性价比</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2、投标方所提供的软件产品、硬件产品必须为同一品牌，为了保证良好的兼容性，不能采用第三方（OEM/ODM）硬件，要求投标品牌企业具备自主品牌的全系列硬件产品、软件产品以及同一原厂的服务能力；</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3、超融合产品支持1节点、2节点、多节点部署，集群节点数量不受限制，2节点集群无需额外部署仲裁节点，可通过网络交换机实现仲裁机制，保证业务系统持续可用性；</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4、云平台支持统一管理功能，全图形化B/S模式，支持在同一界面对超融合、虚拟化、桌面云产品进行集中管理，无需多个管理界面进行切换，支持对多种CPU架构集群进行集中管理，支持同时纳管多个VMware vCenter集群；</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5、支持项目（租户）管理功能，支持通过项目对资源进行隔离，包括虚拟机、存储等，按项目分配不同权限用户，用户可拥有所属虚拟机资源，用户登录到云平台后仅可以看到所分配的资源；</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6、支持伸缩组功能，可对一组业务虚拟机或有弹性资源需求的虚拟机设置伸缩组，可根据设定的CPU阈值对伸缩组中虚拟机进行动态的增加和减少；</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7、支持通过微信推送告警信息，并可以在管理平台记录发送历史，为后期审计提供依据；</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8、审计日志支持查看平台所有操作日志，包括事件主体（操作者）、管理员IP地址、服务、事件客体（对象）、事件内容描述、事件结果、事件时间、事件风险等级、事件种类。</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9、支持多种身份认证方式，至少支持账户密码、企业微信扫码、OTP、Ukey方式进行登录认证，可进行双因子认证登录设置，保证云平台安全；</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0</w:t>
            </w:r>
            <w:r>
              <w:rPr>
                <w:rFonts w:hint="eastAsia" w:ascii="等线" w:hAnsi="等线" w:eastAsia="等线" w:cs="等线"/>
                <w:color w:val="000000"/>
                <w:kern w:val="0"/>
                <w:szCs w:val="16"/>
                <w:lang w:bidi="ar"/>
              </w:rPr>
              <w:t>、支持虚拟机无代理备份功能，提供至少150个虚拟机的备份功能授权，支持至少80T的备份数据容量的许可</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1</w:t>
            </w:r>
            <w:r>
              <w:rPr>
                <w:rFonts w:hint="eastAsia" w:ascii="等线" w:hAnsi="等线" w:eastAsia="等线" w:cs="等线"/>
                <w:color w:val="000000"/>
                <w:kern w:val="0"/>
                <w:szCs w:val="16"/>
                <w:lang w:bidi="ar"/>
              </w:rPr>
              <w:t>、虚拟机应可以安装独立的操作系统，支持Windows操作系统，包括Windows XP、Windows 7、Windows Server 2003、2008R2、2012R2、2016及以上版本服务器操作系统，支持Linux操作系统，包括Redhat、SUSE、CentOS、Ubuntu、Debian等多个发行版本，支持国产操作系统，包括统信UOS、中标麒麟、银河麒麟等；</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2</w:t>
            </w:r>
            <w:r>
              <w:rPr>
                <w:rFonts w:hint="eastAsia" w:ascii="等线" w:hAnsi="等线" w:eastAsia="等线" w:cs="等线"/>
                <w:color w:val="000000"/>
                <w:kern w:val="0"/>
                <w:szCs w:val="16"/>
                <w:lang w:bidi="ar"/>
              </w:rPr>
              <w:t>、为了保证业务系统连续性运行，支持对虚拟硬件进行动态调整，可调整开机状态虚拟机的CPU、内存、硬盘、网卡资源，可在开机状态删除虚拟机硬盘、网卡资源，无需停机或重启即可实现虚拟资源的调整生效；</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3</w:t>
            </w:r>
            <w:r>
              <w:rPr>
                <w:rFonts w:hint="eastAsia" w:ascii="等线" w:hAnsi="等线" w:eastAsia="等线" w:cs="等线"/>
                <w:color w:val="000000"/>
                <w:kern w:val="0"/>
                <w:szCs w:val="16"/>
                <w:lang w:bidi="ar"/>
              </w:rPr>
              <w:t>、支持对虚拟机vCPU亲和设置，通过手动将vCPU配到到固定物理CPU内核，保证对CPU资源优先使用，支持虚拟机vCPU的限制和配额，可设置低、中、高、自定义配额，保证对计算资源的良好管控；</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4</w:t>
            </w:r>
            <w:r>
              <w:rPr>
                <w:rFonts w:hint="eastAsia" w:ascii="等线" w:hAnsi="等线" w:eastAsia="等线" w:cs="等线"/>
                <w:color w:val="000000"/>
                <w:kern w:val="0"/>
                <w:szCs w:val="16"/>
                <w:lang w:bidi="ar"/>
              </w:rPr>
              <w:t>、虚拟化平台支持虚拟机高可用特性，当集群中出现服务器节点故障或其他原因导致的不可访问，其上运行的虚拟机可以自动在其它正常服务器节点实现启动，保证业务连续性。</w:t>
            </w:r>
          </w:p>
          <w:p w14:paraId="69A23F95">
            <w:pPr>
              <w:widowControl/>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5</w:t>
            </w:r>
            <w:r>
              <w:rPr>
                <w:rFonts w:hint="eastAsia" w:ascii="等线" w:hAnsi="等线" w:eastAsia="等线" w:cs="等线"/>
                <w:color w:val="000000"/>
                <w:kern w:val="0"/>
                <w:szCs w:val="16"/>
                <w:lang w:bidi="ar"/>
              </w:rPr>
              <w:t>、支持USB设备跨主机映射，无需安装客户端插件或代理即可识别USB设备，即使出现虚拟机迁移也可实现USB设备远程跨主机访问</w:t>
            </w:r>
          </w:p>
          <w:p w14:paraId="191EAC40">
            <w:pPr>
              <w:widowControl/>
              <w:textAlignment w:val="center"/>
              <w:rPr>
                <w:rFonts w:ascii="等线" w:hAnsi="等线" w:eastAsia="等线" w:cs="等线"/>
                <w:color w:val="000000"/>
                <w:kern w:val="0"/>
                <w:szCs w:val="16"/>
                <w:lang w:bidi="ar"/>
              </w:rPr>
            </w:pPr>
            <w:r>
              <w:rPr>
                <w:rFonts w:ascii="等线" w:hAnsi="等线" w:eastAsia="等线" w:cs="等线"/>
                <w:color w:val="000000"/>
                <w:kern w:val="0"/>
                <w:szCs w:val="16"/>
                <w:lang w:bidi="ar"/>
              </w:rPr>
              <w:t>16</w:t>
            </w:r>
            <w:r>
              <w:rPr>
                <w:rFonts w:hint="eastAsia" w:ascii="等线" w:hAnsi="等线" w:eastAsia="等线" w:cs="等线"/>
                <w:color w:val="000000"/>
                <w:kern w:val="0"/>
                <w:szCs w:val="16"/>
                <w:lang w:bidi="ar"/>
              </w:rPr>
              <w:t>、支持精细化快照策略设置，可设置按月、周、天、小时为周期运行策略，可设置按保留时间或保留数量的保存策略，可将配置好的快照策略批量到虚拟机；</w:t>
            </w:r>
          </w:p>
          <w:p w14:paraId="56E00453">
            <w:pPr>
              <w:widowControl/>
              <w:textAlignment w:val="center"/>
              <w:rPr>
                <w:rFonts w:ascii="等线" w:hAnsi="等线" w:eastAsia="等线" w:cs="等线"/>
                <w:color w:val="000000"/>
                <w:kern w:val="0"/>
                <w:szCs w:val="16"/>
                <w:lang w:bidi="ar"/>
              </w:rPr>
            </w:pPr>
            <w:r>
              <w:rPr>
                <w:rFonts w:ascii="等线" w:hAnsi="等线" w:eastAsia="等线" w:cs="等线"/>
                <w:color w:val="000000"/>
                <w:kern w:val="0"/>
                <w:szCs w:val="16"/>
                <w:lang w:bidi="ar"/>
              </w:rPr>
              <w:t>17、</w:t>
            </w:r>
            <w:r>
              <w:rPr>
                <w:rFonts w:hint="eastAsia" w:ascii="等线" w:hAnsi="等线" w:eastAsia="等线" w:cs="等线"/>
                <w:color w:val="000000"/>
                <w:kern w:val="0"/>
                <w:szCs w:val="16"/>
                <w:lang w:bidi="ar"/>
              </w:rPr>
              <w:t>系统集成实施服务：现场环境搭建、对7台</w:t>
            </w:r>
            <w:r>
              <w:rPr>
                <w:rFonts w:ascii="等线" w:hAnsi="等线" w:eastAsia="等线" w:cs="等线"/>
                <w:color w:val="000000"/>
                <w:kern w:val="0"/>
                <w:szCs w:val="16"/>
                <w:lang w:bidi="ar"/>
              </w:rPr>
              <w:t>设备进行</w:t>
            </w:r>
            <w:r>
              <w:rPr>
                <w:rFonts w:hint="eastAsia" w:ascii="等线" w:hAnsi="等线" w:eastAsia="等线" w:cs="等线"/>
                <w:color w:val="000000"/>
                <w:kern w:val="0"/>
                <w:szCs w:val="16"/>
                <w:lang w:bidi="ar"/>
              </w:rPr>
              <w:t>配置、调试，实</w:t>
            </w:r>
            <w:r>
              <w:rPr>
                <w:rFonts w:ascii="等线" w:hAnsi="等线" w:eastAsia="等线" w:cs="等线"/>
                <w:color w:val="000000"/>
                <w:kern w:val="0"/>
                <w:szCs w:val="16"/>
                <w:lang w:bidi="ar"/>
              </w:rPr>
              <w:t>现统一管理。</w:t>
            </w:r>
          </w:p>
          <w:p w14:paraId="44A034AD">
            <w:pPr>
              <w:widowControl/>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18、5年原厂服务。</w:t>
            </w:r>
          </w:p>
          <w:p w14:paraId="228011E3">
            <w:pPr>
              <w:numPr>
                <w:ilvl w:val="0"/>
                <w:numId w:val="4"/>
              </w:numPr>
              <w:rPr>
                <w:rFonts w:ascii="等线" w:hAnsi="等线" w:eastAsia="等线" w:cs="等线"/>
                <w:color w:val="000000"/>
                <w:szCs w:val="16"/>
              </w:rPr>
            </w:pPr>
            <w:r>
              <w:rPr>
                <w:rFonts w:ascii="等线" w:hAnsi="等线" w:eastAsia="等线" w:cs="等线"/>
                <w:color w:val="000000"/>
                <w:kern w:val="0"/>
                <w:szCs w:val="16"/>
                <w:lang w:bidi="ar"/>
              </w:rPr>
              <w:t>超融合一体机</w:t>
            </w:r>
            <w:r>
              <w:rPr>
                <w:rFonts w:hint="eastAsia" w:ascii="等线" w:hAnsi="等线" w:eastAsia="等线" w:cs="等线"/>
                <w:color w:val="000000"/>
                <w:kern w:val="0"/>
                <w:szCs w:val="16"/>
                <w:lang w:bidi="ar"/>
              </w:rPr>
              <w:t>升级</w:t>
            </w:r>
            <w:r>
              <w:rPr>
                <w:rFonts w:ascii="等线" w:hAnsi="等线" w:eastAsia="等线" w:cs="等线"/>
                <w:color w:val="000000"/>
                <w:szCs w:val="16"/>
              </w:rPr>
              <w:t>配备施工所需耗材</w:t>
            </w:r>
          </w:p>
          <w:p w14:paraId="02C071FB">
            <w:pPr>
              <w:rPr>
                <w:rFonts w:ascii="等线" w:hAnsi="等线" w:eastAsia="等线" w:cs="等线"/>
                <w:color w:val="000000"/>
                <w:szCs w:val="16"/>
              </w:rPr>
            </w:pPr>
          </w:p>
          <w:p w14:paraId="47638251">
            <w:pPr>
              <w:pStyle w:val="20"/>
              <w:widowControl w:val="0"/>
              <w:adjustRightInd w:val="0"/>
              <w:snapToGrid w:val="0"/>
              <w:spacing w:before="0" w:beforeAutospacing="0" w:after="0" w:afterAutospacing="0"/>
              <w:jc w:val="both"/>
              <w:rPr>
                <w:b/>
                <w:bCs/>
                <w:kern w:val="2"/>
                <w:sz w:val="21"/>
                <w:szCs w:val="21"/>
              </w:rPr>
            </w:pPr>
            <w:r>
              <w:rPr>
                <w:rFonts w:hint="eastAsia" w:ascii="等线" w:hAnsi="等线" w:eastAsia="等线" w:cs="等线"/>
                <w:b/>
                <w:bCs/>
                <w:color w:val="000000"/>
                <w:szCs w:val="16"/>
              </w:rPr>
              <w:t>十三、</w:t>
            </w:r>
            <w:r>
              <w:rPr>
                <w:rFonts w:hint="eastAsia"/>
                <w:b/>
                <w:bCs/>
                <w:kern w:val="2"/>
                <w:sz w:val="21"/>
                <w:szCs w:val="21"/>
              </w:rPr>
              <w:t>产品名称：超融合平台软件</w:t>
            </w:r>
          </w:p>
          <w:p w14:paraId="7426504A">
            <w:r>
              <w:rPr>
                <w:rFonts w:hint="eastAsia"/>
              </w:rPr>
              <w:t>数量：5套</w:t>
            </w:r>
          </w:p>
          <w:p w14:paraId="5EF44223">
            <w:r>
              <w:rPr>
                <w:rFonts w:hint="eastAsia"/>
              </w:rPr>
              <w:t>设备清单：</w:t>
            </w:r>
          </w:p>
          <w:p w14:paraId="7C0E3392">
            <w:pPr>
              <w:rPr>
                <w:rFonts w:ascii="宋体" w:hAnsi="宋体" w:cs="宋体"/>
              </w:rPr>
            </w:pPr>
            <w:r>
              <w:rPr>
                <w:rFonts w:hint="eastAsia" w:ascii="宋体" w:hAnsi="宋体" w:cs="宋体"/>
                <w:b/>
                <w:sz w:val="18"/>
                <w:szCs w:val="18"/>
              </w:rPr>
              <w:t>1、</w:t>
            </w:r>
            <w:r>
              <w:rPr>
                <w:rFonts w:hint="eastAsia" w:ascii="宋体" w:hAnsi="宋体" w:cs="宋体"/>
              </w:rPr>
              <w:t>超融合平台软件，为扩容后的7套超融合平台进行安装以获得技术支持。</w:t>
            </w:r>
          </w:p>
          <w:p w14:paraId="1A63E521">
            <w:pPr>
              <w:rPr>
                <w:rFonts w:ascii="宋体" w:hAnsi="宋体" w:cs="宋体"/>
              </w:rPr>
            </w:pPr>
            <w:r>
              <w:rPr>
                <w:rFonts w:hint="eastAsia" w:ascii="宋体" w:hAnsi="宋体" w:cs="宋体"/>
              </w:rPr>
              <w:t>2、7*24小时的电话及远程技术问题支持。</w:t>
            </w:r>
          </w:p>
          <w:p w14:paraId="4AEBDE84">
            <w:pPr>
              <w:rPr>
                <w:rFonts w:ascii="宋体" w:hAnsi="宋体" w:cs="宋体"/>
              </w:rPr>
            </w:pPr>
            <w:r>
              <w:rPr>
                <w:rFonts w:hint="eastAsia" w:ascii="宋体" w:hAnsi="宋体" w:cs="宋体"/>
              </w:rPr>
              <w:t>3、5年原厂技术服务。</w:t>
            </w:r>
          </w:p>
          <w:p w14:paraId="00AA638B">
            <w:pPr>
              <w:rPr>
                <w:rFonts w:ascii="宋体" w:hAnsi="宋体" w:cs="宋体"/>
              </w:rPr>
            </w:pPr>
            <w:r>
              <w:rPr>
                <w:rFonts w:hint="eastAsia" w:ascii="宋体" w:hAnsi="宋体" w:cs="宋体"/>
                <w:b/>
                <w:sz w:val="18"/>
                <w:szCs w:val="18"/>
              </w:rPr>
              <w:t>4、</w:t>
            </w:r>
            <w:r>
              <w:rPr>
                <w:rFonts w:hint="eastAsia" w:ascii="宋体" w:hAnsi="宋体" w:cs="宋体"/>
              </w:rPr>
              <w:t>服务范围，</w:t>
            </w:r>
            <w:r>
              <w:rPr>
                <w:rFonts w:ascii="宋体" w:hAnsi="宋体" w:cs="宋体"/>
              </w:rPr>
              <w:t>云计算产品、解决方案使用咨询。使用AIO</w:t>
            </w:r>
            <w:r>
              <w:rPr>
                <w:rFonts w:hint="eastAsia" w:ascii="宋体" w:hAnsi="宋体" w:cs="宋体"/>
              </w:rPr>
              <w:t>超融合的</w:t>
            </w:r>
            <w:r>
              <w:rPr>
                <w:rFonts w:ascii="宋体" w:hAnsi="宋体" w:cs="宋体"/>
              </w:rPr>
              <w:t>云计算产品、解决方案过程中的最佳实践指导文档。使用</w:t>
            </w:r>
            <w:r>
              <w:rPr>
                <w:rFonts w:hint="eastAsia" w:ascii="宋体" w:hAnsi="宋体" w:cs="宋体"/>
              </w:rPr>
              <w:t>超融合的</w:t>
            </w:r>
            <w:r>
              <w:rPr>
                <w:rFonts w:ascii="宋体" w:hAnsi="宋体" w:cs="宋体"/>
              </w:rPr>
              <w:t>云计算过程中的产品本身问题定位和故障排除协助。售后收到系统出现技术故障的运维与售后需求时，将立即做出实质性响应，联系客户相关人员核实故障情况，收集故障信息，以最快 的速度分析故障原因，确定故障点，再根据故障类型和客户的需求， 进行故障排除，保证在尽可能短的时间内解决技术故障</w:t>
            </w:r>
            <w:r>
              <w:rPr>
                <w:rFonts w:hint="eastAsia" w:ascii="宋体" w:hAnsi="宋体" w:cs="宋体"/>
              </w:rPr>
              <w:t>。</w:t>
            </w:r>
            <w:r>
              <w:rPr>
                <w:rFonts w:ascii="宋体" w:hAnsi="宋体" w:cs="宋体"/>
              </w:rPr>
              <w:t>通过远程接入的方式为客户提供季度健康检查服务，体检范围包括超 融合存储、虚机、虚拟主机等。主要是为了帮助客户了解系统运行状态，发现和消除问题隐患，提出针对性地使用建议，以确保系统健康运行</w:t>
            </w:r>
            <w:r>
              <w:rPr>
                <w:rFonts w:hint="eastAsia" w:ascii="宋体" w:hAnsi="宋体" w:cs="宋体"/>
              </w:rPr>
              <w:t>。</w:t>
            </w:r>
            <w:r>
              <w:rPr>
                <w:rFonts w:ascii="宋体" w:hAnsi="宋体" w:cs="宋体"/>
              </w:rPr>
              <w:t>在服务期内，如有新版本发布并且客户方需要升级的，公司应提供升级后的完整产品包，协助客户进行相关的小版本升级操作。产品升级前，客户有责任做好相应的数据备份； 若升级涉及数据迁移，所需的方案和服务，双方另行协商。</w:t>
            </w:r>
          </w:p>
          <w:p w14:paraId="3D272206"/>
        </w:tc>
        <w:tc>
          <w:tcPr>
            <w:tcW w:w="810" w:type="dxa"/>
            <w:vMerge w:val="continue"/>
          </w:tcPr>
          <w:p w14:paraId="2F1FBE06">
            <w:pPr>
              <w:jc w:val="center"/>
            </w:pPr>
          </w:p>
        </w:tc>
        <w:tc>
          <w:tcPr>
            <w:tcW w:w="1020" w:type="dxa"/>
            <w:vMerge w:val="continue"/>
          </w:tcPr>
          <w:p w14:paraId="2C0CE5BE">
            <w:pPr>
              <w:jc w:val="center"/>
            </w:pPr>
          </w:p>
        </w:tc>
      </w:tr>
    </w:tbl>
    <w:p w14:paraId="067D63CC">
      <w:pPr>
        <w:tabs>
          <w:tab w:val="left" w:pos="720"/>
        </w:tabs>
        <w:jc w:val="both"/>
        <w:outlineLvl w:val="9"/>
        <w:rPr>
          <w:rFonts w:hint="eastAsia" w:ascii="宋体" w:hAnsi="宋体" w:eastAsia="宋体" w:cs="宋体"/>
          <w:sz w:val="21"/>
          <w:szCs w:val="21"/>
          <w:highlight w:val="none"/>
          <w:lang w:val="en-US" w:eastAsia="zh-CN"/>
        </w:rPr>
      </w:pPr>
    </w:p>
    <w:p w14:paraId="39064AD2">
      <w:pPr>
        <w:tabs>
          <w:tab w:val="left" w:pos="720"/>
        </w:tabs>
        <w:jc w:val="both"/>
        <w:outlineLvl w:val="9"/>
        <w:rPr>
          <w:rFonts w:hint="eastAsia" w:ascii="宋体" w:hAnsi="宋体" w:eastAsia="宋体" w:cs="宋体"/>
          <w:b w:val="0"/>
          <w:bCs w:val="0"/>
          <w:sz w:val="21"/>
          <w:szCs w:val="16"/>
          <w:highlight w:val="none"/>
          <w:lang w:val="zh-CN"/>
        </w:rPr>
      </w:pPr>
      <w:r>
        <w:rPr>
          <w:rFonts w:hint="eastAsia" w:ascii="宋体" w:hAnsi="宋体" w:eastAsia="宋体" w:cs="宋体"/>
          <w:sz w:val="21"/>
          <w:szCs w:val="21"/>
          <w:highlight w:val="none"/>
          <w:lang w:val="zh-CN" w:eastAsia="zh-CN"/>
        </w:rPr>
        <w:br w:type="page"/>
      </w:r>
    </w:p>
    <w:p w14:paraId="3844A34E">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8" w:name="_Toc7032"/>
      <w:bookmarkStart w:id="39" w:name="_Toc24506"/>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35"/>
      <w:bookmarkEnd w:id="36"/>
      <w:bookmarkEnd w:id="37"/>
      <w:bookmarkEnd w:id="38"/>
      <w:bookmarkEnd w:id="39"/>
    </w:p>
    <w:p w14:paraId="55CE8B42">
      <w:pPr>
        <w:autoSpaceDE w:val="0"/>
        <w:autoSpaceDN w:val="0"/>
        <w:adjustRightInd w:val="0"/>
        <w:spacing w:line="600" w:lineRule="exact"/>
        <w:jc w:val="left"/>
        <w:rPr>
          <w:rFonts w:hint="eastAsia" w:ascii="宋体" w:hAnsi="宋体" w:eastAsia="宋体" w:cs="宋体"/>
          <w:b w:val="0"/>
          <w:szCs w:val="18"/>
          <w:highlight w:val="none"/>
          <w:lang w:val="zh-CN"/>
        </w:rPr>
      </w:pPr>
    </w:p>
    <w:p w14:paraId="7D2C302C">
      <w:pPr>
        <w:spacing w:line="360" w:lineRule="auto"/>
        <w:jc w:val="center"/>
        <w:outlineLvl w:val="9"/>
        <w:rPr>
          <w:rFonts w:hint="eastAsia" w:ascii="宋体" w:hAnsi="宋体" w:eastAsia="宋体" w:cs="宋体"/>
          <w:b w:val="0"/>
          <w:sz w:val="32"/>
          <w:szCs w:val="32"/>
          <w:highlight w:val="none"/>
          <w:u w:val="single"/>
        </w:rPr>
      </w:pPr>
    </w:p>
    <w:p w14:paraId="352A55DC">
      <w:pPr>
        <w:spacing w:line="360" w:lineRule="auto"/>
        <w:jc w:val="center"/>
        <w:outlineLvl w:val="9"/>
        <w:rPr>
          <w:rFonts w:hint="eastAsia" w:ascii="宋体" w:hAnsi="宋体" w:eastAsia="宋体" w:cs="宋体"/>
          <w:b w:val="0"/>
          <w:sz w:val="32"/>
          <w:szCs w:val="32"/>
          <w:highlight w:val="none"/>
          <w:u w:val="single"/>
        </w:rPr>
      </w:pPr>
      <w:bookmarkStart w:id="40" w:name="_Toc28544"/>
      <w:r>
        <w:rPr>
          <w:rFonts w:hint="eastAsia" w:ascii="宋体" w:hAnsi="宋体" w:eastAsia="宋体" w:cs="宋体"/>
          <w:b w:val="0"/>
          <w:sz w:val="32"/>
          <w:szCs w:val="32"/>
          <w:highlight w:val="none"/>
          <w:u w:val="single"/>
        </w:rPr>
        <w:t>（项目名称）</w:t>
      </w:r>
      <w:bookmarkEnd w:id="40"/>
    </w:p>
    <w:p w14:paraId="699E56E1">
      <w:pPr>
        <w:spacing w:line="360" w:lineRule="auto"/>
        <w:jc w:val="center"/>
        <w:outlineLvl w:val="9"/>
        <w:rPr>
          <w:rFonts w:hint="eastAsia" w:ascii="宋体" w:hAnsi="宋体" w:eastAsia="宋体" w:cs="宋体"/>
          <w:b w:val="0"/>
          <w:szCs w:val="21"/>
          <w:highlight w:val="none"/>
        </w:rPr>
      </w:pPr>
    </w:p>
    <w:p w14:paraId="4CC7AF86">
      <w:pPr>
        <w:spacing w:line="360" w:lineRule="auto"/>
        <w:jc w:val="center"/>
        <w:outlineLvl w:val="9"/>
        <w:rPr>
          <w:rFonts w:hint="eastAsia" w:ascii="宋体" w:hAnsi="宋体" w:eastAsia="宋体" w:cs="宋体"/>
          <w:b w:val="0"/>
          <w:sz w:val="72"/>
          <w:szCs w:val="72"/>
          <w:highlight w:val="none"/>
        </w:rPr>
      </w:pPr>
    </w:p>
    <w:p w14:paraId="1DC6BC30">
      <w:pPr>
        <w:spacing w:line="360" w:lineRule="auto"/>
        <w:jc w:val="center"/>
        <w:outlineLvl w:val="9"/>
        <w:rPr>
          <w:rFonts w:hint="eastAsia" w:ascii="宋体" w:hAnsi="宋体" w:eastAsia="宋体" w:cs="宋体"/>
          <w:b w:val="0"/>
          <w:sz w:val="72"/>
          <w:szCs w:val="72"/>
          <w:highlight w:val="none"/>
        </w:rPr>
      </w:pPr>
    </w:p>
    <w:p w14:paraId="4C9C65F2">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427805D9">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5BA7B740">
      <w:pPr>
        <w:spacing w:line="360" w:lineRule="auto"/>
        <w:jc w:val="center"/>
        <w:outlineLvl w:val="9"/>
        <w:rPr>
          <w:rFonts w:hint="eastAsia" w:ascii="宋体" w:hAnsi="宋体" w:eastAsia="宋体" w:cs="宋体"/>
          <w:b w:val="0"/>
          <w:szCs w:val="21"/>
          <w:highlight w:val="none"/>
        </w:rPr>
      </w:pPr>
    </w:p>
    <w:p w14:paraId="528814FE">
      <w:pPr>
        <w:spacing w:line="360" w:lineRule="auto"/>
        <w:jc w:val="center"/>
        <w:outlineLvl w:val="9"/>
        <w:rPr>
          <w:rFonts w:hint="eastAsia" w:ascii="宋体" w:hAnsi="宋体" w:eastAsia="宋体" w:cs="宋体"/>
          <w:b w:val="0"/>
          <w:szCs w:val="21"/>
          <w:highlight w:val="none"/>
        </w:rPr>
      </w:pPr>
    </w:p>
    <w:p w14:paraId="6FE4ED4A">
      <w:pPr>
        <w:spacing w:line="360" w:lineRule="auto"/>
        <w:jc w:val="center"/>
        <w:outlineLvl w:val="9"/>
        <w:rPr>
          <w:rFonts w:hint="eastAsia" w:ascii="宋体" w:hAnsi="宋体" w:eastAsia="宋体" w:cs="宋体"/>
          <w:b w:val="0"/>
          <w:szCs w:val="21"/>
          <w:highlight w:val="none"/>
        </w:rPr>
      </w:pPr>
    </w:p>
    <w:p w14:paraId="41DC8295">
      <w:pPr>
        <w:spacing w:line="360" w:lineRule="auto"/>
        <w:jc w:val="center"/>
        <w:outlineLvl w:val="9"/>
        <w:rPr>
          <w:rFonts w:hint="eastAsia" w:ascii="宋体" w:hAnsi="宋体" w:eastAsia="宋体" w:cs="宋体"/>
          <w:b w:val="0"/>
          <w:szCs w:val="21"/>
          <w:highlight w:val="none"/>
        </w:rPr>
      </w:pPr>
    </w:p>
    <w:p w14:paraId="3DE23CF8">
      <w:pPr>
        <w:spacing w:line="360" w:lineRule="auto"/>
        <w:jc w:val="center"/>
        <w:outlineLvl w:val="9"/>
        <w:rPr>
          <w:rFonts w:hint="eastAsia" w:ascii="宋体" w:hAnsi="宋体" w:eastAsia="宋体" w:cs="宋体"/>
          <w:b w:val="0"/>
          <w:szCs w:val="21"/>
          <w:highlight w:val="none"/>
        </w:rPr>
      </w:pPr>
    </w:p>
    <w:p w14:paraId="60CF09DC">
      <w:pPr>
        <w:spacing w:line="360" w:lineRule="auto"/>
        <w:jc w:val="center"/>
        <w:outlineLvl w:val="9"/>
        <w:rPr>
          <w:rFonts w:hint="eastAsia" w:ascii="宋体" w:hAnsi="宋体" w:eastAsia="宋体" w:cs="宋体"/>
          <w:b w:val="0"/>
          <w:szCs w:val="21"/>
          <w:highlight w:val="none"/>
        </w:rPr>
      </w:pPr>
    </w:p>
    <w:p w14:paraId="7EA943DE">
      <w:pPr>
        <w:spacing w:line="360" w:lineRule="auto"/>
        <w:jc w:val="center"/>
        <w:outlineLvl w:val="9"/>
        <w:rPr>
          <w:rFonts w:hint="eastAsia" w:ascii="宋体" w:hAnsi="宋体" w:eastAsia="宋体" w:cs="宋体"/>
          <w:b w:val="0"/>
          <w:sz w:val="28"/>
          <w:szCs w:val="28"/>
          <w:highlight w:val="none"/>
        </w:rPr>
      </w:pPr>
      <w:bookmarkStart w:id="41"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41"/>
    </w:p>
    <w:p w14:paraId="6F36524C">
      <w:pPr>
        <w:spacing w:line="360" w:lineRule="auto"/>
        <w:jc w:val="center"/>
        <w:outlineLvl w:val="9"/>
        <w:rPr>
          <w:rFonts w:hint="eastAsia" w:ascii="宋体" w:hAnsi="宋体" w:eastAsia="宋体" w:cs="宋体"/>
          <w:b w:val="0"/>
          <w:sz w:val="28"/>
          <w:szCs w:val="28"/>
          <w:highlight w:val="none"/>
        </w:rPr>
      </w:pPr>
    </w:p>
    <w:p w14:paraId="7B60517F">
      <w:pPr>
        <w:spacing w:line="360" w:lineRule="auto"/>
        <w:jc w:val="center"/>
        <w:outlineLvl w:val="9"/>
        <w:rPr>
          <w:rFonts w:hint="eastAsia" w:ascii="宋体" w:hAnsi="宋体" w:eastAsia="宋体" w:cs="宋体"/>
          <w:b w:val="0"/>
          <w:sz w:val="28"/>
          <w:szCs w:val="28"/>
          <w:highlight w:val="none"/>
        </w:rPr>
      </w:pPr>
      <w:bookmarkStart w:id="42"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42"/>
    </w:p>
    <w:p w14:paraId="4F143FD5">
      <w:pPr>
        <w:spacing w:line="360" w:lineRule="auto"/>
        <w:jc w:val="center"/>
        <w:outlineLvl w:val="9"/>
        <w:rPr>
          <w:rFonts w:hint="eastAsia" w:ascii="宋体" w:hAnsi="宋体" w:eastAsia="宋体" w:cs="宋体"/>
          <w:b w:val="0"/>
          <w:szCs w:val="21"/>
          <w:highlight w:val="none"/>
          <w:u w:val="single"/>
        </w:rPr>
      </w:pPr>
    </w:p>
    <w:p w14:paraId="761783CC">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43"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43"/>
    </w:p>
    <w:p w14:paraId="67A5A15F">
      <w:pPr>
        <w:tabs>
          <w:tab w:val="left" w:pos="720"/>
        </w:tabs>
        <w:ind w:left="0" w:firstLine="0"/>
        <w:jc w:val="center"/>
        <w:outlineLvl w:val="9"/>
        <w:rPr>
          <w:rFonts w:hint="eastAsia" w:ascii="宋体" w:hAnsi="宋体" w:eastAsia="宋体" w:cs="宋体"/>
          <w:sz w:val="44"/>
          <w:szCs w:val="44"/>
          <w:highlight w:val="none"/>
        </w:rPr>
      </w:pPr>
      <w:bookmarkStart w:id="44" w:name="_Toc382396569"/>
      <w:bookmarkStart w:id="45" w:name="_Toc184635137"/>
      <w:r>
        <w:rPr>
          <w:rFonts w:hint="eastAsia" w:ascii="宋体" w:hAnsi="宋体" w:eastAsia="宋体" w:cs="宋体"/>
          <w:sz w:val="44"/>
          <w:szCs w:val="44"/>
          <w:highlight w:val="none"/>
        </w:rPr>
        <w:t>目    录</w:t>
      </w:r>
      <w:bookmarkEnd w:id="44"/>
      <w:bookmarkEnd w:id="45"/>
    </w:p>
    <w:p w14:paraId="7A6E69DE">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52BFD5F5">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43097050">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6EBA23D0">
      <w:pPr>
        <w:pStyle w:val="11"/>
        <w:outlineLvl w:val="9"/>
        <w:rPr>
          <w:rFonts w:hint="eastAsia" w:ascii="宋体" w:hAnsi="宋体" w:eastAsia="宋体" w:cs="宋体"/>
          <w:b w:val="0"/>
          <w:sz w:val="24"/>
          <w:szCs w:val="24"/>
          <w:highlight w:val="none"/>
          <w:lang w:val="en-US" w:eastAsia="zh-CN"/>
        </w:rPr>
      </w:pPr>
    </w:p>
    <w:p w14:paraId="5524331A">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285B5CF">
      <w:pPr>
        <w:jc w:val="center"/>
        <w:outlineLvl w:val="9"/>
        <w:rPr>
          <w:rFonts w:hint="eastAsia" w:ascii="宋体" w:hAnsi="宋体" w:eastAsia="宋体" w:cs="宋体"/>
          <w:b/>
          <w:kern w:val="0"/>
          <w:sz w:val="32"/>
          <w:szCs w:val="20"/>
          <w:highlight w:val="none"/>
          <w:lang w:val="en-US" w:eastAsia="zh-CN" w:bidi="ar-SA"/>
        </w:rPr>
      </w:pPr>
      <w:bookmarkStart w:id="46" w:name="_Toc31889"/>
      <w:bookmarkStart w:id="47" w:name="_Toc382396570"/>
      <w:bookmarkStart w:id="48" w:name="_Toc184635138"/>
      <w:r>
        <w:rPr>
          <w:rFonts w:hint="eastAsia" w:ascii="宋体" w:hAnsi="宋体" w:eastAsia="宋体" w:cs="宋体"/>
          <w:b/>
          <w:kern w:val="0"/>
          <w:sz w:val="32"/>
          <w:szCs w:val="20"/>
          <w:highlight w:val="none"/>
          <w:lang w:val="en-US" w:eastAsia="zh-CN" w:bidi="ar-SA"/>
        </w:rPr>
        <w:t>一、投标函及投标函附录</w:t>
      </w:r>
      <w:bookmarkEnd w:id="46"/>
      <w:bookmarkEnd w:id="47"/>
      <w:bookmarkEnd w:id="48"/>
    </w:p>
    <w:p w14:paraId="54E8FE9A">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606FE66A">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698F94B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2BD301F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02F3429E">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49" w:name="OLE_LINK5"/>
      <w:r>
        <w:rPr>
          <w:rFonts w:hint="eastAsia" w:ascii="宋体" w:hAnsi="宋体" w:cs="宋体"/>
          <w:szCs w:val="21"/>
          <w:highlight w:val="none"/>
          <w:u w:val="none"/>
          <w:lang w:val="en-US" w:eastAsia="zh-CN"/>
        </w:rPr>
        <w:t xml:space="preserve"> </w:t>
      </w:r>
      <w:r>
        <w:rPr>
          <w:rFonts w:hint="eastAsia" w:ascii="宋体" w:hAnsi="宋体" w:cs="宋体"/>
          <w:szCs w:val="21"/>
          <w:highlight w:val="none"/>
          <w:u w:val="single"/>
          <w:lang w:val="en-US" w:eastAsia="zh-CN"/>
        </w:rPr>
        <w:t xml:space="preserve">           元 </w:t>
      </w:r>
      <w:r>
        <w:rPr>
          <w:rFonts w:hint="eastAsia" w:ascii="宋体" w:hAnsi="宋体" w:cs="宋体"/>
          <w:szCs w:val="21"/>
          <w:highlight w:val="none"/>
          <w:u w:val="single"/>
          <w:lang w:val="zh-CN"/>
        </w:rPr>
        <w:t xml:space="preserve"> </w:t>
      </w:r>
      <w:bookmarkEnd w:id="49"/>
      <w:r>
        <w:rPr>
          <w:rFonts w:hint="eastAsia" w:ascii="宋体" w:hAnsi="宋体" w:cs="宋体"/>
          <w:szCs w:val="21"/>
          <w:highlight w:val="none"/>
          <w:lang w:val="zh-CN"/>
        </w:rPr>
        <w:t>。</w:t>
      </w:r>
    </w:p>
    <w:p w14:paraId="633E959B">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0D04CD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157CA1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EACFB1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7E75062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673BE93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04968F2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0F28220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79695E48">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10D52F7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312A54D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5B8C0D1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5E1420FF">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3DF63FE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D11A42F">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0A87AB0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061B82C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4D3FA2F8">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1F8DA6B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5EE399AE">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5F5AE7B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009594E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450B9E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427E0CCC">
      <w:pPr>
        <w:autoSpaceDE w:val="0"/>
        <w:autoSpaceDN w:val="0"/>
        <w:adjustRightInd w:val="0"/>
        <w:spacing w:line="360" w:lineRule="auto"/>
        <w:ind w:firstLine="480"/>
        <w:rPr>
          <w:rFonts w:hint="eastAsia" w:ascii="宋体" w:hAnsi="宋体" w:cs="宋体"/>
          <w:szCs w:val="21"/>
          <w:highlight w:val="none"/>
          <w:lang w:val="zh-CN"/>
        </w:rPr>
      </w:pPr>
    </w:p>
    <w:p w14:paraId="11E1B09F">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27D86CC8">
      <w:pPr>
        <w:wordWrap w:val="0"/>
        <w:spacing w:line="360" w:lineRule="auto"/>
        <w:ind w:right="420" w:firstLine="3498" w:firstLineChars="1666"/>
        <w:jc w:val="right"/>
        <w:rPr>
          <w:rFonts w:hint="eastAsia" w:ascii="宋体" w:hAnsi="宋体" w:eastAsia="宋体" w:cs="宋体"/>
          <w:b w:val="0"/>
          <w:sz w:val="21"/>
          <w:szCs w:val="21"/>
          <w:highlight w:val="none"/>
        </w:rPr>
      </w:pPr>
    </w:p>
    <w:p w14:paraId="6B1EC4B2">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7F9A2716">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4034B0AC">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D86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2F01B40D">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5727B1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6000443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C7D6F98">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4C75F63A">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2EC8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B00860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9F3F409">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5A2B8035">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5D6277E">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6F5C3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9A96BD1">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693DCE9">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6AFE3764">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87CF417">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58DCA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9BA5B0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352070D">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ACB386C">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56AE948">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0EA76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0AB5D6A">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4</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EA7399E">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质保期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E432B43">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EFDA797">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31A07788">
      <w:pPr>
        <w:autoSpaceDE w:val="0"/>
        <w:autoSpaceDN w:val="0"/>
        <w:adjustRightInd w:val="0"/>
        <w:spacing w:line="400" w:lineRule="exact"/>
        <w:jc w:val="left"/>
        <w:rPr>
          <w:rFonts w:hint="eastAsia" w:ascii="宋体" w:hAnsi="宋体" w:eastAsia="宋体" w:cs="宋体"/>
          <w:b w:val="0"/>
          <w:szCs w:val="18"/>
          <w:highlight w:val="none"/>
        </w:rPr>
      </w:pPr>
    </w:p>
    <w:p w14:paraId="208DA380">
      <w:pPr>
        <w:ind w:left="2663" w:leftChars="1268" w:firstLine="2171" w:firstLineChars="1034"/>
        <w:jc w:val="left"/>
        <w:rPr>
          <w:rFonts w:hint="eastAsia" w:ascii="宋体" w:hAnsi="宋体" w:eastAsia="宋体" w:cs="宋体"/>
          <w:b w:val="0"/>
          <w:sz w:val="21"/>
          <w:szCs w:val="21"/>
          <w:highlight w:val="none"/>
        </w:rPr>
      </w:pPr>
      <w:bookmarkStart w:id="50" w:name="_Toc382396571"/>
      <w:bookmarkStart w:id="51" w:name="_Toc184635139"/>
      <w:bookmarkStart w:id="52" w:name="_Toc4402"/>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53F798C7">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33B0AD9F">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4163D63">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089F6DD5">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E61482E">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bookmarkStart w:id="72" w:name="_GoBack"/>
      <w:bookmarkEnd w:id="72"/>
    </w:p>
    <w:p w14:paraId="68C24DAB">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21EF1E9B">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50"/>
      <w:bookmarkEnd w:id="51"/>
      <w:bookmarkEnd w:id="52"/>
    </w:p>
    <w:p w14:paraId="5D223ACD">
      <w:pPr>
        <w:spacing w:line="360" w:lineRule="auto"/>
        <w:ind w:firstLine="480" w:firstLineChars="200"/>
        <w:rPr>
          <w:rFonts w:hint="eastAsia" w:ascii="宋体" w:hAnsi="宋体" w:eastAsia="宋体" w:cs="宋体"/>
          <w:b w:val="0"/>
          <w:sz w:val="24"/>
          <w:szCs w:val="24"/>
          <w:highlight w:val="none"/>
        </w:rPr>
      </w:pPr>
    </w:p>
    <w:p w14:paraId="7377913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14290FE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DC754F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0A113EA8">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4319197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A8AE25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1EA06AF2">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1A1D4A4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44B59B15">
      <w:pPr>
        <w:spacing w:line="360" w:lineRule="auto"/>
        <w:ind w:firstLine="420" w:firstLineChars="200"/>
        <w:jc w:val="both"/>
        <w:rPr>
          <w:rFonts w:hint="eastAsia" w:ascii="宋体" w:hAnsi="宋体" w:eastAsia="宋体" w:cs="宋体"/>
          <w:b w:val="0"/>
          <w:sz w:val="21"/>
          <w:szCs w:val="21"/>
          <w:highlight w:val="none"/>
        </w:rPr>
      </w:pPr>
    </w:p>
    <w:p w14:paraId="76A556EA">
      <w:pPr>
        <w:spacing w:line="360" w:lineRule="auto"/>
        <w:ind w:firstLine="420" w:firstLineChars="200"/>
        <w:jc w:val="both"/>
        <w:rPr>
          <w:rFonts w:hint="eastAsia" w:ascii="宋体" w:hAnsi="宋体" w:eastAsia="宋体" w:cs="宋体"/>
          <w:b w:val="0"/>
          <w:sz w:val="21"/>
          <w:szCs w:val="21"/>
          <w:highlight w:val="none"/>
        </w:rPr>
      </w:pPr>
    </w:p>
    <w:p w14:paraId="05F37E2D">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5A062ADB">
      <w:pPr>
        <w:spacing w:line="360" w:lineRule="auto"/>
        <w:ind w:firstLine="4515" w:firstLineChars="2150"/>
        <w:jc w:val="both"/>
        <w:rPr>
          <w:rFonts w:hint="eastAsia" w:ascii="宋体" w:hAnsi="宋体" w:eastAsia="宋体" w:cs="宋体"/>
          <w:b w:val="0"/>
          <w:sz w:val="21"/>
          <w:szCs w:val="21"/>
          <w:highlight w:val="none"/>
          <w:u w:val="single"/>
        </w:rPr>
      </w:pPr>
    </w:p>
    <w:p w14:paraId="0C8BF487">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66BFAAB">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D525C88">
      <w:pPr>
        <w:tabs>
          <w:tab w:val="left" w:pos="720"/>
        </w:tabs>
        <w:jc w:val="center"/>
        <w:outlineLvl w:val="9"/>
        <w:rPr>
          <w:rFonts w:hint="eastAsia" w:ascii="宋体" w:hAnsi="宋体" w:eastAsia="宋体" w:cs="宋体"/>
          <w:b/>
          <w:bCs/>
          <w:sz w:val="32"/>
          <w:szCs w:val="36"/>
          <w:highlight w:val="none"/>
        </w:rPr>
      </w:pPr>
      <w:bookmarkStart w:id="53" w:name="_Toc8835"/>
      <w:bookmarkStart w:id="54" w:name="_Toc184635140"/>
      <w:bookmarkStart w:id="55" w:name="_Toc382396572"/>
      <w:r>
        <w:rPr>
          <w:rFonts w:hint="eastAsia" w:ascii="宋体" w:hAnsi="宋体" w:eastAsia="宋体" w:cs="宋体"/>
          <w:b/>
          <w:bCs/>
          <w:sz w:val="32"/>
          <w:szCs w:val="36"/>
          <w:highlight w:val="none"/>
        </w:rPr>
        <w:t>三、授权委托书</w:t>
      </w:r>
      <w:bookmarkEnd w:id="53"/>
      <w:bookmarkEnd w:id="54"/>
      <w:bookmarkEnd w:id="55"/>
    </w:p>
    <w:p w14:paraId="19DFCF4C">
      <w:pPr>
        <w:spacing w:line="360" w:lineRule="auto"/>
        <w:ind w:firstLine="420" w:firstLineChars="200"/>
        <w:rPr>
          <w:rFonts w:hint="eastAsia" w:ascii="宋体" w:hAnsi="宋体" w:eastAsia="宋体" w:cs="宋体"/>
          <w:b w:val="0"/>
          <w:szCs w:val="21"/>
          <w:highlight w:val="none"/>
        </w:rPr>
      </w:pPr>
    </w:p>
    <w:p w14:paraId="65C64EE0">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、签订合同和处理有关事宜，其法律后果由我方承担。</w:t>
      </w:r>
    </w:p>
    <w:p w14:paraId="12DE0469">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0A60F7C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1E3676F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043F768D">
      <w:pPr>
        <w:spacing w:line="360" w:lineRule="auto"/>
        <w:ind w:firstLine="420" w:firstLineChars="200"/>
        <w:jc w:val="both"/>
        <w:rPr>
          <w:rFonts w:hint="eastAsia" w:ascii="宋体" w:hAnsi="宋体" w:eastAsia="宋体" w:cs="宋体"/>
          <w:b w:val="0"/>
          <w:sz w:val="21"/>
          <w:szCs w:val="21"/>
          <w:highlight w:val="none"/>
        </w:rPr>
      </w:pPr>
    </w:p>
    <w:p w14:paraId="596B56C2">
      <w:pPr>
        <w:spacing w:line="360" w:lineRule="auto"/>
        <w:ind w:firstLine="420" w:firstLineChars="200"/>
        <w:jc w:val="both"/>
        <w:rPr>
          <w:rFonts w:hint="eastAsia" w:ascii="宋体" w:hAnsi="宋体" w:eastAsia="宋体" w:cs="宋体"/>
          <w:b w:val="0"/>
          <w:sz w:val="21"/>
          <w:szCs w:val="21"/>
          <w:highlight w:val="none"/>
        </w:rPr>
      </w:pPr>
    </w:p>
    <w:p w14:paraId="2AB57EB0">
      <w:pPr>
        <w:spacing w:line="360" w:lineRule="auto"/>
        <w:ind w:firstLine="420" w:firstLineChars="200"/>
        <w:jc w:val="both"/>
        <w:rPr>
          <w:rFonts w:hint="eastAsia" w:ascii="宋体" w:hAnsi="宋体" w:eastAsia="宋体" w:cs="宋体"/>
          <w:b w:val="0"/>
          <w:sz w:val="21"/>
          <w:szCs w:val="21"/>
          <w:highlight w:val="none"/>
        </w:rPr>
      </w:pPr>
    </w:p>
    <w:p w14:paraId="1877EE41">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6EA47F58">
      <w:pPr>
        <w:spacing w:line="360" w:lineRule="auto"/>
        <w:ind w:firstLine="420" w:firstLineChars="200"/>
        <w:jc w:val="both"/>
        <w:rPr>
          <w:rFonts w:hint="eastAsia" w:ascii="宋体" w:hAnsi="宋体" w:eastAsia="宋体" w:cs="宋体"/>
          <w:b w:val="0"/>
          <w:sz w:val="21"/>
          <w:szCs w:val="21"/>
          <w:highlight w:val="none"/>
        </w:rPr>
      </w:pPr>
    </w:p>
    <w:p w14:paraId="52FB30A4">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6B1946FB">
      <w:pPr>
        <w:spacing w:line="360" w:lineRule="auto"/>
        <w:ind w:firstLine="420" w:firstLineChars="200"/>
        <w:jc w:val="both"/>
        <w:rPr>
          <w:rFonts w:hint="eastAsia" w:ascii="宋体" w:hAnsi="宋体" w:eastAsia="宋体" w:cs="宋体"/>
          <w:b w:val="0"/>
          <w:sz w:val="21"/>
          <w:szCs w:val="21"/>
          <w:highlight w:val="none"/>
        </w:rPr>
      </w:pPr>
    </w:p>
    <w:p w14:paraId="5A7A148B">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2B9B5404">
      <w:pPr>
        <w:spacing w:line="360" w:lineRule="auto"/>
        <w:ind w:firstLine="420" w:firstLineChars="200"/>
        <w:jc w:val="both"/>
        <w:rPr>
          <w:rFonts w:hint="eastAsia" w:ascii="宋体" w:hAnsi="宋体" w:eastAsia="宋体" w:cs="宋体"/>
          <w:b w:val="0"/>
          <w:sz w:val="21"/>
          <w:szCs w:val="21"/>
          <w:highlight w:val="none"/>
        </w:rPr>
      </w:pPr>
    </w:p>
    <w:p w14:paraId="38E30E8B">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0890AACE">
      <w:pPr>
        <w:spacing w:line="360" w:lineRule="auto"/>
        <w:ind w:firstLine="420" w:firstLineChars="200"/>
        <w:jc w:val="both"/>
        <w:rPr>
          <w:rFonts w:hint="eastAsia" w:ascii="宋体" w:hAnsi="宋体" w:eastAsia="宋体" w:cs="宋体"/>
          <w:b w:val="0"/>
          <w:sz w:val="21"/>
          <w:szCs w:val="21"/>
          <w:highlight w:val="none"/>
        </w:rPr>
      </w:pPr>
    </w:p>
    <w:p w14:paraId="52119654">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06D9BA69">
      <w:pPr>
        <w:spacing w:line="360" w:lineRule="auto"/>
        <w:ind w:firstLine="5355" w:firstLineChars="2550"/>
        <w:jc w:val="both"/>
        <w:rPr>
          <w:rFonts w:hint="eastAsia" w:ascii="宋体" w:hAnsi="宋体" w:eastAsia="宋体" w:cs="宋体"/>
          <w:b w:val="0"/>
          <w:sz w:val="21"/>
          <w:szCs w:val="21"/>
          <w:highlight w:val="none"/>
        </w:rPr>
      </w:pPr>
    </w:p>
    <w:p w14:paraId="49718E47">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1459D626">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1BF25E86">
      <w:pPr>
        <w:autoSpaceDE w:val="0"/>
        <w:autoSpaceDN w:val="0"/>
        <w:adjustRightInd w:val="0"/>
        <w:rPr>
          <w:rFonts w:hint="eastAsia" w:ascii="宋体" w:hAnsi="宋体" w:cs="宋体"/>
          <w:b/>
          <w:sz w:val="24"/>
          <w:highlight w:val="none"/>
          <w:lang w:val="zh-CN"/>
        </w:rPr>
      </w:pPr>
      <w:bookmarkStart w:id="56" w:name="_Toc184635142"/>
      <w:r>
        <w:rPr>
          <w:rFonts w:hint="eastAsia" w:ascii="宋体" w:hAnsi="宋体" w:cs="宋体"/>
          <w:b/>
          <w:sz w:val="24"/>
          <w:highlight w:val="none"/>
          <w:lang w:val="zh-CN"/>
        </w:rPr>
        <w:t>投标人基本情况（加盖投标人公章和/或有效签署）</w:t>
      </w:r>
    </w:p>
    <w:p w14:paraId="6325FC52">
      <w:pPr>
        <w:autoSpaceDE w:val="0"/>
        <w:autoSpaceDN w:val="0"/>
        <w:adjustRightInd w:val="0"/>
        <w:ind w:firstLine="435"/>
        <w:rPr>
          <w:rFonts w:hint="eastAsia" w:ascii="宋体" w:hAnsi="宋体" w:cs="宋体"/>
          <w:szCs w:val="21"/>
          <w:highlight w:val="none"/>
        </w:rPr>
      </w:pPr>
    </w:p>
    <w:p w14:paraId="62D424A0">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71B101C7">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63604F1C">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06785853">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7E68D1BF">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17885B3B">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5DA707F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784"/>
        <w:gridCol w:w="1901"/>
        <w:gridCol w:w="1732"/>
        <w:gridCol w:w="1983"/>
      </w:tblGrid>
      <w:tr w14:paraId="11E9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678" w:type="dxa"/>
            <w:noWrap w:val="0"/>
            <w:vAlign w:val="center"/>
          </w:tcPr>
          <w:p w14:paraId="5B688192">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784" w:type="dxa"/>
            <w:noWrap w:val="0"/>
            <w:vAlign w:val="center"/>
          </w:tcPr>
          <w:p w14:paraId="6DA9BE94">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65F8C464">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1901" w:type="dxa"/>
            <w:noWrap w:val="0"/>
            <w:vAlign w:val="center"/>
          </w:tcPr>
          <w:p w14:paraId="03BA6AA5">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732" w:type="dxa"/>
            <w:noWrap w:val="0"/>
            <w:vAlign w:val="center"/>
          </w:tcPr>
          <w:p w14:paraId="41134373">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1983" w:type="dxa"/>
            <w:noWrap w:val="0"/>
            <w:vAlign w:val="center"/>
          </w:tcPr>
          <w:p w14:paraId="71ACE144">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w:t>
            </w:r>
          </w:p>
          <w:p w14:paraId="1BE35163">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优惠条件</w:t>
            </w:r>
          </w:p>
        </w:tc>
      </w:tr>
      <w:tr w14:paraId="1F89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1678" w:type="dxa"/>
            <w:noWrap w:val="0"/>
            <w:vAlign w:val="center"/>
          </w:tcPr>
          <w:p w14:paraId="43BBD9D5">
            <w:pPr>
              <w:jc w:val="center"/>
              <w:rPr>
                <w:rFonts w:hint="eastAsia" w:ascii="宋体" w:hAnsi="宋体" w:eastAsia="宋体" w:cs="宋体"/>
                <w:b w:val="0"/>
                <w:sz w:val="21"/>
                <w:szCs w:val="21"/>
                <w:highlight w:val="none"/>
              </w:rPr>
            </w:pPr>
          </w:p>
        </w:tc>
        <w:tc>
          <w:tcPr>
            <w:tcW w:w="1784" w:type="dxa"/>
            <w:noWrap w:val="0"/>
            <w:vAlign w:val="center"/>
          </w:tcPr>
          <w:p w14:paraId="5587DAD8">
            <w:pPr>
              <w:jc w:val="center"/>
              <w:rPr>
                <w:rFonts w:hint="eastAsia" w:ascii="宋体" w:hAnsi="宋体" w:eastAsia="宋体" w:cs="宋体"/>
                <w:b w:val="0"/>
                <w:sz w:val="21"/>
                <w:szCs w:val="21"/>
                <w:highlight w:val="none"/>
              </w:rPr>
            </w:pPr>
          </w:p>
        </w:tc>
        <w:tc>
          <w:tcPr>
            <w:tcW w:w="1901" w:type="dxa"/>
            <w:noWrap w:val="0"/>
            <w:vAlign w:val="center"/>
          </w:tcPr>
          <w:p w14:paraId="3B458D46">
            <w:pPr>
              <w:jc w:val="center"/>
              <w:rPr>
                <w:rFonts w:hint="eastAsia" w:ascii="宋体" w:hAnsi="宋体" w:eastAsia="宋体" w:cs="宋体"/>
                <w:b w:val="0"/>
                <w:sz w:val="21"/>
                <w:szCs w:val="21"/>
                <w:highlight w:val="none"/>
                <w:u w:val="single"/>
              </w:rPr>
            </w:pPr>
          </w:p>
        </w:tc>
        <w:tc>
          <w:tcPr>
            <w:tcW w:w="1732" w:type="dxa"/>
            <w:noWrap w:val="0"/>
            <w:vAlign w:val="center"/>
          </w:tcPr>
          <w:p w14:paraId="7B6499EF">
            <w:pPr>
              <w:jc w:val="center"/>
              <w:rPr>
                <w:rFonts w:hint="eastAsia" w:ascii="宋体" w:hAnsi="宋体" w:eastAsia="宋体" w:cs="宋体"/>
                <w:b w:val="0"/>
                <w:sz w:val="21"/>
                <w:szCs w:val="21"/>
                <w:highlight w:val="none"/>
              </w:rPr>
            </w:pPr>
          </w:p>
        </w:tc>
        <w:tc>
          <w:tcPr>
            <w:tcW w:w="1983" w:type="dxa"/>
            <w:noWrap w:val="0"/>
            <w:vAlign w:val="center"/>
          </w:tcPr>
          <w:p w14:paraId="601CD369">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25B12E09">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4521C31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34E37B9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60B53C20">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6E848542">
      <w:pPr>
        <w:ind w:firstLine="420" w:firstLineChars="200"/>
        <w:jc w:val="both"/>
        <w:rPr>
          <w:rFonts w:hint="eastAsia" w:ascii="宋体" w:hAnsi="宋体" w:eastAsia="宋体" w:cs="宋体"/>
          <w:b w:val="0"/>
          <w:sz w:val="21"/>
          <w:szCs w:val="21"/>
          <w:highlight w:val="none"/>
        </w:rPr>
      </w:pPr>
    </w:p>
    <w:p w14:paraId="5B49E512">
      <w:pPr>
        <w:ind w:left="5040"/>
        <w:jc w:val="left"/>
        <w:rPr>
          <w:rFonts w:hint="eastAsia" w:ascii="宋体" w:hAnsi="宋体" w:eastAsia="宋体" w:cs="宋体"/>
          <w:b w:val="0"/>
          <w:sz w:val="21"/>
          <w:szCs w:val="21"/>
          <w:highlight w:val="none"/>
        </w:rPr>
      </w:pPr>
    </w:p>
    <w:p w14:paraId="2DF80A93">
      <w:pPr>
        <w:ind w:left="5040"/>
        <w:jc w:val="left"/>
        <w:rPr>
          <w:rFonts w:hint="eastAsia" w:ascii="宋体" w:hAnsi="宋体" w:eastAsia="宋体" w:cs="宋体"/>
          <w:b w:val="0"/>
          <w:sz w:val="21"/>
          <w:szCs w:val="21"/>
          <w:highlight w:val="none"/>
        </w:rPr>
      </w:pPr>
    </w:p>
    <w:p w14:paraId="58F77660">
      <w:pPr>
        <w:ind w:left="5040"/>
        <w:jc w:val="left"/>
        <w:rPr>
          <w:rFonts w:hint="eastAsia" w:ascii="宋体" w:hAnsi="宋体" w:eastAsia="宋体" w:cs="宋体"/>
          <w:b w:val="0"/>
          <w:sz w:val="21"/>
          <w:szCs w:val="21"/>
          <w:highlight w:val="none"/>
        </w:rPr>
      </w:pPr>
    </w:p>
    <w:p w14:paraId="7B28331E">
      <w:pPr>
        <w:ind w:left="5040"/>
        <w:jc w:val="left"/>
        <w:rPr>
          <w:rFonts w:hint="eastAsia" w:ascii="宋体" w:hAnsi="宋体" w:eastAsia="宋体" w:cs="宋体"/>
          <w:b w:val="0"/>
          <w:sz w:val="21"/>
          <w:szCs w:val="21"/>
          <w:highlight w:val="none"/>
        </w:rPr>
      </w:pPr>
    </w:p>
    <w:p w14:paraId="10F3A0BE">
      <w:pPr>
        <w:ind w:left="5040"/>
        <w:jc w:val="left"/>
        <w:rPr>
          <w:rFonts w:hint="eastAsia" w:ascii="宋体" w:hAnsi="宋体" w:eastAsia="宋体" w:cs="宋体"/>
          <w:b w:val="0"/>
          <w:sz w:val="21"/>
          <w:szCs w:val="21"/>
          <w:highlight w:val="none"/>
        </w:rPr>
      </w:pPr>
    </w:p>
    <w:p w14:paraId="618AFB39">
      <w:pPr>
        <w:ind w:left="5040"/>
        <w:jc w:val="left"/>
        <w:rPr>
          <w:rFonts w:hint="eastAsia" w:ascii="宋体" w:hAnsi="宋体" w:eastAsia="宋体" w:cs="宋体"/>
          <w:b w:val="0"/>
          <w:sz w:val="21"/>
          <w:szCs w:val="21"/>
          <w:highlight w:val="none"/>
        </w:rPr>
      </w:pPr>
    </w:p>
    <w:p w14:paraId="1A612295">
      <w:pPr>
        <w:ind w:left="5040"/>
        <w:jc w:val="left"/>
        <w:rPr>
          <w:rFonts w:hint="eastAsia" w:ascii="宋体" w:hAnsi="宋体" w:eastAsia="宋体" w:cs="宋体"/>
          <w:b w:val="0"/>
          <w:sz w:val="21"/>
          <w:szCs w:val="21"/>
          <w:highlight w:val="none"/>
        </w:rPr>
      </w:pPr>
    </w:p>
    <w:p w14:paraId="6CB945C9">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6D7665B3">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31C593E">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和</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4FF9F8C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18F10450">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7559A9B">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310989CA">
      <w:pPr>
        <w:autoSpaceDE w:val="0"/>
        <w:autoSpaceDN w:val="0"/>
        <w:adjustRightInd w:val="0"/>
        <w:spacing w:line="400" w:lineRule="exact"/>
        <w:rPr>
          <w:rFonts w:hint="eastAsia" w:ascii="宋体" w:hAnsi="宋体" w:eastAsia="宋体" w:cs="宋体"/>
          <w:b w:val="0"/>
          <w:sz w:val="21"/>
          <w:szCs w:val="21"/>
          <w:highlight w:val="none"/>
        </w:rPr>
      </w:pPr>
    </w:p>
    <w:p w14:paraId="7C2CB117">
      <w:pPr>
        <w:rPr>
          <w:rFonts w:hint="eastAsia" w:ascii="宋体" w:hAnsi="宋体" w:eastAsia="宋体" w:cs="宋体"/>
          <w:szCs w:val="32"/>
          <w:highlight w:val="none"/>
        </w:rPr>
      </w:pPr>
      <w:bookmarkStart w:id="57" w:name="_Toc15393"/>
      <w:bookmarkStart w:id="58" w:name="_Toc382396574"/>
      <w:r>
        <w:rPr>
          <w:rFonts w:hint="eastAsia" w:ascii="宋体" w:hAnsi="宋体" w:eastAsia="宋体" w:cs="宋体"/>
          <w:szCs w:val="32"/>
          <w:highlight w:val="none"/>
        </w:rPr>
        <w:br w:type="page"/>
      </w:r>
    </w:p>
    <w:bookmarkEnd w:id="56"/>
    <w:bookmarkEnd w:id="57"/>
    <w:bookmarkEnd w:id="58"/>
    <w:p w14:paraId="6421E8CC">
      <w:pPr>
        <w:jc w:val="center"/>
        <w:rPr>
          <w:rFonts w:hint="eastAsia" w:ascii="宋体" w:hAnsi="宋体" w:cs="宋体"/>
          <w:b/>
          <w:sz w:val="36"/>
          <w:highlight w:val="none"/>
        </w:rPr>
      </w:pPr>
      <w:bookmarkStart w:id="59" w:name="_Toc382396577"/>
      <w:bookmarkStart w:id="60" w:name="_Toc22129"/>
      <w:bookmarkStart w:id="61" w:name="_Toc184635145"/>
      <w:r>
        <w:rPr>
          <w:rFonts w:hint="eastAsia" w:ascii="宋体" w:hAnsi="宋体" w:cs="宋体"/>
          <w:b/>
          <w:sz w:val="36"/>
          <w:highlight w:val="none"/>
        </w:rPr>
        <w:t>（一）报价明细表</w:t>
      </w:r>
    </w:p>
    <w:p w14:paraId="7AF25B59">
      <w:pPr>
        <w:pStyle w:val="12"/>
        <w:rPr>
          <w:rFonts w:hint="eastAsia" w:hAnsi="宋体" w:cs="宋体"/>
          <w:b/>
          <w:szCs w:val="21"/>
          <w:highlight w:val="none"/>
        </w:rPr>
      </w:pPr>
      <w:r>
        <w:rPr>
          <w:rFonts w:hint="eastAsia" w:hAnsi="宋体" w:cs="宋体"/>
          <w:b/>
          <w:szCs w:val="21"/>
          <w:highlight w:val="none"/>
        </w:rPr>
        <w:t>项目名称：</w:t>
      </w:r>
    </w:p>
    <w:p w14:paraId="22D5096A">
      <w:pPr>
        <w:pStyle w:val="12"/>
        <w:rPr>
          <w:rFonts w:hint="eastAsia" w:hAnsi="宋体" w:cs="宋体"/>
          <w:szCs w:val="21"/>
          <w:highlight w:val="none"/>
        </w:rPr>
      </w:pPr>
      <w:r>
        <w:rPr>
          <w:rFonts w:hint="eastAsia" w:hAnsi="宋体" w:cs="宋体"/>
          <w:b/>
          <w:szCs w:val="21"/>
          <w:highlight w:val="none"/>
        </w:rPr>
        <w:t>项目编号：</w:t>
      </w:r>
    </w:p>
    <w:p w14:paraId="23285329">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0151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11E8BDE6">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282C0A2C">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2ADCAF8C">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5DA3FCBA">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62E56173">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4B77DD01">
            <w:pPr>
              <w:jc w:val="center"/>
              <w:rPr>
                <w:rFonts w:hint="eastAsia" w:ascii="宋体" w:hAnsi="宋体" w:cs="宋体"/>
                <w:b/>
                <w:szCs w:val="21"/>
                <w:highlight w:val="none"/>
              </w:rPr>
            </w:pPr>
            <w:r>
              <w:rPr>
                <w:rFonts w:hint="eastAsia" w:ascii="宋体" w:hAnsi="宋体" w:cs="宋体"/>
                <w:b/>
                <w:szCs w:val="21"/>
                <w:highlight w:val="none"/>
              </w:rPr>
              <w:t>总价</w:t>
            </w:r>
          </w:p>
        </w:tc>
      </w:tr>
      <w:tr w14:paraId="7A54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0332138">
            <w:pPr>
              <w:jc w:val="center"/>
              <w:rPr>
                <w:rFonts w:hint="eastAsia" w:ascii="宋体" w:hAnsi="宋体" w:cs="宋体"/>
                <w:b/>
                <w:szCs w:val="21"/>
                <w:highlight w:val="none"/>
              </w:rPr>
            </w:pPr>
          </w:p>
        </w:tc>
        <w:tc>
          <w:tcPr>
            <w:tcW w:w="2067" w:type="dxa"/>
            <w:noWrap w:val="0"/>
            <w:vAlign w:val="top"/>
          </w:tcPr>
          <w:p w14:paraId="499A758D">
            <w:pPr>
              <w:spacing w:line="360" w:lineRule="auto"/>
              <w:jc w:val="center"/>
              <w:rPr>
                <w:rFonts w:hint="eastAsia" w:ascii="宋体" w:hAnsi="宋体" w:cs="宋体"/>
                <w:szCs w:val="21"/>
                <w:highlight w:val="none"/>
              </w:rPr>
            </w:pPr>
          </w:p>
        </w:tc>
        <w:tc>
          <w:tcPr>
            <w:tcW w:w="1745" w:type="dxa"/>
            <w:noWrap w:val="0"/>
            <w:vAlign w:val="center"/>
          </w:tcPr>
          <w:p w14:paraId="1FCFF6C5">
            <w:pPr>
              <w:jc w:val="center"/>
              <w:rPr>
                <w:rFonts w:hint="eastAsia" w:ascii="宋体" w:hAnsi="宋体" w:cs="宋体"/>
                <w:b/>
                <w:szCs w:val="21"/>
                <w:highlight w:val="none"/>
              </w:rPr>
            </w:pPr>
          </w:p>
        </w:tc>
        <w:tc>
          <w:tcPr>
            <w:tcW w:w="1371" w:type="dxa"/>
            <w:noWrap w:val="0"/>
            <w:vAlign w:val="center"/>
          </w:tcPr>
          <w:p w14:paraId="29D1E7D3">
            <w:pPr>
              <w:jc w:val="center"/>
              <w:rPr>
                <w:rFonts w:hint="eastAsia" w:ascii="宋体" w:hAnsi="宋体" w:cs="宋体"/>
                <w:b/>
                <w:szCs w:val="21"/>
                <w:highlight w:val="none"/>
              </w:rPr>
            </w:pPr>
          </w:p>
        </w:tc>
        <w:tc>
          <w:tcPr>
            <w:tcW w:w="1638" w:type="dxa"/>
            <w:noWrap w:val="0"/>
            <w:vAlign w:val="center"/>
          </w:tcPr>
          <w:p w14:paraId="60697D47">
            <w:pPr>
              <w:jc w:val="center"/>
              <w:rPr>
                <w:rFonts w:hint="eastAsia" w:ascii="宋体" w:hAnsi="宋体" w:cs="宋体"/>
                <w:b/>
                <w:szCs w:val="21"/>
                <w:highlight w:val="none"/>
              </w:rPr>
            </w:pPr>
          </w:p>
        </w:tc>
        <w:tc>
          <w:tcPr>
            <w:tcW w:w="1581" w:type="dxa"/>
            <w:noWrap w:val="0"/>
            <w:vAlign w:val="center"/>
          </w:tcPr>
          <w:p w14:paraId="3F1280CB">
            <w:pPr>
              <w:jc w:val="center"/>
              <w:rPr>
                <w:rFonts w:hint="eastAsia" w:ascii="宋体" w:hAnsi="宋体" w:cs="宋体"/>
                <w:b/>
                <w:szCs w:val="21"/>
                <w:highlight w:val="none"/>
              </w:rPr>
            </w:pPr>
          </w:p>
        </w:tc>
      </w:tr>
      <w:tr w14:paraId="5AD1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19CD2C45">
            <w:pPr>
              <w:jc w:val="center"/>
              <w:rPr>
                <w:rFonts w:hint="eastAsia" w:ascii="宋体" w:hAnsi="宋体" w:cs="宋体"/>
                <w:b/>
                <w:szCs w:val="21"/>
                <w:highlight w:val="none"/>
              </w:rPr>
            </w:pPr>
          </w:p>
        </w:tc>
        <w:tc>
          <w:tcPr>
            <w:tcW w:w="2067" w:type="dxa"/>
            <w:noWrap w:val="0"/>
            <w:vAlign w:val="top"/>
          </w:tcPr>
          <w:p w14:paraId="4385EAA2">
            <w:pPr>
              <w:spacing w:line="360" w:lineRule="auto"/>
              <w:jc w:val="center"/>
              <w:rPr>
                <w:rFonts w:hint="eastAsia" w:ascii="宋体" w:hAnsi="宋体" w:cs="宋体"/>
                <w:szCs w:val="21"/>
                <w:highlight w:val="none"/>
              </w:rPr>
            </w:pPr>
          </w:p>
        </w:tc>
        <w:tc>
          <w:tcPr>
            <w:tcW w:w="1745" w:type="dxa"/>
            <w:noWrap w:val="0"/>
            <w:vAlign w:val="center"/>
          </w:tcPr>
          <w:p w14:paraId="05BD685A">
            <w:pPr>
              <w:jc w:val="center"/>
              <w:rPr>
                <w:rFonts w:hint="eastAsia" w:ascii="宋体" w:hAnsi="宋体" w:cs="宋体"/>
                <w:b/>
                <w:szCs w:val="21"/>
                <w:highlight w:val="none"/>
              </w:rPr>
            </w:pPr>
          </w:p>
        </w:tc>
        <w:tc>
          <w:tcPr>
            <w:tcW w:w="1371" w:type="dxa"/>
            <w:noWrap w:val="0"/>
            <w:vAlign w:val="top"/>
          </w:tcPr>
          <w:p w14:paraId="2DF81E16">
            <w:pPr>
              <w:jc w:val="center"/>
              <w:rPr>
                <w:rFonts w:hint="eastAsia" w:ascii="宋体" w:hAnsi="宋体" w:cs="宋体"/>
                <w:szCs w:val="21"/>
                <w:highlight w:val="none"/>
              </w:rPr>
            </w:pPr>
          </w:p>
        </w:tc>
        <w:tc>
          <w:tcPr>
            <w:tcW w:w="1638" w:type="dxa"/>
            <w:noWrap w:val="0"/>
            <w:vAlign w:val="center"/>
          </w:tcPr>
          <w:p w14:paraId="7D3B126D">
            <w:pPr>
              <w:jc w:val="center"/>
              <w:rPr>
                <w:rFonts w:hint="eastAsia" w:ascii="宋体" w:hAnsi="宋体" w:cs="宋体"/>
                <w:b/>
                <w:szCs w:val="21"/>
                <w:highlight w:val="none"/>
              </w:rPr>
            </w:pPr>
          </w:p>
        </w:tc>
        <w:tc>
          <w:tcPr>
            <w:tcW w:w="1581" w:type="dxa"/>
            <w:noWrap w:val="0"/>
            <w:vAlign w:val="center"/>
          </w:tcPr>
          <w:p w14:paraId="72C43CE5">
            <w:pPr>
              <w:jc w:val="center"/>
              <w:rPr>
                <w:rFonts w:hint="eastAsia" w:ascii="宋体" w:hAnsi="宋体" w:cs="宋体"/>
                <w:b/>
                <w:szCs w:val="21"/>
                <w:highlight w:val="none"/>
              </w:rPr>
            </w:pPr>
          </w:p>
        </w:tc>
      </w:tr>
      <w:tr w14:paraId="3668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2BE8BD37">
            <w:pPr>
              <w:jc w:val="center"/>
              <w:rPr>
                <w:rFonts w:hint="eastAsia" w:ascii="宋体" w:hAnsi="宋体" w:cs="宋体"/>
                <w:b/>
                <w:szCs w:val="21"/>
                <w:highlight w:val="none"/>
              </w:rPr>
            </w:pPr>
          </w:p>
        </w:tc>
        <w:tc>
          <w:tcPr>
            <w:tcW w:w="2067" w:type="dxa"/>
            <w:noWrap w:val="0"/>
            <w:vAlign w:val="top"/>
          </w:tcPr>
          <w:p w14:paraId="7E15CF8F">
            <w:pPr>
              <w:spacing w:line="360" w:lineRule="auto"/>
              <w:jc w:val="center"/>
              <w:rPr>
                <w:rFonts w:hint="eastAsia" w:ascii="宋体" w:hAnsi="宋体" w:cs="宋体"/>
                <w:szCs w:val="21"/>
                <w:highlight w:val="none"/>
              </w:rPr>
            </w:pPr>
          </w:p>
        </w:tc>
        <w:tc>
          <w:tcPr>
            <w:tcW w:w="1745" w:type="dxa"/>
            <w:noWrap w:val="0"/>
            <w:vAlign w:val="center"/>
          </w:tcPr>
          <w:p w14:paraId="4E8DB1AA">
            <w:pPr>
              <w:jc w:val="center"/>
              <w:rPr>
                <w:rFonts w:hint="eastAsia" w:ascii="宋体" w:hAnsi="宋体" w:cs="宋体"/>
                <w:b/>
                <w:szCs w:val="21"/>
                <w:highlight w:val="none"/>
              </w:rPr>
            </w:pPr>
          </w:p>
        </w:tc>
        <w:tc>
          <w:tcPr>
            <w:tcW w:w="1371" w:type="dxa"/>
            <w:noWrap w:val="0"/>
            <w:vAlign w:val="top"/>
          </w:tcPr>
          <w:p w14:paraId="2DB50F44">
            <w:pPr>
              <w:jc w:val="center"/>
              <w:rPr>
                <w:rFonts w:hint="eastAsia" w:ascii="宋体" w:hAnsi="宋体" w:cs="宋体"/>
                <w:szCs w:val="21"/>
                <w:highlight w:val="none"/>
              </w:rPr>
            </w:pPr>
          </w:p>
        </w:tc>
        <w:tc>
          <w:tcPr>
            <w:tcW w:w="1638" w:type="dxa"/>
            <w:noWrap w:val="0"/>
            <w:vAlign w:val="center"/>
          </w:tcPr>
          <w:p w14:paraId="3461326C">
            <w:pPr>
              <w:jc w:val="center"/>
              <w:rPr>
                <w:rFonts w:hint="eastAsia" w:ascii="宋体" w:hAnsi="宋体" w:cs="宋体"/>
                <w:b/>
                <w:szCs w:val="21"/>
                <w:highlight w:val="none"/>
              </w:rPr>
            </w:pPr>
          </w:p>
        </w:tc>
        <w:tc>
          <w:tcPr>
            <w:tcW w:w="1581" w:type="dxa"/>
            <w:noWrap w:val="0"/>
            <w:vAlign w:val="center"/>
          </w:tcPr>
          <w:p w14:paraId="0D2A1B64">
            <w:pPr>
              <w:jc w:val="center"/>
              <w:rPr>
                <w:rFonts w:hint="eastAsia" w:ascii="宋体" w:hAnsi="宋体" w:cs="宋体"/>
                <w:b/>
                <w:szCs w:val="21"/>
                <w:highlight w:val="none"/>
              </w:rPr>
            </w:pPr>
          </w:p>
        </w:tc>
      </w:tr>
      <w:tr w14:paraId="5C83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6AA88D8">
            <w:pPr>
              <w:jc w:val="center"/>
              <w:rPr>
                <w:rFonts w:hint="eastAsia" w:ascii="宋体" w:hAnsi="宋体" w:cs="宋体"/>
                <w:b/>
                <w:szCs w:val="21"/>
                <w:highlight w:val="none"/>
              </w:rPr>
            </w:pPr>
          </w:p>
        </w:tc>
        <w:tc>
          <w:tcPr>
            <w:tcW w:w="2067" w:type="dxa"/>
            <w:noWrap w:val="0"/>
            <w:vAlign w:val="top"/>
          </w:tcPr>
          <w:p w14:paraId="707A6B22">
            <w:pPr>
              <w:spacing w:line="360" w:lineRule="auto"/>
              <w:jc w:val="center"/>
              <w:rPr>
                <w:rFonts w:hint="eastAsia" w:ascii="宋体" w:hAnsi="宋体" w:cs="宋体"/>
                <w:szCs w:val="21"/>
                <w:highlight w:val="none"/>
              </w:rPr>
            </w:pPr>
          </w:p>
        </w:tc>
        <w:tc>
          <w:tcPr>
            <w:tcW w:w="1745" w:type="dxa"/>
            <w:noWrap w:val="0"/>
            <w:vAlign w:val="center"/>
          </w:tcPr>
          <w:p w14:paraId="2EB2F035">
            <w:pPr>
              <w:jc w:val="center"/>
              <w:rPr>
                <w:rFonts w:hint="eastAsia" w:ascii="宋体" w:hAnsi="宋体" w:cs="宋体"/>
                <w:b/>
                <w:szCs w:val="21"/>
                <w:highlight w:val="none"/>
              </w:rPr>
            </w:pPr>
          </w:p>
        </w:tc>
        <w:tc>
          <w:tcPr>
            <w:tcW w:w="1371" w:type="dxa"/>
            <w:noWrap w:val="0"/>
            <w:vAlign w:val="top"/>
          </w:tcPr>
          <w:p w14:paraId="3DFB1E85">
            <w:pPr>
              <w:jc w:val="center"/>
              <w:rPr>
                <w:rFonts w:hint="eastAsia" w:ascii="宋体" w:hAnsi="宋体" w:cs="宋体"/>
                <w:szCs w:val="21"/>
                <w:highlight w:val="none"/>
              </w:rPr>
            </w:pPr>
          </w:p>
        </w:tc>
        <w:tc>
          <w:tcPr>
            <w:tcW w:w="1638" w:type="dxa"/>
            <w:noWrap w:val="0"/>
            <w:vAlign w:val="center"/>
          </w:tcPr>
          <w:p w14:paraId="130A4568">
            <w:pPr>
              <w:jc w:val="center"/>
              <w:rPr>
                <w:rFonts w:hint="eastAsia" w:ascii="宋体" w:hAnsi="宋体" w:cs="宋体"/>
                <w:b/>
                <w:szCs w:val="21"/>
                <w:highlight w:val="none"/>
              </w:rPr>
            </w:pPr>
          </w:p>
        </w:tc>
        <w:tc>
          <w:tcPr>
            <w:tcW w:w="1581" w:type="dxa"/>
            <w:noWrap w:val="0"/>
            <w:vAlign w:val="center"/>
          </w:tcPr>
          <w:p w14:paraId="27D36ECB">
            <w:pPr>
              <w:jc w:val="center"/>
              <w:rPr>
                <w:rFonts w:hint="eastAsia" w:ascii="宋体" w:hAnsi="宋体" w:cs="宋体"/>
                <w:b/>
                <w:szCs w:val="21"/>
                <w:highlight w:val="none"/>
              </w:rPr>
            </w:pPr>
          </w:p>
        </w:tc>
      </w:tr>
      <w:tr w14:paraId="43B9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7441DFD">
            <w:pPr>
              <w:jc w:val="center"/>
              <w:rPr>
                <w:rFonts w:hint="eastAsia" w:ascii="宋体" w:hAnsi="宋体" w:cs="宋体"/>
                <w:b/>
                <w:szCs w:val="21"/>
                <w:highlight w:val="none"/>
              </w:rPr>
            </w:pPr>
          </w:p>
        </w:tc>
        <w:tc>
          <w:tcPr>
            <w:tcW w:w="2067" w:type="dxa"/>
            <w:noWrap w:val="0"/>
            <w:vAlign w:val="top"/>
          </w:tcPr>
          <w:p w14:paraId="7D86D5FD">
            <w:pPr>
              <w:spacing w:line="360" w:lineRule="auto"/>
              <w:jc w:val="center"/>
              <w:rPr>
                <w:rFonts w:hint="eastAsia" w:ascii="宋体" w:hAnsi="宋体" w:cs="宋体"/>
                <w:szCs w:val="21"/>
                <w:highlight w:val="none"/>
              </w:rPr>
            </w:pPr>
          </w:p>
        </w:tc>
        <w:tc>
          <w:tcPr>
            <w:tcW w:w="1745" w:type="dxa"/>
            <w:noWrap w:val="0"/>
            <w:vAlign w:val="center"/>
          </w:tcPr>
          <w:p w14:paraId="7019047A">
            <w:pPr>
              <w:jc w:val="center"/>
              <w:rPr>
                <w:rFonts w:hint="eastAsia" w:ascii="宋体" w:hAnsi="宋体" w:cs="宋体"/>
                <w:b/>
                <w:szCs w:val="21"/>
                <w:highlight w:val="none"/>
              </w:rPr>
            </w:pPr>
          </w:p>
        </w:tc>
        <w:tc>
          <w:tcPr>
            <w:tcW w:w="1371" w:type="dxa"/>
            <w:noWrap w:val="0"/>
            <w:vAlign w:val="top"/>
          </w:tcPr>
          <w:p w14:paraId="4F73F6A0">
            <w:pPr>
              <w:jc w:val="center"/>
              <w:rPr>
                <w:rFonts w:hint="eastAsia" w:ascii="宋体" w:hAnsi="宋体" w:cs="宋体"/>
                <w:szCs w:val="21"/>
                <w:highlight w:val="none"/>
              </w:rPr>
            </w:pPr>
          </w:p>
        </w:tc>
        <w:tc>
          <w:tcPr>
            <w:tcW w:w="1638" w:type="dxa"/>
            <w:noWrap w:val="0"/>
            <w:vAlign w:val="center"/>
          </w:tcPr>
          <w:p w14:paraId="3B822CE0">
            <w:pPr>
              <w:jc w:val="center"/>
              <w:rPr>
                <w:rFonts w:hint="eastAsia" w:ascii="宋体" w:hAnsi="宋体" w:cs="宋体"/>
                <w:b/>
                <w:szCs w:val="21"/>
                <w:highlight w:val="none"/>
              </w:rPr>
            </w:pPr>
          </w:p>
        </w:tc>
        <w:tc>
          <w:tcPr>
            <w:tcW w:w="1581" w:type="dxa"/>
            <w:noWrap w:val="0"/>
            <w:vAlign w:val="center"/>
          </w:tcPr>
          <w:p w14:paraId="05EE2932">
            <w:pPr>
              <w:jc w:val="center"/>
              <w:rPr>
                <w:rFonts w:hint="eastAsia" w:ascii="宋体" w:hAnsi="宋体" w:cs="宋体"/>
                <w:b/>
                <w:szCs w:val="21"/>
                <w:highlight w:val="none"/>
              </w:rPr>
            </w:pPr>
          </w:p>
        </w:tc>
      </w:tr>
      <w:tr w14:paraId="64D5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24E6F80">
            <w:pPr>
              <w:jc w:val="center"/>
              <w:rPr>
                <w:rFonts w:hint="eastAsia" w:ascii="宋体" w:hAnsi="宋体" w:cs="宋体"/>
                <w:b/>
                <w:szCs w:val="21"/>
                <w:highlight w:val="none"/>
              </w:rPr>
            </w:pPr>
          </w:p>
        </w:tc>
        <w:tc>
          <w:tcPr>
            <w:tcW w:w="2067" w:type="dxa"/>
            <w:noWrap w:val="0"/>
            <w:vAlign w:val="top"/>
          </w:tcPr>
          <w:p w14:paraId="56A713B6">
            <w:pPr>
              <w:spacing w:line="360" w:lineRule="auto"/>
              <w:jc w:val="center"/>
              <w:rPr>
                <w:rFonts w:hint="eastAsia" w:ascii="宋体" w:hAnsi="宋体" w:cs="宋体"/>
                <w:szCs w:val="21"/>
                <w:highlight w:val="none"/>
              </w:rPr>
            </w:pPr>
          </w:p>
        </w:tc>
        <w:tc>
          <w:tcPr>
            <w:tcW w:w="1745" w:type="dxa"/>
            <w:noWrap w:val="0"/>
            <w:vAlign w:val="center"/>
          </w:tcPr>
          <w:p w14:paraId="783A6E1E">
            <w:pPr>
              <w:jc w:val="center"/>
              <w:rPr>
                <w:rFonts w:hint="eastAsia" w:ascii="宋体" w:hAnsi="宋体" w:cs="宋体"/>
                <w:b/>
                <w:szCs w:val="21"/>
                <w:highlight w:val="none"/>
              </w:rPr>
            </w:pPr>
          </w:p>
        </w:tc>
        <w:tc>
          <w:tcPr>
            <w:tcW w:w="1371" w:type="dxa"/>
            <w:noWrap w:val="0"/>
            <w:vAlign w:val="top"/>
          </w:tcPr>
          <w:p w14:paraId="42421287">
            <w:pPr>
              <w:jc w:val="center"/>
              <w:rPr>
                <w:rFonts w:hint="eastAsia" w:ascii="宋体" w:hAnsi="宋体" w:cs="宋体"/>
                <w:szCs w:val="21"/>
                <w:highlight w:val="none"/>
              </w:rPr>
            </w:pPr>
          </w:p>
        </w:tc>
        <w:tc>
          <w:tcPr>
            <w:tcW w:w="1638" w:type="dxa"/>
            <w:noWrap w:val="0"/>
            <w:vAlign w:val="center"/>
          </w:tcPr>
          <w:p w14:paraId="6E02E9E2">
            <w:pPr>
              <w:jc w:val="center"/>
              <w:rPr>
                <w:rFonts w:hint="eastAsia" w:ascii="宋体" w:hAnsi="宋体" w:cs="宋体"/>
                <w:b/>
                <w:szCs w:val="21"/>
                <w:highlight w:val="none"/>
              </w:rPr>
            </w:pPr>
          </w:p>
        </w:tc>
        <w:tc>
          <w:tcPr>
            <w:tcW w:w="1581" w:type="dxa"/>
            <w:noWrap w:val="0"/>
            <w:vAlign w:val="center"/>
          </w:tcPr>
          <w:p w14:paraId="5B9274A1">
            <w:pPr>
              <w:jc w:val="center"/>
              <w:rPr>
                <w:rFonts w:hint="eastAsia" w:ascii="宋体" w:hAnsi="宋体" w:cs="宋体"/>
                <w:b/>
                <w:szCs w:val="21"/>
                <w:highlight w:val="none"/>
              </w:rPr>
            </w:pPr>
          </w:p>
        </w:tc>
      </w:tr>
      <w:tr w14:paraId="3AA0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C7D9293">
            <w:pPr>
              <w:jc w:val="center"/>
              <w:rPr>
                <w:rFonts w:hint="eastAsia" w:ascii="宋体" w:hAnsi="宋体" w:cs="宋体"/>
                <w:b/>
                <w:szCs w:val="21"/>
                <w:highlight w:val="none"/>
              </w:rPr>
            </w:pPr>
          </w:p>
        </w:tc>
        <w:tc>
          <w:tcPr>
            <w:tcW w:w="2067" w:type="dxa"/>
            <w:noWrap w:val="0"/>
            <w:vAlign w:val="top"/>
          </w:tcPr>
          <w:p w14:paraId="4AD4263E">
            <w:pPr>
              <w:spacing w:line="360" w:lineRule="auto"/>
              <w:jc w:val="center"/>
              <w:rPr>
                <w:rFonts w:hint="eastAsia" w:ascii="宋体" w:hAnsi="宋体" w:cs="宋体"/>
                <w:szCs w:val="21"/>
                <w:highlight w:val="none"/>
              </w:rPr>
            </w:pPr>
          </w:p>
        </w:tc>
        <w:tc>
          <w:tcPr>
            <w:tcW w:w="1745" w:type="dxa"/>
            <w:noWrap w:val="0"/>
            <w:vAlign w:val="center"/>
          </w:tcPr>
          <w:p w14:paraId="0A97D0BA">
            <w:pPr>
              <w:jc w:val="center"/>
              <w:rPr>
                <w:rFonts w:hint="eastAsia" w:ascii="宋体" w:hAnsi="宋体" w:cs="宋体"/>
                <w:b/>
                <w:szCs w:val="21"/>
                <w:highlight w:val="none"/>
              </w:rPr>
            </w:pPr>
          </w:p>
        </w:tc>
        <w:tc>
          <w:tcPr>
            <w:tcW w:w="1371" w:type="dxa"/>
            <w:noWrap w:val="0"/>
            <w:vAlign w:val="top"/>
          </w:tcPr>
          <w:p w14:paraId="7CB62AC2">
            <w:pPr>
              <w:jc w:val="center"/>
              <w:rPr>
                <w:rFonts w:hint="eastAsia" w:ascii="宋体" w:hAnsi="宋体" w:cs="宋体"/>
                <w:szCs w:val="21"/>
                <w:highlight w:val="none"/>
              </w:rPr>
            </w:pPr>
          </w:p>
        </w:tc>
        <w:tc>
          <w:tcPr>
            <w:tcW w:w="1638" w:type="dxa"/>
            <w:noWrap w:val="0"/>
            <w:vAlign w:val="center"/>
          </w:tcPr>
          <w:p w14:paraId="074C527E">
            <w:pPr>
              <w:jc w:val="center"/>
              <w:rPr>
                <w:rFonts w:hint="eastAsia" w:ascii="宋体" w:hAnsi="宋体" w:cs="宋体"/>
                <w:b/>
                <w:szCs w:val="21"/>
                <w:highlight w:val="none"/>
              </w:rPr>
            </w:pPr>
          </w:p>
        </w:tc>
        <w:tc>
          <w:tcPr>
            <w:tcW w:w="1581" w:type="dxa"/>
            <w:noWrap w:val="0"/>
            <w:vAlign w:val="center"/>
          </w:tcPr>
          <w:p w14:paraId="6A8A2CA1">
            <w:pPr>
              <w:jc w:val="center"/>
              <w:rPr>
                <w:rFonts w:hint="eastAsia" w:ascii="宋体" w:hAnsi="宋体" w:cs="宋体"/>
                <w:b/>
                <w:szCs w:val="21"/>
                <w:highlight w:val="none"/>
              </w:rPr>
            </w:pPr>
          </w:p>
        </w:tc>
      </w:tr>
      <w:tr w14:paraId="0C2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E9A17CE">
            <w:pPr>
              <w:jc w:val="center"/>
              <w:rPr>
                <w:rFonts w:hint="eastAsia" w:ascii="宋体" w:hAnsi="宋体" w:cs="宋体"/>
                <w:b/>
                <w:szCs w:val="21"/>
                <w:highlight w:val="none"/>
              </w:rPr>
            </w:pPr>
          </w:p>
        </w:tc>
        <w:tc>
          <w:tcPr>
            <w:tcW w:w="2067" w:type="dxa"/>
            <w:noWrap w:val="0"/>
            <w:vAlign w:val="top"/>
          </w:tcPr>
          <w:p w14:paraId="1C9BCD2D">
            <w:pPr>
              <w:spacing w:line="360" w:lineRule="auto"/>
              <w:jc w:val="center"/>
              <w:rPr>
                <w:rFonts w:hint="eastAsia" w:ascii="宋体" w:hAnsi="宋体" w:cs="宋体"/>
                <w:szCs w:val="21"/>
                <w:highlight w:val="none"/>
              </w:rPr>
            </w:pPr>
          </w:p>
        </w:tc>
        <w:tc>
          <w:tcPr>
            <w:tcW w:w="1745" w:type="dxa"/>
            <w:noWrap w:val="0"/>
            <w:vAlign w:val="center"/>
          </w:tcPr>
          <w:p w14:paraId="2161DCE8">
            <w:pPr>
              <w:jc w:val="center"/>
              <w:rPr>
                <w:rFonts w:hint="eastAsia" w:ascii="宋体" w:hAnsi="宋体" w:cs="宋体"/>
                <w:b/>
                <w:szCs w:val="21"/>
                <w:highlight w:val="none"/>
              </w:rPr>
            </w:pPr>
          </w:p>
        </w:tc>
        <w:tc>
          <w:tcPr>
            <w:tcW w:w="1371" w:type="dxa"/>
            <w:noWrap w:val="0"/>
            <w:vAlign w:val="top"/>
          </w:tcPr>
          <w:p w14:paraId="352BB605">
            <w:pPr>
              <w:jc w:val="center"/>
              <w:rPr>
                <w:rFonts w:hint="eastAsia" w:ascii="宋体" w:hAnsi="宋体" w:cs="宋体"/>
                <w:szCs w:val="21"/>
                <w:highlight w:val="none"/>
              </w:rPr>
            </w:pPr>
          </w:p>
        </w:tc>
        <w:tc>
          <w:tcPr>
            <w:tcW w:w="1638" w:type="dxa"/>
            <w:noWrap w:val="0"/>
            <w:vAlign w:val="center"/>
          </w:tcPr>
          <w:p w14:paraId="1E64E727">
            <w:pPr>
              <w:jc w:val="center"/>
              <w:rPr>
                <w:rFonts w:hint="eastAsia" w:ascii="宋体" w:hAnsi="宋体" w:cs="宋体"/>
                <w:b/>
                <w:szCs w:val="21"/>
                <w:highlight w:val="none"/>
              </w:rPr>
            </w:pPr>
          </w:p>
        </w:tc>
        <w:tc>
          <w:tcPr>
            <w:tcW w:w="1581" w:type="dxa"/>
            <w:noWrap w:val="0"/>
            <w:vAlign w:val="center"/>
          </w:tcPr>
          <w:p w14:paraId="30416DFF">
            <w:pPr>
              <w:jc w:val="center"/>
              <w:rPr>
                <w:rFonts w:hint="eastAsia" w:ascii="宋体" w:hAnsi="宋体" w:cs="宋体"/>
                <w:b/>
                <w:szCs w:val="21"/>
                <w:highlight w:val="none"/>
              </w:rPr>
            </w:pPr>
          </w:p>
        </w:tc>
      </w:tr>
      <w:tr w14:paraId="3DCE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B112512">
            <w:pPr>
              <w:jc w:val="center"/>
              <w:rPr>
                <w:rFonts w:hint="eastAsia" w:ascii="宋体" w:hAnsi="宋体" w:cs="宋体"/>
                <w:b/>
                <w:szCs w:val="21"/>
                <w:highlight w:val="none"/>
              </w:rPr>
            </w:pPr>
          </w:p>
        </w:tc>
        <w:tc>
          <w:tcPr>
            <w:tcW w:w="2067" w:type="dxa"/>
            <w:noWrap w:val="0"/>
            <w:vAlign w:val="top"/>
          </w:tcPr>
          <w:p w14:paraId="071B526A">
            <w:pPr>
              <w:spacing w:line="360" w:lineRule="auto"/>
              <w:jc w:val="center"/>
              <w:rPr>
                <w:rFonts w:hint="eastAsia" w:ascii="宋体" w:hAnsi="宋体" w:cs="宋体"/>
                <w:szCs w:val="21"/>
                <w:highlight w:val="none"/>
              </w:rPr>
            </w:pPr>
          </w:p>
        </w:tc>
        <w:tc>
          <w:tcPr>
            <w:tcW w:w="1745" w:type="dxa"/>
            <w:noWrap w:val="0"/>
            <w:vAlign w:val="center"/>
          </w:tcPr>
          <w:p w14:paraId="1A28455D">
            <w:pPr>
              <w:jc w:val="center"/>
              <w:rPr>
                <w:rFonts w:hint="eastAsia" w:ascii="宋体" w:hAnsi="宋体" w:cs="宋体"/>
                <w:b/>
                <w:szCs w:val="21"/>
                <w:highlight w:val="none"/>
              </w:rPr>
            </w:pPr>
          </w:p>
        </w:tc>
        <w:tc>
          <w:tcPr>
            <w:tcW w:w="1371" w:type="dxa"/>
            <w:noWrap w:val="0"/>
            <w:vAlign w:val="top"/>
          </w:tcPr>
          <w:p w14:paraId="708EC3E9">
            <w:pPr>
              <w:jc w:val="center"/>
              <w:rPr>
                <w:rFonts w:hint="eastAsia" w:ascii="宋体" w:hAnsi="宋体" w:cs="宋体"/>
                <w:szCs w:val="21"/>
                <w:highlight w:val="none"/>
              </w:rPr>
            </w:pPr>
          </w:p>
        </w:tc>
        <w:tc>
          <w:tcPr>
            <w:tcW w:w="1638" w:type="dxa"/>
            <w:noWrap w:val="0"/>
            <w:vAlign w:val="center"/>
          </w:tcPr>
          <w:p w14:paraId="09066B7F">
            <w:pPr>
              <w:jc w:val="center"/>
              <w:rPr>
                <w:rFonts w:hint="eastAsia" w:ascii="宋体" w:hAnsi="宋体" w:cs="宋体"/>
                <w:b/>
                <w:szCs w:val="21"/>
                <w:highlight w:val="none"/>
              </w:rPr>
            </w:pPr>
          </w:p>
        </w:tc>
        <w:tc>
          <w:tcPr>
            <w:tcW w:w="1581" w:type="dxa"/>
            <w:noWrap w:val="0"/>
            <w:vAlign w:val="center"/>
          </w:tcPr>
          <w:p w14:paraId="2C29002D">
            <w:pPr>
              <w:jc w:val="center"/>
              <w:rPr>
                <w:rFonts w:hint="eastAsia" w:ascii="宋体" w:hAnsi="宋体" w:cs="宋体"/>
                <w:b/>
                <w:szCs w:val="21"/>
                <w:highlight w:val="none"/>
              </w:rPr>
            </w:pPr>
          </w:p>
        </w:tc>
      </w:tr>
      <w:tr w14:paraId="22E5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167034E">
            <w:pPr>
              <w:jc w:val="center"/>
              <w:rPr>
                <w:rFonts w:hint="eastAsia" w:ascii="宋体" w:hAnsi="宋体" w:cs="宋体"/>
                <w:b/>
                <w:szCs w:val="21"/>
                <w:highlight w:val="none"/>
              </w:rPr>
            </w:pPr>
          </w:p>
        </w:tc>
        <w:tc>
          <w:tcPr>
            <w:tcW w:w="2067" w:type="dxa"/>
            <w:noWrap w:val="0"/>
            <w:vAlign w:val="top"/>
          </w:tcPr>
          <w:p w14:paraId="15795B8A">
            <w:pPr>
              <w:spacing w:line="360" w:lineRule="auto"/>
              <w:jc w:val="center"/>
              <w:rPr>
                <w:rFonts w:hint="eastAsia" w:ascii="宋体" w:hAnsi="宋体" w:cs="宋体"/>
                <w:szCs w:val="21"/>
                <w:highlight w:val="none"/>
              </w:rPr>
            </w:pPr>
          </w:p>
        </w:tc>
        <w:tc>
          <w:tcPr>
            <w:tcW w:w="1745" w:type="dxa"/>
            <w:noWrap w:val="0"/>
            <w:vAlign w:val="center"/>
          </w:tcPr>
          <w:p w14:paraId="791B3C43">
            <w:pPr>
              <w:jc w:val="center"/>
              <w:rPr>
                <w:rFonts w:hint="eastAsia" w:ascii="宋体" w:hAnsi="宋体" w:cs="宋体"/>
                <w:b/>
                <w:szCs w:val="21"/>
                <w:highlight w:val="none"/>
              </w:rPr>
            </w:pPr>
          </w:p>
        </w:tc>
        <w:tc>
          <w:tcPr>
            <w:tcW w:w="1371" w:type="dxa"/>
            <w:noWrap w:val="0"/>
            <w:vAlign w:val="top"/>
          </w:tcPr>
          <w:p w14:paraId="110D4CB7">
            <w:pPr>
              <w:jc w:val="center"/>
              <w:rPr>
                <w:rFonts w:hint="eastAsia" w:ascii="宋体" w:hAnsi="宋体" w:cs="宋体"/>
                <w:szCs w:val="21"/>
                <w:highlight w:val="none"/>
              </w:rPr>
            </w:pPr>
          </w:p>
        </w:tc>
        <w:tc>
          <w:tcPr>
            <w:tcW w:w="1638" w:type="dxa"/>
            <w:noWrap w:val="0"/>
            <w:vAlign w:val="center"/>
          </w:tcPr>
          <w:p w14:paraId="4FC56F26">
            <w:pPr>
              <w:jc w:val="center"/>
              <w:rPr>
                <w:rFonts w:hint="eastAsia" w:ascii="宋体" w:hAnsi="宋体" w:cs="宋体"/>
                <w:b/>
                <w:szCs w:val="21"/>
                <w:highlight w:val="none"/>
              </w:rPr>
            </w:pPr>
          </w:p>
        </w:tc>
        <w:tc>
          <w:tcPr>
            <w:tcW w:w="1581" w:type="dxa"/>
            <w:noWrap w:val="0"/>
            <w:vAlign w:val="center"/>
          </w:tcPr>
          <w:p w14:paraId="7714F55B">
            <w:pPr>
              <w:jc w:val="center"/>
              <w:rPr>
                <w:rFonts w:hint="eastAsia" w:ascii="宋体" w:hAnsi="宋体" w:cs="宋体"/>
                <w:b/>
                <w:szCs w:val="21"/>
                <w:highlight w:val="none"/>
              </w:rPr>
            </w:pPr>
          </w:p>
        </w:tc>
      </w:tr>
      <w:tr w14:paraId="35CA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316C2B1C">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0894797B">
            <w:pPr>
              <w:jc w:val="left"/>
              <w:rPr>
                <w:rFonts w:hint="eastAsia" w:ascii="宋体" w:hAnsi="宋体" w:cs="宋体"/>
                <w:b/>
                <w:szCs w:val="21"/>
                <w:highlight w:val="none"/>
              </w:rPr>
            </w:pPr>
            <w:r>
              <w:rPr>
                <w:rFonts w:hint="eastAsia" w:ascii="宋体" w:hAnsi="宋体" w:cs="宋体"/>
                <w:b/>
                <w:szCs w:val="21"/>
                <w:highlight w:val="none"/>
              </w:rPr>
              <w:t>￥：</w:t>
            </w:r>
          </w:p>
        </w:tc>
      </w:tr>
    </w:tbl>
    <w:p w14:paraId="2179C72D">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u w:val="single"/>
          <w:lang w:val="en-US" w:eastAsia="zh-CN"/>
        </w:rPr>
        <w:t xml:space="preserve">        </w:t>
      </w:r>
      <w:r>
        <w:rPr>
          <w:rFonts w:hint="eastAsia" w:hAnsi="宋体" w:cs="宋体"/>
          <w:bCs/>
          <w:szCs w:val="21"/>
          <w:highlight w:val="none"/>
        </w:rPr>
        <w:t>（盖章）</w:t>
      </w:r>
    </w:p>
    <w:p w14:paraId="5F9DF1BD">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：（签字或盖章）</w:t>
      </w:r>
      <w:r>
        <w:rPr>
          <w:rFonts w:hint="eastAsia" w:hAnsi="宋体" w:cs="宋体"/>
          <w:bCs/>
          <w:szCs w:val="21"/>
          <w:highlight w:val="none"/>
          <w:lang w:val="en-US" w:eastAsia="zh-CN"/>
        </w:rPr>
        <w:t xml:space="preserve"> </w:t>
      </w:r>
      <w:r>
        <w:rPr>
          <w:rFonts w:hint="eastAsia" w:hAnsi="宋体" w:cs="宋体"/>
          <w:bCs/>
          <w:szCs w:val="21"/>
          <w:highlight w:val="none"/>
          <w:u w:val="single"/>
          <w:lang w:val="en-US" w:eastAsia="zh-CN"/>
        </w:rPr>
        <w:t xml:space="preserve">       </w:t>
      </w:r>
      <w:r>
        <w:rPr>
          <w:rFonts w:hint="eastAsia" w:hAnsi="宋体" w:cs="宋体"/>
          <w:bCs/>
          <w:szCs w:val="21"/>
          <w:highlight w:val="none"/>
          <w:u w:val="single"/>
        </w:rPr>
        <w:t xml:space="preserve"> </w:t>
      </w:r>
      <w:r>
        <w:rPr>
          <w:rFonts w:hint="eastAsia" w:hAnsi="宋体" w:cs="宋体"/>
          <w:bCs/>
          <w:szCs w:val="21"/>
          <w:highlight w:val="none"/>
        </w:rPr>
        <w:t xml:space="preserve">    </w:t>
      </w:r>
    </w:p>
    <w:p w14:paraId="3C9974DA">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24EECA7B">
      <w:pPr>
        <w:spacing w:line="450" w:lineRule="atLeast"/>
        <w:jc w:val="left"/>
        <w:rPr>
          <w:rFonts w:hint="eastAsia" w:ascii="宋体" w:hAnsi="宋体" w:cs="宋体"/>
          <w:bCs/>
          <w:sz w:val="23"/>
          <w:highlight w:val="none"/>
        </w:rPr>
        <w:sectPr>
          <w:pgSz w:w="11906" w:h="16838"/>
          <w:pgMar w:top="1134" w:right="1134" w:bottom="1134" w:left="1701" w:header="850" w:footer="737" w:gutter="0"/>
          <w:cols w:space="720" w:num="1"/>
          <w:titlePg/>
          <w:docGrid w:linePitch="490" w:charSpace="0"/>
        </w:sectPr>
      </w:pPr>
    </w:p>
    <w:p w14:paraId="0BD9BE38">
      <w:pPr>
        <w:adjustRightInd w:val="0"/>
        <w:snapToGrid w:val="0"/>
        <w:spacing w:line="360" w:lineRule="auto"/>
        <w:outlineLvl w:val="1"/>
        <w:rPr>
          <w:rFonts w:hint="eastAsia" w:ascii="宋体" w:hAnsi="宋体" w:cs="宋体"/>
          <w:highlight w:val="none"/>
        </w:rPr>
      </w:pPr>
    </w:p>
    <w:p w14:paraId="51642DA1">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270D733F">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4B923294">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04E4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4F8E85A7">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52DC86E7">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31A71833">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51557A14">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2964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6AC81A10">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73738B92">
            <w:pPr>
              <w:adjustRightInd w:val="0"/>
              <w:snapToGrid w:val="0"/>
              <w:jc w:val="center"/>
              <w:rPr>
                <w:rFonts w:hint="eastAsia" w:ascii="宋体" w:hAnsi="宋体" w:cs="宋体"/>
                <w:b/>
                <w:sz w:val="24"/>
                <w:highlight w:val="none"/>
              </w:rPr>
            </w:pPr>
          </w:p>
        </w:tc>
        <w:tc>
          <w:tcPr>
            <w:tcW w:w="3519" w:type="dxa"/>
            <w:noWrap w:val="0"/>
            <w:vAlign w:val="center"/>
          </w:tcPr>
          <w:p w14:paraId="1445A8DB">
            <w:pPr>
              <w:adjustRightInd w:val="0"/>
              <w:snapToGrid w:val="0"/>
              <w:jc w:val="center"/>
              <w:rPr>
                <w:rFonts w:hint="eastAsia" w:ascii="宋体" w:hAnsi="宋体" w:cs="宋体"/>
                <w:b/>
                <w:sz w:val="24"/>
                <w:highlight w:val="none"/>
              </w:rPr>
            </w:pPr>
          </w:p>
        </w:tc>
        <w:tc>
          <w:tcPr>
            <w:tcW w:w="1987" w:type="dxa"/>
            <w:noWrap w:val="0"/>
            <w:vAlign w:val="center"/>
          </w:tcPr>
          <w:p w14:paraId="445817E6">
            <w:pPr>
              <w:adjustRightInd w:val="0"/>
              <w:snapToGrid w:val="0"/>
              <w:jc w:val="center"/>
              <w:rPr>
                <w:rFonts w:hint="eastAsia" w:ascii="宋体" w:hAnsi="宋体" w:cs="宋体"/>
                <w:b/>
                <w:sz w:val="24"/>
                <w:highlight w:val="none"/>
              </w:rPr>
            </w:pPr>
          </w:p>
        </w:tc>
      </w:tr>
      <w:tr w14:paraId="520A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93EC52E">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7FA6A9C4">
            <w:pPr>
              <w:adjustRightInd w:val="0"/>
              <w:snapToGrid w:val="0"/>
              <w:jc w:val="center"/>
              <w:rPr>
                <w:rFonts w:hint="eastAsia" w:ascii="宋体" w:hAnsi="宋体" w:cs="宋体"/>
                <w:b/>
                <w:sz w:val="24"/>
                <w:highlight w:val="none"/>
              </w:rPr>
            </w:pPr>
          </w:p>
        </w:tc>
        <w:tc>
          <w:tcPr>
            <w:tcW w:w="3519" w:type="dxa"/>
            <w:noWrap w:val="0"/>
            <w:vAlign w:val="center"/>
          </w:tcPr>
          <w:p w14:paraId="0B18C03E">
            <w:pPr>
              <w:adjustRightInd w:val="0"/>
              <w:snapToGrid w:val="0"/>
              <w:jc w:val="center"/>
              <w:rPr>
                <w:rFonts w:hint="eastAsia" w:ascii="宋体" w:hAnsi="宋体" w:cs="宋体"/>
                <w:b/>
                <w:sz w:val="24"/>
                <w:highlight w:val="none"/>
              </w:rPr>
            </w:pPr>
          </w:p>
        </w:tc>
        <w:tc>
          <w:tcPr>
            <w:tcW w:w="1987" w:type="dxa"/>
            <w:noWrap w:val="0"/>
            <w:vAlign w:val="center"/>
          </w:tcPr>
          <w:p w14:paraId="38FA1053">
            <w:pPr>
              <w:adjustRightInd w:val="0"/>
              <w:snapToGrid w:val="0"/>
              <w:jc w:val="center"/>
              <w:rPr>
                <w:rFonts w:hint="eastAsia" w:ascii="宋体" w:hAnsi="宋体" w:cs="宋体"/>
                <w:b/>
                <w:sz w:val="24"/>
                <w:highlight w:val="none"/>
              </w:rPr>
            </w:pPr>
          </w:p>
        </w:tc>
      </w:tr>
      <w:tr w14:paraId="486A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4F2F835">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057101E4">
            <w:pPr>
              <w:adjustRightInd w:val="0"/>
              <w:snapToGrid w:val="0"/>
              <w:jc w:val="center"/>
              <w:rPr>
                <w:rFonts w:hint="eastAsia" w:ascii="宋体" w:hAnsi="宋体" w:cs="宋体"/>
                <w:b/>
                <w:sz w:val="24"/>
                <w:highlight w:val="none"/>
              </w:rPr>
            </w:pPr>
          </w:p>
        </w:tc>
        <w:tc>
          <w:tcPr>
            <w:tcW w:w="3519" w:type="dxa"/>
            <w:noWrap w:val="0"/>
            <w:vAlign w:val="center"/>
          </w:tcPr>
          <w:p w14:paraId="67DDD5FE">
            <w:pPr>
              <w:adjustRightInd w:val="0"/>
              <w:snapToGrid w:val="0"/>
              <w:jc w:val="center"/>
              <w:rPr>
                <w:rFonts w:hint="eastAsia" w:ascii="宋体" w:hAnsi="宋体" w:cs="宋体"/>
                <w:b/>
                <w:sz w:val="24"/>
                <w:highlight w:val="none"/>
              </w:rPr>
            </w:pPr>
          </w:p>
        </w:tc>
        <w:tc>
          <w:tcPr>
            <w:tcW w:w="1987" w:type="dxa"/>
            <w:noWrap w:val="0"/>
            <w:vAlign w:val="center"/>
          </w:tcPr>
          <w:p w14:paraId="7D5790A5">
            <w:pPr>
              <w:adjustRightInd w:val="0"/>
              <w:snapToGrid w:val="0"/>
              <w:jc w:val="center"/>
              <w:rPr>
                <w:rFonts w:hint="eastAsia" w:ascii="宋体" w:hAnsi="宋体" w:cs="宋体"/>
                <w:b/>
                <w:sz w:val="24"/>
                <w:highlight w:val="none"/>
              </w:rPr>
            </w:pPr>
          </w:p>
        </w:tc>
      </w:tr>
      <w:tr w14:paraId="0577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8340634">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4C859E83">
            <w:pPr>
              <w:adjustRightInd w:val="0"/>
              <w:snapToGrid w:val="0"/>
              <w:jc w:val="center"/>
              <w:rPr>
                <w:rFonts w:hint="eastAsia" w:ascii="宋体" w:hAnsi="宋体" w:cs="宋体"/>
                <w:b/>
                <w:sz w:val="24"/>
                <w:highlight w:val="none"/>
              </w:rPr>
            </w:pPr>
          </w:p>
        </w:tc>
        <w:tc>
          <w:tcPr>
            <w:tcW w:w="3519" w:type="dxa"/>
            <w:noWrap w:val="0"/>
            <w:vAlign w:val="center"/>
          </w:tcPr>
          <w:p w14:paraId="15F00384">
            <w:pPr>
              <w:adjustRightInd w:val="0"/>
              <w:snapToGrid w:val="0"/>
              <w:jc w:val="center"/>
              <w:rPr>
                <w:rFonts w:hint="eastAsia" w:ascii="宋体" w:hAnsi="宋体" w:cs="宋体"/>
                <w:b/>
                <w:sz w:val="24"/>
                <w:highlight w:val="none"/>
              </w:rPr>
            </w:pPr>
          </w:p>
        </w:tc>
        <w:tc>
          <w:tcPr>
            <w:tcW w:w="1987" w:type="dxa"/>
            <w:noWrap w:val="0"/>
            <w:vAlign w:val="center"/>
          </w:tcPr>
          <w:p w14:paraId="19732142">
            <w:pPr>
              <w:adjustRightInd w:val="0"/>
              <w:snapToGrid w:val="0"/>
              <w:jc w:val="center"/>
              <w:rPr>
                <w:rFonts w:hint="eastAsia" w:ascii="宋体" w:hAnsi="宋体" w:cs="宋体"/>
                <w:b/>
                <w:sz w:val="24"/>
                <w:highlight w:val="none"/>
              </w:rPr>
            </w:pPr>
          </w:p>
        </w:tc>
      </w:tr>
      <w:tr w14:paraId="0DB4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EF6F5CD">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1334ACB">
            <w:pPr>
              <w:adjustRightInd w:val="0"/>
              <w:snapToGrid w:val="0"/>
              <w:jc w:val="center"/>
              <w:rPr>
                <w:rFonts w:hint="eastAsia" w:ascii="宋体" w:hAnsi="宋体" w:cs="宋体"/>
                <w:b/>
                <w:sz w:val="24"/>
                <w:highlight w:val="none"/>
              </w:rPr>
            </w:pPr>
          </w:p>
        </w:tc>
        <w:tc>
          <w:tcPr>
            <w:tcW w:w="3519" w:type="dxa"/>
            <w:noWrap w:val="0"/>
            <w:vAlign w:val="center"/>
          </w:tcPr>
          <w:p w14:paraId="235AAEF3">
            <w:pPr>
              <w:adjustRightInd w:val="0"/>
              <w:snapToGrid w:val="0"/>
              <w:jc w:val="center"/>
              <w:rPr>
                <w:rFonts w:hint="eastAsia" w:ascii="宋体" w:hAnsi="宋体" w:cs="宋体"/>
                <w:b/>
                <w:sz w:val="24"/>
                <w:highlight w:val="none"/>
              </w:rPr>
            </w:pPr>
          </w:p>
        </w:tc>
        <w:tc>
          <w:tcPr>
            <w:tcW w:w="1987" w:type="dxa"/>
            <w:noWrap w:val="0"/>
            <w:vAlign w:val="center"/>
          </w:tcPr>
          <w:p w14:paraId="403610A7">
            <w:pPr>
              <w:adjustRightInd w:val="0"/>
              <w:snapToGrid w:val="0"/>
              <w:jc w:val="center"/>
              <w:rPr>
                <w:rFonts w:hint="eastAsia" w:ascii="宋体" w:hAnsi="宋体" w:cs="宋体"/>
                <w:b/>
                <w:sz w:val="24"/>
                <w:highlight w:val="none"/>
              </w:rPr>
            </w:pPr>
          </w:p>
        </w:tc>
      </w:tr>
      <w:tr w14:paraId="792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FDBF064">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023242D3">
            <w:pPr>
              <w:adjustRightInd w:val="0"/>
              <w:snapToGrid w:val="0"/>
              <w:jc w:val="center"/>
              <w:rPr>
                <w:rFonts w:hint="eastAsia" w:ascii="宋体" w:hAnsi="宋体" w:cs="宋体"/>
                <w:b/>
                <w:sz w:val="24"/>
                <w:highlight w:val="none"/>
              </w:rPr>
            </w:pPr>
          </w:p>
        </w:tc>
        <w:tc>
          <w:tcPr>
            <w:tcW w:w="3519" w:type="dxa"/>
            <w:noWrap w:val="0"/>
            <w:vAlign w:val="center"/>
          </w:tcPr>
          <w:p w14:paraId="067E905C">
            <w:pPr>
              <w:adjustRightInd w:val="0"/>
              <w:snapToGrid w:val="0"/>
              <w:jc w:val="center"/>
              <w:rPr>
                <w:rFonts w:hint="eastAsia" w:ascii="宋体" w:hAnsi="宋体" w:cs="宋体"/>
                <w:b/>
                <w:sz w:val="24"/>
                <w:highlight w:val="none"/>
              </w:rPr>
            </w:pPr>
          </w:p>
        </w:tc>
        <w:tc>
          <w:tcPr>
            <w:tcW w:w="1987" w:type="dxa"/>
            <w:noWrap w:val="0"/>
            <w:vAlign w:val="center"/>
          </w:tcPr>
          <w:p w14:paraId="19AE5773">
            <w:pPr>
              <w:adjustRightInd w:val="0"/>
              <w:snapToGrid w:val="0"/>
              <w:jc w:val="center"/>
              <w:rPr>
                <w:rFonts w:hint="eastAsia" w:ascii="宋体" w:hAnsi="宋体" w:cs="宋体"/>
                <w:b/>
                <w:sz w:val="24"/>
                <w:highlight w:val="none"/>
              </w:rPr>
            </w:pPr>
          </w:p>
        </w:tc>
      </w:tr>
      <w:tr w14:paraId="376B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6E3DD6D">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02AD4D22">
            <w:pPr>
              <w:adjustRightInd w:val="0"/>
              <w:snapToGrid w:val="0"/>
              <w:jc w:val="center"/>
              <w:rPr>
                <w:rFonts w:hint="eastAsia" w:ascii="宋体" w:hAnsi="宋体" w:cs="宋体"/>
                <w:b/>
                <w:sz w:val="24"/>
                <w:highlight w:val="none"/>
              </w:rPr>
            </w:pPr>
          </w:p>
        </w:tc>
        <w:tc>
          <w:tcPr>
            <w:tcW w:w="3519" w:type="dxa"/>
            <w:noWrap w:val="0"/>
            <w:vAlign w:val="center"/>
          </w:tcPr>
          <w:p w14:paraId="28A27246">
            <w:pPr>
              <w:adjustRightInd w:val="0"/>
              <w:snapToGrid w:val="0"/>
              <w:jc w:val="center"/>
              <w:rPr>
                <w:rFonts w:hint="eastAsia" w:ascii="宋体" w:hAnsi="宋体" w:cs="宋体"/>
                <w:b/>
                <w:sz w:val="24"/>
                <w:highlight w:val="none"/>
              </w:rPr>
            </w:pPr>
          </w:p>
        </w:tc>
        <w:tc>
          <w:tcPr>
            <w:tcW w:w="1987" w:type="dxa"/>
            <w:noWrap w:val="0"/>
            <w:vAlign w:val="center"/>
          </w:tcPr>
          <w:p w14:paraId="3733E148">
            <w:pPr>
              <w:adjustRightInd w:val="0"/>
              <w:snapToGrid w:val="0"/>
              <w:jc w:val="center"/>
              <w:rPr>
                <w:rFonts w:hint="eastAsia" w:ascii="宋体" w:hAnsi="宋体" w:cs="宋体"/>
                <w:b/>
                <w:sz w:val="24"/>
                <w:highlight w:val="none"/>
              </w:rPr>
            </w:pPr>
          </w:p>
        </w:tc>
      </w:tr>
      <w:tr w14:paraId="7910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B926C36">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365BE3ED">
            <w:pPr>
              <w:adjustRightInd w:val="0"/>
              <w:snapToGrid w:val="0"/>
              <w:jc w:val="center"/>
              <w:rPr>
                <w:rFonts w:hint="eastAsia" w:ascii="宋体" w:hAnsi="宋体" w:cs="宋体"/>
                <w:b/>
                <w:sz w:val="24"/>
                <w:highlight w:val="none"/>
              </w:rPr>
            </w:pPr>
          </w:p>
        </w:tc>
        <w:tc>
          <w:tcPr>
            <w:tcW w:w="3519" w:type="dxa"/>
            <w:noWrap w:val="0"/>
            <w:vAlign w:val="center"/>
          </w:tcPr>
          <w:p w14:paraId="49046D56">
            <w:pPr>
              <w:adjustRightInd w:val="0"/>
              <w:snapToGrid w:val="0"/>
              <w:jc w:val="center"/>
              <w:rPr>
                <w:rFonts w:hint="eastAsia" w:ascii="宋体" w:hAnsi="宋体" w:cs="宋体"/>
                <w:b/>
                <w:sz w:val="24"/>
                <w:highlight w:val="none"/>
              </w:rPr>
            </w:pPr>
          </w:p>
        </w:tc>
        <w:tc>
          <w:tcPr>
            <w:tcW w:w="1987" w:type="dxa"/>
            <w:noWrap w:val="0"/>
            <w:vAlign w:val="center"/>
          </w:tcPr>
          <w:p w14:paraId="01FD98D5">
            <w:pPr>
              <w:adjustRightInd w:val="0"/>
              <w:snapToGrid w:val="0"/>
              <w:jc w:val="center"/>
              <w:rPr>
                <w:rFonts w:hint="eastAsia" w:ascii="宋体" w:hAnsi="宋体" w:cs="宋体"/>
                <w:b/>
                <w:sz w:val="24"/>
                <w:highlight w:val="none"/>
              </w:rPr>
            </w:pPr>
          </w:p>
        </w:tc>
      </w:tr>
      <w:tr w14:paraId="15D4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5E1D943">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20EECFF6">
            <w:pPr>
              <w:adjustRightInd w:val="0"/>
              <w:snapToGrid w:val="0"/>
              <w:jc w:val="center"/>
              <w:rPr>
                <w:rFonts w:hint="eastAsia" w:ascii="宋体" w:hAnsi="宋体" w:cs="宋体"/>
                <w:b/>
                <w:sz w:val="24"/>
                <w:highlight w:val="none"/>
              </w:rPr>
            </w:pPr>
          </w:p>
        </w:tc>
        <w:tc>
          <w:tcPr>
            <w:tcW w:w="3519" w:type="dxa"/>
            <w:noWrap w:val="0"/>
            <w:vAlign w:val="center"/>
          </w:tcPr>
          <w:p w14:paraId="02BC84E3">
            <w:pPr>
              <w:adjustRightInd w:val="0"/>
              <w:snapToGrid w:val="0"/>
              <w:jc w:val="center"/>
              <w:rPr>
                <w:rFonts w:hint="eastAsia" w:ascii="宋体" w:hAnsi="宋体" w:cs="宋体"/>
                <w:b/>
                <w:sz w:val="24"/>
                <w:highlight w:val="none"/>
              </w:rPr>
            </w:pPr>
          </w:p>
        </w:tc>
        <w:tc>
          <w:tcPr>
            <w:tcW w:w="1987" w:type="dxa"/>
            <w:noWrap w:val="0"/>
            <w:vAlign w:val="center"/>
          </w:tcPr>
          <w:p w14:paraId="66EA13FE">
            <w:pPr>
              <w:adjustRightInd w:val="0"/>
              <w:snapToGrid w:val="0"/>
              <w:jc w:val="center"/>
              <w:rPr>
                <w:rFonts w:hint="eastAsia" w:ascii="宋体" w:hAnsi="宋体" w:cs="宋体"/>
                <w:b/>
                <w:sz w:val="24"/>
                <w:highlight w:val="none"/>
              </w:rPr>
            </w:pPr>
          </w:p>
        </w:tc>
      </w:tr>
      <w:tr w14:paraId="5600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ADB38FF">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26314637">
            <w:pPr>
              <w:adjustRightInd w:val="0"/>
              <w:snapToGrid w:val="0"/>
              <w:jc w:val="center"/>
              <w:rPr>
                <w:rFonts w:hint="eastAsia" w:ascii="宋体" w:hAnsi="宋体" w:cs="宋体"/>
                <w:b/>
                <w:sz w:val="24"/>
                <w:highlight w:val="none"/>
              </w:rPr>
            </w:pPr>
          </w:p>
        </w:tc>
        <w:tc>
          <w:tcPr>
            <w:tcW w:w="3519" w:type="dxa"/>
            <w:noWrap w:val="0"/>
            <w:vAlign w:val="center"/>
          </w:tcPr>
          <w:p w14:paraId="64343706">
            <w:pPr>
              <w:adjustRightInd w:val="0"/>
              <w:snapToGrid w:val="0"/>
              <w:jc w:val="center"/>
              <w:rPr>
                <w:rFonts w:hint="eastAsia" w:ascii="宋体" w:hAnsi="宋体" w:cs="宋体"/>
                <w:b/>
                <w:sz w:val="24"/>
                <w:highlight w:val="none"/>
              </w:rPr>
            </w:pPr>
          </w:p>
        </w:tc>
        <w:tc>
          <w:tcPr>
            <w:tcW w:w="1987" w:type="dxa"/>
            <w:noWrap w:val="0"/>
            <w:vAlign w:val="center"/>
          </w:tcPr>
          <w:p w14:paraId="2A2721BB">
            <w:pPr>
              <w:adjustRightInd w:val="0"/>
              <w:snapToGrid w:val="0"/>
              <w:jc w:val="center"/>
              <w:rPr>
                <w:rFonts w:hint="eastAsia" w:ascii="宋体" w:hAnsi="宋体" w:cs="宋体"/>
                <w:b/>
                <w:sz w:val="24"/>
                <w:highlight w:val="none"/>
              </w:rPr>
            </w:pPr>
          </w:p>
        </w:tc>
      </w:tr>
      <w:tr w14:paraId="6206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99100D4">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7D0F7E01">
            <w:pPr>
              <w:adjustRightInd w:val="0"/>
              <w:snapToGrid w:val="0"/>
              <w:jc w:val="center"/>
              <w:rPr>
                <w:rFonts w:hint="eastAsia" w:ascii="宋体" w:hAnsi="宋体" w:cs="宋体"/>
                <w:b/>
                <w:sz w:val="24"/>
                <w:highlight w:val="none"/>
              </w:rPr>
            </w:pPr>
          </w:p>
        </w:tc>
        <w:tc>
          <w:tcPr>
            <w:tcW w:w="3519" w:type="dxa"/>
            <w:noWrap w:val="0"/>
            <w:vAlign w:val="center"/>
          </w:tcPr>
          <w:p w14:paraId="20CF6F81">
            <w:pPr>
              <w:adjustRightInd w:val="0"/>
              <w:snapToGrid w:val="0"/>
              <w:jc w:val="center"/>
              <w:rPr>
                <w:rFonts w:hint="eastAsia" w:ascii="宋体" w:hAnsi="宋体" w:cs="宋体"/>
                <w:b/>
                <w:sz w:val="24"/>
                <w:highlight w:val="none"/>
              </w:rPr>
            </w:pPr>
          </w:p>
        </w:tc>
        <w:tc>
          <w:tcPr>
            <w:tcW w:w="1987" w:type="dxa"/>
            <w:noWrap w:val="0"/>
            <w:vAlign w:val="center"/>
          </w:tcPr>
          <w:p w14:paraId="5826BF94">
            <w:pPr>
              <w:adjustRightInd w:val="0"/>
              <w:snapToGrid w:val="0"/>
              <w:jc w:val="center"/>
              <w:rPr>
                <w:rFonts w:hint="eastAsia" w:ascii="宋体" w:hAnsi="宋体" w:cs="宋体"/>
                <w:b/>
                <w:sz w:val="24"/>
                <w:highlight w:val="none"/>
              </w:rPr>
            </w:pPr>
          </w:p>
        </w:tc>
      </w:tr>
      <w:tr w14:paraId="02A2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1D4121F">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6D6F6A44">
            <w:pPr>
              <w:adjustRightInd w:val="0"/>
              <w:snapToGrid w:val="0"/>
              <w:jc w:val="center"/>
              <w:rPr>
                <w:rFonts w:hint="eastAsia" w:ascii="宋体" w:hAnsi="宋体" w:cs="宋体"/>
                <w:b/>
                <w:sz w:val="24"/>
                <w:highlight w:val="none"/>
              </w:rPr>
            </w:pPr>
          </w:p>
        </w:tc>
        <w:tc>
          <w:tcPr>
            <w:tcW w:w="3519" w:type="dxa"/>
            <w:noWrap w:val="0"/>
            <w:vAlign w:val="center"/>
          </w:tcPr>
          <w:p w14:paraId="0F1932FA">
            <w:pPr>
              <w:adjustRightInd w:val="0"/>
              <w:snapToGrid w:val="0"/>
              <w:jc w:val="center"/>
              <w:rPr>
                <w:rFonts w:hint="eastAsia" w:ascii="宋体" w:hAnsi="宋体" w:cs="宋体"/>
                <w:b/>
                <w:sz w:val="24"/>
                <w:highlight w:val="none"/>
              </w:rPr>
            </w:pPr>
          </w:p>
        </w:tc>
        <w:tc>
          <w:tcPr>
            <w:tcW w:w="1987" w:type="dxa"/>
            <w:noWrap w:val="0"/>
            <w:vAlign w:val="center"/>
          </w:tcPr>
          <w:p w14:paraId="6613A27F">
            <w:pPr>
              <w:adjustRightInd w:val="0"/>
              <w:snapToGrid w:val="0"/>
              <w:jc w:val="center"/>
              <w:rPr>
                <w:rFonts w:hint="eastAsia" w:ascii="宋体" w:hAnsi="宋体" w:cs="宋体"/>
                <w:b/>
                <w:sz w:val="24"/>
                <w:highlight w:val="none"/>
              </w:rPr>
            </w:pPr>
          </w:p>
        </w:tc>
      </w:tr>
    </w:tbl>
    <w:p w14:paraId="6D229402">
      <w:pPr>
        <w:rPr>
          <w:rFonts w:hint="eastAsia" w:ascii="宋体" w:hAnsi="宋体" w:eastAsia="宋体" w:cs="宋体"/>
          <w:b/>
          <w:bCs/>
          <w:sz w:val="32"/>
          <w:szCs w:val="48"/>
          <w:highlight w:val="none"/>
        </w:rPr>
      </w:pPr>
    </w:p>
    <w:p w14:paraId="046997C1">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1B6FF36E">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2F9C58A2">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5D165211">
      <w:pPr>
        <w:autoSpaceDE w:val="0"/>
        <w:autoSpaceDN w:val="0"/>
        <w:adjustRightInd w:val="0"/>
        <w:spacing w:line="360" w:lineRule="auto"/>
        <w:rPr>
          <w:rFonts w:hint="eastAsia" w:ascii="宋体" w:hAnsi="宋体" w:eastAsia="宋体" w:cs="宋体"/>
          <w:b/>
          <w:sz w:val="24"/>
          <w:highlight w:val="none"/>
          <w:lang w:val="zh-CN"/>
        </w:rPr>
      </w:pPr>
    </w:p>
    <w:p w14:paraId="55DFC5D9">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7C4048BD">
      <w:pPr>
        <w:tabs>
          <w:tab w:val="left" w:pos="720"/>
        </w:tabs>
        <w:jc w:val="center"/>
        <w:outlineLvl w:val="9"/>
        <w:rPr>
          <w:rFonts w:hint="eastAsia" w:ascii="宋体" w:hAnsi="宋体" w:eastAsia="宋体" w:cs="宋体"/>
          <w:b/>
          <w:bCs/>
          <w:sz w:val="32"/>
          <w:szCs w:val="48"/>
          <w:highlight w:val="none"/>
        </w:rPr>
      </w:pPr>
    </w:p>
    <w:p w14:paraId="1C0EBDA4">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7C73FA90">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59"/>
      <w:bookmarkEnd w:id="60"/>
      <w:bookmarkEnd w:id="61"/>
      <w:r>
        <w:rPr>
          <w:rFonts w:hint="eastAsia" w:ascii="宋体" w:hAnsi="宋体" w:cs="宋体"/>
          <w:b/>
          <w:bCs/>
          <w:sz w:val="32"/>
          <w:szCs w:val="48"/>
          <w:highlight w:val="none"/>
          <w:lang w:val="en-US" w:eastAsia="zh-CN"/>
        </w:rPr>
        <w:t>项目核心团队成员</w:t>
      </w:r>
    </w:p>
    <w:p w14:paraId="1B80A8D3">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6890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5D65F05A">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059B24DB">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0B041D7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28FD87CF">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4F4127C3">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1A1EB206">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299CE078">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047A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709AB5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626BAD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C67F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AB1D2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327B0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9479D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BC2D7ED">
            <w:pPr>
              <w:spacing w:line="360" w:lineRule="auto"/>
              <w:jc w:val="both"/>
              <w:rPr>
                <w:rFonts w:hint="eastAsia" w:ascii="宋体" w:hAnsi="宋体" w:eastAsia="宋体" w:cs="宋体"/>
                <w:b w:val="0"/>
                <w:sz w:val="21"/>
                <w:szCs w:val="21"/>
                <w:highlight w:val="none"/>
              </w:rPr>
            </w:pPr>
          </w:p>
        </w:tc>
      </w:tr>
      <w:tr w14:paraId="56DA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70EB5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6A4EC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262E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C7136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0B29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89A28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654B701">
            <w:pPr>
              <w:spacing w:line="360" w:lineRule="auto"/>
              <w:jc w:val="both"/>
              <w:rPr>
                <w:rFonts w:hint="eastAsia" w:ascii="宋体" w:hAnsi="宋体" w:eastAsia="宋体" w:cs="宋体"/>
                <w:b w:val="0"/>
                <w:sz w:val="21"/>
                <w:szCs w:val="21"/>
                <w:highlight w:val="none"/>
              </w:rPr>
            </w:pPr>
          </w:p>
        </w:tc>
      </w:tr>
      <w:tr w14:paraId="4E1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FB84E1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6014B6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B26D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6D04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B704D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85672F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1AFFB95">
            <w:pPr>
              <w:spacing w:line="360" w:lineRule="auto"/>
              <w:jc w:val="both"/>
              <w:rPr>
                <w:rFonts w:hint="eastAsia" w:ascii="宋体" w:hAnsi="宋体" w:eastAsia="宋体" w:cs="宋体"/>
                <w:b w:val="0"/>
                <w:sz w:val="21"/>
                <w:szCs w:val="21"/>
                <w:highlight w:val="none"/>
              </w:rPr>
            </w:pPr>
          </w:p>
        </w:tc>
      </w:tr>
      <w:tr w14:paraId="0B4B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4D2EFC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2A68D9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E866B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FA2DF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78E0E2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2D4A17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943539D">
            <w:pPr>
              <w:spacing w:line="360" w:lineRule="auto"/>
              <w:jc w:val="both"/>
              <w:rPr>
                <w:rFonts w:hint="eastAsia" w:ascii="宋体" w:hAnsi="宋体" w:eastAsia="宋体" w:cs="宋体"/>
                <w:b w:val="0"/>
                <w:sz w:val="21"/>
                <w:szCs w:val="21"/>
                <w:highlight w:val="none"/>
              </w:rPr>
            </w:pPr>
          </w:p>
        </w:tc>
      </w:tr>
      <w:tr w14:paraId="6AFC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0C13FD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0E2A0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50140D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6FFA7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A2C55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25A94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3FDD236">
            <w:pPr>
              <w:spacing w:line="360" w:lineRule="auto"/>
              <w:jc w:val="both"/>
              <w:rPr>
                <w:rFonts w:hint="eastAsia" w:ascii="宋体" w:hAnsi="宋体" w:eastAsia="宋体" w:cs="宋体"/>
                <w:b w:val="0"/>
                <w:sz w:val="21"/>
                <w:szCs w:val="21"/>
                <w:highlight w:val="none"/>
              </w:rPr>
            </w:pPr>
          </w:p>
        </w:tc>
      </w:tr>
      <w:tr w14:paraId="1150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CDEF9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D15F16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7FF4E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8398E2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397C34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C92566">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F000878">
            <w:pPr>
              <w:spacing w:line="360" w:lineRule="auto"/>
              <w:jc w:val="both"/>
              <w:rPr>
                <w:rFonts w:hint="eastAsia" w:ascii="宋体" w:hAnsi="宋体" w:eastAsia="宋体" w:cs="宋体"/>
                <w:b w:val="0"/>
                <w:sz w:val="21"/>
                <w:szCs w:val="21"/>
                <w:highlight w:val="none"/>
              </w:rPr>
            </w:pPr>
          </w:p>
        </w:tc>
      </w:tr>
      <w:tr w14:paraId="5894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F97BF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2F4A9E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387013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4D0A9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DE2B8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A39974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F41E030">
            <w:pPr>
              <w:spacing w:line="360" w:lineRule="auto"/>
              <w:jc w:val="both"/>
              <w:rPr>
                <w:rFonts w:hint="eastAsia" w:ascii="宋体" w:hAnsi="宋体" w:eastAsia="宋体" w:cs="宋体"/>
                <w:b w:val="0"/>
                <w:sz w:val="21"/>
                <w:szCs w:val="21"/>
                <w:highlight w:val="none"/>
              </w:rPr>
            </w:pPr>
          </w:p>
        </w:tc>
      </w:tr>
      <w:tr w14:paraId="4EAC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0F526D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0465A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2B96C9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9743E6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144F3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0E3A33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23B5FD9">
            <w:pPr>
              <w:spacing w:line="360" w:lineRule="auto"/>
              <w:jc w:val="both"/>
              <w:rPr>
                <w:rFonts w:hint="eastAsia" w:ascii="宋体" w:hAnsi="宋体" w:eastAsia="宋体" w:cs="宋体"/>
                <w:b w:val="0"/>
                <w:sz w:val="21"/>
                <w:szCs w:val="21"/>
                <w:highlight w:val="none"/>
              </w:rPr>
            </w:pPr>
          </w:p>
        </w:tc>
      </w:tr>
      <w:tr w14:paraId="7478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47831C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34941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9278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407E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F116A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15955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E341104">
            <w:pPr>
              <w:spacing w:line="360" w:lineRule="auto"/>
              <w:jc w:val="both"/>
              <w:rPr>
                <w:rFonts w:hint="eastAsia" w:ascii="宋体" w:hAnsi="宋体" w:eastAsia="宋体" w:cs="宋体"/>
                <w:b w:val="0"/>
                <w:sz w:val="21"/>
                <w:szCs w:val="21"/>
                <w:highlight w:val="none"/>
              </w:rPr>
            </w:pPr>
          </w:p>
        </w:tc>
      </w:tr>
      <w:tr w14:paraId="6E69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7994D74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3B2B2E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CED58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11754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6AE44E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7B4388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7E0C57">
            <w:pPr>
              <w:spacing w:line="360" w:lineRule="auto"/>
              <w:jc w:val="both"/>
              <w:rPr>
                <w:rFonts w:hint="eastAsia" w:ascii="宋体" w:hAnsi="宋体" w:eastAsia="宋体" w:cs="宋体"/>
                <w:b w:val="0"/>
                <w:sz w:val="21"/>
                <w:szCs w:val="21"/>
                <w:highlight w:val="none"/>
              </w:rPr>
            </w:pPr>
          </w:p>
        </w:tc>
      </w:tr>
      <w:tr w14:paraId="36DC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64217E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9622AA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4D098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3BB89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34DEDF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CA7578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5D43B55">
            <w:pPr>
              <w:spacing w:line="360" w:lineRule="auto"/>
              <w:jc w:val="both"/>
              <w:rPr>
                <w:rFonts w:hint="eastAsia" w:ascii="宋体" w:hAnsi="宋体" w:eastAsia="宋体" w:cs="宋体"/>
                <w:b w:val="0"/>
                <w:sz w:val="21"/>
                <w:szCs w:val="21"/>
                <w:highlight w:val="none"/>
              </w:rPr>
            </w:pPr>
          </w:p>
        </w:tc>
      </w:tr>
      <w:tr w14:paraId="5D7E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71F1A23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8E026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98318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C4F6A3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1E9308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388DBEB">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05AE09D">
            <w:pPr>
              <w:spacing w:line="360" w:lineRule="auto"/>
              <w:jc w:val="both"/>
              <w:rPr>
                <w:rFonts w:hint="eastAsia" w:ascii="宋体" w:hAnsi="宋体" w:eastAsia="宋体" w:cs="宋体"/>
                <w:b w:val="0"/>
                <w:sz w:val="21"/>
                <w:szCs w:val="21"/>
                <w:highlight w:val="none"/>
              </w:rPr>
            </w:pPr>
          </w:p>
        </w:tc>
      </w:tr>
      <w:tr w14:paraId="69F3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2D161C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CAEF0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14F63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0E6D3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719E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0A3539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4B130AB">
            <w:pPr>
              <w:spacing w:line="360" w:lineRule="auto"/>
              <w:jc w:val="both"/>
              <w:rPr>
                <w:rFonts w:hint="eastAsia" w:ascii="宋体" w:hAnsi="宋体" w:eastAsia="宋体" w:cs="宋体"/>
                <w:b w:val="0"/>
                <w:sz w:val="21"/>
                <w:szCs w:val="21"/>
                <w:highlight w:val="none"/>
              </w:rPr>
            </w:pPr>
          </w:p>
        </w:tc>
      </w:tr>
    </w:tbl>
    <w:p w14:paraId="732B307C">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78A845EE">
      <w:pPr>
        <w:tabs>
          <w:tab w:val="left" w:pos="720"/>
        </w:tabs>
        <w:ind w:left="0" w:firstLine="0"/>
        <w:jc w:val="center"/>
        <w:outlineLvl w:val="9"/>
        <w:rPr>
          <w:rFonts w:hint="eastAsia" w:ascii="宋体" w:hAnsi="宋体" w:eastAsia="宋体" w:cs="宋体"/>
          <w:b/>
          <w:bCs/>
          <w:sz w:val="32"/>
          <w:szCs w:val="48"/>
          <w:highlight w:val="none"/>
        </w:rPr>
      </w:pPr>
      <w:bookmarkStart w:id="62" w:name="_Toc3912"/>
      <w:bookmarkStart w:id="63" w:name="_Toc382396579"/>
      <w:bookmarkStart w:id="64" w:name="_Toc184635147"/>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62"/>
      <w:bookmarkEnd w:id="63"/>
      <w:bookmarkEnd w:id="64"/>
    </w:p>
    <w:p w14:paraId="5B1F4ED1">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22BF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3087A981">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35FC3E8A">
            <w:pPr>
              <w:spacing w:line="300" w:lineRule="exact"/>
              <w:rPr>
                <w:rFonts w:hint="eastAsia" w:ascii="宋体" w:hAnsi="宋体" w:eastAsia="宋体" w:cs="宋体"/>
                <w:b w:val="0"/>
                <w:sz w:val="21"/>
                <w:szCs w:val="21"/>
                <w:highlight w:val="none"/>
              </w:rPr>
            </w:pPr>
          </w:p>
        </w:tc>
      </w:tr>
      <w:tr w14:paraId="1AEC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5959B08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6101B38A">
            <w:pPr>
              <w:spacing w:line="300" w:lineRule="exact"/>
              <w:rPr>
                <w:rFonts w:hint="eastAsia" w:ascii="宋体" w:hAnsi="宋体" w:eastAsia="宋体" w:cs="宋体"/>
                <w:b w:val="0"/>
                <w:sz w:val="21"/>
                <w:szCs w:val="21"/>
                <w:highlight w:val="none"/>
              </w:rPr>
            </w:pPr>
          </w:p>
        </w:tc>
        <w:tc>
          <w:tcPr>
            <w:tcW w:w="1089" w:type="dxa"/>
            <w:noWrap w:val="0"/>
            <w:vAlign w:val="center"/>
          </w:tcPr>
          <w:p w14:paraId="0D1F68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0F17077B">
            <w:pPr>
              <w:spacing w:line="300" w:lineRule="exact"/>
              <w:rPr>
                <w:rFonts w:hint="eastAsia" w:ascii="宋体" w:hAnsi="宋体" w:eastAsia="宋体" w:cs="宋体"/>
                <w:b w:val="0"/>
                <w:sz w:val="21"/>
                <w:szCs w:val="21"/>
                <w:highlight w:val="none"/>
              </w:rPr>
            </w:pPr>
          </w:p>
        </w:tc>
      </w:tr>
      <w:tr w14:paraId="436A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143F93B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54E739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0A39AEDB">
            <w:pPr>
              <w:spacing w:line="300" w:lineRule="exact"/>
              <w:rPr>
                <w:rFonts w:hint="eastAsia" w:ascii="宋体" w:hAnsi="宋体" w:eastAsia="宋体" w:cs="宋体"/>
                <w:b w:val="0"/>
                <w:sz w:val="21"/>
                <w:szCs w:val="21"/>
                <w:highlight w:val="none"/>
              </w:rPr>
            </w:pPr>
          </w:p>
        </w:tc>
        <w:tc>
          <w:tcPr>
            <w:tcW w:w="1089" w:type="dxa"/>
            <w:noWrap w:val="0"/>
            <w:vAlign w:val="center"/>
          </w:tcPr>
          <w:p w14:paraId="6E7E914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6067B44F">
            <w:pPr>
              <w:spacing w:line="300" w:lineRule="exact"/>
              <w:rPr>
                <w:rFonts w:hint="eastAsia" w:ascii="宋体" w:hAnsi="宋体" w:eastAsia="宋体" w:cs="宋体"/>
                <w:b w:val="0"/>
                <w:sz w:val="21"/>
                <w:szCs w:val="21"/>
                <w:highlight w:val="none"/>
              </w:rPr>
            </w:pPr>
          </w:p>
        </w:tc>
      </w:tr>
      <w:tr w14:paraId="424B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285C382D">
            <w:pPr>
              <w:spacing w:line="300" w:lineRule="exact"/>
              <w:rPr>
                <w:rFonts w:hint="eastAsia" w:ascii="宋体" w:hAnsi="宋体" w:eastAsia="宋体" w:cs="宋体"/>
                <w:b w:val="0"/>
                <w:sz w:val="21"/>
                <w:szCs w:val="21"/>
                <w:highlight w:val="none"/>
              </w:rPr>
            </w:pPr>
          </w:p>
        </w:tc>
        <w:tc>
          <w:tcPr>
            <w:tcW w:w="1077" w:type="dxa"/>
            <w:noWrap w:val="0"/>
            <w:vAlign w:val="center"/>
          </w:tcPr>
          <w:p w14:paraId="15F1F9C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21BFD41C">
            <w:pPr>
              <w:spacing w:line="300" w:lineRule="exact"/>
              <w:rPr>
                <w:rFonts w:hint="eastAsia" w:ascii="宋体" w:hAnsi="宋体" w:eastAsia="宋体" w:cs="宋体"/>
                <w:b w:val="0"/>
                <w:sz w:val="21"/>
                <w:szCs w:val="21"/>
                <w:highlight w:val="none"/>
              </w:rPr>
            </w:pPr>
          </w:p>
        </w:tc>
        <w:tc>
          <w:tcPr>
            <w:tcW w:w="1089" w:type="dxa"/>
            <w:noWrap w:val="0"/>
            <w:vAlign w:val="center"/>
          </w:tcPr>
          <w:p w14:paraId="1CC7C26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296EE82A">
            <w:pPr>
              <w:spacing w:line="300" w:lineRule="exact"/>
              <w:rPr>
                <w:rFonts w:hint="eastAsia" w:ascii="宋体" w:hAnsi="宋体" w:eastAsia="宋体" w:cs="宋体"/>
                <w:b w:val="0"/>
                <w:sz w:val="21"/>
                <w:szCs w:val="21"/>
                <w:highlight w:val="none"/>
              </w:rPr>
            </w:pPr>
          </w:p>
        </w:tc>
      </w:tr>
      <w:tr w14:paraId="7F86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691B341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4568A420">
            <w:pPr>
              <w:spacing w:line="300" w:lineRule="exact"/>
              <w:rPr>
                <w:rFonts w:hint="eastAsia" w:ascii="宋体" w:hAnsi="宋体" w:eastAsia="宋体" w:cs="宋体"/>
                <w:b w:val="0"/>
                <w:sz w:val="21"/>
                <w:szCs w:val="21"/>
                <w:highlight w:val="none"/>
              </w:rPr>
            </w:pPr>
          </w:p>
        </w:tc>
      </w:tr>
      <w:tr w14:paraId="625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41A7F6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1082BD9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553945DF">
            <w:pPr>
              <w:spacing w:line="300" w:lineRule="exact"/>
              <w:rPr>
                <w:rFonts w:hint="eastAsia" w:ascii="宋体" w:hAnsi="宋体" w:eastAsia="宋体" w:cs="宋体"/>
                <w:b w:val="0"/>
                <w:sz w:val="21"/>
                <w:szCs w:val="21"/>
                <w:highlight w:val="none"/>
              </w:rPr>
            </w:pPr>
          </w:p>
        </w:tc>
        <w:tc>
          <w:tcPr>
            <w:tcW w:w="1252" w:type="dxa"/>
            <w:noWrap w:val="0"/>
            <w:vAlign w:val="center"/>
          </w:tcPr>
          <w:p w14:paraId="74BB00E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53CAF5A0">
            <w:pPr>
              <w:spacing w:line="300" w:lineRule="exact"/>
              <w:rPr>
                <w:rFonts w:hint="eastAsia" w:ascii="宋体" w:hAnsi="宋体" w:eastAsia="宋体" w:cs="宋体"/>
                <w:b w:val="0"/>
                <w:sz w:val="21"/>
                <w:szCs w:val="21"/>
                <w:highlight w:val="none"/>
              </w:rPr>
            </w:pPr>
          </w:p>
        </w:tc>
        <w:tc>
          <w:tcPr>
            <w:tcW w:w="900" w:type="dxa"/>
            <w:noWrap w:val="0"/>
            <w:vAlign w:val="center"/>
          </w:tcPr>
          <w:p w14:paraId="663499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0F2DEACA">
            <w:pPr>
              <w:spacing w:line="300" w:lineRule="exact"/>
              <w:rPr>
                <w:rFonts w:hint="eastAsia" w:ascii="宋体" w:hAnsi="宋体" w:eastAsia="宋体" w:cs="宋体"/>
                <w:b w:val="0"/>
                <w:sz w:val="21"/>
                <w:szCs w:val="21"/>
                <w:highlight w:val="none"/>
              </w:rPr>
            </w:pPr>
          </w:p>
        </w:tc>
      </w:tr>
      <w:tr w14:paraId="781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211CD35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7994877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623F5DC">
            <w:pPr>
              <w:spacing w:line="300" w:lineRule="exact"/>
              <w:rPr>
                <w:rFonts w:hint="eastAsia" w:ascii="宋体" w:hAnsi="宋体" w:eastAsia="宋体" w:cs="宋体"/>
                <w:b w:val="0"/>
                <w:sz w:val="21"/>
                <w:szCs w:val="21"/>
                <w:highlight w:val="none"/>
              </w:rPr>
            </w:pPr>
          </w:p>
        </w:tc>
        <w:tc>
          <w:tcPr>
            <w:tcW w:w="1252" w:type="dxa"/>
            <w:noWrap w:val="0"/>
            <w:vAlign w:val="center"/>
          </w:tcPr>
          <w:p w14:paraId="2A8598A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4F7FD050">
            <w:pPr>
              <w:spacing w:line="300" w:lineRule="exact"/>
              <w:rPr>
                <w:rFonts w:hint="eastAsia" w:ascii="宋体" w:hAnsi="宋体" w:eastAsia="宋体" w:cs="宋体"/>
                <w:b w:val="0"/>
                <w:sz w:val="21"/>
                <w:szCs w:val="21"/>
                <w:highlight w:val="none"/>
              </w:rPr>
            </w:pPr>
          </w:p>
        </w:tc>
        <w:tc>
          <w:tcPr>
            <w:tcW w:w="900" w:type="dxa"/>
            <w:noWrap w:val="0"/>
            <w:vAlign w:val="center"/>
          </w:tcPr>
          <w:p w14:paraId="7A23C66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4664DA02">
            <w:pPr>
              <w:spacing w:line="300" w:lineRule="exact"/>
              <w:rPr>
                <w:rFonts w:hint="eastAsia" w:ascii="宋体" w:hAnsi="宋体" w:eastAsia="宋体" w:cs="宋体"/>
                <w:b w:val="0"/>
                <w:sz w:val="21"/>
                <w:szCs w:val="21"/>
                <w:highlight w:val="none"/>
              </w:rPr>
            </w:pPr>
          </w:p>
        </w:tc>
      </w:tr>
      <w:tr w14:paraId="4897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D2BBEF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3619DF5B">
            <w:pPr>
              <w:spacing w:line="300" w:lineRule="exact"/>
              <w:rPr>
                <w:rFonts w:hint="eastAsia" w:ascii="宋体" w:hAnsi="宋体" w:eastAsia="宋体" w:cs="宋体"/>
                <w:b w:val="0"/>
                <w:sz w:val="21"/>
                <w:szCs w:val="21"/>
                <w:highlight w:val="none"/>
              </w:rPr>
            </w:pPr>
          </w:p>
        </w:tc>
      </w:tr>
      <w:tr w14:paraId="5D5A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F90FFB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63120DE4">
            <w:pPr>
              <w:spacing w:line="300" w:lineRule="exact"/>
              <w:rPr>
                <w:rFonts w:hint="eastAsia" w:ascii="宋体" w:hAnsi="宋体" w:eastAsia="宋体" w:cs="宋体"/>
                <w:b w:val="0"/>
                <w:sz w:val="21"/>
                <w:szCs w:val="21"/>
                <w:highlight w:val="none"/>
              </w:rPr>
            </w:pPr>
          </w:p>
        </w:tc>
      </w:tr>
      <w:tr w14:paraId="32DE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281E0E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428F0298">
            <w:pPr>
              <w:spacing w:line="300" w:lineRule="exact"/>
              <w:rPr>
                <w:rFonts w:hint="eastAsia" w:ascii="宋体" w:hAnsi="宋体" w:eastAsia="宋体" w:cs="宋体"/>
                <w:b w:val="0"/>
                <w:sz w:val="21"/>
                <w:szCs w:val="21"/>
                <w:highlight w:val="none"/>
              </w:rPr>
            </w:pPr>
          </w:p>
        </w:tc>
      </w:tr>
      <w:tr w14:paraId="3552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1EF5890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1601FEF6">
            <w:pPr>
              <w:spacing w:line="300" w:lineRule="exact"/>
              <w:rPr>
                <w:rFonts w:hint="eastAsia" w:ascii="宋体" w:hAnsi="宋体" w:eastAsia="宋体" w:cs="宋体"/>
                <w:b w:val="0"/>
                <w:sz w:val="21"/>
                <w:szCs w:val="21"/>
                <w:highlight w:val="none"/>
              </w:rPr>
            </w:pPr>
          </w:p>
        </w:tc>
      </w:tr>
      <w:tr w14:paraId="4568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5BC0079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49ADF2BC">
            <w:pPr>
              <w:spacing w:line="300" w:lineRule="exact"/>
              <w:rPr>
                <w:rFonts w:hint="eastAsia" w:ascii="宋体" w:hAnsi="宋体" w:eastAsia="宋体" w:cs="宋体"/>
                <w:b w:val="0"/>
                <w:sz w:val="21"/>
                <w:szCs w:val="21"/>
                <w:highlight w:val="none"/>
              </w:rPr>
            </w:pPr>
          </w:p>
        </w:tc>
      </w:tr>
      <w:tr w14:paraId="1E2F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6DD685E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70702009">
            <w:pPr>
              <w:spacing w:line="300" w:lineRule="exact"/>
              <w:rPr>
                <w:rFonts w:hint="eastAsia" w:ascii="宋体" w:hAnsi="宋体" w:eastAsia="宋体" w:cs="宋体"/>
                <w:b w:val="0"/>
                <w:sz w:val="21"/>
                <w:szCs w:val="21"/>
                <w:highlight w:val="none"/>
              </w:rPr>
            </w:pPr>
          </w:p>
        </w:tc>
      </w:tr>
      <w:tr w14:paraId="738E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28A7A25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262601AA">
            <w:pPr>
              <w:spacing w:line="300" w:lineRule="exact"/>
              <w:ind w:firstLine="420" w:firstLineChars="200"/>
              <w:rPr>
                <w:rFonts w:hint="eastAsia" w:ascii="宋体" w:hAnsi="宋体" w:eastAsia="宋体" w:cs="宋体"/>
                <w:b w:val="0"/>
                <w:sz w:val="21"/>
                <w:szCs w:val="21"/>
                <w:highlight w:val="none"/>
              </w:rPr>
            </w:pPr>
          </w:p>
        </w:tc>
      </w:tr>
    </w:tbl>
    <w:p w14:paraId="484BFF62">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138B3D55">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146C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48D062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A04FFFA">
            <w:pPr>
              <w:spacing w:line="300" w:lineRule="exact"/>
              <w:ind w:left="-10" w:leftChars="-5" w:firstLine="2" w:firstLineChars="1"/>
              <w:rPr>
                <w:rFonts w:hint="eastAsia" w:ascii="宋体" w:hAnsi="宋体" w:eastAsia="宋体" w:cs="宋体"/>
                <w:b w:val="0"/>
                <w:sz w:val="21"/>
                <w:szCs w:val="21"/>
                <w:highlight w:val="none"/>
              </w:rPr>
            </w:pPr>
          </w:p>
        </w:tc>
      </w:tr>
      <w:tr w14:paraId="3069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02B1CB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27B8198">
            <w:pPr>
              <w:spacing w:line="300" w:lineRule="exact"/>
              <w:ind w:left="-10" w:leftChars="-5" w:firstLine="2" w:firstLineChars="1"/>
              <w:rPr>
                <w:rFonts w:hint="eastAsia" w:ascii="宋体" w:hAnsi="宋体" w:eastAsia="宋体" w:cs="宋体"/>
                <w:b w:val="0"/>
                <w:sz w:val="21"/>
                <w:szCs w:val="21"/>
                <w:highlight w:val="none"/>
              </w:rPr>
            </w:pPr>
          </w:p>
        </w:tc>
      </w:tr>
      <w:tr w14:paraId="1CB5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A27563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B17C299">
            <w:pPr>
              <w:spacing w:line="300" w:lineRule="exact"/>
              <w:ind w:left="-10" w:leftChars="-5" w:firstLine="2" w:firstLineChars="1"/>
              <w:rPr>
                <w:rFonts w:hint="eastAsia" w:ascii="宋体" w:hAnsi="宋体" w:eastAsia="宋体" w:cs="宋体"/>
                <w:b w:val="0"/>
                <w:sz w:val="21"/>
                <w:szCs w:val="21"/>
                <w:highlight w:val="none"/>
              </w:rPr>
            </w:pPr>
          </w:p>
        </w:tc>
      </w:tr>
      <w:tr w14:paraId="5835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A23F6D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BBD057B">
            <w:pPr>
              <w:spacing w:line="300" w:lineRule="exact"/>
              <w:ind w:left="-10" w:leftChars="-5" w:firstLine="2" w:firstLineChars="1"/>
              <w:rPr>
                <w:rFonts w:hint="eastAsia" w:ascii="宋体" w:hAnsi="宋体" w:eastAsia="宋体" w:cs="宋体"/>
                <w:b w:val="0"/>
                <w:sz w:val="21"/>
                <w:szCs w:val="21"/>
                <w:highlight w:val="none"/>
              </w:rPr>
            </w:pPr>
          </w:p>
        </w:tc>
      </w:tr>
      <w:tr w14:paraId="2671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CC2CC0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CDA0615">
            <w:pPr>
              <w:spacing w:line="300" w:lineRule="exact"/>
              <w:ind w:left="-10" w:leftChars="-5" w:firstLine="2" w:firstLineChars="1"/>
              <w:rPr>
                <w:rFonts w:hint="eastAsia" w:ascii="宋体" w:hAnsi="宋体" w:eastAsia="宋体" w:cs="宋体"/>
                <w:b w:val="0"/>
                <w:sz w:val="21"/>
                <w:szCs w:val="21"/>
                <w:highlight w:val="none"/>
              </w:rPr>
            </w:pPr>
          </w:p>
        </w:tc>
      </w:tr>
      <w:tr w14:paraId="40C1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56627C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67BDA8C">
            <w:pPr>
              <w:spacing w:line="300" w:lineRule="exact"/>
              <w:ind w:left="-10" w:leftChars="-5" w:firstLine="2" w:firstLineChars="1"/>
              <w:rPr>
                <w:rFonts w:hint="eastAsia" w:ascii="宋体" w:hAnsi="宋体" w:eastAsia="宋体" w:cs="宋体"/>
                <w:b w:val="0"/>
                <w:sz w:val="21"/>
                <w:szCs w:val="21"/>
                <w:highlight w:val="none"/>
              </w:rPr>
            </w:pPr>
          </w:p>
        </w:tc>
      </w:tr>
      <w:tr w14:paraId="4946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33A8935">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6E779A6">
            <w:pPr>
              <w:spacing w:line="300" w:lineRule="exact"/>
              <w:ind w:left="-10" w:leftChars="-5" w:firstLine="2" w:firstLineChars="1"/>
              <w:rPr>
                <w:rFonts w:hint="eastAsia" w:ascii="宋体" w:hAnsi="宋体" w:eastAsia="宋体" w:cs="宋体"/>
                <w:b w:val="0"/>
                <w:sz w:val="21"/>
                <w:szCs w:val="21"/>
                <w:highlight w:val="none"/>
              </w:rPr>
            </w:pPr>
          </w:p>
        </w:tc>
      </w:tr>
      <w:tr w14:paraId="6737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BFB35E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3C261B8">
            <w:pPr>
              <w:spacing w:line="300" w:lineRule="exact"/>
              <w:ind w:left="-10" w:leftChars="-5" w:firstLine="2" w:firstLineChars="1"/>
              <w:rPr>
                <w:rFonts w:hint="eastAsia" w:ascii="宋体" w:hAnsi="宋体" w:eastAsia="宋体" w:cs="宋体"/>
                <w:b w:val="0"/>
                <w:sz w:val="21"/>
                <w:szCs w:val="21"/>
                <w:highlight w:val="none"/>
              </w:rPr>
            </w:pPr>
          </w:p>
        </w:tc>
      </w:tr>
      <w:tr w14:paraId="2649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8D5BA57">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A18196D">
            <w:pPr>
              <w:spacing w:line="300" w:lineRule="exact"/>
              <w:ind w:left="-10" w:leftChars="-5" w:firstLine="2" w:firstLineChars="1"/>
              <w:rPr>
                <w:rFonts w:hint="eastAsia" w:ascii="宋体" w:hAnsi="宋体" w:eastAsia="宋体" w:cs="宋体"/>
                <w:b w:val="0"/>
                <w:sz w:val="21"/>
                <w:szCs w:val="21"/>
                <w:highlight w:val="none"/>
              </w:rPr>
            </w:pPr>
          </w:p>
        </w:tc>
      </w:tr>
      <w:tr w14:paraId="3C7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878A6A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B029390">
            <w:pPr>
              <w:spacing w:line="300" w:lineRule="exact"/>
              <w:ind w:left="-10" w:leftChars="-5" w:firstLine="2" w:firstLineChars="1"/>
              <w:rPr>
                <w:rFonts w:hint="eastAsia" w:ascii="宋体" w:hAnsi="宋体" w:eastAsia="宋体" w:cs="宋体"/>
                <w:b w:val="0"/>
                <w:sz w:val="21"/>
                <w:szCs w:val="21"/>
                <w:highlight w:val="none"/>
              </w:rPr>
            </w:pPr>
          </w:p>
        </w:tc>
      </w:tr>
      <w:tr w14:paraId="0894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CBA27D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E79BF2B">
            <w:pPr>
              <w:spacing w:line="300" w:lineRule="exact"/>
              <w:ind w:left="-13" w:leftChars="-6"/>
              <w:rPr>
                <w:rFonts w:hint="eastAsia" w:ascii="宋体" w:hAnsi="宋体" w:eastAsia="宋体" w:cs="宋体"/>
                <w:b w:val="0"/>
                <w:sz w:val="21"/>
                <w:szCs w:val="21"/>
                <w:highlight w:val="none"/>
              </w:rPr>
            </w:pPr>
          </w:p>
        </w:tc>
      </w:tr>
    </w:tbl>
    <w:p w14:paraId="3417DB99">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4CE395E">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51055B4D">
      <w:pPr>
        <w:rPr>
          <w:rFonts w:hint="eastAsia" w:ascii="宋体" w:hAnsi="宋体" w:eastAsia="宋体" w:cs="宋体"/>
          <w:highlight w:val="none"/>
        </w:rPr>
      </w:pPr>
      <w:bookmarkStart w:id="65" w:name="_Toc184635148"/>
      <w:bookmarkStart w:id="66" w:name="_Toc382396580"/>
      <w:r>
        <w:rPr>
          <w:rFonts w:hint="eastAsia" w:ascii="宋体" w:hAnsi="宋体" w:eastAsia="宋体" w:cs="宋体"/>
          <w:sz w:val="21"/>
          <w:szCs w:val="21"/>
          <w:highlight w:val="none"/>
        </w:rPr>
        <w:br w:type="page"/>
      </w:r>
    </w:p>
    <w:p w14:paraId="627177EF">
      <w:pPr>
        <w:spacing w:line="480" w:lineRule="auto"/>
        <w:jc w:val="center"/>
        <w:rPr>
          <w:rFonts w:hint="eastAsia" w:ascii="宋体" w:hAnsi="宋体" w:eastAsia="宋体" w:cs="宋体"/>
          <w:b/>
          <w:bCs/>
          <w:color w:val="auto"/>
          <w:szCs w:val="21"/>
          <w:highlight w:val="none"/>
          <w:lang w:eastAsia="zh-CN"/>
        </w:rPr>
      </w:pPr>
      <w:bookmarkStart w:id="67" w:name="_Toc31214"/>
      <w:r>
        <w:rPr>
          <w:rFonts w:hint="eastAsia" w:ascii="宋体" w:hAnsi="宋体" w:eastAsia="宋体" w:cs="宋体"/>
          <w:b/>
          <w:bCs/>
          <w:color w:val="auto"/>
          <w:szCs w:val="21"/>
          <w:highlight w:val="none"/>
          <w:lang w:eastAsia="zh-CN"/>
        </w:rPr>
        <w:t>资格条件承诺函</w:t>
      </w:r>
    </w:p>
    <w:p w14:paraId="783D61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6EEA6764">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4DA6FF4">
      <w:pPr>
        <w:keepNext w:val="0"/>
        <w:keepLines w:val="0"/>
        <w:pageBreakBefore w:val="0"/>
        <w:widowControl w:val="0"/>
        <w:numPr>
          <w:ilvl w:val="0"/>
          <w:numId w:val="5"/>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3A773608">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4D0FCA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27C1E37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3DCB07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7EB5CE5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7A43D23E">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6160D70D">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7E1BCED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57D4ED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39738C0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3F96AA38">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65"/>
      <w:bookmarkEnd w:id="66"/>
      <w:bookmarkEnd w:id="67"/>
    </w:p>
    <w:p w14:paraId="4647AA27">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402F14E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41FDBBFA">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68" w:name="_Toc217869471"/>
      <w:bookmarkStart w:id="69"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68"/>
      <w:bookmarkEnd w:id="69"/>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5542C294">
      <w:pPr>
        <w:autoSpaceDE w:val="0"/>
        <w:autoSpaceDN w:val="0"/>
        <w:adjustRightInd w:val="0"/>
        <w:spacing w:line="600" w:lineRule="exact"/>
        <w:jc w:val="both"/>
        <w:rPr>
          <w:rFonts w:hint="eastAsia" w:ascii="宋体" w:hAnsi="宋体" w:eastAsia="宋体" w:cs="宋体"/>
          <w:b w:val="0"/>
          <w:sz w:val="21"/>
          <w:szCs w:val="21"/>
          <w:highlight w:val="none"/>
        </w:rPr>
      </w:pPr>
    </w:p>
    <w:p w14:paraId="4FA6B663">
      <w:pPr>
        <w:autoSpaceDE w:val="0"/>
        <w:autoSpaceDN w:val="0"/>
        <w:adjustRightInd w:val="0"/>
        <w:spacing w:line="600" w:lineRule="exact"/>
        <w:jc w:val="both"/>
        <w:rPr>
          <w:rFonts w:hint="eastAsia" w:ascii="宋体" w:hAnsi="宋体" w:eastAsia="宋体" w:cs="宋体"/>
          <w:b w:val="0"/>
          <w:sz w:val="21"/>
          <w:szCs w:val="21"/>
          <w:highlight w:val="none"/>
        </w:rPr>
      </w:pPr>
    </w:p>
    <w:p w14:paraId="4C960919">
      <w:pPr>
        <w:autoSpaceDE w:val="0"/>
        <w:autoSpaceDN w:val="0"/>
        <w:adjustRightInd w:val="0"/>
        <w:spacing w:line="600" w:lineRule="exact"/>
        <w:jc w:val="both"/>
        <w:rPr>
          <w:rFonts w:hint="eastAsia" w:ascii="宋体" w:hAnsi="宋体" w:eastAsia="宋体" w:cs="宋体"/>
          <w:b w:val="0"/>
          <w:sz w:val="21"/>
          <w:szCs w:val="21"/>
          <w:highlight w:val="none"/>
        </w:rPr>
      </w:pPr>
    </w:p>
    <w:p w14:paraId="6E6A5022">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EE64A1A">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7B0FFFB4">
      <w:pPr>
        <w:autoSpaceDE w:val="0"/>
        <w:autoSpaceDN w:val="0"/>
        <w:adjustRightInd w:val="0"/>
        <w:spacing w:line="600" w:lineRule="exact"/>
        <w:jc w:val="both"/>
        <w:rPr>
          <w:rFonts w:hint="eastAsia" w:ascii="宋体" w:hAnsi="宋体" w:eastAsia="宋体" w:cs="宋体"/>
          <w:b w:val="0"/>
          <w:sz w:val="21"/>
          <w:szCs w:val="21"/>
          <w:highlight w:val="none"/>
        </w:rPr>
      </w:pPr>
    </w:p>
    <w:p w14:paraId="003E887D">
      <w:pPr>
        <w:autoSpaceDE w:val="0"/>
        <w:autoSpaceDN w:val="0"/>
        <w:adjustRightInd w:val="0"/>
        <w:spacing w:line="600" w:lineRule="exact"/>
        <w:jc w:val="both"/>
        <w:rPr>
          <w:rFonts w:hint="eastAsia" w:ascii="宋体" w:hAnsi="宋体" w:eastAsia="宋体" w:cs="宋体"/>
          <w:b w:val="0"/>
          <w:sz w:val="21"/>
          <w:szCs w:val="21"/>
          <w:highlight w:val="none"/>
        </w:rPr>
      </w:pPr>
    </w:p>
    <w:p w14:paraId="42563589">
      <w:pPr>
        <w:autoSpaceDE w:val="0"/>
        <w:autoSpaceDN w:val="0"/>
        <w:adjustRightInd w:val="0"/>
        <w:spacing w:line="600" w:lineRule="exact"/>
        <w:jc w:val="both"/>
        <w:rPr>
          <w:rFonts w:hint="eastAsia" w:ascii="宋体" w:hAnsi="宋体" w:eastAsia="宋体" w:cs="宋体"/>
          <w:b w:val="0"/>
          <w:sz w:val="21"/>
          <w:szCs w:val="21"/>
          <w:highlight w:val="none"/>
        </w:rPr>
      </w:pPr>
    </w:p>
    <w:p w14:paraId="199A8A89">
      <w:pPr>
        <w:autoSpaceDE w:val="0"/>
        <w:autoSpaceDN w:val="0"/>
        <w:adjustRightInd w:val="0"/>
        <w:spacing w:line="600" w:lineRule="exact"/>
        <w:jc w:val="both"/>
        <w:rPr>
          <w:rFonts w:hint="eastAsia" w:ascii="宋体" w:hAnsi="宋体" w:eastAsia="宋体" w:cs="宋体"/>
          <w:b w:val="0"/>
          <w:sz w:val="21"/>
          <w:szCs w:val="21"/>
          <w:highlight w:val="none"/>
        </w:rPr>
      </w:pPr>
    </w:p>
    <w:p w14:paraId="3C3D1788">
      <w:pPr>
        <w:autoSpaceDE w:val="0"/>
        <w:autoSpaceDN w:val="0"/>
        <w:adjustRightInd w:val="0"/>
        <w:spacing w:line="600" w:lineRule="exact"/>
        <w:jc w:val="both"/>
        <w:rPr>
          <w:rFonts w:hint="eastAsia" w:ascii="宋体" w:hAnsi="宋体" w:eastAsia="宋体" w:cs="宋体"/>
          <w:b w:val="0"/>
          <w:sz w:val="21"/>
          <w:szCs w:val="21"/>
          <w:highlight w:val="none"/>
        </w:rPr>
      </w:pPr>
    </w:p>
    <w:p w14:paraId="1D3CF8C9">
      <w:pPr>
        <w:autoSpaceDE w:val="0"/>
        <w:autoSpaceDN w:val="0"/>
        <w:adjustRightInd w:val="0"/>
        <w:spacing w:line="600" w:lineRule="exact"/>
        <w:jc w:val="both"/>
        <w:rPr>
          <w:rFonts w:hint="eastAsia" w:ascii="宋体" w:hAnsi="宋体" w:eastAsia="宋体" w:cs="宋体"/>
          <w:b w:val="0"/>
          <w:sz w:val="21"/>
          <w:szCs w:val="21"/>
          <w:highlight w:val="none"/>
        </w:rPr>
      </w:pPr>
    </w:p>
    <w:p w14:paraId="4CD555F5">
      <w:pPr>
        <w:autoSpaceDE w:val="0"/>
        <w:autoSpaceDN w:val="0"/>
        <w:adjustRightInd w:val="0"/>
        <w:spacing w:line="600" w:lineRule="exact"/>
        <w:jc w:val="both"/>
        <w:rPr>
          <w:rFonts w:hint="eastAsia" w:ascii="宋体" w:hAnsi="宋体" w:eastAsia="宋体" w:cs="宋体"/>
          <w:b w:val="0"/>
          <w:sz w:val="21"/>
          <w:szCs w:val="21"/>
          <w:highlight w:val="none"/>
        </w:rPr>
      </w:pPr>
    </w:p>
    <w:p w14:paraId="1319A34A">
      <w:pPr>
        <w:autoSpaceDE w:val="0"/>
        <w:autoSpaceDN w:val="0"/>
        <w:adjustRightInd w:val="0"/>
        <w:spacing w:line="600" w:lineRule="exact"/>
        <w:jc w:val="both"/>
        <w:rPr>
          <w:rFonts w:hint="eastAsia" w:ascii="宋体" w:hAnsi="宋体" w:eastAsia="宋体" w:cs="宋体"/>
          <w:b w:val="0"/>
          <w:sz w:val="21"/>
          <w:szCs w:val="21"/>
          <w:highlight w:val="none"/>
        </w:rPr>
      </w:pPr>
    </w:p>
    <w:p w14:paraId="2E51524D">
      <w:pPr>
        <w:autoSpaceDE w:val="0"/>
        <w:autoSpaceDN w:val="0"/>
        <w:adjustRightInd w:val="0"/>
        <w:spacing w:line="600" w:lineRule="exact"/>
        <w:jc w:val="both"/>
        <w:rPr>
          <w:rFonts w:hint="eastAsia" w:ascii="宋体" w:hAnsi="宋体" w:eastAsia="宋体" w:cs="宋体"/>
          <w:b w:val="0"/>
          <w:sz w:val="21"/>
          <w:szCs w:val="21"/>
          <w:highlight w:val="none"/>
        </w:rPr>
      </w:pPr>
    </w:p>
    <w:p w14:paraId="638B5A3A">
      <w:pPr>
        <w:autoSpaceDE w:val="0"/>
        <w:autoSpaceDN w:val="0"/>
        <w:adjustRightInd w:val="0"/>
        <w:spacing w:line="600" w:lineRule="exact"/>
        <w:jc w:val="both"/>
        <w:rPr>
          <w:rFonts w:hint="eastAsia" w:ascii="宋体" w:hAnsi="宋体" w:eastAsia="宋体" w:cs="宋体"/>
          <w:b w:val="0"/>
          <w:sz w:val="21"/>
          <w:szCs w:val="21"/>
          <w:highlight w:val="none"/>
        </w:rPr>
      </w:pPr>
    </w:p>
    <w:p w14:paraId="2FFBECCD">
      <w:pPr>
        <w:autoSpaceDE w:val="0"/>
        <w:autoSpaceDN w:val="0"/>
        <w:adjustRightInd w:val="0"/>
        <w:spacing w:line="600" w:lineRule="exact"/>
        <w:jc w:val="both"/>
        <w:rPr>
          <w:rFonts w:hint="eastAsia" w:ascii="宋体" w:hAnsi="宋体" w:eastAsia="宋体" w:cs="宋体"/>
          <w:b w:val="0"/>
          <w:sz w:val="21"/>
          <w:szCs w:val="21"/>
          <w:highlight w:val="none"/>
        </w:rPr>
      </w:pPr>
    </w:p>
    <w:p w14:paraId="4FF01132">
      <w:pPr>
        <w:autoSpaceDE w:val="0"/>
        <w:autoSpaceDN w:val="0"/>
        <w:adjustRightInd w:val="0"/>
        <w:spacing w:line="600" w:lineRule="exact"/>
        <w:jc w:val="both"/>
        <w:rPr>
          <w:rFonts w:hint="eastAsia" w:ascii="宋体" w:hAnsi="宋体" w:eastAsia="宋体" w:cs="宋体"/>
          <w:b w:val="0"/>
          <w:sz w:val="21"/>
          <w:szCs w:val="21"/>
          <w:highlight w:val="none"/>
        </w:rPr>
      </w:pPr>
    </w:p>
    <w:p w14:paraId="4A653D23">
      <w:pPr>
        <w:autoSpaceDE w:val="0"/>
        <w:autoSpaceDN w:val="0"/>
        <w:adjustRightInd w:val="0"/>
        <w:spacing w:line="600" w:lineRule="exact"/>
        <w:jc w:val="both"/>
        <w:rPr>
          <w:rFonts w:hint="eastAsia" w:ascii="宋体" w:hAnsi="宋体" w:eastAsia="宋体" w:cs="宋体"/>
          <w:b w:val="0"/>
          <w:sz w:val="21"/>
          <w:szCs w:val="21"/>
          <w:highlight w:val="none"/>
        </w:rPr>
      </w:pPr>
    </w:p>
    <w:p w14:paraId="334C08DB">
      <w:pPr>
        <w:autoSpaceDE w:val="0"/>
        <w:autoSpaceDN w:val="0"/>
        <w:adjustRightInd w:val="0"/>
        <w:spacing w:line="600" w:lineRule="exact"/>
        <w:jc w:val="both"/>
        <w:rPr>
          <w:rFonts w:hint="eastAsia" w:ascii="宋体" w:hAnsi="宋体" w:eastAsia="宋体" w:cs="宋体"/>
          <w:b w:val="0"/>
          <w:sz w:val="21"/>
          <w:szCs w:val="21"/>
          <w:highlight w:val="none"/>
        </w:rPr>
      </w:pPr>
    </w:p>
    <w:p w14:paraId="483366BE">
      <w:pPr>
        <w:autoSpaceDE w:val="0"/>
        <w:autoSpaceDN w:val="0"/>
        <w:adjustRightInd w:val="0"/>
        <w:spacing w:line="600" w:lineRule="exact"/>
        <w:jc w:val="both"/>
        <w:rPr>
          <w:rFonts w:hint="eastAsia" w:ascii="宋体" w:hAnsi="宋体" w:eastAsia="宋体" w:cs="宋体"/>
          <w:b w:val="0"/>
          <w:sz w:val="21"/>
          <w:szCs w:val="21"/>
          <w:highlight w:val="none"/>
        </w:rPr>
      </w:pPr>
    </w:p>
    <w:p w14:paraId="4FC7E400">
      <w:pPr>
        <w:widowControl w:val="0"/>
        <w:spacing w:line="400" w:lineRule="exact"/>
        <w:jc w:val="both"/>
        <w:rPr>
          <w:rFonts w:hint="eastAsia" w:ascii="宋体" w:hAnsi="宋体" w:eastAsia="宋体" w:cs="宋体"/>
          <w:b w:val="0"/>
          <w:sz w:val="21"/>
          <w:szCs w:val="21"/>
          <w:highlight w:val="none"/>
        </w:rPr>
      </w:pPr>
    </w:p>
    <w:p w14:paraId="4FB00597">
      <w:pPr>
        <w:spacing w:line="500" w:lineRule="exact"/>
        <w:jc w:val="left"/>
        <w:rPr>
          <w:rFonts w:hint="eastAsia" w:ascii="宋体" w:hAnsi="宋体" w:eastAsia="宋体" w:cs="宋体"/>
          <w:highlight w:val="none"/>
        </w:rPr>
      </w:pPr>
    </w:p>
    <w:p w14:paraId="532EF045">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70" w:name="_Toc8816"/>
      <w:r>
        <w:rPr>
          <w:rFonts w:hint="eastAsia" w:ascii="宋体" w:hAnsi="宋体" w:eastAsia="宋体" w:cs="宋体"/>
          <w:b/>
          <w:bCs w:val="0"/>
          <w:kern w:val="0"/>
          <w:sz w:val="32"/>
          <w:szCs w:val="32"/>
          <w:highlight w:val="none"/>
          <w:lang w:val="en-US" w:eastAsia="zh-CN" w:bidi="ar-SA"/>
        </w:rPr>
        <w:t>十、</w:t>
      </w:r>
      <w:bookmarkEnd w:id="70"/>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3357A22F">
      <w:pPr>
        <w:pStyle w:val="46"/>
        <w:keepNext w:val="0"/>
        <w:keepLines w:val="0"/>
        <w:widowControl w:val="0"/>
        <w:shd w:val="clear" w:color="auto" w:fill="auto"/>
        <w:bidi w:val="0"/>
        <w:spacing w:before="0" w:after="0" w:line="529"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本公司（联合体）郑重声明，根据《政府采购促进中小企业发展管理办法》（财库（</w:t>
      </w:r>
      <w:r>
        <w:rPr>
          <w:rFonts w:ascii="Times New Roman" w:hAnsi="Times New Roman" w:eastAsia="Times New Roman" w:cs="Times New Roman"/>
          <w:i w:val="0"/>
          <w:iCs w:val="0"/>
          <w:color w:val="000000"/>
          <w:spacing w:val="0"/>
          <w:w w:val="100"/>
          <w:position w:val="0"/>
          <w:sz w:val="24"/>
          <w:szCs w:val="24"/>
          <w:highlight w:val="none"/>
        </w:rPr>
        <w:t>2020</w:t>
      </w:r>
      <w:r>
        <w:rPr>
          <w:i w:val="0"/>
          <w:iCs w:val="0"/>
          <w:color w:val="000000"/>
          <w:spacing w:val="0"/>
          <w:w w:val="100"/>
          <w:position w:val="0"/>
          <w:sz w:val="24"/>
          <w:szCs w:val="24"/>
          <w:highlight w:val="none"/>
        </w:rPr>
        <w:t xml:space="preserve">） </w:t>
      </w:r>
      <w:r>
        <w:rPr>
          <w:rFonts w:ascii="Times New Roman" w:hAnsi="Times New Roman" w:eastAsia="Times New Roman" w:cs="Times New Roman"/>
          <w:i w:val="0"/>
          <w:iCs w:val="0"/>
          <w:color w:val="000000"/>
          <w:spacing w:val="0"/>
          <w:w w:val="100"/>
          <w:position w:val="0"/>
          <w:sz w:val="24"/>
          <w:szCs w:val="24"/>
          <w:highlight w:val="none"/>
        </w:rPr>
        <w:t>46</w:t>
      </w:r>
      <w:r>
        <w:rPr>
          <w:i w:val="0"/>
          <w:iCs w:val="0"/>
          <w:color w:val="000000"/>
          <w:spacing w:val="0"/>
          <w:w w:val="100"/>
          <w:position w:val="0"/>
          <w:sz w:val="24"/>
          <w:szCs w:val="24"/>
          <w:highlight w:val="none"/>
        </w:rPr>
        <w:t>号）的规定，本公司（联合体）参加</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val="en-US" w:eastAsia="zh-CN"/>
        </w:rPr>
        <w:t>单</w:t>
      </w:r>
      <w:r>
        <w:rPr>
          <w:i w:val="0"/>
          <w:iCs w:val="0"/>
          <w:color w:val="000000"/>
          <w:spacing w:val="0"/>
          <w:w w:val="100"/>
          <w:position w:val="0"/>
          <w:sz w:val="24"/>
          <w:szCs w:val="24"/>
          <w:highlight w:val="none"/>
          <w:u w:val="single"/>
        </w:rPr>
        <w:t>位名称）</w:t>
      </w:r>
      <w:r>
        <w:rPr>
          <w:i w:val="0"/>
          <w:iCs w:val="0"/>
          <w:color w:val="000000"/>
          <w:spacing w:val="0"/>
          <w:w w:val="100"/>
          <w:position w:val="0"/>
          <w:sz w:val="24"/>
          <w:szCs w:val="24"/>
          <w:highlight w:val="none"/>
        </w:rPr>
        <w:t>的</w:t>
      </w:r>
      <w:r>
        <w:rPr>
          <w:i w:val="0"/>
          <w:iCs w:val="0"/>
          <w:color w:val="000000"/>
          <w:spacing w:val="0"/>
          <w:w w:val="100"/>
          <w:position w:val="0"/>
          <w:sz w:val="24"/>
          <w:szCs w:val="24"/>
          <w:highlight w:val="none"/>
          <w:u w:val="single"/>
        </w:rPr>
        <w:t>（项目名称）</w:t>
      </w:r>
      <w:r>
        <w:rPr>
          <w:i w:val="0"/>
          <w:iCs w:val="0"/>
          <w:color w:val="000000"/>
          <w:spacing w:val="0"/>
          <w:w w:val="100"/>
          <w:position w:val="0"/>
          <w:sz w:val="24"/>
          <w:szCs w:val="24"/>
          <w:highlight w:val="none"/>
          <w:u w:val="none"/>
        </w:rPr>
        <w:t>采</w:t>
      </w:r>
      <w:r>
        <w:rPr>
          <w:i w:val="0"/>
          <w:iCs w:val="0"/>
          <w:color w:val="000000"/>
          <w:spacing w:val="0"/>
          <w:w w:val="100"/>
          <w:position w:val="0"/>
          <w:sz w:val="24"/>
          <w:szCs w:val="24"/>
          <w:highlight w:val="none"/>
        </w:rPr>
        <w:t>购活动,提供的货物全部由符合政策要求的中小企业制造。相关企业（含联合体中的中小企业、签订分包意向协议的中小企业）的具体情况如下：</w:t>
      </w:r>
    </w:p>
    <w:p w14:paraId="7BA1C180">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rPr>
        <w:t>1</w:t>
      </w:r>
      <w:r>
        <w:rPr>
          <w:rFonts w:hint="eastAsia" w:ascii="Times New Roman" w:hAnsi="Times New Roman" w:cs="Times New Roman"/>
          <w:i w:val="0"/>
          <w:iCs w:val="0"/>
          <w:color w:val="000000"/>
          <w:spacing w:val="0"/>
          <w:w w:val="100"/>
          <w:position w:val="0"/>
          <w:sz w:val="24"/>
          <w:szCs w:val="24"/>
          <w:highlight w:val="none"/>
          <w:lang w:val="en-US" w:eastAsia="zh-CN"/>
        </w:rPr>
        <w:t>.</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（采购文件中明确的所属行业</w:t>
      </w:r>
      <w:r>
        <w:rPr>
          <w:rFonts w:hint="eastAsia"/>
          <w:i w:val="0"/>
          <w:iCs w:val="0"/>
          <w:color w:val="000000"/>
          <w:spacing w:val="0"/>
          <w:w w:val="100"/>
          <w:position w:val="0"/>
          <w:sz w:val="24"/>
          <w:szCs w:val="24"/>
          <w:highlight w:val="none"/>
          <w:u w:val="single"/>
          <w:lang w:eastAsia="zh-CN"/>
        </w:rPr>
        <w:t>）</w:t>
      </w:r>
      <w:r>
        <w:rPr>
          <w:i w:val="0"/>
          <w:iCs w:val="0"/>
          <w:color w:val="000000"/>
          <w:spacing w:val="0"/>
          <w:w w:val="100"/>
          <w:position w:val="0"/>
          <w:sz w:val="24"/>
          <w:szCs w:val="24"/>
          <w:highlight w:val="none"/>
          <w:u w:val="single"/>
        </w:rPr>
        <w:t>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万元，资产总额为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w:t>
      </w:r>
      <w:r>
        <w:rPr>
          <w:rFonts w:hint="eastAsia"/>
          <w:i w:val="0"/>
          <w:iCs w:val="0"/>
          <w:color w:val="000000"/>
          <w:spacing w:val="0"/>
          <w:w w:val="100"/>
          <w:position w:val="0"/>
          <w:sz w:val="24"/>
          <w:szCs w:val="24"/>
          <w:highlight w:val="none"/>
          <w:vertAlign w:val="superscript"/>
          <w:lang w:val="en-US" w:eastAsia="zh-CN"/>
        </w:rPr>
        <w:t>1</w:t>
      </w:r>
      <w:r>
        <w:rPr>
          <w:rFonts w:hint="eastAsia"/>
          <w:i w:val="0"/>
          <w:iCs w:val="0"/>
          <w:color w:val="000000"/>
          <w:spacing w:val="0"/>
          <w:w w:val="100"/>
          <w:position w:val="0"/>
          <w:sz w:val="24"/>
          <w:szCs w:val="24"/>
          <w:highlight w:val="none"/>
          <w:lang w:eastAsia="zh-CN"/>
        </w:rPr>
        <w:t>，</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（中型企业、小型企业、微型企业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none"/>
          <w:lang w:eastAsia="zh-CN"/>
        </w:rPr>
        <w:t>；</w:t>
      </w:r>
    </w:p>
    <w:p w14:paraId="3786F558">
      <w:pPr>
        <w:pStyle w:val="46"/>
        <w:keepNext w:val="0"/>
        <w:keepLines w:val="0"/>
        <w:widowControl w:val="0"/>
        <w:shd w:val="clear" w:color="auto" w:fill="auto"/>
        <w:bidi w:val="0"/>
        <w:spacing w:before="0" w:after="48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lang w:val="en-US" w:eastAsia="en-US" w:bidi="en-US"/>
        </w:rPr>
        <w:t>2.</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eastAsia="zh-CN"/>
        </w:rPr>
        <w:t>采购</w:t>
      </w:r>
      <w:r>
        <w:rPr>
          <w:i w:val="0"/>
          <w:iCs w:val="0"/>
          <w:color w:val="000000"/>
          <w:spacing w:val="0"/>
          <w:w w:val="100"/>
          <w:position w:val="0"/>
          <w:sz w:val="24"/>
          <w:szCs w:val="24"/>
          <w:highlight w:val="none"/>
          <w:u w:val="single"/>
        </w:rPr>
        <w:t>文件中明确的所属行业）行业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万元，资产总额为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万元，属于</w:t>
      </w:r>
      <w:r>
        <w:rPr>
          <w:i w:val="0"/>
          <w:iCs w:val="0"/>
          <w:color w:val="000000"/>
          <w:spacing w:val="0"/>
          <w:w w:val="100"/>
          <w:position w:val="0"/>
          <w:sz w:val="24"/>
          <w:szCs w:val="24"/>
          <w:highlight w:val="none"/>
          <w:u w:val="single"/>
        </w:rPr>
        <w:t>（中型企业、小型 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single"/>
          <w:lang w:eastAsia="zh-CN"/>
        </w:rPr>
        <w:t>；</w:t>
      </w:r>
    </w:p>
    <w:p w14:paraId="57CDD549">
      <w:pPr>
        <w:pStyle w:val="46"/>
        <w:keepNext w:val="0"/>
        <w:keepLines w:val="0"/>
        <w:widowControl w:val="0"/>
        <w:shd w:val="clear" w:color="auto" w:fill="auto"/>
        <w:bidi w:val="0"/>
        <w:spacing w:before="0" w:after="0" w:line="544"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以上企业，不属于大企业的分支机构，不存在控股股东为大企业的情形，也不存在与大企业的负责人为同一人的情形。</w:t>
      </w:r>
    </w:p>
    <w:p w14:paraId="663775F7">
      <w:pPr>
        <w:pStyle w:val="46"/>
        <w:keepNext w:val="0"/>
        <w:keepLines w:val="0"/>
        <w:widowControl w:val="0"/>
        <w:shd w:val="clear" w:color="auto" w:fill="auto"/>
        <w:bidi w:val="0"/>
        <w:spacing w:before="0" w:after="0" w:line="526" w:lineRule="exact"/>
        <w:ind w:left="0" w:right="0" w:firstLine="680"/>
        <w:jc w:val="both"/>
        <w:rPr>
          <w:i w:val="0"/>
          <w:iCs w:val="0"/>
          <w:color w:val="000000"/>
          <w:spacing w:val="0"/>
          <w:w w:val="100"/>
          <w:position w:val="0"/>
          <w:sz w:val="24"/>
          <w:szCs w:val="24"/>
          <w:highlight w:val="none"/>
        </w:rPr>
      </w:pPr>
      <w:r>
        <w:rPr>
          <w:i w:val="0"/>
          <w:iCs w:val="0"/>
          <w:color w:val="000000"/>
          <w:spacing w:val="0"/>
          <w:w w:val="100"/>
          <w:position w:val="0"/>
          <w:sz w:val="24"/>
          <w:szCs w:val="24"/>
          <w:highlight w:val="none"/>
        </w:rPr>
        <w:t>本企业对上述声明内容的真实性负责。如有虚假，将依 法承担相应责任。</w:t>
      </w:r>
    </w:p>
    <w:p w14:paraId="01B60814">
      <w:pPr>
        <w:pStyle w:val="46"/>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41B5EF62">
      <w:pPr>
        <w:pStyle w:val="46"/>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5A99392A">
      <w:pPr>
        <w:pStyle w:val="46"/>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0066B740">
      <w:pPr>
        <w:pStyle w:val="46"/>
        <w:keepNext w:val="0"/>
        <w:keepLines w:val="0"/>
        <w:widowControl w:val="0"/>
        <w:shd w:val="clear" w:color="auto" w:fill="auto"/>
        <w:bidi w:val="0"/>
        <w:spacing w:before="0" w:after="0" w:line="36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r>
        <w:rPr>
          <w:rFonts w:hint="eastAsia"/>
          <w:b w:val="0"/>
          <w:bCs w:val="0"/>
          <w:i w:val="0"/>
          <w:iCs w:val="0"/>
          <w:smallCaps w:val="0"/>
          <w:strike w:val="0"/>
          <w:color w:val="000000"/>
          <w:spacing w:val="0"/>
          <w:w w:val="100"/>
          <w:position w:val="0"/>
          <w:sz w:val="24"/>
          <w:szCs w:val="24"/>
          <w:highlight w:val="none"/>
          <w:lang w:val="en-US" w:eastAsia="zh-CN"/>
        </w:rPr>
        <w:t>企业名称（盖章）：</w:t>
      </w:r>
    </w:p>
    <w:p w14:paraId="38BE088D">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r>
        <w:rPr>
          <w:rFonts w:hint="eastAsia"/>
          <w:b w:val="0"/>
          <w:bCs w:val="0"/>
          <w:i w:val="0"/>
          <w:iCs w:val="0"/>
          <w:smallCaps w:val="0"/>
          <w:strike w:val="0"/>
          <w:color w:val="000000"/>
          <w:spacing w:val="0"/>
          <w:w w:val="100"/>
          <w:position w:val="0"/>
          <w:sz w:val="24"/>
          <w:szCs w:val="24"/>
          <w:highlight w:val="none"/>
          <w:lang w:val="en-US" w:eastAsia="zh-CN"/>
        </w:rPr>
        <w:t>日</w:t>
      </w:r>
      <w:r>
        <w:rPr>
          <w:b w:val="0"/>
          <w:bCs w:val="0"/>
          <w:i w:val="0"/>
          <w:iCs w:val="0"/>
          <w:smallCaps w:val="0"/>
          <w:strike w:val="0"/>
          <w:color w:val="000000"/>
          <w:spacing w:val="0"/>
          <w:w w:val="100"/>
          <w:position w:val="0"/>
          <w:sz w:val="24"/>
          <w:szCs w:val="24"/>
          <w:highlight w:val="none"/>
        </w:rPr>
        <w:t>期：</w:t>
      </w:r>
    </w:p>
    <w:p w14:paraId="4F67A4B5">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104D632D">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72C9C55B">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507F5D7E">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72A9FC2">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3D44336B">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2A2265B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301B1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349418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7D890A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22A0ABB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7E14782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1F242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75CCEA8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429C973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5773357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62314C6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5F7A779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7CFED59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5ED4CBE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51E4A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719B033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041F0A5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67E96A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488B8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5E26574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3ABACA9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392601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4917D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651125A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629434C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017252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0B4D82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3563536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3A930AE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66C073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06628FE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7F621B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44DBF05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0F6C51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0BF7EF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5A85B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283738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4FA92C3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74F7C36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5248FE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4E6662B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2F9EDD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EADF8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3F63B1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4DC6D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312E5A9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2D66FE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7A0D1E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4458AA6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D1A075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256D141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0815A6E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EAD483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0C7DB5C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679E373B">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2E18335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第二十四条 省级财政部门可以会同中小企业主管部门根据本办法的规定制定具体实施办法。</w:t>
      </w:r>
    </w:p>
    <w:p w14:paraId="203F7DCD">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040EA90D">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41201DC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6A5A9B9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F47082A">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14676F7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787F92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7183D81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090E8E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11091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6F0BC2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FB5C2D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29D4277">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E08FF6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2F179D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156483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69B3A9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1128DB2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29762D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227D6D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340196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B63722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5B37C4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7F47B77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7AAFCB9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0E9A0F84">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3CDBF4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5E6B42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D187A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1510474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772DEF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2BFCE5C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5CEF79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3997894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1AFCBA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6A8178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262323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7511C8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6F11F9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1BBDA8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49377830">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71" w:name="_bookmark4"/>
      <w:bookmarkEnd w:id="71"/>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1AE865E2">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yriadPro-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C187">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AA4C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6AA4C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7CCB">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2CF1467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D72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C398">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E1D8">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005D015D">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5A13">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5DB22"/>
    <w:multiLevelType w:val="singleLevel"/>
    <w:tmpl w:val="9B15DB22"/>
    <w:lvl w:ilvl="0" w:tentative="0">
      <w:start w:val="19"/>
      <w:numFmt w:val="decimal"/>
      <w:suff w:val="nothing"/>
      <w:lvlText w:val="%1、"/>
      <w:lvlJc w:val="left"/>
    </w:lvl>
  </w:abstractNum>
  <w:abstractNum w:abstractNumId="1">
    <w:nsid w:val="A8C959A1"/>
    <w:multiLevelType w:val="singleLevel"/>
    <w:tmpl w:val="A8C959A1"/>
    <w:lvl w:ilvl="0" w:tentative="0">
      <w:start w:val="1"/>
      <w:numFmt w:val="decimal"/>
      <w:suff w:val="nothing"/>
      <w:lvlText w:val="%1．"/>
      <w:lvlJc w:val="left"/>
    </w:lvl>
  </w:abstractNum>
  <w:abstractNum w:abstractNumId="2">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F9DF50A"/>
    <w:multiLevelType w:val="singleLevel"/>
    <w:tmpl w:val="0F9DF50A"/>
    <w:lvl w:ilvl="0" w:tentative="0">
      <w:start w:val="1"/>
      <w:numFmt w:val="decimal"/>
      <w:lvlText w:val="%1"/>
      <w:lvlJc w:val="left"/>
      <w:pPr>
        <w:tabs>
          <w:tab w:val="left" w:pos="420"/>
        </w:tabs>
        <w:ind w:left="425" w:leftChars="0" w:hanging="425" w:firstLineChars="0"/>
      </w:pPr>
      <w:rPr>
        <w:rFonts w:hint="default"/>
      </w:rPr>
    </w:lvl>
  </w:abstractNum>
  <w:abstractNum w:abstractNumId="4">
    <w:nsid w:val="18AEDF89"/>
    <w:multiLevelType w:val="singleLevel"/>
    <w:tmpl w:val="18AEDF89"/>
    <w:lvl w:ilvl="0" w:tentative="0">
      <w:start w:val="6"/>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jQzMmQyNjE0ZTk5OTdkMTUyMGEyYzViNmY5OTMifQ=="/>
    <w:docVar w:name="KSO_WPS_MARK_KEY" w:val="461b0675-1ac9-4135-83e2-d74b0dc0f92e"/>
  </w:docVars>
  <w:rsids>
    <w:rsidRoot w:val="09E449CF"/>
    <w:rsid w:val="005C4D2E"/>
    <w:rsid w:val="0071209B"/>
    <w:rsid w:val="007402CA"/>
    <w:rsid w:val="0086777B"/>
    <w:rsid w:val="00C44682"/>
    <w:rsid w:val="00E865C2"/>
    <w:rsid w:val="00F036C9"/>
    <w:rsid w:val="01323926"/>
    <w:rsid w:val="01566362"/>
    <w:rsid w:val="01A17E0A"/>
    <w:rsid w:val="01B110AA"/>
    <w:rsid w:val="023575E5"/>
    <w:rsid w:val="024C5DF5"/>
    <w:rsid w:val="025657AD"/>
    <w:rsid w:val="026E6F9B"/>
    <w:rsid w:val="02A76009"/>
    <w:rsid w:val="02E24CF0"/>
    <w:rsid w:val="02E62FD5"/>
    <w:rsid w:val="03062D2F"/>
    <w:rsid w:val="031C07A5"/>
    <w:rsid w:val="03892A60"/>
    <w:rsid w:val="038F541B"/>
    <w:rsid w:val="045C7FB1"/>
    <w:rsid w:val="04B30C95"/>
    <w:rsid w:val="051A6F66"/>
    <w:rsid w:val="05263B5D"/>
    <w:rsid w:val="054B27F0"/>
    <w:rsid w:val="056B77C2"/>
    <w:rsid w:val="056E4A9C"/>
    <w:rsid w:val="057C19CF"/>
    <w:rsid w:val="05A14F91"/>
    <w:rsid w:val="05C313AC"/>
    <w:rsid w:val="060E6ACB"/>
    <w:rsid w:val="06293905"/>
    <w:rsid w:val="06700194"/>
    <w:rsid w:val="069A035E"/>
    <w:rsid w:val="06ED4932"/>
    <w:rsid w:val="06F21F49"/>
    <w:rsid w:val="070103DE"/>
    <w:rsid w:val="07320CEB"/>
    <w:rsid w:val="07610E7C"/>
    <w:rsid w:val="078B5EF9"/>
    <w:rsid w:val="07C02047"/>
    <w:rsid w:val="08047E4C"/>
    <w:rsid w:val="080953FF"/>
    <w:rsid w:val="08387E2F"/>
    <w:rsid w:val="084773F1"/>
    <w:rsid w:val="08795AC0"/>
    <w:rsid w:val="08C91051"/>
    <w:rsid w:val="08DB7915"/>
    <w:rsid w:val="09324404"/>
    <w:rsid w:val="095A5B83"/>
    <w:rsid w:val="0978425B"/>
    <w:rsid w:val="09B554AF"/>
    <w:rsid w:val="09D16784"/>
    <w:rsid w:val="09E449CF"/>
    <w:rsid w:val="09F63AFE"/>
    <w:rsid w:val="09FB7366"/>
    <w:rsid w:val="0A2F7F3E"/>
    <w:rsid w:val="0A374116"/>
    <w:rsid w:val="0A530F50"/>
    <w:rsid w:val="0A652A31"/>
    <w:rsid w:val="0A6D7B38"/>
    <w:rsid w:val="0A7E2706"/>
    <w:rsid w:val="0A856C30"/>
    <w:rsid w:val="0AE0655C"/>
    <w:rsid w:val="0AF344E1"/>
    <w:rsid w:val="0B3B1F99"/>
    <w:rsid w:val="0B495EAF"/>
    <w:rsid w:val="0B6F331C"/>
    <w:rsid w:val="0B7A69B0"/>
    <w:rsid w:val="0BE856C8"/>
    <w:rsid w:val="0C012C2E"/>
    <w:rsid w:val="0C0B2B0B"/>
    <w:rsid w:val="0C14470F"/>
    <w:rsid w:val="0C403756"/>
    <w:rsid w:val="0C437F80"/>
    <w:rsid w:val="0CBB4B8B"/>
    <w:rsid w:val="0CC00650"/>
    <w:rsid w:val="0CD63D02"/>
    <w:rsid w:val="0CEC2F96"/>
    <w:rsid w:val="0CF34325"/>
    <w:rsid w:val="0CF62067"/>
    <w:rsid w:val="0D224C0A"/>
    <w:rsid w:val="0D3F27E7"/>
    <w:rsid w:val="0D780CCE"/>
    <w:rsid w:val="0DB1243D"/>
    <w:rsid w:val="0DB367A1"/>
    <w:rsid w:val="0DD00B0A"/>
    <w:rsid w:val="0DD506AB"/>
    <w:rsid w:val="0E2A1FC8"/>
    <w:rsid w:val="0E5057A7"/>
    <w:rsid w:val="0E5C239D"/>
    <w:rsid w:val="0EC20452"/>
    <w:rsid w:val="0EF44384"/>
    <w:rsid w:val="0F2E5AE8"/>
    <w:rsid w:val="0F36499C"/>
    <w:rsid w:val="10150A56"/>
    <w:rsid w:val="102E1B18"/>
    <w:rsid w:val="10F13271"/>
    <w:rsid w:val="112E6273"/>
    <w:rsid w:val="11786124"/>
    <w:rsid w:val="118045F5"/>
    <w:rsid w:val="11AD363C"/>
    <w:rsid w:val="11CD4F4B"/>
    <w:rsid w:val="12394ECF"/>
    <w:rsid w:val="126F1CAA"/>
    <w:rsid w:val="129A6121"/>
    <w:rsid w:val="12A10C95"/>
    <w:rsid w:val="12BA444B"/>
    <w:rsid w:val="12D360F0"/>
    <w:rsid w:val="12F878A6"/>
    <w:rsid w:val="12FB2185"/>
    <w:rsid w:val="12FC56ED"/>
    <w:rsid w:val="13772926"/>
    <w:rsid w:val="137D2B9A"/>
    <w:rsid w:val="138163C4"/>
    <w:rsid w:val="138E130F"/>
    <w:rsid w:val="139B5716"/>
    <w:rsid w:val="13B50586"/>
    <w:rsid w:val="13B54A2A"/>
    <w:rsid w:val="13C474E3"/>
    <w:rsid w:val="13CE7899"/>
    <w:rsid w:val="13D848ED"/>
    <w:rsid w:val="13DA4490"/>
    <w:rsid w:val="14757D15"/>
    <w:rsid w:val="14885C9A"/>
    <w:rsid w:val="14926B19"/>
    <w:rsid w:val="149A3C1F"/>
    <w:rsid w:val="149A777C"/>
    <w:rsid w:val="14DF1632"/>
    <w:rsid w:val="15001CD4"/>
    <w:rsid w:val="15400323"/>
    <w:rsid w:val="156D6C3E"/>
    <w:rsid w:val="15761F97"/>
    <w:rsid w:val="157E2810"/>
    <w:rsid w:val="15A07014"/>
    <w:rsid w:val="15CC605B"/>
    <w:rsid w:val="15E37124"/>
    <w:rsid w:val="15F66C34"/>
    <w:rsid w:val="1606156C"/>
    <w:rsid w:val="161C1292"/>
    <w:rsid w:val="16273291"/>
    <w:rsid w:val="163F682C"/>
    <w:rsid w:val="16976668"/>
    <w:rsid w:val="1726265B"/>
    <w:rsid w:val="17272224"/>
    <w:rsid w:val="173B52B1"/>
    <w:rsid w:val="17497392"/>
    <w:rsid w:val="174C7453"/>
    <w:rsid w:val="17575DF8"/>
    <w:rsid w:val="17A74689"/>
    <w:rsid w:val="17C74D2B"/>
    <w:rsid w:val="1831274A"/>
    <w:rsid w:val="18610CDC"/>
    <w:rsid w:val="18680A26"/>
    <w:rsid w:val="189866C8"/>
    <w:rsid w:val="18A1557C"/>
    <w:rsid w:val="18D45952"/>
    <w:rsid w:val="18D47700"/>
    <w:rsid w:val="18E86D07"/>
    <w:rsid w:val="18F733EE"/>
    <w:rsid w:val="19017DC9"/>
    <w:rsid w:val="191171B3"/>
    <w:rsid w:val="19143FA0"/>
    <w:rsid w:val="1915170A"/>
    <w:rsid w:val="19383A4E"/>
    <w:rsid w:val="193B777F"/>
    <w:rsid w:val="196565AA"/>
    <w:rsid w:val="1968609A"/>
    <w:rsid w:val="19E27BFB"/>
    <w:rsid w:val="1A163D48"/>
    <w:rsid w:val="1A6C1BBA"/>
    <w:rsid w:val="1A9D7FC6"/>
    <w:rsid w:val="1ABC05C7"/>
    <w:rsid w:val="1ABC48F0"/>
    <w:rsid w:val="1AD339E7"/>
    <w:rsid w:val="1AE45BF4"/>
    <w:rsid w:val="1B4F3923"/>
    <w:rsid w:val="1B7927E1"/>
    <w:rsid w:val="1B851185"/>
    <w:rsid w:val="1B8540E2"/>
    <w:rsid w:val="1BAF7FB0"/>
    <w:rsid w:val="1BB43819"/>
    <w:rsid w:val="1BC075CA"/>
    <w:rsid w:val="1BF6798D"/>
    <w:rsid w:val="1CDD28FB"/>
    <w:rsid w:val="1D5D57EA"/>
    <w:rsid w:val="1D7C1CE5"/>
    <w:rsid w:val="1D882867"/>
    <w:rsid w:val="1DAD0520"/>
    <w:rsid w:val="1DBA5153"/>
    <w:rsid w:val="1DBB6FE3"/>
    <w:rsid w:val="1DCD2970"/>
    <w:rsid w:val="1DCD471E"/>
    <w:rsid w:val="1DD12460"/>
    <w:rsid w:val="1E0736E7"/>
    <w:rsid w:val="1E0A3BC4"/>
    <w:rsid w:val="1E5906A7"/>
    <w:rsid w:val="1E603330"/>
    <w:rsid w:val="1E890F8D"/>
    <w:rsid w:val="1E976C53"/>
    <w:rsid w:val="1EA00084"/>
    <w:rsid w:val="1EA96F39"/>
    <w:rsid w:val="1ECC70CB"/>
    <w:rsid w:val="1EE44415"/>
    <w:rsid w:val="1EE6018D"/>
    <w:rsid w:val="1EE77A61"/>
    <w:rsid w:val="1EEB7551"/>
    <w:rsid w:val="1F0371CD"/>
    <w:rsid w:val="1F5350F7"/>
    <w:rsid w:val="1FE50445"/>
    <w:rsid w:val="1FFB345D"/>
    <w:rsid w:val="20375FA9"/>
    <w:rsid w:val="20653333"/>
    <w:rsid w:val="2079293B"/>
    <w:rsid w:val="20B02B54"/>
    <w:rsid w:val="20FA7F20"/>
    <w:rsid w:val="20FB77F4"/>
    <w:rsid w:val="2164183D"/>
    <w:rsid w:val="21731A80"/>
    <w:rsid w:val="2194565A"/>
    <w:rsid w:val="21A00BA4"/>
    <w:rsid w:val="21A954A2"/>
    <w:rsid w:val="21BE2CFB"/>
    <w:rsid w:val="21D7200F"/>
    <w:rsid w:val="21FA5CFD"/>
    <w:rsid w:val="221C5C74"/>
    <w:rsid w:val="223C4749"/>
    <w:rsid w:val="22A04AF7"/>
    <w:rsid w:val="22C5455D"/>
    <w:rsid w:val="22D622C7"/>
    <w:rsid w:val="23502079"/>
    <w:rsid w:val="2376267A"/>
    <w:rsid w:val="23825FAA"/>
    <w:rsid w:val="23CB16FF"/>
    <w:rsid w:val="23EA427B"/>
    <w:rsid w:val="23F93F53"/>
    <w:rsid w:val="24172B97"/>
    <w:rsid w:val="241E2177"/>
    <w:rsid w:val="241F6EAE"/>
    <w:rsid w:val="24243CE4"/>
    <w:rsid w:val="24BB5C18"/>
    <w:rsid w:val="24C50845"/>
    <w:rsid w:val="24E966AA"/>
    <w:rsid w:val="24EF58C2"/>
    <w:rsid w:val="251315B0"/>
    <w:rsid w:val="25137519"/>
    <w:rsid w:val="25234734"/>
    <w:rsid w:val="25401C79"/>
    <w:rsid w:val="25461985"/>
    <w:rsid w:val="2561056D"/>
    <w:rsid w:val="25E1345C"/>
    <w:rsid w:val="25EF3DCB"/>
    <w:rsid w:val="260158AC"/>
    <w:rsid w:val="262E3BAA"/>
    <w:rsid w:val="263E21A9"/>
    <w:rsid w:val="26887D7C"/>
    <w:rsid w:val="268B33C8"/>
    <w:rsid w:val="26C9444B"/>
    <w:rsid w:val="26FA787D"/>
    <w:rsid w:val="27225ADA"/>
    <w:rsid w:val="275F0ADD"/>
    <w:rsid w:val="27801148"/>
    <w:rsid w:val="27B04289"/>
    <w:rsid w:val="27C13545"/>
    <w:rsid w:val="27D5603A"/>
    <w:rsid w:val="27DD5EA5"/>
    <w:rsid w:val="282E4ADB"/>
    <w:rsid w:val="28520641"/>
    <w:rsid w:val="287560DE"/>
    <w:rsid w:val="287954DB"/>
    <w:rsid w:val="288D3427"/>
    <w:rsid w:val="28B023F4"/>
    <w:rsid w:val="291853E7"/>
    <w:rsid w:val="29671ECA"/>
    <w:rsid w:val="29824F56"/>
    <w:rsid w:val="29A27252"/>
    <w:rsid w:val="29F23811"/>
    <w:rsid w:val="2A094D30"/>
    <w:rsid w:val="2A391AB9"/>
    <w:rsid w:val="2A924D25"/>
    <w:rsid w:val="2A9767DF"/>
    <w:rsid w:val="2AA333D6"/>
    <w:rsid w:val="2ACF5F79"/>
    <w:rsid w:val="2AEF3F25"/>
    <w:rsid w:val="2AF21C68"/>
    <w:rsid w:val="2AFC2AE6"/>
    <w:rsid w:val="2B03550B"/>
    <w:rsid w:val="2B083952"/>
    <w:rsid w:val="2B0D4CF3"/>
    <w:rsid w:val="2B195446"/>
    <w:rsid w:val="2B3109E2"/>
    <w:rsid w:val="2B381D70"/>
    <w:rsid w:val="2B5B01CE"/>
    <w:rsid w:val="2B634913"/>
    <w:rsid w:val="2B8F5708"/>
    <w:rsid w:val="2BFF2BD4"/>
    <w:rsid w:val="2C1D4AC2"/>
    <w:rsid w:val="2C210A56"/>
    <w:rsid w:val="2C4A1610"/>
    <w:rsid w:val="2C4B5AD3"/>
    <w:rsid w:val="2C520C10"/>
    <w:rsid w:val="2C574478"/>
    <w:rsid w:val="2C5A1872"/>
    <w:rsid w:val="2C6A3498"/>
    <w:rsid w:val="2C7D1A05"/>
    <w:rsid w:val="2C7F12EF"/>
    <w:rsid w:val="2D1265F1"/>
    <w:rsid w:val="2D46629B"/>
    <w:rsid w:val="2D517119"/>
    <w:rsid w:val="2DC85DAE"/>
    <w:rsid w:val="2E1168A9"/>
    <w:rsid w:val="2E7754F2"/>
    <w:rsid w:val="2ECD6C74"/>
    <w:rsid w:val="2ED21934"/>
    <w:rsid w:val="2EDA14B1"/>
    <w:rsid w:val="2F1C5505"/>
    <w:rsid w:val="2F1F0B51"/>
    <w:rsid w:val="2F2820FC"/>
    <w:rsid w:val="2F370591"/>
    <w:rsid w:val="2F4F1437"/>
    <w:rsid w:val="2F4F58DB"/>
    <w:rsid w:val="2F8217DB"/>
    <w:rsid w:val="2FDB716E"/>
    <w:rsid w:val="302428C3"/>
    <w:rsid w:val="303D3985"/>
    <w:rsid w:val="306233EC"/>
    <w:rsid w:val="307F3F9D"/>
    <w:rsid w:val="30986E0D"/>
    <w:rsid w:val="31052FA1"/>
    <w:rsid w:val="312811AB"/>
    <w:rsid w:val="313C61FC"/>
    <w:rsid w:val="31655A89"/>
    <w:rsid w:val="319D36B0"/>
    <w:rsid w:val="31AB491E"/>
    <w:rsid w:val="31AF440F"/>
    <w:rsid w:val="31B639EF"/>
    <w:rsid w:val="31B646F4"/>
    <w:rsid w:val="31E56082"/>
    <w:rsid w:val="31F369F1"/>
    <w:rsid w:val="32330746"/>
    <w:rsid w:val="32452FC5"/>
    <w:rsid w:val="32904240"/>
    <w:rsid w:val="32911D66"/>
    <w:rsid w:val="33460DA3"/>
    <w:rsid w:val="33813B89"/>
    <w:rsid w:val="33884F17"/>
    <w:rsid w:val="33BA52ED"/>
    <w:rsid w:val="33D22636"/>
    <w:rsid w:val="34142C4F"/>
    <w:rsid w:val="341B222F"/>
    <w:rsid w:val="34313801"/>
    <w:rsid w:val="343B642D"/>
    <w:rsid w:val="34757B91"/>
    <w:rsid w:val="351D5B33"/>
    <w:rsid w:val="351F7AFD"/>
    <w:rsid w:val="35356F94"/>
    <w:rsid w:val="35CB37E1"/>
    <w:rsid w:val="35CD1307"/>
    <w:rsid w:val="35FC068E"/>
    <w:rsid w:val="35FD0494"/>
    <w:rsid w:val="36114536"/>
    <w:rsid w:val="361A2073"/>
    <w:rsid w:val="364F4412"/>
    <w:rsid w:val="36633A19"/>
    <w:rsid w:val="368C2F70"/>
    <w:rsid w:val="36AA789A"/>
    <w:rsid w:val="36FA3B3C"/>
    <w:rsid w:val="373A29CC"/>
    <w:rsid w:val="37421881"/>
    <w:rsid w:val="374C0952"/>
    <w:rsid w:val="37AB38CA"/>
    <w:rsid w:val="381551E7"/>
    <w:rsid w:val="38293D99"/>
    <w:rsid w:val="3832535A"/>
    <w:rsid w:val="385C2E16"/>
    <w:rsid w:val="388540E6"/>
    <w:rsid w:val="38B13162"/>
    <w:rsid w:val="38B36EDA"/>
    <w:rsid w:val="38F30DC5"/>
    <w:rsid w:val="38F90665"/>
    <w:rsid w:val="39186D3D"/>
    <w:rsid w:val="3942200C"/>
    <w:rsid w:val="3973104F"/>
    <w:rsid w:val="39812B34"/>
    <w:rsid w:val="39B36A66"/>
    <w:rsid w:val="39BD3563"/>
    <w:rsid w:val="39E9692C"/>
    <w:rsid w:val="39FE23D7"/>
    <w:rsid w:val="3A097CB2"/>
    <w:rsid w:val="3A1F40FB"/>
    <w:rsid w:val="3ABC194A"/>
    <w:rsid w:val="3AE93583"/>
    <w:rsid w:val="3AF31810"/>
    <w:rsid w:val="3B095C6B"/>
    <w:rsid w:val="3B482935"/>
    <w:rsid w:val="3BCC6BED"/>
    <w:rsid w:val="3C073099"/>
    <w:rsid w:val="3C172AFD"/>
    <w:rsid w:val="3C177780"/>
    <w:rsid w:val="3C597D99"/>
    <w:rsid w:val="3CA8662A"/>
    <w:rsid w:val="3CC04181"/>
    <w:rsid w:val="3CE16F85"/>
    <w:rsid w:val="3CF11D7F"/>
    <w:rsid w:val="3CF67395"/>
    <w:rsid w:val="3D000214"/>
    <w:rsid w:val="3D103806"/>
    <w:rsid w:val="3D193084"/>
    <w:rsid w:val="3D347EBE"/>
    <w:rsid w:val="3D477BF1"/>
    <w:rsid w:val="3D4E71D1"/>
    <w:rsid w:val="3D864515"/>
    <w:rsid w:val="3DA6700D"/>
    <w:rsid w:val="3DB90469"/>
    <w:rsid w:val="3DC265C2"/>
    <w:rsid w:val="3E29379B"/>
    <w:rsid w:val="3E42660A"/>
    <w:rsid w:val="3E7E7642"/>
    <w:rsid w:val="3F0062A9"/>
    <w:rsid w:val="3F3319E8"/>
    <w:rsid w:val="3F3C12AC"/>
    <w:rsid w:val="3F8F587F"/>
    <w:rsid w:val="3F95733A"/>
    <w:rsid w:val="3FA37920"/>
    <w:rsid w:val="3FAF7CCF"/>
    <w:rsid w:val="3FEE6A4A"/>
    <w:rsid w:val="40061FE5"/>
    <w:rsid w:val="406B3BF6"/>
    <w:rsid w:val="40866C82"/>
    <w:rsid w:val="40A50CF4"/>
    <w:rsid w:val="40AB0497"/>
    <w:rsid w:val="415F2EA0"/>
    <w:rsid w:val="41654AEA"/>
    <w:rsid w:val="41C96FF3"/>
    <w:rsid w:val="41DA54D8"/>
    <w:rsid w:val="42072045"/>
    <w:rsid w:val="421F738E"/>
    <w:rsid w:val="42227AF1"/>
    <w:rsid w:val="422C51A6"/>
    <w:rsid w:val="42A70AE7"/>
    <w:rsid w:val="42F327D4"/>
    <w:rsid w:val="43092019"/>
    <w:rsid w:val="43217136"/>
    <w:rsid w:val="43301127"/>
    <w:rsid w:val="435117C9"/>
    <w:rsid w:val="436F39FE"/>
    <w:rsid w:val="43B9111D"/>
    <w:rsid w:val="43F81C45"/>
    <w:rsid w:val="43FF1225"/>
    <w:rsid w:val="440F51E1"/>
    <w:rsid w:val="44557097"/>
    <w:rsid w:val="44827989"/>
    <w:rsid w:val="44B71B00"/>
    <w:rsid w:val="44F22B38"/>
    <w:rsid w:val="452C19F8"/>
    <w:rsid w:val="455C6204"/>
    <w:rsid w:val="45941E41"/>
    <w:rsid w:val="45943BEF"/>
    <w:rsid w:val="45B55914"/>
    <w:rsid w:val="45E701C3"/>
    <w:rsid w:val="45F11042"/>
    <w:rsid w:val="46256F3D"/>
    <w:rsid w:val="46276812"/>
    <w:rsid w:val="46427818"/>
    <w:rsid w:val="46445615"/>
    <w:rsid w:val="465D0485"/>
    <w:rsid w:val="46683FDD"/>
    <w:rsid w:val="467B51EF"/>
    <w:rsid w:val="469043B7"/>
    <w:rsid w:val="469C1719"/>
    <w:rsid w:val="469C7ABC"/>
    <w:rsid w:val="47055DD6"/>
    <w:rsid w:val="471B5C59"/>
    <w:rsid w:val="473016F6"/>
    <w:rsid w:val="473D77C4"/>
    <w:rsid w:val="47411B55"/>
    <w:rsid w:val="47507FEA"/>
    <w:rsid w:val="47527C17"/>
    <w:rsid w:val="47743CD8"/>
    <w:rsid w:val="478F28C0"/>
    <w:rsid w:val="47E26E94"/>
    <w:rsid w:val="480A1F47"/>
    <w:rsid w:val="4860600B"/>
    <w:rsid w:val="48C447EC"/>
    <w:rsid w:val="492139EC"/>
    <w:rsid w:val="4933371F"/>
    <w:rsid w:val="499F2B63"/>
    <w:rsid w:val="49E36F33"/>
    <w:rsid w:val="4A233794"/>
    <w:rsid w:val="4A38723F"/>
    <w:rsid w:val="4A7836BE"/>
    <w:rsid w:val="4A7B35D0"/>
    <w:rsid w:val="4A9B77CE"/>
    <w:rsid w:val="4ABD5996"/>
    <w:rsid w:val="4ACA56B2"/>
    <w:rsid w:val="4ACE54AE"/>
    <w:rsid w:val="4B3C4B0D"/>
    <w:rsid w:val="4B4B2FA2"/>
    <w:rsid w:val="4B663938"/>
    <w:rsid w:val="4BA6642B"/>
    <w:rsid w:val="4C5145E8"/>
    <w:rsid w:val="4C6B4F7E"/>
    <w:rsid w:val="4C746529"/>
    <w:rsid w:val="4C7B78B7"/>
    <w:rsid w:val="4C820C46"/>
    <w:rsid w:val="4CE56900"/>
    <w:rsid w:val="4D390793"/>
    <w:rsid w:val="4D442BB5"/>
    <w:rsid w:val="4D601437"/>
    <w:rsid w:val="4D693BB4"/>
    <w:rsid w:val="4D875DE8"/>
    <w:rsid w:val="4DA42E3E"/>
    <w:rsid w:val="4DD2460E"/>
    <w:rsid w:val="4E2A50F1"/>
    <w:rsid w:val="4E3A08CC"/>
    <w:rsid w:val="4E7C58ED"/>
    <w:rsid w:val="4E915170"/>
    <w:rsid w:val="4ED212E5"/>
    <w:rsid w:val="4EF76209"/>
    <w:rsid w:val="4EFE032C"/>
    <w:rsid w:val="4F1162B1"/>
    <w:rsid w:val="4F544163"/>
    <w:rsid w:val="4FBF5D0D"/>
    <w:rsid w:val="4FF40956"/>
    <w:rsid w:val="50047BC4"/>
    <w:rsid w:val="50632B3C"/>
    <w:rsid w:val="508B3E41"/>
    <w:rsid w:val="50B25872"/>
    <w:rsid w:val="50BB4726"/>
    <w:rsid w:val="50CA6717"/>
    <w:rsid w:val="50E53551"/>
    <w:rsid w:val="50E57F92"/>
    <w:rsid w:val="50FB2D75"/>
    <w:rsid w:val="5100038B"/>
    <w:rsid w:val="5134311A"/>
    <w:rsid w:val="514C3875"/>
    <w:rsid w:val="516A7EFA"/>
    <w:rsid w:val="51976D09"/>
    <w:rsid w:val="51A451BA"/>
    <w:rsid w:val="51EB103B"/>
    <w:rsid w:val="520536D2"/>
    <w:rsid w:val="521F0CE5"/>
    <w:rsid w:val="52214A5D"/>
    <w:rsid w:val="52320A18"/>
    <w:rsid w:val="523F1387"/>
    <w:rsid w:val="52A631B4"/>
    <w:rsid w:val="52BF26E8"/>
    <w:rsid w:val="530F2B07"/>
    <w:rsid w:val="531B3CDF"/>
    <w:rsid w:val="53267789"/>
    <w:rsid w:val="534A1D91"/>
    <w:rsid w:val="5380617B"/>
    <w:rsid w:val="53D03945"/>
    <w:rsid w:val="54116045"/>
    <w:rsid w:val="545F361A"/>
    <w:rsid w:val="545F603C"/>
    <w:rsid w:val="54624EB9"/>
    <w:rsid w:val="54C70621"/>
    <w:rsid w:val="54DE09E3"/>
    <w:rsid w:val="54E56216"/>
    <w:rsid w:val="54F63F7F"/>
    <w:rsid w:val="55197C6D"/>
    <w:rsid w:val="55592760"/>
    <w:rsid w:val="55911EF9"/>
    <w:rsid w:val="55A57CE3"/>
    <w:rsid w:val="55A97243"/>
    <w:rsid w:val="55DA73FC"/>
    <w:rsid w:val="56310C44"/>
    <w:rsid w:val="56680EAC"/>
    <w:rsid w:val="568850AA"/>
    <w:rsid w:val="56AD4B11"/>
    <w:rsid w:val="56B22127"/>
    <w:rsid w:val="56E85B49"/>
    <w:rsid w:val="56ED13B1"/>
    <w:rsid w:val="56ED315F"/>
    <w:rsid w:val="57211FE5"/>
    <w:rsid w:val="573E1C0D"/>
    <w:rsid w:val="57461256"/>
    <w:rsid w:val="578E4942"/>
    <w:rsid w:val="587873A1"/>
    <w:rsid w:val="589917F1"/>
    <w:rsid w:val="58A12453"/>
    <w:rsid w:val="58AB32D2"/>
    <w:rsid w:val="58B73A25"/>
    <w:rsid w:val="58E16CF4"/>
    <w:rsid w:val="58EA204C"/>
    <w:rsid w:val="58F76517"/>
    <w:rsid w:val="59080725"/>
    <w:rsid w:val="593257A1"/>
    <w:rsid w:val="593E7CA2"/>
    <w:rsid w:val="59C04B5B"/>
    <w:rsid w:val="59DE1485"/>
    <w:rsid w:val="5A5C0D28"/>
    <w:rsid w:val="5A683600"/>
    <w:rsid w:val="5AEA369E"/>
    <w:rsid w:val="5AF2343A"/>
    <w:rsid w:val="5BA1276A"/>
    <w:rsid w:val="5BA61212"/>
    <w:rsid w:val="5C084598"/>
    <w:rsid w:val="5C2238AB"/>
    <w:rsid w:val="5C553C81"/>
    <w:rsid w:val="5C7F6F4D"/>
    <w:rsid w:val="5CC23280"/>
    <w:rsid w:val="5CCC45E4"/>
    <w:rsid w:val="5D086F45"/>
    <w:rsid w:val="5DB76275"/>
    <w:rsid w:val="5E0C1675"/>
    <w:rsid w:val="5E1831B8"/>
    <w:rsid w:val="5E6000A3"/>
    <w:rsid w:val="5E7D126D"/>
    <w:rsid w:val="5EB822A5"/>
    <w:rsid w:val="5F357D99"/>
    <w:rsid w:val="5F3A35AD"/>
    <w:rsid w:val="5F5D4BFA"/>
    <w:rsid w:val="5F5E0A5B"/>
    <w:rsid w:val="5F8371C4"/>
    <w:rsid w:val="5FCA04E2"/>
    <w:rsid w:val="5FEA2932"/>
    <w:rsid w:val="601B6F8F"/>
    <w:rsid w:val="60310561"/>
    <w:rsid w:val="605B55DE"/>
    <w:rsid w:val="60B371C8"/>
    <w:rsid w:val="60BE791B"/>
    <w:rsid w:val="60D46BA2"/>
    <w:rsid w:val="61161505"/>
    <w:rsid w:val="61204131"/>
    <w:rsid w:val="616B46BF"/>
    <w:rsid w:val="618E553F"/>
    <w:rsid w:val="61923281"/>
    <w:rsid w:val="61F335F4"/>
    <w:rsid w:val="6220263B"/>
    <w:rsid w:val="62347E94"/>
    <w:rsid w:val="62593D9F"/>
    <w:rsid w:val="628E5B63"/>
    <w:rsid w:val="62A50D92"/>
    <w:rsid w:val="62BB4B46"/>
    <w:rsid w:val="62D42AFB"/>
    <w:rsid w:val="63780255"/>
    <w:rsid w:val="6379750C"/>
    <w:rsid w:val="63B74E0F"/>
    <w:rsid w:val="63DA4A6C"/>
    <w:rsid w:val="63EA73A4"/>
    <w:rsid w:val="646D3B32"/>
    <w:rsid w:val="648074A3"/>
    <w:rsid w:val="64DE058B"/>
    <w:rsid w:val="65B8702E"/>
    <w:rsid w:val="65CB77FE"/>
    <w:rsid w:val="65DC4ACB"/>
    <w:rsid w:val="65FD2C93"/>
    <w:rsid w:val="66636F9A"/>
    <w:rsid w:val="66B23A7E"/>
    <w:rsid w:val="66BC66AA"/>
    <w:rsid w:val="66F95B50"/>
    <w:rsid w:val="673E5311"/>
    <w:rsid w:val="67455D20"/>
    <w:rsid w:val="6759357A"/>
    <w:rsid w:val="67696832"/>
    <w:rsid w:val="681C5653"/>
    <w:rsid w:val="6833299C"/>
    <w:rsid w:val="68776D2D"/>
    <w:rsid w:val="68D777CC"/>
    <w:rsid w:val="68DB550E"/>
    <w:rsid w:val="68E343C2"/>
    <w:rsid w:val="690600B1"/>
    <w:rsid w:val="69075408"/>
    <w:rsid w:val="692A0243"/>
    <w:rsid w:val="69571F5C"/>
    <w:rsid w:val="695B21AB"/>
    <w:rsid w:val="69FA3E5A"/>
    <w:rsid w:val="6A197BB4"/>
    <w:rsid w:val="6A42336B"/>
    <w:rsid w:val="6A7C7D5F"/>
    <w:rsid w:val="6AA14535"/>
    <w:rsid w:val="6AD62431"/>
    <w:rsid w:val="6AEA7C8A"/>
    <w:rsid w:val="6AF74155"/>
    <w:rsid w:val="6B106FC5"/>
    <w:rsid w:val="6B373FBF"/>
    <w:rsid w:val="6BDA48CE"/>
    <w:rsid w:val="6C2216A6"/>
    <w:rsid w:val="6C2E004A"/>
    <w:rsid w:val="6C517895"/>
    <w:rsid w:val="6CC4275D"/>
    <w:rsid w:val="6CF63059"/>
    <w:rsid w:val="6D18403D"/>
    <w:rsid w:val="6D262AD0"/>
    <w:rsid w:val="6D932E8A"/>
    <w:rsid w:val="6D9712DD"/>
    <w:rsid w:val="6D9E6B0A"/>
    <w:rsid w:val="6DC02F24"/>
    <w:rsid w:val="6DE11A7D"/>
    <w:rsid w:val="6E532EF0"/>
    <w:rsid w:val="6E5F098F"/>
    <w:rsid w:val="6E923C2D"/>
    <w:rsid w:val="6EFC7F8C"/>
    <w:rsid w:val="6F062BB9"/>
    <w:rsid w:val="6F0B6421"/>
    <w:rsid w:val="6FA50623"/>
    <w:rsid w:val="6FF719E0"/>
    <w:rsid w:val="70480FAF"/>
    <w:rsid w:val="70651B61"/>
    <w:rsid w:val="70C01024"/>
    <w:rsid w:val="70F21947"/>
    <w:rsid w:val="70F25AEA"/>
    <w:rsid w:val="714D2D21"/>
    <w:rsid w:val="717D77DC"/>
    <w:rsid w:val="71D945B4"/>
    <w:rsid w:val="71DB593C"/>
    <w:rsid w:val="71F96A05"/>
    <w:rsid w:val="720535FB"/>
    <w:rsid w:val="725D3437"/>
    <w:rsid w:val="729B614B"/>
    <w:rsid w:val="72C55A38"/>
    <w:rsid w:val="7349576A"/>
    <w:rsid w:val="734B14E2"/>
    <w:rsid w:val="74077E94"/>
    <w:rsid w:val="74143FCA"/>
    <w:rsid w:val="74890514"/>
    <w:rsid w:val="75265D63"/>
    <w:rsid w:val="758D7B90"/>
    <w:rsid w:val="75CD2682"/>
    <w:rsid w:val="763823E2"/>
    <w:rsid w:val="763D7808"/>
    <w:rsid w:val="7643664B"/>
    <w:rsid w:val="76F679B7"/>
    <w:rsid w:val="773F4EBA"/>
    <w:rsid w:val="77723041"/>
    <w:rsid w:val="77810731"/>
    <w:rsid w:val="77920316"/>
    <w:rsid w:val="782B3690"/>
    <w:rsid w:val="7863107C"/>
    <w:rsid w:val="78947487"/>
    <w:rsid w:val="78E81581"/>
    <w:rsid w:val="78EE4DE9"/>
    <w:rsid w:val="78FD6DDA"/>
    <w:rsid w:val="79943C0F"/>
    <w:rsid w:val="79C724C2"/>
    <w:rsid w:val="79F71A7C"/>
    <w:rsid w:val="79FA156C"/>
    <w:rsid w:val="7A4D3D91"/>
    <w:rsid w:val="7A9B68AB"/>
    <w:rsid w:val="7AF67F85"/>
    <w:rsid w:val="7B0408F4"/>
    <w:rsid w:val="7B0E3521"/>
    <w:rsid w:val="7B2C1223"/>
    <w:rsid w:val="7B3B62E0"/>
    <w:rsid w:val="7B607AF4"/>
    <w:rsid w:val="7BCC3403"/>
    <w:rsid w:val="7BDA7B3A"/>
    <w:rsid w:val="7C092FAF"/>
    <w:rsid w:val="7C280612"/>
    <w:rsid w:val="7C8D4919"/>
    <w:rsid w:val="7C977546"/>
    <w:rsid w:val="7CB023B6"/>
    <w:rsid w:val="7CB82EDA"/>
    <w:rsid w:val="7CCF6CE0"/>
    <w:rsid w:val="7D1E1A15"/>
    <w:rsid w:val="7D307B08"/>
    <w:rsid w:val="7D3A0B65"/>
    <w:rsid w:val="7D553689"/>
    <w:rsid w:val="7D60202E"/>
    <w:rsid w:val="7DA22646"/>
    <w:rsid w:val="7DA57A41"/>
    <w:rsid w:val="7DE00815"/>
    <w:rsid w:val="7DE40569"/>
    <w:rsid w:val="7DF804B8"/>
    <w:rsid w:val="7E01111B"/>
    <w:rsid w:val="7E5E47BF"/>
    <w:rsid w:val="7E906943"/>
    <w:rsid w:val="7EFE1AFE"/>
    <w:rsid w:val="7F313C82"/>
    <w:rsid w:val="7F5B0CFF"/>
    <w:rsid w:val="7F7122D0"/>
    <w:rsid w:val="7FA65EE1"/>
    <w:rsid w:val="7FAB3A34"/>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2"/>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rPr>
      <w:rFonts w:ascii="Calibri" w:hAnsi="Calibri" w:eastAsia="宋体"/>
    </w:rPr>
  </w:style>
  <w:style w:type="paragraph" w:styleId="8">
    <w:name w:val="annotation text"/>
    <w:basedOn w:val="1"/>
    <w:unhideWhenUsed/>
    <w:qFormat/>
    <w:uiPriority w:val="99"/>
    <w:pPr>
      <w:jc w:val="left"/>
    </w:pPr>
  </w:style>
  <w:style w:type="paragraph" w:styleId="9">
    <w:name w:val="Body Text"/>
    <w:basedOn w:val="1"/>
    <w:qFormat/>
    <w:uiPriority w:val="0"/>
    <w:pPr>
      <w:spacing w:line="0" w:lineRule="atLeast"/>
    </w:pPr>
    <w:rPr>
      <w:rFonts w:ascii="Calibri" w:hAnsi="Calibri"/>
      <w:b/>
      <w:sz w:val="30"/>
      <w:szCs w:val="20"/>
    </w:rPr>
  </w:style>
  <w:style w:type="paragraph" w:styleId="10">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qFormat/>
    <w:uiPriority w:val="0"/>
  </w:style>
  <w:style w:type="paragraph" w:styleId="17">
    <w:name w:val="toc 2"/>
    <w:basedOn w:val="1"/>
    <w:next w:val="1"/>
    <w:qFormat/>
    <w:uiPriority w:val="0"/>
    <w:pPr>
      <w:ind w:left="210"/>
      <w:jc w:val="left"/>
    </w:pPr>
    <w:rPr>
      <w:rFonts w:ascii="Times New Roman" w:hAnsi="Times New Roman" w:eastAsia="宋体" w:cs="Times New Roman"/>
      <w:smallCaps/>
      <w:sz w:val="20"/>
      <w:szCs w:val="20"/>
    </w:rPr>
  </w:style>
  <w:style w:type="paragraph" w:styleId="18">
    <w:name w:val="Body Text 2"/>
    <w:basedOn w:val="19"/>
    <w:qFormat/>
    <w:uiPriority w:val="0"/>
    <w:pPr>
      <w:spacing w:after="120" w:afterLines="0" w:line="480" w:lineRule="auto"/>
    </w:pPr>
    <w:rPr>
      <w:szCs w:val="24"/>
    </w:rPr>
  </w:style>
  <w:style w:type="paragraph" w:customStyle="1" w:styleId="19">
    <w:name w:val="Normal_2"/>
    <w:next w:val="18"/>
    <w:qFormat/>
    <w:uiPriority w:val="0"/>
    <w:pPr>
      <w:widowControl w:val="0"/>
      <w:jc w:val="both"/>
    </w:pPr>
    <w:rPr>
      <w:rFonts w:ascii="Calibri" w:hAnsi="Calibri" w:eastAsia="宋体" w:cs="Times New Roman"/>
      <w:kern w:val="2"/>
      <w:sz w:val="21"/>
      <w:szCs w:val="24"/>
    </w:rPr>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9"/>
    <w:qFormat/>
    <w:uiPriority w:val="0"/>
    <w:pPr>
      <w:ind w:firstLine="420" w:firstLineChars="100"/>
    </w:pPr>
  </w:style>
  <w:style w:type="paragraph" w:styleId="23">
    <w:name w:val="Body Text First Indent 2"/>
    <w:basedOn w:val="10"/>
    <w:next w:val="1"/>
    <w:qFormat/>
    <w:uiPriority w:val="0"/>
    <w:pPr>
      <w:ind w:firstLine="420" w:firstLineChars="200"/>
    </w:p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rPr>
      <w:rFonts w:ascii="Calibri" w:hAnsi="Calibri" w:eastAsia="宋体" w:cs="Times New Roman"/>
    </w:rPr>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singl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列出段落1"/>
    <w:basedOn w:val="1"/>
    <w:qFormat/>
    <w:uiPriority w:val="0"/>
    <w:pPr>
      <w:ind w:firstLine="420" w:firstLineChars="200"/>
    </w:pPr>
    <w:rPr>
      <w:rFonts w:ascii="Times New Roman" w:hAnsi="Times New Roman" w:eastAsia="宋体"/>
      <w:szCs w:val="24"/>
    </w:rPr>
  </w:style>
  <w:style w:type="paragraph" w:styleId="41">
    <w:name w:val="List Paragraph"/>
    <w:basedOn w:val="1"/>
    <w:qFormat/>
    <w:uiPriority w:val="0"/>
    <w:pPr>
      <w:ind w:firstLine="420" w:firstLineChars="200"/>
    </w:pPr>
    <w:rPr>
      <w:rFonts w:ascii="Calibri" w:hAnsi="Calibri"/>
      <w:szCs w:val="22"/>
    </w:rPr>
  </w:style>
  <w:style w:type="character" w:customStyle="1" w:styleId="42">
    <w:name w:val="标题 1 Char"/>
    <w:link w:val="2"/>
    <w:qFormat/>
    <w:uiPriority w:val="0"/>
    <w:rPr>
      <w:rFonts w:ascii="黑体" w:hAnsi="黑体" w:eastAsia="宋体"/>
      <w:b/>
      <w:kern w:val="0"/>
      <w:sz w:val="32"/>
      <w:szCs w:val="20"/>
    </w:rPr>
  </w:style>
  <w:style w:type="paragraph" w:customStyle="1" w:styleId="43">
    <w:name w:val="WPSOffice手动目录 1"/>
    <w:qFormat/>
    <w:uiPriority w:val="0"/>
    <w:pPr>
      <w:ind w:leftChars="0"/>
    </w:pPr>
    <w:rPr>
      <w:rFonts w:asciiTheme="minorHAnsi" w:hAnsiTheme="minorHAnsi" w:eastAsiaTheme="minorEastAsia" w:cstheme="minorBidi"/>
      <w:sz w:val="20"/>
      <w:szCs w:val="20"/>
    </w:rPr>
  </w:style>
  <w:style w:type="paragraph" w:customStyle="1" w:styleId="4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qFormat/>
    <w:uiPriority w:val="0"/>
    <w:pPr>
      <w:spacing w:after="420"/>
      <w:ind w:firstLine="140"/>
    </w:pPr>
    <w:rPr>
      <w:rFonts w:ascii="宋体" w:hAnsi="宋体" w:cs="宋体"/>
      <w:sz w:val="17"/>
      <w:szCs w:val="17"/>
      <w:lang w:val="zh-TW" w:eastAsia="zh-TW" w:bidi="zh-TW"/>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2991</Words>
  <Characters>3498</Characters>
  <Lines>0</Lines>
  <Paragraphs>0</Paragraphs>
  <TotalTime>12</TotalTime>
  <ScaleCrop>false</ScaleCrop>
  <LinksUpToDate>false</LinksUpToDate>
  <CharactersWithSpaces>3559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Administrator</cp:lastModifiedBy>
  <cp:lastPrinted>2024-04-12T01:16:00Z</cp:lastPrinted>
  <dcterms:modified xsi:type="dcterms:W3CDTF">2024-12-18T00:06:34Z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266E69B7248A4E6EB60C0B4495132BE6_13</vt:lpwstr>
  </property>
</Properties>
</file>