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372B9">
      <w:pPr>
        <w:rPr>
          <w:rFonts w:ascii="宋体" w:cs="宋体"/>
          <w:color w:val="000000" w:themeColor="text1"/>
          <w:highlight w:val="none"/>
          <w14:textFill>
            <w14:solidFill>
              <w14:schemeClr w14:val="tx1"/>
            </w14:solidFill>
          </w14:textFill>
        </w:rPr>
      </w:pPr>
      <w:bookmarkStart w:id="124" w:name="_GoBack"/>
    </w:p>
    <w:p w14:paraId="25E195F7">
      <w:pPr>
        <w:rPr>
          <w:rFonts w:ascii="宋体" w:cs="宋体"/>
          <w:color w:val="000000" w:themeColor="text1"/>
          <w:highlight w:val="none"/>
          <w14:textFill>
            <w14:solidFill>
              <w14:schemeClr w14:val="tx1"/>
            </w14:solidFill>
          </w14:textFill>
        </w:rPr>
      </w:pPr>
    </w:p>
    <w:p w14:paraId="3CBAE450">
      <w:pPr>
        <w:jc w:val="center"/>
        <w:rPr>
          <w:rFonts w:hint="eastAsia" w:ascii="宋体" w:eastAsia="宋体" w:cs="宋体"/>
          <w:color w:val="000000" w:themeColor="text1"/>
          <w:highlight w:val="none"/>
          <w:lang w:eastAsia="zh-CN"/>
          <w14:textFill>
            <w14:solidFill>
              <w14:schemeClr w14:val="tx1"/>
            </w14:solidFill>
          </w14:textFill>
        </w:rPr>
      </w:pPr>
      <w:r>
        <w:rPr>
          <w:rFonts w:hint="eastAsia" w:ascii="宋体" w:cs="宋体"/>
          <w:b/>
          <w:color w:val="000000" w:themeColor="text1"/>
          <w:sz w:val="48"/>
          <w:szCs w:val="48"/>
          <w:highlight w:val="none"/>
          <w14:textFill>
            <w14:solidFill>
              <w14:schemeClr w14:val="tx1"/>
            </w14:solidFill>
          </w14:textFill>
        </w:rPr>
        <w:t>长春市公安局交通警察支队</w:t>
      </w:r>
      <w:r>
        <w:rPr>
          <w:rFonts w:hint="eastAsia" w:ascii="宋体" w:cs="宋体"/>
          <w:b/>
          <w:color w:val="000000" w:themeColor="text1"/>
          <w:sz w:val="48"/>
          <w:szCs w:val="48"/>
          <w:highlight w:val="none"/>
          <w:lang w:eastAsia="zh-CN"/>
          <w14:textFill>
            <w14:solidFill>
              <w14:schemeClr w14:val="tx1"/>
            </w14:solidFill>
          </w14:textFill>
        </w:rPr>
        <w:t>摩托车警用装备采购项目</w:t>
      </w:r>
    </w:p>
    <w:p w14:paraId="6B132A50">
      <w:pPr>
        <w:rPr>
          <w:rFonts w:ascii="宋体" w:cs="宋体"/>
          <w:color w:val="000000" w:themeColor="text1"/>
          <w:highlight w:val="none"/>
          <w14:textFill>
            <w14:solidFill>
              <w14:schemeClr w14:val="tx1"/>
            </w14:solidFill>
          </w14:textFill>
        </w:rPr>
      </w:pPr>
    </w:p>
    <w:p w14:paraId="0299155D">
      <w:pPr>
        <w:pStyle w:val="25"/>
        <w:rPr>
          <w:rFonts w:ascii="宋体" w:eastAsia="宋体" w:cs="宋体"/>
          <w:color w:val="000000" w:themeColor="text1"/>
          <w:highlight w:val="none"/>
          <w14:textFill>
            <w14:solidFill>
              <w14:schemeClr w14:val="tx1"/>
            </w14:solidFill>
          </w14:textFill>
        </w:rPr>
      </w:pPr>
    </w:p>
    <w:p w14:paraId="4E9A7FAD">
      <w:pPr>
        <w:jc w:val="center"/>
        <w:rPr>
          <w:rFonts w:ascii="宋体" w:cs="宋体"/>
          <w:b/>
          <w:color w:val="000000" w:themeColor="text1"/>
          <w:sz w:val="96"/>
          <w:szCs w:val="72"/>
          <w:highlight w:val="none"/>
          <w14:textFill>
            <w14:solidFill>
              <w14:schemeClr w14:val="tx1"/>
            </w14:solidFill>
          </w14:textFill>
        </w:rPr>
      </w:pPr>
    </w:p>
    <w:p w14:paraId="7A2396FC">
      <w:pPr>
        <w:jc w:val="center"/>
        <w:rPr>
          <w:rFonts w:ascii="宋体" w:cs="宋体"/>
          <w:b/>
          <w:color w:val="000000" w:themeColor="text1"/>
          <w:sz w:val="96"/>
          <w:szCs w:val="72"/>
          <w:highlight w:val="none"/>
          <w14:textFill>
            <w14:solidFill>
              <w14:schemeClr w14:val="tx1"/>
            </w14:solidFill>
          </w14:textFill>
        </w:rPr>
      </w:pPr>
    </w:p>
    <w:p w14:paraId="1591F220">
      <w:pPr>
        <w:jc w:val="center"/>
        <w:rPr>
          <w:rFonts w:ascii="宋体" w:cs="宋体"/>
          <w:b/>
          <w:color w:val="000000" w:themeColor="text1"/>
          <w:sz w:val="28"/>
          <w:szCs w:val="28"/>
          <w:highlight w:val="none"/>
          <w14:textFill>
            <w14:solidFill>
              <w14:schemeClr w14:val="tx1"/>
            </w14:solidFill>
          </w14:textFill>
        </w:rPr>
      </w:pPr>
      <w:r>
        <w:rPr>
          <w:rFonts w:hint="eastAsia" w:ascii="宋体" w:cs="宋体"/>
          <w:b/>
          <w:color w:val="000000" w:themeColor="text1"/>
          <w:sz w:val="96"/>
          <w:szCs w:val="72"/>
          <w:highlight w:val="none"/>
          <w14:textFill>
            <w14:solidFill>
              <w14:schemeClr w14:val="tx1"/>
            </w14:solidFill>
          </w14:textFill>
        </w:rPr>
        <w:t>竞争性磋商文件</w:t>
      </w:r>
    </w:p>
    <w:p w14:paraId="1789CCF8">
      <w:pPr>
        <w:rPr>
          <w:rFonts w:ascii="宋体" w:cs="宋体"/>
          <w:b/>
          <w:bCs/>
          <w:color w:val="000000" w:themeColor="text1"/>
          <w:sz w:val="30"/>
          <w:szCs w:val="30"/>
          <w:highlight w:val="none"/>
          <w14:textFill>
            <w14:solidFill>
              <w14:schemeClr w14:val="tx1"/>
            </w14:solidFill>
          </w14:textFill>
        </w:rPr>
      </w:pPr>
    </w:p>
    <w:p w14:paraId="5AF52396">
      <w:pPr>
        <w:jc w:val="center"/>
        <w:rPr>
          <w:rFonts w:hint="eastAsia" w:ascii="宋体" w:eastAsia="宋体" w:cs="宋体"/>
          <w:b/>
          <w:color w:val="000000" w:themeColor="text1"/>
          <w:sz w:val="144"/>
          <w:szCs w:val="144"/>
          <w:highlight w:val="none"/>
          <w:lang w:eastAsia="zh-CN"/>
          <w14:textFill>
            <w14:solidFill>
              <w14:schemeClr w14:val="tx1"/>
            </w14:solidFill>
          </w14:textFill>
        </w:rPr>
      </w:pPr>
      <w:r>
        <w:rPr>
          <w:rFonts w:hint="eastAsia" w:ascii="宋体" w:cs="宋体"/>
          <w:b/>
          <w:bCs/>
          <w:color w:val="000000" w:themeColor="text1"/>
          <w:sz w:val="36"/>
          <w:szCs w:val="36"/>
          <w:highlight w:val="none"/>
          <w14:textFill>
            <w14:solidFill>
              <w14:schemeClr w14:val="tx1"/>
            </w14:solidFill>
          </w14:textFill>
        </w:rPr>
        <w:t>项目编号:</w:t>
      </w:r>
      <w:r>
        <w:rPr>
          <w:rFonts w:hint="eastAsia" w:ascii="宋体" w:cs="宋体"/>
          <w:b/>
          <w:bCs/>
          <w:color w:val="000000" w:themeColor="text1"/>
          <w:sz w:val="36"/>
          <w:szCs w:val="36"/>
          <w:highlight w:val="none"/>
          <w14:textFill>
            <w14:solidFill>
              <w14:schemeClr w14:val="tx1"/>
            </w14:solidFill>
          </w14:textFill>
        </w:rPr>
        <w:t xml:space="preserve"> </w:t>
      </w:r>
      <w:r>
        <w:rPr>
          <w:rFonts w:hint="eastAsia" w:ascii="宋体" w:cs="宋体"/>
          <w:b/>
          <w:bCs/>
          <w:color w:val="000000" w:themeColor="text1"/>
          <w:sz w:val="36"/>
          <w:szCs w:val="36"/>
          <w:highlight w:val="none"/>
          <w:lang w:eastAsia="zh-CN"/>
          <w14:textFill>
            <w14:solidFill>
              <w14:schemeClr w14:val="tx1"/>
            </w14:solidFill>
          </w14:textFill>
        </w:rPr>
        <w:t>JM-2024-11-01450</w:t>
      </w:r>
    </w:p>
    <w:p w14:paraId="6154655F">
      <w:pPr>
        <w:pStyle w:val="25"/>
        <w:rPr>
          <w:rFonts w:ascii="宋体" w:eastAsia="宋体" w:cs="宋体"/>
          <w:color w:val="000000" w:themeColor="text1"/>
          <w:highlight w:val="none"/>
          <w14:textFill>
            <w14:solidFill>
              <w14:schemeClr w14:val="tx1"/>
            </w14:solidFill>
          </w14:textFill>
        </w:rPr>
      </w:pPr>
    </w:p>
    <w:p w14:paraId="625A3BF6">
      <w:pPr>
        <w:pStyle w:val="25"/>
        <w:rPr>
          <w:rFonts w:ascii="宋体" w:eastAsia="宋体" w:cs="宋体"/>
          <w:color w:val="000000" w:themeColor="text1"/>
          <w:highlight w:val="none"/>
          <w14:textFill>
            <w14:solidFill>
              <w14:schemeClr w14:val="tx1"/>
            </w14:solidFill>
          </w14:textFill>
        </w:rPr>
      </w:pPr>
    </w:p>
    <w:p w14:paraId="519EAB56">
      <w:pPr>
        <w:rPr>
          <w:rFonts w:ascii="宋体" w:cs="宋体"/>
          <w:color w:val="000000" w:themeColor="text1"/>
          <w:highlight w:val="none"/>
          <w14:textFill>
            <w14:solidFill>
              <w14:schemeClr w14:val="tx1"/>
            </w14:solidFill>
          </w14:textFill>
        </w:rPr>
      </w:pPr>
    </w:p>
    <w:p w14:paraId="5574DA9E">
      <w:pPr>
        <w:pStyle w:val="25"/>
        <w:rPr>
          <w:rFonts w:ascii="宋体" w:eastAsia="宋体" w:cs="宋体"/>
          <w:color w:val="000000" w:themeColor="text1"/>
          <w:highlight w:val="none"/>
          <w14:textFill>
            <w14:solidFill>
              <w14:schemeClr w14:val="tx1"/>
            </w14:solidFill>
          </w14:textFill>
        </w:rPr>
      </w:pPr>
    </w:p>
    <w:p w14:paraId="71C73CED">
      <w:pPr>
        <w:rPr>
          <w:rFonts w:ascii="宋体" w:cs="宋体"/>
          <w:color w:val="000000" w:themeColor="text1"/>
          <w:highlight w:val="none"/>
          <w14:textFill>
            <w14:solidFill>
              <w14:schemeClr w14:val="tx1"/>
            </w14:solidFill>
          </w14:textFill>
        </w:rPr>
      </w:pPr>
    </w:p>
    <w:p w14:paraId="7A716EFE">
      <w:pPr>
        <w:pStyle w:val="25"/>
        <w:rPr>
          <w:rFonts w:ascii="宋体" w:eastAsia="宋体" w:cs="宋体"/>
          <w:color w:val="000000" w:themeColor="text1"/>
          <w:highlight w:val="none"/>
          <w14:textFill>
            <w14:solidFill>
              <w14:schemeClr w14:val="tx1"/>
            </w14:solidFill>
          </w14:textFill>
        </w:rPr>
      </w:pPr>
    </w:p>
    <w:p w14:paraId="25B7B2A4">
      <w:pPr>
        <w:spacing w:line="640" w:lineRule="exact"/>
        <w:rPr>
          <w:rFonts w:ascii="宋体" w:cs="宋体"/>
          <w:b/>
          <w:color w:val="000000" w:themeColor="text1"/>
          <w:sz w:val="36"/>
          <w:szCs w:val="36"/>
          <w:highlight w:val="none"/>
          <w14:textFill>
            <w14:solidFill>
              <w14:schemeClr w14:val="tx1"/>
            </w14:solidFill>
          </w14:textFill>
        </w:rPr>
      </w:pPr>
    </w:p>
    <w:p w14:paraId="586EA6B9">
      <w:pPr>
        <w:rPr>
          <w:rFonts w:ascii="宋体" w:cs="宋体"/>
          <w:b/>
          <w:color w:val="000000" w:themeColor="text1"/>
          <w:sz w:val="36"/>
          <w:szCs w:val="36"/>
          <w:highlight w:val="none"/>
          <w14:textFill>
            <w14:solidFill>
              <w14:schemeClr w14:val="tx1"/>
            </w14:solidFill>
          </w14:textFill>
        </w:rPr>
      </w:pPr>
    </w:p>
    <w:p w14:paraId="0AD4290C">
      <w:pPr>
        <w:pStyle w:val="25"/>
        <w:rPr>
          <w:rFonts w:ascii="宋体" w:eastAsia="宋体" w:cs="宋体"/>
          <w:color w:val="000000" w:themeColor="text1"/>
          <w:highlight w:val="none"/>
          <w14:textFill>
            <w14:solidFill>
              <w14:schemeClr w14:val="tx1"/>
            </w14:solidFill>
          </w14:textFill>
        </w:rPr>
      </w:pPr>
    </w:p>
    <w:p w14:paraId="6AD8DCFF">
      <w:pPr>
        <w:spacing w:line="360" w:lineRule="auto"/>
        <w:ind w:firstLine="562"/>
        <w:rPr>
          <w:rFonts w:ascii="宋体" w:cs="宋体"/>
          <w:b/>
          <w:color w:val="000000" w:themeColor="text1"/>
          <w:kern w:val="0"/>
          <w:sz w:val="36"/>
          <w:szCs w:val="28"/>
          <w:highlight w:val="none"/>
          <w14:textFill>
            <w14:solidFill>
              <w14:schemeClr w14:val="tx1"/>
            </w14:solidFill>
          </w14:textFill>
        </w:rPr>
      </w:pPr>
    </w:p>
    <w:p w14:paraId="151C243F">
      <w:pPr>
        <w:spacing w:line="360" w:lineRule="auto"/>
        <w:ind w:firstLine="562"/>
        <w:rPr>
          <w:rFonts w:ascii="宋体" w:cs="宋体"/>
          <w:b/>
          <w:color w:val="000000" w:themeColor="text1"/>
          <w:kern w:val="0"/>
          <w:sz w:val="36"/>
          <w:szCs w:val="28"/>
          <w:highlight w:val="none"/>
          <w14:textFill>
            <w14:solidFill>
              <w14:schemeClr w14:val="tx1"/>
            </w14:solidFill>
          </w14:textFill>
        </w:rPr>
      </w:pPr>
      <w:r>
        <w:rPr>
          <w:rFonts w:hint="eastAsia" w:ascii="宋体" w:cs="宋体"/>
          <w:b/>
          <w:color w:val="000000" w:themeColor="text1"/>
          <w:kern w:val="0"/>
          <w:sz w:val="36"/>
          <w:szCs w:val="28"/>
          <w:highlight w:val="none"/>
          <w14:textFill>
            <w14:solidFill>
              <w14:schemeClr w14:val="tx1"/>
            </w14:solidFill>
          </w14:textFill>
        </w:rPr>
        <w:t>采   购   人：长春市公安局交通警察支队</w:t>
      </w:r>
    </w:p>
    <w:p w14:paraId="7A378842">
      <w:pPr>
        <w:pStyle w:val="6"/>
        <w:rPr>
          <w:color w:val="000000" w:themeColor="text1"/>
          <w:highlight w:val="none"/>
          <w14:textFill>
            <w14:solidFill>
              <w14:schemeClr w14:val="tx1"/>
            </w14:solidFill>
          </w14:textFill>
        </w:rPr>
      </w:pPr>
    </w:p>
    <w:p w14:paraId="0D2B7877">
      <w:pPr>
        <w:spacing w:line="360" w:lineRule="auto"/>
        <w:ind w:firstLine="562"/>
        <w:rPr>
          <w:rFonts w:ascii="宋体" w:cs="宋体"/>
          <w:b/>
          <w:color w:val="000000" w:themeColor="text1"/>
          <w:kern w:val="0"/>
          <w:sz w:val="28"/>
          <w:szCs w:val="28"/>
          <w:highlight w:val="none"/>
          <w14:textFill>
            <w14:solidFill>
              <w14:schemeClr w14:val="tx1"/>
            </w14:solidFill>
          </w14:textFill>
        </w:rPr>
      </w:pPr>
      <w:r>
        <w:rPr>
          <w:rFonts w:hint="eastAsia" w:ascii="宋体" w:cs="宋体"/>
          <w:b/>
          <w:color w:val="000000" w:themeColor="text1"/>
          <w:kern w:val="0"/>
          <w:sz w:val="36"/>
          <w:szCs w:val="28"/>
          <w:highlight w:val="none"/>
          <w14:textFill>
            <w14:solidFill>
              <w14:schemeClr w14:val="tx1"/>
            </w14:solidFill>
          </w14:textFill>
        </w:rPr>
        <w:t>采购代理机构：吉林省锐峰项目管理有限公司</w:t>
      </w:r>
    </w:p>
    <w:p w14:paraId="05352BA2">
      <w:pPr>
        <w:spacing w:line="360" w:lineRule="auto"/>
        <w:ind w:firstLine="562"/>
        <w:jc w:val="center"/>
        <w:rPr>
          <w:rFonts w:ascii="宋体" w:cs="宋体"/>
          <w:b/>
          <w:color w:val="000000" w:themeColor="text1"/>
          <w:kern w:val="0"/>
          <w:sz w:val="28"/>
          <w:szCs w:val="28"/>
          <w:highlight w:val="none"/>
          <w14:textFill>
            <w14:solidFill>
              <w14:schemeClr w14:val="tx1"/>
            </w14:solidFill>
          </w14:textFill>
        </w:rPr>
      </w:pPr>
    </w:p>
    <w:p w14:paraId="7E295B55">
      <w:pPr>
        <w:spacing w:line="360" w:lineRule="auto"/>
        <w:ind w:firstLine="562"/>
        <w:jc w:val="center"/>
        <w:rPr>
          <w:rFonts w:ascii="宋体" w:cs="宋体"/>
          <w:b/>
          <w:color w:val="000000" w:themeColor="text1"/>
          <w:kern w:val="0"/>
          <w:sz w:val="40"/>
          <w:szCs w:val="40"/>
          <w:highlight w:val="none"/>
          <w14:textFill>
            <w14:solidFill>
              <w14:schemeClr w14:val="tx1"/>
            </w14:solidFill>
          </w14:textFill>
        </w:rPr>
      </w:pPr>
      <w:r>
        <w:rPr>
          <w:rFonts w:hint="eastAsia" w:ascii="宋体" w:cs="宋体"/>
          <w:b/>
          <w:color w:val="000000" w:themeColor="text1"/>
          <w:kern w:val="0"/>
          <w:sz w:val="40"/>
          <w:szCs w:val="40"/>
          <w:highlight w:val="none"/>
          <w14:textFill>
            <w14:solidFill>
              <w14:schemeClr w14:val="tx1"/>
            </w14:solidFill>
          </w14:textFill>
        </w:rPr>
        <w:t>二〇二四年</w:t>
      </w:r>
      <w:r>
        <w:rPr>
          <w:rFonts w:hint="eastAsia" w:ascii="宋体" w:cs="宋体"/>
          <w:b/>
          <w:color w:val="000000" w:themeColor="text1"/>
          <w:kern w:val="0"/>
          <w:sz w:val="40"/>
          <w:szCs w:val="40"/>
          <w:highlight w:val="none"/>
          <w:lang w:eastAsia="zh-CN"/>
          <w14:textFill>
            <w14:solidFill>
              <w14:schemeClr w14:val="tx1"/>
            </w14:solidFill>
          </w14:textFill>
        </w:rPr>
        <w:t>十一</w:t>
      </w:r>
      <w:r>
        <w:rPr>
          <w:rFonts w:hint="eastAsia" w:ascii="宋体" w:cs="宋体"/>
          <w:b/>
          <w:color w:val="000000" w:themeColor="text1"/>
          <w:kern w:val="0"/>
          <w:sz w:val="40"/>
          <w:szCs w:val="40"/>
          <w:highlight w:val="none"/>
          <w14:textFill>
            <w14:solidFill>
              <w14:schemeClr w14:val="tx1"/>
            </w14:solidFill>
          </w14:textFill>
        </w:rPr>
        <w:t>月</w:t>
      </w:r>
    </w:p>
    <w:p w14:paraId="0B7F7512">
      <w:pPr>
        <w:spacing w:line="360" w:lineRule="auto"/>
        <w:jc w:val="center"/>
        <w:rPr>
          <w:rFonts w:ascii="宋体" w:cs="宋体"/>
          <w:b/>
          <w:color w:val="000000" w:themeColor="text1"/>
          <w:kern w:val="0"/>
          <w:sz w:val="44"/>
          <w:szCs w:val="44"/>
          <w:highlight w:val="none"/>
          <w14:textFill>
            <w14:solidFill>
              <w14:schemeClr w14:val="tx1"/>
            </w14:solidFill>
          </w14:textFill>
        </w:rPr>
        <w:sectPr>
          <w:footerReference r:id="rId3" w:type="even"/>
          <w:pgSz w:w="11906" w:h="16838"/>
          <w:pgMar w:top="1361" w:right="1304" w:bottom="1247" w:left="1304" w:header="680" w:footer="680" w:gutter="0"/>
          <w:cols w:space="720" w:num="1"/>
          <w:docGrid w:linePitch="312" w:charSpace="0"/>
        </w:sectPr>
      </w:pPr>
    </w:p>
    <w:p w14:paraId="50379EBA">
      <w:pPr>
        <w:spacing w:line="360" w:lineRule="auto"/>
        <w:jc w:val="center"/>
        <w:rPr>
          <w:rFonts w:ascii="宋体" w:cs="宋体"/>
          <w:b/>
          <w:color w:val="000000" w:themeColor="text1"/>
          <w:kern w:val="0"/>
          <w:sz w:val="44"/>
          <w:szCs w:val="44"/>
          <w:highlight w:val="none"/>
          <w14:textFill>
            <w14:solidFill>
              <w14:schemeClr w14:val="tx1"/>
            </w14:solidFill>
          </w14:textFill>
        </w:rPr>
      </w:pPr>
      <w:r>
        <w:rPr>
          <w:rFonts w:hint="eastAsia" w:ascii="宋体" w:cs="宋体"/>
          <w:b/>
          <w:color w:val="000000" w:themeColor="text1"/>
          <w:kern w:val="0"/>
          <w:sz w:val="44"/>
          <w:szCs w:val="44"/>
          <w:highlight w:val="none"/>
          <w14:textFill>
            <w14:solidFill>
              <w14:schemeClr w14:val="tx1"/>
            </w14:solidFill>
          </w14:textFill>
        </w:rPr>
        <w:t>目录</w:t>
      </w:r>
    </w:p>
    <w:p w14:paraId="06A6B161">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TOC \o "1-1" \h \u </w:instrText>
      </w:r>
      <w:r>
        <w:rPr>
          <w:rFonts w:hint="eastAsia" w:ascii="宋体" w:hAnsi="宋体" w:eastAsia="宋体" w:cs="宋体"/>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"_Toc16645"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竞争性磋商公告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_Toc16645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CCAB7DE">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"_Toc21882"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供应商须知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_Toc21882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D543789">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"_Toc19840"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_Toc19840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92B9798">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"_Toc19824"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合同条款（参考格式）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_Toc19824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34378A2">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"_Toc15624"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货物需求及技术规格要求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_Toc15624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079521F">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"_Toc27067"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磋商响应文件构成及格式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_Toc27067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D42261C">
      <w:pPr>
        <w:pStyle w:val="9"/>
        <w:spacing w:line="48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fldChar w:fldCharType="end"/>
      </w:r>
    </w:p>
    <w:p w14:paraId="105CEB69">
      <w:pPr>
        <w:pStyle w:val="9"/>
        <w:rPr>
          <w:rFonts w:ascii="宋体" w:eastAsia="宋体" w:cs="宋体"/>
          <w:color w:val="000000" w:themeColor="text1"/>
          <w:highlight w:val="none"/>
          <w14:textFill>
            <w14:solidFill>
              <w14:schemeClr w14:val="tx1"/>
            </w14:solidFill>
          </w14:textFill>
        </w:rPr>
      </w:pPr>
    </w:p>
    <w:p w14:paraId="655FC6A4">
      <w:pPr>
        <w:pStyle w:val="9"/>
        <w:rPr>
          <w:rFonts w:ascii="宋体" w:eastAsia="宋体" w:cs="宋体"/>
          <w:color w:val="000000" w:themeColor="text1"/>
          <w:highlight w:val="none"/>
          <w14:textFill>
            <w14:solidFill>
              <w14:schemeClr w14:val="tx1"/>
            </w14:solidFill>
          </w14:textFill>
        </w:rPr>
      </w:pPr>
    </w:p>
    <w:p w14:paraId="1C94165D">
      <w:pPr>
        <w:pStyle w:val="9"/>
        <w:rPr>
          <w:rFonts w:ascii="宋体" w:eastAsia="宋体" w:cs="宋体"/>
          <w:color w:val="000000" w:themeColor="text1"/>
          <w:highlight w:val="none"/>
          <w14:textFill>
            <w14:solidFill>
              <w14:schemeClr w14:val="tx1"/>
            </w14:solidFill>
          </w14:textFill>
        </w:rPr>
      </w:pPr>
    </w:p>
    <w:p w14:paraId="28EDCB90">
      <w:pPr>
        <w:pStyle w:val="9"/>
        <w:rPr>
          <w:rFonts w:ascii="宋体" w:eastAsia="宋体" w:cs="宋体"/>
          <w:color w:val="000000" w:themeColor="text1"/>
          <w:highlight w:val="none"/>
          <w14:textFill>
            <w14:solidFill>
              <w14:schemeClr w14:val="tx1"/>
            </w14:solidFill>
          </w14:textFill>
        </w:rPr>
      </w:pPr>
    </w:p>
    <w:p w14:paraId="26185339">
      <w:pPr>
        <w:pStyle w:val="9"/>
        <w:rPr>
          <w:rFonts w:ascii="宋体" w:eastAsia="宋体" w:cs="宋体"/>
          <w:color w:val="000000" w:themeColor="text1"/>
          <w:highlight w:val="none"/>
          <w14:textFill>
            <w14:solidFill>
              <w14:schemeClr w14:val="tx1"/>
            </w14:solidFill>
          </w14:textFill>
        </w:rPr>
      </w:pPr>
    </w:p>
    <w:p w14:paraId="001A445F">
      <w:pPr>
        <w:pStyle w:val="9"/>
        <w:rPr>
          <w:rFonts w:ascii="宋体" w:eastAsia="宋体" w:cs="宋体"/>
          <w:color w:val="000000" w:themeColor="text1"/>
          <w:highlight w:val="none"/>
          <w14:textFill>
            <w14:solidFill>
              <w14:schemeClr w14:val="tx1"/>
            </w14:solidFill>
          </w14:textFill>
        </w:rPr>
      </w:pPr>
    </w:p>
    <w:p w14:paraId="7BE02EF3">
      <w:pPr>
        <w:pStyle w:val="9"/>
        <w:rPr>
          <w:rFonts w:ascii="宋体" w:eastAsia="宋体" w:cs="宋体"/>
          <w:color w:val="000000" w:themeColor="text1"/>
          <w:highlight w:val="none"/>
          <w14:textFill>
            <w14:solidFill>
              <w14:schemeClr w14:val="tx1"/>
            </w14:solidFill>
          </w14:textFill>
        </w:rPr>
      </w:pPr>
    </w:p>
    <w:p w14:paraId="49F5A277">
      <w:pPr>
        <w:pStyle w:val="9"/>
        <w:rPr>
          <w:rFonts w:ascii="宋体" w:eastAsia="宋体" w:cs="宋体"/>
          <w:color w:val="000000" w:themeColor="text1"/>
          <w:highlight w:val="none"/>
          <w14:textFill>
            <w14:solidFill>
              <w14:schemeClr w14:val="tx1"/>
            </w14:solidFill>
          </w14:textFill>
        </w:rPr>
      </w:pPr>
    </w:p>
    <w:p w14:paraId="7FC0E1AB">
      <w:pPr>
        <w:pStyle w:val="9"/>
        <w:rPr>
          <w:rFonts w:ascii="宋体" w:eastAsia="宋体" w:cs="宋体"/>
          <w:color w:val="000000" w:themeColor="text1"/>
          <w:highlight w:val="none"/>
          <w14:textFill>
            <w14:solidFill>
              <w14:schemeClr w14:val="tx1"/>
            </w14:solidFill>
          </w14:textFill>
        </w:rPr>
      </w:pPr>
    </w:p>
    <w:p w14:paraId="2220811E">
      <w:pPr>
        <w:pStyle w:val="9"/>
        <w:rPr>
          <w:rFonts w:ascii="宋体" w:eastAsia="宋体" w:cs="宋体"/>
          <w:color w:val="000000" w:themeColor="text1"/>
          <w:highlight w:val="none"/>
          <w14:textFill>
            <w14:solidFill>
              <w14:schemeClr w14:val="tx1"/>
            </w14:solidFill>
          </w14:textFill>
        </w:rPr>
      </w:pPr>
    </w:p>
    <w:p w14:paraId="394CBDB2">
      <w:pPr>
        <w:pStyle w:val="9"/>
        <w:rPr>
          <w:rFonts w:ascii="宋体" w:eastAsia="宋体" w:cs="宋体"/>
          <w:color w:val="000000" w:themeColor="text1"/>
          <w:highlight w:val="none"/>
          <w14:textFill>
            <w14:solidFill>
              <w14:schemeClr w14:val="tx1"/>
            </w14:solidFill>
          </w14:textFill>
        </w:rPr>
      </w:pPr>
    </w:p>
    <w:p w14:paraId="57516559">
      <w:pPr>
        <w:pStyle w:val="9"/>
        <w:rPr>
          <w:rFonts w:ascii="宋体" w:eastAsia="宋体" w:cs="宋体"/>
          <w:color w:val="000000" w:themeColor="text1"/>
          <w:highlight w:val="none"/>
          <w14:textFill>
            <w14:solidFill>
              <w14:schemeClr w14:val="tx1"/>
            </w14:solidFill>
          </w14:textFill>
        </w:rPr>
      </w:pPr>
    </w:p>
    <w:p w14:paraId="3E608A91">
      <w:pPr>
        <w:pStyle w:val="9"/>
        <w:rPr>
          <w:rFonts w:ascii="宋体" w:eastAsia="宋体" w:cs="宋体"/>
          <w:color w:val="000000" w:themeColor="text1"/>
          <w:highlight w:val="none"/>
          <w14:textFill>
            <w14:solidFill>
              <w14:schemeClr w14:val="tx1"/>
            </w14:solidFill>
          </w14:textFill>
        </w:rPr>
      </w:pPr>
    </w:p>
    <w:p w14:paraId="1A34C1B2">
      <w:pPr>
        <w:pStyle w:val="9"/>
        <w:rPr>
          <w:rFonts w:ascii="宋体" w:eastAsia="宋体" w:cs="宋体"/>
          <w:color w:val="000000" w:themeColor="text1"/>
          <w:highlight w:val="none"/>
          <w14:textFill>
            <w14:solidFill>
              <w14:schemeClr w14:val="tx1"/>
            </w14:solidFill>
          </w14:textFill>
        </w:rPr>
      </w:pPr>
    </w:p>
    <w:p w14:paraId="304C8153">
      <w:pPr>
        <w:pStyle w:val="9"/>
        <w:rPr>
          <w:rFonts w:ascii="宋体" w:eastAsia="宋体" w:cs="宋体"/>
          <w:color w:val="000000" w:themeColor="text1"/>
          <w:highlight w:val="none"/>
          <w14:textFill>
            <w14:solidFill>
              <w14:schemeClr w14:val="tx1"/>
            </w14:solidFill>
          </w14:textFill>
        </w:rPr>
      </w:pPr>
    </w:p>
    <w:p w14:paraId="23966C17">
      <w:pPr>
        <w:pStyle w:val="9"/>
        <w:rPr>
          <w:rFonts w:ascii="宋体" w:eastAsia="宋体" w:cs="宋体"/>
          <w:color w:val="000000" w:themeColor="text1"/>
          <w:highlight w:val="none"/>
          <w14:textFill>
            <w14:solidFill>
              <w14:schemeClr w14:val="tx1"/>
            </w14:solidFill>
          </w14:textFill>
        </w:rPr>
      </w:pPr>
    </w:p>
    <w:p w14:paraId="7BB3DBC6">
      <w:pPr>
        <w:pStyle w:val="9"/>
        <w:rPr>
          <w:rFonts w:ascii="宋体" w:eastAsia="宋体" w:cs="宋体"/>
          <w:color w:val="000000" w:themeColor="text1"/>
          <w:highlight w:val="none"/>
          <w14:textFill>
            <w14:solidFill>
              <w14:schemeClr w14:val="tx1"/>
            </w14:solidFill>
          </w14:textFill>
        </w:rPr>
      </w:pPr>
    </w:p>
    <w:p w14:paraId="1E2EBC1A">
      <w:pPr>
        <w:pStyle w:val="2"/>
        <w:rPr>
          <w:rFonts w:ascii="宋体" w:cs="宋体"/>
          <w:color w:val="000000" w:themeColor="text1"/>
          <w:highlight w:val="none"/>
          <w14:textFill>
            <w14:solidFill>
              <w14:schemeClr w14:val="tx1"/>
            </w14:solidFill>
          </w14:textFill>
        </w:rPr>
        <w:sectPr>
          <w:footerReference r:id="rId4" w:type="default"/>
          <w:pgSz w:w="11910" w:h="16840"/>
          <w:pgMar w:top="1134" w:right="1191" w:bottom="1134" w:left="1191" w:header="0" w:footer="663" w:gutter="0"/>
          <w:pgNumType w:start="1"/>
          <w:cols w:space="720" w:num="1"/>
          <w:docGrid w:linePitch="312" w:charSpace="0"/>
        </w:sectPr>
      </w:pPr>
      <w:bookmarkStart w:id="0" w:name="_Toc394054341"/>
      <w:bookmarkStart w:id="1" w:name="_Toc333483359"/>
    </w:p>
    <w:p w14:paraId="700A5B22">
      <w:pPr>
        <w:pStyle w:val="2"/>
        <w:rPr>
          <w:rFonts w:ascii="宋体" w:cs="宋体"/>
          <w:color w:val="000000" w:themeColor="text1"/>
          <w:highlight w:val="none"/>
          <w14:textFill>
            <w14:solidFill>
              <w14:schemeClr w14:val="tx1"/>
            </w14:solidFill>
          </w14:textFill>
        </w:rPr>
      </w:pPr>
      <w:bookmarkStart w:id="2" w:name="_Toc16645"/>
      <w:r>
        <w:rPr>
          <w:rFonts w:hint="eastAsia" w:ascii="宋体" w:cs="宋体"/>
          <w:color w:val="000000" w:themeColor="text1"/>
          <w:highlight w:val="none"/>
          <w14:textFill>
            <w14:solidFill>
              <w14:schemeClr w14:val="tx1"/>
            </w14:solidFill>
          </w14:textFill>
        </w:rPr>
        <w:t xml:space="preserve">第一章 </w:t>
      </w:r>
      <w:bookmarkEnd w:id="0"/>
      <w:bookmarkEnd w:id="1"/>
      <w:r>
        <w:rPr>
          <w:rFonts w:hint="eastAsia" w:ascii="宋体" w:cs="宋体"/>
          <w:color w:val="000000" w:themeColor="text1"/>
          <w:highlight w:val="none"/>
          <w14:textFill>
            <w14:solidFill>
              <w14:schemeClr w14:val="tx1"/>
            </w14:solidFill>
          </w14:textFill>
        </w:rPr>
        <w:t>竞争性磋商公告</w:t>
      </w:r>
      <w:bookmarkEnd w:id="2"/>
    </w:p>
    <w:p w14:paraId="28589E44">
      <w:pPr>
        <w:rPr>
          <w:rFonts w:ascii="宋体" w:cs="宋体"/>
          <w:color w:val="000000" w:themeColor="text1"/>
          <w:sz w:val="24"/>
          <w:highlight w:val="none"/>
          <w14:textFill>
            <w14:solidFill>
              <w14:schemeClr w14:val="tx1"/>
            </w14:solidFill>
          </w14:textFill>
        </w:rPr>
      </w:pPr>
    </w:p>
    <w:p w14:paraId="3EBA8A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项目概况</w:t>
      </w:r>
    </w:p>
    <w:p w14:paraId="0EE2D7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长春市公安局交通警察支队摩托车警用装备采购项目</w:t>
      </w:r>
      <w:r>
        <w:rPr>
          <w:rFonts w:hint="eastAsia" w:ascii="宋体" w:cs="宋体"/>
          <w:color w:val="000000" w:themeColor="text1"/>
          <w:sz w:val="24"/>
          <w:highlight w:val="none"/>
          <w14:textFill>
            <w14:solidFill>
              <w14:schemeClr w14:val="tx1"/>
            </w14:solidFill>
          </w14:textFill>
        </w:rPr>
        <w:t>的潜在供应商应在政采云”平台（https://www.zcygov.cn/）获取竞争性磋商文件，并于</w:t>
      </w:r>
      <w:r>
        <w:rPr>
          <w:rFonts w:hint="eastAsia" w:ascii="宋体" w:cs="宋体"/>
          <w:color w:val="000000" w:themeColor="text1"/>
          <w:sz w:val="24"/>
          <w:highlight w:val="none"/>
          <w:u w:val="single"/>
          <w14:textFill>
            <w14:solidFill>
              <w14:schemeClr w14:val="tx1"/>
            </w14:solidFill>
          </w14:textFill>
        </w:rPr>
        <w:t>2024年</w:t>
      </w:r>
      <w:r>
        <w:rPr>
          <w:rFonts w:hint="eastAsia" w:ascii="宋体" w:cs="宋体"/>
          <w:color w:val="000000" w:themeColor="text1"/>
          <w:sz w:val="24"/>
          <w:highlight w:val="none"/>
          <w:u w:val="single"/>
          <w:lang w:val="en-US" w:eastAsia="zh-CN"/>
          <w14:textFill>
            <w14:solidFill>
              <w14:schemeClr w14:val="tx1"/>
            </w14:solidFill>
          </w14:textFill>
        </w:rPr>
        <w:t>12</w:t>
      </w:r>
      <w:r>
        <w:rPr>
          <w:rFonts w:hint="eastAsia" w:ascii="宋体" w:cs="宋体"/>
          <w:color w:val="000000" w:themeColor="text1"/>
          <w:sz w:val="24"/>
          <w:highlight w:val="none"/>
          <w:u w:val="single"/>
          <w14:textFill>
            <w14:solidFill>
              <w14:schemeClr w14:val="tx1"/>
            </w14:solidFill>
          </w14:textFill>
        </w:rPr>
        <w:t>月</w:t>
      </w:r>
      <w:r>
        <w:rPr>
          <w:rFonts w:hint="eastAsia" w:ascii="宋体" w:cs="宋体"/>
          <w:color w:val="000000" w:themeColor="text1"/>
          <w:sz w:val="24"/>
          <w:highlight w:val="none"/>
          <w:u w:val="single"/>
          <w:lang w:val="en-US" w:eastAsia="zh-CN"/>
          <w14:textFill>
            <w14:solidFill>
              <w14:schemeClr w14:val="tx1"/>
            </w14:solidFill>
          </w14:textFill>
        </w:rPr>
        <w:t>9</w:t>
      </w:r>
      <w:r>
        <w:rPr>
          <w:rFonts w:hint="eastAsia" w:ascii="宋体" w:cs="宋体"/>
          <w:color w:val="000000" w:themeColor="text1"/>
          <w:sz w:val="24"/>
          <w:highlight w:val="none"/>
          <w:u w:val="single"/>
          <w14:textFill>
            <w14:solidFill>
              <w14:schemeClr w14:val="tx1"/>
            </w14:solidFill>
          </w14:textFill>
        </w:rPr>
        <w:t>日</w:t>
      </w:r>
      <w:r>
        <w:rPr>
          <w:rFonts w:hint="eastAsia" w:ascii="宋体" w:cs="宋体"/>
          <w:color w:val="000000" w:themeColor="text1"/>
          <w:sz w:val="24"/>
          <w:highlight w:val="none"/>
          <w:u w:val="single"/>
          <w:lang w:eastAsia="zh-CN"/>
          <w14:textFill>
            <w14:solidFill>
              <w14:schemeClr w14:val="tx1"/>
            </w14:solidFill>
          </w14:textFill>
        </w:rPr>
        <w:t>10时00分</w:t>
      </w:r>
      <w:r>
        <w:rPr>
          <w:rFonts w:hint="eastAsia" w:ascii="宋体" w:cs="宋体"/>
          <w:bCs/>
          <w:color w:val="000000" w:themeColor="text1"/>
          <w:sz w:val="24"/>
          <w:highlight w:val="none"/>
          <w14:textFill>
            <w14:solidFill>
              <w14:schemeClr w14:val="tx1"/>
            </w14:solidFill>
          </w14:textFill>
        </w:rPr>
        <w:t>（北京时间）前提交响应文件</w:t>
      </w:r>
      <w:r>
        <w:rPr>
          <w:rFonts w:hint="eastAsia" w:ascii="宋体" w:cs="宋体"/>
          <w:color w:val="000000" w:themeColor="text1"/>
          <w:sz w:val="24"/>
          <w:highlight w:val="none"/>
          <w14:textFill>
            <w14:solidFill>
              <w14:schemeClr w14:val="tx1"/>
            </w14:solidFill>
          </w14:textFill>
        </w:rPr>
        <w:t>。</w:t>
      </w:r>
    </w:p>
    <w:p w14:paraId="773871B7">
      <w:pPr>
        <w:spacing w:line="360" w:lineRule="auto"/>
        <w:rPr>
          <w:rFonts w:ascii="宋体" w:cs="宋体"/>
          <w:b/>
          <w:bCs/>
          <w:color w:val="000000" w:themeColor="text1"/>
          <w:sz w:val="24"/>
          <w:highlight w:val="none"/>
          <w14:textFill>
            <w14:solidFill>
              <w14:schemeClr w14:val="tx1"/>
            </w14:solidFill>
          </w14:textFill>
        </w:rPr>
      </w:pPr>
    </w:p>
    <w:p w14:paraId="193B0555">
      <w:pPr>
        <w:spacing w:line="360" w:lineRule="auto"/>
        <w:rPr>
          <w:rFonts w:ascii="宋体" w:cs="宋体"/>
          <w:b/>
          <w:bCs/>
          <w:color w:val="000000" w:themeColor="text1"/>
          <w:sz w:val="24"/>
          <w:highlight w:val="none"/>
          <w14:textFill>
            <w14:solidFill>
              <w14:schemeClr w14:val="tx1"/>
            </w14:solidFill>
          </w14:textFill>
        </w:rPr>
      </w:pPr>
      <w:bookmarkStart w:id="3" w:name="_Toc35393790"/>
      <w:bookmarkStart w:id="4" w:name="_Toc35393621"/>
      <w:bookmarkStart w:id="5" w:name="_Toc28359079"/>
      <w:bookmarkStart w:id="6" w:name="_Toc28359002"/>
      <w:bookmarkStart w:id="7" w:name="_Hlk24379207"/>
      <w:r>
        <w:rPr>
          <w:rFonts w:hint="eastAsia" w:ascii="宋体" w:cs="宋体"/>
          <w:b/>
          <w:bCs/>
          <w:color w:val="000000" w:themeColor="text1"/>
          <w:sz w:val="24"/>
          <w:highlight w:val="none"/>
          <w14:textFill>
            <w14:solidFill>
              <w14:schemeClr w14:val="tx1"/>
            </w14:solidFill>
          </w14:textFill>
        </w:rPr>
        <w:t>一、项目基本情况</w:t>
      </w:r>
      <w:bookmarkEnd w:id="3"/>
      <w:bookmarkEnd w:id="4"/>
      <w:bookmarkEnd w:id="5"/>
      <w:bookmarkEnd w:id="6"/>
    </w:p>
    <w:p w14:paraId="5D51F4E9">
      <w:pPr>
        <w:spacing w:line="360" w:lineRule="auto"/>
        <w:ind w:firstLine="480" w:firstLineChars="200"/>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1、项目编号：</w:t>
      </w:r>
      <w:r>
        <w:rPr>
          <w:rFonts w:hint="eastAsia" w:ascii="宋体" w:cs="宋体"/>
          <w:color w:val="000000" w:themeColor="text1"/>
          <w:sz w:val="24"/>
          <w:highlight w:val="none"/>
          <w:lang w:eastAsia="zh-CN"/>
          <w14:textFill>
            <w14:solidFill>
              <w14:schemeClr w14:val="tx1"/>
            </w14:solidFill>
          </w14:textFill>
        </w:rPr>
        <w:t>JM-2024-11-01450</w:t>
      </w:r>
    </w:p>
    <w:p w14:paraId="6751BD65">
      <w:pPr>
        <w:spacing w:line="360" w:lineRule="auto"/>
        <w:ind w:left="479" w:leftChars="228"/>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2、项目名称：</w:t>
      </w:r>
      <w:r>
        <w:rPr>
          <w:rFonts w:hint="eastAsia" w:ascii="宋体" w:cs="宋体"/>
          <w:color w:val="000000" w:themeColor="text1"/>
          <w:sz w:val="24"/>
          <w:highlight w:val="none"/>
          <w:lang w:eastAsia="zh-CN"/>
          <w14:textFill>
            <w14:solidFill>
              <w14:schemeClr w14:val="tx1"/>
            </w14:solidFill>
          </w14:textFill>
        </w:rPr>
        <w:t>长春市公安局交通警察支队摩托车警用装备采购项目</w:t>
      </w:r>
    </w:p>
    <w:p w14:paraId="5D37A323">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3、采购方式：竞争</w:t>
      </w:r>
      <w:r>
        <w:rPr>
          <w:rFonts w:hint="eastAsia" w:ascii="宋体" w:hAnsi="宋体" w:eastAsia="宋体" w:cs="宋体"/>
          <w:color w:val="000000" w:themeColor="text1"/>
          <w:sz w:val="24"/>
          <w:szCs w:val="24"/>
          <w:highlight w:val="none"/>
          <w14:textFill>
            <w14:solidFill>
              <w14:schemeClr w14:val="tx1"/>
            </w14:solidFill>
          </w14:textFill>
        </w:rPr>
        <w:t>性磋商</w:t>
      </w:r>
    </w:p>
    <w:p w14:paraId="01155768">
      <w:pPr>
        <w:pStyle w:val="6"/>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4、预算金额：1</w:t>
      </w:r>
      <w:r>
        <w:rPr>
          <w:rFonts w:hint="eastAsia" w:ascii="宋体" w:hAnsi="宋体" w:eastAsia="宋体" w:cs="宋体"/>
          <w:color w:val="000000" w:themeColor="text1"/>
          <w:sz w:val="24"/>
          <w:szCs w:val="24"/>
          <w:highlight w:val="none"/>
          <w:lang w:val="en-US" w:eastAsia="zh-CN"/>
          <w14:textFill>
            <w14:solidFill>
              <w14:schemeClr w14:val="tx1"/>
            </w14:solidFill>
          </w14:textFill>
        </w:rPr>
        <w:t>840</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0元</w:t>
      </w:r>
    </w:p>
    <w:p w14:paraId="24E80EE1">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5、最高限价：</w:t>
      </w: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Cs/>
          <w:color w:val="000000" w:themeColor="text1"/>
          <w:kern w:val="0"/>
          <w:sz w:val="24"/>
          <w:szCs w:val="24"/>
          <w:highlight w:val="none"/>
          <w14:textFill>
            <w14:solidFill>
              <w14:schemeClr w14:val="tx1"/>
            </w14:solidFill>
          </w14:textFill>
        </w:rPr>
        <w:t>元</w:t>
      </w:r>
    </w:p>
    <w:p w14:paraId="5EF84E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6、采购需求：</w:t>
      </w:r>
      <w:r>
        <w:rPr>
          <w:rFonts w:hint="eastAsia" w:ascii="宋体" w:cs="宋体"/>
          <w:color w:val="000000" w:themeColor="text1"/>
          <w:sz w:val="24"/>
          <w:highlight w:val="none"/>
          <w:lang w:val="en-US" w:eastAsia="zh-CN"/>
          <w14:textFill>
            <w14:solidFill>
              <w14:schemeClr w14:val="tx1"/>
            </w14:solidFill>
          </w14:textFill>
        </w:rPr>
        <w:t>采购摩托车警用装备</w:t>
      </w:r>
      <w:r>
        <w:rPr>
          <w:rFonts w:hint="eastAsia"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（详见竞争性磋商文件）</w:t>
      </w:r>
    </w:p>
    <w:bookmarkEnd w:id="7"/>
    <w:p w14:paraId="48C6ABDC">
      <w:pPr>
        <w:pStyle w:val="6"/>
        <w:ind w:firstLine="480" w:firstLineChars="200"/>
        <w:jc w:val="both"/>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7、合同履行期限：</w:t>
      </w:r>
      <w:r>
        <w:rPr>
          <w:rFonts w:hint="eastAsia"/>
          <w:color w:val="000000" w:themeColor="text1"/>
          <w:sz w:val="24"/>
          <w:highlight w:val="none"/>
          <w14:textFill>
            <w14:solidFill>
              <w14:schemeClr w14:val="tx1"/>
            </w14:solidFill>
          </w14:textFill>
        </w:rPr>
        <w:t>自采购合同签订之日起20天</w:t>
      </w:r>
      <w:r>
        <w:rPr>
          <w:rFonts w:hint="eastAsia"/>
          <w:color w:val="000000" w:themeColor="text1"/>
          <w:sz w:val="24"/>
          <w:highlight w:val="none"/>
          <w14:textFill>
            <w14:solidFill>
              <w14:schemeClr w14:val="tx1"/>
            </w14:solidFill>
          </w14:textFill>
        </w:rPr>
        <w:t>；</w:t>
      </w:r>
    </w:p>
    <w:p w14:paraId="35E99ED1">
      <w:pPr>
        <w:pStyle w:val="6"/>
        <w:ind w:firstLine="48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8、本项目不接受联合体投标。</w:t>
      </w:r>
    </w:p>
    <w:p w14:paraId="32B8CB84">
      <w:pPr>
        <w:spacing w:line="360" w:lineRule="auto"/>
        <w:rPr>
          <w:rFonts w:ascii="宋体" w:cs="宋体"/>
          <w:b/>
          <w:bCs/>
          <w:color w:val="000000" w:themeColor="text1"/>
          <w:sz w:val="24"/>
          <w:highlight w:val="none"/>
          <w14:textFill>
            <w14:solidFill>
              <w14:schemeClr w14:val="tx1"/>
            </w14:solidFill>
          </w14:textFill>
        </w:rPr>
      </w:pPr>
      <w:bookmarkStart w:id="8" w:name="_Toc28359080"/>
      <w:bookmarkStart w:id="9" w:name="_Toc35393791"/>
      <w:bookmarkStart w:id="10" w:name="_Toc35393622"/>
      <w:bookmarkStart w:id="11" w:name="_Toc28359003"/>
      <w:r>
        <w:rPr>
          <w:rFonts w:hint="eastAsia" w:ascii="宋体" w:cs="宋体"/>
          <w:b/>
          <w:bCs/>
          <w:color w:val="000000" w:themeColor="text1"/>
          <w:sz w:val="24"/>
          <w:highlight w:val="none"/>
          <w14:textFill>
            <w14:solidFill>
              <w14:schemeClr w14:val="tx1"/>
            </w14:solidFill>
          </w14:textFill>
        </w:rPr>
        <w:t>二、申请人的资格要求：</w:t>
      </w:r>
      <w:bookmarkEnd w:id="8"/>
      <w:bookmarkEnd w:id="9"/>
      <w:bookmarkEnd w:id="10"/>
      <w:bookmarkEnd w:id="11"/>
    </w:p>
    <w:p w14:paraId="1BED6C3F">
      <w:pPr>
        <w:spacing w:line="360" w:lineRule="auto"/>
        <w:ind w:firstLine="480" w:firstLineChars="200"/>
        <w:rPr>
          <w:rFonts w:ascii="宋体" w:cs="宋体"/>
          <w:color w:val="000000" w:themeColor="text1"/>
          <w:sz w:val="24"/>
          <w:highlight w:val="none"/>
          <w14:textFill>
            <w14:solidFill>
              <w14:schemeClr w14:val="tx1"/>
            </w14:solidFill>
          </w14:textFill>
        </w:rPr>
      </w:pPr>
      <w:bookmarkStart w:id="12" w:name="_Toc28359004"/>
      <w:bookmarkStart w:id="13" w:name="_Toc28359081"/>
      <w:r>
        <w:rPr>
          <w:rFonts w:hint="eastAsia" w:ascii="宋体" w:cs="宋体"/>
          <w:color w:val="000000" w:themeColor="text1"/>
          <w:sz w:val="24"/>
          <w:highlight w:val="none"/>
          <w14:textFill>
            <w14:solidFill>
              <w14:schemeClr w14:val="tx1"/>
            </w14:solidFill>
          </w14:textFill>
        </w:rPr>
        <w:t>1、满足《中华人民共和国政府采购法》第二十二条规定；</w:t>
      </w:r>
    </w:p>
    <w:p w14:paraId="13D2134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2、落实政府采购政策需满足的资格要求：本项目为专门面向中小企业采购项目,供应商应为中小微企业或监狱企业或残疾人福利性单位。</w:t>
      </w:r>
    </w:p>
    <w:p w14:paraId="6EE3D99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02B079A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（2）供应商为监狱企业的视同小型和微型企业，可不提供上述（1）材料，但应当提供由省级以上监狱管理局、戒毒管理局(含新疆生产建设兵团)出具的属于监狱企业的证明文件。</w:t>
      </w:r>
    </w:p>
    <w:p w14:paraId="014D804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（3）供应商为残疾人福利性单位的视同小型和微型企业，可不提供上述（1）材料，但应当提供《残疾人福利性单位声明函》，格式见第六章《磋商响应文件构成及格式》。</w:t>
      </w:r>
    </w:p>
    <w:p w14:paraId="090F18F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（4）本项目采购标的对应的企业划分标准所属行业为</w:t>
      </w:r>
      <w:r>
        <w:rPr>
          <w:rFonts w:hint="eastAsia" w:ascii="宋体" w:cs="宋体"/>
          <w:color w:val="000000" w:themeColor="text1"/>
          <w:sz w:val="24"/>
          <w:highlight w:val="none"/>
          <w:shd w:val="clear" w:color="auto" w:fill="FFFFFF"/>
          <w14:textFill>
            <w14:solidFill>
              <w14:schemeClr w14:val="tx1"/>
            </w14:solidFill>
          </w14:textFill>
        </w:rPr>
        <w:t>工业</w:t>
      </w:r>
      <w:r>
        <w:rPr>
          <w:rFonts w:hint="eastAsia" w:ascii="宋体" w:cs="宋体"/>
          <w:color w:val="000000" w:themeColor="text1"/>
          <w:sz w:val="24"/>
          <w:highlight w:val="none"/>
          <w14:textFill>
            <w14:solidFill>
              <w14:schemeClr w14:val="tx1"/>
            </w14:solidFill>
          </w14:textFill>
        </w:rPr>
        <w:t>。</w:t>
      </w:r>
    </w:p>
    <w:p w14:paraId="21B574E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3、本项目的特定资格要求：</w:t>
      </w:r>
    </w:p>
    <w:p w14:paraId="151594D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14:textFill>
            <w14:solidFill>
              <w14:schemeClr w14:val="tx1"/>
            </w14:solidFill>
          </w14:textFill>
        </w:rPr>
        <w:t>供应商必须具有独立法人资格，并在人员、设备、资金等方面具有相应的能力；</w:t>
      </w:r>
    </w:p>
    <w:p w14:paraId="5ACA4E1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w:t>
      </w: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zh-CN"/>
          <w14:textFill>
            <w14:solidFill>
              <w14:schemeClr w14:val="tx1"/>
            </w14:solidFill>
          </w14:textFill>
        </w:rPr>
        <w:t>）供应商参加采购活动应当依据长财采购【2022】2066号文件规定提交反映其财务状况、依法缴纳税收和社会保障资金情况的资格条件承诺函；</w:t>
      </w:r>
    </w:p>
    <w:p w14:paraId="39B55BC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0D84C3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520973F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（5）供应商需提供企业无行贿犯罪记录证明，供应商自行登录中国裁判文书网（http://wenshu.court.gov.cn./）查询官网截图。</w:t>
      </w:r>
    </w:p>
    <w:p w14:paraId="4A4899C9">
      <w:pPr>
        <w:spacing w:line="360" w:lineRule="auto"/>
        <w:ind w:firstLine="480" w:firstLineChars="200"/>
        <w:rPr>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0C482EF7">
      <w:pPr>
        <w:spacing w:line="360" w:lineRule="auto"/>
        <w:rPr>
          <w:rFonts w:ascii="宋体" w:cs="宋体"/>
          <w:b/>
          <w:bCs/>
          <w:color w:val="000000" w:themeColor="text1"/>
          <w:sz w:val="24"/>
          <w:highlight w:val="none"/>
          <w14:textFill>
            <w14:solidFill>
              <w14:schemeClr w14:val="tx1"/>
            </w14:solidFill>
          </w14:textFill>
        </w:rPr>
      </w:pPr>
      <w:bookmarkStart w:id="14" w:name="_Toc35393623"/>
      <w:bookmarkStart w:id="15" w:name="_Toc35393792"/>
      <w:r>
        <w:rPr>
          <w:rFonts w:hint="eastAsia" w:ascii="宋体" w:cs="宋体"/>
          <w:b/>
          <w:bCs/>
          <w:color w:val="000000" w:themeColor="text1"/>
          <w:sz w:val="24"/>
          <w:highlight w:val="none"/>
          <w14:textFill>
            <w14:solidFill>
              <w14:schemeClr w14:val="tx1"/>
            </w14:solidFill>
          </w14:textFill>
        </w:rPr>
        <w:t>三、获取竞争性磋商文件</w:t>
      </w:r>
      <w:bookmarkEnd w:id="12"/>
      <w:bookmarkEnd w:id="13"/>
      <w:bookmarkEnd w:id="14"/>
      <w:bookmarkEnd w:id="15"/>
    </w:p>
    <w:p w14:paraId="000F7FD8">
      <w:pPr>
        <w:spacing w:line="360" w:lineRule="auto"/>
        <w:ind w:firstLine="480" w:firstLineChars="200"/>
        <w:rPr>
          <w:rFonts w:ascii="宋体" w:cs="宋体"/>
          <w:color w:val="000000" w:themeColor="text1"/>
          <w:sz w:val="24"/>
          <w:highlight w:val="none"/>
          <w14:textFill>
            <w14:solidFill>
              <w14:schemeClr w14:val="tx1"/>
            </w14:solidFill>
          </w14:textFill>
        </w:rPr>
      </w:pPr>
      <w:bookmarkStart w:id="16" w:name="_Toc28359092"/>
      <w:bookmarkStart w:id="17" w:name="_Toc28359015"/>
      <w:bookmarkStart w:id="18" w:name="_Toc35393632"/>
      <w:bookmarkStart w:id="19" w:name="_Toc35393801"/>
      <w:r>
        <w:rPr>
          <w:rFonts w:hint="eastAsia" w:ascii="宋体" w:cs="宋体"/>
          <w:color w:val="000000" w:themeColor="text1"/>
          <w:sz w:val="24"/>
          <w:highlight w:val="none"/>
          <w14:textFill>
            <w14:solidFill>
              <w14:schemeClr w14:val="tx1"/>
            </w14:solidFill>
          </w14:textFill>
        </w:rPr>
        <w:t>1、时间</w:t>
      </w:r>
      <w:r>
        <w:rPr>
          <w:rFonts w:hint="eastAsia" w:ascii="宋体" w:cs="宋体"/>
          <w:color w:val="000000" w:themeColor="text1"/>
          <w:sz w:val="24"/>
          <w:highlight w:val="none"/>
          <w14:textFill>
            <w14:solidFill>
              <w14:schemeClr w14:val="tx1"/>
            </w14:solidFill>
          </w14:textFill>
        </w:rPr>
        <w:t>：2024年</w:t>
      </w:r>
      <w:r>
        <w:rPr>
          <w:rFonts w:hint="eastAsia" w:ascii="宋体" w:cs="宋体"/>
          <w:color w:val="000000" w:themeColor="text1"/>
          <w:sz w:val="24"/>
          <w:highlight w:val="none"/>
          <w:lang w:val="en-US" w:eastAsia="zh-CN"/>
          <w14:textFill>
            <w14:solidFill>
              <w14:schemeClr w14:val="tx1"/>
            </w14:solidFill>
          </w14:textFill>
        </w:rPr>
        <w:t>11</w:t>
      </w:r>
      <w:r>
        <w:rPr>
          <w:rFonts w:hint="eastAsia" w:ascii="宋体" w:cs="宋体"/>
          <w:color w:val="000000" w:themeColor="text1"/>
          <w:sz w:val="24"/>
          <w:highlight w:val="none"/>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27</w:t>
      </w:r>
      <w:r>
        <w:rPr>
          <w:rFonts w:hint="eastAsia" w:ascii="宋体" w:cs="宋体"/>
          <w:color w:val="000000" w:themeColor="text1"/>
          <w:sz w:val="24"/>
          <w:highlight w:val="none"/>
          <w14:textFill>
            <w14:solidFill>
              <w14:schemeClr w14:val="tx1"/>
            </w14:solidFill>
          </w14:textFill>
        </w:rPr>
        <w:t>日至2024年</w:t>
      </w:r>
      <w:r>
        <w:rPr>
          <w:rFonts w:hint="eastAsia" w:ascii="宋体" w:cs="宋体"/>
          <w:color w:val="000000" w:themeColor="text1"/>
          <w:sz w:val="24"/>
          <w:highlight w:val="none"/>
          <w:lang w:val="en-US" w:eastAsia="zh-CN"/>
          <w14:textFill>
            <w14:solidFill>
              <w14:schemeClr w14:val="tx1"/>
            </w14:solidFill>
          </w14:textFill>
        </w:rPr>
        <w:t>12</w:t>
      </w:r>
      <w:r>
        <w:rPr>
          <w:rFonts w:hint="eastAsia" w:ascii="宋体" w:cs="宋体"/>
          <w:color w:val="000000" w:themeColor="text1"/>
          <w:sz w:val="24"/>
          <w:highlight w:val="none"/>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3</w:t>
      </w:r>
      <w:r>
        <w:rPr>
          <w:rFonts w:hint="eastAsia" w:ascii="宋体" w:cs="宋体"/>
          <w:color w:val="000000" w:themeColor="text1"/>
          <w:sz w:val="24"/>
          <w:highlight w:val="none"/>
          <w14:textFill>
            <w14:solidFill>
              <w14:schemeClr w14:val="tx1"/>
            </w14:solidFill>
          </w14:textFill>
        </w:rPr>
        <w:t>日</w:t>
      </w:r>
      <w:r>
        <w:rPr>
          <w:rFonts w:hint="eastAsia" w:ascii="宋体" w:cs="宋体"/>
          <w:color w:val="000000" w:themeColor="text1"/>
          <w:sz w:val="24"/>
          <w:highlight w:val="none"/>
          <w14:textFill>
            <w14:solidFill>
              <w14:schemeClr w14:val="tx1"/>
            </w14:solidFill>
          </w14:textFill>
        </w:rPr>
        <w:t>，每天上午08:30至11:30，下午13:30至16:30（北京时间，法定节假日除外）。</w:t>
      </w:r>
    </w:p>
    <w:p w14:paraId="7AD1A21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2、地点：“政采云”平台（http：//www.zcygov.cn）下载竞争性磋商文件（操作路径：登录“政采云”平台-项目采购-获取竞争性磋商文件-找到本项目-点击“申请获取竞争性磋商文件”）。</w:t>
      </w:r>
    </w:p>
    <w:p w14:paraId="4B9AF6E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方式：供应商可自行在“政采云”平台（http：//www.zcygov.cn）下载竞争性磋商文件（操作路径：登录“政采云”平台-项目采购-获取竞争性磋商文件-找到本项目-点击“申请获取竞争性磋商文件”），电子响应文件制作需要基于“政采云”平台获取的竞争性磋商文件编制。</w:t>
      </w:r>
    </w:p>
    <w:p w14:paraId="5CDB9AC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4、售价：0元，售后不退。</w:t>
      </w:r>
    </w:p>
    <w:p w14:paraId="559F5D15">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四、响应文件提交</w:t>
      </w:r>
      <w:bookmarkEnd w:id="16"/>
      <w:bookmarkEnd w:id="17"/>
      <w:bookmarkEnd w:id="18"/>
      <w:bookmarkEnd w:id="19"/>
    </w:p>
    <w:p w14:paraId="4B2B7CC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1、截止时间及磋商时间：</w:t>
      </w:r>
      <w:r>
        <w:rPr>
          <w:rFonts w:hint="eastAsia" w:ascii="宋体" w:cs="宋体"/>
          <w:color w:val="000000" w:themeColor="text1"/>
          <w:sz w:val="24"/>
          <w:highlight w:val="none"/>
          <w14:textFill>
            <w14:solidFill>
              <w14:schemeClr w14:val="tx1"/>
            </w14:solidFill>
          </w14:textFill>
        </w:rPr>
        <w:t>2024年</w:t>
      </w:r>
      <w:r>
        <w:rPr>
          <w:rFonts w:hint="eastAsia" w:ascii="宋体" w:cs="宋体"/>
          <w:color w:val="000000" w:themeColor="text1"/>
          <w:sz w:val="24"/>
          <w:highlight w:val="none"/>
          <w:lang w:val="en-US" w:eastAsia="zh-CN"/>
          <w14:textFill>
            <w14:solidFill>
              <w14:schemeClr w14:val="tx1"/>
            </w14:solidFill>
          </w14:textFill>
        </w:rPr>
        <w:t>12</w:t>
      </w:r>
      <w:r>
        <w:rPr>
          <w:rFonts w:hint="eastAsia" w:ascii="宋体" w:cs="宋体"/>
          <w:color w:val="000000" w:themeColor="text1"/>
          <w:sz w:val="24"/>
          <w:highlight w:val="none"/>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9</w:t>
      </w:r>
      <w:r>
        <w:rPr>
          <w:rFonts w:hint="eastAsia" w:ascii="宋体" w:cs="宋体"/>
          <w:color w:val="000000" w:themeColor="text1"/>
          <w:sz w:val="24"/>
          <w:highlight w:val="none"/>
          <w14:textFill>
            <w14:solidFill>
              <w14:schemeClr w14:val="tx1"/>
            </w14:solidFill>
          </w14:textFill>
        </w:rPr>
        <w:t>日</w:t>
      </w:r>
      <w:r>
        <w:rPr>
          <w:rFonts w:hint="eastAsia" w:ascii="宋体" w:cs="宋体"/>
          <w:color w:val="000000" w:themeColor="text1"/>
          <w:sz w:val="24"/>
          <w:highlight w:val="none"/>
          <w:lang w:eastAsia="zh-CN"/>
          <w14:textFill>
            <w14:solidFill>
              <w14:schemeClr w14:val="tx1"/>
            </w14:solidFill>
          </w14:textFill>
        </w:rPr>
        <w:t>10时00分</w:t>
      </w:r>
      <w:r>
        <w:rPr>
          <w:rFonts w:hint="eastAsia" w:ascii="宋体" w:cs="宋体"/>
          <w:color w:val="000000" w:themeColor="text1"/>
          <w:sz w:val="24"/>
          <w:highlight w:val="none"/>
          <w14:textFill>
            <w14:solidFill>
              <w14:schemeClr w14:val="tx1"/>
            </w14:solidFill>
          </w14:textFill>
        </w:rPr>
        <w:t>（北京时间）</w:t>
      </w:r>
    </w:p>
    <w:p w14:paraId="74347C0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2、地点：</w:t>
      </w:r>
      <w:r>
        <w:rPr>
          <w:rFonts w:hint="eastAsia" w:ascii="宋体" w:cs="宋体"/>
          <w:color w:val="000000" w:themeColor="text1"/>
          <w:sz w:val="24"/>
          <w:highlight w:val="none"/>
          <w:lang w:eastAsia="zh-CN"/>
          <w14:textFill>
            <w14:solidFill>
              <w14:schemeClr w14:val="tx1"/>
            </w14:solidFill>
          </w14:textFill>
        </w:rPr>
        <w:t>长春市高新区鸿达街248号吉林日报副楼4楼吉利招开标四室</w:t>
      </w:r>
      <w:r>
        <w:rPr>
          <w:rFonts w:hint="eastAsia" w:ascii="宋体" w:cs="宋体"/>
          <w:color w:val="000000" w:themeColor="text1"/>
          <w:sz w:val="24"/>
          <w:highlight w:val="none"/>
          <w14:textFill>
            <w14:solidFill>
              <w14:schemeClr w14:val="tx1"/>
            </w14:solidFill>
          </w14:textFill>
        </w:rPr>
        <w:t>。</w:t>
      </w:r>
    </w:p>
    <w:p w14:paraId="75A46C4E">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五、开启</w:t>
      </w:r>
    </w:p>
    <w:p w14:paraId="2EF0831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1.时间：</w:t>
      </w:r>
      <w:r>
        <w:rPr>
          <w:rFonts w:hint="eastAsia" w:ascii="宋体" w:cs="宋体"/>
          <w:color w:val="000000" w:themeColor="text1"/>
          <w:sz w:val="24"/>
          <w:highlight w:val="none"/>
          <w14:textFill>
            <w14:solidFill>
              <w14:schemeClr w14:val="tx1"/>
            </w14:solidFill>
          </w14:textFill>
        </w:rPr>
        <w:t>2024年</w:t>
      </w:r>
      <w:r>
        <w:rPr>
          <w:rFonts w:hint="eastAsia" w:ascii="宋体" w:cs="宋体"/>
          <w:color w:val="000000" w:themeColor="text1"/>
          <w:sz w:val="24"/>
          <w:highlight w:val="none"/>
          <w:lang w:val="en-US" w:eastAsia="zh-CN"/>
          <w14:textFill>
            <w14:solidFill>
              <w14:schemeClr w14:val="tx1"/>
            </w14:solidFill>
          </w14:textFill>
        </w:rPr>
        <w:t>12</w:t>
      </w:r>
      <w:r>
        <w:rPr>
          <w:rFonts w:hint="eastAsia" w:ascii="宋体" w:cs="宋体"/>
          <w:color w:val="000000" w:themeColor="text1"/>
          <w:sz w:val="24"/>
          <w:highlight w:val="none"/>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9</w:t>
      </w:r>
      <w:r>
        <w:rPr>
          <w:rFonts w:hint="eastAsia" w:ascii="宋体" w:cs="宋体"/>
          <w:color w:val="000000" w:themeColor="text1"/>
          <w:sz w:val="24"/>
          <w:highlight w:val="none"/>
          <w14:textFill>
            <w14:solidFill>
              <w14:schemeClr w14:val="tx1"/>
            </w14:solidFill>
          </w14:textFill>
        </w:rPr>
        <w:t>日</w:t>
      </w:r>
      <w:r>
        <w:rPr>
          <w:rFonts w:hint="eastAsia" w:ascii="宋体" w:cs="宋体"/>
          <w:color w:val="000000" w:themeColor="text1"/>
          <w:sz w:val="24"/>
          <w:highlight w:val="none"/>
          <w:lang w:eastAsia="zh-CN"/>
          <w14:textFill>
            <w14:solidFill>
              <w14:schemeClr w14:val="tx1"/>
            </w14:solidFill>
          </w14:textFill>
        </w:rPr>
        <w:t>10时00分</w:t>
      </w:r>
      <w:r>
        <w:rPr>
          <w:rFonts w:hint="eastAsia" w:ascii="宋体" w:cs="宋体"/>
          <w:color w:val="000000" w:themeColor="text1"/>
          <w:sz w:val="24"/>
          <w:highlight w:val="none"/>
          <w14:textFill>
            <w14:solidFill>
              <w14:schemeClr w14:val="tx1"/>
            </w14:solidFill>
          </w14:textFill>
        </w:rPr>
        <w:t>（北京时间）</w:t>
      </w:r>
    </w:p>
    <w:p w14:paraId="462B5E2B">
      <w:pPr>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2.地点：</w:t>
      </w:r>
      <w:r>
        <w:rPr>
          <w:rFonts w:hint="eastAsia" w:ascii="宋体" w:cs="宋体"/>
          <w:color w:val="000000" w:themeColor="text1"/>
          <w:sz w:val="24"/>
          <w:highlight w:val="none"/>
          <w:lang w:eastAsia="zh-CN"/>
          <w14:textFill>
            <w14:solidFill>
              <w14:schemeClr w14:val="tx1"/>
            </w14:solidFill>
          </w14:textFill>
        </w:rPr>
        <w:t>长春市高新区鸿达街248号吉林日报副楼4楼吉利招开标四室</w:t>
      </w:r>
      <w:r>
        <w:rPr>
          <w:rFonts w:hint="eastAsia" w:ascii="宋体" w:cs="宋体"/>
          <w:color w:val="000000" w:themeColor="text1"/>
          <w:sz w:val="24"/>
          <w:highlight w:val="none"/>
          <w14:textFill>
            <w14:solidFill>
              <w14:schemeClr w14:val="tx1"/>
            </w14:solidFill>
          </w14:textFill>
        </w:rPr>
        <w:t>。</w:t>
      </w:r>
    </w:p>
    <w:p w14:paraId="35B4A55F">
      <w:pPr>
        <w:spacing w:line="360" w:lineRule="auto"/>
        <w:rPr>
          <w:rFonts w:ascii="宋体" w:cs="宋体"/>
          <w:b/>
          <w:bCs/>
          <w:color w:val="000000" w:themeColor="text1"/>
          <w:sz w:val="24"/>
          <w:highlight w:val="none"/>
          <w14:textFill>
            <w14:solidFill>
              <w14:schemeClr w14:val="tx1"/>
            </w14:solidFill>
          </w14:textFill>
        </w:rPr>
      </w:pPr>
      <w:bookmarkStart w:id="20" w:name="_Toc28359007"/>
      <w:bookmarkStart w:id="21" w:name="_Toc35393625"/>
      <w:bookmarkStart w:id="22" w:name="_Toc35393794"/>
      <w:bookmarkStart w:id="23" w:name="_Toc28359084"/>
      <w:r>
        <w:rPr>
          <w:rFonts w:hint="eastAsia" w:ascii="宋体" w:cs="宋体"/>
          <w:b/>
          <w:bCs/>
          <w:color w:val="000000" w:themeColor="text1"/>
          <w:sz w:val="24"/>
          <w:highlight w:val="none"/>
          <w14:textFill>
            <w14:solidFill>
              <w14:schemeClr w14:val="tx1"/>
            </w14:solidFill>
          </w14:textFill>
        </w:rPr>
        <w:t>六、公告期限</w:t>
      </w:r>
      <w:bookmarkEnd w:id="20"/>
      <w:bookmarkEnd w:id="21"/>
      <w:bookmarkEnd w:id="22"/>
      <w:bookmarkEnd w:id="23"/>
    </w:p>
    <w:p w14:paraId="65B3B13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自本公告发布之日起3个工作日。</w:t>
      </w:r>
    </w:p>
    <w:p w14:paraId="5F89CD45">
      <w:pPr>
        <w:spacing w:line="360" w:lineRule="auto"/>
        <w:rPr>
          <w:rFonts w:ascii="宋体" w:cs="宋体"/>
          <w:b/>
          <w:bCs/>
          <w:color w:val="000000" w:themeColor="text1"/>
          <w:sz w:val="24"/>
          <w:highlight w:val="none"/>
          <w14:textFill>
            <w14:solidFill>
              <w14:schemeClr w14:val="tx1"/>
            </w14:solidFill>
          </w14:textFill>
        </w:rPr>
      </w:pPr>
      <w:bookmarkStart w:id="24" w:name="_Toc35393795"/>
      <w:bookmarkStart w:id="25" w:name="_Toc35393626"/>
      <w:r>
        <w:rPr>
          <w:rFonts w:hint="eastAsia" w:ascii="宋体" w:cs="宋体"/>
          <w:b/>
          <w:bCs/>
          <w:color w:val="000000" w:themeColor="text1"/>
          <w:sz w:val="24"/>
          <w:highlight w:val="none"/>
          <w14:textFill>
            <w14:solidFill>
              <w14:schemeClr w14:val="tx1"/>
            </w14:solidFill>
          </w14:textFill>
        </w:rPr>
        <w:t>七、其他补充事宜</w:t>
      </w:r>
      <w:bookmarkEnd w:id="24"/>
      <w:bookmarkEnd w:id="25"/>
    </w:p>
    <w:p w14:paraId="1FB699F2">
      <w:pPr>
        <w:spacing w:line="360" w:lineRule="auto"/>
        <w:ind w:firstLine="480" w:firstLineChars="200"/>
        <w:rPr>
          <w:rFonts w:ascii="宋体" w:cs="宋体"/>
          <w:color w:val="000000" w:themeColor="text1"/>
          <w:sz w:val="24"/>
          <w:highlight w:val="none"/>
          <w:lang w:val="zh-CN"/>
          <w14:textFill>
            <w14:solidFill>
              <w14:schemeClr w14:val="tx1"/>
            </w14:solidFill>
          </w14:textFill>
        </w:rPr>
      </w:pPr>
      <w:bookmarkStart w:id="26" w:name="_Toc28359085"/>
      <w:bookmarkStart w:id="27" w:name="_Toc28359008"/>
      <w:bookmarkStart w:id="28" w:name="_Toc35393796"/>
      <w:bookmarkStart w:id="29" w:name="_Toc35393627"/>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zh-CN"/>
          <w14:textFill>
            <w14:solidFill>
              <w14:schemeClr w14:val="tx1"/>
            </w14:solidFill>
          </w14:textFill>
        </w:rPr>
        <w:t>本次</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公告在</w:t>
      </w:r>
      <w:r>
        <w:rPr>
          <w:rFonts w:hint="eastAsia" w:ascii="宋体" w:cs="宋体"/>
          <w:color w:val="000000" w:themeColor="text1"/>
          <w:sz w:val="24"/>
          <w:highlight w:val="none"/>
          <w:u w:val="single"/>
          <w:lang w:val="zh-CN"/>
          <w14:textFill>
            <w14:solidFill>
              <w14:schemeClr w14:val="tx1"/>
            </w14:solidFill>
          </w14:textFill>
        </w:rPr>
        <w:t>中国政府采购网、中国招标投标公共服务平台、长春市公共资源交易网</w:t>
      </w:r>
      <w:r>
        <w:rPr>
          <w:rFonts w:hint="eastAsia" w:ascii="宋体" w:cs="宋体"/>
          <w:color w:val="000000" w:themeColor="text1"/>
          <w:sz w:val="24"/>
          <w:highlight w:val="none"/>
          <w:lang w:val="zh-CN"/>
          <w14:textFill>
            <w14:solidFill>
              <w14:schemeClr w14:val="tx1"/>
            </w14:solidFill>
          </w14:textFill>
        </w:rPr>
        <w:t>上发布，其他网站转载无效。</w:t>
      </w:r>
    </w:p>
    <w:p w14:paraId="1714B8B1">
      <w:pPr>
        <w:spacing w:line="360" w:lineRule="auto"/>
        <w:ind w:left="42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2、采购</w:t>
      </w:r>
      <w:r>
        <w:rPr>
          <w:rFonts w:hint="eastAsia" w:ascii="宋体" w:cs="宋体"/>
          <w:color w:val="000000" w:themeColor="text1"/>
          <w:sz w:val="24"/>
          <w:highlight w:val="none"/>
          <w:lang w:val="zh-CN"/>
          <w14:textFill>
            <w14:solidFill>
              <w14:schemeClr w14:val="tx1"/>
            </w14:solidFill>
          </w14:textFill>
        </w:rPr>
        <w:t xml:space="preserve">项目需要落实的政府采购政策： </w:t>
      </w:r>
    </w:p>
    <w:p w14:paraId="3A38EDB0">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（1）《政府采购促进中小企业发展管理办法》（财库[2020]46号）；</w:t>
      </w:r>
    </w:p>
    <w:p w14:paraId="6389FB33">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（2）《财政部司法部关于政府采购支持监狱企业发展有关问题的通知》（财库[2014]68号）；</w:t>
      </w:r>
    </w:p>
    <w:p w14:paraId="5D48C82A">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（3）《关于印发节能产品政府采购品目清单的通知》（财库[2019]19号）；</w:t>
      </w:r>
    </w:p>
    <w:p w14:paraId="55A539B7">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（4）《关于印发环境标志产品政府采购品目清单的通知》（财库[2019]18号）；</w:t>
      </w:r>
    </w:p>
    <w:p w14:paraId="1BAE3703">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（5）《关于促进残疾人就业政府采购政策的通知》（财库[2017]141号）；</w:t>
      </w:r>
    </w:p>
    <w:p w14:paraId="4DC7A1BE">
      <w:pPr>
        <w:spacing w:line="360" w:lineRule="auto"/>
        <w:ind w:left="-30" w:firstLine="240"/>
        <w:rPr>
          <w:rFonts w:ascii="宋体" w:cs="宋体"/>
          <w:b/>
          <w:bCs/>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r>
        <w:rPr>
          <w:rFonts w:hint="eastAsia" w:ascii="宋体" w:cs="宋体"/>
          <w:color w:val="000000" w:themeColor="text1"/>
          <w:sz w:val="24"/>
          <w:highlight w:val="none"/>
          <w:lang w:val="zh-CN"/>
          <w14:textFill>
            <w14:solidFill>
              <w14:schemeClr w14:val="tx1"/>
            </w14:solidFill>
          </w14:textFill>
        </w:rPr>
        <w:t>《财政部办公厅关于落实财政支持贫困村微小型项目村级组织自建自营有关政策的通 知》（财办库〔2019〕75号）。</w:t>
      </w:r>
    </w:p>
    <w:p w14:paraId="5B4ADA14">
      <w:pPr>
        <w:spacing w:line="360" w:lineRule="auto"/>
        <w:ind w:left="-30" w:firstLine="240"/>
        <w:jc w:val="left"/>
        <w:rPr>
          <w:rFonts w:ascii="宋体" w:cs="宋体"/>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w:t>
      </w:r>
      <w:r>
        <w:rPr>
          <w:rFonts w:hint="eastAsia" w:ascii="宋体" w:cs="宋体"/>
          <w:color w:val="000000" w:themeColor="text1"/>
          <w:sz w:val="24"/>
          <w:highlight w:val="none"/>
          <w:lang w:val="zh-CN"/>
          <w14:textFill>
            <w14:solidFill>
              <w14:schemeClr w14:val="tx1"/>
            </w14:solidFill>
          </w14:textFill>
        </w:rPr>
        <w:t>若对项目采购电子交易系统操作有疑问</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可登录</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政采云</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平台</w:t>
      </w:r>
      <w:r>
        <w:rPr>
          <w:rFonts w:hint="eastAsia" w:ascii="宋体" w:cs="宋体"/>
          <w:color w:val="000000" w:themeColor="text1"/>
          <w:sz w:val="24"/>
          <w:highlight w:val="none"/>
          <w14:textFill>
            <w14:solidFill>
              <w14:schemeClr w14:val="tx1"/>
            </w14:solidFill>
          </w14:textFill>
        </w:rPr>
        <w:t>（https://www.zcygov.cn/），</w:t>
      </w:r>
      <w:r>
        <w:rPr>
          <w:rFonts w:hint="eastAsia" w:ascii="宋体" w:cs="宋体"/>
          <w:color w:val="000000" w:themeColor="text1"/>
          <w:sz w:val="24"/>
          <w:highlight w:val="none"/>
          <w:lang w:val="zh-CN"/>
          <w14:textFill>
            <w14:solidFill>
              <w14:schemeClr w14:val="tx1"/>
            </w14:solidFill>
          </w14:textFill>
        </w:rPr>
        <w:t>点击右侧咨询小采</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获取采小蜜智能服务管家帮助</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或拨打政采云服务热线</w:t>
      </w:r>
      <w:r>
        <w:rPr>
          <w:rFonts w:hint="eastAsia" w:ascii="宋体" w:cs="宋体"/>
          <w:color w:val="000000" w:themeColor="text1"/>
          <w:sz w:val="24"/>
          <w:highlight w:val="none"/>
          <w14:textFill>
            <w14:solidFill>
              <w14:schemeClr w14:val="tx1"/>
            </w14:solidFill>
          </w14:textFill>
        </w:rPr>
        <w:t>95763</w:t>
      </w:r>
      <w:r>
        <w:rPr>
          <w:rFonts w:hint="eastAsia" w:ascii="宋体" w:cs="宋体"/>
          <w:color w:val="000000" w:themeColor="text1"/>
          <w:sz w:val="24"/>
          <w:highlight w:val="none"/>
          <w:lang w:val="zh-CN"/>
          <w14:textFill>
            <w14:solidFill>
              <w14:schemeClr w14:val="tx1"/>
            </w14:solidFill>
          </w14:textFill>
        </w:rPr>
        <w:t>获取热线服务帮助。</w:t>
      </w:r>
    </w:p>
    <w:p w14:paraId="23CB202A">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八、对本次采购提出询问，请按以下方式联系</w:t>
      </w:r>
      <w:bookmarkEnd w:id="26"/>
      <w:bookmarkEnd w:id="27"/>
      <w:bookmarkEnd w:id="28"/>
      <w:bookmarkEnd w:id="29"/>
    </w:p>
    <w:p w14:paraId="13B37E86">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1、采购人信息</w:t>
      </w:r>
    </w:p>
    <w:p w14:paraId="568C4432">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 xml:space="preserve">名    称：长春市公安局交通警察支队  </w:t>
      </w:r>
    </w:p>
    <w:p w14:paraId="5F3E7BB2">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地    址：长春市南关区金宇南路159号</w:t>
      </w:r>
    </w:p>
    <w:p w14:paraId="1C546254">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联系方式：贡女士 、0431-89137514</w:t>
      </w:r>
    </w:p>
    <w:p w14:paraId="66E7D7A9">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2、采购代理机构信息</w:t>
      </w:r>
    </w:p>
    <w:p w14:paraId="7BF232D0">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名    称：吉林省锐峰项目管理有限公司</w:t>
      </w:r>
    </w:p>
    <w:p w14:paraId="6E51C68A">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地    址：亚泰大街与繁荣路我的家园4栋2单元204室</w:t>
      </w:r>
    </w:p>
    <w:p w14:paraId="33169385">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联系方式：0431-82226199</w:t>
      </w:r>
    </w:p>
    <w:p w14:paraId="0649BB50">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3、项目联系方式</w:t>
      </w:r>
    </w:p>
    <w:p w14:paraId="19C95D61">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项目联系人：郭绍双</w:t>
      </w:r>
    </w:p>
    <w:p w14:paraId="4DDB4508">
      <w:pPr>
        <w:spacing w:line="360" w:lineRule="auto"/>
        <w:ind w:left="-30" w:firstLine="240"/>
        <w:jc w:val="left"/>
        <w:rPr>
          <w:rFonts w:ascii="宋体" w:cs="宋体"/>
          <w:b/>
          <w:color w:val="000000" w:themeColor="text1"/>
          <w:sz w:val="36"/>
          <w:szCs w:val="36"/>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电　　 话：0431-82226199</w:t>
      </w:r>
      <w:r>
        <w:rPr>
          <w:rFonts w:hint="eastAsia" w:ascii="宋体" w:cs="宋体"/>
          <w:b/>
          <w:color w:val="000000" w:themeColor="text1"/>
          <w:sz w:val="36"/>
          <w:szCs w:val="36"/>
          <w:highlight w:val="none"/>
          <w14:textFill>
            <w14:solidFill>
              <w14:schemeClr w14:val="tx1"/>
            </w14:solidFill>
          </w14:textFill>
        </w:rPr>
        <w:br w:type="page"/>
      </w:r>
    </w:p>
    <w:p w14:paraId="1910AF4B">
      <w:pPr>
        <w:pStyle w:val="2"/>
        <w:rPr>
          <w:rFonts w:ascii="宋体" w:cs="宋体"/>
          <w:color w:val="000000" w:themeColor="text1"/>
          <w:highlight w:val="none"/>
          <w14:textFill>
            <w14:solidFill>
              <w14:schemeClr w14:val="tx1"/>
            </w14:solidFill>
          </w14:textFill>
        </w:rPr>
      </w:pPr>
      <w:bookmarkStart w:id="30" w:name="_Toc10559"/>
      <w:bookmarkStart w:id="31" w:name="_Toc31883"/>
      <w:bookmarkStart w:id="32" w:name="_Toc21882"/>
      <w:bookmarkStart w:id="33" w:name="_Toc11749"/>
      <w:bookmarkStart w:id="34" w:name="_Toc2247"/>
      <w:bookmarkStart w:id="35" w:name="_Toc24347"/>
      <w:bookmarkStart w:id="36" w:name="_Toc11998"/>
      <w:r>
        <w:rPr>
          <w:rFonts w:hint="eastAsia" w:ascii="宋体" w:cs="宋体"/>
          <w:color w:val="000000" w:themeColor="text1"/>
          <w:highlight w:val="none"/>
          <w14:textFill>
            <w14:solidFill>
              <w14:schemeClr w14:val="tx1"/>
            </w14:solidFill>
          </w14:textFill>
        </w:rPr>
        <w:t>第二章 供应商须知</w:t>
      </w:r>
      <w:bookmarkEnd w:id="30"/>
      <w:bookmarkEnd w:id="31"/>
      <w:bookmarkEnd w:id="32"/>
      <w:bookmarkEnd w:id="33"/>
      <w:bookmarkEnd w:id="34"/>
      <w:bookmarkEnd w:id="35"/>
      <w:bookmarkEnd w:id="36"/>
    </w:p>
    <w:p w14:paraId="54002788">
      <w:pPr>
        <w:jc w:val="center"/>
        <w:rPr>
          <w:rFonts w:ascii="宋体" w:cs="宋体"/>
          <w:b/>
          <w:bCs/>
          <w:color w:val="000000" w:themeColor="text1"/>
          <w:sz w:val="28"/>
          <w:szCs w:val="36"/>
          <w:highlight w:val="none"/>
          <w14:textFill>
            <w14:solidFill>
              <w14:schemeClr w14:val="tx1"/>
            </w14:solidFill>
          </w14:textFill>
        </w:rPr>
      </w:pPr>
      <w:bookmarkStart w:id="37" w:name="_Toc25757"/>
      <w:r>
        <w:rPr>
          <w:rFonts w:hint="eastAsia" w:ascii="宋体" w:cs="宋体"/>
          <w:b/>
          <w:bCs/>
          <w:color w:val="000000" w:themeColor="text1"/>
          <w:sz w:val="28"/>
          <w:szCs w:val="36"/>
          <w:highlight w:val="none"/>
          <w14:textFill>
            <w14:solidFill>
              <w14:schemeClr w14:val="tx1"/>
            </w14:solidFill>
          </w14:textFill>
        </w:rPr>
        <w:t>（一）供应商须知前附表</w:t>
      </w:r>
      <w:bookmarkEnd w:id="37"/>
    </w:p>
    <w:tbl>
      <w:tblPr>
        <w:tblStyle w:val="26"/>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926"/>
        <w:gridCol w:w="6737"/>
      </w:tblGrid>
      <w:tr w14:paraId="2030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6" w:type="dxa"/>
            <w:vAlign w:val="center"/>
          </w:tcPr>
          <w:p w14:paraId="2728D281">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条款号</w:t>
            </w:r>
          </w:p>
        </w:tc>
        <w:tc>
          <w:tcPr>
            <w:tcW w:w="1926" w:type="dxa"/>
            <w:vAlign w:val="center"/>
          </w:tcPr>
          <w:p w14:paraId="6C66FAD2">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条 款 名 称</w:t>
            </w:r>
          </w:p>
        </w:tc>
        <w:tc>
          <w:tcPr>
            <w:tcW w:w="6737" w:type="dxa"/>
            <w:vAlign w:val="center"/>
          </w:tcPr>
          <w:p w14:paraId="724B57F6">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编  列  内  容</w:t>
            </w:r>
          </w:p>
        </w:tc>
      </w:tr>
      <w:tr w14:paraId="6DD4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96" w:type="dxa"/>
            <w:vAlign w:val="center"/>
          </w:tcPr>
          <w:p w14:paraId="5240BD7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1.1.2</w:t>
            </w:r>
          </w:p>
        </w:tc>
        <w:tc>
          <w:tcPr>
            <w:tcW w:w="1926" w:type="dxa"/>
            <w:vAlign w:val="center"/>
          </w:tcPr>
          <w:p w14:paraId="7C50B9D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w:t>
            </w:r>
          </w:p>
        </w:tc>
        <w:tc>
          <w:tcPr>
            <w:tcW w:w="6737" w:type="dxa"/>
            <w:vAlign w:val="center"/>
          </w:tcPr>
          <w:p w14:paraId="2172ADDB">
            <w:pP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 xml:space="preserve">名    称：长春市公安局交通警察支队  </w:t>
            </w:r>
          </w:p>
          <w:p w14:paraId="3C16F899">
            <w:pP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地    址：长春市南关区金宇南路159号</w:t>
            </w:r>
          </w:p>
          <w:p w14:paraId="6889B1A0">
            <w:pP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联系方式：贡女士 、0431-89137514</w:t>
            </w:r>
          </w:p>
        </w:tc>
      </w:tr>
      <w:tr w14:paraId="0610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96" w:type="dxa"/>
            <w:vAlign w:val="center"/>
          </w:tcPr>
          <w:p w14:paraId="5BE4970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1.1.3</w:t>
            </w:r>
          </w:p>
        </w:tc>
        <w:tc>
          <w:tcPr>
            <w:tcW w:w="1926" w:type="dxa"/>
            <w:vAlign w:val="center"/>
          </w:tcPr>
          <w:p w14:paraId="5467BDF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采购代理机构</w:t>
            </w:r>
          </w:p>
        </w:tc>
        <w:tc>
          <w:tcPr>
            <w:tcW w:w="6737" w:type="dxa"/>
            <w:vAlign w:val="center"/>
          </w:tcPr>
          <w:p w14:paraId="078BC33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名    称：吉林省锐峰项目管理有限公司</w:t>
            </w:r>
          </w:p>
          <w:p w14:paraId="158C78A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地    址：亚泰大街与繁荣路我的家园4栋2单元204室</w:t>
            </w:r>
          </w:p>
          <w:p w14:paraId="65921E7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联系方式：0431-82226199</w:t>
            </w:r>
          </w:p>
        </w:tc>
      </w:tr>
      <w:tr w14:paraId="7024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196" w:type="dxa"/>
            <w:vAlign w:val="center"/>
          </w:tcPr>
          <w:p w14:paraId="09CC13B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1.1.4</w:t>
            </w:r>
          </w:p>
        </w:tc>
        <w:tc>
          <w:tcPr>
            <w:tcW w:w="1926" w:type="dxa"/>
            <w:vAlign w:val="center"/>
          </w:tcPr>
          <w:p w14:paraId="53CBB40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项目名称、编号</w:t>
            </w:r>
          </w:p>
        </w:tc>
        <w:tc>
          <w:tcPr>
            <w:tcW w:w="6737" w:type="dxa"/>
            <w:vAlign w:val="center"/>
          </w:tcPr>
          <w:p w14:paraId="3667E52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名称：</w:t>
            </w:r>
            <w:r>
              <w:rPr>
                <w:rFonts w:hint="eastAsia" w:ascii="宋体" w:cs="宋体"/>
                <w:color w:val="000000" w:themeColor="text1"/>
                <w:sz w:val="24"/>
                <w:highlight w:val="none"/>
                <w:lang w:eastAsia="zh-CN"/>
                <w14:textFill>
                  <w14:solidFill>
                    <w14:schemeClr w14:val="tx1"/>
                  </w14:solidFill>
                </w14:textFill>
              </w:rPr>
              <w:t>长春市公安局交通警察支队摩托车警用装备采购项目</w:t>
            </w:r>
          </w:p>
          <w:p w14:paraId="5C617729">
            <w:pP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编号</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eastAsia="zh-CN"/>
                <w14:textFill>
                  <w14:solidFill>
                    <w14:schemeClr w14:val="tx1"/>
                  </w14:solidFill>
                </w14:textFill>
              </w:rPr>
              <w:t>JM-2024-11-01450</w:t>
            </w:r>
          </w:p>
        </w:tc>
      </w:tr>
      <w:tr w14:paraId="4121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196" w:type="dxa"/>
            <w:vAlign w:val="center"/>
          </w:tcPr>
          <w:p w14:paraId="2129C38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1.1.5</w:t>
            </w:r>
          </w:p>
        </w:tc>
        <w:tc>
          <w:tcPr>
            <w:tcW w:w="1926" w:type="dxa"/>
            <w:vAlign w:val="center"/>
          </w:tcPr>
          <w:p w14:paraId="4621AF7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合同履约地点</w:t>
            </w:r>
          </w:p>
        </w:tc>
        <w:tc>
          <w:tcPr>
            <w:tcW w:w="6737" w:type="dxa"/>
            <w:vAlign w:val="center"/>
          </w:tcPr>
          <w:p w14:paraId="70CC44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采购人指定地点</w:t>
            </w:r>
          </w:p>
        </w:tc>
      </w:tr>
      <w:tr w14:paraId="77DE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196" w:type="dxa"/>
            <w:vAlign w:val="center"/>
          </w:tcPr>
          <w:p w14:paraId="1F2DB8A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1.2.1</w:t>
            </w:r>
          </w:p>
        </w:tc>
        <w:tc>
          <w:tcPr>
            <w:tcW w:w="1926" w:type="dxa"/>
            <w:vAlign w:val="center"/>
          </w:tcPr>
          <w:p w14:paraId="212F7BE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资金来源</w:t>
            </w:r>
          </w:p>
        </w:tc>
        <w:tc>
          <w:tcPr>
            <w:tcW w:w="6737" w:type="dxa"/>
            <w:vAlign w:val="center"/>
          </w:tcPr>
          <w:p w14:paraId="4F028B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财政资金</w:t>
            </w:r>
          </w:p>
        </w:tc>
      </w:tr>
      <w:tr w14:paraId="723E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196" w:type="dxa"/>
            <w:vAlign w:val="center"/>
          </w:tcPr>
          <w:p w14:paraId="2362E58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1.2.2</w:t>
            </w:r>
          </w:p>
        </w:tc>
        <w:tc>
          <w:tcPr>
            <w:tcW w:w="1926" w:type="dxa"/>
            <w:vAlign w:val="center"/>
          </w:tcPr>
          <w:p w14:paraId="46032E7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出资比例</w:t>
            </w:r>
          </w:p>
        </w:tc>
        <w:tc>
          <w:tcPr>
            <w:tcW w:w="6737" w:type="dxa"/>
            <w:vAlign w:val="center"/>
          </w:tcPr>
          <w:p w14:paraId="6B7F62E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w:t>
            </w:r>
          </w:p>
        </w:tc>
      </w:tr>
      <w:tr w14:paraId="4E94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196" w:type="dxa"/>
            <w:vAlign w:val="center"/>
          </w:tcPr>
          <w:p w14:paraId="000B845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1.2.3</w:t>
            </w:r>
          </w:p>
        </w:tc>
        <w:tc>
          <w:tcPr>
            <w:tcW w:w="1926" w:type="dxa"/>
            <w:vAlign w:val="center"/>
          </w:tcPr>
          <w:p w14:paraId="757C4A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资金落实情况</w:t>
            </w:r>
          </w:p>
        </w:tc>
        <w:tc>
          <w:tcPr>
            <w:tcW w:w="6737" w:type="dxa"/>
            <w:vAlign w:val="center"/>
          </w:tcPr>
          <w:p w14:paraId="7B1320B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已落实</w:t>
            </w:r>
          </w:p>
        </w:tc>
      </w:tr>
      <w:tr w14:paraId="39B6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196" w:type="dxa"/>
            <w:vAlign w:val="center"/>
          </w:tcPr>
          <w:p w14:paraId="2158959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w:t>
            </w:r>
          </w:p>
        </w:tc>
        <w:tc>
          <w:tcPr>
            <w:tcW w:w="1926" w:type="dxa"/>
            <w:vAlign w:val="center"/>
          </w:tcPr>
          <w:p w14:paraId="7F4EE7E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采购需求</w:t>
            </w:r>
          </w:p>
        </w:tc>
        <w:tc>
          <w:tcPr>
            <w:tcW w:w="6737" w:type="dxa"/>
            <w:vAlign w:val="center"/>
          </w:tcPr>
          <w:p w14:paraId="6BDB099A">
            <w:pPr>
              <w:spacing w:line="360" w:lineRule="auto"/>
              <w:rPr>
                <w:rFonts w:hint="eastAsia" w:ascii="宋体" w:eastAsia="宋体" w:cs="宋体"/>
                <w:color w:val="000000" w:themeColor="text1"/>
                <w:highlight w:val="none"/>
                <w:shd w:val="clear" w:color="auto" w:fill="FFFFFF"/>
                <w:lang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采购摩托车警用装备</w:t>
            </w:r>
            <w:r>
              <w:rPr>
                <w:rFonts w:hint="eastAsia" w:ascii="宋体" w:hAnsi="宋体" w:cs="宋体"/>
                <w:color w:val="000000" w:themeColor="text1"/>
                <w:sz w:val="24"/>
                <w:highlight w:val="none"/>
                <w14:textFill>
                  <w14:solidFill>
                    <w14:schemeClr w14:val="tx1"/>
                  </w14:solidFill>
                </w14:textFill>
              </w:rPr>
              <w:t>（详见竞争性磋商文件）</w:t>
            </w:r>
            <w:r>
              <w:rPr>
                <w:rFonts w:hint="eastAsia" w:ascii="宋体" w:hAnsi="宋体" w:cs="宋体"/>
                <w:color w:val="000000" w:themeColor="text1"/>
                <w:sz w:val="24"/>
                <w:highlight w:val="none"/>
                <w:lang w:eastAsia="zh-CN"/>
                <w14:textFill>
                  <w14:solidFill>
                    <w14:schemeClr w14:val="tx1"/>
                  </w14:solidFill>
                </w14:textFill>
              </w:rPr>
              <w:t>。</w:t>
            </w:r>
          </w:p>
        </w:tc>
      </w:tr>
      <w:tr w14:paraId="68A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196" w:type="dxa"/>
            <w:vAlign w:val="center"/>
          </w:tcPr>
          <w:p w14:paraId="5C958E1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1.3.2</w:t>
            </w:r>
          </w:p>
        </w:tc>
        <w:tc>
          <w:tcPr>
            <w:tcW w:w="1926" w:type="dxa"/>
            <w:vAlign w:val="center"/>
          </w:tcPr>
          <w:p w14:paraId="5296AEF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合同履行期限</w:t>
            </w:r>
          </w:p>
        </w:tc>
        <w:tc>
          <w:tcPr>
            <w:tcW w:w="6737" w:type="dxa"/>
            <w:vAlign w:val="center"/>
          </w:tcPr>
          <w:p w14:paraId="2FA6C04A">
            <w:pPr>
              <w:rPr>
                <w:rFonts w:ascii="宋体" w:cs="宋体"/>
                <w:bCs/>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自采购合同签订之日起20天</w:t>
            </w:r>
          </w:p>
        </w:tc>
      </w:tr>
      <w:tr w14:paraId="7387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196" w:type="dxa"/>
            <w:vAlign w:val="center"/>
          </w:tcPr>
          <w:p w14:paraId="76088A9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1.3.3</w:t>
            </w:r>
          </w:p>
        </w:tc>
        <w:tc>
          <w:tcPr>
            <w:tcW w:w="1926" w:type="dxa"/>
            <w:vAlign w:val="center"/>
          </w:tcPr>
          <w:p w14:paraId="24193CB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6737" w:type="dxa"/>
            <w:vAlign w:val="center"/>
          </w:tcPr>
          <w:p w14:paraId="65C983D6">
            <w:pP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符合国家、公安部及行业规定的合格标准</w:t>
            </w:r>
            <w:r>
              <w:rPr>
                <w:rFonts w:hint="eastAsia" w:ascii="宋体" w:cs="宋体"/>
                <w:color w:val="000000" w:themeColor="text1"/>
                <w:sz w:val="24"/>
                <w:highlight w:val="none"/>
                <w:lang w:eastAsia="zh-CN"/>
                <w14:textFill>
                  <w14:solidFill>
                    <w14:schemeClr w14:val="tx1"/>
                  </w14:solidFill>
                </w14:textFill>
              </w:rPr>
              <w:t>。</w:t>
            </w:r>
          </w:p>
        </w:tc>
      </w:tr>
      <w:tr w14:paraId="262A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96" w:type="dxa"/>
            <w:vAlign w:val="center"/>
          </w:tcPr>
          <w:p w14:paraId="7716511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1.4.1</w:t>
            </w:r>
          </w:p>
        </w:tc>
        <w:tc>
          <w:tcPr>
            <w:tcW w:w="1926" w:type="dxa"/>
            <w:vAlign w:val="center"/>
          </w:tcPr>
          <w:p w14:paraId="683B49C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供应商资质条件、能力和信誉</w:t>
            </w:r>
          </w:p>
        </w:tc>
        <w:tc>
          <w:tcPr>
            <w:tcW w:w="6737" w:type="dxa"/>
            <w:vAlign w:val="center"/>
          </w:tcPr>
          <w:p w14:paraId="523D7D8D">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1、满足《中华人民共和国政府采购法》第二十二条规定；</w:t>
            </w:r>
          </w:p>
          <w:p w14:paraId="104038A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2、落实政府采购政策需满足的资格要求：本项目为专门面向中小企业采购项目,供应商应为中小微企业或监狱企业或残疾人福利性单位。</w:t>
            </w:r>
          </w:p>
          <w:p w14:paraId="6EDA148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22CA92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（2）供应商为监狱企业的视同小型和微型企业，可不提供上述（1）材料，但应当提供由省级以上监狱管理局、戒毒管理局(含新疆生产建设兵团)出具的属于监狱企业的证明文件。</w:t>
            </w:r>
          </w:p>
          <w:p w14:paraId="4A148AC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（3）供应商为残疾人福利性单位的视同小型和微型企业，可不提供上述（1）材料，但应当提供《残疾人福利性单位声明函》，格式见第六章《磋商响应文件构成及格式》。</w:t>
            </w:r>
          </w:p>
          <w:p w14:paraId="2E7FC8C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（4）本项目采购标的对应的企业划分标准所属行业为</w:t>
            </w:r>
            <w:r>
              <w:rPr>
                <w:rFonts w:hint="eastAsia" w:ascii="宋体" w:cs="宋体"/>
                <w:color w:val="000000" w:themeColor="text1"/>
                <w:sz w:val="24"/>
                <w:highlight w:val="none"/>
                <w:shd w:val="clear" w:color="auto" w:fill="FFFFFF"/>
                <w14:textFill>
                  <w14:solidFill>
                    <w14:schemeClr w14:val="tx1"/>
                  </w14:solidFill>
                </w14:textFill>
              </w:rPr>
              <w:t>工业</w:t>
            </w:r>
            <w:r>
              <w:rPr>
                <w:rFonts w:hint="eastAsia" w:ascii="宋体" w:cs="宋体"/>
                <w:color w:val="000000" w:themeColor="text1"/>
                <w:sz w:val="24"/>
                <w:highlight w:val="none"/>
                <w14:textFill>
                  <w14:solidFill>
                    <w14:schemeClr w14:val="tx1"/>
                  </w14:solidFill>
                </w14:textFill>
              </w:rPr>
              <w:t>。</w:t>
            </w:r>
          </w:p>
          <w:p w14:paraId="64297EA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3、本项目的特定资格要求：</w:t>
            </w:r>
          </w:p>
          <w:p w14:paraId="1F016F3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（1）供应商必须具有独立法人资格，并在人员、设备、资金等方面具有相应的能力；</w:t>
            </w:r>
          </w:p>
          <w:p w14:paraId="5342B926">
            <w:pPr>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w:t>
            </w: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zh-CN"/>
                <w14:textFill>
                  <w14:solidFill>
                    <w14:schemeClr w14:val="tx1"/>
                  </w14:solidFill>
                </w14:textFill>
              </w:rPr>
              <w:t>）供应商参加采购活动应当依据长财采购【2022】2066号文件规定提交反映其财务状况、依法缴纳税收和社会保障资金情况的资格条件承诺函；</w:t>
            </w:r>
          </w:p>
          <w:p w14:paraId="0036765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（3）不接受被政府列入取消投标资格期限内的企业或个人参加投标。参加政府采购活动前3年内在经营活动中没有重大违法记录（注：重大违法记录，是指供应商因违法经营</w:t>
            </w:r>
            <w:r>
              <w:rPr>
                <w:rFonts w:ascii="宋体" w:cs="宋体"/>
                <w:color w:val="000000" w:themeColor="text1"/>
                <w:sz w:val="24"/>
                <w:highlight w:val="none"/>
                <w14:textFill>
                  <w14:solidFill>
                    <w14:schemeClr w14:val="tx1"/>
                  </w14:solidFill>
                </w14:textFill>
              </w:rPr>
              <w:t>6</w:t>
            </w:r>
            <w:r>
              <w:rPr>
                <w:rFonts w:hint="eastAsia" w:ascii="宋体" w:cs="宋体"/>
                <w:color w:val="000000" w:themeColor="text1"/>
                <w:sz w:val="24"/>
                <w:highlight w:val="none"/>
                <w14:textFill>
                  <w14:solidFill>
                    <w14:schemeClr w14:val="tx1"/>
                  </w14:solidFill>
                </w14:textFill>
              </w:rPr>
              <w:t>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B3F7CA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0FC651F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（5）供应商需提供企业无行贿犯罪记录证明，供应商自行登录中国裁判文书网（http://wenshu.court.gov.cn./）查询官网截图。</w:t>
            </w:r>
          </w:p>
          <w:p w14:paraId="0843FA01">
            <w:pPr>
              <w:ind w:firstLine="480" w:firstLineChars="200"/>
              <w:rPr>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tc>
      </w:tr>
      <w:tr w14:paraId="0091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196" w:type="dxa"/>
            <w:vAlign w:val="center"/>
          </w:tcPr>
          <w:p w14:paraId="6594852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1.4.2</w:t>
            </w:r>
          </w:p>
        </w:tc>
        <w:tc>
          <w:tcPr>
            <w:tcW w:w="1926" w:type="dxa"/>
            <w:vAlign w:val="center"/>
          </w:tcPr>
          <w:p w14:paraId="49E7CD3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是否接受联合体参加</w:t>
            </w:r>
          </w:p>
        </w:tc>
        <w:tc>
          <w:tcPr>
            <w:tcW w:w="6737" w:type="dxa"/>
            <w:vAlign w:val="center"/>
          </w:tcPr>
          <w:p w14:paraId="7722C3D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口接受 </w:t>
            </w: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不接受</w:t>
            </w:r>
          </w:p>
        </w:tc>
      </w:tr>
      <w:tr w14:paraId="62FB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jc w:val="center"/>
        </w:trPr>
        <w:tc>
          <w:tcPr>
            <w:tcW w:w="1196" w:type="dxa"/>
            <w:vAlign w:val="center"/>
          </w:tcPr>
          <w:p w14:paraId="7157BB5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1.5.1</w:t>
            </w:r>
          </w:p>
        </w:tc>
        <w:tc>
          <w:tcPr>
            <w:tcW w:w="1926" w:type="dxa"/>
            <w:vAlign w:val="center"/>
          </w:tcPr>
          <w:p w14:paraId="1934E63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踏勘现场</w:t>
            </w:r>
          </w:p>
        </w:tc>
        <w:tc>
          <w:tcPr>
            <w:tcW w:w="6737" w:type="dxa"/>
            <w:vAlign w:val="center"/>
          </w:tcPr>
          <w:p w14:paraId="717A418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不组织</w:t>
            </w:r>
          </w:p>
        </w:tc>
      </w:tr>
      <w:tr w14:paraId="08B8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196" w:type="dxa"/>
            <w:vAlign w:val="center"/>
          </w:tcPr>
          <w:p w14:paraId="7CC4F14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1.6.1</w:t>
            </w:r>
          </w:p>
        </w:tc>
        <w:tc>
          <w:tcPr>
            <w:tcW w:w="1926" w:type="dxa"/>
            <w:vAlign w:val="center"/>
          </w:tcPr>
          <w:p w14:paraId="4EC328D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会议前预备会</w:t>
            </w:r>
          </w:p>
        </w:tc>
        <w:tc>
          <w:tcPr>
            <w:tcW w:w="6737" w:type="dxa"/>
            <w:vAlign w:val="center"/>
          </w:tcPr>
          <w:p w14:paraId="700A6FC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不召开，供应商可将问题以书面或邮件的方式发送给采购公司。</w:t>
            </w:r>
          </w:p>
        </w:tc>
      </w:tr>
      <w:tr w14:paraId="6F24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196" w:type="dxa"/>
            <w:vAlign w:val="center"/>
          </w:tcPr>
          <w:p w14:paraId="73005B0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1.6.2</w:t>
            </w:r>
          </w:p>
        </w:tc>
        <w:tc>
          <w:tcPr>
            <w:tcW w:w="1926" w:type="dxa"/>
            <w:vAlign w:val="center"/>
          </w:tcPr>
          <w:p w14:paraId="42AE1D5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供应商提出问题的截止时间</w:t>
            </w:r>
          </w:p>
        </w:tc>
        <w:tc>
          <w:tcPr>
            <w:tcW w:w="6737" w:type="dxa"/>
            <w:vAlign w:val="center"/>
          </w:tcPr>
          <w:p w14:paraId="0EA4FD45">
            <w:pPr>
              <w:ind w:firstLine="240" w:firstLineChars="1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2024年</w:t>
            </w:r>
            <w:r>
              <w:rPr>
                <w:rFonts w:hint="eastAsia" w:ascii="宋体" w:cs="宋体"/>
                <w:color w:val="000000" w:themeColor="text1"/>
                <w:sz w:val="24"/>
                <w:highlight w:val="none"/>
                <w:u w:val="single"/>
                <w:lang w:val="en-US" w:eastAsia="zh-CN"/>
                <w14:textFill>
                  <w14:solidFill>
                    <w14:schemeClr w14:val="tx1"/>
                  </w14:solidFill>
                </w14:textFill>
              </w:rPr>
              <w:t>12</w:t>
            </w:r>
            <w:r>
              <w:rPr>
                <w:rFonts w:hint="eastAsia" w:ascii="宋体" w:cs="宋体"/>
                <w:color w:val="000000" w:themeColor="text1"/>
                <w:sz w:val="24"/>
                <w:highlight w:val="none"/>
                <w:u w:val="single"/>
                <w14:textFill>
                  <w14:solidFill>
                    <w14:schemeClr w14:val="tx1"/>
                  </w14:solidFill>
                </w14:textFill>
              </w:rPr>
              <w:t>月</w:t>
            </w:r>
            <w:r>
              <w:rPr>
                <w:rFonts w:hint="eastAsia" w:ascii="宋体" w:cs="宋体"/>
                <w:color w:val="000000" w:themeColor="text1"/>
                <w:sz w:val="24"/>
                <w:highlight w:val="none"/>
                <w:u w:val="single"/>
                <w:lang w:val="en-US" w:eastAsia="zh-CN"/>
                <w14:textFill>
                  <w14:solidFill>
                    <w14:schemeClr w14:val="tx1"/>
                  </w14:solidFill>
                </w14:textFill>
              </w:rPr>
              <w:t>3</w:t>
            </w:r>
            <w:r>
              <w:rPr>
                <w:rFonts w:hint="eastAsia" w:ascii="宋体" w:cs="宋体"/>
                <w:color w:val="000000" w:themeColor="text1"/>
                <w:sz w:val="24"/>
                <w:highlight w:val="none"/>
                <w:u w:val="single"/>
                <w14:textFill>
                  <w14:solidFill>
                    <w14:schemeClr w14:val="tx1"/>
                  </w14:solidFill>
                </w14:textFill>
              </w:rPr>
              <w:t>日</w:t>
            </w:r>
            <w:r>
              <w:rPr>
                <w:rFonts w:hint="eastAsia" w:ascii="宋体" w:cs="宋体"/>
                <w:color w:val="000000" w:themeColor="text1"/>
                <w:sz w:val="24"/>
                <w:highlight w:val="none"/>
                <w14:textFill>
                  <w14:solidFill>
                    <w14:schemeClr w14:val="tx1"/>
                  </w14:solidFill>
                </w14:textFill>
              </w:rPr>
              <w:t>17:00时前供应商对竞争性磋商文件不清楚的问题盖公章后提交给采购代理机构，逾期概不受理。</w:t>
            </w:r>
          </w:p>
        </w:tc>
      </w:tr>
      <w:tr w14:paraId="1E0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96" w:type="dxa"/>
            <w:vAlign w:val="center"/>
          </w:tcPr>
          <w:p w14:paraId="55FB8F7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1.6.3</w:t>
            </w:r>
          </w:p>
        </w:tc>
        <w:tc>
          <w:tcPr>
            <w:tcW w:w="1926" w:type="dxa"/>
            <w:vAlign w:val="center"/>
          </w:tcPr>
          <w:p w14:paraId="4C3206C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采购人书面澄清的时间</w:t>
            </w:r>
          </w:p>
        </w:tc>
        <w:tc>
          <w:tcPr>
            <w:tcW w:w="6737" w:type="dxa"/>
            <w:vAlign w:val="center"/>
          </w:tcPr>
          <w:p w14:paraId="04F37FE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磋商响应文件递交截止时间前5天</w:t>
            </w:r>
          </w:p>
        </w:tc>
      </w:tr>
      <w:tr w14:paraId="1FA8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96" w:type="dxa"/>
            <w:vAlign w:val="center"/>
          </w:tcPr>
          <w:p w14:paraId="337238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1.7.1</w:t>
            </w:r>
          </w:p>
        </w:tc>
        <w:tc>
          <w:tcPr>
            <w:tcW w:w="1926" w:type="dxa"/>
            <w:vAlign w:val="center"/>
          </w:tcPr>
          <w:p w14:paraId="3233873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分  包</w:t>
            </w:r>
          </w:p>
        </w:tc>
        <w:tc>
          <w:tcPr>
            <w:tcW w:w="6737" w:type="dxa"/>
            <w:vAlign w:val="center"/>
          </w:tcPr>
          <w:p w14:paraId="746F4FC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4A29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6" w:type="dxa"/>
            <w:vAlign w:val="center"/>
          </w:tcPr>
          <w:p w14:paraId="6BC552B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1.8.1</w:t>
            </w:r>
          </w:p>
        </w:tc>
        <w:tc>
          <w:tcPr>
            <w:tcW w:w="1926" w:type="dxa"/>
            <w:vAlign w:val="center"/>
          </w:tcPr>
          <w:p w14:paraId="7BE9DB6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偏  离</w:t>
            </w:r>
          </w:p>
        </w:tc>
        <w:tc>
          <w:tcPr>
            <w:tcW w:w="6737" w:type="dxa"/>
            <w:vAlign w:val="center"/>
          </w:tcPr>
          <w:p w14:paraId="12E94FA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3262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6" w:type="dxa"/>
            <w:vAlign w:val="center"/>
          </w:tcPr>
          <w:p w14:paraId="58BB5F0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2.1</w:t>
            </w:r>
          </w:p>
        </w:tc>
        <w:tc>
          <w:tcPr>
            <w:tcW w:w="1926" w:type="dxa"/>
            <w:vAlign w:val="center"/>
          </w:tcPr>
          <w:p w14:paraId="058D6A7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构成竞争性磋商文件的其他材料</w:t>
            </w:r>
          </w:p>
        </w:tc>
        <w:tc>
          <w:tcPr>
            <w:tcW w:w="6737" w:type="dxa"/>
            <w:vAlign w:val="center"/>
          </w:tcPr>
          <w:p w14:paraId="550C20B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无</w:t>
            </w:r>
          </w:p>
        </w:tc>
      </w:tr>
      <w:tr w14:paraId="597A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96" w:type="dxa"/>
            <w:vAlign w:val="center"/>
          </w:tcPr>
          <w:p w14:paraId="74F633E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2.2.1</w:t>
            </w:r>
          </w:p>
        </w:tc>
        <w:tc>
          <w:tcPr>
            <w:tcW w:w="1926" w:type="dxa"/>
            <w:vAlign w:val="center"/>
          </w:tcPr>
          <w:p w14:paraId="2FA910B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供应商要求澄清竞争性磋商文件的截止时间</w:t>
            </w:r>
          </w:p>
        </w:tc>
        <w:tc>
          <w:tcPr>
            <w:tcW w:w="6737" w:type="dxa"/>
            <w:vAlign w:val="center"/>
          </w:tcPr>
          <w:p w14:paraId="3535DB0D">
            <w:pPr>
              <w:adjustRightInd w:val="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磋商响应文件递交截止时间前5天</w:t>
            </w:r>
          </w:p>
        </w:tc>
      </w:tr>
      <w:tr w14:paraId="2E71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96" w:type="dxa"/>
            <w:vAlign w:val="center"/>
          </w:tcPr>
          <w:p w14:paraId="0248DE3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2.2.2</w:t>
            </w:r>
          </w:p>
        </w:tc>
        <w:tc>
          <w:tcPr>
            <w:tcW w:w="1926" w:type="dxa"/>
            <w:vAlign w:val="center"/>
          </w:tcPr>
          <w:p w14:paraId="2C3D6B4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递交磋商响应文件截止时间</w:t>
            </w:r>
          </w:p>
        </w:tc>
        <w:tc>
          <w:tcPr>
            <w:tcW w:w="6737" w:type="dxa"/>
            <w:vAlign w:val="center"/>
          </w:tcPr>
          <w:p w14:paraId="143103AA">
            <w:pPr>
              <w:adjustRightInd w:val="0"/>
              <w:jc w:val="left"/>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2024年</w:t>
            </w:r>
            <w:r>
              <w:rPr>
                <w:rFonts w:hint="eastAsia" w:ascii="宋体" w:cs="宋体"/>
                <w:color w:val="000000" w:themeColor="text1"/>
                <w:sz w:val="24"/>
                <w:highlight w:val="none"/>
                <w:u w:val="single"/>
                <w:lang w:val="en-US" w:eastAsia="zh-CN"/>
                <w14:textFill>
                  <w14:solidFill>
                    <w14:schemeClr w14:val="tx1"/>
                  </w14:solidFill>
                </w14:textFill>
              </w:rPr>
              <w:t>12</w:t>
            </w:r>
            <w:r>
              <w:rPr>
                <w:rFonts w:hint="eastAsia" w:ascii="宋体" w:cs="宋体"/>
                <w:color w:val="000000" w:themeColor="text1"/>
                <w:sz w:val="24"/>
                <w:highlight w:val="none"/>
                <w:u w:val="single"/>
                <w14:textFill>
                  <w14:solidFill>
                    <w14:schemeClr w14:val="tx1"/>
                  </w14:solidFill>
                </w14:textFill>
              </w:rPr>
              <w:t>月</w:t>
            </w:r>
            <w:r>
              <w:rPr>
                <w:rFonts w:hint="eastAsia" w:ascii="宋体" w:cs="宋体"/>
                <w:color w:val="000000" w:themeColor="text1"/>
                <w:sz w:val="24"/>
                <w:highlight w:val="none"/>
                <w:u w:val="single"/>
                <w:lang w:val="en-US" w:eastAsia="zh-CN"/>
                <w14:textFill>
                  <w14:solidFill>
                    <w14:schemeClr w14:val="tx1"/>
                  </w14:solidFill>
                </w14:textFill>
              </w:rPr>
              <w:t>9</w:t>
            </w:r>
            <w:r>
              <w:rPr>
                <w:rFonts w:hint="eastAsia" w:ascii="宋体" w:cs="宋体"/>
                <w:color w:val="000000" w:themeColor="text1"/>
                <w:sz w:val="24"/>
                <w:highlight w:val="none"/>
                <w:u w:val="single"/>
                <w14:textFill>
                  <w14:solidFill>
                    <w14:schemeClr w14:val="tx1"/>
                  </w14:solidFill>
                </w14:textFill>
              </w:rPr>
              <w:t>日</w:t>
            </w:r>
            <w:r>
              <w:rPr>
                <w:rFonts w:hint="eastAsia" w:ascii="宋体" w:cs="宋体"/>
                <w:color w:val="000000" w:themeColor="text1"/>
                <w:sz w:val="24"/>
                <w:highlight w:val="none"/>
                <w:u w:val="single"/>
                <w:lang w:eastAsia="zh-CN"/>
                <w14:textFill>
                  <w14:solidFill>
                    <w14:schemeClr w14:val="tx1"/>
                  </w14:solidFill>
                </w14:textFill>
              </w:rPr>
              <w:t>10时00分</w:t>
            </w:r>
          </w:p>
        </w:tc>
      </w:tr>
      <w:tr w14:paraId="3D83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96" w:type="dxa"/>
            <w:vAlign w:val="center"/>
          </w:tcPr>
          <w:p w14:paraId="52666F5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2.2.3</w:t>
            </w:r>
          </w:p>
        </w:tc>
        <w:tc>
          <w:tcPr>
            <w:tcW w:w="1926" w:type="dxa"/>
            <w:vAlign w:val="center"/>
          </w:tcPr>
          <w:p w14:paraId="5A6FBA3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供应商确认收到竞争性磋商文件澄清的时间</w:t>
            </w:r>
          </w:p>
        </w:tc>
        <w:tc>
          <w:tcPr>
            <w:tcW w:w="6737" w:type="dxa"/>
            <w:vAlign w:val="center"/>
          </w:tcPr>
          <w:p w14:paraId="45B7E9DE">
            <w:pPr>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在收到相应澄清文件后</w:t>
            </w:r>
            <w:r>
              <w:rPr>
                <w:rFonts w:hint="eastAsia" w:ascii="宋体" w:cs="宋体"/>
                <w:color w:val="000000" w:themeColor="text1"/>
                <w:sz w:val="24"/>
                <w:highlight w:val="none"/>
                <w:u w:val="single"/>
                <w14:textFill>
                  <w14:solidFill>
                    <w14:schemeClr w14:val="tx1"/>
                  </w14:solidFill>
                </w14:textFill>
              </w:rPr>
              <w:t>24</w:t>
            </w:r>
            <w:r>
              <w:rPr>
                <w:rFonts w:hint="eastAsia" w:ascii="宋体" w:cs="宋体"/>
                <w:color w:val="000000" w:themeColor="text1"/>
                <w:sz w:val="24"/>
                <w:highlight w:val="none"/>
                <w14:textFill>
                  <w14:solidFill>
                    <w14:schemeClr w14:val="tx1"/>
                  </w14:solidFill>
                </w14:textFill>
              </w:rPr>
              <w:t>小时内</w:t>
            </w:r>
          </w:p>
        </w:tc>
      </w:tr>
      <w:tr w14:paraId="2A8F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6" w:type="dxa"/>
            <w:vAlign w:val="center"/>
          </w:tcPr>
          <w:p w14:paraId="0CC0B72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2.3.1</w:t>
            </w:r>
          </w:p>
        </w:tc>
        <w:tc>
          <w:tcPr>
            <w:tcW w:w="1926" w:type="dxa"/>
            <w:vAlign w:val="center"/>
          </w:tcPr>
          <w:p w14:paraId="355F1B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供应商确认收到竞争性磋商文件修改的时间</w:t>
            </w:r>
          </w:p>
        </w:tc>
        <w:tc>
          <w:tcPr>
            <w:tcW w:w="6737" w:type="dxa"/>
            <w:vAlign w:val="center"/>
          </w:tcPr>
          <w:p w14:paraId="15FB886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在收到相应修改文件后</w:t>
            </w:r>
            <w:r>
              <w:rPr>
                <w:rFonts w:hint="eastAsia" w:ascii="宋体" w:cs="宋体"/>
                <w:color w:val="000000" w:themeColor="text1"/>
                <w:sz w:val="24"/>
                <w:highlight w:val="none"/>
                <w:u w:val="single"/>
                <w14:textFill>
                  <w14:solidFill>
                    <w14:schemeClr w14:val="tx1"/>
                  </w14:solidFill>
                </w14:textFill>
              </w:rPr>
              <w:t>24</w:t>
            </w:r>
            <w:r>
              <w:rPr>
                <w:rFonts w:hint="eastAsia" w:ascii="宋体" w:cs="宋体"/>
                <w:color w:val="000000" w:themeColor="text1"/>
                <w:sz w:val="24"/>
                <w:highlight w:val="none"/>
                <w14:textFill>
                  <w14:solidFill>
                    <w14:schemeClr w14:val="tx1"/>
                  </w14:solidFill>
                </w14:textFill>
              </w:rPr>
              <w:t>小时内</w:t>
            </w:r>
          </w:p>
        </w:tc>
      </w:tr>
      <w:tr w14:paraId="4533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96" w:type="dxa"/>
            <w:vAlign w:val="center"/>
          </w:tcPr>
          <w:p w14:paraId="774D9DB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3.3.1</w:t>
            </w:r>
          </w:p>
        </w:tc>
        <w:tc>
          <w:tcPr>
            <w:tcW w:w="1926" w:type="dxa"/>
            <w:vAlign w:val="center"/>
          </w:tcPr>
          <w:p w14:paraId="3344574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磋商响应有效期</w:t>
            </w:r>
          </w:p>
        </w:tc>
        <w:tc>
          <w:tcPr>
            <w:tcW w:w="6737" w:type="dxa"/>
            <w:vAlign w:val="center"/>
          </w:tcPr>
          <w:p w14:paraId="03EA641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递交磋商响应文件截止之日起60天（日历天）。</w:t>
            </w:r>
          </w:p>
        </w:tc>
      </w:tr>
      <w:tr w14:paraId="6F8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96" w:type="dxa"/>
            <w:vAlign w:val="center"/>
          </w:tcPr>
          <w:p w14:paraId="1B14FE9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3.4.1</w:t>
            </w:r>
          </w:p>
        </w:tc>
        <w:tc>
          <w:tcPr>
            <w:tcW w:w="1926" w:type="dxa"/>
            <w:vAlign w:val="center"/>
          </w:tcPr>
          <w:p w14:paraId="4D3CF33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磋商保证金</w:t>
            </w:r>
          </w:p>
        </w:tc>
        <w:tc>
          <w:tcPr>
            <w:tcW w:w="6737" w:type="dxa"/>
            <w:vAlign w:val="center"/>
          </w:tcPr>
          <w:p w14:paraId="29EB94D7">
            <w:pPr>
              <w:adjustRightInd w:val="0"/>
              <w:snapToGrid w:val="0"/>
              <w:spacing w:line="288" w:lineRule="auto"/>
              <w:rPr>
                <w:rFonts w:ascii="宋体" w:cs="宋体"/>
                <w:bCs/>
                <w:color w:val="000000" w:themeColor="text1"/>
                <w:kern w:val="15"/>
                <w:sz w:val="24"/>
                <w:highlight w:val="none"/>
                <w14:textFill>
                  <w14:solidFill>
                    <w14:schemeClr w14:val="tx1"/>
                  </w14:solidFill>
                </w14:textFill>
              </w:rPr>
            </w:pPr>
            <w:r>
              <w:rPr>
                <w:rFonts w:hint="eastAsia" w:ascii="宋体" w:cs="宋体"/>
                <w:bCs/>
                <w:color w:val="000000" w:themeColor="text1"/>
                <w:kern w:val="15"/>
                <w:sz w:val="24"/>
                <w:highlight w:val="none"/>
                <w14:textFill>
                  <w14:solidFill>
                    <w14:schemeClr w14:val="tx1"/>
                  </w14:solidFill>
                </w14:textFill>
              </w:rPr>
              <w:t>1、</w:t>
            </w:r>
            <w:r>
              <w:rPr>
                <w:rFonts w:hint="eastAsia" w:ascii="宋体" w:cs="宋体"/>
                <w:b/>
                <w:color w:val="000000" w:themeColor="text1"/>
                <w:kern w:val="15"/>
                <w:sz w:val="24"/>
                <w:highlight w:val="none"/>
                <w14:textFill>
                  <w14:solidFill>
                    <w14:schemeClr w14:val="tx1"/>
                  </w14:solidFill>
                </w14:textFill>
              </w:rPr>
              <w:t>依据长财采购【2021】695号文件规定，对于诚信良好的供应商可免收磋商保证金</w:t>
            </w:r>
            <w:r>
              <w:rPr>
                <w:rFonts w:hint="eastAsia" w:ascii="宋体" w:cs="宋体"/>
                <w:bCs/>
                <w:color w:val="000000" w:themeColor="text1"/>
                <w:kern w:val="15"/>
                <w:sz w:val="24"/>
                <w:highlight w:val="none"/>
                <w14:textFill>
                  <w14:solidFill>
                    <w14:schemeClr w14:val="tx1"/>
                  </w14:solidFill>
                </w14:textFill>
              </w:rPr>
              <w:t>；但对于满足《中华人民共和国政府采购法》第二十二条有关规定，经“信用中国”网站查询存在行政处罚信息的供应商，须按规定提交磋商保证金。</w:t>
            </w:r>
          </w:p>
          <w:p w14:paraId="2733A9C1">
            <w:pPr>
              <w:adjustRightInd w:val="0"/>
              <w:snapToGrid w:val="0"/>
              <w:spacing w:line="288" w:lineRule="auto"/>
              <w:rPr>
                <w:rFonts w:ascii="宋体" w:cs="宋体"/>
                <w:bCs/>
                <w:color w:val="000000" w:themeColor="text1"/>
                <w:kern w:val="15"/>
                <w:sz w:val="24"/>
                <w:highlight w:val="none"/>
                <w14:textFill>
                  <w14:solidFill>
                    <w14:schemeClr w14:val="tx1"/>
                  </w14:solidFill>
                </w14:textFill>
              </w:rPr>
            </w:pPr>
            <w:r>
              <w:rPr>
                <w:rFonts w:hint="eastAsia" w:ascii="宋体" w:cs="宋体"/>
                <w:bCs/>
                <w:color w:val="000000" w:themeColor="text1"/>
                <w:kern w:val="15"/>
                <w:sz w:val="24"/>
                <w:highlight w:val="none"/>
                <w14:textFill>
                  <w14:solidFill>
                    <w14:schemeClr w14:val="tx1"/>
                  </w14:solidFill>
                </w14:textFill>
              </w:rPr>
              <w:t>2、磋商保证金形式：磋商保证金应当以支票、汇票、本票或者金融机构、担保机构出具的保函等非现金形式提交或转账、电汇（转账、电汇须从供应商的基本账户转出）。供应商未按照竞争性磋商文件要求提交磋商保证金的，响应无效。</w:t>
            </w:r>
          </w:p>
          <w:p w14:paraId="70490FC7">
            <w:pPr>
              <w:adjustRightInd w:val="0"/>
              <w:snapToGrid w:val="0"/>
              <w:spacing w:line="288" w:lineRule="auto"/>
              <w:rPr>
                <w:rFonts w:ascii="宋体" w:cs="宋体"/>
                <w:bCs/>
                <w:color w:val="000000" w:themeColor="text1"/>
                <w:kern w:val="15"/>
                <w:sz w:val="24"/>
                <w:highlight w:val="none"/>
                <w14:textFill>
                  <w14:solidFill>
                    <w14:schemeClr w14:val="tx1"/>
                  </w14:solidFill>
                </w14:textFill>
              </w:rPr>
            </w:pPr>
            <w:r>
              <w:rPr>
                <w:rFonts w:hint="eastAsia" w:ascii="宋体" w:cs="宋体"/>
                <w:bCs/>
                <w:color w:val="000000" w:themeColor="text1"/>
                <w:kern w:val="15"/>
                <w:sz w:val="24"/>
                <w:highlight w:val="none"/>
                <w14:textFill>
                  <w14:solidFill>
                    <w14:schemeClr w14:val="tx1"/>
                  </w14:solidFill>
                </w14:textFill>
              </w:rPr>
              <w:t>3、递交时间和要求：应在开标前（银行到账时间，如遇开标前一日为休息日，顺应提前）将磋商保证金存入采购代理机构指定账户，银行进账单或电汇凭证等凭证上应明确用途、采购项目名称、供应商名称、联系人及电话，以便核对查实。供应商缴纳完磋商保证金后须将银行的存款回单复印件装入到响应文件中，否则响应文件无效；磋商保证金若以保函形式提交，开标前一个工作日将保函原件递交至采购代理机构，复印件装入到响应文件中，否则响应文件无效。磋商保证金的确认以最终到账日期为准。</w:t>
            </w:r>
          </w:p>
          <w:p w14:paraId="24D0981F">
            <w:pPr>
              <w:adjustRightInd w:val="0"/>
              <w:snapToGrid w:val="0"/>
              <w:spacing w:before="36" w:beforeLines="15" w:line="276" w:lineRule="auto"/>
              <w:jc w:val="left"/>
              <w:rPr>
                <w:rFonts w:ascii="宋体" w:cs="宋体"/>
                <w:b/>
                <w:color w:val="000000" w:themeColor="text1"/>
                <w:sz w:val="24"/>
                <w:highlight w:val="none"/>
                <w:lang w:val="zh-CN"/>
                <w14:textFill>
                  <w14:solidFill>
                    <w14:schemeClr w14:val="tx1"/>
                  </w14:solidFill>
                </w14:textFill>
              </w:rPr>
            </w:pPr>
            <w:r>
              <w:rPr>
                <w:rFonts w:hint="eastAsia" w:ascii="宋体" w:cs="宋体"/>
                <w:b/>
                <w:color w:val="000000" w:themeColor="text1"/>
                <w:sz w:val="24"/>
                <w:highlight w:val="none"/>
                <w:lang w:val="zh-CN"/>
                <w14:textFill>
                  <w14:solidFill>
                    <w14:schemeClr w14:val="tx1"/>
                  </w14:solidFill>
                </w14:textFill>
              </w:rPr>
              <w:t>磋商保证金金额：</w:t>
            </w:r>
            <w:r>
              <w:rPr>
                <w:rFonts w:hint="eastAsia" w:ascii="宋体" w:cs="宋体"/>
                <w:b/>
                <w:color w:val="000000" w:themeColor="text1"/>
                <w:sz w:val="24"/>
                <w:highlight w:val="none"/>
                <w:lang w:val="zh-CN"/>
                <w14:textFill>
                  <w14:solidFill>
                    <w14:schemeClr w14:val="tx1"/>
                  </w14:solidFill>
                </w14:textFill>
              </w:rPr>
              <w:t>壹仟</w:t>
            </w:r>
            <w:r>
              <w:rPr>
                <w:rFonts w:hint="eastAsia" w:ascii="宋体" w:cs="宋体"/>
                <w:b/>
                <w:color w:val="000000" w:themeColor="text1"/>
                <w:sz w:val="24"/>
                <w:highlight w:val="none"/>
                <w14:textFill>
                  <w14:solidFill>
                    <w14:schemeClr w14:val="tx1"/>
                  </w14:solidFill>
                </w14:textFill>
              </w:rPr>
              <w:t>元整</w:t>
            </w:r>
            <w:r>
              <w:rPr>
                <w:rFonts w:hint="eastAsia" w:ascii="宋体" w:cs="宋体"/>
                <w:b/>
                <w:color w:val="000000" w:themeColor="text1"/>
                <w:sz w:val="24"/>
                <w:highlight w:val="none"/>
                <w:lang w:val="zh-CN"/>
                <w14:textFill>
                  <w14:solidFill>
                    <w14:schemeClr w14:val="tx1"/>
                  </w14:solidFill>
                </w14:textFill>
              </w:rPr>
              <w:t xml:space="preserve"> </w:t>
            </w:r>
          </w:p>
          <w:p w14:paraId="7CDC12CB">
            <w:pP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开户行全称：吉林省锐峰项目管理有限公司</w:t>
            </w:r>
          </w:p>
          <w:p w14:paraId="0619FE2E">
            <w:pP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开 户 行：交通银行吉林省分行营业部</w:t>
            </w:r>
          </w:p>
          <w:p w14:paraId="13BA6B67">
            <w:pP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账    号：221000603013000034610</w:t>
            </w:r>
          </w:p>
          <w:p w14:paraId="2F5F1273">
            <w:pP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行    号：301241000027</w:t>
            </w:r>
          </w:p>
          <w:p w14:paraId="38FF8A83">
            <w:pPr>
              <w:rPr>
                <w:rFonts w:ascii="宋体" w:cs="宋体"/>
                <w:color w:val="000000" w:themeColor="text1"/>
                <w:sz w:val="24"/>
                <w:highlight w:val="none"/>
                <w14:textFill>
                  <w14:solidFill>
                    <w14:schemeClr w14:val="tx1"/>
                  </w14:solidFill>
                </w14:textFill>
              </w:rPr>
            </w:pPr>
            <w:r>
              <w:rPr>
                <w:rFonts w:hint="eastAsia" w:ascii="宋体" w:cs="宋体"/>
                <w:b/>
                <w:color w:val="000000" w:themeColor="text1"/>
                <w:sz w:val="24"/>
                <w:highlight w:val="none"/>
                <w:lang w:val="zh-CN"/>
                <w14:textFill>
                  <w14:solidFill>
                    <w14:schemeClr w14:val="tx1"/>
                  </w14:solidFill>
                </w14:textFill>
              </w:rPr>
              <w:t>联系电话：0431-8</w:t>
            </w:r>
            <w:r>
              <w:rPr>
                <w:rFonts w:hint="eastAsia" w:ascii="宋体" w:cs="宋体"/>
                <w:b/>
                <w:color w:val="000000" w:themeColor="text1"/>
                <w:sz w:val="24"/>
                <w:highlight w:val="none"/>
                <w14:textFill>
                  <w14:solidFill>
                    <w14:schemeClr w14:val="tx1"/>
                  </w14:solidFill>
                </w14:textFill>
              </w:rPr>
              <w:t>0542044（缴费、开具发票等财务事宜均咨询此号码）</w:t>
            </w:r>
          </w:p>
        </w:tc>
      </w:tr>
      <w:tr w14:paraId="4831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96" w:type="dxa"/>
            <w:vAlign w:val="center"/>
          </w:tcPr>
          <w:p w14:paraId="281B9F9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3.5.1</w:t>
            </w:r>
          </w:p>
        </w:tc>
        <w:tc>
          <w:tcPr>
            <w:tcW w:w="1926" w:type="dxa"/>
            <w:vAlign w:val="center"/>
          </w:tcPr>
          <w:p w14:paraId="6B34C9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是否允许递交备选磋商方案</w:t>
            </w:r>
          </w:p>
        </w:tc>
        <w:tc>
          <w:tcPr>
            <w:tcW w:w="6737" w:type="dxa"/>
            <w:vAlign w:val="center"/>
          </w:tcPr>
          <w:p w14:paraId="33CEE7F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4FC0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1196" w:type="dxa"/>
            <w:vAlign w:val="center"/>
          </w:tcPr>
          <w:p w14:paraId="1DA532D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3.6.1</w:t>
            </w:r>
          </w:p>
        </w:tc>
        <w:tc>
          <w:tcPr>
            <w:tcW w:w="1926" w:type="dxa"/>
            <w:vAlign w:val="center"/>
          </w:tcPr>
          <w:p w14:paraId="4A20EA4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签字和（或）盖章要求</w:t>
            </w:r>
          </w:p>
        </w:tc>
        <w:tc>
          <w:tcPr>
            <w:tcW w:w="6737" w:type="dxa"/>
            <w:vAlign w:val="center"/>
          </w:tcPr>
          <w:p w14:paraId="66C5FD98">
            <w:pPr>
              <w:autoSpaceDE w:val="0"/>
              <w:autoSpaceDN w:val="0"/>
              <w:rPr>
                <w:rFonts w:ascii="宋体" w:cs="宋体"/>
                <w:color w:val="000000" w:themeColor="text1"/>
                <w:kern w:val="15"/>
                <w:sz w:val="24"/>
                <w:highlight w:val="none"/>
                <w14:textFill>
                  <w14:solidFill>
                    <w14:schemeClr w14:val="tx1"/>
                  </w14:solidFill>
                </w14:textFill>
              </w:rPr>
            </w:pPr>
            <w:r>
              <w:rPr>
                <w:rFonts w:hint="eastAsia" w:ascii="宋体" w:cs="宋体"/>
                <w:color w:val="000000" w:themeColor="text1"/>
                <w:kern w:val="15"/>
                <w:sz w:val="24"/>
                <w:highlight w:val="none"/>
                <w14:textFill>
                  <w14:solidFill>
                    <w14:schemeClr w14:val="tx1"/>
                  </w14:solidFill>
                </w14:textFill>
              </w:rPr>
              <w:t>1. 所有要求签字的地方都应用不褪色的墨水或签字笔由本人亲笔手写签字（包括姓和名），不得用盖章（如签名章、签字章等）代替，也不得由他人代签。</w:t>
            </w:r>
          </w:p>
          <w:p w14:paraId="557C5E86">
            <w:pPr>
              <w:autoSpaceDE w:val="0"/>
              <w:autoSpaceDN w:val="0"/>
              <w:rPr>
                <w:rFonts w:ascii="宋体" w:cs="宋体"/>
                <w:color w:val="000000" w:themeColor="text1"/>
                <w:kern w:val="15"/>
                <w:sz w:val="24"/>
                <w:highlight w:val="none"/>
                <w14:textFill>
                  <w14:solidFill>
                    <w14:schemeClr w14:val="tx1"/>
                  </w14:solidFill>
                </w14:textFill>
              </w:rPr>
            </w:pPr>
            <w:r>
              <w:rPr>
                <w:rFonts w:hint="eastAsia" w:ascii="宋体" w:cs="宋体"/>
                <w:color w:val="000000" w:themeColor="text1"/>
                <w:kern w:val="15"/>
                <w:sz w:val="24"/>
                <w:highlight w:val="none"/>
                <w14:textFill>
                  <w14:solidFill>
                    <w14:schemeClr w14:val="tx1"/>
                  </w14:solidFill>
                </w14:textFill>
              </w:rPr>
              <w:t>2. 所有要求盖章的地方都应加盖供应商单位（法定名称）章（鲜章），不得使用专用章（如经济合同章、投标专用章等）或下属单位印章代替。</w:t>
            </w:r>
          </w:p>
          <w:p w14:paraId="62A978E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kern w:val="15"/>
                <w:sz w:val="24"/>
                <w:highlight w:val="none"/>
                <w14:textFill>
                  <w14:solidFill>
                    <w14:schemeClr w14:val="tx1"/>
                  </w14:solidFill>
                </w14:textFill>
              </w:rPr>
              <w:t>3.磋商响应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1804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96" w:type="dxa"/>
            <w:vAlign w:val="center"/>
          </w:tcPr>
          <w:p w14:paraId="4EBC368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3.6.2</w:t>
            </w:r>
          </w:p>
        </w:tc>
        <w:tc>
          <w:tcPr>
            <w:tcW w:w="1926" w:type="dxa"/>
            <w:vAlign w:val="center"/>
          </w:tcPr>
          <w:p w14:paraId="3165C4F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响应文件份数及密封</w:t>
            </w:r>
          </w:p>
        </w:tc>
        <w:tc>
          <w:tcPr>
            <w:tcW w:w="6737" w:type="dxa"/>
            <w:vAlign w:val="center"/>
          </w:tcPr>
          <w:p w14:paraId="2E6FC67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1、纸质版响应文件份数要求：</w:t>
            </w:r>
          </w:p>
          <w:p w14:paraId="381FF1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正本1份，副本4份，同时提供电子文件U盘两份（响应文件格式为签字盖章后的PDF版本扫描件），提交电子文件中要求的内容应包括纸质响应文件的全部内容。</w:t>
            </w:r>
          </w:p>
          <w:p w14:paraId="64DBD4D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2、其他要求：</w:t>
            </w:r>
          </w:p>
          <w:p w14:paraId="5B040D4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（1）现场递交纸质响应文件。评标过程中以电子响应文件为主，纸质响应文件为辅。（当纸质响应文件与电子响应文件内容不符时，以电子响应文件为准。）</w:t>
            </w:r>
          </w:p>
          <w:p w14:paraId="43287B2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（2）供应商在“政采云”平台（http：//www.zcygov.cn）上制作响应文件1份（此响应文件须上传至“政采云”平台）。</w:t>
            </w:r>
          </w:p>
          <w:p w14:paraId="7AAF2BB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（3）供应商在制作响应文件时，电子响应文件以“政采云”平台的竞争性磋商文件格式为准；纸质响应文件以竞争性磋商文件中《第六章 响应文件格式》为准。供应商上传至“政采云”平台的电子响应文件内容，在纸质响应文件中均应体现。</w:t>
            </w:r>
          </w:p>
        </w:tc>
      </w:tr>
      <w:tr w14:paraId="59E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196" w:type="dxa"/>
            <w:vAlign w:val="center"/>
          </w:tcPr>
          <w:p w14:paraId="7E46967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3.6.3</w:t>
            </w:r>
          </w:p>
        </w:tc>
        <w:tc>
          <w:tcPr>
            <w:tcW w:w="1926" w:type="dxa"/>
            <w:vAlign w:val="center"/>
          </w:tcPr>
          <w:p w14:paraId="349A07E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装订要求</w:t>
            </w:r>
          </w:p>
        </w:tc>
        <w:tc>
          <w:tcPr>
            <w:tcW w:w="6737" w:type="dxa"/>
            <w:vAlign w:val="center"/>
          </w:tcPr>
          <w:p w14:paraId="1BC7D8B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按照供应商须知第3.1.1项规定的磋商响应文件组成内容，磋商响应文件应按以下要求装订：</w:t>
            </w:r>
          </w:p>
          <w:p w14:paraId="7821691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采用书册方式胶装，装订应牢固、整齐便于保管和利用，不易拆散和换页，不得采用活页装订。</w:t>
            </w:r>
          </w:p>
        </w:tc>
      </w:tr>
      <w:tr w14:paraId="008F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1196" w:type="dxa"/>
            <w:vAlign w:val="center"/>
          </w:tcPr>
          <w:p w14:paraId="18140EB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4.1.1</w:t>
            </w:r>
          </w:p>
        </w:tc>
        <w:tc>
          <w:tcPr>
            <w:tcW w:w="1926" w:type="dxa"/>
            <w:vAlign w:val="center"/>
          </w:tcPr>
          <w:p w14:paraId="5CF5644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封套上写明</w:t>
            </w:r>
          </w:p>
        </w:tc>
        <w:tc>
          <w:tcPr>
            <w:tcW w:w="6737" w:type="dxa"/>
            <w:vAlign w:val="center"/>
          </w:tcPr>
          <w:p w14:paraId="7AE26380">
            <w:pPr>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w:t>
            </w:r>
          </w:p>
          <w:p w14:paraId="546642B6">
            <w:pPr>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项目名称：</w:t>
            </w:r>
          </w:p>
          <w:p w14:paraId="53161BFD">
            <w:pPr>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项目编号：</w:t>
            </w:r>
          </w:p>
          <w:p w14:paraId="34802D26">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供应商地址：</w:t>
            </w:r>
          </w:p>
          <w:p w14:paraId="3F576C85">
            <w:pPr>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邮政编码：联系电话：</w:t>
            </w:r>
          </w:p>
          <w:p w14:paraId="5A1FECC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响应文件在</w:t>
            </w:r>
            <w:r>
              <w:rPr>
                <w:rFonts w:hint="eastAsia" w:ascii="宋体" w:cs="宋体"/>
                <w:color w:val="000000" w:themeColor="text1"/>
                <w:sz w:val="24"/>
                <w:highlight w:val="none"/>
                <w:u w:val="single"/>
                <w14:textFill>
                  <w14:solidFill>
                    <w14:schemeClr w14:val="tx1"/>
                  </w14:solidFill>
                </w14:textFill>
              </w:rPr>
              <w:t xml:space="preserve">     年  月  日  时</w:t>
            </w:r>
            <w:r>
              <w:rPr>
                <w:rFonts w:hint="eastAsia" w:ascii="宋体" w:cs="宋体"/>
                <w:color w:val="000000" w:themeColor="text1"/>
                <w:sz w:val="24"/>
                <w:highlight w:val="none"/>
                <w14:textFill>
                  <w14:solidFill>
                    <w14:schemeClr w14:val="tx1"/>
                  </w14:solidFill>
                </w14:textFill>
              </w:rPr>
              <w:t>前不得开启</w:t>
            </w:r>
          </w:p>
          <w:p w14:paraId="778C4A2B">
            <w:pP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在封套上标记</w:t>
            </w:r>
            <w:r>
              <w:rPr>
                <w:rFonts w:hint="eastAsia" w:ascii="宋体" w:cs="宋体"/>
                <w:b/>
                <w:bCs/>
                <w:color w:val="000000" w:themeColor="text1"/>
                <w:sz w:val="24"/>
                <w:highlight w:val="none"/>
                <w14:textFill>
                  <w14:solidFill>
                    <w14:schemeClr w14:val="tx1"/>
                  </w14:solidFill>
                </w14:textFill>
              </w:rPr>
              <w:t>“磋商报价表1份”</w:t>
            </w:r>
            <w:r>
              <w:rPr>
                <w:rFonts w:hint="eastAsia" w:ascii="宋体" w:cs="宋体"/>
                <w:b/>
                <w:bCs/>
                <w:color w:val="000000" w:themeColor="text1"/>
                <w:sz w:val="24"/>
                <w:highlight w:val="none"/>
                <w:lang w:val="zh-CN"/>
                <w14:textFill>
                  <w14:solidFill>
                    <w14:schemeClr w14:val="tx1"/>
                  </w14:solidFill>
                </w14:textFill>
              </w:rPr>
              <w:t>“磋商响应文件正本</w:t>
            </w:r>
            <w:r>
              <w:rPr>
                <w:rFonts w:hint="eastAsia" w:ascii="宋体" w:cs="宋体"/>
                <w:b/>
                <w:bCs/>
                <w:color w:val="000000" w:themeColor="text1"/>
                <w:sz w:val="24"/>
                <w:highlight w:val="none"/>
                <w14:textFill>
                  <w14:solidFill>
                    <w14:schemeClr w14:val="tx1"/>
                  </w14:solidFill>
                </w14:textFill>
              </w:rPr>
              <w:t>1份</w:t>
            </w:r>
            <w:r>
              <w:rPr>
                <w:rFonts w:hint="eastAsia" w:ascii="宋体" w:cs="宋体"/>
                <w:b/>
                <w:bCs/>
                <w:color w:val="000000" w:themeColor="text1"/>
                <w:sz w:val="24"/>
                <w:highlight w:val="none"/>
                <w:lang w:val="zh-CN"/>
                <w14:textFill>
                  <w14:solidFill>
                    <w14:schemeClr w14:val="tx1"/>
                  </w14:solidFill>
                </w14:textFill>
              </w:rPr>
              <w:t>”、“</w:t>
            </w:r>
            <w:r>
              <w:rPr>
                <w:rFonts w:hint="eastAsia" w:ascii="宋体" w:cs="宋体"/>
                <w:b/>
                <w:bCs/>
                <w:color w:val="000000" w:themeColor="text1"/>
                <w:sz w:val="24"/>
                <w:highlight w:val="none"/>
                <w14:textFill>
                  <w14:solidFill>
                    <w14:schemeClr w14:val="tx1"/>
                  </w14:solidFill>
                </w14:textFill>
              </w:rPr>
              <w:t>磋商响应</w:t>
            </w:r>
            <w:r>
              <w:rPr>
                <w:rFonts w:hint="eastAsia" w:ascii="宋体" w:cs="宋体"/>
                <w:b/>
                <w:bCs/>
                <w:color w:val="000000" w:themeColor="text1"/>
                <w:sz w:val="24"/>
                <w:highlight w:val="none"/>
                <w:lang w:val="zh-CN"/>
                <w14:textFill>
                  <w14:solidFill>
                    <w14:schemeClr w14:val="tx1"/>
                  </w14:solidFill>
                </w14:textFill>
              </w:rPr>
              <w:t>文件副本</w:t>
            </w:r>
            <w:r>
              <w:rPr>
                <w:rFonts w:hint="eastAsia" w:ascii="宋体" w:cs="宋体"/>
                <w:b/>
                <w:bCs/>
                <w:color w:val="000000" w:themeColor="text1"/>
                <w:sz w:val="24"/>
                <w:highlight w:val="none"/>
                <w14:textFill>
                  <w14:solidFill>
                    <w14:schemeClr w14:val="tx1"/>
                  </w14:solidFill>
                </w14:textFill>
              </w:rPr>
              <w:t>4份</w:t>
            </w:r>
            <w:r>
              <w:rPr>
                <w:rFonts w:hint="eastAsia" w:ascii="宋体" w:cs="宋体"/>
                <w:b/>
                <w:bCs/>
                <w:color w:val="000000" w:themeColor="text1"/>
                <w:sz w:val="24"/>
                <w:highlight w:val="none"/>
                <w:lang w:val="zh-CN"/>
                <w14:textFill>
                  <w14:solidFill>
                    <w14:schemeClr w14:val="tx1"/>
                  </w14:solidFill>
                </w14:textFill>
              </w:rPr>
              <w:t>”、“电子版</w:t>
            </w:r>
            <w:r>
              <w:rPr>
                <w:rFonts w:hint="eastAsia" w:ascii="宋体" w:cs="宋体"/>
                <w:b/>
                <w:bCs/>
                <w:color w:val="000000" w:themeColor="text1"/>
                <w:sz w:val="24"/>
                <w:highlight w:val="none"/>
                <w14:textFill>
                  <w14:solidFill>
                    <w14:schemeClr w14:val="tx1"/>
                  </w14:solidFill>
                </w14:textFill>
              </w:rPr>
              <w:t>1份</w:t>
            </w:r>
            <w:r>
              <w:rPr>
                <w:rFonts w:hint="eastAsia" w:ascii="宋体" w:cs="宋体"/>
                <w:b/>
                <w:bCs/>
                <w:color w:val="000000" w:themeColor="text1"/>
                <w:sz w:val="24"/>
                <w:highlight w:val="none"/>
                <w:lang w:val="zh-CN"/>
                <w14:textFill>
                  <w14:solidFill>
                    <w14:schemeClr w14:val="tx1"/>
                  </w14:solidFill>
                </w14:textFill>
              </w:rPr>
              <w:t>”字样</w:t>
            </w:r>
          </w:p>
        </w:tc>
      </w:tr>
      <w:tr w14:paraId="2066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6" w:type="dxa"/>
            <w:vAlign w:val="center"/>
          </w:tcPr>
          <w:p w14:paraId="08A5D9D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4.2.1</w:t>
            </w:r>
          </w:p>
        </w:tc>
        <w:tc>
          <w:tcPr>
            <w:tcW w:w="1926" w:type="dxa"/>
            <w:vAlign w:val="center"/>
          </w:tcPr>
          <w:p w14:paraId="0E6ADA6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是否退还磋商响应文件</w:t>
            </w:r>
          </w:p>
        </w:tc>
        <w:tc>
          <w:tcPr>
            <w:tcW w:w="6737" w:type="dxa"/>
            <w:vAlign w:val="center"/>
          </w:tcPr>
          <w:p w14:paraId="397B003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否</w:t>
            </w:r>
          </w:p>
        </w:tc>
      </w:tr>
      <w:tr w14:paraId="204F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196" w:type="dxa"/>
            <w:vAlign w:val="center"/>
          </w:tcPr>
          <w:p w14:paraId="73A02A1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5.1.1</w:t>
            </w:r>
          </w:p>
        </w:tc>
        <w:tc>
          <w:tcPr>
            <w:tcW w:w="1926" w:type="dxa"/>
            <w:vAlign w:val="center"/>
          </w:tcPr>
          <w:p w14:paraId="6CCD10C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磋商时间和地点</w:t>
            </w:r>
          </w:p>
        </w:tc>
        <w:tc>
          <w:tcPr>
            <w:tcW w:w="6737" w:type="dxa"/>
            <w:vAlign w:val="center"/>
          </w:tcPr>
          <w:p w14:paraId="4F3EB2D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全流程电子招标项目交易平台系统支持响应文件远程解密；</w:t>
            </w:r>
          </w:p>
          <w:p w14:paraId="1EEBD7B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解密方式:响应文件递交截止时间后 30 分钟内完成解密工作，供应商开标时，需使用制作响应文件时用来加密的有效数字证书登录“政采云”平台电子开标大厅，按规定时间对加密的响应文件进行解密。因供应商自身原因未能按时完成解密的，视为逾期未提交响应文件，其响应无效。</w:t>
            </w:r>
          </w:p>
          <w:p w14:paraId="67A053D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如无故离开远程开标会议室，后果自负。</w:t>
            </w:r>
          </w:p>
          <w:p w14:paraId="748A444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开标地点：</w:t>
            </w:r>
            <w:r>
              <w:rPr>
                <w:rFonts w:hint="eastAsia" w:ascii="宋体" w:cs="宋体"/>
                <w:color w:val="000000" w:themeColor="text1"/>
                <w:sz w:val="24"/>
                <w:highlight w:val="none"/>
                <w:lang w:eastAsia="zh-CN"/>
                <w14:textFill>
                  <w14:solidFill>
                    <w14:schemeClr w14:val="tx1"/>
                  </w14:solidFill>
                </w14:textFill>
              </w:rPr>
              <w:t>长春市高新区鸿达街248号吉林日报副楼4楼吉利招开标四室</w:t>
            </w:r>
            <w:r>
              <w:rPr>
                <w:rFonts w:hint="eastAsia" w:ascii="宋体" w:cs="宋体"/>
                <w:color w:val="000000" w:themeColor="text1"/>
                <w:sz w:val="24"/>
                <w:highlight w:val="none"/>
                <w14:textFill>
                  <w14:solidFill>
                    <w14:schemeClr w14:val="tx1"/>
                  </w14:solidFill>
                </w14:textFill>
              </w:rPr>
              <w:t>。</w:t>
            </w:r>
          </w:p>
        </w:tc>
      </w:tr>
      <w:tr w14:paraId="0965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96" w:type="dxa"/>
            <w:vAlign w:val="center"/>
          </w:tcPr>
          <w:p w14:paraId="122416E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6.1.1</w:t>
            </w:r>
          </w:p>
        </w:tc>
        <w:tc>
          <w:tcPr>
            <w:tcW w:w="1926" w:type="dxa"/>
            <w:vAlign w:val="center"/>
          </w:tcPr>
          <w:p w14:paraId="51EAFEC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磋商小组的组建</w:t>
            </w:r>
          </w:p>
        </w:tc>
        <w:tc>
          <w:tcPr>
            <w:tcW w:w="6737" w:type="dxa"/>
            <w:vAlign w:val="center"/>
          </w:tcPr>
          <w:p w14:paraId="6BCDBFA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磋商小组构成：3人</w:t>
            </w:r>
          </w:p>
          <w:p w14:paraId="2C367E1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评审专家确定方式：从依法设立的评审专家库中随机抽取</w:t>
            </w:r>
            <w:r>
              <w:rPr>
                <w:rFonts w:hint="eastAsia" w:ascii="宋体" w:cs="宋体"/>
                <w:bCs/>
                <w:color w:val="000000" w:themeColor="text1"/>
                <w:sz w:val="24"/>
                <w:highlight w:val="none"/>
                <w14:textFill>
                  <w14:solidFill>
                    <w14:schemeClr w14:val="tx1"/>
                  </w14:solidFill>
                </w14:textFill>
              </w:rPr>
              <w:t>。</w:t>
            </w:r>
          </w:p>
        </w:tc>
      </w:tr>
      <w:tr w14:paraId="1AF8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6" w:type="dxa"/>
            <w:vAlign w:val="center"/>
          </w:tcPr>
          <w:p w14:paraId="1D29DAC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7.1.1</w:t>
            </w:r>
          </w:p>
        </w:tc>
        <w:tc>
          <w:tcPr>
            <w:tcW w:w="1926" w:type="dxa"/>
            <w:vAlign w:val="center"/>
          </w:tcPr>
          <w:p w14:paraId="6B6BA87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是否授权磋商小组确定中选供应商</w:t>
            </w:r>
          </w:p>
        </w:tc>
        <w:tc>
          <w:tcPr>
            <w:tcW w:w="6737" w:type="dxa"/>
            <w:vAlign w:val="center"/>
          </w:tcPr>
          <w:p w14:paraId="1C6B2CA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w:t>
            </w:r>
          </w:p>
        </w:tc>
      </w:tr>
      <w:tr w14:paraId="0AE5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59" w:type="dxa"/>
            <w:gridSpan w:val="3"/>
            <w:vAlign w:val="center"/>
          </w:tcPr>
          <w:p w14:paraId="5DC6237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  需要补充的其他内容</w:t>
            </w:r>
          </w:p>
        </w:tc>
      </w:tr>
      <w:tr w14:paraId="784A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96" w:type="dxa"/>
            <w:vAlign w:val="center"/>
          </w:tcPr>
          <w:p w14:paraId="023230C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10.1.1 </w:t>
            </w:r>
          </w:p>
        </w:tc>
        <w:tc>
          <w:tcPr>
            <w:tcW w:w="1926" w:type="dxa"/>
            <w:vAlign w:val="center"/>
          </w:tcPr>
          <w:p w14:paraId="5B6446D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代理服务费</w:t>
            </w:r>
          </w:p>
        </w:tc>
        <w:tc>
          <w:tcPr>
            <w:tcW w:w="6737" w:type="dxa"/>
            <w:vAlign w:val="center"/>
          </w:tcPr>
          <w:p w14:paraId="35696AC8">
            <w:pPr>
              <w:rPr>
                <w:rFonts w:ascii="宋体" w:cs="宋体"/>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参照国家发展计划委员会文件（计价格【2002】1980号）、国家发展改革委办公厅关于招标代理服务收费有关问题的通知（发改办价格【2003】857号）及国家发改委关于进一步放开建设项目专业服务价格的通知（发改价格【2015】299号）的收费标准向中标人收取:</w:t>
            </w:r>
            <w:r>
              <w:rPr>
                <w:rFonts w:hint="eastAsia" w:ascii="宋体" w:cs="宋体"/>
                <w:color w:val="000000" w:themeColor="text1"/>
                <w:sz w:val="24"/>
                <w:highlight w:val="none"/>
                <w:shd w:val="clear" w:fill="FFFF00"/>
                <w:lang w:val="en-US" w:eastAsia="zh-CN"/>
                <w14:textFill>
                  <w14:solidFill>
                    <w14:schemeClr w14:val="tx1"/>
                  </w14:solidFill>
                </w14:textFill>
              </w:rPr>
              <w:t>6</w:t>
            </w:r>
            <w:r>
              <w:rPr>
                <w:rFonts w:hint="eastAsia" w:ascii="宋体" w:cs="宋体"/>
                <w:color w:val="000000" w:themeColor="text1"/>
                <w:sz w:val="24"/>
                <w:highlight w:val="none"/>
                <w:shd w:val="clear" w:fill="FFFF00"/>
                <w14:textFill>
                  <w14:solidFill>
                    <w14:schemeClr w14:val="tx1"/>
                  </w14:solidFill>
                </w14:textFill>
              </w:rPr>
              <w:t>000元。</w:t>
            </w:r>
          </w:p>
        </w:tc>
      </w:tr>
      <w:tr w14:paraId="0FC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96" w:type="dxa"/>
            <w:vAlign w:val="center"/>
          </w:tcPr>
          <w:p w14:paraId="3697656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10.1.2</w:t>
            </w:r>
          </w:p>
        </w:tc>
        <w:tc>
          <w:tcPr>
            <w:tcW w:w="1926" w:type="dxa"/>
            <w:vAlign w:val="center"/>
          </w:tcPr>
          <w:p w14:paraId="6EC6918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w:t>
            </w:r>
          </w:p>
        </w:tc>
        <w:tc>
          <w:tcPr>
            <w:tcW w:w="6737" w:type="dxa"/>
            <w:vAlign w:val="center"/>
          </w:tcPr>
          <w:p w14:paraId="7E74E19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供应商的报价应当包含为完成本项目全部工作所需的一切费用，包括成本、利润、税金等。投标报价不得超过预算金额（最高限价），否则将否决其投标。</w:t>
            </w:r>
          </w:p>
        </w:tc>
      </w:tr>
      <w:tr w14:paraId="6FF3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vAlign w:val="center"/>
          </w:tcPr>
          <w:p w14:paraId="1AB39E1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10.1.3 </w:t>
            </w:r>
          </w:p>
        </w:tc>
        <w:tc>
          <w:tcPr>
            <w:tcW w:w="1926" w:type="dxa"/>
            <w:vAlign w:val="center"/>
          </w:tcPr>
          <w:p w14:paraId="24C239DB">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付款方式</w:t>
            </w:r>
          </w:p>
        </w:tc>
        <w:tc>
          <w:tcPr>
            <w:tcW w:w="6737" w:type="dxa"/>
            <w:vAlign w:val="center"/>
          </w:tcPr>
          <w:p w14:paraId="298FC673">
            <w:pPr>
              <w:rPr>
                <w:rFonts w:asci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中小企业（需执行《保障中小企业款项支付条例》【国务院第728令】的相关规定）：</w:t>
            </w:r>
            <w:r>
              <w:rPr>
                <w:rFonts w:hint="eastAsia" w:ascii="宋体" w:hAnsi="宋体" w:cs="宋体"/>
                <w:bCs/>
                <w:color w:val="000000" w:themeColor="text1"/>
                <w:sz w:val="24"/>
                <w:highlight w:val="none"/>
                <w:lang w:val="en-US" w:eastAsia="zh-CN"/>
                <w14:textFill>
                  <w14:solidFill>
                    <w14:schemeClr w14:val="tx1"/>
                  </w14:solidFill>
                </w14:textFill>
              </w:rPr>
              <w:t>货物</w:t>
            </w:r>
            <w:r>
              <w:rPr>
                <w:rFonts w:hint="eastAsia" w:ascii="宋体" w:hAnsi="宋体"/>
                <w:color w:val="000000" w:themeColor="text1"/>
                <w:sz w:val="24"/>
                <w:highlight w:val="none"/>
                <w:lang w:val="en-US" w:eastAsia="zh-CN"/>
                <w14:textFill>
                  <w14:solidFill>
                    <w14:schemeClr w14:val="tx1"/>
                  </w14:solidFill>
                </w14:textFill>
              </w:rPr>
              <w:t>全部到货且验收合格后支付全部合同金额</w:t>
            </w:r>
            <w:r>
              <w:rPr>
                <w:rFonts w:hint="eastAsia" w:ascii="宋体" w:hAnsi="宋体" w:cs="宋体"/>
                <w:bCs/>
                <w:color w:val="000000" w:themeColor="text1"/>
                <w:sz w:val="24"/>
                <w:highlight w:val="none"/>
                <w14:textFill>
                  <w14:solidFill>
                    <w14:schemeClr w14:val="tx1"/>
                  </w14:solidFill>
                </w14:textFill>
              </w:rPr>
              <w:t>。</w:t>
            </w:r>
          </w:p>
        </w:tc>
      </w:tr>
      <w:tr w14:paraId="1EF9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vAlign w:val="center"/>
          </w:tcPr>
          <w:p w14:paraId="55EA0E8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10.1.4</w:t>
            </w:r>
          </w:p>
        </w:tc>
        <w:tc>
          <w:tcPr>
            <w:tcW w:w="1926" w:type="dxa"/>
            <w:vAlign w:val="center"/>
          </w:tcPr>
          <w:p w14:paraId="15DE6841">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包装和运输要求</w:t>
            </w:r>
          </w:p>
        </w:tc>
        <w:tc>
          <w:tcPr>
            <w:tcW w:w="6737" w:type="dxa"/>
            <w:vAlign w:val="center"/>
          </w:tcPr>
          <w:p w14:paraId="57E676A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符合《商品包装政府采购需求标准（试行）》和《快递包装政府采购需求标准（试行）》</w:t>
            </w:r>
          </w:p>
        </w:tc>
      </w:tr>
      <w:tr w14:paraId="49A9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vAlign w:val="center"/>
          </w:tcPr>
          <w:p w14:paraId="03EC87A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10.1.5</w:t>
            </w:r>
          </w:p>
        </w:tc>
        <w:tc>
          <w:tcPr>
            <w:tcW w:w="1926" w:type="dxa"/>
            <w:vAlign w:val="center"/>
          </w:tcPr>
          <w:p w14:paraId="44DAA251">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保险要求</w:t>
            </w:r>
          </w:p>
        </w:tc>
        <w:tc>
          <w:tcPr>
            <w:tcW w:w="6737" w:type="dxa"/>
            <w:vAlign w:val="center"/>
          </w:tcPr>
          <w:p w14:paraId="5BA5F91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供应商承担</w:t>
            </w:r>
          </w:p>
        </w:tc>
      </w:tr>
      <w:tr w14:paraId="251E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vAlign w:val="center"/>
          </w:tcPr>
          <w:p w14:paraId="76A5E69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10.1.6</w:t>
            </w:r>
          </w:p>
        </w:tc>
        <w:tc>
          <w:tcPr>
            <w:tcW w:w="1926" w:type="dxa"/>
            <w:vAlign w:val="center"/>
          </w:tcPr>
          <w:p w14:paraId="26466DC2">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售后服务</w:t>
            </w:r>
          </w:p>
        </w:tc>
        <w:tc>
          <w:tcPr>
            <w:tcW w:w="6737" w:type="dxa"/>
            <w:vAlign w:val="center"/>
          </w:tcPr>
          <w:p w14:paraId="5C3FE3CC">
            <w:pPr>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提供的商品必须是全新的，完全符合国家有关技术标准，物资系列产品到达用户所在地后30日内，如发现成品或原材料质量不合格等情况，乙方负责包修、包换并承担由此产生的所有费用及相应责任等。供方的质量保证及售后服务承诺如下：1、质保期限：</w:t>
            </w:r>
            <w:r>
              <w:rPr>
                <w:rFonts w:hint="eastAsia" w:ascii="宋体" w:hAnsi="宋体" w:cs="宋体"/>
                <w:bCs/>
                <w:color w:val="000000" w:themeColor="text1"/>
                <w:sz w:val="24"/>
                <w:highlight w:val="none"/>
                <w:lang w:val="en-US" w:eastAsia="zh-CN"/>
                <w14:textFill>
                  <w14:solidFill>
                    <w14:schemeClr w14:val="tx1"/>
                  </w14:solidFill>
                </w14:textFill>
              </w:rPr>
              <w:t>二</w:t>
            </w:r>
            <w:r>
              <w:rPr>
                <w:rFonts w:hint="eastAsia" w:ascii="宋体" w:hAnsi="宋体" w:cs="宋体"/>
                <w:bCs/>
                <w:color w:val="000000" w:themeColor="text1"/>
                <w:sz w:val="24"/>
                <w:highlight w:val="none"/>
                <w14:textFill>
                  <w14:solidFill>
                    <w14:schemeClr w14:val="tx1"/>
                  </w14:solidFill>
                </w14:textFill>
              </w:rPr>
              <w:t>年免费质保2、保修范围：到达用户所在地后30日内，如发现不合体的，制造厂商应负责包修、包换。到达用户所在地后30日内，如发现材料及加工质量问题，制造厂商应负责包换。3、服务措施：必须建立完整的售后服务体系。（包括质量保修范围和保修期等）</w:t>
            </w:r>
          </w:p>
        </w:tc>
      </w:tr>
      <w:tr w14:paraId="1BD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vAlign w:val="center"/>
          </w:tcPr>
          <w:p w14:paraId="3FC5F76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10.1.7</w:t>
            </w:r>
          </w:p>
        </w:tc>
        <w:tc>
          <w:tcPr>
            <w:tcW w:w="1926" w:type="dxa"/>
            <w:vAlign w:val="center"/>
          </w:tcPr>
          <w:p w14:paraId="78F73B8E">
            <w:pPr>
              <w:pStyle w:val="15"/>
              <w:widowControl/>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知识产权的归属和处理方式</w:t>
            </w:r>
          </w:p>
        </w:tc>
        <w:tc>
          <w:tcPr>
            <w:tcW w:w="6737" w:type="dxa"/>
            <w:vAlign w:val="center"/>
          </w:tcPr>
          <w:p w14:paraId="7282BD17">
            <w:pPr>
              <w:pStyle w:val="15"/>
              <w:widowControl/>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供方应保证需方在使用本合同项下的货物或其任何一部分时免受第三方提出侵犯其知识产权、商标权或工业设计权的起诉。如果发生此类问题，供方应负责交涉并承担一切费用和责任。</w:t>
            </w:r>
          </w:p>
        </w:tc>
      </w:tr>
      <w:tr w14:paraId="276E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vAlign w:val="center"/>
          </w:tcPr>
          <w:p w14:paraId="0D11811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10.1.8</w:t>
            </w:r>
          </w:p>
        </w:tc>
        <w:tc>
          <w:tcPr>
            <w:tcW w:w="1926" w:type="dxa"/>
            <w:vAlign w:val="center"/>
          </w:tcPr>
          <w:p w14:paraId="18121A39">
            <w:pPr>
              <w:pStyle w:val="15"/>
              <w:widowControl/>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履约验收要求</w:t>
            </w:r>
          </w:p>
        </w:tc>
        <w:tc>
          <w:tcPr>
            <w:tcW w:w="6737" w:type="dxa"/>
            <w:vAlign w:val="center"/>
          </w:tcPr>
          <w:p w14:paraId="3B1CDD3F">
            <w:pPr>
              <w:pStyle w:val="15"/>
              <w:widowControl/>
              <w:spacing w:line="360" w:lineRule="exact"/>
              <w:rPr>
                <w:color w:val="000000" w:themeColor="text1"/>
                <w:sz w:val="24"/>
                <w:highlight w:val="none"/>
                <w14:textFill>
                  <w14:solidFill>
                    <w14:schemeClr w14:val="tx1"/>
                  </w14:solidFill>
                </w14:textFill>
              </w:rPr>
            </w:pPr>
            <w:r>
              <w:rPr>
                <w:rFonts w:hint="eastAsia" w:ascii="宋体" w:hAnsi="宋体" w:cs="等线"/>
                <w:color w:val="000000" w:themeColor="text1"/>
                <w:sz w:val="24"/>
                <w:szCs w:val="24"/>
                <w:highlight w:val="none"/>
                <w:lang w:val="en-US" w:eastAsia="zh-CN"/>
                <w14:textFill>
                  <w14:solidFill>
                    <w14:schemeClr w14:val="tx1"/>
                  </w14:solidFill>
                </w14:textFill>
              </w:rPr>
              <w:t>以实际合同为准</w:t>
            </w:r>
          </w:p>
        </w:tc>
      </w:tr>
      <w:tr w14:paraId="6848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Align w:val="center"/>
          </w:tcPr>
          <w:p w14:paraId="191EFAE3">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10.1.9</w:t>
            </w:r>
          </w:p>
        </w:tc>
        <w:tc>
          <w:tcPr>
            <w:tcW w:w="1926" w:type="dxa"/>
            <w:vAlign w:val="center"/>
          </w:tcPr>
          <w:p w14:paraId="7F95FF11">
            <w:pPr>
              <w:pStyle w:val="15"/>
              <w:widowControl/>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违约责任与解决争议的方法</w:t>
            </w:r>
          </w:p>
        </w:tc>
        <w:tc>
          <w:tcPr>
            <w:tcW w:w="6737" w:type="dxa"/>
            <w:vAlign w:val="center"/>
          </w:tcPr>
          <w:p w14:paraId="6894754C">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1、发生以下情况的：</w:t>
            </w:r>
          </w:p>
          <w:p w14:paraId="103929D4">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（1）乙方转包生产的；</w:t>
            </w:r>
          </w:p>
          <w:p w14:paraId="74F19AE0">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（2）乙方交货后，同一批次品种经两次抽检不合格的；</w:t>
            </w:r>
          </w:p>
          <w:p w14:paraId="238F4C2A">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（3）因乙方原因，迟交货物达到十日（含十日）以上的；</w:t>
            </w:r>
          </w:p>
          <w:p w14:paraId="55F32C97">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（4）乙方在中标及交货后，以任何形式用于非警用物资保障对外进行商业宣传的。</w:t>
            </w:r>
          </w:p>
          <w:p w14:paraId="2AC891F6">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甲方有权终止合同并没收合同总金额10%的履约保证金。乙方须无条件退还已收到甲方的货款，并向甲方支付全部货款20%的违约金，作为违约赔偿。同时，甲方将按照《人民警察服装目录生产企业管理规格》中的有关条款，向公安部主管部门提出申请取消该企业99式警用物资生产目录企业的资格。由此造成的后果和法律责任等将由乙方自行承担。</w:t>
            </w:r>
          </w:p>
          <w:p w14:paraId="7B3CA52A">
            <w:pPr>
              <w:pStyle w:val="15"/>
              <w:widowControl/>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2、因乙方原因，迟交货物在十日以内的，乙方将向甲方支付违约金，违约金从合同货款总额中扣除。违约金计算方法：合同货款总额×0.5%/天。超出5天以上的，甲方将视情况按合同货款总额×1%/天计算。</w:t>
            </w:r>
          </w:p>
          <w:p w14:paraId="036A1199">
            <w:pPr>
              <w:pStyle w:val="15"/>
              <w:widowControl/>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3、因乙方货物包装不符合合同规定，而造成货物的损坏、灭失的，乙方应与3-5日内无条件更换、补齐。</w:t>
            </w:r>
          </w:p>
          <w:p w14:paraId="5091CD12">
            <w:pPr>
              <w:pStyle w:val="15"/>
              <w:widowControl/>
              <w:rPr>
                <w:rFonts w:asci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4、乙方提前交货的，须与甲方商定交货计划，甲方仍按合同约定时间支付货款。</w:t>
            </w:r>
          </w:p>
        </w:tc>
      </w:tr>
      <w:tr w14:paraId="6D9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noWrap/>
            <w:vAlign w:val="center"/>
          </w:tcPr>
          <w:p w14:paraId="64F5117D">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10.1.10</w:t>
            </w:r>
          </w:p>
        </w:tc>
        <w:tc>
          <w:tcPr>
            <w:tcW w:w="1926" w:type="dxa"/>
            <w:noWrap/>
            <w:vAlign w:val="center"/>
          </w:tcPr>
          <w:p w14:paraId="4B3D73CE">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低于成本价不正当竞争预防措施</w:t>
            </w:r>
          </w:p>
          <w:p w14:paraId="7D4ADB12">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（实质性要求）</w:t>
            </w:r>
          </w:p>
        </w:tc>
        <w:tc>
          <w:tcPr>
            <w:tcW w:w="6737" w:type="dxa"/>
            <w:noWrap/>
          </w:tcPr>
          <w:p w14:paraId="5439C0A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5F73251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6B54629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2、供应商书面说明应当签字确认或者加盖公章，否则无效。 </w:t>
            </w:r>
          </w:p>
          <w:p w14:paraId="12C7409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书面说明的签字确认，由其法定代表人/主要负责人/本人或者其授权代表签字确认。 </w:t>
            </w:r>
          </w:p>
          <w:p w14:paraId="15E65A6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4668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Merge w:val="restart"/>
            <w:noWrap/>
            <w:vAlign w:val="center"/>
          </w:tcPr>
          <w:p w14:paraId="1F3DF7D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10.1.11</w:t>
            </w:r>
          </w:p>
        </w:tc>
        <w:tc>
          <w:tcPr>
            <w:tcW w:w="1926" w:type="dxa"/>
            <w:vMerge w:val="restart"/>
            <w:noWrap/>
            <w:vAlign w:val="center"/>
          </w:tcPr>
          <w:p w14:paraId="484DA80F">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需要落实的政府采购政策</w:t>
            </w:r>
          </w:p>
        </w:tc>
        <w:tc>
          <w:tcPr>
            <w:tcW w:w="6737" w:type="dxa"/>
            <w:noWrap/>
            <w:vAlign w:val="center"/>
          </w:tcPr>
          <w:p w14:paraId="1E5E48B3">
            <w:pPr>
              <w:tabs>
                <w:tab w:val="left" w:pos="3675"/>
              </w:tabs>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政府采购进口产品的规定：</w:t>
            </w:r>
          </w:p>
          <w:p w14:paraId="1AD2D617">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按照财政部《政府采购进口产品管理办法》第一章第四条关于“政府采购应当采购本国产品，确需采购进口产品（指通过中国海关报关验放进入中国境内且产自关境外的产品）的，实行审核管理”的规定，竞争性磋商文件中凡未明确标明采购进口产品的，均为采购本国产品，投标供应商必须投标本国产品，投标进口产品的为无效投标。</w:t>
            </w:r>
          </w:p>
          <w:p w14:paraId="136A6C92">
            <w:pPr>
              <w:adjustRightInd w:val="0"/>
              <w:snapToGrid w:val="0"/>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在中国境内生产或组装的外国品牌产品须标明该产品在中国国内制造厂商名称。</w:t>
            </w:r>
          </w:p>
          <w:p w14:paraId="3393C0A6">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sym w:font="Wingdings" w:char="F0FE"/>
            </w:r>
            <w:r>
              <w:rPr>
                <w:rFonts w:hint="eastAsia" w:ascii="宋体" w:cs="宋体"/>
                <w:color w:val="000000" w:themeColor="text1"/>
                <w:sz w:val="24"/>
                <w:highlight w:val="none"/>
                <w14:textFill>
                  <w14:solidFill>
                    <w14:schemeClr w14:val="tx1"/>
                  </w14:solidFill>
                </w14:textFill>
              </w:rPr>
              <w:t xml:space="preserve"> 本项目拒绝进口产品</w:t>
            </w:r>
          </w:p>
          <w:p w14:paraId="5AA6EE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□本项目已经财政部门审核同意购买进口产品</w:t>
            </w:r>
          </w:p>
        </w:tc>
      </w:tr>
      <w:tr w14:paraId="5738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96" w:type="dxa"/>
            <w:vMerge w:val="continue"/>
            <w:noWrap/>
            <w:vAlign w:val="center"/>
          </w:tcPr>
          <w:p w14:paraId="3AB5098E">
            <w:pPr>
              <w:rPr>
                <w:color w:val="000000" w:themeColor="text1"/>
                <w:highlight w:val="none"/>
                <w14:textFill>
                  <w14:solidFill>
                    <w14:schemeClr w14:val="tx1"/>
                  </w14:solidFill>
                </w14:textFill>
              </w:rPr>
            </w:pPr>
          </w:p>
        </w:tc>
        <w:tc>
          <w:tcPr>
            <w:tcW w:w="1926" w:type="dxa"/>
            <w:vMerge w:val="continue"/>
            <w:noWrap/>
            <w:vAlign w:val="center"/>
          </w:tcPr>
          <w:p w14:paraId="2488FFEE">
            <w:pPr>
              <w:rPr>
                <w:color w:val="000000" w:themeColor="text1"/>
                <w:highlight w:val="none"/>
                <w14:textFill>
                  <w14:solidFill>
                    <w14:schemeClr w14:val="tx1"/>
                  </w14:solidFill>
                </w14:textFill>
              </w:rPr>
            </w:pPr>
          </w:p>
        </w:tc>
        <w:tc>
          <w:tcPr>
            <w:tcW w:w="6737" w:type="dxa"/>
            <w:noWrap/>
            <w:vAlign w:val="center"/>
          </w:tcPr>
          <w:p w14:paraId="0155D58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强制、优先采购节能产品、环境标志产品政策 </w:t>
            </w:r>
          </w:p>
          <w:p w14:paraId="65E9A47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（一）政策依据 </w:t>
            </w:r>
          </w:p>
          <w:p w14:paraId="0C799B0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1、财政部 发展改革委 生态环境部 市场监管总局《关于调整优化节能产品、环境标志产品政府采购执行机制的通知》（财库〔2019〕9 号）。</w:t>
            </w:r>
          </w:p>
          <w:p w14:paraId="30539EC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2、财政部 生态环境部《关于印发环境标志产品政府采购品目清单的通知》（财库〔2019〕18 号）。</w:t>
            </w:r>
          </w:p>
          <w:p w14:paraId="3E789B3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3、财政部 发展改革委《关于印发节能产品政府采购品目清单的通知》（财库〔2019〕19 号）。</w:t>
            </w:r>
          </w:p>
          <w:p w14:paraId="1B6C96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（二）节能产品、环境标志产品的品目政府采购节能产品、环境标志产品实施品目清单管理，详见《节能产品政府采购品目清单》、《环境标志产品政府采购品目清单》。</w:t>
            </w:r>
          </w:p>
          <w:p w14:paraId="3B1A78C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（三）节能产品、环境标志产品需提供的证明材料 </w:t>
            </w:r>
          </w:p>
          <w:p w14:paraId="1F216C3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采购人拟采购的产品属于品目清单范围的，供应商应当提供本采购文件规定的</w:t>
            </w:r>
          </w:p>
          <w:p w14:paraId="1B2C2C0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节能产品、环境标志产品强制采购认证证书一览表》和《节能产品、环境标志产品优先采购认证证书一览表》，填写获得国家确定的认证机构出具的、处于有效期之内的节能产品、环境标志产品认证证书相关信息。</w:t>
            </w:r>
          </w:p>
          <w:p w14:paraId="02D13D3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（四）节能产品、环境标志产品采购政策 </w:t>
            </w:r>
          </w:p>
          <w:p w14:paraId="59527A6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采购人拟采购的产品属于品目清单范围，且属于强制采购品目的，实行强制采购。</w:t>
            </w:r>
          </w:p>
          <w:p w14:paraId="7C5CA01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采购文件第五章要求具有强制采购认证证书的产品，供应商必须在《节能产品、环境标志产品强制采购认证证书一览表》中，填写所投产品获得的、有效的认证证书相关信息并在相应表格后提供对应的认证证书扫描件，否则投标、响应无效。</w:t>
            </w:r>
          </w:p>
          <w:p w14:paraId="2CFBBE0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拟采购的产品属于品目清单范围，但不属于强制采购品目的，实行优先采购。供应商应当在《节能产品、环境标志产品优先采购认证证书一览表》中，填写所投产品获得的、有效的认证证书相关信息并在相应表格后提供对应的认证证书扫描</w:t>
            </w:r>
          </w:p>
          <w:p w14:paraId="64982AD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件，优先采购的具体办法详见本采购文件第三章。</w:t>
            </w:r>
          </w:p>
        </w:tc>
      </w:tr>
      <w:tr w14:paraId="1802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96" w:type="dxa"/>
            <w:vMerge w:val="continue"/>
            <w:noWrap/>
            <w:vAlign w:val="center"/>
          </w:tcPr>
          <w:p w14:paraId="71380DC5">
            <w:pPr>
              <w:rPr>
                <w:color w:val="000000" w:themeColor="text1"/>
                <w:highlight w:val="none"/>
                <w14:textFill>
                  <w14:solidFill>
                    <w14:schemeClr w14:val="tx1"/>
                  </w14:solidFill>
                </w14:textFill>
              </w:rPr>
            </w:pPr>
          </w:p>
        </w:tc>
        <w:tc>
          <w:tcPr>
            <w:tcW w:w="1926" w:type="dxa"/>
            <w:vMerge w:val="continue"/>
            <w:noWrap/>
            <w:vAlign w:val="center"/>
          </w:tcPr>
          <w:p w14:paraId="2D7166D3">
            <w:pPr>
              <w:rPr>
                <w:color w:val="000000" w:themeColor="text1"/>
                <w:highlight w:val="none"/>
                <w14:textFill>
                  <w14:solidFill>
                    <w14:schemeClr w14:val="tx1"/>
                  </w14:solidFill>
                </w14:textFill>
              </w:rPr>
            </w:pPr>
          </w:p>
        </w:tc>
        <w:tc>
          <w:tcPr>
            <w:tcW w:w="6737" w:type="dxa"/>
            <w:noWrap/>
            <w:vAlign w:val="center"/>
          </w:tcPr>
          <w:p w14:paraId="2B19D2B6">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政府采购支持中小企业（含监狱企业）发展：</w:t>
            </w:r>
          </w:p>
          <w:p w14:paraId="0AE75437">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☑专门面向中小企业采购（应同时在竞争性磋商公告中注明）。</w:t>
            </w:r>
          </w:p>
          <w:p w14:paraId="337DD00A">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sym w:font="Wingdings" w:char="00A8"/>
            </w:r>
            <w:r>
              <w:rPr>
                <w:rFonts w:hint="eastAsia" w:ascii="宋体" w:cs="宋体"/>
                <w:color w:val="000000" w:themeColor="text1"/>
                <w:sz w:val="24"/>
                <w:highlight w:val="none"/>
                <w14:textFill>
                  <w14:solidFill>
                    <w14:schemeClr w14:val="tx1"/>
                  </w14:solidFill>
                </w14:textFill>
              </w:rPr>
              <w:t xml:space="preserve"> 非专门面向中小企业采购：</w:t>
            </w:r>
          </w:p>
          <w:p w14:paraId="019E67C4">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对于小型或微型企业（含监狱企业）参与本项目投标的，给予10%的价格扣除。</w:t>
            </w:r>
          </w:p>
          <w:p w14:paraId="7590B4AA">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5E4415C5">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1）提供《中小企业声明函》；</w:t>
            </w:r>
          </w:p>
          <w:p w14:paraId="6AA3393E">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2）监狱企业参加政府采购活动时，应当提供由省级以上监狱管理局、戒毒管理局（含新疆生产建设兵团）出具的属于监狱企业的证明文件。</w:t>
            </w:r>
          </w:p>
          <w:p w14:paraId="1AC11315">
            <w:pPr>
              <w:pStyle w:val="25"/>
              <w:ind w:firstLine="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3）供应商为残疾人福利性单位的视同小型和微型企业，应当提供《残疾人福利性单位声明函》</w:t>
            </w:r>
          </w:p>
          <w:p w14:paraId="444A641E">
            <w:pPr>
              <w:adjustRightInd w:val="0"/>
              <w:snapToGrid w:val="0"/>
              <w:rPr>
                <w:rFonts w:ascii="宋体" w:cs="宋体"/>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4）根据工信部等部位发布的《关于印发中小企业划型标准规定的通知》（工信部联企业【2011】300号），符合相关条件的为中小微型企业。本项目所属行业为：</w:t>
            </w:r>
            <w:r>
              <w:rPr>
                <w:rFonts w:hint="eastAsia" w:ascii="宋体" w:cs="宋体"/>
                <w:color w:val="000000" w:themeColor="text1"/>
                <w:spacing w:val="-12"/>
                <w:sz w:val="24"/>
                <w:highlight w:val="none"/>
                <w14:textFill>
                  <w14:solidFill>
                    <w14:schemeClr w14:val="tx1"/>
                  </w14:solidFill>
                </w14:textFill>
              </w:rPr>
              <w:t>工业</w:t>
            </w:r>
            <w:r>
              <w:rPr>
                <w:rFonts w:hint="eastAsia" w:ascii="宋体" w:cs="宋体"/>
                <w:color w:val="000000" w:themeColor="text1"/>
                <w:sz w:val="24"/>
                <w:highlight w:val="none"/>
                <w14:textFill>
                  <w14:solidFill>
                    <w14:schemeClr w14:val="tx1"/>
                  </w14:solidFill>
                </w14:textFill>
              </w:rPr>
              <w:t>。</w:t>
            </w:r>
          </w:p>
        </w:tc>
      </w:tr>
      <w:tr w14:paraId="4294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96" w:type="dxa"/>
            <w:noWrap/>
            <w:vAlign w:val="center"/>
          </w:tcPr>
          <w:p w14:paraId="73D60456">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10.1.12</w:t>
            </w:r>
          </w:p>
        </w:tc>
        <w:tc>
          <w:tcPr>
            <w:tcW w:w="1926" w:type="dxa"/>
            <w:noWrap/>
            <w:vAlign w:val="center"/>
          </w:tcPr>
          <w:p w14:paraId="19B6B4DF">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信用信息查询</w:t>
            </w:r>
          </w:p>
        </w:tc>
        <w:tc>
          <w:tcPr>
            <w:tcW w:w="6737" w:type="dxa"/>
            <w:noWrap/>
            <w:vAlign w:val="center"/>
          </w:tcPr>
          <w:p w14:paraId="60627588">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对供应商信用信息的查询：</w:t>
            </w:r>
          </w:p>
          <w:p w14:paraId="5F641809">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查询渠道：①“信用中国”网站（www.creditchina.gov.cn）：失信被执行人、企业经营异常名录、重大税收违法案件当事人名单、政府采购严重违法失信名单。</w:t>
            </w:r>
          </w:p>
          <w:p w14:paraId="30F9AE7C">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②中国政府采购网(www.ccgp.gov.cn)：政府采购严重违法失信行为信息记录。</w:t>
            </w:r>
          </w:p>
          <w:p w14:paraId="255AD3A4">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查询截止时点：投标截止时间。</w:t>
            </w:r>
          </w:p>
          <w:p w14:paraId="2E8B8BDA">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信用信息查询记录和证据留存的具体方式：</w:t>
            </w:r>
          </w:p>
          <w:p w14:paraId="7B85F986">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采购人或采购代理机构将按查询截止时点对所有供应商的信用信息进行查询，网站查询记录作为采购活动存档备案材料的组成部分进行留存。</w:t>
            </w:r>
          </w:p>
          <w:p w14:paraId="4630960D">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信用信息的使用规则：</w:t>
            </w:r>
          </w:p>
          <w:p w14:paraId="7A0CACDB">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或采购代理机构将按查询截止时点对所有供应商的信用信息进行查询，查询结果作为是否接受投标报名的依据之一，被列入失信被执行人、重大税收违法案件当事人名单、政府采购严重违法失信行为记录名单的供应商将不接受其参加政府采购活动。</w:t>
            </w:r>
          </w:p>
        </w:tc>
      </w:tr>
      <w:tr w14:paraId="6B6A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96" w:type="dxa"/>
            <w:noWrap/>
            <w:vAlign w:val="center"/>
          </w:tcPr>
          <w:p w14:paraId="7CCCC92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10.1.13</w:t>
            </w:r>
          </w:p>
        </w:tc>
        <w:tc>
          <w:tcPr>
            <w:tcW w:w="1926" w:type="dxa"/>
            <w:noWrap/>
            <w:vAlign w:val="center"/>
          </w:tcPr>
          <w:p w14:paraId="7D0CF8A7">
            <w:pPr>
              <w:adjustRightInd w:val="0"/>
              <w:snapToGrid w:val="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电子响应文件编制及报送要求</w:t>
            </w:r>
          </w:p>
        </w:tc>
        <w:tc>
          <w:tcPr>
            <w:tcW w:w="6737" w:type="dxa"/>
            <w:noWrap/>
            <w:vAlign w:val="center"/>
          </w:tcPr>
          <w:p w14:paraId="6E227840">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一、供应商应按磋商文件要求编制响应文件，将所有响应文件内容上传至“政采云”平台，并在规定时间持制作响应文件时用来加密的有效数字证书（CA认证）</w:t>
            </w:r>
            <w:r>
              <w:rPr>
                <w:rFonts w:hint="eastAsia" w:ascii="宋体" w:cs="宋体"/>
                <w:color w:val="000000" w:themeColor="text1"/>
                <w:sz w:val="24"/>
                <w:highlight w:val="none"/>
                <w:lang w:val="zh-CN"/>
                <w14:textFill>
                  <w14:solidFill>
                    <w14:schemeClr w14:val="tx1"/>
                  </w14:solidFill>
                </w14:textFill>
              </w:rPr>
              <w:t>对</w:t>
            </w:r>
            <w:r>
              <w:rPr>
                <w:rFonts w:hint="eastAsia" w:ascii="宋体" w:cs="宋体"/>
                <w:color w:val="000000" w:themeColor="text1"/>
                <w:sz w:val="24"/>
                <w:highlight w:val="none"/>
                <w14:textFill>
                  <w14:solidFill>
                    <w14:schemeClr w14:val="tx1"/>
                  </w14:solidFill>
                </w14:textFill>
              </w:rPr>
              <w:t>响应文件进行解密。</w:t>
            </w:r>
          </w:p>
          <w:p w14:paraId="2DE2FED9">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二、电子响应文件中反映供应商资格审查的图片、扫描件、文字描述等，必须清晰可见。其中所有证书和执照必须为原件扫描。</w:t>
            </w:r>
          </w:p>
          <w:p w14:paraId="55D3AD60">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三、若供应商上传的电子响应文件因无法解密而对响应文件无法进行评价的，采购人可以拒绝该供应商投标。</w:t>
            </w:r>
          </w:p>
        </w:tc>
      </w:tr>
      <w:tr w14:paraId="37D7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59" w:type="dxa"/>
            <w:gridSpan w:val="3"/>
            <w:noWrap/>
            <w:vAlign w:val="center"/>
          </w:tcPr>
          <w:p w14:paraId="301493CE">
            <w:pPr>
              <w:widowControl/>
              <w:jc w:val="left"/>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本项目</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bCs/>
                <w:color w:val="000000" w:themeColor="text1"/>
                <w:sz w:val="24"/>
                <w:highlight w:val="none"/>
                <w:lang w:val="zh-CN"/>
                <w14:textFill>
                  <w14:solidFill>
                    <w14:schemeClr w14:val="tx1"/>
                  </w14:solidFill>
                </w14:textFill>
              </w:rPr>
              <w:t>公告与</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bCs/>
                <w:color w:val="000000" w:themeColor="text1"/>
                <w:sz w:val="24"/>
                <w:highlight w:val="none"/>
                <w:lang w:val="zh-CN"/>
                <w14:textFill>
                  <w14:solidFill>
                    <w14:schemeClr w14:val="tx1"/>
                  </w14:solidFill>
                </w14:textFill>
              </w:rPr>
              <w:t>文件供应商须知内容有不一致之处，以</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bCs/>
                <w:color w:val="000000" w:themeColor="text1"/>
                <w:sz w:val="24"/>
                <w:highlight w:val="none"/>
                <w:lang w:val="zh-CN"/>
                <w14:textFill>
                  <w14:solidFill>
                    <w14:schemeClr w14:val="tx1"/>
                  </w14:solidFill>
                </w14:textFill>
              </w:rPr>
              <w:t>文件供应商须知内容为准。</w:t>
            </w:r>
          </w:p>
        </w:tc>
      </w:tr>
    </w:tbl>
    <w:p w14:paraId="76419BCD">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sectPr>
          <w:footerReference r:id="rId5" w:type="default"/>
          <w:pgSz w:w="11910" w:h="16840"/>
          <w:pgMar w:top="1020" w:right="1134" w:bottom="1020" w:left="1134" w:header="0" w:footer="663" w:gutter="0"/>
          <w:pgNumType w:start="1"/>
          <w:cols w:space="720" w:num="1"/>
          <w:docGrid w:linePitch="312" w:charSpace="0"/>
        </w:sectPr>
      </w:pPr>
    </w:p>
    <w:p w14:paraId="2C98917E">
      <w:pPr>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（二）供应商须知</w:t>
      </w:r>
    </w:p>
    <w:p w14:paraId="2373C31E">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 总则</w:t>
      </w:r>
    </w:p>
    <w:p w14:paraId="1B279A7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 项目概况</w:t>
      </w:r>
    </w:p>
    <w:p w14:paraId="36EE383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1.1.1根据《中华人民共和国政府采购法》、《政府采购竞争性磋商采购方式管理暂行办法》等有关法律、法规和规章的规定，本采购项目已具备采购条件，现对本项目进行采购。</w:t>
      </w:r>
    </w:p>
    <w:p w14:paraId="218D97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1.1.2 本采购项目采购人：见供应商须知前附表。</w:t>
      </w:r>
    </w:p>
    <w:p w14:paraId="7B404EE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1.1.3 本项目采购代理机构：见供应商须知前附表。</w:t>
      </w:r>
    </w:p>
    <w:p w14:paraId="0B8232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1.1.4 本采购项目名称：见供应商须知前附表。</w:t>
      </w:r>
    </w:p>
    <w:p w14:paraId="6188AF3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1.1.5 本项目交货地点：见供应商须知前附表。</w:t>
      </w:r>
    </w:p>
    <w:p w14:paraId="285CA18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 资金来源和落实情况</w:t>
      </w:r>
    </w:p>
    <w:p w14:paraId="5004CB3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1.2.1 本采购项目的资金来源：见供应商须知前附表。</w:t>
      </w:r>
    </w:p>
    <w:p w14:paraId="031A6E1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1.2.2 本采购项目的出资比例：见供应商须知前附表。</w:t>
      </w:r>
    </w:p>
    <w:p w14:paraId="09FAA70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1.2.3 本采购项目的资金落实情况：见供应商须知前附表。</w:t>
      </w:r>
    </w:p>
    <w:p w14:paraId="5444BD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 采购需求、合同履行期限和质量标准</w:t>
      </w:r>
    </w:p>
    <w:p w14:paraId="0F9C289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 采购需求：见供应商须知前附表。</w:t>
      </w:r>
    </w:p>
    <w:p w14:paraId="4C6EDF6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1.3.2 合同履行期限：见供应商须知前附表。</w:t>
      </w:r>
    </w:p>
    <w:p w14:paraId="57117A7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1.3.3 质量标准：见供应商须知前附表。</w:t>
      </w:r>
    </w:p>
    <w:p w14:paraId="3EA9C14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 供应商资格要求</w:t>
      </w:r>
    </w:p>
    <w:p w14:paraId="2B1C6A1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1.4.1 供应商应具备承担本项目的资质条件、能力和信誉。</w:t>
      </w:r>
    </w:p>
    <w:p w14:paraId="7DEDF15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（1）资质条件：见供应商须知前附表；</w:t>
      </w:r>
    </w:p>
    <w:p w14:paraId="7C82F53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（2）财务要求：见供应商须知前附表；</w:t>
      </w:r>
    </w:p>
    <w:p w14:paraId="480D7A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（3）业绩要求：见供应商须知前附表；</w:t>
      </w:r>
    </w:p>
    <w:p w14:paraId="51C1A94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（4）信誉要求：见供应商须知前附表；</w:t>
      </w:r>
    </w:p>
    <w:p w14:paraId="028246C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（5）其他要求：见供应商须知前附表。</w:t>
      </w:r>
    </w:p>
    <w:p w14:paraId="2C90E21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1.4.2 供应商须知前附表规定接受联合体参加的，除应符合本章第1.4.1项和供应商须知前附表的要求外，还应遵守下列规定：</w:t>
      </w:r>
    </w:p>
    <w:p w14:paraId="7AD5BAC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（1）联合体各方应按照竞争性磋商文件提供的格式签订联合体协议书，明确联合体牵头人和各方权利义务；</w:t>
      </w:r>
    </w:p>
    <w:p w14:paraId="5389A41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（2）由同一专业的单位组成的联合体，按照资质等级较低的单位确定资质等级；</w:t>
      </w:r>
    </w:p>
    <w:p w14:paraId="7A012E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（3）联合体各方不得再以自己的名义单独或参加其他联合体在同一标段中参加。</w:t>
      </w:r>
    </w:p>
    <w:p w14:paraId="431059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1.4.3 供应商不得存在下列情形之一：</w:t>
      </w:r>
    </w:p>
    <w:p w14:paraId="256AFA8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（1）为采购人不具有独立法人资格的附属机构（单位）； </w:t>
      </w:r>
    </w:p>
    <w:p w14:paraId="1499BAA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（2）被责令停业的； </w:t>
      </w:r>
    </w:p>
    <w:p w14:paraId="78A4520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（3）被暂停或取消投标资格的； </w:t>
      </w:r>
    </w:p>
    <w:p w14:paraId="132048F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（4）财产被接管或冻结的；</w:t>
      </w:r>
    </w:p>
    <w:p w14:paraId="276EEBD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（5）在最近三年内有骗取中标或严重违约或重大履约质量问题的。</w:t>
      </w:r>
    </w:p>
    <w:p w14:paraId="03CB7B8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 费用承担</w:t>
      </w:r>
    </w:p>
    <w:p w14:paraId="61F14E4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供应商准备和参加磋商活动发生的费用自理。</w:t>
      </w:r>
    </w:p>
    <w:p w14:paraId="439163E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 保密</w:t>
      </w:r>
    </w:p>
    <w:p w14:paraId="1AF201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参与采购投标活动的各方应对竞争性磋商文件和磋商响应文件中的商业和技术等秘密保密，违者应对由此造成的后果承担法律责任。 </w:t>
      </w:r>
    </w:p>
    <w:p w14:paraId="05E1121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1.7 语言文字</w:t>
      </w:r>
    </w:p>
    <w:p w14:paraId="69E74F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除专用术语外，与采购投标有关的语言均使用中文。必要时专用术语应附有中文注释。</w:t>
      </w:r>
    </w:p>
    <w:p w14:paraId="6011F2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1.8 计量单位</w:t>
      </w:r>
    </w:p>
    <w:p w14:paraId="7F78B4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所有计量均采用中华人民共和国法定计量单位。</w:t>
      </w:r>
    </w:p>
    <w:p w14:paraId="7E0D8EF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 踏勘现场</w:t>
      </w:r>
    </w:p>
    <w:p w14:paraId="4E52E1B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1.9.1供应商须知前附表规定组织踏勘现场的，采购人按供应商须知前附表规定的时间、地点组织供应商踏勘项目现场。 </w:t>
      </w:r>
    </w:p>
    <w:p w14:paraId="0FDEBBE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1.9.2 供应商踏勘现场发生的费用自理。</w:t>
      </w:r>
    </w:p>
    <w:p w14:paraId="527B133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1.9.3 除采购人的原因外，供应商自行负责在踏勘现场中所发生的人员伤亡和财产损失。</w:t>
      </w:r>
    </w:p>
    <w:p w14:paraId="6EAF4F1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1.9.4 采购人在踏勘现场中介绍的工程场地和相关的周边环境情况，供应商在编制响应文件时参考，采购人不对供应商据此作出的判断和决策负责。</w:t>
      </w:r>
    </w:p>
    <w:p w14:paraId="37931AA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 答疑会</w:t>
      </w:r>
    </w:p>
    <w:p w14:paraId="28BECF1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1.10.1 供应商须知前附表规定召开磋商预备会的，采购人按供应商须知前附表规定的时间和地点召开磋商。预备会，澄清供应商提出的问题。</w:t>
      </w:r>
    </w:p>
    <w:p w14:paraId="19797DF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1.10.2 供应商应在供应商须知前附表规定的时间前，以书面和电子邮件形式将提出的问题送达采购代理机构，以便采购人和采购代理机构在会议期间澄清。</w:t>
      </w:r>
    </w:p>
    <w:p w14:paraId="204544E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1.10.3 采购人、采购代理机构在供应商须知前附表规定的时间内，将对供应商所提问题的澄清，以书面方式通知所有购买竞争性磋商文件的供应商。该澄清内容为竞争性磋商文件的组成部分。</w:t>
      </w:r>
    </w:p>
    <w:p w14:paraId="56E072F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 分包</w:t>
      </w:r>
    </w:p>
    <w:p w14:paraId="2F797C6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供应商拟在中选后将中选项目的部分非主体、非关键性工作进行分包的，应符合供应商须知前附表规定的分包内容、分包金额和接受分包的第三人资质要求等限制性条件。</w:t>
      </w:r>
    </w:p>
    <w:p w14:paraId="585692B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1.12 偏离</w:t>
      </w:r>
    </w:p>
    <w:p w14:paraId="47A5BEA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供应商须知前附表允许磋商响应文件偏离竞争性磋商文件某些要求的，偏离应当符合竞争性磋商文件规定的偏离范围和幅度。</w:t>
      </w:r>
    </w:p>
    <w:p w14:paraId="690A5081">
      <w:pPr>
        <w:spacing w:line="360" w:lineRule="auto"/>
        <w:ind w:firstLine="482" w:firstLineChars="200"/>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2. 竞争性磋商文件</w:t>
      </w:r>
    </w:p>
    <w:p w14:paraId="093D05B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2.1 竞争性磋商文件的组成</w:t>
      </w:r>
    </w:p>
    <w:p w14:paraId="3BD613D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磋商文件除以下内容外，采购人在采购期间发出的答疑纪要和其他补充修改函件，均是磋商文件的组成部分，对供应商起约束作用。磋商文件包括下列内容：</w:t>
      </w:r>
    </w:p>
    <w:p w14:paraId="69220F9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（1）竞争性磋商公告；</w:t>
      </w:r>
    </w:p>
    <w:p w14:paraId="3AF9E0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（2）供应商须知；</w:t>
      </w:r>
    </w:p>
    <w:p w14:paraId="3AD4C6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（3）评分办法；</w:t>
      </w:r>
    </w:p>
    <w:p w14:paraId="5B6A2D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（4）合同条款（合同参考格式） </w:t>
      </w:r>
    </w:p>
    <w:p w14:paraId="65C4AD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（5）货物需求及技术规格要求； </w:t>
      </w:r>
    </w:p>
    <w:p w14:paraId="6627FB2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（6）磋商响应文件格式；</w:t>
      </w:r>
    </w:p>
    <w:p w14:paraId="2A8F22B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根据本章第1.10款、第2.2款和第2.3款对竞争性磋商文件所作的澄清、修改，构成竞争性磋商文件的组成部分。</w:t>
      </w:r>
    </w:p>
    <w:p w14:paraId="3ABB451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 竞争性磋商文件的澄清</w:t>
      </w:r>
    </w:p>
    <w:p w14:paraId="1E5ACA2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2.2.1供应商在收到磋商文件后，对磋商文件任何部分若有任何疑问，任何要求澄清磋商文件的供应商，均应按照本须知前附表规定的时间及方式以书面形式向采购人或代理公司提交。不论是采购人根据需要主动对磋商文件进行必要的澄清或是根据供应商的要求对磋商文件做出澄清，采购人都将在响应文件截止日期前以书面形式予以答复，同时将书面答复发给所有供应商。投标的澄清作为磋商文件的组成部分，对供应商起约束作用。</w:t>
      </w:r>
    </w:p>
    <w:p w14:paraId="3B70314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 竞争性磋商文件的修改</w:t>
      </w:r>
    </w:p>
    <w:p w14:paraId="6802EFD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磋商文件发出后，在响应文件截止日期前，无论出于何种原因，采购人可主动地或在解答供应商提出的澄清问题时对磋商文件进行修改。</w:t>
      </w:r>
    </w:p>
    <w:p w14:paraId="7150F66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2.3.1磋商文件的修改将以书面形式发给所有供应商，磋商文件的修改作为磋商文件的组成部分，并具有约束力。供应商应尽快以书面形式通知采购人确定已收到修改文件。</w:t>
      </w:r>
    </w:p>
    <w:p w14:paraId="195BA38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2.3.2磋商文件、磋商文件澄清（答疑）纪要、磋商文件修改补充通知内容均以书面明确的内容为准。当磋商文件、修改补充通知、澄清（答疑）纪要内容相互矛盾时，以最后发出的通知（或纪要）或修改文件为准。</w:t>
      </w:r>
    </w:p>
    <w:p w14:paraId="37D7E9A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2.3.3 采购人保证磋商文件澄清（答疑）纪要和磋商文件修改补充通知在响应文件截止时间前以书面形式发给所有供应商。为使供应商在编写响应文件时有充分时间对磋商文件的修改部分进行研究，采购人可以酌情延长递交响应文件的截止日期，具体时间将在修改补充通知中明确。</w:t>
      </w:r>
    </w:p>
    <w:p w14:paraId="1971634E">
      <w:pPr>
        <w:spacing w:line="360" w:lineRule="auto"/>
        <w:ind w:firstLine="480" w:firstLineChars="200"/>
        <w:rPr>
          <w:rFonts w:ascii="宋体" w:cs="宋体"/>
          <w:color w:val="000000" w:themeColor="text1"/>
          <w:sz w:val="24"/>
          <w:highlight w:val="none"/>
          <w14:textFill>
            <w14:solidFill>
              <w14:schemeClr w14:val="tx1"/>
            </w14:solidFill>
          </w14:textFill>
        </w:rPr>
      </w:pPr>
    </w:p>
    <w:p w14:paraId="3772BF40">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3. 磋商响应文件</w:t>
      </w:r>
    </w:p>
    <w:p w14:paraId="5750F6D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3.1 磋商响应文件的组成</w:t>
      </w:r>
    </w:p>
    <w:p w14:paraId="47EF44A2">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1、磋商响应函</w:t>
      </w:r>
    </w:p>
    <w:p w14:paraId="4554B9F6">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2、法定代表人身份证明</w:t>
      </w:r>
    </w:p>
    <w:p w14:paraId="26BD0167">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3、授权委托书</w:t>
      </w:r>
    </w:p>
    <w:p w14:paraId="286819F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4、磋商报价表</w:t>
      </w:r>
    </w:p>
    <w:p w14:paraId="27B21C7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5、磋商报价明细表</w:t>
      </w:r>
    </w:p>
    <w:p w14:paraId="4A487B42">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6、商务条款偏离表</w:t>
      </w:r>
    </w:p>
    <w:p w14:paraId="25BB0A89">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7、投标货物及技术规格偏离表</w:t>
      </w:r>
    </w:p>
    <w:p w14:paraId="1193513C">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8、供应商资格声明</w:t>
      </w:r>
    </w:p>
    <w:p w14:paraId="20CE4AAB">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9、供应商基本情况</w:t>
      </w:r>
    </w:p>
    <w:p w14:paraId="3DCE0E9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10、供应商类似项目业绩一览表</w:t>
      </w:r>
    </w:p>
    <w:p w14:paraId="4B09DAE1">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11、供应商拟派于本项目管理、技术、服务人员情况表</w:t>
      </w:r>
    </w:p>
    <w:p w14:paraId="2693D5C9">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12、信誉承诺书</w:t>
      </w:r>
    </w:p>
    <w:p w14:paraId="15656D2D">
      <w:pPr>
        <w:pStyle w:val="25"/>
        <w:ind w:firstLine="480" w:firstLineChars="20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13、磋商保证金</w:t>
      </w:r>
    </w:p>
    <w:p w14:paraId="281BD9BD">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14、售后服务承诺书</w:t>
      </w:r>
    </w:p>
    <w:p w14:paraId="1F3AAFEE">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15、实施方案</w:t>
      </w:r>
    </w:p>
    <w:p w14:paraId="6496FE34">
      <w:pPr>
        <w:tabs>
          <w:tab w:val="left" w:pos="1365"/>
        </w:tabs>
        <w:spacing w:line="360" w:lineRule="auto"/>
        <w:ind w:firstLine="482" w:firstLineChars="201"/>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16、供应商认为需要提供的其他材料</w:t>
      </w:r>
    </w:p>
    <w:p w14:paraId="5961540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3.2 取费报价</w:t>
      </w:r>
    </w:p>
    <w:p w14:paraId="7D9E1D1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3.2.1 除非竞争性磋商文件中另有规定，服务取费报价应包括完成本项目过程中提供的所有服务，所需采购人支付的全部服务费。</w:t>
      </w:r>
    </w:p>
    <w:p w14:paraId="635F782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3.2.2 设计费用在合同实施期间固定不变。</w:t>
      </w:r>
    </w:p>
    <w:p w14:paraId="4ACA057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3.3 磋商响应有效期</w:t>
      </w:r>
    </w:p>
    <w:p w14:paraId="6E76FE4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3.3.1 在供应商须知前附表规定的磋商响应有效期内，供应商不得要求撤销或修改其磋商响应文件。</w:t>
      </w:r>
    </w:p>
    <w:p w14:paraId="6720CB0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3.3.2出现特殊情况需要延长磋商响应有效期的，采购人以书面形式通知所有供应商延长磋商响应有效期。供应商同意延长的，应相应延长其磋商保证金的有效期，但不得要求或被允许修改或撤销其磋商响应文件；供应商拒绝延长的，其响应失效，但供应商有权收回其磋商保证金。 </w:t>
      </w:r>
    </w:p>
    <w:p w14:paraId="7ADF663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 磋商保证金</w:t>
      </w:r>
    </w:p>
    <w:p w14:paraId="7DE920B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3.4.1 供应商在递交磋商响应文件的同时，应按供应商须知前附表规定的金额、担保形式和第六章“磋商响应文件格式”规定的磋商保证金格式递交磋商保证金，并作为其磋商响应文件的组成部分。联合体参加的，其磋商保证金由牵头人递交，并应符合供应商须知前附表的规定。</w:t>
      </w:r>
    </w:p>
    <w:p w14:paraId="7C7069C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3.4.2 供应商不按本章第3.4.1项要求提交磋商保证金的，将导致磋商响应文件被否决。</w:t>
      </w:r>
    </w:p>
    <w:p w14:paraId="15C3CCC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3.4.3 采购人与中选人签订合同后5个工作日内，向未中选的供应商和中选人退还磋商保证金。</w:t>
      </w:r>
    </w:p>
    <w:p w14:paraId="41FF510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3.4.4 有下列情形之一的，磋商保证金将不予退还：</w:t>
      </w:r>
    </w:p>
    <w:p w14:paraId="72D5EF4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（1）供应商在规定的磋商有效期内撤销或修改其磋商响应文件；</w:t>
      </w:r>
    </w:p>
    <w:p w14:paraId="2FDF93C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（2）中选人在收到成交通知书后，无正当理由拒签合同协议书或未按竞争性磋商文件规定提交履约担保。</w:t>
      </w:r>
    </w:p>
    <w:p w14:paraId="621FE25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 资格审查资料</w:t>
      </w:r>
    </w:p>
    <w:p w14:paraId="08858C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3.5.1 “供应商基本情况表”应附企业营业执照副本、税务登记证副本、组织机构代码证副本（五证合一的除外）、财务状况良好证明资料、依法缴纳税后和社会保障资金证明材料等资料复印件加盖公章。</w:t>
      </w:r>
    </w:p>
    <w:p w14:paraId="758E087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3.5.2 “供应商类似项目业绩一览表”应附中标通知书和（或）合同协议书的复印件加盖公章，具体年份要求见供应商须知前附表。</w:t>
      </w:r>
    </w:p>
    <w:p w14:paraId="3B1C62D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3.5.3 供应商须知前附表规定接受联合体参加的，本章第3.5.1项至第3.5.2项规定的表格和资料应包括联合体各方相关情况。</w:t>
      </w:r>
    </w:p>
    <w:p w14:paraId="0208B95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3.6 备选投标方案</w:t>
      </w:r>
    </w:p>
    <w:p w14:paraId="7C99DAF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除供应商须知前附表另有规定外，供应商不得递交备选磋商响应方案。</w:t>
      </w:r>
    </w:p>
    <w:p w14:paraId="376C80C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 磋商响应文件的编制</w:t>
      </w:r>
    </w:p>
    <w:p w14:paraId="35F2B0A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3.7.1磋商响应文件应按第六章“磋商响应文件格式”进行编写，如有必要，可以增加附页，作为磋商响应文件的组成部分。其中，磋商响应函附录在满足竞争性磋商文件实质性要求的基础上，可以提出比竞争性磋商文件要求更有利于采购人的承诺。</w:t>
      </w:r>
    </w:p>
    <w:p w14:paraId="4A61DE5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3.7.2 磋商响应文件应当对竞争性磋商文件有关合同履行期限、磋商响应有效期、质量要求、技术标准和要求、采购范围等实质性内容作出响应。</w:t>
      </w:r>
    </w:p>
    <w:p w14:paraId="3210707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3.7.3 磋商响应文件应用不褪色的材料书写或打印，并由供应商的法定代表人或其委托代理人签字或盖单位章。委托代理人签字的，磋商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单位（法定名称）章（鲜章），不得使用专用章（如经济合同章、投标专用章等）或下属单位印章代替。</w:t>
      </w:r>
    </w:p>
    <w:p w14:paraId="5E1B435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磋商响应文件应尽量避免涂改、行间插字或删除。如果出现上述情况，改动之处应加盖单位章或由供应商的法定代表人或其授权的代理人签字确认。签字或盖章的具体要求见供应商须知前附表。 </w:t>
      </w:r>
    </w:p>
    <w:p w14:paraId="1E6E200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3.7.4 磋商响应文件正本一份, 副本份数见供应商须知前附表。正本和副本的封面上应清楚地标记“正本”或“副本”的字样。当副本和正本不一致时，以正本为准。</w:t>
      </w:r>
    </w:p>
    <w:p w14:paraId="4AC495B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3.7.5 磋商响应文件的正本与副本应分别装订成册，装订应牢固、整齐便于保管和利用，不易拆散和换页，并编制目录及页码。不得采用活页装订。</w:t>
      </w:r>
    </w:p>
    <w:p w14:paraId="73950C6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3.7.6 磋商响应文件与样品须加盖骑缝章。</w:t>
      </w:r>
    </w:p>
    <w:p w14:paraId="7C8CF3B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3.7.7为确保网上操作合法、有效和安全，供应商应当在截止时间前完成在“政采云”平台的身份认证，确保在电子投标过程中能够对相关数据电文进行加密和使用电子签名。</w:t>
      </w:r>
    </w:p>
    <w:p w14:paraId="46CF2A8B">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4. 磋商前</w:t>
      </w:r>
    </w:p>
    <w:p w14:paraId="08A14F4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4.1 磋商响应文件的密封和标记</w:t>
      </w:r>
    </w:p>
    <w:p w14:paraId="2B1A9DB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4.1.1 供应商必须在“供应商须知前附表”规定的响应文件接收时间和地点提交电子版响应文件。电子响应文件应在制作完成后，在投标截止时间前通过有效数字证书（CA认证锁）进行电子签章、加密，然后通过网络将加密的电子响应文件递交至“政采云”平台。  </w:t>
      </w:r>
    </w:p>
    <w:p w14:paraId="18ABE28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4.1.2 未在规定时间内提交或者未按照招标文件要求密封或者标记的电子响应文件，“政采云”平台将拒收。 </w:t>
      </w:r>
    </w:p>
    <w:p w14:paraId="496D973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4.1.3 未按本章第4.1.1项或第4.1.2项要求密封和加写标记的磋商响应文件，采购人不予受理。</w:t>
      </w:r>
    </w:p>
    <w:p w14:paraId="0240A70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 磋商响应文件的递交</w:t>
      </w:r>
    </w:p>
    <w:p w14:paraId="45032B1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4.2.1 供应商应在本章第2.2.2项规定的递交磋商响应文件截止时间前递交。</w:t>
      </w:r>
    </w:p>
    <w:p w14:paraId="16F7E16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4.2.2 供应商递交磋商响应文件的地点：见供应商须知前附表。</w:t>
      </w:r>
    </w:p>
    <w:p w14:paraId="0DD9A64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4.2.3 除供应商须知前附表另有规定外，供应商所递交的磋商响应文件不予退还。</w:t>
      </w:r>
    </w:p>
    <w:p w14:paraId="12DF533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4.2.4 逾期送达的或者未送达指定地点的磋商响应文件，采购人不予受理。</w:t>
      </w:r>
    </w:p>
    <w:p w14:paraId="6B81112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4.3 磋商响应文件的修改与撤回</w:t>
      </w:r>
    </w:p>
    <w:p w14:paraId="73EA0F9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4.3.1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w:t>
      </w:r>
    </w:p>
    <w:p w14:paraId="35CF9D6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4.3.2 “政采云”平台收到响应文件，在投标截止时间前，除供应商补充、修改或者撤回响应文件外，任何单位和个人不得解密或提取响应文件。</w:t>
      </w:r>
    </w:p>
    <w:p w14:paraId="757F926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4.3.3 在投标截止时间止提交电子版响应文件的供应商不足3家时，电子版响应文件由代理机构在“政采云”平台操作退回，除此之外采购人和采购代理机构对已提交的协议文件概不退回。</w:t>
      </w:r>
    </w:p>
    <w:p w14:paraId="0C44E046">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5. 磋商</w:t>
      </w:r>
    </w:p>
    <w:p w14:paraId="3CC6AC9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5.1 磋商时间和地点</w:t>
      </w:r>
    </w:p>
    <w:p w14:paraId="2C948F6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采购人在本章第2.2.2项规定的递交磋商响应文件截止时间（磋商时间）和供应商须知前附表规定的地点磋商，并邀请所有供应商的法定代表人或其委托代理人准时参加。</w:t>
      </w:r>
    </w:p>
    <w:p w14:paraId="2F86A6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5.2 磋商程序</w:t>
      </w:r>
    </w:p>
    <w:p w14:paraId="1EE5361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解密电子响应文件。“政采云”平台按开标时间自动提取所有响应文件。采购代理机构依托“政采云”平台开始向各供应商上传的加密响应文件逐一进行解密。供应商的法定代表人或其委托代理人须携带加密时所用的CA锁准时远程对电子响应文件解密。</w:t>
      </w:r>
    </w:p>
    <w:p w14:paraId="170CCD7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第一步：磋商小组对响应文件的有效性、完整性和响应程度进行资格审查，具体内容详见评标办法前附表（一）</w:t>
      </w:r>
    </w:p>
    <w:p w14:paraId="05549FA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77DD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36B1D0F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有下列情况之一者，磋商小组认定其为不合格供应商，并取消其磋商资格：</w:t>
      </w:r>
    </w:p>
    <w:p w14:paraId="6FBAC91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（1）法定代表人或法定代表人委托人未参加磋商仪式的；</w:t>
      </w:r>
    </w:p>
    <w:p w14:paraId="323CF5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（2）未加盖供应商公章，也未经法定代表人签章或其授权代理人签字的；</w:t>
      </w:r>
    </w:p>
    <w:p w14:paraId="060422C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（3）响应文件未按竞争性磋商文件的要求制作的；响应文件内容字迹模糊、无法辨认的；</w:t>
      </w:r>
    </w:p>
    <w:p w14:paraId="6E9C74E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（4）供应商资格不符合供应商须知规定的合格条件的；</w:t>
      </w:r>
    </w:p>
    <w:p w14:paraId="76BDAF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（5）技术文件不符合响应文件规定合格性标准的；</w:t>
      </w:r>
    </w:p>
    <w:p w14:paraId="155EAFE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（6）响应文件附有采购人不能接受的条件；</w:t>
      </w:r>
    </w:p>
    <w:p w14:paraId="2F5B9F2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（7）未响应竞争性磋商文件的实质性要求和条件的；</w:t>
      </w:r>
    </w:p>
    <w:p w14:paraId="15FEE32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（8）供应商未按照竞争性磋商文件的要求提供磋商保证金的；</w:t>
      </w:r>
    </w:p>
    <w:p w14:paraId="507920C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（9）扰乱磋商仪式会场秩序的；</w:t>
      </w:r>
    </w:p>
    <w:p w14:paraId="5CB01C5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（10）在本项目响应活动中违反相关法律、法规的；</w:t>
      </w:r>
    </w:p>
    <w:p w14:paraId="6DDB9B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（11）所提供有关证书、证明涂改、转让或提供虚假材料的。</w:t>
      </w:r>
    </w:p>
    <w:p w14:paraId="46A3EA6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（12）不符合评标办法前附表（一）规定的任意情况</w:t>
      </w:r>
    </w:p>
    <w:p w14:paraId="2E133D7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响应文件的评审和比较工作由磋商小组负责，评审、比较过程、结果对外不作任何解释。</w:t>
      </w:r>
    </w:p>
    <w:p w14:paraId="204B1B9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磋商小组将仅对认定资格审查合格，确定为可以进入详细评审的供应商进行评价与比较，未通过资格审查的不参与后续磋商。</w:t>
      </w:r>
    </w:p>
    <w:p w14:paraId="5C609D2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第二步：磋商小组所有成员集中与单一供应商分别进行磋商。</w:t>
      </w:r>
    </w:p>
    <w:p w14:paraId="45BA4C6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68ABE89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对磋商文件作出的实质性变动是磋商文件的有效组成部分，磋商小组应当及时以书面形式同时通知所有参加磋商的供应商。</w:t>
      </w:r>
    </w:p>
    <w:p w14:paraId="6449EF6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A94595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未实质性响应磋商文件的响应文件按无效响应处理，磋商小组应当告知提交响应文件的供应商。</w:t>
      </w:r>
    </w:p>
    <w:p w14:paraId="50CF44E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第三步：提交最后报价。</w:t>
      </w:r>
    </w:p>
    <w:p w14:paraId="18C7E4F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经磋商确定实质性响应的供应商后，磋商小组要求所有实质性相应的供应商在规定时间内提交最后报价。</w:t>
      </w:r>
    </w:p>
    <w:p w14:paraId="41E8DAD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第四步：采用综合评分法对供应商的响应文件进行综合评分，具体内容详见评标办法前附表（二）。</w:t>
      </w:r>
    </w:p>
    <w:p w14:paraId="3BD0532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65FD374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第五步：磋商小组应当根据综合评分情况，按照评审得分由高到低顺序推荐成交候选供应商，确定排名第一的候选供应商为成交供应商，并编写评审报告。</w:t>
      </w:r>
    </w:p>
    <w:p w14:paraId="49DD8D6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B3EC37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第六步：采购人确认评审报告及成交供应商，并公告成交结果。</w:t>
      </w:r>
    </w:p>
    <w:p w14:paraId="73C04D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18E0F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不保证最低报价的供应商最终成交，也没有义务对未成交的供应商作任何解释和说明。</w:t>
      </w:r>
    </w:p>
    <w:p w14:paraId="6C9D19B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采购人或者采购代理机构应当在成交供应商确定后2个工作日内，在财政部门指定的政府采购信息发布媒体上公告成交结果，同时向成交供应商发出成交通知书。</w:t>
      </w:r>
    </w:p>
    <w:p w14:paraId="745FC4A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为维护国家的利益，采购人在授予合同之前仍有选择和拒绝任何或全部谈判的权力，并对所采取的行为不做任何解释。</w:t>
      </w:r>
    </w:p>
    <w:p w14:paraId="5200E08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采购人有权利根据供应商响应文件对竞争性磋商文件实质性响应的程度决定接受其全部或部分的谈判。</w:t>
      </w:r>
    </w:p>
    <w:p w14:paraId="66D4C58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第七步：签订政府采购合同。</w:t>
      </w:r>
    </w:p>
    <w:p w14:paraId="683DFC5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采购人与成交供应商应当在成交通知书发出之日起30日内，按照磋商文件确定的合同文本以及采购标的、采购金额、技术和服务要求等事项签订政府采购合同。</w:t>
      </w:r>
    </w:p>
    <w:p w14:paraId="6174E03C">
      <w:pPr>
        <w:spacing w:line="360" w:lineRule="auto"/>
        <w:ind w:firstLine="480" w:firstLineChars="200"/>
        <w:rPr>
          <w:rFonts w:ascii="宋体" w:cs="宋体"/>
          <w:color w:val="000000" w:themeColor="text1"/>
          <w:sz w:val="24"/>
          <w:highlight w:val="none"/>
          <w14:textFill>
            <w14:solidFill>
              <w14:schemeClr w14:val="tx1"/>
            </w14:solidFill>
          </w14:textFill>
        </w:rPr>
      </w:pPr>
    </w:p>
    <w:p w14:paraId="430E84E7">
      <w:pPr>
        <w:spacing w:line="360" w:lineRule="auto"/>
        <w:ind w:firstLine="482" w:firstLineChars="200"/>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6. 评审</w:t>
      </w:r>
    </w:p>
    <w:p w14:paraId="3622FA2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6.1 磋商小组</w:t>
      </w:r>
    </w:p>
    <w:p w14:paraId="690E2A1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6.1.1 评标由采购人依法组建的磋商小组负责。磋商小组由有关技术、经济等方面的专家组成。磋商小组成员人数以及技术、经济等方面专家的确定方式见供应商须知前附表。</w:t>
      </w:r>
    </w:p>
    <w:p w14:paraId="09B4B21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6.1.2 磋商小组成员有下列情形之一的，应当回避：</w:t>
      </w:r>
    </w:p>
    <w:p w14:paraId="084BEDC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（1）采购人或供应商的主要负责人的近亲属；</w:t>
      </w:r>
    </w:p>
    <w:p w14:paraId="14E8418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（2）项目主管部门或者行政监督部门的人员；</w:t>
      </w:r>
    </w:p>
    <w:p w14:paraId="2399B92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（3）与供应商有经济利益关系，可能影响对投标公正评审的；</w:t>
      </w:r>
    </w:p>
    <w:p w14:paraId="2F30574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（4）曾因在采购、评标以及其他与采购投标有关活动中从事违法行为而受过行政处罚或刑事处罚的。</w:t>
      </w:r>
    </w:p>
    <w:p w14:paraId="45A303A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6.2 评审原则</w:t>
      </w:r>
      <w:r>
        <w:rPr>
          <w:rFonts w:hint="eastAsia" w:ascii="宋体" w:cs="宋体"/>
          <w:color w:val="000000" w:themeColor="text1"/>
          <w:sz w:val="24"/>
          <w:highlight w:val="none"/>
          <w14:textFill>
            <w14:solidFill>
              <w14:schemeClr w14:val="tx1"/>
            </w14:solidFill>
          </w14:textFill>
        </w:rPr>
        <w:tab/>
      </w:r>
    </w:p>
    <w:p w14:paraId="484BC68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评审活动遵循公平、公正、科学和择优的原则。</w:t>
      </w:r>
    </w:p>
    <w:p w14:paraId="3BA773A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6.3 评审</w:t>
      </w:r>
    </w:p>
    <w:p w14:paraId="69A37A1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6.3.1磋商小组按照第三章“评标办法”规定的方法、评审因素、标准和程序对磋商响应文件进行评审。第三章“评审办法”没有规定的方法、评审因素和标准，不作为评审依据。</w:t>
      </w:r>
    </w:p>
    <w:p w14:paraId="2826D44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6.3.2电子交易活动的中止。招标过程中出现以下情形，导致电子交易平台无法正常运行，或者无法保证电子交易的公平、公正和安全时，招标机构可中止电子交易活动：</w:t>
      </w:r>
    </w:p>
    <w:p w14:paraId="73C65B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（1）电子交易平台发生故障而无法登录访问的； </w:t>
      </w:r>
    </w:p>
    <w:p w14:paraId="60B7F1D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（2）电子交易平台应用或数据库出现错误，不能进行正常操作的；</w:t>
      </w:r>
    </w:p>
    <w:p w14:paraId="05EBC77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（3）电子交易平台发现严重安全漏洞，有潜在泄密危险的；</w:t>
      </w:r>
    </w:p>
    <w:p w14:paraId="40BC326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（4）病毒发作导致不能进行正常操作的； </w:t>
      </w:r>
    </w:p>
    <w:p w14:paraId="4D329D6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（4）其他无法保证电子交易的公平、公正和安全的情况。</w:t>
      </w:r>
    </w:p>
    <w:p w14:paraId="35C7E71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6.3.3出现以上情形，不影响采购公平、公正性的，招标组织机构可以待上述情形消除后继续组织电子交易活动；影响或可能影响采购公平、公正性的，经招标代理机构确认后，应当重新招标。招标代理机构必须对原有的资料及信息作出妥善保密处理，并报财政部门备案。</w:t>
      </w:r>
    </w:p>
    <w:p w14:paraId="658EFC9A">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7. 合同授予</w:t>
      </w:r>
    </w:p>
    <w:p w14:paraId="34DFDB3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7.1 确定方式</w:t>
      </w:r>
    </w:p>
    <w:p w14:paraId="325792C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采购人依据磋商小组推荐的中选候选供应商确定中选人，磋商小组推荐中选候选供应商的人数见供应商须知前附表。</w:t>
      </w:r>
    </w:p>
    <w:p w14:paraId="7054F24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7.2 成交通知</w:t>
      </w:r>
    </w:p>
    <w:p w14:paraId="6B53311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在本章第3.3款规定的磋商响应有效期内，采购人以书面形式向中选供应商发出成交通知书，同时将成交结果通知未中选的供应商。</w:t>
      </w:r>
    </w:p>
    <w:p w14:paraId="7168360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7.3 签订合同</w:t>
      </w:r>
    </w:p>
    <w:p w14:paraId="2FDA68B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7.3.1 采购人和中选供应商应当自成交通知书发出之日起30天内，根据竞争性磋商文件和中选供应商的磋商响应文件订立书面合同。中选供应商无正当理由拒签合同的，采购人取消其中选资格，其磋商保证金不予退还；给采购人造成的损失超过磋商保证金数额的，中选供应商还应当对超过部分予以赔偿。 </w:t>
      </w:r>
    </w:p>
    <w:p w14:paraId="1B1AC20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7.3.2 发出成交通知书后，采购人无正当理由拒签合同的，采购人向中选供应商退还磋商保证金；给中选供应商造成损失的，还应当赔偿损失。</w:t>
      </w:r>
    </w:p>
    <w:p w14:paraId="2A7D3C5A">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8. 重新采购和不再采购</w:t>
      </w:r>
    </w:p>
    <w:p w14:paraId="7A19B6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8.1 重新采购</w:t>
      </w:r>
    </w:p>
    <w:p w14:paraId="2E66CBE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有下列情形之一的，采购人将重新采购：</w:t>
      </w:r>
    </w:p>
    <w:p w14:paraId="032ADF4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（1）递交磋商响应文件截止时间止，供应商少于3个的；</w:t>
      </w:r>
    </w:p>
    <w:p w14:paraId="4955C2E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（2）经磋商小组评审后否决所有响应供应商的。</w:t>
      </w:r>
    </w:p>
    <w:p w14:paraId="70EA5D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8.2 不再采购</w:t>
      </w:r>
    </w:p>
    <w:p w14:paraId="586561A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重新采购后供应商仍少于3个或者所有响应被否决的，属于必须审批或核准的项目，经原审批或核准部门批准后不再进行采购。</w:t>
      </w:r>
    </w:p>
    <w:p w14:paraId="76FC7277">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9. 纪律和监督</w:t>
      </w:r>
    </w:p>
    <w:p w14:paraId="5D5171A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9.1 对采购人的纪律要求</w:t>
      </w:r>
    </w:p>
    <w:p w14:paraId="26FEE8C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采购人不得泄漏采购活动中应当保密的情况和资料，不得与供应商串通损害国家利益、社会公共利益或者他人合法权益。</w:t>
      </w:r>
    </w:p>
    <w:p w14:paraId="2AD877A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9.2 对供应商的纪律要求</w:t>
      </w:r>
    </w:p>
    <w:p w14:paraId="6B00D4E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供应商不得相互串通或者与采购人串通，不得向采购人或者磋商小组成员行贿谋取中选，不得以他人名义响应或者以其他方式弄虚作假骗取中选；供应商不得以任何方式干扰、影响评审工作。</w:t>
      </w:r>
    </w:p>
    <w:p w14:paraId="0693920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9.3 对磋商小组成员的纪律要求</w:t>
      </w:r>
    </w:p>
    <w:p w14:paraId="0045BE2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成员不得收受他人的财物或者其他好处，不得向他人透漏对磋商响应文件的评审和比较、中选候选供应商的推荐情况以及评审有关的其他情况。在评审活动中，磋商小组成员不得擅离职守，影响评审程序正常进行，不得使用第三章“评标办法”没有规定的评审因素和标准进行评审。</w:t>
      </w:r>
    </w:p>
    <w:p w14:paraId="7C86700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9.4 对与评审活动有关的工作人员的纪律要求</w:t>
      </w:r>
    </w:p>
    <w:p w14:paraId="558CF9D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与评审活动有关的工作人员不得收受他人的财物或者其他好处，不得向他人透漏对磋商响应文件的评审和比较、中选候选供应商的推荐情况以及评审有关的其他情况。在评审活动中，与评审活动有关的工作人员不得擅离职守，影响评审程序正常进行。</w:t>
      </w:r>
    </w:p>
    <w:p w14:paraId="6ABF88A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9.5 投诉</w:t>
      </w:r>
    </w:p>
    <w:p w14:paraId="0BCB32C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供应商和其他利害关系人认为本次采购活动违反法律、法规和规章规定的，有权向有关行政监督部门投诉。</w:t>
      </w:r>
    </w:p>
    <w:p w14:paraId="645D3B7B">
      <w:pPr>
        <w:spacing w:line="360" w:lineRule="auto"/>
        <w:ind w:firstLine="480" w:firstLineChars="200"/>
        <w:rPr>
          <w:rFonts w:ascii="宋体" w:cs="宋体"/>
          <w:color w:val="000000" w:themeColor="text1"/>
          <w:sz w:val="24"/>
          <w:highlight w:val="none"/>
          <w14:textFill>
            <w14:solidFill>
              <w14:schemeClr w14:val="tx1"/>
            </w14:solidFill>
          </w14:textFill>
        </w:rPr>
      </w:pPr>
    </w:p>
    <w:p w14:paraId="5F7124D1">
      <w:pPr>
        <w:spacing w:line="360" w:lineRule="auto"/>
        <w:ind w:firstLine="482" w:firstLineChars="200"/>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10. 需要补充的其他内容</w:t>
      </w:r>
    </w:p>
    <w:p w14:paraId="481E5D1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需要补充的其他内容：见供应商须知前附表。</w:t>
      </w:r>
    </w:p>
    <w:p w14:paraId="3FEE305B">
      <w:pPr>
        <w:rPr>
          <w:rFonts w:ascii="宋体" w:cs="宋体"/>
          <w:b/>
          <w:color w:val="000000" w:themeColor="text1"/>
          <w:kern w:val="44"/>
          <w:sz w:val="44"/>
          <w:highlight w:val="none"/>
          <w14:textFill>
            <w14:solidFill>
              <w14:schemeClr w14:val="tx1"/>
            </w14:solidFill>
          </w14:textFill>
        </w:rPr>
      </w:pPr>
      <w:bookmarkStart w:id="38" w:name="_Toc24464"/>
      <w:bookmarkStart w:id="39" w:name="_Toc12796"/>
      <w:bookmarkStart w:id="40" w:name="_Toc26141"/>
      <w:bookmarkStart w:id="41" w:name="_Toc24879"/>
      <w:bookmarkStart w:id="42" w:name="_Toc16246"/>
      <w:bookmarkStart w:id="43" w:name="_Toc17916"/>
      <w:r>
        <w:rPr>
          <w:rFonts w:hint="eastAsia" w:ascii="宋体" w:cs="宋体"/>
          <w:b/>
          <w:color w:val="000000" w:themeColor="text1"/>
          <w:kern w:val="44"/>
          <w:sz w:val="44"/>
          <w:highlight w:val="none"/>
          <w14:textFill>
            <w14:solidFill>
              <w14:schemeClr w14:val="tx1"/>
            </w14:solidFill>
          </w14:textFill>
        </w:rPr>
        <w:br w:type="page"/>
      </w:r>
    </w:p>
    <w:p w14:paraId="6A7673A9">
      <w:pPr>
        <w:pStyle w:val="2"/>
        <w:rPr>
          <w:rFonts w:ascii="宋体" w:cs="宋体"/>
          <w:color w:val="000000" w:themeColor="text1"/>
          <w:highlight w:val="none"/>
          <w14:textFill>
            <w14:solidFill>
              <w14:schemeClr w14:val="tx1"/>
            </w14:solidFill>
          </w14:textFill>
        </w:rPr>
      </w:pPr>
      <w:bookmarkStart w:id="44" w:name="_Toc19840"/>
      <w:r>
        <w:rPr>
          <w:rFonts w:hint="eastAsia" w:ascii="宋体" w:cs="宋体"/>
          <w:color w:val="000000" w:themeColor="text1"/>
          <w:highlight w:val="none"/>
          <w14:textFill>
            <w14:solidFill>
              <w14:schemeClr w14:val="tx1"/>
            </w14:solidFill>
          </w14:textFill>
        </w:rPr>
        <w:t>第三章 评标办法</w:t>
      </w:r>
      <w:bookmarkEnd w:id="38"/>
      <w:bookmarkEnd w:id="39"/>
      <w:bookmarkEnd w:id="40"/>
      <w:bookmarkEnd w:id="41"/>
      <w:bookmarkEnd w:id="42"/>
      <w:bookmarkEnd w:id="43"/>
      <w:bookmarkEnd w:id="44"/>
    </w:p>
    <w:p w14:paraId="0BD5B7B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评标应当遵循下列工作程序：</w:t>
      </w:r>
    </w:p>
    <w:p w14:paraId="45AF11D5">
      <w:pPr>
        <w:spacing w:line="360" w:lineRule="auto"/>
        <w:ind w:firstLine="482" w:firstLineChars="200"/>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1.1磋商响应文件初审：分为资格性检查和符合性检查。</w:t>
      </w:r>
    </w:p>
    <w:p w14:paraId="405D045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1.1.1磋商小组对供应商的资格进行审查，并详细填写下表。合格供应商不足3家的，不进行后续磋商。</w:t>
      </w:r>
    </w:p>
    <w:p w14:paraId="6EBB3D58">
      <w:pPr>
        <w:spacing w:line="360" w:lineRule="auto"/>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资格性审查表</w:t>
      </w:r>
    </w:p>
    <w:tbl>
      <w:tblPr>
        <w:tblStyle w:val="26"/>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340"/>
        <w:gridCol w:w="5199"/>
        <w:gridCol w:w="1021"/>
      </w:tblGrid>
      <w:tr w14:paraId="1A3A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30" w:type="dxa"/>
            <w:vAlign w:val="center"/>
          </w:tcPr>
          <w:p w14:paraId="7ABFE9B8">
            <w:pPr>
              <w:pStyle w:val="46"/>
              <w:spacing w:before="22"/>
              <w:ind w:left="167"/>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序号</w:t>
            </w:r>
          </w:p>
        </w:tc>
        <w:tc>
          <w:tcPr>
            <w:tcW w:w="2340" w:type="dxa"/>
            <w:vAlign w:val="center"/>
          </w:tcPr>
          <w:p w14:paraId="7D0F19F2">
            <w:pPr>
              <w:pStyle w:val="46"/>
              <w:spacing w:before="22"/>
              <w:ind w:left="416" w:right="404"/>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资格审查内容</w:t>
            </w:r>
          </w:p>
        </w:tc>
        <w:tc>
          <w:tcPr>
            <w:tcW w:w="5199" w:type="dxa"/>
            <w:vAlign w:val="center"/>
          </w:tcPr>
          <w:p w14:paraId="031C93B0">
            <w:pPr>
              <w:pStyle w:val="46"/>
              <w:spacing w:before="22"/>
              <w:ind w:right="2529"/>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评审标准</w:t>
            </w:r>
          </w:p>
        </w:tc>
        <w:tc>
          <w:tcPr>
            <w:tcW w:w="1021" w:type="dxa"/>
            <w:vAlign w:val="center"/>
          </w:tcPr>
          <w:p w14:paraId="798D6BDB">
            <w:pPr>
              <w:pStyle w:val="46"/>
              <w:spacing w:before="1"/>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评审结论（√/×）</w:t>
            </w:r>
          </w:p>
        </w:tc>
      </w:tr>
      <w:tr w14:paraId="394D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69F492F4">
            <w:pPr>
              <w:pStyle w:val="46"/>
              <w:spacing w:before="22"/>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1</w:t>
            </w:r>
          </w:p>
        </w:tc>
        <w:tc>
          <w:tcPr>
            <w:tcW w:w="2340" w:type="dxa"/>
            <w:vAlign w:val="center"/>
          </w:tcPr>
          <w:p w14:paraId="53E02FB1">
            <w:pPr>
              <w:pStyle w:val="46"/>
              <w:spacing w:before="22"/>
              <w:ind w:left="416" w:right="411"/>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独立法人资格</w:t>
            </w:r>
          </w:p>
        </w:tc>
        <w:tc>
          <w:tcPr>
            <w:tcW w:w="5199" w:type="dxa"/>
            <w:vAlign w:val="center"/>
          </w:tcPr>
          <w:p w14:paraId="3E5C64F2">
            <w:pPr>
              <w:keepNext w:val="0"/>
              <w:keepLines w:val="0"/>
              <w:widowControl/>
              <w:suppressLineNumbers w:val="0"/>
              <w:jc w:val="left"/>
              <w:rPr>
                <w:rFonts w:asci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具备有效的营业执照，提供营业执照副本（复印件加盖公章）</w:t>
            </w:r>
          </w:p>
        </w:tc>
        <w:tc>
          <w:tcPr>
            <w:tcW w:w="1021" w:type="dxa"/>
            <w:vAlign w:val="center"/>
          </w:tcPr>
          <w:p w14:paraId="73E50B84">
            <w:pPr>
              <w:pStyle w:val="46"/>
              <w:spacing w:before="22"/>
              <w:ind w:left="107"/>
              <w:rPr>
                <w:rFonts w:ascii="宋体" w:cs="宋体"/>
                <w:color w:val="000000" w:themeColor="text1"/>
                <w:sz w:val="24"/>
                <w:highlight w:val="none"/>
                <w14:textFill>
                  <w14:solidFill>
                    <w14:schemeClr w14:val="tx1"/>
                  </w14:solidFill>
                </w14:textFill>
              </w:rPr>
            </w:pPr>
          </w:p>
        </w:tc>
      </w:tr>
      <w:tr w14:paraId="261F4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278094E8">
            <w:pPr>
              <w:pStyle w:val="46"/>
              <w:spacing w:before="22"/>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2</w:t>
            </w:r>
          </w:p>
        </w:tc>
        <w:tc>
          <w:tcPr>
            <w:tcW w:w="2340" w:type="dxa"/>
            <w:vAlign w:val="center"/>
          </w:tcPr>
          <w:p w14:paraId="5211765D">
            <w:pPr>
              <w:pStyle w:val="46"/>
              <w:spacing w:before="15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财务状况</w:t>
            </w:r>
          </w:p>
        </w:tc>
        <w:tc>
          <w:tcPr>
            <w:tcW w:w="5199" w:type="dxa"/>
            <w:vAlign w:val="center"/>
          </w:tcPr>
          <w:p w14:paraId="71D7B2DC">
            <w:pPr>
              <w:pStyle w:val="46"/>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响应文件内附反映供应商财务状况、依法缴纳税收和社会保障资金情况的资格条件承诺函加盖公章，并由法定代表人签字。</w:t>
            </w:r>
          </w:p>
        </w:tc>
        <w:tc>
          <w:tcPr>
            <w:tcW w:w="1021" w:type="dxa"/>
            <w:vAlign w:val="center"/>
          </w:tcPr>
          <w:p w14:paraId="6E0BA4FF">
            <w:pPr>
              <w:pStyle w:val="46"/>
              <w:spacing w:before="22"/>
              <w:ind w:left="107"/>
              <w:rPr>
                <w:rFonts w:ascii="宋体" w:cs="宋体"/>
                <w:color w:val="000000" w:themeColor="text1"/>
                <w:sz w:val="24"/>
                <w:highlight w:val="none"/>
                <w14:textFill>
                  <w14:solidFill>
                    <w14:schemeClr w14:val="tx1"/>
                  </w14:solidFill>
                </w14:textFill>
              </w:rPr>
            </w:pPr>
          </w:p>
        </w:tc>
      </w:tr>
      <w:tr w14:paraId="4198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03E9776F">
            <w:pPr>
              <w:pStyle w:val="46"/>
              <w:spacing w:before="22"/>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3</w:t>
            </w:r>
          </w:p>
        </w:tc>
        <w:tc>
          <w:tcPr>
            <w:tcW w:w="2340" w:type="dxa"/>
            <w:vAlign w:val="center"/>
          </w:tcPr>
          <w:p w14:paraId="0991578F">
            <w:pPr>
              <w:pStyle w:val="46"/>
              <w:ind w:right="9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供应商中小企业类型</w:t>
            </w:r>
          </w:p>
        </w:tc>
        <w:tc>
          <w:tcPr>
            <w:tcW w:w="5199" w:type="dxa"/>
            <w:vAlign w:val="center"/>
          </w:tcPr>
          <w:p w14:paraId="794D3C63">
            <w:pPr>
              <w:pStyle w:val="46"/>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本项目为专门面向中小企业采购项目,供应商应为中小企业或监狱企业或残疾人福利性单位。</w:t>
            </w:r>
          </w:p>
          <w:p w14:paraId="62697F29">
            <w:pPr>
              <w:pStyle w:val="46"/>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磋商响应文件内附符合要求的中小企业声明函，监狱企业或残疾人福利性单位附相关证明材料</w:t>
            </w:r>
          </w:p>
        </w:tc>
        <w:tc>
          <w:tcPr>
            <w:tcW w:w="1021" w:type="dxa"/>
            <w:vAlign w:val="center"/>
          </w:tcPr>
          <w:p w14:paraId="6C7CA176">
            <w:pPr>
              <w:pStyle w:val="46"/>
              <w:spacing w:before="22"/>
              <w:ind w:left="107"/>
              <w:rPr>
                <w:rFonts w:ascii="宋体" w:cs="宋体"/>
                <w:color w:val="000000" w:themeColor="text1"/>
                <w:sz w:val="24"/>
                <w:highlight w:val="none"/>
                <w14:textFill>
                  <w14:solidFill>
                    <w14:schemeClr w14:val="tx1"/>
                  </w14:solidFill>
                </w14:textFill>
              </w:rPr>
            </w:pPr>
          </w:p>
        </w:tc>
      </w:tr>
      <w:tr w14:paraId="497C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730" w:type="dxa"/>
            <w:vAlign w:val="center"/>
          </w:tcPr>
          <w:p w14:paraId="3AEDD4ED">
            <w:pPr>
              <w:pStyle w:val="46"/>
              <w:spacing w:before="22"/>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p>
        </w:tc>
        <w:tc>
          <w:tcPr>
            <w:tcW w:w="2340" w:type="dxa"/>
            <w:vAlign w:val="center"/>
          </w:tcPr>
          <w:p w14:paraId="54ABA907">
            <w:pPr>
              <w:pStyle w:val="46"/>
              <w:ind w:right="9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法人授权委托书</w:t>
            </w:r>
          </w:p>
        </w:tc>
        <w:tc>
          <w:tcPr>
            <w:tcW w:w="5199" w:type="dxa"/>
            <w:vAlign w:val="center"/>
          </w:tcPr>
          <w:p w14:paraId="552AA4F5">
            <w:pPr>
              <w:pStyle w:val="46"/>
              <w:spacing w:before="5"/>
              <w:ind w:left="107"/>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磋商响应文件内附由法定代表人及委托代理人签字（或盖章）并加盖公章的授权委托书。</w:t>
            </w:r>
          </w:p>
        </w:tc>
        <w:tc>
          <w:tcPr>
            <w:tcW w:w="1021" w:type="dxa"/>
            <w:vAlign w:val="center"/>
          </w:tcPr>
          <w:p w14:paraId="6EE05DE2">
            <w:pPr>
              <w:pStyle w:val="46"/>
              <w:spacing w:before="22"/>
              <w:ind w:left="107"/>
              <w:rPr>
                <w:rFonts w:ascii="宋体" w:cs="宋体"/>
                <w:color w:val="000000" w:themeColor="text1"/>
                <w:sz w:val="24"/>
                <w:highlight w:val="none"/>
                <w14:textFill>
                  <w14:solidFill>
                    <w14:schemeClr w14:val="tx1"/>
                  </w14:solidFill>
                </w14:textFill>
              </w:rPr>
            </w:pPr>
          </w:p>
        </w:tc>
      </w:tr>
      <w:tr w14:paraId="770C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30" w:type="dxa"/>
            <w:vAlign w:val="center"/>
          </w:tcPr>
          <w:p w14:paraId="055CE519">
            <w:pPr>
              <w:pStyle w:val="46"/>
              <w:spacing w:before="151"/>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5</w:t>
            </w:r>
          </w:p>
        </w:tc>
        <w:tc>
          <w:tcPr>
            <w:tcW w:w="2340" w:type="dxa"/>
            <w:vAlign w:val="center"/>
          </w:tcPr>
          <w:p w14:paraId="0F16D6DB">
            <w:pPr>
              <w:pStyle w:val="46"/>
              <w:spacing w:before="6"/>
              <w:jc w:val="center"/>
              <w:rPr>
                <w:rFonts w:ascii="宋体" w:cs="宋体"/>
                <w:b/>
                <w:color w:val="000000" w:themeColor="text1"/>
                <w:sz w:val="24"/>
                <w:highlight w:val="none"/>
                <w14:textFill>
                  <w14:solidFill>
                    <w14:schemeClr w14:val="tx1"/>
                  </w14:solidFill>
                </w14:textFill>
              </w:rPr>
            </w:pPr>
          </w:p>
          <w:p w14:paraId="77F154B1">
            <w:pPr>
              <w:pStyle w:val="46"/>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信誉要求</w:t>
            </w:r>
          </w:p>
        </w:tc>
        <w:tc>
          <w:tcPr>
            <w:tcW w:w="5199" w:type="dxa"/>
            <w:vAlign w:val="center"/>
          </w:tcPr>
          <w:p w14:paraId="427D89A0">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1）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C071B1">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2）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1DB208A1">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（3）供应商需提供企业无行贿犯罪记录证明，供应商自行登录中国裁判文书网（http://wenshu.court.gov.cn./）查询官网截图</w:t>
            </w:r>
          </w:p>
          <w:p w14:paraId="71D9D50D">
            <w:pPr>
              <w:pStyle w:val="25"/>
              <w:ind w:firstLine="0"/>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3B8B927D">
            <w:pPr>
              <w:pStyle w:val="16"/>
              <w:spacing w:line="240" w:lineRule="auto"/>
              <w:ind w:left="0" w:leftChars="0"/>
              <w:rPr>
                <w:rFonts w:ascii="宋体" w:cs="宋体"/>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第（1）、（4）项提供有法定代表人及被授权人签字并加盖供应商公章的承诺书，第（2）、（3）项以现场查询结果为准。</w:t>
            </w:r>
          </w:p>
        </w:tc>
        <w:tc>
          <w:tcPr>
            <w:tcW w:w="1021" w:type="dxa"/>
            <w:vAlign w:val="center"/>
          </w:tcPr>
          <w:p w14:paraId="69340FAF">
            <w:pPr>
              <w:pStyle w:val="46"/>
              <w:ind w:right="96"/>
              <w:rPr>
                <w:rFonts w:ascii="宋体" w:cs="宋体"/>
                <w:color w:val="000000" w:themeColor="text1"/>
                <w:sz w:val="24"/>
                <w:highlight w:val="none"/>
                <w14:textFill>
                  <w14:solidFill>
                    <w14:schemeClr w14:val="tx1"/>
                  </w14:solidFill>
                </w14:textFill>
              </w:rPr>
            </w:pPr>
          </w:p>
        </w:tc>
      </w:tr>
      <w:tr w14:paraId="0EF94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jc w:val="center"/>
        </w:trPr>
        <w:tc>
          <w:tcPr>
            <w:tcW w:w="730" w:type="dxa"/>
            <w:vAlign w:val="center"/>
          </w:tcPr>
          <w:p w14:paraId="2A9E9501">
            <w:pPr>
              <w:pStyle w:val="46"/>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p>
        </w:tc>
        <w:tc>
          <w:tcPr>
            <w:tcW w:w="2340" w:type="dxa"/>
            <w:vAlign w:val="center"/>
          </w:tcPr>
          <w:p w14:paraId="2DC933BA">
            <w:pPr>
              <w:pStyle w:val="46"/>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其他要求</w:t>
            </w:r>
          </w:p>
        </w:tc>
        <w:tc>
          <w:tcPr>
            <w:tcW w:w="5199" w:type="dxa"/>
            <w:vAlign w:val="center"/>
          </w:tcPr>
          <w:p w14:paraId="20E69F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供应商不得存在下列情形之一：</w:t>
            </w:r>
          </w:p>
          <w:p w14:paraId="08C0C0C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（1）为采购人不具有独立法人资格的附属机构(单位)； </w:t>
            </w:r>
          </w:p>
          <w:p w14:paraId="3CD22F9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（2）为本项目提供采购代理服务的；</w:t>
            </w:r>
          </w:p>
          <w:p w14:paraId="6394417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（3）被责令停业的；</w:t>
            </w:r>
          </w:p>
          <w:p w14:paraId="31E8F08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（4）被暂停或取消投标资格的；</w:t>
            </w:r>
          </w:p>
          <w:p w14:paraId="1946DE4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（5）财产被接管或冻结的；</w:t>
            </w:r>
          </w:p>
          <w:p w14:paraId="27264AF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（6）在最近三年内有骗取中标或严重违约或重大项目质量问题的。</w:t>
            </w:r>
          </w:p>
          <w:p w14:paraId="42675702">
            <w:pPr>
              <w:pStyle w:val="46"/>
              <w:rPr>
                <w:rFonts w:ascii="宋体" w:cs="宋体"/>
                <w:color w:val="000000" w:themeColor="text1"/>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磋商响应文件内附</w:t>
            </w:r>
            <w:r>
              <w:rPr>
                <w:rFonts w:hint="eastAsia" w:ascii="宋体" w:cs="宋体"/>
                <w:b/>
                <w:bCs/>
                <w:color w:val="000000" w:themeColor="text1"/>
                <w:sz w:val="24"/>
                <w:highlight w:val="none"/>
                <w14:textFill>
                  <w14:solidFill>
                    <w14:schemeClr w14:val="tx1"/>
                  </w14:solidFill>
                </w14:textFill>
              </w:rPr>
              <w:t>法定代表人及被授权人签字</w:t>
            </w:r>
            <w:r>
              <w:rPr>
                <w:rFonts w:hint="eastAsia" w:ascii="宋体" w:cs="宋体"/>
                <w:b/>
                <w:color w:val="000000" w:themeColor="text1"/>
                <w:sz w:val="24"/>
                <w:highlight w:val="none"/>
                <w14:textFill>
                  <w14:solidFill>
                    <w14:schemeClr w14:val="tx1"/>
                  </w14:solidFill>
                </w14:textFill>
              </w:rPr>
              <w:t>并加盖公章的承诺书。</w:t>
            </w:r>
          </w:p>
        </w:tc>
        <w:tc>
          <w:tcPr>
            <w:tcW w:w="1021" w:type="dxa"/>
            <w:vAlign w:val="center"/>
          </w:tcPr>
          <w:p w14:paraId="73417158">
            <w:pPr>
              <w:pStyle w:val="46"/>
              <w:spacing w:before="5"/>
              <w:ind w:left="107"/>
              <w:rPr>
                <w:rFonts w:ascii="宋体" w:cs="宋体"/>
                <w:color w:val="000000" w:themeColor="text1"/>
                <w:sz w:val="24"/>
                <w:highlight w:val="none"/>
                <w14:textFill>
                  <w14:solidFill>
                    <w14:schemeClr w14:val="tx1"/>
                  </w14:solidFill>
                </w14:textFill>
              </w:rPr>
            </w:pPr>
          </w:p>
        </w:tc>
      </w:tr>
      <w:tr w14:paraId="3292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3070" w:type="dxa"/>
            <w:gridSpan w:val="2"/>
            <w:vAlign w:val="center"/>
          </w:tcPr>
          <w:p w14:paraId="7543F885">
            <w:pPr>
              <w:pStyle w:val="46"/>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评审结论（合格/不合格）</w:t>
            </w:r>
          </w:p>
        </w:tc>
        <w:tc>
          <w:tcPr>
            <w:tcW w:w="6220" w:type="dxa"/>
            <w:gridSpan w:val="2"/>
            <w:vAlign w:val="center"/>
          </w:tcPr>
          <w:p w14:paraId="0527BBC2">
            <w:pPr>
              <w:pStyle w:val="46"/>
              <w:ind w:left="107"/>
              <w:rPr>
                <w:rFonts w:ascii="宋体" w:cs="宋体"/>
                <w:b/>
                <w:color w:val="000000" w:themeColor="text1"/>
                <w:sz w:val="24"/>
                <w:highlight w:val="none"/>
                <w14:textFill>
                  <w14:solidFill>
                    <w14:schemeClr w14:val="tx1"/>
                  </w14:solidFill>
                </w14:textFill>
              </w:rPr>
            </w:pPr>
          </w:p>
        </w:tc>
      </w:tr>
    </w:tbl>
    <w:p w14:paraId="28A364D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注：本表中符合评审内容要求的写“√”，不符合评审内容要求的写“×”。结论为“合格”或“不合格。结论不合格的不进入符合性审查阶段。</w:t>
      </w:r>
    </w:p>
    <w:p w14:paraId="66AE46F5">
      <w:pPr>
        <w:pStyle w:val="22"/>
        <w:spacing w:beforeAutospacing="0" w:afterAutospacing="0" w:line="360" w:lineRule="auto"/>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1.1.2 磋商小组将对符合资格的供应商的</w:t>
      </w:r>
      <w:r>
        <w:rPr>
          <w:rFonts w:hint="eastAsia"/>
          <w:color w:val="000000" w:themeColor="text1"/>
          <w:highlight w:val="none"/>
          <w14:textFill>
            <w14:solidFill>
              <w14:schemeClr w14:val="tx1"/>
            </w14:solidFill>
          </w14:textFill>
        </w:rPr>
        <w:t>磋商响应文件</w:t>
      </w:r>
      <w:r>
        <w:rPr>
          <w:rFonts w:hint="eastAsia"/>
          <w:color w:val="000000" w:themeColor="text1"/>
          <w:kern w:val="2"/>
          <w:highlight w:val="none"/>
          <w14:textFill>
            <w14:solidFill>
              <w14:schemeClr w14:val="tx1"/>
            </w14:solidFill>
          </w14:textFill>
        </w:rPr>
        <w:t>进行符合性审查，以确定其是否满足竞争性磋商文件的实质性要求。</w:t>
      </w:r>
    </w:p>
    <w:p w14:paraId="7088D487">
      <w:pPr>
        <w:pStyle w:val="22"/>
        <w:spacing w:beforeAutospacing="0" w:afterAutospacing="0" w:line="360" w:lineRule="auto"/>
        <w:jc w:val="center"/>
        <w:rPr>
          <w:b/>
          <w:bCs/>
          <w:color w:val="000000" w:themeColor="text1"/>
          <w:highlight w:val="none"/>
          <w14:textFill>
            <w14:solidFill>
              <w14:schemeClr w14:val="tx1"/>
            </w14:solidFill>
          </w14:textFill>
        </w:rPr>
      </w:pPr>
      <w:r>
        <w:rPr>
          <w:rFonts w:hint="eastAsia"/>
          <w:b/>
          <w:bCs/>
          <w:color w:val="000000" w:themeColor="text1"/>
          <w:kern w:val="2"/>
          <w:highlight w:val="none"/>
          <w14:textFill>
            <w14:solidFill>
              <w14:schemeClr w14:val="tx1"/>
            </w14:solidFill>
          </w14:textFill>
        </w:rPr>
        <w:t>符合性审查表</w:t>
      </w:r>
    </w:p>
    <w:tbl>
      <w:tblPr>
        <w:tblStyle w:val="26"/>
        <w:tblW w:w="92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679"/>
        <w:gridCol w:w="5768"/>
        <w:gridCol w:w="1123"/>
      </w:tblGrid>
      <w:tr w14:paraId="3A66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26" w:type="dxa"/>
            <w:vAlign w:val="center"/>
          </w:tcPr>
          <w:p w14:paraId="7C20CB55">
            <w:pPr>
              <w:pStyle w:val="46"/>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序号</w:t>
            </w:r>
          </w:p>
        </w:tc>
        <w:tc>
          <w:tcPr>
            <w:tcW w:w="1679" w:type="dxa"/>
            <w:vAlign w:val="center"/>
          </w:tcPr>
          <w:p w14:paraId="36959113">
            <w:pPr>
              <w:pStyle w:val="46"/>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评审项目</w:t>
            </w:r>
          </w:p>
        </w:tc>
        <w:tc>
          <w:tcPr>
            <w:tcW w:w="5768" w:type="dxa"/>
            <w:vAlign w:val="center"/>
          </w:tcPr>
          <w:p w14:paraId="67BAD9D7">
            <w:pPr>
              <w:pStyle w:val="46"/>
              <w:ind w:right="2166"/>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 xml:space="preserve">                评审标准</w:t>
            </w:r>
          </w:p>
        </w:tc>
        <w:tc>
          <w:tcPr>
            <w:tcW w:w="1123" w:type="dxa"/>
            <w:vAlign w:val="center"/>
          </w:tcPr>
          <w:p w14:paraId="1D66613F">
            <w:pPr>
              <w:pStyle w:val="46"/>
              <w:spacing w:before="1"/>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评审结论（√/×）</w:t>
            </w:r>
          </w:p>
        </w:tc>
      </w:tr>
      <w:tr w14:paraId="4501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6" w:type="dxa"/>
            <w:vAlign w:val="center"/>
          </w:tcPr>
          <w:p w14:paraId="05D4C46F">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p>
        </w:tc>
        <w:tc>
          <w:tcPr>
            <w:tcW w:w="1679" w:type="dxa"/>
            <w:vAlign w:val="center"/>
          </w:tcPr>
          <w:p w14:paraId="79FDAF90">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磋商响应文件签署盖章</w:t>
            </w:r>
          </w:p>
        </w:tc>
        <w:tc>
          <w:tcPr>
            <w:tcW w:w="5768" w:type="dxa"/>
            <w:vAlign w:val="center"/>
          </w:tcPr>
          <w:p w14:paraId="4193D37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按竞争性磋商文件要求在规定位置加盖供应商公章和（或）有法定代表人或其授权代表签字加盖人名章的；</w:t>
            </w:r>
          </w:p>
        </w:tc>
        <w:tc>
          <w:tcPr>
            <w:tcW w:w="1123" w:type="dxa"/>
            <w:vAlign w:val="center"/>
          </w:tcPr>
          <w:p w14:paraId="1C953C5A">
            <w:pPr>
              <w:pStyle w:val="46"/>
              <w:ind w:left="540"/>
              <w:rPr>
                <w:rFonts w:ascii="宋体" w:cs="宋体"/>
                <w:color w:val="000000" w:themeColor="text1"/>
                <w:sz w:val="24"/>
                <w:highlight w:val="none"/>
                <w14:textFill>
                  <w14:solidFill>
                    <w14:schemeClr w14:val="tx1"/>
                  </w14:solidFill>
                </w14:textFill>
              </w:rPr>
            </w:pPr>
          </w:p>
        </w:tc>
      </w:tr>
      <w:tr w14:paraId="102A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726" w:type="dxa"/>
            <w:vAlign w:val="center"/>
          </w:tcPr>
          <w:p w14:paraId="2703CEED">
            <w:pPr>
              <w:pStyle w:val="46"/>
              <w:spacing w:before="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p>
        </w:tc>
        <w:tc>
          <w:tcPr>
            <w:tcW w:w="1679" w:type="dxa"/>
            <w:vAlign w:val="center"/>
          </w:tcPr>
          <w:p w14:paraId="0DEA2DB4">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w:t>
            </w:r>
          </w:p>
        </w:tc>
        <w:tc>
          <w:tcPr>
            <w:tcW w:w="5768" w:type="dxa"/>
            <w:vAlign w:val="center"/>
          </w:tcPr>
          <w:p w14:paraId="4DFFAD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报价是固定价且未超过预算金额（竞争性磋商文件有最高限价的，报价未超过最高限价）</w:t>
            </w:r>
          </w:p>
        </w:tc>
        <w:tc>
          <w:tcPr>
            <w:tcW w:w="1123" w:type="dxa"/>
            <w:vAlign w:val="center"/>
          </w:tcPr>
          <w:p w14:paraId="4637028B">
            <w:pPr>
              <w:pStyle w:val="46"/>
              <w:ind w:left="540"/>
              <w:rPr>
                <w:rFonts w:ascii="宋体" w:cs="宋体"/>
                <w:color w:val="000000" w:themeColor="text1"/>
                <w:sz w:val="24"/>
                <w:highlight w:val="none"/>
                <w14:textFill>
                  <w14:solidFill>
                    <w14:schemeClr w14:val="tx1"/>
                  </w14:solidFill>
                </w14:textFill>
              </w:rPr>
            </w:pPr>
          </w:p>
        </w:tc>
      </w:tr>
      <w:tr w14:paraId="1CEA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26" w:type="dxa"/>
            <w:vAlign w:val="center"/>
          </w:tcPr>
          <w:p w14:paraId="6A809945">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w:t>
            </w:r>
          </w:p>
        </w:tc>
        <w:tc>
          <w:tcPr>
            <w:tcW w:w="1679" w:type="dxa"/>
            <w:vAlign w:val="center"/>
          </w:tcPr>
          <w:p w14:paraId="1601DFA0">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报价修正</w:t>
            </w:r>
          </w:p>
        </w:tc>
        <w:tc>
          <w:tcPr>
            <w:tcW w:w="5768" w:type="dxa"/>
            <w:vAlign w:val="center"/>
          </w:tcPr>
          <w:p w14:paraId="07D3DCA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报价出现前后不一致时，供应商按照竞争性磋商文件评标办法要求确认修正后的报价</w:t>
            </w:r>
          </w:p>
        </w:tc>
        <w:tc>
          <w:tcPr>
            <w:tcW w:w="1123" w:type="dxa"/>
            <w:vAlign w:val="center"/>
          </w:tcPr>
          <w:p w14:paraId="083D3315">
            <w:pPr>
              <w:pStyle w:val="46"/>
              <w:ind w:left="540"/>
              <w:rPr>
                <w:rFonts w:ascii="宋体" w:cs="宋体"/>
                <w:color w:val="000000" w:themeColor="text1"/>
                <w:sz w:val="24"/>
                <w:highlight w:val="none"/>
                <w14:textFill>
                  <w14:solidFill>
                    <w14:schemeClr w14:val="tx1"/>
                  </w14:solidFill>
                </w14:textFill>
              </w:rPr>
            </w:pPr>
          </w:p>
        </w:tc>
      </w:tr>
      <w:tr w14:paraId="6D43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26" w:type="dxa"/>
            <w:vAlign w:val="center"/>
          </w:tcPr>
          <w:p w14:paraId="59E87F4B">
            <w:pPr>
              <w:pStyle w:val="46"/>
              <w:spacing w:before="23"/>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p>
        </w:tc>
        <w:tc>
          <w:tcPr>
            <w:tcW w:w="1679" w:type="dxa"/>
            <w:vAlign w:val="center"/>
          </w:tcPr>
          <w:p w14:paraId="5F5B7445">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磋商保证金</w:t>
            </w:r>
          </w:p>
        </w:tc>
        <w:tc>
          <w:tcPr>
            <w:tcW w:w="5768" w:type="dxa"/>
            <w:vAlign w:val="center"/>
          </w:tcPr>
          <w:p w14:paraId="7C1816A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62DFBC43">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信誉良好的供应商无须递交磋商保证金，但须提供经“信用中国”网站查询不存在行政处罚信息截图。</w:t>
            </w:r>
          </w:p>
        </w:tc>
        <w:tc>
          <w:tcPr>
            <w:tcW w:w="1123" w:type="dxa"/>
            <w:vAlign w:val="center"/>
          </w:tcPr>
          <w:p w14:paraId="6FC20C7A">
            <w:pPr>
              <w:pStyle w:val="46"/>
              <w:ind w:left="540"/>
              <w:rPr>
                <w:rFonts w:ascii="宋体" w:cs="宋体"/>
                <w:color w:val="000000" w:themeColor="text1"/>
                <w:sz w:val="24"/>
                <w:highlight w:val="none"/>
                <w14:textFill>
                  <w14:solidFill>
                    <w14:schemeClr w14:val="tx1"/>
                  </w14:solidFill>
                </w14:textFill>
              </w:rPr>
            </w:pPr>
          </w:p>
        </w:tc>
      </w:tr>
      <w:tr w14:paraId="5710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vAlign w:val="center"/>
          </w:tcPr>
          <w:p w14:paraId="0672E164">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w:t>
            </w:r>
          </w:p>
        </w:tc>
        <w:tc>
          <w:tcPr>
            <w:tcW w:w="1679" w:type="dxa"/>
            <w:vAlign w:val="center"/>
          </w:tcPr>
          <w:p w14:paraId="54B56CB2">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磋商有效期</w:t>
            </w:r>
          </w:p>
        </w:tc>
        <w:tc>
          <w:tcPr>
            <w:tcW w:w="5768" w:type="dxa"/>
            <w:vAlign w:val="center"/>
          </w:tcPr>
          <w:p w14:paraId="2866216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磋商有效期满足竞争性磋商文件要求</w:t>
            </w:r>
          </w:p>
        </w:tc>
        <w:tc>
          <w:tcPr>
            <w:tcW w:w="1123" w:type="dxa"/>
            <w:vAlign w:val="center"/>
          </w:tcPr>
          <w:p w14:paraId="02741463">
            <w:pPr>
              <w:pStyle w:val="46"/>
              <w:ind w:left="540"/>
              <w:rPr>
                <w:rFonts w:ascii="宋体" w:cs="宋体"/>
                <w:color w:val="000000" w:themeColor="text1"/>
                <w:sz w:val="24"/>
                <w:highlight w:val="none"/>
                <w14:textFill>
                  <w14:solidFill>
                    <w14:schemeClr w14:val="tx1"/>
                  </w14:solidFill>
                </w14:textFill>
              </w:rPr>
            </w:pPr>
          </w:p>
        </w:tc>
      </w:tr>
      <w:tr w14:paraId="7D9B7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vAlign w:val="center"/>
          </w:tcPr>
          <w:p w14:paraId="544FACC8">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p>
        </w:tc>
        <w:tc>
          <w:tcPr>
            <w:tcW w:w="1679" w:type="dxa"/>
            <w:vAlign w:val="center"/>
          </w:tcPr>
          <w:p w14:paraId="1204B03E">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磋商响应文件格式</w:t>
            </w:r>
          </w:p>
        </w:tc>
        <w:tc>
          <w:tcPr>
            <w:tcW w:w="5768" w:type="dxa"/>
            <w:vAlign w:val="center"/>
          </w:tcPr>
          <w:p w14:paraId="741FD150">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磋商响应文件按规定的格式填写，内容完整且关键字迹清晰；</w:t>
            </w:r>
          </w:p>
        </w:tc>
        <w:tc>
          <w:tcPr>
            <w:tcW w:w="1123" w:type="dxa"/>
            <w:vAlign w:val="center"/>
          </w:tcPr>
          <w:p w14:paraId="58325E54">
            <w:pPr>
              <w:pStyle w:val="46"/>
              <w:ind w:left="540"/>
              <w:rPr>
                <w:rFonts w:ascii="宋体" w:cs="宋体"/>
                <w:color w:val="000000" w:themeColor="text1"/>
                <w:sz w:val="24"/>
                <w:highlight w:val="none"/>
                <w14:textFill>
                  <w14:solidFill>
                    <w14:schemeClr w14:val="tx1"/>
                  </w14:solidFill>
                </w14:textFill>
              </w:rPr>
            </w:pPr>
          </w:p>
        </w:tc>
      </w:tr>
      <w:tr w14:paraId="45DD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726" w:type="dxa"/>
            <w:vAlign w:val="center"/>
          </w:tcPr>
          <w:p w14:paraId="42AE8D79">
            <w:pPr>
              <w:pStyle w:val="46"/>
              <w:spacing w:before="2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w:t>
            </w:r>
          </w:p>
        </w:tc>
        <w:tc>
          <w:tcPr>
            <w:tcW w:w="1679" w:type="dxa"/>
            <w:vAlign w:val="center"/>
          </w:tcPr>
          <w:p w14:paraId="3258EFA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备选方案</w:t>
            </w:r>
          </w:p>
        </w:tc>
        <w:tc>
          <w:tcPr>
            <w:tcW w:w="5768" w:type="dxa"/>
            <w:vAlign w:val="center"/>
          </w:tcPr>
          <w:p w14:paraId="1F1FB52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供应商不得提交两份或者多份内容不同的磋商响应文件， 或者在同一份响应文件中对同一磋商项目有两个或者多个报价；</w:t>
            </w:r>
          </w:p>
        </w:tc>
        <w:tc>
          <w:tcPr>
            <w:tcW w:w="1123" w:type="dxa"/>
            <w:vAlign w:val="center"/>
          </w:tcPr>
          <w:p w14:paraId="05025D3C">
            <w:pPr>
              <w:pStyle w:val="46"/>
              <w:ind w:left="540"/>
              <w:rPr>
                <w:rFonts w:ascii="宋体" w:cs="宋体"/>
                <w:color w:val="000000" w:themeColor="text1"/>
                <w:sz w:val="24"/>
                <w:highlight w:val="none"/>
                <w14:textFill>
                  <w14:solidFill>
                    <w14:schemeClr w14:val="tx1"/>
                  </w14:solidFill>
                </w14:textFill>
              </w:rPr>
            </w:pPr>
          </w:p>
        </w:tc>
      </w:tr>
      <w:tr w14:paraId="2E52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26" w:type="dxa"/>
            <w:vAlign w:val="center"/>
          </w:tcPr>
          <w:p w14:paraId="353DE669">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w:t>
            </w:r>
          </w:p>
        </w:tc>
        <w:tc>
          <w:tcPr>
            <w:tcW w:w="1679" w:type="dxa"/>
            <w:vAlign w:val="center"/>
          </w:tcPr>
          <w:p w14:paraId="726342E3">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磋商内容</w:t>
            </w:r>
          </w:p>
        </w:tc>
        <w:tc>
          <w:tcPr>
            <w:tcW w:w="5768" w:type="dxa"/>
            <w:vAlign w:val="center"/>
          </w:tcPr>
          <w:p w14:paraId="6F12C98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供应商提供的服务无实质性遗漏；</w:t>
            </w:r>
          </w:p>
        </w:tc>
        <w:tc>
          <w:tcPr>
            <w:tcW w:w="1123" w:type="dxa"/>
            <w:vAlign w:val="center"/>
          </w:tcPr>
          <w:p w14:paraId="47E782DD">
            <w:pPr>
              <w:pStyle w:val="46"/>
              <w:ind w:left="540"/>
              <w:rPr>
                <w:rFonts w:ascii="宋体" w:cs="宋体"/>
                <w:color w:val="000000" w:themeColor="text1"/>
                <w:sz w:val="24"/>
                <w:highlight w:val="none"/>
                <w14:textFill>
                  <w14:solidFill>
                    <w14:schemeClr w14:val="tx1"/>
                  </w14:solidFill>
                </w14:textFill>
              </w:rPr>
            </w:pPr>
          </w:p>
        </w:tc>
      </w:tr>
      <w:tr w14:paraId="7C15D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6" w:type="dxa"/>
            <w:vAlign w:val="center"/>
          </w:tcPr>
          <w:p w14:paraId="7FA4F5D4">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w:t>
            </w:r>
          </w:p>
        </w:tc>
        <w:tc>
          <w:tcPr>
            <w:tcW w:w="1679" w:type="dxa"/>
            <w:vAlign w:val="center"/>
          </w:tcPr>
          <w:p w14:paraId="3CC9B0C3">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技术磋商</w:t>
            </w:r>
          </w:p>
        </w:tc>
        <w:tc>
          <w:tcPr>
            <w:tcW w:w="5768" w:type="dxa"/>
            <w:vAlign w:val="center"/>
          </w:tcPr>
          <w:p w14:paraId="6762567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符合“采购需求”要求，无重大偏差；</w:t>
            </w:r>
          </w:p>
        </w:tc>
        <w:tc>
          <w:tcPr>
            <w:tcW w:w="1123" w:type="dxa"/>
            <w:vAlign w:val="center"/>
          </w:tcPr>
          <w:p w14:paraId="133F5506">
            <w:pPr>
              <w:pStyle w:val="46"/>
              <w:ind w:left="540"/>
              <w:rPr>
                <w:rFonts w:ascii="宋体" w:cs="宋体"/>
                <w:color w:val="000000" w:themeColor="text1"/>
                <w:sz w:val="24"/>
                <w:highlight w:val="none"/>
                <w14:textFill>
                  <w14:solidFill>
                    <w14:schemeClr w14:val="tx1"/>
                  </w14:solidFill>
                </w14:textFill>
              </w:rPr>
            </w:pPr>
          </w:p>
        </w:tc>
      </w:tr>
      <w:tr w14:paraId="41E6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26" w:type="dxa"/>
            <w:vAlign w:val="center"/>
          </w:tcPr>
          <w:p w14:paraId="55265154">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w:t>
            </w:r>
          </w:p>
        </w:tc>
        <w:tc>
          <w:tcPr>
            <w:tcW w:w="1679" w:type="dxa"/>
            <w:vAlign w:val="center"/>
          </w:tcPr>
          <w:p w14:paraId="7C92C8F9">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5768" w:type="dxa"/>
            <w:vAlign w:val="center"/>
          </w:tcPr>
          <w:p w14:paraId="02ACA93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满足竞争性磋商文件要求；</w:t>
            </w:r>
          </w:p>
        </w:tc>
        <w:tc>
          <w:tcPr>
            <w:tcW w:w="1123" w:type="dxa"/>
            <w:vAlign w:val="center"/>
          </w:tcPr>
          <w:p w14:paraId="2449A5BB">
            <w:pPr>
              <w:pStyle w:val="46"/>
              <w:ind w:left="540"/>
              <w:rPr>
                <w:rFonts w:ascii="宋体" w:cs="宋体"/>
                <w:color w:val="000000" w:themeColor="text1"/>
                <w:sz w:val="24"/>
                <w:highlight w:val="none"/>
                <w14:textFill>
                  <w14:solidFill>
                    <w14:schemeClr w14:val="tx1"/>
                  </w14:solidFill>
                </w14:textFill>
              </w:rPr>
            </w:pPr>
          </w:p>
        </w:tc>
      </w:tr>
      <w:tr w14:paraId="7499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26" w:type="dxa"/>
            <w:vAlign w:val="center"/>
          </w:tcPr>
          <w:p w14:paraId="372C39F3">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w:t>
            </w:r>
          </w:p>
        </w:tc>
        <w:tc>
          <w:tcPr>
            <w:tcW w:w="1679" w:type="dxa"/>
            <w:vAlign w:val="center"/>
          </w:tcPr>
          <w:p w14:paraId="1CB5CC29">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质量保修范围和保修期</w:t>
            </w:r>
          </w:p>
        </w:tc>
        <w:tc>
          <w:tcPr>
            <w:tcW w:w="5768" w:type="dxa"/>
            <w:vAlign w:val="center"/>
          </w:tcPr>
          <w:p w14:paraId="7CC98254">
            <w:pPr>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符合竞争性磋商文件要求；</w:t>
            </w:r>
          </w:p>
        </w:tc>
        <w:tc>
          <w:tcPr>
            <w:tcW w:w="1123" w:type="dxa"/>
            <w:vAlign w:val="center"/>
          </w:tcPr>
          <w:p w14:paraId="0A90BB50">
            <w:pPr>
              <w:pStyle w:val="46"/>
              <w:ind w:left="540"/>
              <w:rPr>
                <w:rFonts w:ascii="宋体" w:cs="宋体"/>
                <w:color w:val="000000" w:themeColor="text1"/>
                <w:sz w:val="24"/>
                <w:highlight w:val="none"/>
                <w14:textFill>
                  <w14:solidFill>
                    <w14:schemeClr w14:val="tx1"/>
                  </w14:solidFill>
                </w14:textFill>
              </w:rPr>
            </w:pPr>
          </w:p>
        </w:tc>
      </w:tr>
      <w:tr w14:paraId="7433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726" w:type="dxa"/>
            <w:vAlign w:val="center"/>
          </w:tcPr>
          <w:p w14:paraId="56C4A4E1">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w:t>
            </w:r>
          </w:p>
        </w:tc>
        <w:tc>
          <w:tcPr>
            <w:tcW w:w="1679" w:type="dxa"/>
            <w:vAlign w:val="center"/>
          </w:tcPr>
          <w:p w14:paraId="73E8CE1C">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其他无效情形</w:t>
            </w:r>
          </w:p>
        </w:tc>
        <w:tc>
          <w:tcPr>
            <w:tcW w:w="5768" w:type="dxa"/>
            <w:vAlign w:val="center"/>
          </w:tcPr>
          <w:p w14:paraId="1A55388C">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法律、法规和竞争性磋商文件规定的其他无效情形；</w:t>
            </w:r>
          </w:p>
        </w:tc>
        <w:tc>
          <w:tcPr>
            <w:tcW w:w="1123" w:type="dxa"/>
            <w:vAlign w:val="center"/>
          </w:tcPr>
          <w:p w14:paraId="09942D24">
            <w:pPr>
              <w:pStyle w:val="46"/>
              <w:ind w:left="540"/>
              <w:rPr>
                <w:rFonts w:ascii="宋体" w:cs="宋体"/>
                <w:color w:val="000000" w:themeColor="text1"/>
                <w:sz w:val="24"/>
                <w:highlight w:val="none"/>
                <w14:textFill>
                  <w14:solidFill>
                    <w14:schemeClr w14:val="tx1"/>
                  </w14:solidFill>
                </w14:textFill>
              </w:rPr>
            </w:pPr>
          </w:p>
        </w:tc>
      </w:tr>
      <w:tr w14:paraId="7896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405" w:type="dxa"/>
            <w:gridSpan w:val="2"/>
            <w:vAlign w:val="center"/>
          </w:tcPr>
          <w:p w14:paraId="24D4A627">
            <w:pPr>
              <w:pStyle w:val="46"/>
              <w:spacing w:before="23"/>
              <w:jc w:val="center"/>
              <w:rPr>
                <w:rFonts w:ascii="宋体" w:cs="宋体"/>
                <w:b/>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评审结论（合格/不合格）</w:t>
            </w:r>
          </w:p>
        </w:tc>
        <w:tc>
          <w:tcPr>
            <w:tcW w:w="6891" w:type="dxa"/>
            <w:gridSpan w:val="2"/>
            <w:vAlign w:val="center"/>
          </w:tcPr>
          <w:p w14:paraId="05DBE1E0">
            <w:pPr>
              <w:pStyle w:val="46"/>
              <w:ind w:left="540"/>
              <w:rPr>
                <w:rFonts w:ascii="宋体" w:cs="宋体"/>
                <w:color w:val="000000" w:themeColor="text1"/>
                <w:sz w:val="24"/>
                <w:highlight w:val="none"/>
                <w14:textFill>
                  <w14:solidFill>
                    <w14:schemeClr w14:val="tx1"/>
                  </w14:solidFill>
                </w14:textFill>
              </w:rPr>
            </w:pPr>
          </w:p>
        </w:tc>
      </w:tr>
    </w:tbl>
    <w:p w14:paraId="6DC6914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注：本表中符合评审内容要求的写“√”，不符合评审内容要求的写“×”。结论为“合格”或“不合格。结论不合格的不进入综合评审阶段。</w:t>
      </w:r>
    </w:p>
    <w:p w14:paraId="114889D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磋商响应文件属下列情况之一的，应当在资格性、符合性检查时按照无效投标处理：</w:t>
      </w:r>
    </w:p>
    <w:p w14:paraId="19061AB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（一）未按照规定递交磋商保证金的；</w:t>
      </w:r>
    </w:p>
    <w:p w14:paraId="0795AC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（二）未按照竞争性磋商文件规定要求签署、盖章的；</w:t>
      </w:r>
    </w:p>
    <w:p w14:paraId="6B736DA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（三）不具备竞争性磋商文件中规定资格要求的；</w:t>
      </w:r>
    </w:p>
    <w:p w14:paraId="76C8184D">
      <w:pPr>
        <w:numPr>
          <w:ilvl w:val="0"/>
          <w:numId w:val="1"/>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报价超过竞争性磋商文件中规定的预算金额或者最高限价的；</w:t>
      </w:r>
    </w:p>
    <w:p w14:paraId="62A357DE">
      <w:pPr>
        <w:numPr>
          <w:ilvl w:val="0"/>
          <w:numId w:val="1"/>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磋商响应文件含有采购人不能接受的附加条件的；</w:t>
      </w:r>
    </w:p>
    <w:p w14:paraId="56B76CB2">
      <w:pPr>
        <w:numPr>
          <w:ilvl w:val="0"/>
          <w:numId w:val="1"/>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不符合法律、法规和竞争性磋商文件中规定的其他实质性要求的。</w:t>
      </w:r>
    </w:p>
    <w:p w14:paraId="4D6985E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审查供应商是否存在串通投标行为：磋商小组发现有下列情形之一的，视为供应商串通投标，其投标无效：</w:t>
      </w:r>
    </w:p>
    <w:p w14:paraId="7EA61CD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（一）不同供应商的磋商响应文件由同一单位或者个人编制；</w:t>
      </w:r>
    </w:p>
    <w:p w14:paraId="09A27C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（二）不同供应商委托同一单位或者个人办理磋商事宜；</w:t>
      </w:r>
    </w:p>
    <w:p w14:paraId="09FE624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（三）不同供应商的磋商响应文件载明的项目管理成员或者联系人员为同一人；</w:t>
      </w:r>
    </w:p>
    <w:p w14:paraId="4494E5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（四）不同供应商的磋商响应文件异常一致或者报价呈规律性差异；</w:t>
      </w:r>
    </w:p>
    <w:p w14:paraId="1B730B0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（五）不同供应商的磋商响应文件相互混装；</w:t>
      </w:r>
    </w:p>
    <w:p w14:paraId="5C8382D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（六）不同供应商的磋商保证金从同一单位或者个人的账户转出。</w:t>
      </w:r>
    </w:p>
    <w:p w14:paraId="4E27549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注：经磋商小组评审合格供应商的家数不足三家，该项目废标，采购人有权委托采购代理机构重新组织采购。</w:t>
      </w:r>
    </w:p>
    <w:p w14:paraId="3E37673C">
      <w:pPr>
        <w:spacing w:line="360" w:lineRule="auto"/>
        <w:ind w:firstLine="482" w:firstLineChars="200"/>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1.2澄清有关问题。</w:t>
      </w:r>
      <w:r>
        <w:rPr>
          <w:rFonts w:hint="eastAsia" w:ascii="宋体" w:cs="宋体"/>
          <w:color w:val="000000" w:themeColor="text1"/>
          <w:sz w:val="24"/>
          <w:highlight w:val="none"/>
          <w14:textFill>
            <w14:solidFill>
              <w14:schemeClr w14:val="tx1"/>
            </w14:solidFill>
          </w14:textFill>
        </w:rPr>
        <w:t>对磋商响应文件中含义不明确、同类问题表述不一致或者有明显文字和计算错误的内容，磋商小组可以书面形式要求供应商做出必要的澄清、说明或者纠正。供应商的澄清、说明或者补正不得超出磋商响应文件的范围或者改变磋商响应文件的实质性内容。</w:t>
      </w:r>
    </w:p>
    <w:p w14:paraId="13D89D2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1.2.1磋商小组将允许修正磋商响应文件中不构成重大偏离的细微偏离，但这些修正应不会对实质上响应竞争性磋商文件要求的供应商的竞争地位（相互排序）产生不公正的影响。</w:t>
      </w:r>
    </w:p>
    <w:p w14:paraId="27CBA57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1.2.2磋商响应文件报价出现前后不一致的，除竞争性磋商文件另有规定外，按照下列规定修正：</w:t>
      </w:r>
    </w:p>
    <w:p w14:paraId="74AF896F">
      <w:pPr>
        <w:numPr>
          <w:ilvl w:val="0"/>
          <w:numId w:val="2"/>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磋商响应文件中磋商（报价表）内容与磋商响应文件中相应内容不一致的，以报价一览表（报价表）为准；</w:t>
      </w:r>
    </w:p>
    <w:p w14:paraId="1EFCE382">
      <w:pPr>
        <w:numPr>
          <w:ilvl w:val="0"/>
          <w:numId w:val="2"/>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大写金额和小写金额不一致的，以大写金额为准；</w:t>
      </w:r>
    </w:p>
    <w:p w14:paraId="2337F490">
      <w:pPr>
        <w:numPr>
          <w:ilvl w:val="0"/>
          <w:numId w:val="2"/>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单价金额小数点或者百分比有明显错位的，以报价一览表的总价为准，并修改单价；</w:t>
      </w:r>
    </w:p>
    <w:p w14:paraId="4746CE60">
      <w:pPr>
        <w:numPr>
          <w:ilvl w:val="0"/>
          <w:numId w:val="2"/>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总价金额与按单价汇总金额不一致的，以单价金额计算结果为准。</w:t>
      </w:r>
    </w:p>
    <w:p w14:paraId="5E45F21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同时出现两种以上不一致的，按照规定的顺序修正。修正后的报价经供应商确认后产生约束力，供应商不确认的，其投标无效。</w:t>
      </w:r>
    </w:p>
    <w:p w14:paraId="7F3283B5">
      <w:pPr>
        <w:spacing w:line="360" w:lineRule="auto"/>
        <w:ind w:firstLine="482" w:firstLineChars="200"/>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1.2.3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p w14:paraId="51A3B8CD">
      <w:pPr>
        <w:pStyle w:val="22"/>
        <w:spacing w:beforeAutospacing="0" w:afterAutospacing="0" w:line="360" w:lineRule="auto"/>
        <w:ind w:firstLine="482" w:firstLineChars="200"/>
        <w:jc w:val="both"/>
        <w:rPr>
          <w:b/>
          <w:bCs/>
          <w:color w:val="000000" w:themeColor="text1"/>
          <w:kern w:val="2"/>
          <w:highlight w:val="none"/>
          <w14:textFill>
            <w14:solidFill>
              <w14:schemeClr w14:val="tx1"/>
            </w14:solidFill>
          </w14:textFill>
        </w:rPr>
      </w:pPr>
      <w:r>
        <w:rPr>
          <w:rFonts w:hint="eastAsia"/>
          <w:b/>
          <w:bCs/>
          <w:color w:val="000000" w:themeColor="text1"/>
          <w:kern w:val="2"/>
          <w:highlight w:val="none"/>
          <w14:textFill>
            <w14:solidFill>
              <w14:schemeClr w14:val="tx1"/>
            </w14:solidFill>
          </w14:textFill>
        </w:rPr>
        <w:t>1.3磋商小组应当按照竞争性磋商文件中规定的评标方法和标准，对符合性审查合格的磋商响应文件进行商务和技术评估，综合比较与评价。</w:t>
      </w:r>
    </w:p>
    <w:p w14:paraId="692DBAD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 本项目采用综合评分法评标，磋商小组将按下述标准评定成交供应商：独立对每个供应商的响应文件进行评价，并汇总每个供应商的得分。按评审后得分由高到低顺序排列。得分相同的，按磋商报价由低到高顺序排列。得分且磋商报价相同的并列。响应文件满足竞争性磋商文件全部实质性要求，且按照评审因素的量化指标评审得分最高的供应商为排名第一的为成交供应商。</w:t>
      </w:r>
    </w:p>
    <w:p w14:paraId="6C5620E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使用综合评分法的采购项目，提供相同品牌产品且通过资格审查、符合性审查的不同供应商参加同一合同项下投标的，按一家供应商计算，评审后得分最高的同品牌供应商获得成交供应商推荐资格；评审得分相同的，由磋商小组采取随机抽取方式确定，其他同品牌供应商不作为成交候选人。</w:t>
      </w:r>
    </w:p>
    <w:p w14:paraId="2A388F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非单一产品采购项目，采购人根据采购项目技术构成、产品价格比重等合理确定核心产品，并在竞争性磋商文件第五章中载明。多家供应商提供的核心产品品牌相同的，按前款规定处理。</w:t>
      </w:r>
    </w:p>
    <w:p w14:paraId="7171852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4715907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1.3.1.1综合评分法评分细则（计算结果精确到小数点后两位）：</w:t>
      </w:r>
    </w:p>
    <w:tbl>
      <w:tblPr>
        <w:tblStyle w:val="2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81"/>
        <w:gridCol w:w="5867"/>
      </w:tblGrid>
      <w:tr w14:paraId="4D4F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14:paraId="694D45E6">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评分项目及总分值</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6502BD8E">
            <w:pPr>
              <w:widowControl/>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评审内容</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1DF55F7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评审标准</w:t>
            </w:r>
          </w:p>
        </w:tc>
      </w:tr>
      <w:tr w14:paraId="46DD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682" w:type="dxa"/>
            <w:tcBorders>
              <w:top w:val="single" w:color="auto" w:sz="4" w:space="0"/>
              <w:left w:val="single" w:color="auto" w:sz="4" w:space="0"/>
              <w:right w:val="single" w:color="auto" w:sz="4" w:space="0"/>
            </w:tcBorders>
            <w:noWrap w:val="0"/>
            <w:vAlign w:val="center"/>
          </w:tcPr>
          <w:p w14:paraId="66604BFC">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报价</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735AF622">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报价</w:t>
            </w:r>
          </w:p>
          <w:p w14:paraId="4E22F2CA">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5085F5DC">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有效报价：指按磋商文件规定的所有项目的报价为完整、合理且不高于采购预算的并且通过初步审查的投标报价。</w:t>
            </w:r>
          </w:p>
          <w:p w14:paraId="54CE586D">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评标基准价：评标基准价为所有的投标有效报价的最低报价。</w:t>
            </w:r>
          </w:p>
          <w:p w14:paraId="12C5DD32">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投标报价得分：有效投标报价等于评标基准价得满分</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分，其他</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的价格分统一按照下列公式计算：</w:t>
            </w:r>
          </w:p>
          <w:p w14:paraId="0DB38C94">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投标报价得分=(评标基准价／投标报价)×</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（计算至小数点后两位，下同)，本项得分最高分为</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分，最低为零分，不计负分。</w:t>
            </w:r>
          </w:p>
        </w:tc>
      </w:tr>
      <w:tr w14:paraId="007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restart"/>
            <w:tcBorders>
              <w:left w:val="single" w:color="auto" w:sz="4" w:space="0"/>
              <w:right w:val="single" w:color="auto" w:sz="4" w:space="0"/>
            </w:tcBorders>
            <w:noWrap w:val="0"/>
            <w:vAlign w:val="center"/>
          </w:tcPr>
          <w:p w14:paraId="0A46D418">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商务部分</w:t>
            </w:r>
          </w:p>
          <w:p w14:paraId="266CF781">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20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38980F5">
            <w:pPr>
              <w:widowControl/>
              <w:spacing w:line="240" w:lineRule="atLeas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项目业绩</w:t>
            </w:r>
          </w:p>
          <w:p w14:paraId="353576D1">
            <w:pPr>
              <w:widowControl/>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（0-10分）</w:t>
            </w:r>
          </w:p>
        </w:tc>
        <w:tc>
          <w:tcPr>
            <w:tcW w:w="5867" w:type="dxa"/>
            <w:tcBorders>
              <w:top w:val="single" w:color="auto" w:sz="4" w:space="0"/>
              <w:left w:val="single" w:color="auto" w:sz="4" w:space="0"/>
              <w:right w:val="single" w:color="auto" w:sz="4" w:space="0"/>
            </w:tcBorders>
            <w:noWrap w:val="0"/>
            <w:vAlign w:val="center"/>
          </w:tcPr>
          <w:p w14:paraId="05EA13EE">
            <w:pPr>
              <w:widowControl/>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近三年</w:t>
            </w:r>
            <w:r>
              <w:rPr>
                <w:rFonts w:hint="eastAsia" w:ascii="宋体" w:hAnsi="宋体" w:eastAsia="宋体" w:cs="宋体"/>
                <w:bCs/>
                <w:color w:val="000000" w:themeColor="text1"/>
                <w:sz w:val="24"/>
                <w:szCs w:val="24"/>
                <w:highlight w:val="none"/>
                <w:lang w:val="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02</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年至今）</w:t>
            </w:r>
            <w:r>
              <w:rPr>
                <w:rFonts w:hint="eastAsia" w:ascii="宋体" w:hAnsi="宋体" w:eastAsia="宋体" w:cs="宋体"/>
                <w:bCs/>
                <w:color w:val="000000" w:themeColor="text1"/>
                <w:sz w:val="24"/>
                <w:szCs w:val="24"/>
                <w:highlight w:val="none"/>
                <w:lang w:val="zh-CN"/>
                <w14:textFill>
                  <w14:solidFill>
                    <w14:schemeClr w14:val="tx1"/>
                  </w14:solidFill>
                </w14:textFill>
              </w:rPr>
              <w:t>类似</w:t>
            </w:r>
            <w:r>
              <w:rPr>
                <w:rFonts w:hint="eastAsia" w:ascii="宋体" w:hAnsi="宋体" w:eastAsia="宋体" w:cs="宋体"/>
                <w:bCs/>
                <w:color w:val="000000" w:themeColor="text1"/>
                <w:sz w:val="24"/>
                <w:szCs w:val="24"/>
                <w:highlight w:val="none"/>
                <w14:textFill>
                  <w14:solidFill>
                    <w14:schemeClr w14:val="tx1"/>
                  </w14:solidFill>
                </w14:textFill>
              </w:rPr>
              <w:t>项目的</w:t>
            </w:r>
            <w:r>
              <w:rPr>
                <w:rFonts w:hint="eastAsia" w:ascii="宋体" w:hAnsi="宋体" w:eastAsia="宋体" w:cs="宋体"/>
                <w:bCs/>
                <w:color w:val="000000" w:themeColor="text1"/>
                <w:sz w:val="24"/>
                <w:szCs w:val="24"/>
                <w:highlight w:val="none"/>
                <w:lang w:val="zh-CN"/>
                <w14:textFill>
                  <w14:solidFill>
                    <w14:schemeClr w14:val="tx1"/>
                  </w14:solidFill>
                </w14:textFill>
              </w:rPr>
              <w:t>业绩，每提供一个得</w:t>
            </w: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分，最高得</w:t>
            </w:r>
            <w:r>
              <w:rPr>
                <w:rFonts w:hint="eastAsia" w:ascii="宋体" w:hAnsi="宋体" w:eastAsia="宋体" w:cs="宋体"/>
                <w:bCs/>
                <w:color w:val="000000" w:themeColor="text1"/>
                <w:sz w:val="24"/>
                <w:szCs w:val="24"/>
                <w:highlight w:val="none"/>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分。（以响应文件中加盖</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公章的中标通知书复印件</w:t>
            </w:r>
            <w:r>
              <w:rPr>
                <w:rFonts w:hint="eastAsia" w:ascii="宋体" w:hAnsi="宋体" w:eastAsia="宋体" w:cs="宋体"/>
                <w:bCs/>
                <w:color w:val="000000" w:themeColor="text1"/>
                <w:sz w:val="24"/>
                <w:szCs w:val="24"/>
                <w:highlight w:val="none"/>
                <w14:textFill>
                  <w14:solidFill>
                    <w14:schemeClr w14:val="tx1"/>
                  </w14:solidFill>
                </w14:textFill>
              </w:rPr>
              <w:t>或</w:t>
            </w:r>
            <w:r>
              <w:rPr>
                <w:rFonts w:hint="eastAsia" w:ascii="宋体" w:hAnsi="宋体" w:eastAsia="宋体" w:cs="宋体"/>
                <w:bCs/>
                <w:color w:val="000000" w:themeColor="text1"/>
                <w:sz w:val="24"/>
                <w:szCs w:val="24"/>
                <w:highlight w:val="none"/>
                <w:lang w:val="zh-CN"/>
                <w14:textFill>
                  <w14:solidFill>
                    <w14:schemeClr w14:val="tx1"/>
                  </w14:solidFill>
                </w14:textFill>
              </w:rPr>
              <w:t>合同复印件为评分依据）</w:t>
            </w:r>
          </w:p>
        </w:tc>
      </w:tr>
      <w:tr w14:paraId="3D9F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continue"/>
            <w:tcBorders>
              <w:left w:val="single" w:color="auto" w:sz="4" w:space="0"/>
              <w:right w:val="single" w:color="auto" w:sz="4" w:space="0"/>
            </w:tcBorders>
            <w:noWrap w:val="0"/>
            <w:vAlign w:val="center"/>
          </w:tcPr>
          <w:p w14:paraId="5D9804FD">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25B93C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优惠条件</w:t>
            </w:r>
          </w:p>
          <w:p w14:paraId="664DB1F0">
            <w:pPr>
              <w:jc w:val="center"/>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right w:val="single" w:color="auto" w:sz="4" w:space="0"/>
            </w:tcBorders>
            <w:noWrap w:val="0"/>
            <w:vAlign w:val="center"/>
          </w:tcPr>
          <w:p w14:paraId="79049EE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根据各合格</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的优惠条件进行评比。</w:t>
            </w:r>
          </w:p>
          <w:p w14:paraId="0C6B567D">
            <w:pPr>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bidi="ar"/>
                <w14:textFill>
                  <w14:solidFill>
                    <w14:schemeClr w14:val="tx1"/>
                  </w14:solidFill>
                </w14:textFill>
              </w:rPr>
              <w:t>供应商合理的其他优惠条件，有实质性政策的每有一条得</w:t>
            </w:r>
            <w:r>
              <w:rPr>
                <w:rFonts w:hint="eastAsia" w:ascii="宋体" w:hAnsi="宋体" w:eastAsia="宋体" w:cs="宋体"/>
                <w:bCs/>
                <w:color w:val="000000" w:themeColor="text1"/>
                <w:sz w:val="24"/>
                <w:szCs w:val="24"/>
                <w:highlight w:val="none"/>
                <w:lang w:bidi="ar"/>
                <w14:textFill>
                  <w14:solidFill>
                    <w14:schemeClr w14:val="tx1"/>
                  </w14:solidFill>
                </w14:textFill>
              </w:rPr>
              <w:t>1分，满分5分，没有不得分。</w:t>
            </w:r>
          </w:p>
        </w:tc>
      </w:tr>
      <w:tr w14:paraId="7C61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continue"/>
            <w:tcBorders>
              <w:left w:val="single" w:color="auto" w:sz="4" w:space="0"/>
              <w:right w:val="single" w:color="auto" w:sz="4" w:space="0"/>
            </w:tcBorders>
            <w:noWrap w:val="0"/>
            <w:vAlign w:val="center"/>
          </w:tcPr>
          <w:p w14:paraId="5B13DFA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2CB80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服务承诺</w:t>
            </w:r>
          </w:p>
          <w:p w14:paraId="5385560C">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（0-5分）</w:t>
            </w:r>
          </w:p>
        </w:tc>
        <w:tc>
          <w:tcPr>
            <w:tcW w:w="5867" w:type="dxa"/>
            <w:tcBorders>
              <w:top w:val="single" w:color="auto" w:sz="4" w:space="0"/>
              <w:left w:val="single" w:color="auto" w:sz="4" w:space="0"/>
              <w:right w:val="single" w:color="auto" w:sz="4" w:space="0"/>
            </w:tcBorders>
            <w:noWrap w:val="0"/>
            <w:vAlign w:val="center"/>
          </w:tcPr>
          <w:p w14:paraId="32208B55">
            <w:pPr>
              <w:jc w:val="left"/>
              <w:rPr>
                <w:rFonts w:hint="eastAsia" w:ascii="宋体" w:hAnsi="宋体" w:eastAsia="宋体" w:cs="宋体"/>
                <w:bCs/>
                <w:color w:val="000000" w:themeColor="text1"/>
                <w:sz w:val="24"/>
                <w:szCs w:val="24"/>
                <w:highlight w:val="none"/>
                <w:lang w:val="zh-CN" w:bidi="ar"/>
                <w14:textFill>
                  <w14:solidFill>
                    <w14:schemeClr w14:val="tx1"/>
                  </w14:solidFill>
                </w14:textFill>
              </w:rPr>
            </w:pPr>
            <w:r>
              <w:rPr>
                <w:rFonts w:hint="eastAsia" w:ascii="宋体" w:hAnsi="宋体" w:cs="宋体"/>
                <w:bCs/>
                <w:color w:val="000000" w:themeColor="text1"/>
                <w:sz w:val="24"/>
                <w:szCs w:val="24"/>
                <w:highlight w:val="none"/>
                <w:lang w:val="zh-CN" w:bidi="ar"/>
                <w14:textFill>
                  <w14:solidFill>
                    <w14:schemeClr w14:val="tx1"/>
                  </w14:solidFill>
                </w14:textFill>
              </w:rPr>
              <w:t>磋商小组</w:t>
            </w:r>
            <w:r>
              <w:rPr>
                <w:rFonts w:hint="eastAsia" w:ascii="宋体" w:hAnsi="宋体" w:eastAsia="宋体" w:cs="宋体"/>
                <w:bCs/>
                <w:color w:val="000000" w:themeColor="text1"/>
                <w:sz w:val="24"/>
                <w:szCs w:val="24"/>
                <w:highlight w:val="none"/>
                <w:lang w:val="zh-CN" w:bidi="ar"/>
                <w14:textFill>
                  <w14:solidFill>
                    <w14:schemeClr w14:val="tx1"/>
                  </w14:solidFill>
                </w14:textFill>
              </w:rPr>
              <w:t>根据各合格</w:t>
            </w:r>
            <w:r>
              <w:rPr>
                <w:rFonts w:hint="eastAsia" w:ascii="宋体" w:hAnsi="宋体" w:cs="宋体"/>
                <w:bCs/>
                <w:color w:val="000000" w:themeColor="text1"/>
                <w:sz w:val="24"/>
                <w:szCs w:val="24"/>
                <w:highlight w:val="none"/>
                <w:lang w:val="zh-CN" w:bidi="ar"/>
                <w14:textFill>
                  <w14:solidFill>
                    <w14:schemeClr w14:val="tx1"/>
                  </w14:solidFill>
                </w14:textFill>
              </w:rPr>
              <w:t>供应商</w:t>
            </w:r>
            <w:r>
              <w:rPr>
                <w:rFonts w:hint="eastAsia" w:ascii="宋体" w:hAnsi="宋体" w:eastAsia="宋体" w:cs="宋体"/>
                <w:bCs/>
                <w:color w:val="000000" w:themeColor="text1"/>
                <w:sz w:val="24"/>
                <w:szCs w:val="24"/>
                <w:highlight w:val="none"/>
                <w:lang w:val="zh-CN" w:bidi="ar"/>
                <w14:textFill>
                  <w14:solidFill>
                    <w14:schemeClr w14:val="tx1"/>
                  </w14:solidFill>
                </w14:textFill>
              </w:rPr>
              <w:t>的服务承诺进行评比。</w:t>
            </w:r>
          </w:p>
          <w:p w14:paraId="10370EB9">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bidi="ar"/>
                <w14:textFill>
                  <w14:solidFill>
                    <w14:schemeClr w14:val="tx1"/>
                  </w14:solidFill>
                </w14:textFill>
              </w:rPr>
              <w:t>有实质性政策的每有一条得1分，满分</w:t>
            </w:r>
            <w:r>
              <w:rPr>
                <w:rFonts w:hint="eastAsia" w:ascii="宋体" w:hAnsi="宋体" w:eastAsia="宋体" w:cs="宋体"/>
                <w:bCs/>
                <w:color w:val="000000" w:themeColor="text1"/>
                <w:sz w:val="24"/>
                <w:szCs w:val="24"/>
                <w:highlight w:val="none"/>
                <w:lang w:bidi="ar"/>
                <w14:textFill>
                  <w14:solidFill>
                    <w14:schemeClr w14:val="tx1"/>
                  </w14:solidFill>
                </w14:textFill>
              </w:rPr>
              <w:t>5</w:t>
            </w:r>
            <w:r>
              <w:rPr>
                <w:rFonts w:hint="eastAsia" w:ascii="宋体" w:hAnsi="宋体" w:eastAsia="宋体" w:cs="宋体"/>
                <w:bCs/>
                <w:color w:val="000000" w:themeColor="text1"/>
                <w:sz w:val="24"/>
                <w:szCs w:val="24"/>
                <w:highlight w:val="none"/>
                <w:lang w:val="zh-CN" w:bidi="ar"/>
                <w14:textFill>
                  <w14:solidFill>
                    <w14:schemeClr w14:val="tx1"/>
                  </w14:solidFill>
                </w14:textFill>
              </w:rPr>
              <w:t>分，没有不得分。</w:t>
            </w:r>
          </w:p>
        </w:tc>
      </w:tr>
      <w:tr w14:paraId="070D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restart"/>
            <w:tcBorders>
              <w:left w:val="single" w:color="auto" w:sz="4" w:space="0"/>
              <w:right w:val="single" w:color="auto" w:sz="4" w:space="0"/>
            </w:tcBorders>
            <w:noWrap w:val="0"/>
            <w:vAlign w:val="center"/>
          </w:tcPr>
          <w:p w14:paraId="245EDA32">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w:t>
            </w:r>
            <w:r>
              <w:rPr>
                <w:rFonts w:hint="eastAsia" w:ascii="宋体" w:hAnsi="宋体" w:eastAsia="宋体" w:cs="宋体"/>
                <w:bCs/>
                <w:color w:val="000000" w:themeColor="text1"/>
                <w:sz w:val="24"/>
                <w:szCs w:val="24"/>
                <w:highlight w:val="none"/>
                <w:lang w:val="zh-CN"/>
                <w14:textFill>
                  <w14:solidFill>
                    <w14:schemeClr w14:val="tx1"/>
                  </w14:solidFill>
                </w14:textFill>
              </w:rPr>
              <w:t>部分</w:t>
            </w:r>
          </w:p>
          <w:p w14:paraId="717055CF">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50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left w:val="single" w:color="auto" w:sz="4" w:space="0"/>
              <w:right w:val="single" w:color="auto" w:sz="4" w:space="0"/>
            </w:tcBorders>
            <w:noWrap w:val="0"/>
            <w:vAlign w:val="center"/>
          </w:tcPr>
          <w:p w14:paraId="0A306B7C">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项目实施方案（</w:t>
            </w:r>
            <w:r>
              <w:rPr>
                <w:rFonts w:hint="eastAsia" w:ascii="宋体" w:hAnsi="宋体" w:eastAsia="宋体" w:cs="宋体"/>
                <w:bCs/>
                <w:color w:val="000000" w:themeColor="text1"/>
                <w:sz w:val="24"/>
                <w:szCs w:val="24"/>
                <w:highlight w:val="none"/>
                <w14:textFill>
                  <w14:solidFill>
                    <w14:schemeClr w14:val="tx1"/>
                  </w14:solidFill>
                </w14:textFill>
              </w:rPr>
              <w:t>0-10分</w:t>
            </w:r>
            <w:r>
              <w:rPr>
                <w:rFonts w:hint="eastAsia" w:ascii="宋体" w:hAnsi="宋体" w:eastAsia="宋体" w:cs="宋体"/>
                <w:bCs/>
                <w:color w:val="000000" w:themeColor="text1"/>
                <w:sz w:val="24"/>
                <w:szCs w:val="24"/>
                <w:highlight w:val="none"/>
                <w:lang w:val="zh-CN"/>
                <w14:textFill>
                  <w14:solidFill>
                    <w14:schemeClr w14:val="tx1"/>
                  </w14:solidFill>
                </w14:textFill>
              </w:rPr>
              <w:t>）</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6801602B">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根据</w:t>
            </w:r>
            <w:r>
              <w:rPr>
                <w:rFonts w:hint="eastAsia" w:ascii="宋体" w:hAnsi="宋体" w:cs="宋体"/>
                <w:bCs/>
                <w:color w:val="000000" w:themeColor="text1"/>
                <w:sz w:val="24"/>
                <w:szCs w:val="24"/>
                <w:highlight w:val="none"/>
                <w:lang w:val="zh-CN"/>
                <w14:textFill>
                  <w14:solidFill>
                    <w14:schemeClr w14:val="tx1"/>
                  </w14:solidFill>
                </w14:textFill>
              </w:rPr>
              <w:t>合格供应商</w:t>
            </w:r>
            <w:r>
              <w:rPr>
                <w:rFonts w:hint="eastAsia" w:ascii="宋体" w:hAnsi="宋体" w:eastAsia="宋体" w:cs="宋体"/>
                <w:bCs/>
                <w:color w:val="000000" w:themeColor="text1"/>
                <w:sz w:val="24"/>
                <w:szCs w:val="24"/>
                <w:highlight w:val="none"/>
                <w:lang w:val="zh-CN"/>
                <w14:textFill>
                  <w14:solidFill>
                    <w14:schemeClr w14:val="tx1"/>
                  </w14:solidFill>
                </w14:textFill>
              </w:rPr>
              <w:t>针对本项目所提供的项目实施方案，包括但不限于交货进度安排，项目验收方案，进度计划、质量保证措施、文明措施进行横向综合评审：交货及进度安排非常合理</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lang w:val="zh-CN"/>
                <w14:textFill>
                  <w14:solidFill>
                    <w14:schemeClr w14:val="tx1"/>
                  </w14:solidFill>
                </w14:textFill>
              </w:rPr>
              <w:t>项目验收方案非常详细，质量保证及文明措施非常完善、系统全面，可行性非常强的得</w:t>
            </w:r>
            <w:r>
              <w:rPr>
                <w:rFonts w:hint="eastAsia" w:ascii="宋体" w:hAnsi="宋体" w:eastAsia="宋体" w:cs="宋体"/>
                <w:bCs/>
                <w:color w:val="000000" w:themeColor="text1"/>
                <w:sz w:val="24"/>
                <w:szCs w:val="24"/>
                <w:highlight w:val="none"/>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分；交货及进度安排较为合理，项目验收方案详细， 质量保证及文明措施较为完善、系统全面，可行性较强的得</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分；交货及进度安排基本合理，项目验收方案不太详细，质量保证及文明措施基本完善，具有一定可行性的得</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分；未提供对应方案不得分。</w:t>
            </w:r>
          </w:p>
        </w:tc>
      </w:tr>
      <w:tr w14:paraId="2447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271515F1">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418750DB">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紧急情况的处理措施、预案以及抵抗风险的措施</w:t>
            </w:r>
          </w:p>
          <w:p w14:paraId="2E7C6377">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5464B23">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根据</w:t>
            </w:r>
            <w:r>
              <w:rPr>
                <w:rFonts w:hint="eastAsia" w:ascii="宋体" w:hAnsi="宋体" w:cs="宋体"/>
                <w:bCs/>
                <w:color w:val="000000" w:themeColor="text1"/>
                <w:sz w:val="24"/>
                <w:szCs w:val="24"/>
                <w:highlight w:val="none"/>
                <w:lang w:val="zh-CN"/>
                <w14:textFill>
                  <w14:solidFill>
                    <w14:schemeClr w14:val="tx1"/>
                  </w14:solidFill>
                </w14:textFill>
              </w:rPr>
              <w:t>合格供应商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提供的紧急情况的处理措施、预案以及抵抗风险的措施进行综合比较，</w:t>
            </w:r>
          </w:p>
          <w:p w14:paraId="00D0B73A">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紧急情况的处理措施、预案全面、有效，抵抗风险的措施能够充分满足本项目要求的得10分，</w:t>
            </w:r>
          </w:p>
          <w:p w14:paraId="39BC97B7">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紧急情况的处理措施、预案较全面、有效，抵抗风险的措施未充分满足本项目要求的得7分；</w:t>
            </w:r>
          </w:p>
          <w:p w14:paraId="73255F19">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紧急情况的处理措施、预案不全面，抵抗风险的措施未充分满足本项目要求的得3分，未提供不得分。</w:t>
            </w:r>
          </w:p>
        </w:tc>
      </w:tr>
      <w:tr w14:paraId="2BEC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41A72824">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5193B13B">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供货进度保证措施（0-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3776838D">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提供的供货进度保证措施进行评审，措施描述详细完善、科学合理、切实可行、能够最大限度的保障各项工作时间节点满足项目需求或提前保质保量完成的，得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分；措施描述较为完善、合理、可行，在工作时间节点满足项目需求前提下，一部分工作内容能够提前保质保量完成的，得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分；措施描述中规中矩，工作时间节点能够满足项目需求的，得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分；措施描述存在瑕疵或漏洞，可能影响工作时间节点进度的不得分。</w:t>
            </w:r>
          </w:p>
        </w:tc>
      </w:tr>
      <w:tr w14:paraId="22A6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0DD9F41D">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66B5B7FA">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质量、安全保证措施（0-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p w14:paraId="2FF1A5BF">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CC81670">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提供的质量、安全保证措施进行评审，措施描述详细完善、科学合理、切实可行，高效优质、没有疏忽遗漏或其他错误，避免退货调整的，得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分；措施描述较为完善、合理、可行，能够保障货物质量、不易出现疏忽遗漏或其他错误的，得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分；措施描述存在瑕疵，可能导致疏忽遗漏或其他错误但能够及时发现弥补的，得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分；措施描述存在漏洞，可能影响成果货物质量的不得分。</w:t>
            </w:r>
          </w:p>
        </w:tc>
      </w:tr>
      <w:tr w14:paraId="2566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6852DA0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7C490C44">
            <w:pPr>
              <w:spacing w:line="240" w:lineRule="atLeast"/>
              <w:jc w:val="center"/>
              <w:textAlignment w:val="baseline"/>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备品备件</w:t>
            </w:r>
            <w:r>
              <w:rPr>
                <w:rFonts w:hint="eastAsia" w:ascii="宋体" w:hAnsi="宋体" w:eastAsia="宋体" w:cs="宋体"/>
                <w:bCs/>
                <w:color w:val="000000" w:themeColor="text1"/>
                <w:sz w:val="24"/>
                <w:highlight w:val="none"/>
                <w:lang w:val="en-US" w:eastAsia="zh-CN"/>
                <w14:textFill>
                  <w14:solidFill>
                    <w14:schemeClr w14:val="tx1"/>
                  </w14:solidFill>
                </w14:textFill>
              </w:rPr>
              <w:t>方案</w:t>
            </w:r>
            <w:r>
              <w:rPr>
                <w:rFonts w:hint="eastAsia" w:ascii="宋体" w:hAnsi="宋体" w:eastAsia="宋体" w:cs="宋体"/>
                <w:bCs/>
                <w:color w:val="000000" w:themeColor="text1"/>
                <w:sz w:val="24"/>
                <w:highlight w:val="none"/>
                <w:lang w:val="zh-CN"/>
                <w14:textFill>
                  <w14:solidFill>
                    <w14:schemeClr w14:val="tx1"/>
                  </w14:solidFill>
                </w14:textFill>
              </w:rPr>
              <w:t>（0-</w:t>
            </w: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zh-CN"/>
                <w14:textFill>
                  <w14:solidFill>
                    <w14:schemeClr w14:val="tx1"/>
                  </w14:solidFill>
                </w14:textFill>
              </w:rPr>
              <w:t>分）</w:t>
            </w:r>
          </w:p>
          <w:p w14:paraId="22876F14">
            <w:pPr>
              <w:spacing w:line="240" w:lineRule="atLeast"/>
              <w:jc w:val="center"/>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5867" w:type="dxa"/>
            <w:tcBorders>
              <w:top w:val="single" w:color="auto" w:sz="4" w:space="0"/>
              <w:left w:val="single" w:color="auto" w:sz="4" w:space="0"/>
              <w:bottom w:val="single" w:color="auto" w:sz="4" w:space="0"/>
              <w:right w:val="single" w:color="auto" w:sz="4" w:space="0"/>
            </w:tcBorders>
            <w:noWrap w:val="0"/>
            <w:vAlign w:val="center"/>
          </w:tcPr>
          <w:p w14:paraId="019EC596">
            <w:pPr>
              <w:spacing w:line="240" w:lineRule="atLeast"/>
              <w:jc w:val="left"/>
              <w:textAlignment w:val="baseline"/>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val="zh-CN"/>
                <w14:textFill>
                  <w14:solidFill>
                    <w14:schemeClr w14:val="tx1"/>
                  </w14:solidFill>
                </w14:textFill>
              </w:rPr>
              <w:t>备品备件的数量</w:t>
            </w:r>
            <w:r>
              <w:rPr>
                <w:rFonts w:hint="eastAsia" w:ascii="宋体" w:hAnsi="宋体" w:eastAsia="宋体" w:cs="宋体"/>
                <w:bCs/>
                <w:color w:val="000000" w:themeColor="text1"/>
                <w:sz w:val="24"/>
                <w:highlight w:val="none"/>
                <w:lang w:val="en-US" w:eastAsia="zh-CN"/>
                <w14:textFill>
                  <w14:solidFill>
                    <w14:schemeClr w14:val="tx1"/>
                  </w14:solidFill>
                </w14:textFill>
              </w:rPr>
              <w:t>满足整体设备需求，</w:t>
            </w:r>
            <w:r>
              <w:rPr>
                <w:rFonts w:hint="eastAsia" w:ascii="宋体" w:hAnsi="宋体" w:eastAsia="宋体" w:cs="宋体"/>
                <w:bCs/>
                <w:color w:val="000000" w:themeColor="text1"/>
                <w:sz w:val="24"/>
                <w:highlight w:val="none"/>
                <w:lang w:val="zh-CN"/>
                <w14:textFill>
                  <w14:solidFill>
                    <w14:schemeClr w14:val="tx1"/>
                  </w14:solidFill>
                </w14:textFill>
              </w:rPr>
              <w:t>存放地点</w:t>
            </w:r>
            <w:r>
              <w:rPr>
                <w:rFonts w:hint="eastAsia" w:ascii="宋体" w:hAnsi="宋体" w:eastAsia="宋体" w:cs="宋体"/>
                <w:bCs/>
                <w:color w:val="000000" w:themeColor="text1"/>
                <w:sz w:val="24"/>
                <w:highlight w:val="none"/>
                <w:lang w:val="zh-CN" w:eastAsia="zh-CN"/>
                <w14:textFill>
                  <w14:solidFill>
                    <w14:schemeClr w14:val="tx1"/>
                  </w14:solidFill>
                </w14:textFill>
              </w:rPr>
              <w:t>证明；（提供相应照片和场地自有或场地租赁协议等证明材料）</w:t>
            </w:r>
          </w:p>
          <w:p w14:paraId="28A0CD48">
            <w:pPr>
              <w:spacing w:line="240" w:lineRule="atLeast"/>
              <w:jc w:val="left"/>
              <w:textAlignment w:val="baseline"/>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2</w:t>
            </w:r>
            <w:r>
              <w:rPr>
                <w:rFonts w:hint="eastAsia" w:ascii="宋体" w:hAnsi="宋体" w:eastAsia="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val="zh-CN"/>
                <w14:textFill>
                  <w14:solidFill>
                    <w14:schemeClr w14:val="tx1"/>
                  </w14:solidFill>
                </w14:textFill>
              </w:rPr>
              <w:t>承诺如因产品本身问题在</w:t>
            </w:r>
            <w:r>
              <w:rPr>
                <w:rFonts w:hint="eastAsia" w:ascii="宋体" w:hAnsi="宋体" w:eastAsia="宋体" w:cs="宋体"/>
                <w:bCs/>
                <w:color w:val="000000" w:themeColor="text1"/>
                <w:sz w:val="24"/>
                <w:highlight w:val="none"/>
                <w:lang w:val="en-US" w:eastAsia="zh-CN"/>
                <w14:textFill>
                  <w14:solidFill>
                    <w14:schemeClr w14:val="tx1"/>
                  </w14:solidFill>
                </w14:textFill>
              </w:rPr>
              <w:t>24</w:t>
            </w:r>
            <w:r>
              <w:rPr>
                <w:rFonts w:hint="eastAsia" w:ascii="宋体" w:hAnsi="宋体" w:eastAsia="宋体" w:cs="宋体"/>
                <w:bCs/>
                <w:color w:val="000000" w:themeColor="text1"/>
                <w:sz w:val="24"/>
                <w:highlight w:val="none"/>
                <w:lang w:val="zh-CN"/>
                <w14:textFill>
                  <w14:solidFill>
                    <w14:schemeClr w14:val="tx1"/>
                  </w14:solidFill>
                </w14:textFill>
              </w:rPr>
              <w:t>小时之内仍不能</w:t>
            </w:r>
            <w:r>
              <w:rPr>
                <w:rFonts w:hint="eastAsia" w:ascii="宋体" w:hAnsi="宋体" w:eastAsia="宋体" w:cs="宋体"/>
                <w:bCs/>
                <w:color w:val="000000" w:themeColor="text1"/>
                <w:sz w:val="24"/>
                <w:highlight w:val="none"/>
                <w:lang w:val="en-US" w:eastAsia="zh-CN"/>
                <w14:textFill>
                  <w14:solidFill>
                    <w14:schemeClr w14:val="tx1"/>
                  </w14:solidFill>
                </w14:textFill>
              </w:rPr>
              <w:t>解决问题</w:t>
            </w:r>
            <w:r>
              <w:rPr>
                <w:rFonts w:hint="eastAsia" w:ascii="宋体" w:hAnsi="宋体" w:eastAsia="宋体" w:cs="宋体"/>
                <w:bCs/>
                <w:color w:val="000000" w:themeColor="text1"/>
                <w:sz w:val="24"/>
                <w:highlight w:val="none"/>
                <w:lang w:val="zh-CN"/>
                <w14:textFill>
                  <w14:solidFill>
                    <w14:schemeClr w14:val="tx1"/>
                  </w14:solidFill>
                </w14:textFill>
              </w:rPr>
              <w:t>的，提供与原货物相同或不低于原货物性能的备用产品，以保证采购人的正常使用的；</w:t>
            </w:r>
          </w:p>
          <w:p w14:paraId="30C36D21">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方案合理且能符合采购文件要求的视为满足,每满足一项得</w:t>
            </w:r>
            <w:r>
              <w:rPr>
                <w:rFonts w:hint="eastAsia" w:ascii="宋体" w:hAnsi="宋体" w:eastAsia="宋体" w:cs="宋体"/>
                <w:bCs/>
                <w:color w:val="000000" w:themeColor="text1"/>
                <w:sz w:val="24"/>
                <w:highlight w:val="none"/>
                <w:lang w:val="en-US" w:eastAsia="zh-CN"/>
                <w14:textFill>
                  <w14:solidFill>
                    <w14:schemeClr w14:val="tx1"/>
                  </w14:solidFill>
                </w14:textFill>
              </w:rPr>
              <w:t>2.5</w:t>
            </w:r>
            <w:r>
              <w:rPr>
                <w:rFonts w:hint="eastAsia" w:ascii="宋体" w:hAnsi="宋体" w:eastAsia="宋体" w:cs="宋体"/>
                <w:bCs/>
                <w:color w:val="000000" w:themeColor="text1"/>
                <w:sz w:val="24"/>
                <w:highlight w:val="none"/>
                <w:lang w:val="zh-CN"/>
                <w14:textFill>
                  <w14:solidFill>
                    <w14:schemeClr w14:val="tx1"/>
                  </w14:solidFill>
                </w14:textFill>
              </w:rPr>
              <w:t>分，不满足不得分，最高得</w:t>
            </w: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zh-CN"/>
                <w14:textFill>
                  <w14:solidFill>
                    <w14:schemeClr w14:val="tx1"/>
                  </w14:solidFill>
                </w14:textFill>
              </w:rPr>
              <w:t>分。</w:t>
            </w:r>
          </w:p>
        </w:tc>
      </w:tr>
      <w:tr w14:paraId="5EB7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7A0532C3">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6D388643">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售后服务</w:t>
            </w:r>
          </w:p>
          <w:p w14:paraId="37496102">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5</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62D7C025">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售后服务保障方案、免费保修期外维护方案、零配件供应方案、其他增值售后服务或其他实质性优惠措施等，内容的完整性、针对性两个方面进行独立评审并独立打分，方案详细完善、科学合理、切实可行，高效优质、没有疏忽遗漏或其他错误得</w:t>
            </w:r>
            <w:r>
              <w:rPr>
                <w:rFonts w:hint="eastAsia" w:ascii="宋体" w:hAnsi="宋体" w:eastAsia="宋体" w:cs="宋体"/>
                <w:bCs/>
                <w:color w:val="000000" w:themeColor="text1"/>
                <w:sz w:val="24"/>
                <w:szCs w:val="24"/>
                <w:highlight w:val="none"/>
                <w14:textFill>
                  <w14:solidFill>
                    <w14:schemeClr w14:val="tx1"/>
                  </w14:solidFill>
                </w14:textFill>
              </w:rPr>
              <w:t>5</w:t>
            </w:r>
            <w:r>
              <w:rPr>
                <w:rFonts w:hint="eastAsia" w:ascii="宋体" w:hAnsi="宋体" w:eastAsia="宋体" w:cs="宋体"/>
                <w:bCs/>
                <w:color w:val="000000" w:themeColor="text1"/>
                <w:sz w:val="24"/>
                <w:szCs w:val="24"/>
                <w:highlight w:val="none"/>
                <w:lang w:val="zh-CN"/>
                <w14:textFill>
                  <w14:solidFill>
                    <w14:schemeClr w14:val="tx1"/>
                  </w14:solidFill>
                </w14:textFill>
              </w:rPr>
              <w:t>分；方案较为完善、合理、可行，不易出现疏忽遗漏或其他错误的，得</w:t>
            </w: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分；方案可能导致疏忽遗漏或其他错误但能够及时发现弥补的，得</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分；无不得分。</w:t>
            </w:r>
          </w:p>
        </w:tc>
      </w:tr>
    </w:tbl>
    <w:p w14:paraId="0A5C425C">
      <w:pPr>
        <w:ind w:firstLine="480" w:firstLineChars="200"/>
        <w:rPr>
          <w:rFonts w:ascii="宋体" w:cs="宋体"/>
          <w:color w:val="000000" w:themeColor="text1"/>
          <w:sz w:val="24"/>
          <w:highlight w:val="none"/>
          <w14:textFill>
            <w14:solidFill>
              <w14:schemeClr w14:val="tx1"/>
            </w14:solidFill>
          </w14:textFill>
        </w:rPr>
      </w:pPr>
    </w:p>
    <w:p w14:paraId="07EC1CA2">
      <w:pPr>
        <w:pStyle w:val="22"/>
        <w:widowControl w:val="0"/>
        <w:spacing w:beforeAutospacing="0" w:afterAutospacing="0"/>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说明：</w:t>
      </w:r>
    </w:p>
    <w:p w14:paraId="779708F0">
      <w:pPr>
        <w:pStyle w:val="22"/>
        <w:widowControl w:val="0"/>
        <w:spacing w:beforeAutospacing="0" w:afterAutospacing="0"/>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1、评分标准中有分值区间的，包含区间上限本数，不含下限本数。</w:t>
      </w:r>
    </w:p>
    <w:p w14:paraId="59013D56">
      <w:pPr>
        <w:pStyle w:val="22"/>
        <w:widowControl w:val="0"/>
        <w:spacing w:beforeAutospacing="0" w:afterAutospacing="0"/>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2、评分因素有时间限制（如投标截止日前三年内）的，所提供的合同、证书、证明等材料的时间，以签署日期、颁发日期或出具日期为准。</w:t>
      </w:r>
    </w:p>
    <w:p w14:paraId="7BE6C1CC">
      <w:pPr>
        <w:ind w:firstLine="480" w:firstLineChars="200"/>
        <w:rPr>
          <w:rFonts w:ascii="宋体" w:cs="宋体"/>
          <w:color w:val="000000" w:themeColor="text1"/>
          <w:sz w:val="24"/>
          <w:highlight w:val="none"/>
          <w14:textFill>
            <w14:solidFill>
              <w14:schemeClr w14:val="tx1"/>
            </w14:solidFill>
          </w14:textFill>
        </w:rPr>
      </w:pPr>
    </w:p>
    <w:p w14:paraId="5215CC3D">
      <w:pPr>
        <w:pStyle w:val="22"/>
        <w:widowControl w:val="0"/>
        <w:spacing w:beforeAutospacing="0" w:afterAutospacing="0"/>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1.4编写评标报告，授权磋商小组确定综合得分排名第一的供应商为成交供应商。</w:t>
      </w:r>
    </w:p>
    <w:p w14:paraId="0F2387D3">
      <w:pPr>
        <w:ind w:left="420" w:firstLine="42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5F87A438">
      <w:pPr>
        <w:pStyle w:val="16"/>
        <w:ind w:left="420"/>
        <w:rPr>
          <w:rFonts w:ascii="宋体" w:cs="宋体"/>
          <w:color w:val="000000" w:themeColor="text1"/>
          <w:sz w:val="24"/>
          <w:highlight w:val="none"/>
          <w14:textFill>
            <w14:solidFill>
              <w14:schemeClr w14:val="tx1"/>
            </w14:solidFill>
          </w14:textFill>
        </w:rPr>
      </w:pPr>
    </w:p>
    <w:p w14:paraId="75612C36">
      <w:pPr>
        <w:pStyle w:val="2"/>
        <w:rPr>
          <w:rFonts w:ascii="宋体" w:cs="宋体"/>
          <w:color w:val="000000" w:themeColor="text1"/>
          <w:highlight w:val="none"/>
          <w14:textFill>
            <w14:solidFill>
              <w14:schemeClr w14:val="tx1"/>
            </w14:solidFill>
          </w14:textFill>
        </w:rPr>
      </w:pPr>
      <w:bookmarkStart w:id="45" w:name="_Toc12680"/>
      <w:bookmarkStart w:id="46" w:name="_Toc1684"/>
      <w:bookmarkStart w:id="47" w:name="_Toc19824"/>
      <w:bookmarkStart w:id="48" w:name="_Toc15349"/>
      <w:bookmarkStart w:id="49" w:name="_Toc25668"/>
      <w:bookmarkStart w:id="50" w:name="_Toc6167"/>
      <w:bookmarkStart w:id="51" w:name="_Toc8439"/>
      <w:r>
        <w:rPr>
          <w:rFonts w:hint="eastAsia" w:ascii="宋体" w:cs="宋体"/>
          <w:color w:val="000000" w:themeColor="text1"/>
          <w:highlight w:val="none"/>
          <w14:textFill>
            <w14:solidFill>
              <w14:schemeClr w14:val="tx1"/>
            </w14:solidFill>
          </w14:textFill>
        </w:rPr>
        <w:t>第四章 合同条款（参考格式）</w:t>
      </w:r>
      <w:bookmarkEnd w:id="45"/>
      <w:bookmarkEnd w:id="46"/>
      <w:bookmarkEnd w:id="47"/>
      <w:bookmarkEnd w:id="48"/>
      <w:bookmarkEnd w:id="49"/>
      <w:bookmarkEnd w:id="50"/>
      <w:bookmarkEnd w:id="51"/>
    </w:p>
    <w:p w14:paraId="19623E0B">
      <w:pPr>
        <w:spacing w:line="360" w:lineRule="auto"/>
        <w:jc w:val="center"/>
        <w:rPr>
          <w:rFonts w:ascii="宋体" w:cs="宋体"/>
          <w:b/>
          <w:color w:val="000000" w:themeColor="text1"/>
          <w:kern w:val="44"/>
          <w:sz w:val="24"/>
          <w:highlight w:val="none"/>
          <w14:textFill>
            <w14:solidFill>
              <w14:schemeClr w14:val="tx1"/>
            </w14:solidFill>
          </w14:textFill>
        </w:rPr>
      </w:pPr>
      <w:bookmarkStart w:id="52" w:name="_Toc999"/>
      <w:bookmarkStart w:id="53" w:name="_Toc30857"/>
      <w:bookmarkStart w:id="54" w:name="_Toc15831"/>
      <w:bookmarkStart w:id="55" w:name="_Toc376"/>
      <w:bookmarkStart w:id="56" w:name="_Toc6431"/>
      <w:bookmarkStart w:id="57" w:name="_Toc8877"/>
      <w:r>
        <w:rPr>
          <w:rFonts w:hint="eastAsia" w:ascii="宋体" w:cs="宋体"/>
          <w:b/>
          <w:color w:val="000000" w:themeColor="text1"/>
          <w:kern w:val="44"/>
          <w:sz w:val="24"/>
          <w:highlight w:val="none"/>
          <w14:textFill>
            <w14:solidFill>
              <w14:schemeClr w14:val="tx1"/>
            </w14:solidFill>
          </w14:textFill>
        </w:rPr>
        <w:t>供应商成交后由甲乙双方自行协商签订</w:t>
      </w:r>
    </w:p>
    <w:p w14:paraId="0DF96491">
      <w:pPr>
        <w:spacing w:line="360" w:lineRule="auto"/>
        <w:rPr>
          <w:rFonts w:ascii="宋体" w:cs="宋体"/>
          <w:color w:val="000000" w:themeColor="text1"/>
          <w:sz w:val="24"/>
          <w:highlight w:val="none"/>
          <w14:textFill>
            <w14:solidFill>
              <w14:schemeClr w14:val="tx1"/>
            </w14:solidFill>
          </w14:textFill>
        </w:rPr>
      </w:pPr>
    </w:p>
    <w:bookmarkEnd w:id="52"/>
    <w:bookmarkEnd w:id="53"/>
    <w:bookmarkEnd w:id="54"/>
    <w:bookmarkEnd w:id="55"/>
    <w:bookmarkEnd w:id="56"/>
    <w:bookmarkEnd w:id="57"/>
    <w:p w14:paraId="0B36CB68">
      <w:pPr>
        <w:rPr>
          <w:rFonts w:ascii="宋体" w:cs="宋体"/>
          <w:color w:val="000000" w:themeColor="text1"/>
          <w:highlight w:val="none"/>
          <w14:textFill>
            <w14:solidFill>
              <w14:schemeClr w14:val="tx1"/>
            </w14:solidFill>
          </w14:textFill>
        </w:rPr>
      </w:pPr>
      <w:bookmarkStart w:id="58" w:name="_Toc29506"/>
      <w:bookmarkStart w:id="59" w:name="_Toc5796"/>
      <w:bookmarkStart w:id="60" w:name="_Toc4746"/>
      <w:bookmarkStart w:id="61" w:name="_Toc22112"/>
      <w:bookmarkStart w:id="62" w:name="_Toc3073"/>
      <w:bookmarkStart w:id="63" w:name="_Toc317"/>
      <w:r>
        <w:rPr>
          <w:rFonts w:hint="eastAsia" w:ascii="宋体" w:cs="宋体"/>
          <w:color w:val="000000" w:themeColor="text1"/>
          <w:highlight w:val="none"/>
          <w14:textFill>
            <w14:solidFill>
              <w14:schemeClr w14:val="tx1"/>
            </w14:solidFill>
          </w14:textFill>
        </w:rPr>
        <w:br w:type="page"/>
      </w:r>
    </w:p>
    <w:p w14:paraId="64FC8A4A">
      <w:pPr>
        <w:pStyle w:val="2"/>
        <w:rPr>
          <w:color w:val="000000" w:themeColor="text1"/>
          <w:highlight w:val="none"/>
          <w14:textFill>
            <w14:solidFill>
              <w14:schemeClr w14:val="tx1"/>
            </w14:solidFill>
          </w14:textFill>
        </w:rPr>
      </w:pPr>
      <w:bookmarkStart w:id="64" w:name="_Toc15624"/>
      <w:r>
        <w:rPr>
          <w:rFonts w:hint="eastAsia"/>
          <w:color w:val="000000" w:themeColor="text1"/>
          <w:highlight w:val="none"/>
          <w14:textFill>
            <w14:solidFill>
              <w14:schemeClr w14:val="tx1"/>
            </w14:solidFill>
          </w14:textFill>
        </w:rPr>
        <w:t>第五章 货物需求及技术规格要求</w:t>
      </w:r>
      <w:bookmarkEnd w:id="64"/>
    </w:p>
    <w:p w14:paraId="1CE21255">
      <w:pPr>
        <w:spacing w:line="360" w:lineRule="auto"/>
        <w:ind w:firstLine="480" w:firstLineChars="200"/>
        <w:rPr>
          <w:rFonts w:ascii="宋体" w:cs="宋体"/>
          <w:color w:val="000000" w:themeColor="text1"/>
          <w:sz w:val="24"/>
          <w:highlight w:val="none"/>
          <w14:textFill>
            <w14:solidFill>
              <w14:schemeClr w14:val="tx1"/>
            </w14:solidFill>
          </w14:textFill>
        </w:rPr>
      </w:pPr>
    </w:p>
    <w:p w14:paraId="4F303204">
      <w:pPr>
        <w:pStyle w:val="15"/>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一、项目概述</w:t>
      </w:r>
    </w:p>
    <w:p w14:paraId="1301A670">
      <w:pPr>
        <w:pStyle w:val="15"/>
        <w:widowControl/>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（一）采购标的需实现的功能或者目标：符合国家、公安部及行业规定的合格标准。</w:t>
      </w:r>
    </w:p>
    <w:p w14:paraId="045F281E">
      <w:pPr>
        <w:pStyle w:val="15"/>
        <w:widowControl/>
        <w:numPr>
          <w:ilvl w:val="0"/>
          <w:numId w:val="3"/>
        </w:numPr>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采购标的需执行的国家相关标准、行业标准、地方标准或者其他标准、规范：</w:t>
      </w:r>
      <w:r>
        <w:rPr>
          <w:rFonts w:hint="eastAsia" w:ascii="宋体" w:hAnsi="宋体" w:cs="宋体"/>
          <w:bCs/>
          <w:color w:val="000000" w:themeColor="text1"/>
          <w:kern w:val="0"/>
          <w:sz w:val="24"/>
          <w:highlight w:val="none"/>
          <w:lang w:val="en-US" w:eastAsia="zh-CN"/>
          <w14:textFill>
            <w14:solidFill>
              <w14:schemeClr w14:val="tx1"/>
            </w14:solidFill>
          </w14:textFill>
        </w:rPr>
        <w:t>无</w:t>
      </w:r>
    </w:p>
    <w:p w14:paraId="2F1FA3DE">
      <w:pPr>
        <w:pStyle w:val="15"/>
        <w:widowControl/>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（三）</w:t>
      </w:r>
      <w:r>
        <w:rPr>
          <w:rFonts w:hint="eastAsia" w:ascii="宋体" w:hAnsi="宋体" w:cs="宋体"/>
          <w:color w:val="000000" w:themeColor="text1"/>
          <w:spacing w:val="-3"/>
          <w:sz w:val="24"/>
          <w:highlight w:val="none"/>
          <w14:textFill>
            <w14:solidFill>
              <w14:schemeClr w14:val="tx1"/>
            </w14:solidFill>
          </w14:textFill>
        </w:rPr>
        <w:t>采购标的对应的中小企业划分标准所属行业（投标文件中《中小企业声明函》中填写的“</w:t>
      </w:r>
      <w:r>
        <w:rPr>
          <w:rFonts w:ascii="仿宋" w:hAnsi="仿宋" w:cs="仿宋"/>
          <w:color w:val="000000" w:themeColor="text1"/>
          <w:sz w:val="24"/>
          <w:highlight w:val="none"/>
          <w14:textFill>
            <w14:solidFill>
              <w14:schemeClr w14:val="tx1"/>
            </w14:solidFill>
          </w14:textFill>
        </w:rPr>
        <w:t>采购文件中明确的所属行业</w:t>
      </w:r>
      <w:r>
        <w:rPr>
          <w:rFonts w:hint="eastAsia" w:ascii="宋体" w:hAnsi="宋体" w:cs="宋体"/>
          <w:color w:val="000000" w:themeColor="text1"/>
          <w:spacing w:val="-3"/>
          <w:sz w:val="24"/>
          <w:highlight w:val="none"/>
          <w14:textFill>
            <w14:solidFill>
              <w14:schemeClr w14:val="tx1"/>
            </w14:solidFill>
          </w14:textFill>
        </w:rPr>
        <w:t>”应与下述行业一致）：工业。</w:t>
      </w:r>
    </w:p>
    <w:p w14:paraId="0B6D95E7">
      <w:pPr>
        <w:pStyle w:val="15"/>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二、技术要求</w:t>
      </w:r>
    </w:p>
    <w:p w14:paraId="2CB424DD">
      <w:pPr>
        <w:pStyle w:val="57"/>
        <w:wordWrap w:val="0"/>
        <w:spacing w:before="0" w:beforeAutospacing="0" w:after="2" w:afterAutospacing="0" w:line="480" w:lineRule="auto"/>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（一）技术条款（</w:t>
      </w:r>
      <w:r>
        <w:rPr>
          <w:rFonts w:hint="eastAsia" w:cs="宋体"/>
          <w:bCs/>
          <w:color w:val="000000" w:themeColor="text1"/>
          <w:highlight w:val="none"/>
          <w:lang w:val="zh-CN"/>
          <w14:textFill>
            <w14:solidFill>
              <w14:schemeClr w14:val="tx1"/>
            </w14:solidFill>
          </w14:textFill>
        </w:rPr>
        <w:t>采购标的的功能和质量要求，包括性能、材料、结构、外观、安全、</w:t>
      </w:r>
      <w:r>
        <w:rPr>
          <w:rFonts w:hint="eastAsia" w:cs="宋体"/>
          <w:bCs/>
          <w:color w:val="000000" w:themeColor="text1"/>
          <w:highlight w:val="none"/>
          <w14:textFill>
            <w14:solidFill>
              <w14:schemeClr w14:val="tx1"/>
            </w14:solidFill>
          </w14:textFill>
        </w:rPr>
        <w:t>服务内容和标准</w:t>
      </w:r>
      <w:r>
        <w:rPr>
          <w:rFonts w:hint="eastAsia" w:cs="宋体"/>
          <w:bCs/>
          <w:color w:val="000000" w:themeColor="text1"/>
          <w:highlight w:val="none"/>
          <w:lang w:val="zh-CN"/>
          <w14:textFill>
            <w14:solidFill>
              <w14:schemeClr w14:val="tx1"/>
            </w14:solidFill>
          </w14:textFill>
        </w:rPr>
        <w:t>等</w:t>
      </w:r>
      <w:r>
        <w:rPr>
          <w:rFonts w:hint="eastAsia" w:cs="宋体"/>
          <w:bCs/>
          <w:color w:val="000000" w:themeColor="text1"/>
          <w:highlight w:val="none"/>
          <w14:textFill>
            <w14:solidFill>
              <w14:schemeClr w14:val="tx1"/>
            </w14:solidFill>
          </w14:textFill>
        </w:rPr>
        <w:t>）：</w:t>
      </w:r>
    </w:p>
    <w:p w14:paraId="59FDA8B5">
      <w:pPr>
        <w:pStyle w:val="57"/>
        <w:wordWrap w:val="0"/>
        <w:spacing w:before="0" w:beforeAutospacing="0" w:after="2" w:afterAutospacing="0" w:line="480" w:lineRule="auto"/>
        <w:rPr>
          <w:rFonts w:cs="宋体"/>
          <w:bCs/>
          <w:color w:val="000000" w:themeColor="text1"/>
          <w:highlight w:val="none"/>
          <w14:textFill>
            <w14:solidFill>
              <w14:schemeClr w14:val="tx1"/>
            </w14:solidFill>
          </w14:textFill>
        </w:rPr>
      </w:pPr>
      <w:r>
        <w:rPr>
          <w:rFonts w:hint="eastAsia" w:cs="宋体"/>
          <w:bCs/>
          <w:color w:val="000000" w:themeColor="text1"/>
          <w:highlight w:val="none"/>
          <w:lang w:val="zh-CN"/>
          <w14:textFill>
            <w14:solidFill>
              <w14:schemeClr w14:val="tx1"/>
            </w14:solidFill>
          </w14:textFill>
        </w:rPr>
        <w:t>注：供应商应在响应文件《技术条款偏离表》中对本部分技术条款逐条说明响应和偏离情况，</w:t>
      </w:r>
      <w:r>
        <w:rPr>
          <w:rFonts w:hint="eastAsia" w:cs="宋体"/>
          <w:bCs/>
          <w:color w:val="000000" w:themeColor="text1"/>
          <w:highlight w:val="none"/>
          <w14:textFill>
            <w14:solidFill>
              <w14:schemeClr w14:val="tx1"/>
            </w14:solidFill>
          </w14:textFill>
        </w:rPr>
        <w:t>技术条款</w:t>
      </w:r>
      <w:r>
        <w:rPr>
          <w:rFonts w:hint="eastAsia" w:cs="宋体"/>
          <w:bCs/>
          <w:color w:val="000000" w:themeColor="text1"/>
          <w:highlight w:val="none"/>
          <w:lang w:val="zh-CN"/>
          <w14:textFill>
            <w14:solidFill>
              <w14:schemeClr w14:val="tx1"/>
            </w14:solidFill>
          </w14:textFill>
        </w:rPr>
        <w:t>中的“</w:t>
      </w:r>
      <w:r>
        <w:rPr>
          <w:rFonts w:hint="eastAsia" w:cs="宋体"/>
          <w:bCs/>
          <w:color w:val="000000" w:themeColor="text1"/>
          <w:highlight w:val="none"/>
          <w14:textFill>
            <w14:solidFill>
              <w14:schemeClr w14:val="tx1"/>
            </w14:solidFill>
          </w14:textFill>
        </w:rPr>
        <w:t>具体参数值或功能要求表述</w:t>
      </w:r>
      <w:r>
        <w:rPr>
          <w:rFonts w:hint="eastAsia" w:cs="宋体"/>
          <w:bCs/>
          <w:color w:val="000000" w:themeColor="text1"/>
          <w:highlight w:val="none"/>
          <w:lang w:val="zh-CN"/>
          <w14:textFill>
            <w14:solidFill>
              <w14:schemeClr w14:val="tx1"/>
            </w14:solidFill>
          </w14:textFill>
        </w:rPr>
        <w:t>”中“*”条款</w:t>
      </w:r>
      <w:r>
        <w:rPr>
          <w:rFonts w:hint="eastAsia" w:cs="宋体"/>
          <w:bCs/>
          <w:color w:val="000000" w:themeColor="text1"/>
          <w:highlight w:val="none"/>
          <w14:textFill>
            <w14:solidFill>
              <w14:schemeClr w14:val="tx1"/>
            </w14:solidFill>
          </w14:textFill>
        </w:rPr>
        <w:t>为实质性条款，</w:t>
      </w:r>
      <w:r>
        <w:rPr>
          <w:rFonts w:cs="宋体"/>
          <w:bCs/>
          <w:color w:val="000000" w:themeColor="text1"/>
          <w:highlight w:val="none"/>
          <w:lang w:val="en"/>
          <w14:textFill>
            <w14:solidFill>
              <w14:schemeClr w14:val="tx1"/>
            </w14:solidFill>
          </w14:textFill>
        </w:rPr>
        <w:t>供应商</w:t>
      </w:r>
      <w:r>
        <w:rPr>
          <w:rFonts w:hint="eastAsia" w:cs="宋体"/>
          <w:bCs/>
          <w:color w:val="000000" w:themeColor="text1"/>
          <w:highlight w:val="none"/>
          <w:lang w:val="zh-CN"/>
          <w14:textFill>
            <w14:solidFill>
              <w14:schemeClr w14:val="tx1"/>
            </w14:solidFill>
          </w14:textFill>
        </w:rPr>
        <w:t>的响应必须完全满足或者正偏离，否则响应无效。</w:t>
      </w:r>
    </w:p>
    <w:tbl>
      <w:tblPr>
        <w:tblStyle w:val="26"/>
        <w:tblW w:w="48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98"/>
        <w:gridCol w:w="5153"/>
        <w:gridCol w:w="1481"/>
      </w:tblGrid>
      <w:tr w14:paraId="3D700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14:paraId="6D4C9CE0">
            <w:pPr>
              <w:pStyle w:val="57"/>
              <w:wordWrap w:val="0"/>
              <w:spacing w:before="0" w:beforeAutospacing="0" w:after="2" w:afterAutospacing="0"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序号</w:t>
            </w:r>
          </w:p>
        </w:tc>
        <w:tc>
          <w:tcPr>
            <w:tcW w:w="939" w:type="pct"/>
            <w:vAlign w:val="center"/>
          </w:tcPr>
          <w:p w14:paraId="016BB7D8">
            <w:pPr>
              <w:pStyle w:val="57"/>
              <w:wordWrap w:val="0"/>
              <w:spacing w:before="0" w:beforeAutospacing="0" w:after="2" w:afterAutospacing="0"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标的名称</w:t>
            </w:r>
          </w:p>
        </w:tc>
        <w:tc>
          <w:tcPr>
            <w:tcW w:w="2849" w:type="pct"/>
            <w:vAlign w:val="center"/>
          </w:tcPr>
          <w:p w14:paraId="3DB62D63">
            <w:pPr>
              <w:pStyle w:val="57"/>
              <w:wordWrap w:val="0"/>
              <w:spacing w:before="0" w:beforeAutospacing="0" w:after="2" w:afterAutospacing="0"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具体参数值或功能要求表述</w:t>
            </w:r>
          </w:p>
        </w:tc>
        <w:tc>
          <w:tcPr>
            <w:tcW w:w="819" w:type="pct"/>
            <w:vAlign w:val="center"/>
          </w:tcPr>
          <w:p w14:paraId="2BFE8C53">
            <w:pPr>
              <w:pStyle w:val="57"/>
              <w:wordWrap w:val="0"/>
              <w:spacing w:before="0" w:beforeAutospacing="0" w:after="2" w:afterAutospacing="0"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数量及单位</w:t>
            </w:r>
          </w:p>
        </w:tc>
      </w:tr>
      <w:tr w14:paraId="1453F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756B3E19">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939" w:type="pct"/>
            <w:vAlign w:val="center"/>
          </w:tcPr>
          <w:p w14:paraId="2A43A304">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骑行服</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（核心产品）</w:t>
            </w:r>
          </w:p>
        </w:tc>
        <w:tc>
          <w:tcPr>
            <w:tcW w:w="2849" w:type="pct"/>
            <w:vAlign w:val="center"/>
          </w:tcPr>
          <w:p w14:paraId="56FAA55C">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一、基本要求：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颜色：上衣：黑黄  裤子：黑色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尺码：M-L-XL-XXL-3XL-4XL-5XL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二、骑行服上衣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1.材质：面料：600D尼龙牛津布</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里料：涤纶透气网</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内胆：90%白鸭绒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辅料：YKK拉链+晶格反光条。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2.护具：标配五件套CE认证护具含2个护肩2个护肘及1个护背。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配备红蓝色警示环：尺寸:≤458mm(长)x38mm(宽)x10mm(高)；重量：≤54g；材质：ABS，涤纶；电池：内置150mAh锂离子电池；红蓝光频闪≤10小时；红光频闪≤12小时；蓝光频闪≤3小时；抗摔高度：2米；*充电方式：Type-C直充；电量显示：开启时，电量显示灯会亮起2秒；*发光模式：红闪-蓝闪-红蓝闪-红光蓝光5种照明模式；*灯体功能：一拍即卷，可快速贴合手腕，上臂，脚裸等；360°环形发光；有被动反光图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工艺结构：采用荧光绿色与黑色尼龙牛津布撞色拼接，内置可拆卸羽绒内胆；前胸、后背、左手臂均有魔术贴，及对讲机、执法记录仪挂袢设计，警号、警徽、臂章等反光标贴可随时拆卸，适合不同环境穿着;手臂有活动松紧调节扣，可根据个人手臂大小及需要，灵活调节固定护具，活动自如；有多个内、外口袋设计，可随个人需求随身携带的手机、证件等物品，随心出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5.功能：荧光绿色与黑色防水尼龙面料拼接，前中有YKK拉链，链齿开合顺滑，加羽绒内胆，外形款式美观、时尚，防寒防水，防风保暖，实用耐穿;360°高亮反光设计：前 后、左右袖均设有3M白色反光条及点状布反光带的设计，非常醒目有特色，增强车手在自身弱光环境下的可视性，提高自身安全;前幅2个拉链口袋设计，冬天可插手保暖，及携带个人物品;下摆有固定扣袢及魔术贴腰带设计，可根据个人需要灵活调节腰围松紧度，适合不同体型的人穿着;里布用透气网面料拼接，透湿排汗，骑行更舒服;90%白鸭绒的羽绒内胆全方位锁温保暖，门边一圈设有活动拉链，可根据环境的变化及个人需要，自由装卸，防寒保暖适合不同环境骑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特点：中款版型、全新三层设计，外面防水耐磨层、中间透气排湿层、内置羽绒保暖层，自由装卸，拆卸内胆适合春秋气候骑行，装置内胆适合严寒天气穿着，具有防水防风、透气透湿保暖功能，适应多种环境下骑行，多功能安全保护，彰显人性化的设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三、骑行服裤子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 材质：面料：600D尼龙牛津布 ，四面弹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里料：涤纶透气网，莱卡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内胆：90%白鸭绒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辅料：YKK拉链+进口魔术贴。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2.护具：4件套CE认证PU+EVA护具（2个护跨、2个护膝）多重保护，还你一个更安全、更有保障的骑行体验。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功能：裤腰有褶皱拼接及魔术贴调节袢设计，前中的拉链门襟又与腰扣袢连接，特色的工艺使穿着更牢固、安全，骑行无忧;后腰护腰板的设计，可大大增加对腰部的衬托力，减少骑行时腰部的疲惫与压力;前档及后下腿的四面弹针织拼接，膝盖关节部位与后腰的褶皱设计，弹力面料伸张自如，适合骑行者高强度、大动作的骑行体验;前后幅均有点状布反光带设计，增强骑士在自身弱光环境下的可视性，提高自身安全;后腿有通风拉链，夏天拉开通风透气，可缓解骑行中出现的闷热感，感受自由风;内里采用透气网与莱卡面料拼接而成，上伸下蹲伸张自如，通风透气，骑行更舒适;90%白鸭绒内胆全方位锁温保暖，门边有一圈活动拉链，可根据环境的变化及个人需要，自由装卸，防寒保暖，适合不同环境穿着骑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特点：拉链门襟连接腰头扣袢，固定EVA拼接+内置护具及后腰护腰板的多重保护，以及多种不同性能的面料拼接，内置可拆卸的羽绒内胆，锁温保暖，防风防水、伸张自如、防摔耐磨等，特能体现款式特色及人性化的设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四、材料要求：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1、黄色600D牛津布面料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项目类别  标准值   实测值   评价   检验标准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耐干摩擦色牢（级）   ≥3-4   4-5   符合   GB/T 3920-2008</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甲醛含量   ≤75   未检出（低于检出限20mg/kg)   符合   GB/T 2912.1-2009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pH值 4.0～8.5 5.4 符合 GB/T 7573-2009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可分解致癌芳香胺染料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异味 无异味 无异味 符合 GB 18401-2010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耐光色牢度（级） 变色≥4 4 符合 ISO 105-B02:2014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水洗外观稳定性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变色（级）≥4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沾色（级）≥4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抗起球/起毛（级）≥4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其它外观变化 无变化 无变化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耐水色牢度（级）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变色≥4 4-5 符合 GB/T 5713-2013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沾色≥4 4-5 符合 GB/T 5713-2013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水蒸汽透过性能(g/24h /m²) 1110 符合 ISO 2528:2017</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抗起球（级） ≥4 4-5 符合 ISO 12945-2:2000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纤维含量 聚酯纤维100（胶除外）符合 FZ/T 01057-2007,GB/T2910,24-2009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透气性(mm/s) 1 ISO 9237:1995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耐磨性能（次）≥100000 ＞100000 符合 ISO 12947-2:2016</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断裂强力（N）</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经向 1800 符合 ISO 13934-2:2014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纬向 1100 符合 ISO 13934-2:2014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撕破强力（N）</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经向≥90 92 符合 ISO 13937-2:2000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纬向≥50 56 符合 ISO 13937-2:2000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黑色600D牛津布面料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2、黑色600D牛津布面料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耐干摩擦色牢度 ≥3-4 4-5 符合 GB/T 3920-2008</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甲醛含量 ≤75 未检出（低于检出限20mg/kg) 符合 GB/T 2912.1-2009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pH值 4.0～8.5 5.4 符合 GB/T 7573-2009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可分解致癌芳香胺染料 禁用 未检出（低于检出限5mg/kg) 符合 GB/T 17592-2011</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异味 无异味 无异味 符合 GB 18401-2010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耐光色牢度（级） ≥4 &gt;4 符合 ISO 105-B02:2014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耐水色牢度（级）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变色≥4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沾色≥4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抗起球/起毛（级） ≥4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纤维含量 聚酯纤维100（胶除外） FZ/T 01057-2007,GB/T2910,24-2009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耐磨性 ≥100000 ＞100000 符合 ISO 12947-2:2016</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起球(级)7000次 ≥4 4-5 符合 ISO 12945-2:2000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水洗外观稳定性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变色(级)≥4 4-5 符合 ISO 6330:2012</w:t>
            </w:r>
          </w:p>
        </w:tc>
        <w:tc>
          <w:tcPr>
            <w:tcW w:w="819" w:type="pct"/>
            <w:vAlign w:val="center"/>
          </w:tcPr>
          <w:p w14:paraId="17DBFA3B">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40套</w:t>
            </w:r>
          </w:p>
        </w:tc>
      </w:tr>
      <w:tr w14:paraId="637E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64939D5A">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939" w:type="pct"/>
            <w:vAlign w:val="center"/>
          </w:tcPr>
          <w:p w14:paraId="33B24A75">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头盔</w:t>
            </w:r>
          </w:p>
        </w:tc>
        <w:tc>
          <w:tcPr>
            <w:tcW w:w="2849" w:type="pct"/>
            <w:vAlign w:val="center"/>
          </w:tcPr>
          <w:p w14:paraId="42292DB4">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一、基本要求：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1.颜色：白色/黑色 白色有3M反光贴花</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2.尺码： XL, XXL,3XL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3.材质：100% ABS原料+PC防雾境片及可伸缩太阳镜片+EPS防护块+吸湿排汗可拆内胆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二、工艺结构要求：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1.配快速按扣及前后通风设计.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2.揭面盔:一盔两用,全封闭使用，也可以上掀作为半盔使用。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3.护目镜可上掀也可以收起：护目镜采用双镜片更人性化设计，适用于日夜使用。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4.外护目镜采用卡扣设计，优化于高速行驶中镜片不会自动掀开，也具有防漏水功能。</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5.前额和头后部有通风孔、透气通风，头盔外观采用风阻设计，时尚流水型线条。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6.面罩、护目镜可快速释放、锁定。</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7.单手一键即可轻松 切换护目镜开合，操作简单方便.</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8.内衬垫采用吸汗防臭材质，内部衬垫和耳朵垫可拆换、洗涤，清洁卫生.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技术参数要求：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1.头盔外壳材料：抗冲击优质ABS注塑成型</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2.面罩、护目镜：2MM防划伤聚碳酸酯材料注塑成型；护目镜防UV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3.吸收碰撞层：高度EPS</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4.佩戴系统：双层22MM宽尼龙下巴颚带，快速释放插扣，10MM涤</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5.涤棉帽顶：佩戴后施加2KN拉伸，插扣无断裂或送脱，并可继续使用。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6.间接可视度：水平≧105°，上部≧7°，下部≧45°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7.重量：1.6KG</w:t>
            </w:r>
          </w:p>
        </w:tc>
        <w:tc>
          <w:tcPr>
            <w:tcW w:w="819" w:type="pct"/>
            <w:vAlign w:val="center"/>
          </w:tcPr>
          <w:p w14:paraId="4A2734FB">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40顶</w:t>
            </w:r>
          </w:p>
        </w:tc>
      </w:tr>
      <w:tr w14:paraId="5F212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1C28B8DB">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939" w:type="pct"/>
            <w:vAlign w:val="center"/>
          </w:tcPr>
          <w:p w14:paraId="5BE3C58B">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手套</w:t>
            </w:r>
          </w:p>
        </w:tc>
        <w:tc>
          <w:tcPr>
            <w:tcW w:w="2849" w:type="pct"/>
            <w:vAlign w:val="center"/>
          </w:tcPr>
          <w:p w14:paraId="33FC87EA">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1、采用的为1.68MM厚头层本染牛皮为主料，其具有通风透气性好，耐磨及抗撕拉性强的特性，加上双针车缝的工艺，从而让此款靴看上去更显高档。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2、此款靴子在胫骨及踝骨双侧均有内置尼龙保护片，万一发生事故时可以很好的保护到我们的腿部。同时靴面也有真皮冲孔挂挡保护片，可以很好的保护到我们的靴子不被刮花。</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3、此靴前面有打横条的褶皱处理，可以提升我们骑行时的穿着舒适性，同时靴后跟也有大面积的反光条处理，可以很好的提升夜间的反光效果起到很好的安全警示作用。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4、全橡胶大底，硬度为65+/-3，纹路较深，可以起到很好的耐磨及防滑作用。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5、欧索莱吸震，防臭，吸汗，除菌鞋垫，可以起到很好的保护作用。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6、YKK正品5#尼龙拉链，顺滑耐用，同时配有进口魔术贴，双重保护，美观耐用。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7、防臭吸汗三明治全复合内里，穿着舒适，耐磨美观。</w:t>
            </w:r>
          </w:p>
        </w:tc>
        <w:tc>
          <w:tcPr>
            <w:tcW w:w="819" w:type="pct"/>
            <w:vAlign w:val="center"/>
          </w:tcPr>
          <w:p w14:paraId="65BA9E14">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40副</w:t>
            </w:r>
          </w:p>
        </w:tc>
      </w:tr>
      <w:tr w14:paraId="72E91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535C94B9">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939" w:type="pct"/>
            <w:vAlign w:val="center"/>
          </w:tcPr>
          <w:p w14:paraId="2783221A">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靴子</w:t>
            </w:r>
          </w:p>
        </w:tc>
        <w:tc>
          <w:tcPr>
            <w:tcW w:w="2849" w:type="pct"/>
            <w:vAlign w:val="center"/>
          </w:tcPr>
          <w:p w14:paraId="44BFFEA3">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1、面料： 50% 300D防水透气布 + 30%进口山羊皮 + 20% 超纤。里料：100% 涤纶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2、颜色：荧光黄</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3、尺码：M, L, XL, XXL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1、手背及手掌上均有真碳纤护具，强力很大，能很好的保护拳骨，手掌不会受到伤害。</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2、手心采用耐磨防滑处理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3、100%防水保暖，外形美观并配有防护护具。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4、手指及手背上均有3M反光条。可以提升骑警们夜间骑行的骑行安全及识别度。</w:t>
            </w:r>
          </w:p>
        </w:tc>
        <w:tc>
          <w:tcPr>
            <w:tcW w:w="819" w:type="pct"/>
            <w:vAlign w:val="center"/>
          </w:tcPr>
          <w:p w14:paraId="6097EC4E">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40双</w:t>
            </w:r>
          </w:p>
        </w:tc>
      </w:tr>
    </w:tbl>
    <w:p w14:paraId="3B79A268">
      <w:pPr>
        <w:pStyle w:val="15"/>
        <w:widowControl/>
        <w:spacing w:line="480" w:lineRule="auto"/>
        <w:jc w:val="left"/>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（二）需具有</w:t>
      </w:r>
      <w:r>
        <w:rPr>
          <w:rFonts w:hint="eastAsia" w:ascii="宋体" w:hAnsi="宋体" w:cs="宋体"/>
          <w:bCs/>
          <w:color w:val="000000" w:themeColor="text1"/>
          <w:sz w:val="24"/>
          <w:highlight w:val="none"/>
          <w:lang w:val="zh-CN"/>
          <w14:textFill>
            <w14:solidFill>
              <w14:schemeClr w14:val="tx1"/>
            </w14:solidFill>
          </w14:textFill>
        </w:rPr>
        <w:t>强制</w:t>
      </w:r>
      <w:r>
        <w:rPr>
          <w:rFonts w:hint="eastAsia" w:ascii="宋体" w:hAnsi="宋体" w:cs="宋体"/>
          <w:bCs/>
          <w:color w:val="000000" w:themeColor="text1"/>
          <w:kern w:val="0"/>
          <w:sz w:val="24"/>
          <w:highlight w:val="none"/>
          <w14:textFill>
            <w14:solidFill>
              <w14:schemeClr w14:val="tx1"/>
            </w14:solidFill>
          </w14:textFill>
        </w:rPr>
        <w:t>采购节能产品、环境标志产品认证证书的标的名</w:t>
      </w:r>
      <w:r>
        <w:rPr>
          <w:rFonts w:hint="eastAsia" w:ascii="宋体" w:hAnsi="宋体" w:cs="宋体"/>
          <w:bCs/>
          <w:color w:val="000000" w:themeColor="text1"/>
          <w:kern w:val="0"/>
          <w:sz w:val="24"/>
          <w:highlight w:val="none"/>
          <w14:textFill>
            <w14:solidFill>
              <w14:schemeClr w14:val="tx1"/>
            </w14:solidFill>
          </w14:textFill>
        </w:rPr>
        <w:t>称：</w:t>
      </w:r>
      <w:r>
        <w:rPr>
          <w:rFonts w:hint="eastAsia" w:ascii="宋体" w:hAnsi="宋体" w:cs="宋体"/>
          <w:bCs/>
          <w:color w:val="000000" w:themeColor="text1"/>
          <w:kern w:val="0"/>
          <w:sz w:val="24"/>
          <w:highlight w:val="none"/>
          <w:lang w:val="en-US" w:eastAsia="zh-CN"/>
          <w14:textFill>
            <w14:solidFill>
              <w14:schemeClr w14:val="tx1"/>
            </w14:solidFill>
          </w14:textFill>
        </w:rPr>
        <w:t>无</w:t>
      </w:r>
    </w:p>
    <w:p w14:paraId="411EE44B">
      <w:pPr>
        <w:pStyle w:val="15"/>
        <w:widowControl/>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应在</w:t>
      </w:r>
      <w:r>
        <w:rPr>
          <w:rFonts w:ascii="宋体" w:hAnsi="宋体" w:cs="宋体"/>
          <w:bCs/>
          <w:color w:val="000000" w:themeColor="text1"/>
          <w:sz w:val="24"/>
          <w:highlight w:val="none"/>
          <w:lang w:val="en"/>
          <w14:textFill>
            <w14:solidFill>
              <w14:schemeClr w14:val="tx1"/>
            </w14:solidFill>
          </w14:textFill>
        </w:rPr>
        <w:t>响应文件</w:t>
      </w:r>
      <w:r>
        <w:rPr>
          <w:rFonts w:hint="eastAsia" w:ascii="宋体" w:hAnsi="宋体" w:cs="宋体"/>
          <w:bCs/>
          <w:color w:val="000000" w:themeColor="text1"/>
          <w:sz w:val="24"/>
          <w:highlight w:val="none"/>
          <w:lang w:val="zh-CN"/>
          <w14:textFill>
            <w14:solidFill>
              <w14:schemeClr w14:val="tx1"/>
            </w14:solidFill>
          </w14:textFill>
        </w:rPr>
        <w:t>《节能产品、环境标志产品政府强制采购认证证书一览表》</w:t>
      </w:r>
      <w:r>
        <w:rPr>
          <w:rFonts w:hint="eastAsia" w:ascii="宋体" w:hAnsi="宋体" w:cs="宋体"/>
          <w:bCs/>
          <w:color w:val="000000" w:themeColor="text1"/>
          <w:sz w:val="24"/>
          <w:highlight w:val="none"/>
          <w14:textFill>
            <w14:solidFill>
              <w14:schemeClr w14:val="tx1"/>
            </w14:solidFill>
          </w14:textFill>
        </w:rPr>
        <w:t>后附</w:t>
      </w:r>
      <w:r>
        <w:rPr>
          <w:rFonts w:hint="eastAsia" w:ascii="宋体" w:hAnsi="宋体" w:cs="宋体"/>
          <w:bCs/>
          <w:color w:val="000000" w:themeColor="text1"/>
          <w:sz w:val="24"/>
          <w:highlight w:val="none"/>
          <w:lang w:val="zh-CN"/>
          <w14:textFill>
            <w14:solidFill>
              <w14:schemeClr w14:val="tx1"/>
            </w14:solidFill>
          </w14:textFill>
        </w:rPr>
        <w:t>本部分要求的证书</w:t>
      </w:r>
      <w:r>
        <w:rPr>
          <w:rFonts w:hint="eastAsia" w:ascii="宋体" w:hAnsi="宋体" w:cs="宋体"/>
          <w:bCs/>
          <w:color w:val="000000" w:themeColor="text1"/>
          <w:sz w:val="24"/>
          <w:highlight w:val="none"/>
          <w14:textFill>
            <w14:solidFill>
              <w14:schemeClr w14:val="tx1"/>
            </w14:solidFill>
          </w14:textFill>
        </w:rPr>
        <w:t>扫描件</w:t>
      </w:r>
      <w:r>
        <w:rPr>
          <w:rFonts w:hint="eastAsia" w:ascii="宋体" w:hAnsi="宋体" w:cs="宋体"/>
          <w:bCs/>
          <w:color w:val="000000" w:themeColor="text1"/>
          <w:sz w:val="24"/>
          <w:highlight w:val="none"/>
          <w:lang w:val="zh-CN"/>
          <w14:textFill>
            <w14:solidFill>
              <w14:schemeClr w14:val="tx1"/>
            </w14:solidFill>
          </w14:textFill>
        </w:rPr>
        <w:t>，否则响应无效。</w:t>
      </w:r>
    </w:p>
    <w:p w14:paraId="281D3375">
      <w:pPr>
        <w:pStyle w:val="15"/>
        <w:widowControl/>
        <w:tabs>
          <w:tab w:val="left" w:pos="7856"/>
        </w:tabs>
        <w:spacing w:line="480" w:lineRule="auto"/>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（三）采</w:t>
      </w:r>
      <w:r>
        <w:rPr>
          <w:rFonts w:hint="eastAsia" w:ascii="宋体" w:hAnsi="宋体" w:cs="宋体"/>
          <w:bCs/>
          <w:color w:val="000000" w:themeColor="text1"/>
          <w:sz w:val="24"/>
          <w:highlight w:val="none"/>
          <w:lang w:val="zh-CN"/>
          <w14:textFill>
            <w14:solidFill>
              <w14:schemeClr w14:val="tx1"/>
            </w14:solidFill>
          </w14:textFill>
        </w:rPr>
        <w:t>购标的的强制性产品认证等其他要求：无</w:t>
      </w:r>
      <w:r>
        <w:rPr>
          <w:rFonts w:ascii="宋体" w:hAnsi="宋体" w:cs="宋体"/>
          <w:bCs/>
          <w:color w:val="000000" w:themeColor="text1"/>
          <w:sz w:val="24"/>
          <w:highlight w:val="none"/>
          <w:lang w:val="zh-CN"/>
          <w14:textFill>
            <w14:solidFill>
              <w14:schemeClr w14:val="tx1"/>
            </w14:solidFill>
          </w14:textFill>
        </w:rPr>
        <w:tab/>
      </w:r>
    </w:p>
    <w:p w14:paraId="04704D0B">
      <w:pPr>
        <w:pStyle w:val="15"/>
        <w:widowControl/>
        <w:spacing w:line="360" w:lineRule="auto"/>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注：</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应在</w:t>
      </w:r>
      <w:r>
        <w:rPr>
          <w:rFonts w:ascii="宋体" w:hAnsi="宋体" w:cs="宋体"/>
          <w:bCs/>
          <w:color w:val="000000" w:themeColor="text1"/>
          <w:sz w:val="24"/>
          <w:highlight w:val="none"/>
          <w:lang w:val="en"/>
          <w14:textFill>
            <w14:solidFill>
              <w14:schemeClr w14:val="tx1"/>
            </w14:solidFill>
          </w14:textFill>
        </w:rPr>
        <w:t>响应文件</w:t>
      </w:r>
      <w:r>
        <w:rPr>
          <w:rFonts w:hint="eastAsia" w:ascii="宋体" w:hAnsi="宋体" w:cs="宋体"/>
          <w:bCs/>
          <w:color w:val="000000" w:themeColor="text1"/>
          <w:sz w:val="24"/>
          <w:highlight w:val="none"/>
          <w:lang w:val="zh-CN"/>
          <w14:textFill>
            <w14:solidFill>
              <w14:schemeClr w14:val="tx1"/>
            </w14:solidFill>
          </w14:textFill>
        </w:rPr>
        <w:t>《响应文件要求提供或</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认为需要提供的其他技术资料》中对本部分逐条说明响应和偏离情况，否则响应无效。</w:t>
      </w:r>
    </w:p>
    <w:p w14:paraId="1679D94D">
      <w:pPr>
        <w:pStyle w:val="15"/>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三、商务要求</w:t>
      </w:r>
    </w:p>
    <w:p w14:paraId="4EEAA9E7">
      <w:pPr>
        <w:pStyle w:val="15"/>
        <w:widowControl/>
        <w:spacing w:line="360" w:lineRule="auto"/>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注：</w:t>
      </w:r>
      <w:r>
        <w:rPr>
          <w:rFonts w:hint="eastAsia" w:ascii="宋体" w:hAnsi="宋体" w:cs="宋体"/>
          <w:bCs/>
          <w:color w:val="000000" w:themeColor="text1"/>
          <w:sz w:val="24"/>
          <w:highlight w:val="none"/>
          <w14:textFill>
            <w14:solidFill>
              <w14:schemeClr w14:val="tx1"/>
            </w14:solidFill>
          </w14:textFill>
        </w:rPr>
        <w:t>1.</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应在</w:t>
      </w:r>
      <w:r>
        <w:rPr>
          <w:rFonts w:ascii="宋体" w:hAnsi="宋体" w:cs="宋体"/>
          <w:bCs/>
          <w:color w:val="000000" w:themeColor="text1"/>
          <w:sz w:val="24"/>
          <w:highlight w:val="none"/>
          <w:lang w:val="en"/>
          <w14:textFill>
            <w14:solidFill>
              <w14:schemeClr w14:val="tx1"/>
            </w14:solidFill>
          </w14:textFill>
        </w:rPr>
        <w:t>响应文件</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商务条款偏离表</w:t>
      </w:r>
      <w:r>
        <w:rPr>
          <w:rFonts w:hint="eastAsia" w:ascii="宋体" w:hAnsi="宋体" w:cs="宋体"/>
          <w:bCs/>
          <w:color w:val="000000" w:themeColor="text1"/>
          <w:sz w:val="24"/>
          <w:highlight w:val="none"/>
          <w:lang w:val="zh-CN"/>
          <w14:textFill>
            <w14:solidFill>
              <w14:schemeClr w14:val="tx1"/>
            </w14:solidFill>
          </w14:textFill>
        </w:rPr>
        <w:t>》中对本部分所有条款逐条说明响应和偏离情况，否则响应无效。</w:t>
      </w:r>
    </w:p>
    <w:p w14:paraId="73861D14">
      <w:pPr>
        <w:pStyle w:val="15"/>
        <w:widowControl/>
        <w:numPr>
          <w:ilvl w:val="0"/>
          <w:numId w:val="4"/>
        </w:numPr>
        <w:spacing w:line="360" w:lineRule="auto"/>
        <w:ind w:firstLine="480" w:firstLineChars="200"/>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本部分内容均为实质性条款，</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的</w:t>
      </w:r>
      <w:r>
        <w:rPr>
          <w:rFonts w:hint="eastAsia" w:cs="宋体"/>
          <w:bCs/>
          <w:color w:val="000000" w:themeColor="text1"/>
          <w:highlight w:val="none"/>
          <w:lang w:val="zh-CN"/>
          <w14:textFill>
            <w14:solidFill>
              <w14:schemeClr w14:val="tx1"/>
            </w14:solidFill>
          </w14:textFill>
        </w:rPr>
        <w:t>响应</w:t>
      </w:r>
      <w:r>
        <w:rPr>
          <w:rFonts w:hint="eastAsia" w:ascii="宋体" w:hAnsi="宋体" w:cs="宋体"/>
          <w:bCs/>
          <w:color w:val="000000" w:themeColor="text1"/>
          <w:sz w:val="24"/>
          <w:highlight w:val="none"/>
          <w:lang w:val="zh-CN"/>
          <w14:textFill>
            <w14:solidFill>
              <w14:schemeClr w14:val="tx1"/>
            </w14:solidFill>
          </w14:textFill>
        </w:rPr>
        <w:t>必须完全满足或者正偏离，否则响应无效。</w:t>
      </w:r>
    </w:p>
    <w:p w14:paraId="2D124DEE">
      <w:pPr>
        <w:pStyle w:val="15"/>
        <w:widowControl/>
        <w:spacing w:line="360" w:lineRule="auto"/>
        <w:ind w:left="480"/>
        <w:jc w:val="left"/>
        <w:rPr>
          <w:rFonts w:ascii="宋体" w:hAnsi="宋体" w:cs="宋体"/>
          <w:bCs/>
          <w:color w:val="000000" w:themeColor="text1"/>
          <w:sz w:val="24"/>
          <w:highlight w:val="none"/>
          <w:lang w:val="zh-CN"/>
          <w14:textFill>
            <w14:solidFill>
              <w14:schemeClr w14:val="tx1"/>
            </w14:solidFill>
          </w14:textFill>
        </w:rPr>
      </w:pPr>
    </w:p>
    <w:tbl>
      <w:tblPr>
        <w:tblStyle w:val="26"/>
        <w:tblW w:w="9738" w:type="dxa"/>
        <w:tblInd w:w="-1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2410"/>
        <w:gridCol w:w="6498"/>
      </w:tblGrid>
      <w:tr w14:paraId="39FCD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0" w:type="dxa"/>
            <w:vAlign w:val="center"/>
          </w:tcPr>
          <w:p w14:paraId="0E40CCA1">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序号</w:t>
            </w:r>
          </w:p>
        </w:tc>
        <w:tc>
          <w:tcPr>
            <w:tcW w:w="2410" w:type="dxa"/>
            <w:vAlign w:val="center"/>
          </w:tcPr>
          <w:p w14:paraId="260D7BDB">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商务条款</w:t>
            </w:r>
          </w:p>
        </w:tc>
        <w:tc>
          <w:tcPr>
            <w:tcW w:w="6498" w:type="dxa"/>
            <w:vAlign w:val="center"/>
          </w:tcPr>
          <w:p w14:paraId="0F841B5F">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内容</w:t>
            </w:r>
          </w:p>
        </w:tc>
      </w:tr>
      <w:tr w14:paraId="4F3DC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30" w:type="dxa"/>
            <w:vAlign w:val="center"/>
          </w:tcPr>
          <w:p w14:paraId="4F79027A">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410" w:type="dxa"/>
            <w:vAlign w:val="center"/>
          </w:tcPr>
          <w:p w14:paraId="08EA7DE2">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交付（实施）的时间（期限）</w:t>
            </w:r>
          </w:p>
        </w:tc>
        <w:tc>
          <w:tcPr>
            <w:tcW w:w="6498" w:type="dxa"/>
            <w:vAlign w:val="center"/>
          </w:tcPr>
          <w:p w14:paraId="440DCDE3">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采购合同签订之日起20天内。</w:t>
            </w:r>
          </w:p>
        </w:tc>
      </w:tr>
      <w:tr w14:paraId="16B79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830" w:type="dxa"/>
            <w:vAlign w:val="center"/>
          </w:tcPr>
          <w:p w14:paraId="76B37097">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410" w:type="dxa"/>
            <w:vAlign w:val="center"/>
          </w:tcPr>
          <w:p w14:paraId="5CEA40B2">
            <w:pPr>
              <w:pStyle w:val="15"/>
              <w:widowControl/>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交付（实施）的地点（范围）</w:t>
            </w:r>
          </w:p>
        </w:tc>
        <w:tc>
          <w:tcPr>
            <w:tcW w:w="6498" w:type="dxa"/>
            <w:vAlign w:val="center"/>
          </w:tcPr>
          <w:p w14:paraId="2C846C20">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长春市</w:t>
            </w:r>
          </w:p>
        </w:tc>
      </w:tr>
      <w:tr w14:paraId="7EEDA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30" w:type="dxa"/>
            <w:vAlign w:val="center"/>
          </w:tcPr>
          <w:p w14:paraId="59E6A16F">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c>
          <w:tcPr>
            <w:tcW w:w="2410" w:type="dxa"/>
            <w:vAlign w:val="center"/>
          </w:tcPr>
          <w:p w14:paraId="5CEF8475">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包装和运输要求</w:t>
            </w:r>
          </w:p>
        </w:tc>
        <w:tc>
          <w:tcPr>
            <w:tcW w:w="6498" w:type="dxa"/>
            <w:vAlign w:val="center"/>
          </w:tcPr>
          <w:p w14:paraId="2943B136">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符合《商品包装政府采购需求标准（试行）》和《快递包装政府采购需求标准（试行）》</w:t>
            </w:r>
          </w:p>
        </w:tc>
      </w:tr>
      <w:tr w14:paraId="67D00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30" w:type="dxa"/>
            <w:vAlign w:val="center"/>
          </w:tcPr>
          <w:p w14:paraId="21E9AE8E">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p>
        </w:tc>
        <w:tc>
          <w:tcPr>
            <w:tcW w:w="2410" w:type="dxa"/>
            <w:vAlign w:val="center"/>
          </w:tcPr>
          <w:p w14:paraId="2B51D8D0">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保险要求</w:t>
            </w:r>
          </w:p>
        </w:tc>
        <w:tc>
          <w:tcPr>
            <w:tcW w:w="6498" w:type="dxa"/>
            <w:vAlign w:val="center"/>
          </w:tcPr>
          <w:p w14:paraId="724554B8">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供应商承担</w:t>
            </w:r>
          </w:p>
        </w:tc>
      </w:tr>
      <w:tr w14:paraId="2D236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4" w:hRule="atLeast"/>
        </w:trPr>
        <w:tc>
          <w:tcPr>
            <w:tcW w:w="830" w:type="dxa"/>
            <w:vAlign w:val="center"/>
          </w:tcPr>
          <w:p w14:paraId="32B9E867">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w:t>
            </w:r>
          </w:p>
        </w:tc>
        <w:tc>
          <w:tcPr>
            <w:tcW w:w="2410" w:type="dxa"/>
            <w:vAlign w:val="center"/>
          </w:tcPr>
          <w:p w14:paraId="7DD0B852">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付款条件（进度和方式）</w:t>
            </w:r>
          </w:p>
        </w:tc>
        <w:tc>
          <w:tcPr>
            <w:tcW w:w="6498" w:type="dxa"/>
            <w:vAlign w:val="center"/>
          </w:tcPr>
          <w:p w14:paraId="59376336">
            <w:pPr>
              <w:pStyle w:val="15"/>
              <w:widowControl/>
              <w:spacing w:line="48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中小企业（需执行《保障中小企业款项支付条例》【国务院第728令】的相关规定）：货物全部到货且验收合格后支付全部合同金额。</w:t>
            </w:r>
          </w:p>
        </w:tc>
      </w:tr>
      <w:tr w14:paraId="0CA37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830" w:type="dxa"/>
            <w:vAlign w:val="center"/>
          </w:tcPr>
          <w:p w14:paraId="628CC9C2">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w:t>
            </w:r>
          </w:p>
        </w:tc>
        <w:tc>
          <w:tcPr>
            <w:tcW w:w="2410" w:type="dxa"/>
            <w:vAlign w:val="center"/>
          </w:tcPr>
          <w:p w14:paraId="7BF93C96">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售后服务</w:t>
            </w:r>
          </w:p>
        </w:tc>
        <w:tc>
          <w:tcPr>
            <w:tcW w:w="6498" w:type="dxa"/>
            <w:vAlign w:val="center"/>
          </w:tcPr>
          <w:p w14:paraId="18591283">
            <w:pPr>
              <w:pStyle w:val="15"/>
              <w:widowControl/>
              <w:spacing w:line="48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提供的商品必须是全新的，完全符合国家有关技术标准，物资系列产品到达用户所在地后30日内，如发现成品或原材料质量不合格等情况，乙方负责包修、包换并承担由此产生的所有费用及相应责任等。供方的质量保证及售后服务承诺如下：1、质保期限：二年免费质保</w:t>
            </w:r>
          </w:p>
          <w:p w14:paraId="4D519F96">
            <w:pPr>
              <w:pStyle w:val="15"/>
              <w:widowControl/>
              <w:spacing w:line="48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2、保修范围：到达用户所在地后30日内，如发现不合体的，制造厂商应负责包修、包换。到达用户所在地后30日内，如发现材料及加工质量问题，制造厂商应负责包换。</w:t>
            </w:r>
          </w:p>
          <w:p w14:paraId="00BE5A1B">
            <w:pPr>
              <w:pStyle w:val="15"/>
              <w:widowControl/>
              <w:spacing w:line="48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3、服务措施：必须建立完整的售后服务体系。（包括质量保修范围和保修期等）</w:t>
            </w:r>
          </w:p>
        </w:tc>
      </w:tr>
    </w:tbl>
    <w:p w14:paraId="189A1DD9">
      <w:pPr>
        <w:pStyle w:val="58"/>
        <w:keepNext w:val="0"/>
        <w:keepLines w:val="0"/>
        <w:spacing w:before="0" w:after="0" w:line="240" w:lineRule="auto"/>
        <w:jc w:val="left"/>
        <w:rPr>
          <w:rFonts w:ascii="宋体" w:hAnsi="宋体" w:eastAsia="黑体"/>
          <w:bCs w:val="0"/>
          <w:color w:val="000000" w:themeColor="text1"/>
          <w:sz w:val="24"/>
          <w:szCs w:val="30"/>
          <w:highlight w:val="none"/>
          <w14:textFill>
            <w14:solidFill>
              <w14:schemeClr w14:val="tx1"/>
            </w14:solidFill>
          </w14:textFill>
        </w:rPr>
      </w:pPr>
    </w:p>
    <w:p w14:paraId="30787C60">
      <w:pPr>
        <w:pStyle w:val="58"/>
        <w:keepNext w:val="0"/>
        <w:keepLines w:val="0"/>
        <w:spacing w:before="0" w:after="0" w:line="240" w:lineRule="auto"/>
        <w:jc w:val="left"/>
        <w:rPr>
          <w:rFonts w:ascii="宋体" w:hAnsi="宋体" w:eastAsia="黑体"/>
          <w:bCs w:val="0"/>
          <w:color w:val="000000" w:themeColor="text1"/>
          <w:sz w:val="24"/>
          <w:szCs w:val="30"/>
          <w:highlight w:val="none"/>
          <w14:textFill>
            <w14:solidFill>
              <w14:schemeClr w14:val="tx1"/>
            </w14:solidFill>
          </w14:textFill>
        </w:rPr>
      </w:pPr>
    </w:p>
    <w:p w14:paraId="4DD518D3">
      <w:pPr>
        <w:pStyle w:val="58"/>
        <w:keepNext w:val="0"/>
        <w:keepLines w:val="0"/>
        <w:spacing w:before="0" w:after="0" w:line="240" w:lineRule="auto"/>
        <w:jc w:val="left"/>
        <w:rPr>
          <w:rFonts w:ascii="宋体" w:hAnsi="宋体" w:cs="宋体"/>
          <w:bCs w:val="0"/>
          <w:color w:val="000000" w:themeColor="text1"/>
          <w:sz w:val="24"/>
          <w:szCs w:val="30"/>
          <w:highlight w:val="none"/>
          <w14:textFill>
            <w14:solidFill>
              <w14:schemeClr w14:val="tx1"/>
            </w14:solidFill>
          </w14:textFill>
        </w:rPr>
      </w:pPr>
      <w:r>
        <w:rPr>
          <w:rFonts w:hint="eastAsia" w:ascii="宋体" w:hAnsi="宋体" w:cs="宋体"/>
          <w:bCs w:val="0"/>
          <w:color w:val="000000" w:themeColor="text1"/>
          <w:sz w:val="24"/>
          <w:szCs w:val="30"/>
          <w:highlight w:val="none"/>
          <w14:textFill>
            <w14:solidFill>
              <w14:schemeClr w14:val="tx1"/>
            </w14:solidFill>
          </w14:textFill>
        </w:rPr>
        <w:t>四、合同主要条款</w:t>
      </w:r>
    </w:p>
    <w:p w14:paraId="307FD440">
      <w:pPr>
        <w:pStyle w:val="15"/>
        <w:spacing w:line="360" w:lineRule="auto"/>
        <w:jc w:val="left"/>
        <w:rPr>
          <w:rFonts w:ascii="楷体" w:hAnsi="楷体" w:eastAsia="楷体"/>
          <w:bCs/>
          <w:color w:val="000000" w:themeColor="text1"/>
          <w:kern w:val="0"/>
          <w:sz w:val="24"/>
          <w:highlight w:val="none"/>
          <w14:textFill>
            <w14:solidFill>
              <w14:schemeClr w14:val="tx1"/>
            </w14:solidFill>
          </w14:textFill>
        </w:rPr>
      </w:pPr>
    </w:p>
    <w:tbl>
      <w:tblPr>
        <w:tblStyle w:val="26"/>
        <w:tblW w:w="9970" w:type="dxa"/>
        <w:tblInd w:w="-1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2410"/>
        <w:gridCol w:w="6730"/>
      </w:tblGrid>
      <w:tr w14:paraId="1D63C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830" w:type="dxa"/>
            <w:vAlign w:val="center"/>
          </w:tcPr>
          <w:p w14:paraId="68F0B413">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410" w:type="dxa"/>
            <w:vAlign w:val="center"/>
          </w:tcPr>
          <w:p w14:paraId="56ABC930">
            <w:pPr>
              <w:pStyle w:val="15"/>
              <w:widowControl/>
              <w:spacing w:line="36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合同类型及定价方式</w:t>
            </w:r>
          </w:p>
        </w:tc>
        <w:tc>
          <w:tcPr>
            <w:tcW w:w="6730" w:type="dxa"/>
            <w:vAlign w:val="center"/>
          </w:tcPr>
          <w:p w14:paraId="6D467435">
            <w:pPr>
              <w:pStyle w:val="15"/>
              <w:widowControl/>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（一）本项目为固定总价合同。</w:t>
            </w:r>
          </w:p>
          <w:p w14:paraId="46915A2A">
            <w:pPr>
              <w:pStyle w:val="15"/>
              <w:widowControl/>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说明：供应商的报价应当包含为完成本项目全部工作所需的一切费用，包括成本、利润、税金等。</w:t>
            </w:r>
          </w:p>
        </w:tc>
      </w:tr>
      <w:tr w14:paraId="68EA0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19FFACC9">
            <w:pPr>
              <w:pStyle w:val="15"/>
              <w:widowControl/>
              <w:spacing w:line="480"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410" w:type="dxa"/>
            <w:vAlign w:val="center"/>
          </w:tcPr>
          <w:p w14:paraId="7370C78F">
            <w:pPr>
              <w:pStyle w:val="15"/>
              <w:widowControl/>
              <w:spacing w:line="48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履约保证金数额</w:t>
            </w:r>
          </w:p>
        </w:tc>
        <w:tc>
          <w:tcPr>
            <w:tcW w:w="6730" w:type="dxa"/>
            <w:vAlign w:val="center"/>
          </w:tcPr>
          <w:p w14:paraId="58343134">
            <w:pPr>
              <w:pStyle w:val="14"/>
              <w:tabs>
                <w:tab w:val="left" w:pos="3570"/>
              </w:tabs>
              <w:adjustRightInd w:val="0"/>
              <w:snapToGrid w:val="0"/>
              <w:ind w:firstLine="480" w:firstLineChars="200"/>
              <w:rPr>
                <w:rFonts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无</w:t>
            </w:r>
          </w:p>
        </w:tc>
      </w:tr>
      <w:tr w14:paraId="3826F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17A829F4">
            <w:pPr>
              <w:pStyle w:val="15"/>
              <w:widowControl/>
              <w:spacing w:line="480"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w:t>
            </w:r>
          </w:p>
        </w:tc>
        <w:tc>
          <w:tcPr>
            <w:tcW w:w="2410" w:type="dxa"/>
            <w:vAlign w:val="center"/>
          </w:tcPr>
          <w:p w14:paraId="7DFA6E9B">
            <w:pPr>
              <w:pStyle w:val="15"/>
              <w:widowControl/>
              <w:spacing w:line="36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知识产权的归属和处理方式</w:t>
            </w:r>
          </w:p>
        </w:tc>
        <w:tc>
          <w:tcPr>
            <w:tcW w:w="6730" w:type="dxa"/>
            <w:vAlign w:val="center"/>
          </w:tcPr>
          <w:p w14:paraId="50E9BD42">
            <w:pPr>
              <w:pStyle w:val="15"/>
              <w:widowControl/>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供方应保证需方在使用本合同项下的货物或其任何一部分时免受第三方提出侵犯其知识产权、商标权或工业设计权的起诉。如果发生此类问题，供方应负责交涉并承担一切费用和责任。</w:t>
            </w:r>
          </w:p>
        </w:tc>
      </w:tr>
      <w:tr w14:paraId="30AC6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23AEDD3E">
            <w:pPr>
              <w:pStyle w:val="15"/>
              <w:widowControl/>
              <w:spacing w:line="480"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w:t>
            </w:r>
          </w:p>
        </w:tc>
        <w:tc>
          <w:tcPr>
            <w:tcW w:w="2410" w:type="dxa"/>
            <w:vAlign w:val="center"/>
          </w:tcPr>
          <w:p w14:paraId="644852EF">
            <w:pPr>
              <w:pStyle w:val="15"/>
              <w:widowControl/>
              <w:spacing w:line="36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履约验收要求</w:t>
            </w:r>
          </w:p>
        </w:tc>
        <w:tc>
          <w:tcPr>
            <w:tcW w:w="6730" w:type="dxa"/>
            <w:vAlign w:val="center"/>
          </w:tcPr>
          <w:p w14:paraId="4762C971">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 验收标准按技术标准文件和甲方明确的技术规格及工艺标准等要求严格执行。甲方可通过多种形式进行验收，全部费用由乙方承担。</w:t>
            </w:r>
          </w:p>
          <w:p w14:paraId="30CAD214">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 产品生产过程中检测、验收和到货后检测、验收的具体方式、方法和检测机构由合同甲方确定，产品（含包装）的检测规则、抽样与组批规则和判定规则将严格按照采购文件中规定的技术标准执行，全部检测费用由合同乙方承担。</w:t>
            </w:r>
          </w:p>
          <w:p w14:paraId="6A122A13">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 合同执行过程中，甲方在验收中如发现物资产品的质量和原材料不符合标书要求及合同条款规定的，须在5-10天内向乙方提出，并有权退货或部分退货，拒付不符合合同规定部分物资的货款。产品检测结果如不合格，乙方须在接到甲方通知后立即予以答复，并负责处理，不能及时处理的质量不合格的产品不得发运；到货后产品检测结果如不合格，乙方须在接到甲方提出的异议后3天内给予答复，提出解决方案，并负责妥善处理。甲方有权对检测不合格和存在质量问题的产品退货或部分退货并拒绝结算。</w:t>
            </w:r>
          </w:p>
          <w:p w14:paraId="24AE15B1">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 乙方将物资系列品种送达甲方指定地点，须同时向甲方提供本合同 批次到货日期服务期内的权威质检部门（省级以上）对主要原材料（面、敷料、服饰等）的采购供货合同正本和主要原材料及物资质量检测的合格报告，如未提供以上材料，甲方有权拒绝收货和拒绝结算。</w:t>
            </w:r>
          </w:p>
          <w:p w14:paraId="1FADA3E3">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 验收中，不符合合同规定质量水平的产品，超过本合同单一物资 系列品种总量的5%时，视为整批货物不合格。甲方有权提出退货，乙方须无条件退还已收到的本合同预付货款，并承担由此带来的负面影响及相应的经济、法律等后果。</w:t>
            </w:r>
          </w:p>
          <w:p w14:paraId="73FCBE19">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 乙方在生产前、中、后期接到甲方提出的异议后，须3天内给予答复，并提出可行的解决方案和负责实施，如不（无）答复视为认可。</w:t>
            </w:r>
          </w:p>
        </w:tc>
      </w:tr>
      <w:tr w14:paraId="35D1A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378DC002">
            <w:pPr>
              <w:pStyle w:val="15"/>
              <w:widowControl/>
              <w:spacing w:line="480"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w:t>
            </w:r>
          </w:p>
        </w:tc>
        <w:tc>
          <w:tcPr>
            <w:tcW w:w="2410" w:type="dxa"/>
            <w:vAlign w:val="center"/>
          </w:tcPr>
          <w:p w14:paraId="31CB1023">
            <w:pPr>
              <w:pStyle w:val="15"/>
              <w:widowControl/>
              <w:spacing w:line="36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违约责任与解决争议的方法</w:t>
            </w:r>
          </w:p>
        </w:tc>
        <w:tc>
          <w:tcPr>
            <w:tcW w:w="6730" w:type="dxa"/>
            <w:vAlign w:val="center"/>
          </w:tcPr>
          <w:p w14:paraId="479BF6FA">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1、发生以下情况的：</w:t>
            </w:r>
          </w:p>
          <w:p w14:paraId="3D14B7A4">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（1）乙方转包生产的；</w:t>
            </w:r>
          </w:p>
          <w:p w14:paraId="498A5323">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（2）乙方交货后，同一批次品种经两次抽检不合格的；</w:t>
            </w:r>
          </w:p>
          <w:p w14:paraId="5DD937FA">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（3）因乙方原因，迟交货物达到十日（含十日）以上的；</w:t>
            </w:r>
          </w:p>
          <w:p w14:paraId="437E3715">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（4）乙方在中标及交货后，以任何形式用于非警用物资保障对外进行商业宣传的。</w:t>
            </w:r>
          </w:p>
          <w:p w14:paraId="4C8BE19C">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甲方有权终止合同并没收合同总金额10%的履约保证金。乙方须无条件退还已收到甲方的货款，并向甲方支付全部货款20%的违约金，作为违约赔偿。同时，甲方将按照《人民警察服装目录生产企业管理规格》中的有关条款，向公安部主管部门提出申请取消该企业99式警用物资生产目录企业的资格。由此造成的后果和法律责任等将由乙方自行承担。</w:t>
            </w:r>
          </w:p>
          <w:p w14:paraId="73510A97">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2、因乙方原因，迟交货物在十日以内的，乙方将向甲方支付违约金，违约金从合同货款总额中扣除。违约金计算方法：合同货款总额×0.5%/天。超出5天以上的，甲方将视情况按合同货款总额×1%/天计算。</w:t>
            </w:r>
          </w:p>
          <w:p w14:paraId="494C5320">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3、因乙方货物包装不符合合同规定，而造成货物的损坏、灭失的，乙方应与3-5日内无条件更换、补齐。</w:t>
            </w:r>
          </w:p>
          <w:p w14:paraId="280335EF">
            <w:pPr>
              <w:pStyle w:val="15"/>
              <w:widowControl/>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4、乙方提前交货的，须与甲方商定交货计划，甲方仍按合同约定时间支付货款。</w:t>
            </w:r>
          </w:p>
        </w:tc>
      </w:tr>
    </w:tbl>
    <w:p w14:paraId="7D826D68">
      <w:pPr>
        <w:pStyle w:val="51"/>
        <w:rPr>
          <w:rFonts w:ascii="宋体" w:cs="宋体"/>
          <w:b/>
          <w:color w:val="000000" w:themeColor="text1"/>
          <w:sz w:val="24"/>
          <w:szCs w:val="32"/>
          <w:highlight w:val="none"/>
          <w:lang w:val="zh-CN"/>
          <w14:textFill>
            <w14:solidFill>
              <w14:schemeClr w14:val="tx1"/>
            </w14:solidFill>
          </w14:textFill>
        </w:rPr>
      </w:pPr>
    </w:p>
    <w:p w14:paraId="104CBEF6">
      <w:pPr>
        <w:pStyle w:val="44"/>
        <w:spacing w:line="360" w:lineRule="auto"/>
        <w:ind w:firstLine="480"/>
        <w:rPr>
          <w:rFonts w:ascii="宋体" w:cs="宋体"/>
          <w:color w:val="000000" w:themeColor="text1"/>
          <w:sz w:val="24"/>
          <w:highlight w:val="none"/>
          <w14:textFill>
            <w14:solidFill>
              <w14:schemeClr w14:val="tx1"/>
            </w14:solidFill>
          </w14:textFill>
        </w:rPr>
      </w:pPr>
    </w:p>
    <w:p w14:paraId="1FC7189A">
      <w:pPr>
        <w:spacing w:line="360" w:lineRule="auto"/>
        <w:ind w:firstLine="480" w:firstLineChars="200"/>
        <w:rPr>
          <w:rFonts w:ascii="宋体" w:cs="宋体"/>
          <w:color w:val="000000" w:themeColor="text1"/>
          <w:sz w:val="24"/>
          <w:highlight w:val="none"/>
          <w14:textFill>
            <w14:solidFill>
              <w14:schemeClr w14:val="tx1"/>
            </w14:solidFill>
          </w14:textFill>
        </w:rPr>
      </w:pPr>
    </w:p>
    <w:p w14:paraId="327329DD">
      <w:pPr>
        <w:pStyle w:val="43"/>
        <w:rPr>
          <w:rFonts w:ascii="宋体" w:cs="宋体"/>
          <w:color w:val="000000" w:themeColor="text1"/>
          <w:highlight w:val="none"/>
          <w14:textFill>
            <w14:solidFill>
              <w14:schemeClr w14:val="tx1"/>
            </w14:solidFill>
          </w14:textFill>
        </w:rPr>
      </w:pPr>
    </w:p>
    <w:p w14:paraId="45FFA494">
      <w:pPr>
        <w:spacing w:line="360" w:lineRule="auto"/>
        <w:ind w:firstLine="480" w:firstLineChars="200"/>
        <w:rPr>
          <w:rFonts w:ascii="宋体" w:cs="宋体"/>
          <w:color w:val="000000" w:themeColor="text1"/>
          <w:sz w:val="24"/>
          <w:highlight w:val="none"/>
          <w14:textFill>
            <w14:solidFill>
              <w14:schemeClr w14:val="tx1"/>
            </w14:solidFill>
          </w14:textFill>
        </w:rPr>
      </w:pPr>
    </w:p>
    <w:p w14:paraId="274BBE81">
      <w:pPr>
        <w:rPr>
          <w:rFonts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br w:type="page"/>
      </w:r>
    </w:p>
    <w:p w14:paraId="0C6C379C">
      <w:pPr>
        <w:rPr>
          <w:rFonts w:ascii="宋体" w:cs="宋体"/>
          <w:color w:val="000000" w:themeColor="text1"/>
          <w:highlight w:val="none"/>
          <w14:textFill>
            <w14:solidFill>
              <w14:schemeClr w14:val="tx1"/>
            </w14:solidFill>
          </w14:textFill>
        </w:rPr>
      </w:pPr>
    </w:p>
    <w:p w14:paraId="3D26B65A">
      <w:pPr>
        <w:pStyle w:val="2"/>
        <w:rPr>
          <w:rFonts w:ascii="宋体" w:cs="宋体"/>
          <w:color w:val="000000" w:themeColor="text1"/>
          <w:highlight w:val="none"/>
          <w14:textFill>
            <w14:solidFill>
              <w14:schemeClr w14:val="tx1"/>
            </w14:solidFill>
          </w14:textFill>
        </w:rPr>
      </w:pPr>
      <w:bookmarkStart w:id="65" w:name="_Toc27067"/>
      <w:r>
        <w:rPr>
          <w:rFonts w:hint="eastAsia" w:ascii="宋体" w:cs="宋体"/>
          <w:color w:val="000000" w:themeColor="text1"/>
          <w:highlight w:val="none"/>
          <w14:textFill>
            <w14:solidFill>
              <w14:schemeClr w14:val="tx1"/>
            </w14:solidFill>
          </w14:textFill>
        </w:rPr>
        <w:t>第六章 磋商响应文件构成及格式</w:t>
      </w:r>
      <w:bookmarkEnd w:id="58"/>
      <w:bookmarkEnd w:id="59"/>
      <w:bookmarkEnd w:id="60"/>
      <w:bookmarkEnd w:id="61"/>
      <w:bookmarkEnd w:id="62"/>
      <w:bookmarkEnd w:id="63"/>
      <w:bookmarkEnd w:id="65"/>
    </w:p>
    <w:p w14:paraId="315F6EF6">
      <w:pPr>
        <w:spacing w:line="360" w:lineRule="auto"/>
        <w:ind w:left="420"/>
        <w:jc w:val="center"/>
        <w:rPr>
          <w:rFonts w:ascii="宋体" w:cs="宋体"/>
          <w:color w:val="000000" w:themeColor="text1"/>
          <w:sz w:val="24"/>
          <w:highlight w:val="none"/>
          <w14:textFill>
            <w14:solidFill>
              <w14:schemeClr w14:val="tx1"/>
            </w14:solidFill>
          </w14:textFill>
        </w:rPr>
      </w:pPr>
    </w:p>
    <w:p w14:paraId="522E2EFA">
      <w:pPr>
        <w:pStyle w:val="14"/>
        <w:spacing w:line="360" w:lineRule="auto"/>
        <w:rPr>
          <w:rFonts w:ascii="宋体" w:cs="宋体"/>
          <w:bCs/>
          <w:color w:val="000000" w:themeColor="text1"/>
          <w:szCs w:val="24"/>
          <w:highlight w:val="none"/>
          <w14:textFill>
            <w14:solidFill>
              <w14:schemeClr w14:val="tx1"/>
            </w14:solidFill>
          </w14:textFill>
        </w:rPr>
      </w:pPr>
      <w:bookmarkStart w:id="66" w:name="_Toc24749"/>
      <w:bookmarkStart w:id="67" w:name="_Toc21335"/>
      <w:bookmarkStart w:id="68" w:name="_Toc9535"/>
      <w:bookmarkStart w:id="69" w:name="_Toc21796"/>
      <w:bookmarkStart w:id="70" w:name="_Toc25392"/>
      <w:bookmarkStart w:id="71" w:name="_Toc7468"/>
      <w:r>
        <w:rPr>
          <w:rFonts w:hint="eastAsia" w:ascii="宋体" w:cs="宋体"/>
          <w:bCs/>
          <w:color w:val="000000" w:themeColor="text1"/>
          <w:szCs w:val="24"/>
          <w:highlight w:val="none"/>
          <w14:textFill>
            <w14:solidFill>
              <w14:schemeClr w14:val="tx1"/>
            </w14:solidFill>
          </w14:textFill>
        </w:rPr>
        <w:t>采购人特别声明：</w:t>
      </w:r>
      <w:bookmarkEnd w:id="66"/>
      <w:bookmarkEnd w:id="67"/>
      <w:bookmarkEnd w:id="68"/>
      <w:bookmarkEnd w:id="69"/>
      <w:bookmarkEnd w:id="70"/>
      <w:bookmarkEnd w:id="71"/>
    </w:p>
    <w:p w14:paraId="703BFEE7">
      <w:pPr>
        <w:pStyle w:val="45"/>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供应商应提交本“磋商响应文件文件格式”所列举和要求的全部磋商响应文件，并且所提交的磋商响应文件都是真实有效的，否则，将是供应商的风险。</w:t>
      </w:r>
    </w:p>
    <w:p w14:paraId="5885F66F">
      <w:pPr>
        <w:rPr>
          <w:rFonts w:ascii="宋体" w:cs="宋体"/>
          <w:b/>
          <w:color w:val="000000" w:themeColor="text1"/>
          <w:kern w:val="0"/>
          <w:sz w:val="28"/>
          <w:szCs w:val="28"/>
          <w:highlight w:val="none"/>
          <w:shd w:val="clear" w:color="auto" w:fill="FFFFFF"/>
          <w14:textFill>
            <w14:solidFill>
              <w14:schemeClr w14:val="tx1"/>
            </w14:solidFill>
          </w14:textFill>
        </w:rPr>
      </w:pPr>
      <w:r>
        <w:rPr>
          <w:rFonts w:hint="eastAsia" w:ascii="宋体" w:cs="宋体"/>
          <w:b/>
          <w:color w:val="000000" w:themeColor="text1"/>
          <w:kern w:val="0"/>
          <w:sz w:val="28"/>
          <w:szCs w:val="28"/>
          <w:highlight w:val="none"/>
          <w:shd w:val="clear" w:color="auto" w:fill="FFFFFF"/>
          <w14:textFill>
            <w14:solidFill>
              <w14:schemeClr w14:val="tx1"/>
            </w14:solidFill>
          </w14:textFill>
        </w:rPr>
        <w:br w:type="page"/>
      </w:r>
    </w:p>
    <w:p w14:paraId="7EFA57B8">
      <w:pPr>
        <w:jc w:val="right"/>
        <w:rPr>
          <w:rFonts w:ascii="宋体" w:cs="宋体"/>
          <w:color w:val="000000" w:themeColor="text1"/>
          <w:sz w:val="48"/>
          <w:highlight w:val="none"/>
          <w14:textFill>
            <w14:solidFill>
              <w14:schemeClr w14:val="tx1"/>
            </w14:solidFill>
          </w14:textFill>
        </w:rPr>
      </w:pPr>
      <w:r>
        <w:rPr>
          <w:rFonts w:hint="eastAsia" w:ascii="宋体" w:cs="宋体"/>
          <w:b/>
          <w:color w:val="000000" w:themeColor="text1"/>
          <w:sz w:val="44"/>
          <w:szCs w:val="44"/>
          <w:highlight w:val="none"/>
          <w14:textFill>
            <w14:solidFill>
              <w14:schemeClr w14:val="tx1"/>
            </w14:solidFill>
          </w14:textFill>
        </w:rPr>
        <w:t>【正本或副本】</w:t>
      </w:r>
    </w:p>
    <w:p w14:paraId="748DD2D6">
      <w:pPr>
        <w:rPr>
          <w:rFonts w:ascii="宋体" w:cs="宋体"/>
          <w:b/>
          <w:color w:val="000000" w:themeColor="text1"/>
          <w:sz w:val="36"/>
          <w:szCs w:val="36"/>
          <w:highlight w:val="none"/>
          <w14:textFill>
            <w14:solidFill>
              <w14:schemeClr w14:val="tx1"/>
            </w14:solidFill>
          </w14:textFill>
        </w:rPr>
      </w:pPr>
    </w:p>
    <w:p w14:paraId="1757A877">
      <w:pPr>
        <w:rPr>
          <w:rFonts w:ascii="宋体" w:cs="宋体"/>
          <w:b/>
          <w:color w:val="000000" w:themeColor="text1"/>
          <w:sz w:val="36"/>
          <w:szCs w:val="36"/>
          <w:highlight w:val="none"/>
          <w14:textFill>
            <w14:solidFill>
              <w14:schemeClr w14:val="tx1"/>
            </w14:solidFill>
          </w14:textFill>
        </w:rPr>
      </w:pPr>
    </w:p>
    <w:p w14:paraId="10AA8B70">
      <w:pPr>
        <w:jc w:val="center"/>
        <w:rPr>
          <w:rFonts w:ascii="宋体" w:cs="宋体"/>
          <w:color w:val="000000" w:themeColor="text1"/>
          <w:highlight w:val="none"/>
          <w14:textFill>
            <w14:solidFill>
              <w14:schemeClr w14:val="tx1"/>
            </w14:solidFill>
          </w14:textFill>
        </w:rPr>
      </w:pPr>
      <w:r>
        <w:rPr>
          <w:rFonts w:hint="eastAsia" w:ascii="宋体" w:cs="宋体"/>
          <w:b/>
          <w:bCs/>
          <w:color w:val="000000" w:themeColor="text1"/>
          <w:sz w:val="52"/>
          <w:szCs w:val="72"/>
          <w:highlight w:val="none"/>
          <w:u w:val="single"/>
          <w14:textFill>
            <w14:solidFill>
              <w14:schemeClr w14:val="tx1"/>
            </w14:solidFill>
          </w14:textFill>
        </w:rPr>
        <w:t xml:space="preserve">               </w:t>
      </w:r>
      <w:r>
        <w:rPr>
          <w:rFonts w:hint="eastAsia" w:ascii="宋体" w:cs="宋体"/>
          <w:b/>
          <w:bCs/>
          <w:color w:val="000000" w:themeColor="text1"/>
          <w:sz w:val="52"/>
          <w:szCs w:val="72"/>
          <w:highlight w:val="none"/>
          <w14:textFill>
            <w14:solidFill>
              <w14:schemeClr w14:val="tx1"/>
            </w14:solidFill>
          </w14:textFill>
        </w:rPr>
        <w:t>项目</w:t>
      </w:r>
    </w:p>
    <w:p w14:paraId="42F397F6">
      <w:pPr>
        <w:rPr>
          <w:rFonts w:ascii="宋体" w:cs="宋体"/>
          <w:color w:val="000000" w:themeColor="text1"/>
          <w:highlight w:val="none"/>
          <w14:textFill>
            <w14:solidFill>
              <w14:schemeClr w14:val="tx1"/>
            </w14:solidFill>
          </w14:textFill>
        </w:rPr>
      </w:pPr>
    </w:p>
    <w:p w14:paraId="6A5FCF8F">
      <w:pPr>
        <w:rPr>
          <w:rFonts w:ascii="宋体" w:cs="宋体"/>
          <w:color w:val="000000" w:themeColor="text1"/>
          <w:highlight w:val="none"/>
          <w14:textFill>
            <w14:solidFill>
              <w14:schemeClr w14:val="tx1"/>
            </w14:solidFill>
          </w14:textFill>
        </w:rPr>
      </w:pPr>
    </w:p>
    <w:p w14:paraId="0746E78D">
      <w:pPr>
        <w:spacing w:line="480" w:lineRule="auto"/>
        <w:ind w:right="105"/>
        <w:jc w:val="center"/>
        <w:rPr>
          <w:rFonts w:ascii="宋体" w:cs="宋体"/>
          <w:b/>
          <w:color w:val="000000" w:themeColor="text1"/>
          <w:sz w:val="84"/>
          <w:szCs w:val="84"/>
          <w:highlight w:val="none"/>
          <w14:textFill>
            <w14:solidFill>
              <w14:schemeClr w14:val="tx1"/>
            </w14:solidFill>
          </w14:textFill>
        </w:rPr>
      </w:pPr>
    </w:p>
    <w:p w14:paraId="495D23A2">
      <w:pPr>
        <w:spacing w:line="480" w:lineRule="auto"/>
        <w:ind w:right="105"/>
        <w:jc w:val="center"/>
        <w:rPr>
          <w:rFonts w:ascii="宋体" w:cs="宋体"/>
          <w:b/>
          <w:color w:val="000000" w:themeColor="text1"/>
          <w:sz w:val="84"/>
          <w:szCs w:val="84"/>
          <w:highlight w:val="none"/>
          <w14:textFill>
            <w14:solidFill>
              <w14:schemeClr w14:val="tx1"/>
            </w14:solidFill>
          </w14:textFill>
        </w:rPr>
      </w:pPr>
      <w:r>
        <w:rPr>
          <w:rFonts w:hint="eastAsia" w:ascii="宋体" w:cs="宋体"/>
          <w:b/>
          <w:color w:val="000000" w:themeColor="text1"/>
          <w:sz w:val="84"/>
          <w:szCs w:val="84"/>
          <w:highlight w:val="none"/>
          <w14:textFill>
            <w14:solidFill>
              <w14:schemeClr w14:val="tx1"/>
            </w14:solidFill>
          </w14:textFill>
        </w:rPr>
        <w:t>磋 商 响 应 文 件</w:t>
      </w:r>
    </w:p>
    <w:p w14:paraId="2B59F915">
      <w:pPr>
        <w:rPr>
          <w:rFonts w:ascii="宋体" w:cs="宋体"/>
          <w:color w:val="000000" w:themeColor="text1"/>
          <w:sz w:val="36"/>
          <w:highlight w:val="none"/>
          <w14:textFill>
            <w14:solidFill>
              <w14:schemeClr w14:val="tx1"/>
            </w14:solidFill>
          </w14:textFill>
        </w:rPr>
      </w:pPr>
    </w:p>
    <w:p w14:paraId="13D15E68">
      <w:pPr>
        <w:jc w:val="center"/>
        <w:rPr>
          <w:rFonts w:ascii="宋体" w:cs="宋体"/>
          <w:b/>
          <w:color w:val="000000" w:themeColor="text1"/>
          <w:sz w:val="28"/>
          <w:szCs w:val="28"/>
          <w:highlight w:val="none"/>
          <w14:textFill>
            <w14:solidFill>
              <w14:schemeClr w14:val="tx1"/>
            </w14:solidFill>
          </w14:textFill>
        </w:rPr>
      </w:pPr>
      <w:r>
        <w:rPr>
          <w:rFonts w:hint="eastAsia" w:ascii="宋体" w:cs="宋体"/>
          <w:b/>
          <w:color w:val="000000" w:themeColor="text1"/>
          <w:sz w:val="28"/>
          <w:szCs w:val="28"/>
          <w:highlight w:val="none"/>
          <w14:textFill>
            <w14:solidFill>
              <w14:schemeClr w14:val="tx1"/>
            </w14:solidFill>
          </w14:textFill>
        </w:rPr>
        <w:t>项目编号：</w:t>
      </w:r>
    </w:p>
    <w:p w14:paraId="7124A01A">
      <w:pPr>
        <w:ind w:firstLine="321" w:firstLineChars="100"/>
        <w:jc w:val="center"/>
        <w:rPr>
          <w:rFonts w:ascii="宋体" w:cs="宋体"/>
          <w:b/>
          <w:color w:val="000000" w:themeColor="text1"/>
          <w:sz w:val="32"/>
          <w:szCs w:val="32"/>
          <w:highlight w:val="none"/>
          <w14:textFill>
            <w14:solidFill>
              <w14:schemeClr w14:val="tx1"/>
            </w14:solidFill>
          </w14:textFill>
        </w:rPr>
      </w:pPr>
    </w:p>
    <w:p w14:paraId="1CF626E8">
      <w:pPr>
        <w:rPr>
          <w:rFonts w:ascii="宋体" w:cs="宋体"/>
          <w:color w:val="000000" w:themeColor="text1"/>
          <w:sz w:val="30"/>
          <w:szCs w:val="30"/>
          <w:highlight w:val="none"/>
          <w14:textFill>
            <w14:solidFill>
              <w14:schemeClr w14:val="tx1"/>
            </w14:solidFill>
          </w14:textFill>
        </w:rPr>
      </w:pPr>
    </w:p>
    <w:p w14:paraId="408ADC1D">
      <w:pPr>
        <w:rPr>
          <w:rFonts w:ascii="宋体" w:cs="宋体"/>
          <w:color w:val="000000" w:themeColor="text1"/>
          <w:sz w:val="32"/>
          <w:highlight w:val="none"/>
          <w14:textFill>
            <w14:solidFill>
              <w14:schemeClr w14:val="tx1"/>
            </w14:solidFill>
          </w14:textFill>
        </w:rPr>
      </w:pPr>
    </w:p>
    <w:p w14:paraId="47134C14">
      <w:pPr>
        <w:ind w:firstLine="643" w:firstLineChars="200"/>
        <w:rPr>
          <w:rFonts w:ascii="宋体" w:cs="宋体"/>
          <w:b/>
          <w:color w:val="000000" w:themeColor="text1"/>
          <w:sz w:val="32"/>
          <w:szCs w:val="32"/>
          <w:highlight w:val="none"/>
          <w14:textFill>
            <w14:solidFill>
              <w14:schemeClr w14:val="tx1"/>
            </w14:solidFill>
          </w14:textFill>
        </w:rPr>
      </w:pPr>
    </w:p>
    <w:p w14:paraId="4B9B4038">
      <w:pPr>
        <w:ind w:firstLine="643" w:firstLineChars="200"/>
        <w:rPr>
          <w:rFonts w:ascii="宋体" w:cs="宋体"/>
          <w:b/>
          <w:color w:val="000000" w:themeColor="text1"/>
          <w:sz w:val="32"/>
          <w:szCs w:val="32"/>
          <w:highlight w:val="none"/>
          <w14:textFill>
            <w14:solidFill>
              <w14:schemeClr w14:val="tx1"/>
            </w14:solidFill>
          </w14:textFill>
        </w:rPr>
      </w:pPr>
    </w:p>
    <w:p w14:paraId="24A53542">
      <w:pPr>
        <w:ind w:firstLine="643" w:firstLineChars="200"/>
        <w:rPr>
          <w:rFonts w:ascii="宋体" w:cs="宋体"/>
          <w:b/>
          <w:color w:val="000000" w:themeColor="text1"/>
          <w:sz w:val="32"/>
          <w:szCs w:val="32"/>
          <w:highlight w:val="none"/>
          <w14:textFill>
            <w14:solidFill>
              <w14:schemeClr w14:val="tx1"/>
            </w14:solidFill>
          </w14:textFill>
        </w:rPr>
      </w:pPr>
    </w:p>
    <w:p w14:paraId="42234045">
      <w:pPr>
        <w:ind w:firstLine="643" w:firstLineChars="200"/>
        <w:rPr>
          <w:rFonts w:ascii="宋体" w:cs="宋体"/>
          <w:b/>
          <w:color w:val="000000" w:themeColor="text1"/>
          <w:sz w:val="32"/>
          <w:szCs w:val="32"/>
          <w:highlight w:val="none"/>
          <w:u w:val="singl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供应商：</w:t>
      </w:r>
      <w:r>
        <w:rPr>
          <w:rFonts w:hint="eastAsia" w:ascii="宋体" w:cs="宋体"/>
          <w:b/>
          <w:color w:val="000000" w:themeColor="text1"/>
          <w:sz w:val="32"/>
          <w:szCs w:val="32"/>
          <w:highlight w:val="none"/>
          <w:u w:val="single"/>
          <w14:textFill>
            <w14:solidFill>
              <w14:schemeClr w14:val="tx1"/>
            </w14:solidFill>
          </w14:textFill>
        </w:rPr>
        <w:t xml:space="preserve">                       （盖章）</w:t>
      </w:r>
    </w:p>
    <w:p w14:paraId="1188DC20">
      <w:pPr>
        <w:ind w:firstLine="643" w:firstLineChars="200"/>
        <w:rPr>
          <w:rFonts w:ascii="宋体" w:cs="宋体"/>
          <w:b/>
          <w:color w:val="000000" w:themeColor="text1"/>
          <w:sz w:val="32"/>
          <w:szCs w:val="32"/>
          <w:highlight w:val="none"/>
          <w:u w:val="singl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法定代表人或其授权委托代理人：</w:t>
      </w:r>
      <w:r>
        <w:rPr>
          <w:rFonts w:hint="eastAsia" w:ascii="宋体" w:cs="宋体"/>
          <w:b/>
          <w:color w:val="000000" w:themeColor="text1"/>
          <w:sz w:val="32"/>
          <w:szCs w:val="32"/>
          <w:highlight w:val="none"/>
          <w:u w:val="single"/>
          <w14:textFill>
            <w14:solidFill>
              <w14:schemeClr w14:val="tx1"/>
            </w14:solidFill>
          </w14:textFill>
        </w:rPr>
        <w:t xml:space="preserve">  （签字或盖章）       </w:t>
      </w:r>
    </w:p>
    <w:p w14:paraId="23DDB605">
      <w:pPr>
        <w:ind w:firstLine="643" w:firstLineChars="200"/>
        <w:rPr>
          <w:rFonts w:ascii="宋体" w:cs="宋体"/>
          <w:b/>
          <w:color w:val="000000" w:themeColor="text1"/>
          <w:sz w:val="32"/>
          <w:szCs w:val="32"/>
          <w:highlight w:val="none"/>
          <w:u w:val="singl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日期：</w:t>
      </w:r>
      <w:r>
        <w:rPr>
          <w:rFonts w:hint="eastAsia" w:ascii="宋体" w:cs="宋体"/>
          <w:b/>
          <w:color w:val="000000" w:themeColor="text1"/>
          <w:sz w:val="32"/>
          <w:szCs w:val="32"/>
          <w:highlight w:val="none"/>
          <w:u w:val="single"/>
          <w14:textFill>
            <w14:solidFill>
              <w14:schemeClr w14:val="tx1"/>
            </w14:solidFill>
          </w14:textFill>
        </w:rPr>
        <w:t xml:space="preserve">    年   月   日</w:t>
      </w:r>
    </w:p>
    <w:p w14:paraId="60DD15E6">
      <w:pPr>
        <w:tabs>
          <w:tab w:val="left" w:pos="1365"/>
        </w:tabs>
        <w:spacing w:line="360" w:lineRule="auto"/>
        <w:rPr>
          <w:rFonts w:ascii="宋体" w:cs="宋体"/>
          <w:b/>
          <w:color w:val="000000" w:themeColor="text1"/>
          <w:sz w:val="36"/>
          <w:szCs w:val="36"/>
          <w:highlight w:val="none"/>
          <w14:textFill>
            <w14:solidFill>
              <w14:schemeClr w14:val="tx1"/>
            </w14:solidFill>
          </w14:textFill>
        </w:rPr>
      </w:pPr>
    </w:p>
    <w:p w14:paraId="550CC723">
      <w:pPr>
        <w:tabs>
          <w:tab w:val="left" w:pos="1365"/>
        </w:tabs>
        <w:spacing w:line="360" w:lineRule="auto"/>
        <w:jc w:val="center"/>
        <w:rPr>
          <w:rFonts w:ascii="宋体" w:cs="宋体"/>
          <w:b/>
          <w:color w:val="000000" w:themeColor="text1"/>
          <w:sz w:val="36"/>
          <w:szCs w:val="36"/>
          <w:highlight w:val="none"/>
          <w14:textFill>
            <w14:solidFill>
              <w14:schemeClr w14:val="tx1"/>
            </w14:solidFill>
          </w14:textFill>
        </w:rPr>
      </w:pPr>
    </w:p>
    <w:p w14:paraId="0993CEFA">
      <w:pPr>
        <w:tabs>
          <w:tab w:val="left" w:pos="1365"/>
        </w:tabs>
        <w:spacing w:line="360" w:lineRule="auto"/>
        <w:jc w:val="center"/>
        <w:rPr>
          <w:rFonts w:ascii="宋体" w:cs="宋体"/>
          <w:b/>
          <w:color w:val="000000" w:themeColor="text1"/>
          <w:sz w:val="36"/>
          <w:szCs w:val="36"/>
          <w:highlight w:val="none"/>
          <w14:textFill>
            <w14:solidFill>
              <w14:schemeClr w14:val="tx1"/>
            </w14:solidFill>
          </w14:textFill>
        </w:rPr>
      </w:pPr>
      <w:r>
        <w:rPr>
          <w:rFonts w:hint="eastAsia" w:ascii="宋体" w:cs="宋体"/>
          <w:b/>
          <w:color w:val="000000" w:themeColor="text1"/>
          <w:sz w:val="36"/>
          <w:szCs w:val="36"/>
          <w:highlight w:val="none"/>
          <w14:textFill>
            <w14:solidFill>
              <w14:schemeClr w14:val="tx1"/>
            </w14:solidFill>
          </w14:textFill>
        </w:rPr>
        <w:t>目  录</w:t>
      </w:r>
    </w:p>
    <w:p w14:paraId="1022E822">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1、磋商响应函</w:t>
      </w:r>
    </w:p>
    <w:p w14:paraId="4DC600E9">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2、法定代表人身份证明</w:t>
      </w:r>
    </w:p>
    <w:p w14:paraId="6BB5E080">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3、授权委托书</w:t>
      </w:r>
    </w:p>
    <w:p w14:paraId="7D7BE4BC">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4、磋商报价表</w:t>
      </w:r>
    </w:p>
    <w:p w14:paraId="6BF7616E">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5、磋商报价明细表</w:t>
      </w:r>
    </w:p>
    <w:p w14:paraId="5C717BD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6、商务条款偏离表</w:t>
      </w:r>
    </w:p>
    <w:p w14:paraId="299BCB4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7、投标货物及技术规格偏离表</w:t>
      </w:r>
    </w:p>
    <w:p w14:paraId="57AA6B71">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8、供应商资格声明</w:t>
      </w:r>
    </w:p>
    <w:p w14:paraId="3FC5978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9、供应商基本情况</w:t>
      </w:r>
    </w:p>
    <w:p w14:paraId="36302343">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10、供应商类似项目业绩一览表</w:t>
      </w:r>
    </w:p>
    <w:p w14:paraId="19F6BE8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11、供应商拟派于本项目管理、技术、服务人员情况表（如有）</w:t>
      </w:r>
    </w:p>
    <w:p w14:paraId="775A8E0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12、信誉承诺书</w:t>
      </w:r>
    </w:p>
    <w:p w14:paraId="457A3C85">
      <w:pPr>
        <w:pStyle w:val="25"/>
        <w:ind w:firstLine="480" w:firstLineChars="20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13、磋商保证金</w:t>
      </w:r>
    </w:p>
    <w:p w14:paraId="21FA1EB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14、服务承诺</w:t>
      </w:r>
    </w:p>
    <w:p w14:paraId="32FF4D30">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15、实施方案</w:t>
      </w:r>
    </w:p>
    <w:p w14:paraId="106C87CC">
      <w:pPr>
        <w:tabs>
          <w:tab w:val="left" w:pos="1365"/>
        </w:tabs>
        <w:spacing w:line="360" w:lineRule="auto"/>
        <w:ind w:firstLine="482" w:firstLineChars="201"/>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16、供应商认为需要提供的其他材料</w:t>
      </w:r>
    </w:p>
    <w:p w14:paraId="41EE6AD2">
      <w:pPr>
        <w:rPr>
          <w:rFonts w:ascii="宋体" w:cs="宋体"/>
          <w:color w:val="000000" w:themeColor="text1"/>
          <w:highlight w:val="none"/>
          <w14:textFill>
            <w14:solidFill>
              <w14:schemeClr w14:val="tx1"/>
            </w14:solidFill>
          </w14:textFill>
        </w:rPr>
      </w:pPr>
    </w:p>
    <w:p w14:paraId="3EA692A4">
      <w:pPr>
        <w:rPr>
          <w:rFonts w:ascii="宋体" w:cs="宋体"/>
          <w:color w:val="000000" w:themeColor="text1"/>
          <w:highlight w:val="none"/>
          <w14:textFill>
            <w14:solidFill>
              <w14:schemeClr w14:val="tx1"/>
            </w14:solidFill>
          </w14:textFill>
        </w:rPr>
      </w:pPr>
    </w:p>
    <w:p w14:paraId="1EB63790">
      <w:pPr>
        <w:widowControl/>
        <w:jc w:val="center"/>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注：供应商可自行编制目录，并标注对应页码。所有复印件需清晰可辩。</w:t>
      </w:r>
    </w:p>
    <w:p w14:paraId="2699D92C">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p>
    <w:p w14:paraId="0F17D2C5">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p>
    <w:p w14:paraId="097145F8">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71FC9004">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12F264E0">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3A7E80CE">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407EEFF">
      <w:pPr>
        <w:spacing w:before="156" w:beforeLines="50" w:after="156" w:afterLines="50" w:line="420"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t>1、磋商响应函</w:t>
      </w:r>
    </w:p>
    <w:p w14:paraId="0D9ED538">
      <w:pPr>
        <w:tabs>
          <w:tab w:val="left" w:pos="2790"/>
        </w:tabs>
        <w:wordWrap w:val="0"/>
        <w:spacing w:line="360" w:lineRule="auto"/>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ab/>
      </w:r>
    </w:p>
    <w:p w14:paraId="604E7A09">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u w:val="single"/>
          <w14:textFill>
            <w14:solidFill>
              <w14:schemeClr w14:val="tx1"/>
            </w14:solidFill>
          </w14:textFill>
        </w:rPr>
        <w:t>（采购人名称）</w:t>
      </w:r>
      <w:r>
        <w:rPr>
          <w:rFonts w:hint="eastAsia" w:ascii="宋体" w:cs="宋体"/>
          <w:bCs/>
          <w:color w:val="000000" w:themeColor="text1"/>
          <w:sz w:val="24"/>
          <w:highlight w:val="none"/>
          <w14:textFill>
            <w14:solidFill>
              <w14:schemeClr w14:val="tx1"/>
            </w14:solidFill>
          </w14:textFill>
        </w:rPr>
        <w:t>：</w:t>
      </w:r>
    </w:p>
    <w:p w14:paraId="0DB378D8">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1、根据已收到的采购项目编号为（</w:t>
      </w:r>
      <w:r>
        <w:rPr>
          <w:rFonts w:hint="eastAsia" w:ascii="宋体" w:cs="宋体"/>
          <w:bCs/>
          <w:color w:val="000000" w:themeColor="text1"/>
          <w:sz w:val="24"/>
          <w:highlight w:val="none"/>
          <w:u w:val="single"/>
          <w14:textFill>
            <w14:solidFill>
              <w14:schemeClr w14:val="tx1"/>
            </w14:solidFill>
          </w14:textFill>
        </w:rPr>
        <w:t>采购项目编号</w:t>
      </w:r>
      <w:r>
        <w:rPr>
          <w:rFonts w:hint="eastAsia" w:ascii="宋体" w:cs="宋体"/>
          <w:bCs/>
          <w:color w:val="000000" w:themeColor="text1"/>
          <w:sz w:val="24"/>
          <w:highlight w:val="none"/>
          <w14:textFill>
            <w14:solidFill>
              <w14:schemeClr w14:val="tx1"/>
            </w14:solidFill>
          </w14:textFill>
        </w:rPr>
        <w:t>）的（</w:t>
      </w:r>
      <w:r>
        <w:rPr>
          <w:rFonts w:hint="eastAsia" w:ascii="宋体" w:cs="宋体"/>
          <w:bCs/>
          <w:color w:val="000000" w:themeColor="text1"/>
          <w:sz w:val="24"/>
          <w:highlight w:val="none"/>
          <w:u w:val="single"/>
          <w14:textFill>
            <w14:solidFill>
              <w14:schemeClr w14:val="tx1"/>
            </w14:solidFill>
          </w14:textFill>
        </w:rPr>
        <w:t>项目名称</w:t>
      </w:r>
      <w:r>
        <w:rPr>
          <w:rFonts w:hint="eastAsia" w:ascii="宋体" w:cs="宋体"/>
          <w:bCs/>
          <w:color w:val="000000" w:themeColor="text1"/>
          <w:sz w:val="24"/>
          <w:highlight w:val="none"/>
          <w14:textFill>
            <w14:solidFill>
              <w14:schemeClr w14:val="tx1"/>
            </w14:solidFill>
          </w14:textFill>
        </w:rPr>
        <w:t>）的竞争性磋商文件，遵照</w:t>
      </w:r>
      <w:r>
        <w:rPr>
          <w:rFonts w:hint="eastAsia" w:ascii="宋体" w:cs="宋体"/>
          <w:color w:val="000000" w:themeColor="text1"/>
          <w:sz w:val="24"/>
          <w:highlight w:val="none"/>
          <w14:textFill>
            <w14:solidFill>
              <w14:schemeClr w14:val="tx1"/>
            </w14:solidFill>
          </w14:textFill>
        </w:rPr>
        <w:t>《中华人民共和国政府采购法》、《政府采购竞争性磋商采购方式管理暂行办法》</w:t>
      </w:r>
      <w:r>
        <w:rPr>
          <w:rFonts w:hint="eastAsia" w:ascii="宋体" w:cs="宋体"/>
          <w:bCs/>
          <w:color w:val="000000" w:themeColor="text1"/>
          <w:sz w:val="24"/>
          <w:highlight w:val="none"/>
          <w14:textFill>
            <w14:solidFill>
              <w14:schemeClr w14:val="tx1"/>
            </w14:solidFill>
          </w14:textFill>
        </w:rPr>
        <w:t>的有关规定，我方经和研究上述竞争性磋商文件的供应商须知、合同条件、服务需求和其他有关文件后</w:t>
      </w:r>
      <w:r>
        <w:rPr>
          <w:rFonts w:hint="eastAsia" w:ascii="宋体" w:cs="宋体"/>
          <w:bCs/>
          <w:color w:val="000000" w:themeColor="text1"/>
          <w:sz w:val="24"/>
          <w:highlight w:val="none"/>
          <w14:textFill>
            <w14:solidFill>
              <w14:schemeClr w14:val="tx1"/>
            </w14:solidFill>
          </w14:textFill>
        </w:rPr>
        <w:t>，我方愿以</w:t>
      </w:r>
      <w:r>
        <w:rPr>
          <w:rFonts w:hint="eastAsia" w:ascii="宋体" w:cs="宋体"/>
          <w:bCs/>
          <w:color w:val="000000" w:themeColor="text1"/>
          <w:sz w:val="24"/>
          <w:highlight w:val="none"/>
          <w:u w:val="single"/>
          <w14:textFill>
            <w14:solidFill>
              <w14:schemeClr w14:val="tx1"/>
            </w14:solidFill>
          </w14:textFill>
        </w:rPr>
        <w:t xml:space="preserve">       </w:t>
      </w:r>
      <w:r>
        <w:rPr>
          <w:rFonts w:hint="eastAsia" w:ascii="宋体" w:cs="宋体"/>
          <w:bCs/>
          <w:color w:val="000000" w:themeColor="text1"/>
          <w:sz w:val="24"/>
          <w:highlight w:val="none"/>
          <w14:textFill>
            <w14:solidFill>
              <w14:schemeClr w14:val="tx1"/>
            </w14:solidFill>
          </w14:textFill>
        </w:rPr>
        <w:t>元的报价，</w:t>
      </w:r>
      <w:r>
        <w:rPr>
          <w:rFonts w:hint="eastAsia" w:ascii="宋体" w:cs="宋体"/>
          <w:bCs/>
          <w:color w:val="000000" w:themeColor="text1"/>
          <w:sz w:val="24"/>
          <w:highlight w:val="none"/>
          <w14:textFill>
            <w14:solidFill>
              <w14:schemeClr w14:val="tx1"/>
            </w14:solidFill>
          </w14:textFill>
        </w:rPr>
        <w:t>按上述合同条件、要求完成采购人要求的全部货物、服务内容。</w:t>
      </w:r>
    </w:p>
    <w:p w14:paraId="3B5ED20A">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2、一旦我方成交，我方保证在约定时间内提供的货物（或服务）符合国家、行业规定的合格标准及采购人要求。</w:t>
      </w:r>
    </w:p>
    <w:p w14:paraId="1CF9B72F">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3、我方同意所递交的磋商响应文件在“供应商须知”规定的磋商响应有效期内有效，在此期间内我方的投标有可能中标（成交），我方将受此约束。</w:t>
      </w:r>
    </w:p>
    <w:p w14:paraId="3EA20062">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4、除非另外达成协议并生效，你方的中标（成交）通知书和本磋商响应文件将构成约束我们双方的合同。</w:t>
      </w:r>
    </w:p>
    <w:p w14:paraId="097F6BD6">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5、我方递交人民币</w:t>
      </w:r>
      <w:r>
        <w:rPr>
          <w:rFonts w:hint="eastAsia" w:ascii="宋体" w:cs="宋体"/>
          <w:bCs/>
          <w:color w:val="000000" w:themeColor="text1"/>
          <w:sz w:val="24"/>
          <w:highlight w:val="none"/>
          <w:u w:val="single"/>
          <w14:textFill>
            <w14:solidFill>
              <w14:schemeClr w14:val="tx1"/>
            </w14:solidFill>
          </w14:textFill>
        </w:rPr>
        <w:t xml:space="preserve">      </w:t>
      </w:r>
      <w:r>
        <w:rPr>
          <w:rFonts w:hint="eastAsia" w:ascii="宋体" w:cs="宋体"/>
          <w:bCs/>
          <w:color w:val="000000" w:themeColor="text1"/>
          <w:sz w:val="24"/>
          <w:highlight w:val="none"/>
          <w14:textFill>
            <w14:solidFill>
              <w14:schemeClr w14:val="tx1"/>
            </w14:solidFill>
          </w14:textFill>
        </w:rPr>
        <w:t>元作为磋商保证金。</w:t>
      </w:r>
    </w:p>
    <w:p w14:paraId="16A2D744">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6、磋商响应有效期为：递交磋商响应文件截止之日后60天。</w:t>
      </w:r>
    </w:p>
    <w:p w14:paraId="0DBDB87A">
      <w:pPr>
        <w:wordWrap w:val="0"/>
        <w:spacing w:line="360" w:lineRule="auto"/>
        <w:ind w:firstLine="480" w:firstLineChars="200"/>
        <w:rPr>
          <w:rFonts w:cs="宋体"/>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7、我方已充分了解采购人不对供应商参加本磋商项目过程中发生的费用进行任何经济补偿。</w:t>
      </w:r>
    </w:p>
    <w:p w14:paraId="7A61CC8E">
      <w:pPr>
        <w:pStyle w:val="12"/>
        <w:spacing w:line="360" w:lineRule="auto"/>
        <w:rPr>
          <w:rFonts w:cs="宋体"/>
          <w:color w:val="000000" w:themeColor="text1"/>
          <w:sz w:val="24"/>
          <w:szCs w:val="24"/>
          <w:highlight w:val="none"/>
          <w14:textFill>
            <w14:solidFill>
              <w14:schemeClr w14:val="tx1"/>
            </w14:solidFill>
          </w14:textFill>
        </w:rPr>
      </w:pPr>
    </w:p>
    <w:p w14:paraId="1B4CD7E7">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供应商：（盖章）</w:t>
      </w:r>
    </w:p>
    <w:p w14:paraId="603DA0BE">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单位地址：</w:t>
      </w:r>
    </w:p>
    <w:p w14:paraId="76905356">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法定代表人或委托代理人：（签字或盖章）</w:t>
      </w:r>
    </w:p>
    <w:p w14:paraId="7EEC33CD">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邮政编码：</w:t>
      </w:r>
    </w:p>
    <w:p w14:paraId="36DB7091">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电话：</w:t>
      </w:r>
    </w:p>
    <w:p w14:paraId="1471F057">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传真：</w:t>
      </w:r>
    </w:p>
    <w:p w14:paraId="51B99BA1">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开户银行名称：</w:t>
      </w:r>
    </w:p>
    <w:p w14:paraId="61ACAEA8">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银行帐号：</w:t>
      </w:r>
    </w:p>
    <w:p w14:paraId="15BDA37B">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开户行地址：</w:t>
      </w:r>
    </w:p>
    <w:p w14:paraId="7C221254">
      <w:pPr>
        <w:spacing w:line="360" w:lineRule="auto"/>
        <w:ind w:right="105"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日期：年月日</w:t>
      </w:r>
    </w:p>
    <w:p w14:paraId="5A6CBCA7">
      <w:pPr>
        <w:wordWrap w:val="0"/>
        <w:spacing w:line="360" w:lineRule="auto"/>
        <w:rPr>
          <w:rFonts w:ascii="宋体" w:cs="宋体"/>
          <w:bCs/>
          <w:color w:val="000000" w:themeColor="text1"/>
          <w:sz w:val="24"/>
          <w:highlight w:val="none"/>
          <w14:textFill>
            <w14:solidFill>
              <w14:schemeClr w14:val="tx1"/>
            </w14:solidFill>
          </w14:textFill>
        </w:rPr>
      </w:pPr>
    </w:p>
    <w:p w14:paraId="6F73A1C0">
      <w:pPr>
        <w:spacing w:line="480" w:lineRule="exact"/>
        <w:ind w:right="420"/>
        <w:jc w:val="center"/>
        <w:rPr>
          <w:rFonts w:ascii="宋体" w:cs="宋体"/>
          <w:b/>
          <w:color w:val="000000" w:themeColor="text1"/>
          <w:sz w:val="32"/>
          <w:szCs w:val="32"/>
          <w:highlight w:val="none"/>
          <w14:textFill>
            <w14:solidFill>
              <w14:schemeClr w14:val="tx1"/>
            </w14:solidFill>
          </w14:textFill>
        </w:rPr>
      </w:pPr>
      <w:bookmarkStart w:id="72" w:name="_Toc30577828"/>
      <w:bookmarkStart w:id="73" w:name="_Toc139773320"/>
      <w:bookmarkStart w:id="74" w:name="_Toc107716842"/>
      <w:bookmarkStart w:id="75" w:name="_Toc45511005"/>
      <w:bookmarkStart w:id="76" w:name="_Toc112237131"/>
      <w:bookmarkStart w:id="77" w:name="_Toc107393598"/>
      <w:bookmarkStart w:id="78" w:name="_Toc45942979"/>
      <w:r>
        <w:rPr>
          <w:rFonts w:hint="eastAsia" w:ascii="宋体" w:cs="宋体"/>
          <w:b/>
          <w:color w:val="000000" w:themeColor="text1"/>
          <w:sz w:val="32"/>
          <w:szCs w:val="32"/>
          <w:highlight w:val="none"/>
          <w14:textFill>
            <w14:solidFill>
              <w14:schemeClr w14:val="tx1"/>
            </w14:solidFill>
          </w14:textFill>
        </w:rPr>
        <w:t>2、法定代表人身份证明</w:t>
      </w:r>
    </w:p>
    <w:p w14:paraId="3F7A17BF">
      <w:pPr>
        <w:pStyle w:val="43"/>
        <w:jc w:val="center"/>
        <w:rPr>
          <w:rFonts w:ascii="宋体" w:cs="宋体"/>
          <w:b/>
          <w:color w:val="000000" w:themeColor="text1"/>
          <w:sz w:val="32"/>
          <w:szCs w:val="32"/>
          <w:highlight w:val="none"/>
          <w14:textFill>
            <w14:solidFill>
              <w14:schemeClr w14:val="tx1"/>
            </w14:solidFill>
          </w14:textFill>
        </w:rPr>
      </w:pPr>
    </w:p>
    <w:p w14:paraId="150F6E62">
      <w:pPr>
        <w:pStyle w:val="43"/>
        <w:jc w:val="center"/>
        <w:rPr>
          <w:rFonts w:ascii="宋体" w:cs="宋体"/>
          <w:color w:val="000000" w:themeColor="text1"/>
          <w:sz w:val="21"/>
          <w:szCs w:val="21"/>
          <w:highlight w:val="none"/>
          <w14:textFill>
            <w14:solidFill>
              <w14:schemeClr w14:val="tx1"/>
            </w14:solidFill>
          </w14:textFill>
        </w:rPr>
      </w:pPr>
    </w:p>
    <w:p w14:paraId="329C8BF4">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供应商名称：______________________________ </w:t>
      </w:r>
    </w:p>
    <w:p w14:paraId="12E80EAB">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单位性质：_______________________________</w:t>
      </w:r>
    </w:p>
    <w:p w14:paraId="3134AAFC">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地址：___________________________________ </w:t>
      </w:r>
    </w:p>
    <w:p w14:paraId="4F461B78">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成立时间： 年  月  日</w:t>
      </w:r>
    </w:p>
    <w:p w14:paraId="1E6A5BD1">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经营期限：_______________________________ </w:t>
      </w:r>
    </w:p>
    <w:p w14:paraId="283A5DC8">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姓名： 性别： 年龄：职务：________ </w:t>
      </w:r>
    </w:p>
    <w:p w14:paraId="0A0F479B">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系 （供应商名称）的法定代表人。</w:t>
      </w:r>
    </w:p>
    <w:p w14:paraId="6AFFBC0A">
      <w:pPr>
        <w:spacing w:line="5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特此证明。</w:t>
      </w:r>
    </w:p>
    <w:p w14:paraId="2460D036">
      <w:pPr>
        <w:spacing w:line="360" w:lineRule="auto"/>
        <w:rPr>
          <w:rFonts w:ascii="宋体" w:cs="宋体"/>
          <w:b/>
          <w:bCs/>
          <w:color w:val="000000" w:themeColor="text1"/>
          <w:sz w:val="24"/>
          <w:highlight w:val="none"/>
          <w:u w:val="single"/>
          <w14:textFill>
            <w14:solidFill>
              <w14:schemeClr w14:val="tx1"/>
            </w14:solidFill>
          </w14:textFill>
        </w:rPr>
      </w:pPr>
    </w:p>
    <w:tbl>
      <w:tblPr>
        <w:tblStyle w:val="26"/>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84"/>
      </w:tblGrid>
      <w:tr w14:paraId="408D4B9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1" w:hRule="atLeast"/>
        </w:trPr>
        <w:tc>
          <w:tcPr>
            <w:tcW w:w="5684" w:type="dxa"/>
            <w:noWrap/>
            <w:vAlign w:val="center"/>
          </w:tcPr>
          <w:p w14:paraId="72164271">
            <w:pPr>
              <w:spacing w:line="360" w:lineRule="auto"/>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法定代表人</w:t>
            </w:r>
          </w:p>
          <w:p w14:paraId="5D32E4F7">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居民身份证复印件（正、反面）</w:t>
            </w:r>
          </w:p>
        </w:tc>
      </w:tr>
    </w:tbl>
    <w:p w14:paraId="7E2F92EF">
      <w:pPr>
        <w:spacing w:line="360" w:lineRule="auto"/>
        <w:rPr>
          <w:rFonts w:ascii="宋体" w:cs="宋体"/>
          <w:color w:val="000000" w:themeColor="text1"/>
          <w:sz w:val="24"/>
          <w:highlight w:val="none"/>
          <w14:textFill>
            <w14:solidFill>
              <w14:schemeClr w14:val="tx1"/>
            </w14:solidFill>
          </w14:textFill>
        </w:rPr>
      </w:pPr>
    </w:p>
    <w:p w14:paraId="19609B68">
      <w:pPr>
        <w:spacing w:line="360" w:lineRule="auto"/>
        <w:rPr>
          <w:rFonts w:ascii="宋体" w:cs="宋体"/>
          <w:color w:val="000000" w:themeColor="text1"/>
          <w:sz w:val="24"/>
          <w:highlight w:val="none"/>
          <w14:textFill>
            <w14:solidFill>
              <w14:schemeClr w14:val="tx1"/>
            </w14:solidFill>
          </w14:textFill>
        </w:rPr>
      </w:pPr>
    </w:p>
    <w:p w14:paraId="0F177A70">
      <w:pPr>
        <w:rPr>
          <w:rFonts w:ascii="宋体" w:cs="宋体"/>
          <w:color w:val="000000" w:themeColor="text1"/>
          <w:sz w:val="24"/>
          <w:highlight w:val="none"/>
          <w14:textFill>
            <w14:solidFill>
              <w14:schemeClr w14:val="tx1"/>
            </w14:solidFill>
          </w14:textFill>
        </w:rPr>
      </w:pPr>
      <w:bookmarkStart w:id="79" w:name="_Toc492451835"/>
      <w:r>
        <w:rPr>
          <w:rFonts w:hint="eastAsia" w:ascii="宋体" w:cs="宋体"/>
          <w:b/>
          <w:color w:val="000000" w:themeColor="text1"/>
          <w:sz w:val="24"/>
          <w:highlight w:val="none"/>
          <w14:textFill>
            <w14:solidFill>
              <w14:schemeClr w14:val="tx1"/>
            </w14:solidFill>
          </w14:textFill>
        </w:rPr>
        <w:t>注：法定代表人参加磋商时必须按照以上格式填写并在磋商时单独打印一份签字并盖章</w:t>
      </w:r>
      <w:r>
        <w:rPr>
          <w:rFonts w:hint="eastAsia" w:ascii="宋体" w:cs="宋体"/>
          <w:color w:val="000000" w:themeColor="text1"/>
          <w:sz w:val="24"/>
          <w:highlight w:val="none"/>
          <w14:textFill>
            <w14:solidFill>
              <w14:schemeClr w14:val="tx1"/>
            </w14:solidFill>
          </w14:textFill>
        </w:rPr>
        <w:t>。</w:t>
      </w:r>
      <w:bookmarkEnd w:id="79"/>
    </w:p>
    <w:p w14:paraId="55889FB9">
      <w:pPr>
        <w:rPr>
          <w:rFonts w:ascii="宋体" w:cs="宋体"/>
          <w:color w:val="000000" w:themeColor="text1"/>
          <w:highlight w:val="none"/>
          <w14:textFill>
            <w14:solidFill>
              <w14:schemeClr w14:val="tx1"/>
            </w14:solidFill>
          </w14:textFill>
        </w:rPr>
      </w:pPr>
    </w:p>
    <w:p w14:paraId="06C9B6AD">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bookmarkStart w:id="80" w:name="_Toc492451836"/>
      <w:bookmarkStart w:id="81" w:name="_Toc7795"/>
    </w:p>
    <w:p w14:paraId="7CF3520A">
      <w:pPr>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3、授权委托书</w:t>
      </w:r>
      <w:bookmarkEnd w:id="80"/>
      <w:bookmarkEnd w:id="81"/>
    </w:p>
    <w:p w14:paraId="0895452A">
      <w:pPr>
        <w:spacing w:line="360" w:lineRule="auto"/>
        <w:ind w:firstLine="480" w:firstLineChars="200"/>
        <w:rPr>
          <w:rFonts w:ascii="宋体" w:cs="宋体"/>
          <w:color w:val="000000" w:themeColor="text1"/>
          <w:sz w:val="24"/>
          <w:highlight w:val="none"/>
          <w14:textFill>
            <w14:solidFill>
              <w14:schemeClr w14:val="tx1"/>
            </w14:solidFill>
          </w14:textFill>
        </w:rPr>
      </w:pPr>
    </w:p>
    <w:p w14:paraId="4E7C63C4">
      <w:pPr>
        <w:spacing w:line="360" w:lineRule="auto"/>
        <w:ind w:firstLine="480" w:firstLineChars="2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本授权书声明：（公司）的</w:t>
      </w:r>
      <w:r>
        <w:rPr>
          <w:rFonts w:hint="eastAsia" w:ascii="宋体" w:cs="宋体"/>
          <w:color w:val="000000" w:themeColor="text1"/>
          <w:sz w:val="24"/>
          <w:highlight w:val="none"/>
          <w:u w:val="single"/>
          <w14:textFill>
            <w14:solidFill>
              <w14:schemeClr w14:val="tx1"/>
            </w14:solidFill>
          </w14:textFill>
        </w:rPr>
        <w:t xml:space="preserve">（法人代表姓名、职务）   </w:t>
      </w:r>
      <w:r>
        <w:rPr>
          <w:rFonts w:hint="eastAsia" w:ascii="宋体" w:cs="宋体"/>
          <w:color w:val="000000" w:themeColor="text1"/>
          <w:sz w:val="24"/>
          <w:highlight w:val="none"/>
          <w14:textFill>
            <w14:solidFill>
              <w14:schemeClr w14:val="tx1"/>
            </w14:solidFill>
          </w14:textFill>
        </w:rPr>
        <w:t>代表本公司授权</w:t>
      </w:r>
      <w:r>
        <w:rPr>
          <w:rFonts w:hint="eastAsia" w:ascii="宋体" w:cs="宋体"/>
          <w:color w:val="000000" w:themeColor="text1"/>
          <w:sz w:val="24"/>
          <w:highlight w:val="none"/>
          <w:u w:val="single"/>
          <w14:textFill>
            <w14:solidFill>
              <w14:schemeClr w14:val="tx1"/>
            </w14:solidFill>
          </w14:textFill>
        </w:rPr>
        <w:t xml:space="preserve"> （被授权人姓名、职务）</w:t>
      </w:r>
      <w:r>
        <w:rPr>
          <w:rFonts w:hint="eastAsia" w:ascii="宋体" w:cs="宋体"/>
          <w:color w:val="000000" w:themeColor="text1"/>
          <w:sz w:val="24"/>
          <w:highlight w:val="none"/>
          <w14:textFill>
            <w14:solidFill>
              <w14:schemeClr w14:val="tx1"/>
            </w14:solidFill>
          </w14:textFill>
        </w:rPr>
        <w:t>为本公司的合法代理人，代理人根据授权，以我方名义签署、澄清、说明、补正、递交、撤回、修改项目编号为：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的</w:t>
      </w:r>
      <w:r>
        <w:rPr>
          <w:rFonts w:hint="eastAsia" w:ascii="宋体" w:cs="宋体"/>
          <w:color w:val="000000" w:themeColor="text1"/>
          <w:sz w:val="24"/>
          <w:highlight w:val="none"/>
          <w:u w:val="single"/>
          <w14:textFill>
            <w14:solidFill>
              <w14:schemeClr w14:val="tx1"/>
            </w14:solidFill>
          </w14:textFill>
        </w:rPr>
        <w:t xml:space="preserve">         （项目名称</w:t>
      </w:r>
      <w:r>
        <w:rPr>
          <w:rFonts w:hint="eastAsia" w:ascii="宋体" w:cs="宋体"/>
          <w:color w:val="000000" w:themeColor="text1"/>
          <w:sz w:val="24"/>
          <w:highlight w:val="none"/>
          <w14:textFill>
            <w14:solidFill>
              <w14:schemeClr w14:val="tx1"/>
            </w14:solidFill>
          </w14:textFill>
        </w:rPr>
        <w:t>）响应文件、签定合同和处理有关事宜，其法律后果由我方承担。</w:t>
      </w:r>
    </w:p>
    <w:p w14:paraId="6D1C772B">
      <w:pPr>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委托期限：</w:t>
      </w:r>
    </w:p>
    <w:p w14:paraId="3D143E02">
      <w:pPr>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代理人无转委托权。</w:t>
      </w:r>
    </w:p>
    <w:p w14:paraId="4AA8054A">
      <w:pPr>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附：法定代表人身份证明</w:t>
      </w:r>
    </w:p>
    <w:p w14:paraId="4A80FD63">
      <w:pPr>
        <w:spacing w:line="360" w:lineRule="auto"/>
        <w:jc w:val="left"/>
        <w:rPr>
          <w:rFonts w:ascii="宋体" w:cs="宋体"/>
          <w:color w:val="000000" w:themeColor="text1"/>
          <w:sz w:val="24"/>
          <w:highlight w:val="none"/>
          <w14:textFill>
            <w14:solidFill>
              <w14:schemeClr w14:val="tx1"/>
            </w14:solidFill>
          </w14:textFill>
        </w:rPr>
      </w:pPr>
    </w:p>
    <w:tbl>
      <w:tblPr>
        <w:tblStyle w:val="2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
        <w:gridCol w:w="4111"/>
      </w:tblGrid>
      <w:tr w14:paraId="5FFC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3969" w:type="dxa"/>
            <w:noWrap/>
            <w:vAlign w:val="center"/>
          </w:tcPr>
          <w:p w14:paraId="5DA044E3">
            <w:pPr>
              <w:spacing w:line="360" w:lineRule="auto"/>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法定代表人</w:t>
            </w:r>
          </w:p>
          <w:p w14:paraId="5E98F953">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居民身份证复印件 （正、反面）</w:t>
            </w:r>
          </w:p>
        </w:tc>
        <w:tc>
          <w:tcPr>
            <w:tcW w:w="567" w:type="dxa"/>
            <w:tcBorders>
              <w:top w:val="nil"/>
              <w:bottom w:val="nil"/>
            </w:tcBorders>
            <w:noWrap/>
          </w:tcPr>
          <w:p w14:paraId="35AF8FC5">
            <w:pPr>
              <w:widowControl/>
              <w:jc w:val="left"/>
              <w:rPr>
                <w:rFonts w:ascii="宋体" w:cs="宋体"/>
                <w:color w:val="000000" w:themeColor="text1"/>
                <w:sz w:val="24"/>
                <w:highlight w:val="none"/>
                <w14:textFill>
                  <w14:solidFill>
                    <w14:schemeClr w14:val="tx1"/>
                  </w14:solidFill>
                </w14:textFill>
              </w:rPr>
            </w:pPr>
          </w:p>
        </w:tc>
        <w:tc>
          <w:tcPr>
            <w:tcW w:w="4111" w:type="dxa"/>
            <w:noWrap/>
            <w:vAlign w:val="center"/>
          </w:tcPr>
          <w:p w14:paraId="57D7602C">
            <w:pPr>
              <w:pStyle w:val="47"/>
              <w:ind w:left="105"/>
              <w:jc w:val="center"/>
              <w:rPr>
                <w:rFonts w:cs="宋体"/>
                <w:b/>
                <w:color w:val="000000" w:themeColor="text1"/>
                <w:szCs w:val="24"/>
                <w:highlight w:val="none"/>
                <w14:textFill>
                  <w14:solidFill>
                    <w14:schemeClr w14:val="tx1"/>
                  </w14:solidFill>
                </w14:textFill>
              </w:rPr>
            </w:pPr>
            <w:r>
              <w:rPr>
                <w:rFonts w:hint="eastAsia" w:cs="宋体"/>
                <w:b/>
                <w:color w:val="000000" w:themeColor="text1"/>
                <w:szCs w:val="24"/>
                <w:highlight w:val="none"/>
                <w14:textFill>
                  <w14:solidFill>
                    <w14:schemeClr w14:val="tx1"/>
                  </w14:solidFill>
                </w14:textFill>
              </w:rPr>
              <w:t>被授权人（授权代表）</w:t>
            </w:r>
          </w:p>
          <w:p w14:paraId="3953A00F">
            <w:pPr>
              <w:widowControl/>
              <w:jc w:val="center"/>
              <w:rPr>
                <w:rFonts w:ascii="宋体" w:cs="宋体"/>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居民身份证复印件 （正、反面）</w:t>
            </w:r>
          </w:p>
        </w:tc>
      </w:tr>
    </w:tbl>
    <w:p w14:paraId="634D87CC">
      <w:pPr>
        <w:spacing w:line="360" w:lineRule="auto"/>
        <w:jc w:val="left"/>
        <w:rPr>
          <w:rFonts w:ascii="宋体" w:cs="宋体"/>
          <w:color w:val="000000" w:themeColor="text1"/>
          <w:sz w:val="24"/>
          <w:highlight w:val="none"/>
          <w14:textFill>
            <w14:solidFill>
              <w14:schemeClr w14:val="tx1"/>
            </w14:solidFill>
          </w14:textFill>
        </w:rPr>
      </w:pPr>
    </w:p>
    <w:p w14:paraId="725C793C">
      <w:pPr>
        <w:spacing w:line="360" w:lineRule="auto"/>
        <w:jc w:val="left"/>
        <w:rPr>
          <w:rFonts w:ascii="宋体" w:cs="宋体"/>
          <w:color w:val="000000" w:themeColor="text1"/>
          <w:sz w:val="24"/>
          <w:highlight w:val="none"/>
          <w14:textFill>
            <w14:solidFill>
              <w14:schemeClr w14:val="tx1"/>
            </w14:solidFill>
          </w14:textFill>
        </w:rPr>
      </w:pPr>
    </w:p>
    <w:p w14:paraId="04348998">
      <w:pPr>
        <w:snapToGrid w:val="0"/>
        <w:spacing w:line="360" w:lineRule="auto"/>
        <w:ind w:firstLine="3840" w:firstLineChars="16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供应商（单位盖章）：______________________</w:t>
      </w:r>
    </w:p>
    <w:p w14:paraId="5DC7A2D0">
      <w:pPr>
        <w:snapToGrid w:val="0"/>
        <w:spacing w:line="360" w:lineRule="auto"/>
        <w:ind w:firstLine="3840" w:firstLineChars="1600"/>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法定代表人（签字或盖章）：___________________</w:t>
      </w:r>
    </w:p>
    <w:p w14:paraId="69EBA0CD">
      <w:pPr>
        <w:snapToGrid w:val="0"/>
        <w:spacing w:line="360" w:lineRule="auto"/>
        <w:ind w:firstLine="3840" w:firstLineChars="16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法定代表人身份证号码：______________________</w:t>
      </w:r>
    </w:p>
    <w:p w14:paraId="7DA7BDA5">
      <w:pPr>
        <w:snapToGrid w:val="0"/>
        <w:spacing w:line="360" w:lineRule="auto"/>
        <w:ind w:firstLine="3840" w:firstLineChars="16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授权代理人（签字或盖章）：________________</w:t>
      </w:r>
    </w:p>
    <w:p w14:paraId="405D5632">
      <w:pPr>
        <w:snapToGrid w:val="0"/>
        <w:spacing w:line="360" w:lineRule="auto"/>
        <w:ind w:firstLine="3840" w:firstLineChars="16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授权代理人身份证号码：______________________</w:t>
      </w:r>
    </w:p>
    <w:p w14:paraId="12139942">
      <w:pPr>
        <w:spacing w:line="360" w:lineRule="auto"/>
        <w:ind w:firstLine="3840" w:firstLineChars="16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日         期：年月日</w:t>
      </w:r>
    </w:p>
    <w:p w14:paraId="67E00A4F">
      <w:pPr>
        <w:tabs>
          <w:tab w:val="left" w:pos="0"/>
        </w:tabs>
        <w:spacing w:line="360" w:lineRule="auto"/>
        <w:rPr>
          <w:rFonts w:ascii="宋体" w:cs="宋体"/>
          <w:color w:val="000000" w:themeColor="text1"/>
          <w:sz w:val="24"/>
          <w:highlight w:val="none"/>
          <w14:textFill>
            <w14:solidFill>
              <w14:schemeClr w14:val="tx1"/>
            </w14:solidFill>
          </w14:textFill>
        </w:rPr>
      </w:pPr>
    </w:p>
    <w:p w14:paraId="300E4B23">
      <w:pPr>
        <w:rPr>
          <w:rFonts w:ascii="宋体" w:cs="宋体"/>
          <w:b/>
          <w:color w:val="000000" w:themeColor="text1"/>
          <w:highlight w:val="none"/>
          <w14:textFill>
            <w14:solidFill>
              <w14:schemeClr w14:val="tx1"/>
            </w14:solidFill>
          </w14:textFill>
        </w:rPr>
      </w:pPr>
      <w:r>
        <w:rPr>
          <w:rFonts w:hint="eastAsia" w:ascii="宋体" w:cs="宋体"/>
          <w:b/>
          <w:color w:val="000000" w:themeColor="text1"/>
          <w:highlight w:val="none"/>
          <w14:textFill>
            <w14:solidFill>
              <w14:schemeClr w14:val="tx1"/>
            </w14:solidFill>
          </w14:textFill>
        </w:rPr>
        <w:t xml:space="preserve"> </w:t>
      </w:r>
      <w:r>
        <w:rPr>
          <w:rFonts w:hint="eastAsia" w:ascii="宋体" w:cs="宋体"/>
          <w:b/>
          <w:color w:val="000000" w:themeColor="text1"/>
          <w:highlight w:val="none"/>
          <w14:textFill>
            <w14:solidFill>
              <w14:schemeClr w14:val="tx1"/>
            </w14:solidFill>
          </w14:textFill>
        </w:rPr>
        <w:br w:type="page"/>
      </w:r>
    </w:p>
    <w:p w14:paraId="35A86431">
      <w:pPr>
        <w:jc w:val="center"/>
        <w:rPr>
          <w:rFonts w:ascii="宋体" w:cs="宋体"/>
          <w:b/>
          <w:color w:val="000000" w:themeColor="text1"/>
          <w:sz w:val="32"/>
          <w:szCs w:val="32"/>
          <w:highlight w:val="none"/>
          <w14:textFill>
            <w14:solidFill>
              <w14:schemeClr w14:val="tx1"/>
            </w14:solidFill>
          </w14:textFill>
        </w:rPr>
      </w:pPr>
      <w:bookmarkStart w:id="82" w:name="_Toc32146"/>
      <w:r>
        <w:rPr>
          <w:rFonts w:hint="eastAsia" w:ascii="宋体" w:cs="宋体"/>
          <w:b/>
          <w:color w:val="000000" w:themeColor="text1"/>
          <w:sz w:val="32"/>
          <w:szCs w:val="32"/>
          <w:highlight w:val="none"/>
          <w14:textFill>
            <w14:solidFill>
              <w14:schemeClr w14:val="tx1"/>
            </w14:solidFill>
          </w14:textFill>
        </w:rPr>
        <w:t>4、</w:t>
      </w:r>
      <w:bookmarkEnd w:id="72"/>
      <w:bookmarkEnd w:id="73"/>
      <w:bookmarkEnd w:id="74"/>
      <w:bookmarkEnd w:id="75"/>
      <w:bookmarkEnd w:id="76"/>
      <w:bookmarkEnd w:id="77"/>
      <w:bookmarkEnd w:id="78"/>
      <w:bookmarkEnd w:id="82"/>
      <w:r>
        <w:rPr>
          <w:rFonts w:hint="eastAsia" w:ascii="宋体" w:cs="宋体"/>
          <w:b/>
          <w:color w:val="000000" w:themeColor="text1"/>
          <w:sz w:val="32"/>
          <w:szCs w:val="32"/>
          <w:highlight w:val="none"/>
          <w14:textFill>
            <w14:solidFill>
              <w14:schemeClr w14:val="tx1"/>
            </w14:solidFill>
          </w14:textFill>
        </w:rPr>
        <w:t>磋商报价表</w:t>
      </w:r>
    </w:p>
    <w:p w14:paraId="035B0208">
      <w:pPr>
        <w:spacing w:line="360" w:lineRule="auto"/>
        <w:ind w:left="211"/>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项目名称：             </w:t>
      </w:r>
    </w:p>
    <w:p w14:paraId="3B293F28">
      <w:pPr>
        <w:spacing w:line="360" w:lineRule="auto"/>
        <w:ind w:left="211"/>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项目编号：</w:t>
      </w:r>
    </w:p>
    <w:p w14:paraId="30F77B40">
      <w:pPr>
        <w:spacing w:line="360" w:lineRule="auto"/>
        <w:ind w:left="211"/>
        <w:rPr>
          <w:rFonts w:ascii="宋体" w:cs="宋体"/>
          <w:color w:val="000000" w:themeColor="text1"/>
          <w:sz w:val="24"/>
          <w:highlight w:val="none"/>
          <w:u w:val="single"/>
          <w14:textFill>
            <w14:solidFill>
              <w14:schemeClr w14:val="tx1"/>
            </w14:solidFill>
          </w14:textFill>
        </w:rPr>
      </w:pPr>
    </w:p>
    <w:tbl>
      <w:tblPr>
        <w:tblStyle w:val="26"/>
        <w:tblW w:w="1007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989"/>
        <w:gridCol w:w="1672"/>
        <w:gridCol w:w="1418"/>
        <w:gridCol w:w="1418"/>
        <w:gridCol w:w="938"/>
      </w:tblGrid>
      <w:tr w14:paraId="071F326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4C20D8BD">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供应商名称</w:t>
            </w:r>
          </w:p>
        </w:tc>
        <w:tc>
          <w:tcPr>
            <w:tcW w:w="1989" w:type="dxa"/>
            <w:tcBorders>
              <w:top w:val="single" w:color="auto" w:sz="4" w:space="0"/>
              <w:left w:val="single" w:color="auto" w:sz="4" w:space="0"/>
              <w:bottom w:val="single" w:color="auto" w:sz="4" w:space="0"/>
              <w:right w:val="single" w:color="auto" w:sz="4" w:space="0"/>
            </w:tcBorders>
            <w:noWrap/>
            <w:vAlign w:val="center"/>
          </w:tcPr>
          <w:p w14:paraId="51F41740">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报价（元）</w:t>
            </w:r>
          </w:p>
        </w:tc>
        <w:tc>
          <w:tcPr>
            <w:tcW w:w="1672" w:type="dxa"/>
            <w:tcBorders>
              <w:top w:val="single" w:color="auto" w:sz="4" w:space="0"/>
              <w:left w:val="single" w:color="auto" w:sz="4" w:space="0"/>
              <w:bottom w:val="single" w:color="auto" w:sz="4" w:space="0"/>
              <w:right w:val="single" w:color="auto" w:sz="4" w:space="0"/>
            </w:tcBorders>
            <w:noWrap/>
            <w:vAlign w:val="center"/>
          </w:tcPr>
          <w:p w14:paraId="38974324">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合同履行期限 </w:t>
            </w:r>
          </w:p>
        </w:tc>
        <w:tc>
          <w:tcPr>
            <w:tcW w:w="1418" w:type="dxa"/>
            <w:tcBorders>
              <w:top w:val="single" w:color="auto" w:sz="4" w:space="0"/>
              <w:left w:val="single" w:color="auto" w:sz="4" w:space="0"/>
              <w:bottom w:val="single" w:color="auto" w:sz="4" w:space="0"/>
              <w:right w:val="single" w:color="auto" w:sz="4" w:space="0"/>
            </w:tcBorders>
            <w:noWrap/>
            <w:vAlign w:val="center"/>
          </w:tcPr>
          <w:p w14:paraId="41F6AC98">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质保期</w:t>
            </w:r>
          </w:p>
        </w:tc>
        <w:tc>
          <w:tcPr>
            <w:tcW w:w="1418" w:type="dxa"/>
            <w:tcBorders>
              <w:top w:val="single" w:color="auto" w:sz="4" w:space="0"/>
              <w:left w:val="single" w:color="auto" w:sz="4" w:space="0"/>
              <w:bottom w:val="single" w:color="auto" w:sz="4" w:space="0"/>
              <w:right w:val="single" w:color="auto" w:sz="4" w:space="0"/>
            </w:tcBorders>
            <w:noWrap/>
            <w:vAlign w:val="center"/>
          </w:tcPr>
          <w:p w14:paraId="016A0710">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938" w:type="dxa"/>
            <w:tcBorders>
              <w:top w:val="single" w:color="auto" w:sz="4" w:space="0"/>
              <w:left w:val="single" w:color="auto" w:sz="4" w:space="0"/>
              <w:bottom w:val="single" w:color="auto" w:sz="4" w:space="0"/>
              <w:right w:val="single" w:color="auto" w:sz="4" w:space="0"/>
            </w:tcBorders>
            <w:noWrap/>
            <w:vAlign w:val="center"/>
          </w:tcPr>
          <w:p w14:paraId="5686B375">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备注</w:t>
            </w:r>
          </w:p>
        </w:tc>
      </w:tr>
      <w:tr w14:paraId="54EC402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0B6EF96B">
            <w:pPr>
              <w:jc w:val="center"/>
              <w:rPr>
                <w:rFonts w:ascii="宋体" w:cs="宋体"/>
                <w:color w:val="000000" w:themeColor="text1"/>
                <w:sz w:val="24"/>
                <w:highlight w:val="none"/>
                <w14:textFill>
                  <w14:solidFill>
                    <w14:schemeClr w14:val="tx1"/>
                  </w14:solidFill>
                </w14:textFill>
              </w:rPr>
            </w:pPr>
          </w:p>
        </w:tc>
        <w:tc>
          <w:tcPr>
            <w:tcW w:w="1989" w:type="dxa"/>
            <w:tcBorders>
              <w:top w:val="single" w:color="auto" w:sz="4" w:space="0"/>
              <w:left w:val="single" w:color="auto" w:sz="4" w:space="0"/>
              <w:bottom w:val="single" w:color="auto" w:sz="4" w:space="0"/>
              <w:right w:val="single" w:color="auto" w:sz="4" w:space="0"/>
            </w:tcBorders>
            <w:noWrap/>
            <w:vAlign w:val="center"/>
          </w:tcPr>
          <w:p w14:paraId="6A1B40B6">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大写：</w:t>
            </w:r>
          </w:p>
          <w:p w14:paraId="11AEC390">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小写：</w:t>
            </w:r>
          </w:p>
        </w:tc>
        <w:tc>
          <w:tcPr>
            <w:tcW w:w="1672" w:type="dxa"/>
            <w:tcBorders>
              <w:top w:val="single" w:color="auto" w:sz="4" w:space="0"/>
              <w:left w:val="single" w:color="auto" w:sz="4" w:space="0"/>
              <w:bottom w:val="single" w:color="auto" w:sz="4" w:space="0"/>
              <w:right w:val="single" w:color="auto" w:sz="4" w:space="0"/>
            </w:tcBorders>
            <w:noWrap/>
            <w:vAlign w:val="center"/>
          </w:tcPr>
          <w:p w14:paraId="1DD9D8F1">
            <w:pPr>
              <w:jc w:val="center"/>
              <w:rPr>
                <w:rFonts w:asci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BB8AB26">
            <w:pPr>
              <w:jc w:val="center"/>
              <w:rPr>
                <w:rFonts w:asci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AE5C2D8">
            <w:pPr>
              <w:jc w:val="center"/>
              <w:rPr>
                <w:rFonts w:ascii="宋体" w:cs="宋体"/>
                <w:color w:val="000000" w:themeColor="text1"/>
                <w:sz w:val="24"/>
                <w:highlight w:val="none"/>
                <w14:textFill>
                  <w14:solidFill>
                    <w14:schemeClr w14:val="tx1"/>
                  </w14:solidFill>
                </w14:textFill>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20EE56BF">
            <w:pPr>
              <w:jc w:val="center"/>
              <w:rPr>
                <w:rFonts w:ascii="宋体" w:cs="宋体"/>
                <w:color w:val="000000" w:themeColor="text1"/>
                <w:sz w:val="24"/>
                <w:highlight w:val="none"/>
                <w14:textFill>
                  <w14:solidFill>
                    <w14:schemeClr w14:val="tx1"/>
                  </w14:solidFill>
                </w14:textFill>
              </w:rPr>
            </w:pPr>
          </w:p>
        </w:tc>
      </w:tr>
    </w:tbl>
    <w:p w14:paraId="513355AD">
      <w:pPr>
        <w:autoSpaceDE w:val="0"/>
        <w:autoSpaceDN w:val="0"/>
        <w:adjustRightInd w:val="0"/>
        <w:spacing w:line="360" w:lineRule="auto"/>
        <w:rPr>
          <w:rFonts w:ascii="宋体" w:cs="宋体"/>
          <w:color w:val="000000" w:themeColor="text1"/>
          <w:kern w:val="0"/>
          <w:sz w:val="24"/>
          <w:highlight w:val="none"/>
          <w14:textFill>
            <w14:solidFill>
              <w14:schemeClr w14:val="tx1"/>
            </w14:solidFill>
          </w14:textFill>
        </w:rPr>
      </w:pPr>
    </w:p>
    <w:p w14:paraId="4BDA6826">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注：</w:t>
      </w:r>
    </w:p>
    <w:p w14:paraId="63E2BA9F">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1、填报的内容必须和磋商文件中的内容相一致；须单独打印一份密封；</w:t>
      </w:r>
    </w:p>
    <w:p w14:paraId="61CD6619">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2、填报的内容必须和磋商响应函中的内容一致；如不一致，以磋商响应函中相关内容为准；</w:t>
      </w:r>
    </w:p>
    <w:p w14:paraId="2B6DC275">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3、磋商响应函中大写金额报价与磋商响应函、磋商报价表中的小写金额报价不一致时，以磋商响应函中的大写金额报价为准，保留小数点后两位。</w:t>
      </w:r>
    </w:p>
    <w:p w14:paraId="23772BD0">
      <w:pPr>
        <w:spacing w:line="360" w:lineRule="auto"/>
        <w:ind w:firstLine="480"/>
        <w:rPr>
          <w:rFonts w:ascii="宋体" w:cs="宋体"/>
          <w:color w:val="000000" w:themeColor="text1"/>
          <w:sz w:val="24"/>
          <w:highlight w:val="none"/>
          <w14:textFill>
            <w14:solidFill>
              <w14:schemeClr w14:val="tx1"/>
            </w14:solidFill>
          </w14:textFill>
        </w:rPr>
      </w:pPr>
    </w:p>
    <w:p w14:paraId="3765EBC0">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3FCE6F6E">
      <w:pPr>
        <w:autoSpaceDE w:val="0"/>
        <w:autoSpaceDN w:val="0"/>
        <w:adjustRightInd w:val="0"/>
        <w:spacing w:line="360" w:lineRule="auto"/>
        <w:ind w:right="480" w:firstLine="6360" w:firstLineChars="26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1BB22E2F">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6F54FD44">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1DCC2C62">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7EB67424">
      <w:pPr>
        <w:spacing w:line="360" w:lineRule="auto"/>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年</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月</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日</w:t>
      </w:r>
    </w:p>
    <w:p w14:paraId="7B483CF1">
      <w:pPr>
        <w:spacing w:line="360" w:lineRule="auto"/>
        <w:rPr>
          <w:rFonts w:ascii="宋体" w:cs="宋体"/>
          <w:color w:val="000000" w:themeColor="text1"/>
          <w:sz w:val="24"/>
          <w:highlight w:val="none"/>
          <w14:textFill>
            <w14:solidFill>
              <w14:schemeClr w14:val="tx1"/>
            </w14:solidFill>
          </w14:textFill>
        </w:rPr>
      </w:pPr>
    </w:p>
    <w:p w14:paraId="0068FF43">
      <w:pPr>
        <w:spacing w:line="360" w:lineRule="auto"/>
        <w:rPr>
          <w:rFonts w:ascii="宋体" w:cs="宋体"/>
          <w:color w:val="000000" w:themeColor="text1"/>
          <w:sz w:val="24"/>
          <w:highlight w:val="none"/>
          <w14:textFill>
            <w14:solidFill>
              <w14:schemeClr w14:val="tx1"/>
            </w14:solidFill>
          </w14:textFill>
        </w:rPr>
      </w:pPr>
    </w:p>
    <w:p w14:paraId="2275D802">
      <w:pPr>
        <w:spacing w:line="360" w:lineRule="auto"/>
        <w:jc w:val="left"/>
        <w:rPr>
          <w:rFonts w:ascii="宋体" w:cs="宋体"/>
          <w:b/>
          <w:color w:val="000000" w:themeColor="text1"/>
          <w:sz w:val="24"/>
          <w:highlight w:val="none"/>
          <w14:textFill>
            <w14:solidFill>
              <w14:schemeClr w14:val="tx1"/>
            </w14:solidFill>
          </w14:textFill>
        </w:rPr>
      </w:pPr>
    </w:p>
    <w:p w14:paraId="03DC2393">
      <w:pPr>
        <w:tabs>
          <w:tab w:val="left" w:pos="1365"/>
        </w:tabs>
        <w:jc w:val="center"/>
        <w:rPr>
          <w:rFonts w:ascii="宋体" w:cs="宋体"/>
          <w:b/>
          <w:color w:val="000000" w:themeColor="text1"/>
          <w:sz w:val="32"/>
          <w:szCs w:val="32"/>
          <w:highlight w:val="none"/>
          <w14:textFill>
            <w14:solidFill>
              <w14:schemeClr w14:val="tx1"/>
            </w14:solidFill>
          </w14:textFill>
        </w:rPr>
      </w:pPr>
    </w:p>
    <w:p w14:paraId="7ADC8762">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11E4EE85">
      <w:pPr>
        <w:numPr>
          <w:ilvl w:val="0"/>
          <w:numId w:val="5"/>
        </w:num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磋商报价明细表</w:t>
      </w:r>
    </w:p>
    <w:p w14:paraId="3195EBB3">
      <w:pPr>
        <w:autoSpaceDE w:val="0"/>
        <w:autoSpaceDN w:val="0"/>
        <w:adjustRightInd w:val="0"/>
        <w:spacing w:line="360" w:lineRule="auto"/>
        <w:ind w:left="-706" w:leftChars="-336" w:firstLine="42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p>
    <w:p w14:paraId="450836F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1、报价方式</w:t>
      </w:r>
    </w:p>
    <w:p w14:paraId="708E18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本采购项目采用固定总价方式计价。</w:t>
      </w:r>
    </w:p>
    <w:p w14:paraId="15BD38D2">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2、报价说明</w:t>
      </w:r>
    </w:p>
    <w:p w14:paraId="592CD8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报价应是货物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如果有)、现场安装调试、设备调试费和质保期内保修等完成本合同工作所需的一切费用，除合同条件另有说明外，金额不得以任何方法调整或变更。任何计算承包金额的错误皆由供应商承担并视为已被双方接受。磋商货物的总价计入投标总价。</w:t>
      </w:r>
    </w:p>
    <w:p w14:paraId="7A001CDF">
      <w:pPr>
        <w:spacing w:line="360" w:lineRule="auto"/>
        <w:rPr>
          <w:rFonts w:ascii="宋体" w:hAnsi="宋体" w:cs="宋体"/>
          <w:color w:val="000000" w:themeColor="text1"/>
          <w:sz w:val="24"/>
          <w:highlight w:val="none"/>
          <w14:textFill>
            <w14:solidFill>
              <w14:schemeClr w14:val="tx1"/>
            </w14:solidFill>
          </w14:textFill>
        </w:rPr>
      </w:pPr>
    </w:p>
    <w:p w14:paraId="767B4B66">
      <w:pPr>
        <w:spacing w:line="360" w:lineRule="auto"/>
        <w:ind w:left="25" w:leftChars="1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供应商名称：____________ </w:t>
      </w:r>
    </w:p>
    <w:p w14:paraId="3F157C44">
      <w:pPr>
        <w:spacing w:line="360" w:lineRule="auto"/>
        <w:ind w:left="25" w:leftChars="1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货币单位：人民币</w:t>
      </w:r>
    </w:p>
    <w:p w14:paraId="7D25A4BE">
      <w:pPr>
        <w:ind w:left="-395" w:leftChars="-188"/>
        <w:jc w:val="left"/>
        <w:rPr>
          <w:rFonts w:ascii="宋体" w:hAnsi="宋体" w:cs="宋体"/>
          <w:color w:val="000000" w:themeColor="text1"/>
          <w:sz w:val="24"/>
          <w:highlight w:val="none"/>
          <w14:textFill>
            <w14:solidFill>
              <w14:schemeClr w14:val="tx1"/>
            </w14:solidFill>
          </w14:textFill>
        </w:rPr>
      </w:pPr>
    </w:p>
    <w:tbl>
      <w:tblPr>
        <w:tblStyle w:val="26"/>
        <w:tblW w:w="9940" w:type="dxa"/>
        <w:jc w:val="center"/>
        <w:tblLayout w:type="fixed"/>
        <w:tblCellMar>
          <w:top w:w="0" w:type="dxa"/>
          <w:left w:w="108" w:type="dxa"/>
          <w:bottom w:w="0" w:type="dxa"/>
          <w:right w:w="108" w:type="dxa"/>
        </w:tblCellMar>
      </w:tblPr>
      <w:tblGrid>
        <w:gridCol w:w="517"/>
        <w:gridCol w:w="832"/>
        <w:gridCol w:w="743"/>
        <w:gridCol w:w="1137"/>
        <w:gridCol w:w="1215"/>
        <w:gridCol w:w="1071"/>
        <w:gridCol w:w="762"/>
        <w:gridCol w:w="795"/>
        <w:gridCol w:w="885"/>
        <w:gridCol w:w="900"/>
        <w:gridCol w:w="1083"/>
      </w:tblGrid>
      <w:tr w14:paraId="30D33EA7">
        <w:tblPrEx>
          <w:tblCellMar>
            <w:top w:w="0" w:type="dxa"/>
            <w:left w:w="108" w:type="dxa"/>
            <w:bottom w:w="0" w:type="dxa"/>
            <w:right w:w="108" w:type="dxa"/>
          </w:tblCellMar>
        </w:tblPrEx>
        <w:trPr>
          <w:trHeight w:val="1131" w:hRule="atLeast"/>
          <w:jc w:val="center"/>
        </w:trPr>
        <w:tc>
          <w:tcPr>
            <w:tcW w:w="517" w:type="dxa"/>
            <w:tcBorders>
              <w:top w:val="single" w:color="auto" w:sz="6" w:space="0"/>
              <w:left w:val="single" w:color="auto" w:sz="6" w:space="0"/>
              <w:bottom w:val="single" w:color="auto" w:sz="6" w:space="0"/>
              <w:right w:val="single" w:color="auto" w:sz="6" w:space="0"/>
            </w:tcBorders>
            <w:noWrap/>
            <w:vAlign w:val="center"/>
          </w:tcPr>
          <w:p w14:paraId="24CABDC1">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序号</w:t>
            </w:r>
          </w:p>
        </w:tc>
        <w:tc>
          <w:tcPr>
            <w:tcW w:w="832" w:type="dxa"/>
            <w:tcBorders>
              <w:top w:val="single" w:color="auto" w:sz="6" w:space="0"/>
              <w:left w:val="single" w:color="auto" w:sz="6" w:space="0"/>
              <w:bottom w:val="single" w:color="auto" w:sz="6" w:space="0"/>
              <w:right w:val="single" w:color="auto" w:sz="6" w:space="0"/>
            </w:tcBorders>
            <w:noWrap/>
            <w:vAlign w:val="center"/>
          </w:tcPr>
          <w:p w14:paraId="4CC4B4AF">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货物名称</w:t>
            </w:r>
          </w:p>
        </w:tc>
        <w:tc>
          <w:tcPr>
            <w:tcW w:w="743" w:type="dxa"/>
            <w:tcBorders>
              <w:top w:val="single" w:color="auto" w:sz="6" w:space="0"/>
              <w:left w:val="single" w:color="auto" w:sz="6" w:space="0"/>
              <w:bottom w:val="single" w:color="auto" w:sz="6" w:space="0"/>
              <w:right w:val="single" w:color="auto" w:sz="6" w:space="0"/>
            </w:tcBorders>
            <w:noWrap/>
            <w:vAlign w:val="center"/>
          </w:tcPr>
          <w:p w14:paraId="17C2AD72">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品牌型号</w:t>
            </w:r>
          </w:p>
        </w:tc>
        <w:tc>
          <w:tcPr>
            <w:tcW w:w="1137" w:type="dxa"/>
            <w:tcBorders>
              <w:top w:val="single" w:color="auto" w:sz="6" w:space="0"/>
              <w:left w:val="single" w:color="auto" w:sz="6" w:space="0"/>
              <w:bottom w:val="single" w:color="auto" w:sz="6" w:space="0"/>
              <w:right w:val="single" w:color="auto" w:sz="6" w:space="0"/>
            </w:tcBorders>
            <w:noWrap/>
            <w:vAlign w:val="center"/>
          </w:tcPr>
          <w:p w14:paraId="7D23694F">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主要功能配置和技术参数</w:t>
            </w:r>
          </w:p>
        </w:tc>
        <w:tc>
          <w:tcPr>
            <w:tcW w:w="1215" w:type="dxa"/>
            <w:tcBorders>
              <w:top w:val="single" w:color="auto" w:sz="6" w:space="0"/>
              <w:left w:val="single" w:color="auto" w:sz="6" w:space="0"/>
              <w:bottom w:val="single" w:color="auto" w:sz="6" w:space="0"/>
              <w:right w:val="single" w:color="auto" w:sz="6" w:space="0"/>
            </w:tcBorders>
            <w:noWrap/>
            <w:vAlign w:val="center"/>
          </w:tcPr>
          <w:p w14:paraId="5CFF6425">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功能配置和技术参数偏离情况</w:t>
            </w:r>
          </w:p>
        </w:tc>
        <w:tc>
          <w:tcPr>
            <w:tcW w:w="1071" w:type="dxa"/>
            <w:tcBorders>
              <w:top w:val="single" w:color="auto" w:sz="6" w:space="0"/>
              <w:left w:val="single" w:color="auto" w:sz="6" w:space="0"/>
              <w:bottom w:val="single" w:color="auto" w:sz="6" w:space="0"/>
              <w:right w:val="single" w:color="auto" w:sz="6" w:space="0"/>
            </w:tcBorders>
            <w:noWrap/>
            <w:vAlign w:val="center"/>
          </w:tcPr>
          <w:p w14:paraId="31B5A96E">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原产地及制造厂商</w:t>
            </w:r>
          </w:p>
        </w:tc>
        <w:tc>
          <w:tcPr>
            <w:tcW w:w="762" w:type="dxa"/>
            <w:tcBorders>
              <w:top w:val="single" w:color="auto" w:sz="6" w:space="0"/>
              <w:left w:val="single" w:color="auto" w:sz="6" w:space="0"/>
              <w:bottom w:val="single" w:color="auto" w:sz="6" w:space="0"/>
              <w:right w:val="single" w:color="auto" w:sz="6" w:space="0"/>
            </w:tcBorders>
            <w:noWrap/>
            <w:vAlign w:val="center"/>
          </w:tcPr>
          <w:p w14:paraId="297A8DE2">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数量</w:t>
            </w:r>
          </w:p>
        </w:tc>
        <w:tc>
          <w:tcPr>
            <w:tcW w:w="795" w:type="dxa"/>
            <w:tcBorders>
              <w:top w:val="single" w:color="auto" w:sz="6" w:space="0"/>
              <w:left w:val="single" w:color="auto" w:sz="6" w:space="0"/>
              <w:bottom w:val="single" w:color="auto" w:sz="6" w:space="0"/>
              <w:right w:val="single" w:color="auto" w:sz="6" w:space="0"/>
            </w:tcBorders>
            <w:noWrap/>
            <w:vAlign w:val="center"/>
          </w:tcPr>
          <w:p w14:paraId="09FD41EE">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数量单位</w:t>
            </w:r>
          </w:p>
        </w:tc>
        <w:tc>
          <w:tcPr>
            <w:tcW w:w="885" w:type="dxa"/>
            <w:tcBorders>
              <w:top w:val="single" w:color="auto" w:sz="6" w:space="0"/>
              <w:left w:val="single" w:color="auto" w:sz="6" w:space="0"/>
              <w:bottom w:val="single" w:color="auto" w:sz="6" w:space="0"/>
              <w:right w:val="single" w:color="auto" w:sz="6" w:space="0"/>
            </w:tcBorders>
            <w:noWrap/>
            <w:vAlign w:val="center"/>
          </w:tcPr>
          <w:p w14:paraId="509D39E5">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单价（元）</w:t>
            </w:r>
          </w:p>
        </w:tc>
        <w:tc>
          <w:tcPr>
            <w:tcW w:w="900" w:type="dxa"/>
            <w:tcBorders>
              <w:top w:val="single" w:color="auto" w:sz="6" w:space="0"/>
              <w:left w:val="single" w:color="auto" w:sz="6" w:space="0"/>
              <w:bottom w:val="single" w:color="auto" w:sz="6" w:space="0"/>
              <w:right w:val="single" w:color="auto" w:sz="4" w:space="0"/>
            </w:tcBorders>
            <w:noWrap/>
            <w:vAlign w:val="center"/>
          </w:tcPr>
          <w:p w14:paraId="16B00279">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合计（元）</w:t>
            </w:r>
          </w:p>
        </w:tc>
        <w:tc>
          <w:tcPr>
            <w:tcW w:w="1083" w:type="dxa"/>
            <w:tcBorders>
              <w:top w:val="single" w:color="auto" w:sz="6" w:space="0"/>
              <w:left w:val="single" w:color="auto" w:sz="6" w:space="0"/>
              <w:bottom w:val="single" w:color="auto" w:sz="6" w:space="0"/>
              <w:right w:val="single" w:color="auto" w:sz="4" w:space="0"/>
            </w:tcBorders>
            <w:noWrap/>
            <w:vAlign w:val="center"/>
          </w:tcPr>
          <w:p w14:paraId="3F8286BB">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质保期</w:t>
            </w:r>
          </w:p>
        </w:tc>
      </w:tr>
      <w:tr w14:paraId="28CB89BE">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34294957">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832" w:type="dxa"/>
            <w:tcBorders>
              <w:top w:val="single" w:color="auto" w:sz="6" w:space="0"/>
              <w:left w:val="single" w:color="auto" w:sz="6" w:space="0"/>
              <w:bottom w:val="single" w:color="auto" w:sz="6" w:space="0"/>
              <w:right w:val="single" w:color="auto" w:sz="6" w:space="0"/>
            </w:tcBorders>
            <w:noWrap/>
          </w:tcPr>
          <w:p w14:paraId="743AB6B1">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43" w:type="dxa"/>
            <w:tcBorders>
              <w:top w:val="single" w:color="auto" w:sz="6" w:space="0"/>
              <w:left w:val="single" w:color="auto" w:sz="6" w:space="0"/>
              <w:bottom w:val="single" w:color="auto" w:sz="6" w:space="0"/>
              <w:right w:val="single" w:color="auto" w:sz="6" w:space="0"/>
            </w:tcBorders>
            <w:noWrap/>
          </w:tcPr>
          <w:p w14:paraId="24282B2B">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137" w:type="dxa"/>
            <w:tcBorders>
              <w:top w:val="single" w:color="auto" w:sz="6" w:space="0"/>
              <w:left w:val="single" w:color="auto" w:sz="6" w:space="0"/>
              <w:bottom w:val="single" w:color="auto" w:sz="6" w:space="0"/>
              <w:right w:val="single" w:color="auto" w:sz="6" w:space="0"/>
            </w:tcBorders>
            <w:noWrap/>
          </w:tcPr>
          <w:p w14:paraId="12FF9A97">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14:paraId="1A217EEC">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071" w:type="dxa"/>
            <w:tcBorders>
              <w:top w:val="single" w:color="auto" w:sz="6" w:space="0"/>
              <w:left w:val="single" w:color="auto" w:sz="6" w:space="0"/>
              <w:bottom w:val="single" w:color="auto" w:sz="6" w:space="0"/>
              <w:right w:val="single" w:color="auto" w:sz="6" w:space="0"/>
            </w:tcBorders>
            <w:noWrap/>
          </w:tcPr>
          <w:p w14:paraId="536572F0">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62" w:type="dxa"/>
            <w:tcBorders>
              <w:top w:val="single" w:color="auto" w:sz="6" w:space="0"/>
              <w:left w:val="single" w:color="auto" w:sz="6" w:space="0"/>
              <w:bottom w:val="single" w:color="auto" w:sz="6" w:space="0"/>
              <w:right w:val="single" w:color="auto" w:sz="6" w:space="0"/>
            </w:tcBorders>
            <w:noWrap/>
          </w:tcPr>
          <w:p w14:paraId="47D3E10D">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95" w:type="dxa"/>
            <w:tcBorders>
              <w:top w:val="single" w:color="auto" w:sz="6" w:space="0"/>
              <w:left w:val="single" w:color="auto" w:sz="6" w:space="0"/>
              <w:bottom w:val="single" w:color="auto" w:sz="6" w:space="0"/>
              <w:right w:val="single" w:color="auto" w:sz="6" w:space="0"/>
            </w:tcBorders>
            <w:noWrap/>
          </w:tcPr>
          <w:p w14:paraId="17D509F0">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885" w:type="dxa"/>
            <w:tcBorders>
              <w:top w:val="single" w:color="auto" w:sz="6" w:space="0"/>
              <w:left w:val="single" w:color="auto" w:sz="6" w:space="0"/>
              <w:bottom w:val="single" w:color="auto" w:sz="6" w:space="0"/>
              <w:right w:val="single" w:color="auto" w:sz="6" w:space="0"/>
            </w:tcBorders>
            <w:noWrap/>
          </w:tcPr>
          <w:p w14:paraId="64B399CE">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4" w:space="0"/>
            </w:tcBorders>
            <w:noWrap/>
          </w:tcPr>
          <w:p w14:paraId="782B1FC4">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4" w:space="0"/>
            </w:tcBorders>
            <w:noWrap/>
          </w:tcPr>
          <w:p w14:paraId="7AA4CE36">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r>
      <w:tr w14:paraId="25B1BDE7">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18BD1A1A">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832" w:type="dxa"/>
            <w:tcBorders>
              <w:top w:val="single" w:color="auto" w:sz="6" w:space="0"/>
              <w:left w:val="single" w:color="auto" w:sz="6" w:space="0"/>
              <w:bottom w:val="single" w:color="auto" w:sz="6" w:space="0"/>
              <w:right w:val="single" w:color="auto" w:sz="6" w:space="0"/>
            </w:tcBorders>
            <w:noWrap/>
          </w:tcPr>
          <w:p w14:paraId="3B4D8B32">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43" w:type="dxa"/>
            <w:tcBorders>
              <w:top w:val="single" w:color="auto" w:sz="6" w:space="0"/>
              <w:left w:val="single" w:color="auto" w:sz="6" w:space="0"/>
              <w:bottom w:val="single" w:color="auto" w:sz="6" w:space="0"/>
              <w:right w:val="single" w:color="auto" w:sz="6" w:space="0"/>
            </w:tcBorders>
            <w:noWrap/>
          </w:tcPr>
          <w:p w14:paraId="3A1390F3">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137" w:type="dxa"/>
            <w:tcBorders>
              <w:top w:val="single" w:color="auto" w:sz="6" w:space="0"/>
              <w:left w:val="single" w:color="auto" w:sz="6" w:space="0"/>
              <w:bottom w:val="single" w:color="auto" w:sz="6" w:space="0"/>
              <w:right w:val="single" w:color="auto" w:sz="6" w:space="0"/>
            </w:tcBorders>
            <w:noWrap/>
          </w:tcPr>
          <w:p w14:paraId="4A919EFE">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14:paraId="4898B5B9">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071" w:type="dxa"/>
            <w:tcBorders>
              <w:top w:val="single" w:color="auto" w:sz="6" w:space="0"/>
              <w:left w:val="single" w:color="auto" w:sz="6" w:space="0"/>
              <w:bottom w:val="single" w:color="auto" w:sz="6" w:space="0"/>
              <w:right w:val="single" w:color="auto" w:sz="6" w:space="0"/>
            </w:tcBorders>
            <w:noWrap/>
          </w:tcPr>
          <w:p w14:paraId="419D7BB7">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62" w:type="dxa"/>
            <w:tcBorders>
              <w:top w:val="single" w:color="auto" w:sz="6" w:space="0"/>
              <w:left w:val="single" w:color="auto" w:sz="6" w:space="0"/>
              <w:bottom w:val="single" w:color="auto" w:sz="6" w:space="0"/>
              <w:right w:val="single" w:color="auto" w:sz="6" w:space="0"/>
            </w:tcBorders>
            <w:noWrap/>
          </w:tcPr>
          <w:p w14:paraId="79E74FA8">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95" w:type="dxa"/>
            <w:tcBorders>
              <w:top w:val="single" w:color="auto" w:sz="6" w:space="0"/>
              <w:left w:val="single" w:color="auto" w:sz="6" w:space="0"/>
              <w:bottom w:val="single" w:color="auto" w:sz="6" w:space="0"/>
              <w:right w:val="single" w:color="auto" w:sz="6" w:space="0"/>
            </w:tcBorders>
            <w:noWrap/>
          </w:tcPr>
          <w:p w14:paraId="598B10C9">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885" w:type="dxa"/>
            <w:tcBorders>
              <w:top w:val="single" w:color="auto" w:sz="6" w:space="0"/>
              <w:left w:val="single" w:color="auto" w:sz="6" w:space="0"/>
              <w:bottom w:val="single" w:color="auto" w:sz="6" w:space="0"/>
              <w:right w:val="single" w:color="auto" w:sz="6" w:space="0"/>
            </w:tcBorders>
            <w:noWrap/>
          </w:tcPr>
          <w:p w14:paraId="6C8A3178">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4" w:space="0"/>
            </w:tcBorders>
            <w:noWrap/>
          </w:tcPr>
          <w:p w14:paraId="6112E5E5">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4" w:space="0"/>
            </w:tcBorders>
            <w:noWrap/>
          </w:tcPr>
          <w:p w14:paraId="05B028CD">
            <w:pPr>
              <w:autoSpaceDE w:val="0"/>
              <w:autoSpaceDN w:val="0"/>
              <w:adjustRightInd w:val="0"/>
              <w:rPr>
                <w:rFonts w:ascii="宋体" w:hAnsi="宋体" w:cs="宋体"/>
                <w:bCs/>
                <w:color w:val="000000" w:themeColor="text1"/>
                <w:sz w:val="24"/>
                <w:highlight w:val="none"/>
                <w14:textFill>
                  <w14:solidFill>
                    <w14:schemeClr w14:val="tx1"/>
                  </w14:solidFill>
                </w14:textFill>
              </w:rPr>
            </w:pPr>
          </w:p>
        </w:tc>
      </w:tr>
      <w:tr w14:paraId="444C3293">
        <w:tblPrEx>
          <w:tblCellMar>
            <w:top w:w="0" w:type="dxa"/>
            <w:left w:w="108" w:type="dxa"/>
            <w:bottom w:w="0" w:type="dxa"/>
            <w:right w:w="108" w:type="dxa"/>
          </w:tblCellMar>
        </w:tblPrEx>
        <w:trPr>
          <w:trHeight w:val="586" w:hRule="atLeast"/>
          <w:jc w:val="center"/>
        </w:trPr>
        <w:tc>
          <w:tcPr>
            <w:tcW w:w="1349" w:type="dxa"/>
            <w:gridSpan w:val="2"/>
            <w:tcBorders>
              <w:top w:val="single" w:color="auto" w:sz="6" w:space="0"/>
              <w:left w:val="single" w:color="auto" w:sz="6" w:space="0"/>
              <w:bottom w:val="single" w:color="auto" w:sz="6" w:space="0"/>
              <w:right w:val="single" w:color="auto" w:sz="6" w:space="0"/>
            </w:tcBorders>
            <w:noWrap/>
            <w:vAlign w:val="center"/>
          </w:tcPr>
          <w:p w14:paraId="41AF92A9">
            <w:pPr>
              <w:autoSpaceDE w:val="0"/>
              <w:autoSpaceDN w:val="0"/>
              <w:adjustRightIn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lang w:val="zh-CN"/>
                <w14:textFill>
                  <w14:solidFill>
                    <w14:schemeClr w14:val="tx1"/>
                  </w14:solidFill>
                </w14:textFill>
              </w:rPr>
              <w:t>总价（元）</w:t>
            </w:r>
          </w:p>
        </w:tc>
        <w:tc>
          <w:tcPr>
            <w:tcW w:w="8591" w:type="dxa"/>
            <w:gridSpan w:val="9"/>
            <w:tcBorders>
              <w:top w:val="single" w:color="auto" w:sz="6" w:space="0"/>
              <w:left w:val="single" w:color="auto" w:sz="6" w:space="0"/>
              <w:bottom w:val="single" w:color="auto" w:sz="6" w:space="0"/>
              <w:right w:val="single" w:color="auto" w:sz="4" w:space="0"/>
            </w:tcBorders>
            <w:noWrap/>
          </w:tcPr>
          <w:p w14:paraId="16458E79">
            <w:pPr>
              <w:autoSpaceDE w:val="0"/>
              <w:autoSpaceDN w:val="0"/>
              <w:adjustRightInd w:val="0"/>
              <w:rPr>
                <w:rFonts w:ascii="宋体" w:hAnsi="宋体" w:cs="宋体"/>
                <w:bCs/>
                <w:color w:val="000000" w:themeColor="text1"/>
                <w:sz w:val="24"/>
                <w:highlight w:val="none"/>
                <w14:textFill>
                  <w14:solidFill>
                    <w14:schemeClr w14:val="tx1"/>
                  </w14:solidFill>
                </w14:textFill>
              </w:rPr>
            </w:pPr>
          </w:p>
        </w:tc>
      </w:tr>
    </w:tbl>
    <w:p w14:paraId="3F61F5AB">
      <w:pPr>
        <w:spacing w:line="360" w:lineRule="auto"/>
        <w:ind w:left="-708" w:leftChars="-337"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 xml:space="preserve">1. 如果按单价计算的结果与总价不一致，以单价为准修正总价。 </w:t>
      </w:r>
    </w:p>
    <w:p w14:paraId="128438E3">
      <w:pPr>
        <w:spacing w:line="360" w:lineRule="auto"/>
        <w:ind w:left="-708" w:leftChars="-337"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如果不提供详细分项报价将视为没有实质性响应竞争性磋商文件。</w:t>
      </w:r>
    </w:p>
    <w:p w14:paraId="712754D9">
      <w:pPr>
        <w:spacing w:line="360" w:lineRule="auto"/>
        <w:ind w:left="-708" w:leftChars="-337"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本表包括标准件和专用工具。</w:t>
      </w:r>
    </w:p>
    <w:p w14:paraId="5FD6E4E2">
      <w:pPr>
        <w:spacing w:line="360" w:lineRule="auto"/>
        <w:ind w:left="-708" w:leftChars="-337"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1C59689F">
      <w:pPr>
        <w:spacing w:line="360" w:lineRule="auto"/>
        <w:ind w:left="-708" w:leftChars="-33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1.与完成本项目有关的各种费用均应包含在总报价中 ，数量单位须写明台(套)。如果提供价格折扣应明确标明。</w:t>
      </w:r>
    </w:p>
    <w:p w14:paraId="1130015E">
      <w:pPr>
        <w:spacing w:line="360" w:lineRule="auto"/>
        <w:ind w:left="-708" w:leftChars="-33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2.所有货物均应标明品牌型号、详细功能配置、主要技术参数、功能配置及技术指标偏离情况、原产地及制造厂商等。</w:t>
      </w:r>
    </w:p>
    <w:p w14:paraId="274DD6E0">
      <w:pPr>
        <w:pStyle w:val="24"/>
        <w:ind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3.没有填报功能配置和技术参数偏离情况的，均视为完全符合竞争性磋商文件要求，在成交后按照无偏离订立采购合同。</w:t>
      </w:r>
    </w:p>
    <w:p w14:paraId="15F02042">
      <w:pPr>
        <w:autoSpaceDE w:val="0"/>
        <w:autoSpaceDN w:val="0"/>
        <w:adjustRightInd w:val="0"/>
        <w:spacing w:line="360" w:lineRule="auto"/>
        <w:ind w:right="480" w:firstLine="4920" w:firstLineChars="2050"/>
        <w:rPr>
          <w:rFonts w:ascii="宋体" w:hAnsi="宋体" w:cs="宋体"/>
          <w:color w:val="000000" w:themeColor="text1"/>
          <w:sz w:val="24"/>
          <w:highlight w:val="none"/>
          <w14:textFill>
            <w14:solidFill>
              <w14:schemeClr w14:val="tx1"/>
            </w14:solidFill>
          </w14:textFill>
        </w:rPr>
      </w:pPr>
    </w:p>
    <w:p w14:paraId="704408F4">
      <w:pPr>
        <w:autoSpaceDE w:val="0"/>
        <w:autoSpaceDN w:val="0"/>
        <w:adjustRightInd w:val="0"/>
        <w:spacing w:line="360" w:lineRule="auto"/>
        <w:ind w:right="480" w:firstLine="4920" w:firstLineChars="205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供应商名称（盖章）：</w:t>
      </w:r>
    </w:p>
    <w:p w14:paraId="78F5AB0D">
      <w:pPr>
        <w:autoSpaceDE w:val="0"/>
        <w:autoSpaceDN w:val="0"/>
        <w:adjustRightInd w:val="0"/>
        <w:spacing w:line="360" w:lineRule="auto"/>
        <w:ind w:right="480" w:firstLine="4920" w:firstLineChars="2050"/>
        <w:rPr>
          <w:rFonts w:ascii="宋体" w:hAnsi="宋体" w:cs="宋体"/>
          <w:color w:val="000000" w:themeColor="text1"/>
          <w:sz w:val="24"/>
          <w:highlight w:val="none"/>
          <w:lang w:val="zh-CN"/>
          <w14:textFill>
            <w14:solidFill>
              <w14:schemeClr w14:val="tx1"/>
            </w14:solidFill>
          </w14:textFill>
        </w:rPr>
      </w:pPr>
    </w:p>
    <w:p w14:paraId="32F42E11">
      <w:pPr>
        <w:autoSpaceDE w:val="0"/>
        <w:autoSpaceDN w:val="0"/>
        <w:adjustRightInd w:val="0"/>
        <w:spacing w:line="360" w:lineRule="auto"/>
        <w:ind w:firstLine="480"/>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法定代表人或其委托代理人（签字）：</w:t>
      </w:r>
    </w:p>
    <w:p w14:paraId="336AB4FB">
      <w:pPr>
        <w:autoSpaceDE w:val="0"/>
        <w:autoSpaceDN w:val="0"/>
        <w:adjustRightInd w:val="0"/>
        <w:spacing w:line="360" w:lineRule="auto"/>
        <w:ind w:firstLine="480"/>
        <w:jc w:val="right"/>
        <w:rPr>
          <w:rFonts w:ascii="宋体" w:hAnsi="宋体" w:cs="宋体"/>
          <w:color w:val="000000" w:themeColor="text1"/>
          <w:sz w:val="24"/>
          <w:highlight w:val="none"/>
          <w:lang w:val="zh-CN"/>
          <w14:textFill>
            <w14:solidFill>
              <w14:schemeClr w14:val="tx1"/>
            </w14:solidFill>
          </w14:textFill>
        </w:rPr>
      </w:pPr>
    </w:p>
    <w:p w14:paraId="71942910">
      <w:pPr>
        <w:spacing w:line="360" w:lineRule="auto"/>
        <w:ind w:firstLine="5040" w:firstLineChars="2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日期：年月日</w:t>
      </w:r>
    </w:p>
    <w:p w14:paraId="5FC70D02">
      <w:pPr>
        <w:tabs>
          <w:tab w:val="left" w:pos="0"/>
        </w:tabs>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24FB46E0">
      <w:p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6、商务条款偏离表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5FEA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0F41542">
            <w:pPr>
              <w:rPr>
                <w:rFonts w:ascii="宋体" w:cs="宋体"/>
                <w:color w:val="000000" w:themeColor="text1"/>
                <w:sz w:val="24"/>
                <w:highlight w:val="none"/>
                <w14:textFill>
                  <w14:solidFill>
                    <w14:schemeClr w14:val="tx1"/>
                  </w14:solidFill>
                </w14:textFill>
              </w:rPr>
            </w:pPr>
            <w:bookmarkStart w:id="83" w:name="_Toc9156"/>
            <w:bookmarkStart w:id="84" w:name="_Toc492451841"/>
            <w:r>
              <w:rPr>
                <w:rFonts w:hint="eastAsia" w:ascii="宋体" w:cs="宋体"/>
                <w:color w:val="000000" w:themeColor="text1"/>
                <w:sz w:val="24"/>
                <w:highlight w:val="none"/>
                <w14:textFill>
                  <w14:solidFill>
                    <w14:schemeClr w14:val="tx1"/>
                  </w14:solidFill>
                </w14:textFill>
              </w:rPr>
              <w:t>序号</w:t>
            </w:r>
            <w:bookmarkEnd w:id="83"/>
            <w:bookmarkEnd w:id="84"/>
          </w:p>
        </w:tc>
        <w:tc>
          <w:tcPr>
            <w:tcW w:w="1899" w:type="dxa"/>
            <w:tcBorders>
              <w:top w:val="single" w:color="auto" w:sz="4" w:space="0"/>
              <w:left w:val="single" w:color="auto" w:sz="4" w:space="0"/>
              <w:bottom w:val="single" w:color="auto" w:sz="4" w:space="0"/>
              <w:right w:val="single" w:color="auto" w:sz="4" w:space="0"/>
            </w:tcBorders>
            <w:noWrap/>
            <w:vAlign w:val="center"/>
          </w:tcPr>
          <w:p w14:paraId="7D08E5B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竞争性磋商文件条款号</w:t>
            </w:r>
          </w:p>
        </w:tc>
        <w:tc>
          <w:tcPr>
            <w:tcW w:w="2979" w:type="dxa"/>
            <w:tcBorders>
              <w:top w:val="single" w:color="auto" w:sz="4" w:space="0"/>
              <w:left w:val="single" w:color="auto" w:sz="4" w:space="0"/>
              <w:bottom w:val="single" w:color="auto" w:sz="4" w:space="0"/>
              <w:right w:val="single" w:color="auto" w:sz="4" w:space="0"/>
            </w:tcBorders>
            <w:noWrap/>
            <w:vAlign w:val="center"/>
          </w:tcPr>
          <w:p w14:paraId="0900FE6F">
            <w:pPr>
              <w:rPr>
                <w:rFonts w:ascii="宋体" w:cs="宋体"/>
                <w:color w:val="000000" w:themeColor="text1"/>
                <w:sz w:val="24"/>
                <w:highlight w:val="none"/>
                <w14:textFill>
                  <w14:solidFill>
                    <w14:schemeClr w14:val="tx1"/>
                  </w14:solidFill>
                </w14:textFill>
              </w:rPr>
            </w:pPr>
            <w:bookmarkStart w:id="85" w:name="_Toc6174"/>
            <w:bookmarkStart w:id="86" w:name="_Toc492451843"/>
            <w:r>
              <w:rPr>
                <w:rFonts w:hint="eastAsia" w:ascii="宋体" w:cs="宋体"/>
                <w:color w:val="000000" w:themeColor="text1"/>
                <w:sz w:val="24"/>
                <w:highlight w:val="none"/>
                <w14:textFill>
                  <w14:solidFill>
                    <w14:schemeClr w14:val="tx1"/>
                  </w14:solidFill>
                </w14:textFill>
              </w:rPr>
              <w:t>竞争性磋商文件规定的商务条款</w:t>
            </w:r>
            <w:bookmarkEnd w:id="85"/>
            <w:bookmarkEnd w:id="86"/>
          </w:p>
        </w:tc>
        <w:tc>
          <w:tcPr>
            <w:tcW w:w="2976" w:type="dxa"/>
            <w:tcBorders>
              <w:top w:val="single" w:color="auto" w:sz="4" w:space="0"/>
              <w:left w:val="single" w:color="auto" w:sz="4" w:space="0"/>
              <w:bottom w:val="single" w:color="auto" w:sz="4" w:space="0"/>
              <w:right w:val="single" w:color="auto" w:sz="4" w:space="0"/>
            </w:tcBorders>
            <w:noWrap/>
            <w:vAlign w:val="center"/>
          </w:tcPr>
          <w:p w14:paraId="14A29463">
            <w:pPr>
              <w:rPr>
                <w:rFonts w:ascii="宋体" w:cs="宋体"/>
                <w:color w:val="000000" w:themeColor="text1"/>
                <w:sz w:val="24"/>
                <w:highlight w:val="none"/>
                <w14:textFill>
                  <w14:solidFill>
                    <w14:schemeClr w14:val="tx1"/>
                  </w14:solidFill>
                </w14:textFill>
              </w:rPr>
            </w:pPr>
            <w:bookmarkStart w:id="87" w:name="_Toc492451844"/>
            <w:bookmarkStart w:id="88" w:name="_Toc30914"/>
            <w:r>
              <w:rPr>
                <w:rFonts w:hint="eastAsia" w:ascii="宋体" w:cs="宋体"/>
                <w:color w:val="000000" w:themeColor="text1"/>
                <w:sz w:val="24"/>
                <w:highlight w:val="none"/>
                <w14:textFill>
                  <w14:solidFill>
                    <w14:schemeClr w14:val="tx1"/>
                  </w14:solidFill>
                </w14:textFill>
              </w:rPr>
              <w:t>磋商响应文件对应的商务条款</w:t>
            </w:r>
            <w:bookmarkEnd w:id="87"/>
            <w:bookmarkEnd w:id="88"/>
          </w:p>
        </w:tc>
        <w:tc>
          <w:tcPr>
            <w:tcW w:w="851" w:type="dxa"/>
            <w:tcBorders>
              <w:top w:val="single" w:color="auto" w:sz="4" w:space="0"/>
              <w:left w:val="single" w:color="auto" w:sz="4" w:space="0"/>
              <w:bottom w:val="single" w:color="auto" w:sz="4" w:space="0"/>
              <w:right w:val="single" w:color="auto" w:sz="4" w:space="0"/>
            </w:tcBorders>
            <w:noWrap/>
            <w:vAlign w:val="center"/>
          </w:tcPr>
          <w:p w14:paraId="5E19CA31">
            <w:pPr>
              <w:rPr>
                <w:rFonts w:ascii="宋体" w:cs="宋体"/>
                <w:color w:val="000000" w:themeColor="text1"/>
                <w:sz w:val="24"/>
                <w:highlight w:val="none"/>
                <w14:textFill>
                  <w14:solidFill>
                    <w14:schemeClr w14:val="tx1"/>
                  </w14:solidFill>
                </w14:textFill>
              </w:rPr>
            </w:pPr>
            <w:bookmarkStart w:id="89" w:name="_Toc492451845"/>
            <w:bookmarkStart w:id="90" w:name="_Toc3453"/>
            <w:r>
              <w:rPr>
                <w:rFonts w:hint="eastAsia" w:ascii="宋体" w:cs="宋体"/>
                <w:color w:val="000000" w:themeColor="text1"/>
                <w:sz w:val="24"/>
                <w:highlight w:val="none"/>
                <w14:textFill>
                  <w14:solidFill>
                    <w14:schemeClr w14:val="tx1"/>
                  </w14:solidFill>
                </w14:textFill>
              </w:rPr>
              <w:t>备注</w:t>
            </w:r>
            <w:bookmarkEnd w:id="89"/>
            <w:bookmarkEnd w:id="90"/>
          </w:p>
        </w:tc>
      </w:tr>
      <w:tr w14:paraId="12D3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F7269C5">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9D01DB0">
            <w:pPr>
              <w:pStyle w:val="14"/>
              <w:jc w:val="center"/>
              <w:outlineLvl w:val="0"/>
              <w:rPr>
                <w:rFonts w:ascii="宋体" w:cs="宋体"/>
                <w:color w:val="000000" w:themeColor="text1"/>
                <w:szCs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64ECA640">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74442BB">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3B42451">
            <w:pPr>
              <w:jc w:val="center"/>
              <w:outlineLvl w:val="0"/>
              <w:rPr>
                <w:rFonts w:ascii="宋体" w:cs="宋体"/>
                <w:color w:val="000000" w:themeColor="text1"/>
                <w:sz w:val="24"/>
                <w:highlight w:val="none"/>
                <w14:textFill>
                  <w14:solidFill>
                    <w14:schemeClr w14:val="tx1"/>
                  </w14:solidFill>
                </w14:textFill>
              </w:rPr>
            </w:pPr>
          </w:p>
        </w:tc>
      </w:tr>
      <w:tr w14:paraId="3A29E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BCCDBD">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68A69791">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07FBA936">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25EACA8F">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FB2C087">
            <w:pPr>
              <w:jc w:val="center"/>
              <w:outlineLvl w:val="0"/>
              <w:rPr>
                <w:rFonts w:ascii="宋体" w:cs="宋体"/>
                <w:color w:val="000000" w:themeColor="text1"/>
                <w:sz w:val="24"/>
                <w:highlight w:val="none"/>
                <w14:textFill>
                  <w14:solidFill>
                    <w14:schemeClr w14:val="tx1"/>
                  </w14:solidFill>
                </w14:textFill>
              </w:rPr>
            </w:pPr>
          </w:p>
        </w:tc>
      </w:tr>
      <w:tr w14:paraId="49965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9F5150">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C249224">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76C8EE">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2A32C83">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4BBE3E4">
            <w:pPr>
              <w:jc w:val="center"/>
              <w:outlineLvl w:val="0"/>
              <w:rPr>
                <w:rFonts w:ascii="宋体" w:cs="宋体"/>
                <w:color w:val="000000" w:themeColor="text1"/>
                <w:sz w:val="24"/>
                <w:highlight w:val="none"/>
                <w14:textFill>
                  <w14:solidFill>
                    <w14:schemeClr w14:val="tx1"/>
                  </w14:solidFill>
                </w14:textFill>
              </w:rPr>
            </w:pPr>
          </w:p>
        </w:tc>
      </w:tr>
      <w:tr w14:paraId="36541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3659FDC">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3172CB3">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C24EC8">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1CC801B">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B634C12">
            <w:pPr>
              <w:jc w:val="center"/>
              <w:outlineLvl w:val="0"/>
              <w:rPr>
                <w:rFonts w:ascii="宋体" w:cs="宋体"/>
                <w:color w:val="000000" w:themeColor="text1"/>
                <w:sz w:val="24"/>
                <w:highlight w:val="none"/>
                <w14:textFill>
                  <w14:solidFill>
                    <w14:schemeClr w14:val="tx1"/>
                  </w14:solidFill>
                </w14:textFill>
              </w:rPr>
            </w:pPr>
          </w:p>
        </w:tc>
      </w:tr>
      <w:tr w14:paraId="7EB0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62F338F">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5E3BE2D">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A6651BA">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EAB4FB0">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A87FBB0">
            <w:pPr>
              <w:jc w:val="center"/>
              <w:outlineLvl w:val="0"/>
              <w:rPr>
                <w:rFonts w:ascii="宋体" w:cs="宋体"/>
                <w:color w:val="000000" w:themeColor="text1"/>
                <w:sz w:val="24"/>
                <w:highlight w:val="none"/>
                <w14:textFill>
                  <w14:solidFill>
                    <w14:schemeClr w14:val="tx1"/>
                  </w14:solidFill>
                </w14:textFill>
              </w:rPr>
            </w:pPr>
          </w:p>
        </w:tc>
      </w:tr>
      <w:tr w14:paraId="5673A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2050E8">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28D219E8">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EAF611A">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01AC077">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C81A5A">
            <w:pPr>
              <w:jc w:val="center"/>
              <w:outlineLvl w:val="0"/>
              <w:rPr>
                <w:rFonts w:ascii="宋体" w:cs="宋体"/>
                <w:color w:val="000000" w:themeColor="text1"/>
                <w:sz w:val="24"/>
                <w:highlight w:val="none"/>
                <w14:textFill>
                  <w14:solidFill>
                    <w14:schemeClr w14:val="tx1"/>
                  </w14:solidFill>
                </w14:textFill>
              </w:rPr>
            </w:pPr>
          </w:p>
        </w:tc>
      </w:tr>
      <w:tr w14:paraId="04FDC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F6CE6E9">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EC2F3D3">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3D8078C">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13A0031">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3655CA3">
            <w:pPr>
              <w:jc w:val="center"/>
              <w:outlineLvl w:val="0"/>
              <w:rPr>
                <w:rFonts w:ascii="宋体" w:cs="宋体"/>
                <w:color w:val="000000" w:themeColor="text1"/>
                <w:sz w:val="24"/>
                <w:highlight w:val="none"/>
                <w14:textFill>
                  <w14:solidFill>
                    <w14:schemeClr w14:val="tx1"/>
                  </w14:solidFill>
                </w14:textFill>
              </w:rPr>
            </w:pPr>
          </w:p>
        </w:tc>
      </w:tr>
    </w:tbl>
    <w:p w14:paraId="1F6DDC76">
      <w:pPr>
        <w:rPr>
          <w:rFonts w:ascii="宋体" w:cs="宋体"/>
          <w:color w:val="000000" w:themeColor="text1"/>
          <w:sz w:val="24"/>
          <w:highlight w:val="none"/>
          <w14:textFill>
            <w14:solidFill>
              <w14:schemeClr w14:val="tx1"/>
            </w14:solidFill>
          </w14:textFill>
        </w:rPr>
      </w:pPr>
    </w:p>
    <w:p w14:paraId="33412C59">
      <w:pPr>
        <w:spacing w:line="36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038AAEA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 供应商应对照竞争性磋商文件商务要求，逐条说明已对竞争性磋商文件的商务内容做出了实质性的响应，并申明与竞争性磋商文件的偏差和例外。若供应商完全响应竞争性磋商文件商务要求，填写“完全响应”即可，无需填写竞争性磋商文件商务要求中的条文。</w:t>
      </w:r>
    </w:p>
    <w:p w14:paraId="3C7BB5E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2、商务条款主要填列付款方式、合同履行期限 、合同履约地点、售后服务、服务质量保证、违约责任等重要条款方面的偏离情况。</w:t>
      </w:r>
    </w:p>
    <w:p w14:paraId="50B6242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3、“磋商服务商务条款偏离表”是评审的重要依据，无论所提供的服务与竞争性磋商文件的要求是否有偏离，供应商均须详细填报“商务条款偏离表”。</w:t>
      </w:r>
    </w:p>
    <w:p w14:paraId="09E6D44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4、表内如果填列不全，可另外附页说明并按规定签字和加盖公章。             </w:t>
      </w:r>
    </w:p>
    <w:p w14:paraId="0E8D5C54">
      <w:pPr>
        <w:spacing w:line="360" w:lineRule="auto"/>
        <w:ind w:firstLine="480" w:firstLineChars="200"/>
        <w:rPr>
          <w:rFonts w:ascii="宋体" w:cs="宋体"/>
          <w:color w:val="000000" w:themeColor="text1"/>
          <w:sz w:val="24"/>
          <w:highlight w:val="none"/>
          <w14:textFill>
            <w14:solidFill>
              <w14:schemeClr w14:val="tx1"/>
            </w14:solidFill>
          </w14:textFill>
        </w:rPr>
      </w:pPr>
      <w:bookmarkStart w:id="91" w:name="_Toc492451846"/>
      <w:bookmarkStart w:id="92" w:name="_Toc25931"/>
      <w:r>
        <w:rPr>
          <w:rFonts w:hint="eastAsia" w:ascii="宋体" w:cs="宋体"/>
          <w:color w:val="000000" w:themeColor="text1"/>
          <w:sz w:val="24"/>
          <w:highlight w:val="none"/>
          <w14:textFill>
            <w14:solidFill>
              <w14:schemeClr w14:val="tx1"/>
            </w14:solidFill>
          </w14:textFill>
        </w:rPr>
        <w:t>5、此表可根据需要自行拉长加宽。</w:t>
      </w:r>
      <w:bookmarkEnd w:id="91"/>
      <w:bookmarkEnd w:id="92"/>
    </w:p>
    <w:p w14:paraId="3BA0A267">
      <w:pPr>
        <w:rPr>
          <w:rFonts w:ascii="宋体" w:cs="宋体"/>
          <w:color w:val="000000" w:themeColor="text1"/>
          <w:highlight w:val="none"/>
          <w14:textFill>
            <w14:solidFill>
              <w14:schemeClr w14:val="tx1"/>
            </w14:solidFill>
          </w14:textFill>
        </w:rPr>
      </w:pPr>
    </w:p>
    <w:p w14:paraId="78D9894E">
      <w:pPr>
        <w:rPr>
          <w:rFonts w:ascii="宋体" w:cs="宋体"/>
          <w:color w:val="000000" w:themeColor="text1"/>
          <w:highlight w:val="none"/>
          <w14:textFill>
            <w14:solidFill>
              <w14:schemeClr w14:val="tx1"/>
            </w14:solidFill>
          </w14:textFill>
        </w:rPr>
      </w:pPr>
    </w:p>
    <w:p w14:paraId="35AC3BDB">
      <w:pPr>
        <w:autoSpaceDE w:val="0"/>
        <w:autoSpaceDN w:val="0"/>
        <w:adjustRightInd w:val="0"/>
        <w:spacing w:line="360" w:lineRule="auto"/>
        <w:ind w:right="480" w:firstLine="6240" w:firstLineChars="26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5DD72912">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73A0FA99">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5487D4F8">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0ACE102A">
      <w:pPr>
        <w:autoSpaceDE w:val="0"/>
        <w:autoSpaceDN w:val="0"/>
        <w:adjustRightInd w:val="0"/>
        <w:ind w:right="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6BE63C79">
      <w:pPr>
        <w:rPr>
          <w:rFonts w:ascii="宋体" w:cs="宋体"/>
          <w:color w:val="000000" w:themeColor="text1"/>
          <w:highlight w:val="none"/>
          <w14:textFill>
            <w14:solidFill>
              <w14:schemeClr w14:val="tx1"/>
            </w14:solidFill>
          </w14:textFill>
        </w:rPr>
      </w:pPr>
    </w:p>
    <w:p w14:paraId="0013BD7A">
      <w:pPr>
        <w:rPr>
          <w:rFonts w:ascii="宋体" w:cs="宋体"/>
          <w:color w:val="000000" w:themeColor="text1"/>
          <w:highlight w:val="none"/>
          <w14:textFill>
            <w14:solidFill>
              <w14:schemeClr w14:val="tx1"/>
            </w14:solidFill>
          </w14:textFill>
        </w:rPr>
      </w:pPr>
    </w:p>
    <w:p w14:paraId="09E11485">
      <w:pPr>
        <w:tabs>
          <w:tab w:val="left" w:pos="1365"/>
        </w:tabs>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7、投标货物及技术规格偏离表</w:t>
      </w:r>
    </w:p>
    <w:p w14:paraId="34C88A5B">
      <w:pPr>
        <w:rPr>
          <w:rFonts w:ascii="宋体" w:cs="宋体"/>
          <w:color w:val="000000" w:themeColor="text1"/>
          <w:sz w:val="24"/>
          <w:highlight w:val="none"/>
          <w14:textFill>
            <w14:solidFill>
              <w14:schemeClr w14:val="tx1"/>
            </w14:solidFill>
          </w14:textFill>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5C6D3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CB44E04">
            <w:pPr>
              <w:rPr>
                <w:rFonts w:ascii="宋体" w:cs="宋体"/>
                <w:color w:val="000000" w:themeColor="text1"/>
                <w:sz w:val="24"/>
                <w:highlight w:val="none"/>
                <w14:textFill>
                  <w14:solidFill>
                    <w14:schemeClr w14:val="tx1"/>
                  </w14:solidFill>
                </w14:textFill>
              </w:rPr>
            </w:pPr>
            <w:bookmarkStart w:id="93" w:name="_Toc420593292"/>
            <w:bookmarkStart w:id="94" w:name="_Toc492451847"/>
            <w:bookmarkStart w:id="95" w:name="_Toc11797"/>
            <w:r>
              <w:rPr>
                <w:rFonts w:hint="eastAsia" w:ascii="宋体" w:cs="宋体"/>
                <w:color w:val="000000" w:themeColor="text1"/>
                <w:sz w:val="24"/>
                <w:highlight w:val="none"/>
                <w14:textFill>
                  <w14:solidFill>
                    <w14:schemeClr w14:val="tx1"/>
                  </w14:solidFill>
                </w14:textFill>
              </w:rPr>
              <w:t>序号</w:t>
            </w:r>
            <w:bookmarkEnd w:id="93"/>
            <w:bookmarkEnd w:id="94"/>
            <w:bookmarkEnd w:id="95"/>
          </w:p>
        </w:tc>
        <w:tc>
          <w:tcPr>
            <w:tcW w:w="1466" w:type="dxa"/>
            <w:tcBorders>
              <w:top w:val="single" w:color="auto" w:sz="4" w:space="0"/>
              <w:left w:val="single" w:color="auto" w:sz="4" w:space="0"/>
              <w:bottom w:val="single" w:color="auto" w:sz="4" w:space="0"/>
              <w:right w:val="single" w:color="auto" w:sz="4" w:space="0"/>
            </w:tcBorders>
            <w:noWrap/>
            <w:vAlign w:val="center"/>
          </w:tcPr>
          <w:p w14:paraId="23EF2AE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货物名称</w:t>
            </w:r>
          </w:p>
        </w:tc>
        <w:tc>
          <w:tcPr>
            <w:tcW w:w="2559" w:type="dxa"/>
            <w:tcBorders>
              <w:top w:val="single" w:color="auto" w:sz="4" w:space="0"/>
              <w:left w:val="single" w:color="auto" w:sz="4" w:space="0"/>
              <w:bottom w:val="single" w:color="auto" w:sz="4" w:space="0"/>
              <w:right w:val="single" w:color="auto" w:sz="4" w:space="0"/>
            </w:tcBorders>
            <w:noWrap/>
            <w:vAlign w:val="center"/>
          </w:tcPr>
          <w:p w14:paraId="56C444ED">
            <w:pPr>
              <w:jc w:val="center"/>
              <w:rPr>
                <w:rFonts w:ascii="宋体" w:cs="宋体"/>
                <w:color w:val="000000" w:themeColor="text1"/>
                <w:sz w:val="24"/>
                <w:highlight w:val="none"/>
                <w14:textFill>
                  <w14:solidFill>
                    <w14:schemeClr w14:val="tx1"/>
                  </w14:solidFill>
                </w14:textFill>
              </w:rPr>
            </w:pPr>
            <w:bookmarkStart w:id="96" w:name="_Toc2647"/>
            <w:bookmarkStart w:id="97" w:name="_Toc420593294"/>
            <w:bookmarkStart w:id="98" w:name="_Toc492451849"/>
            <w:r>
              <w:rPr>
                <w:rFonts w:hint="eastAsia" w:ascii="宋体" w:cs="宋体"/>
                <w:color w:val="000000" w:themeColor="text1"/>
                <w:sz w:val="24"/>
                <w:highlight w:val="none"/>
                <w14:textFill>
                  <w14:solidFill>
                    <w14:schemeClr w14:val="tx1"/>
                  </w14:solidFill>
                </w14:textFill>
              </w:rPr>
              <w:t>竞争性磋商文件规定的技术服务条款</w:t>
            </w:r>
            <w:bookmarkEnd w:id="96"/>
            <w:bookmarkEnd w:id="97"/>
            <w:bookmarkEnd w:id="98"/>
          </w:p>
        </w:tc>
        <w:tc>
          <w:tcPr>
            <w:tcW w:w="2126" w:type="dxa"/>
            <w:tcBorders>
              <w:top w:val="single" w:color="auto" w:sz="4" w:space="0"/>
              <w:left w:val="single" w:color="auto" w:sz="4" w:space="0"/>
              <w:bottom w:val="single" w:color="auto" w:sz="4" w:space="0"/>
              <w:right w:val="single" w:color="auto" w:sz="4" w:space="0"/>
            </w:tcBorders>
            <w:noWrap/>
            <w:vAlign w:val="center"/>
          </w:tcPr>
          <w:p w14:paraId="106250D8">
            <w:pPr>
              <w:rPr>
                <w:rFonts w:ascii="宋体" w:cs="宋体"/>
                <w:color w:val="000000" w:themeColor="text1"/>
                <w:sz w:val="24"/>
                <w:highlight w:val="none"/>
                <w14:textFill>
                  <w14:solidFill>
                    <w14:schemeClr w14:val="tx1"/>
                  </w14:solidFill>
                </w14:textFill>
              </w:rPr>
            </w:pPr>
            <w:bookmarkStart w:id="99" w:name="_Toc420593295"/>
            <w:bookmarkStart w:id="100" w:name="_Toc31317"/>
            <w:bookmarkStart w:id="101" w:name="_Toc492451850"/>
            <w:r>
              <w:rPr>
                <w:rFonts w:hint="eastAsia" w:ascii="宋体" w:cs="宋体"/>
                <w:color w:val="000000" w:themeColor="text1"/>
                <w:sz w:val="24"/>
                <w:highlight w:val="none"/>
                <w14:textFill>
                  <w14:solidFill>
                    <w14:schemeClr w14:val="tx1"/>
                  </w14:solidFill>
                </w14:textFill>
              </w:rPr>
              <w:t>磋商响应文件响应的内容</w:t>
            </w:r>
            <w:bookmarkEnd w:id="99"/>
            <w:bookmarkEnd w:id="100"/>
            <w:bookmarkEnd w:id="101"/>
          </w:p>
        </w:tc>
        <w:tc>
          <w:tcPr>
            <w:tcW w:w="1363" w:type="dxa"/>
            <w:tcBorders>
              <w:top w:val="single" w:color="auto" w:sz="4" w:space="0"/>
              <w:left w:val="single" w:color="auto" w:sz="4" w:space="0"/>
              <w:bottom w:val="single" w:color="auto" w:sz="4" w:space="0"/>
              <w:right w:val="single" w:color="auto" w:sz="4" w:space="0"/>
            </w:tcBorders>
            <w:noWrap/>
            <w:vAlign w:val="center"/>
          </w:tcPr>
          <w:p w14:paraId="6FD5FA8C">
            <w:pPr>
              <w:jc w:val="center"/>
              <w:rPr>
                <w:rFonts w:ascii="宋体" w:cs="宋体"/>
                <w:color w:val="000000" w:themeColor="text1"/>
                <w:sz w:val="24"/>
                <w:highlight w:val="none"/>
                <w14:textFill>
                  <w14:solidFill>
                    <w14:schemeClr w14:val="tx1"/>
                  </w14:solidFill>
                </w14:textFill>
              </w:rPr>
            </w:pPr>
            <w:bookmarkStart w:id="102" w:name="_Toc3951"/>
            <w:bookmarkStart w:id="103" w:name="_Toc420593296"/>
            <w:bookmarkStart w:id="104" w:name="_Toc492451851"/>
            <w:r>
              <w:rPr>
                <w:rFonts w:hint="eastAsia" w:ascii="宋体" w:cs="宋体"/>
                <w:color w:val="000000" w:themeColor="text1"/>
                <w:sz w:val="24"/>
                <w:highlight w:val="none"/>
                <w14:textFill>
                  <w14:solidFill>
                    <w14:schemeClr w14:val="tx1"/>
                  </w14:solidFill>
                </w14:textFill>
              </w:rPr>
              <w:t>偏离</w:t>
            </w:r>
            <w:bookmarkEnd w:id="102"/>
            <w:bookmarkEnd w:id="103"/>
            <w:bookmarkEnd w:id="104"/>
          </w:p>
        </w:tc>
        <w:tc>
          <w:tcPr>
            <w:tcW w:w="940" w:type="dxa"/>
            <w:tcBorders>
              <w:top w:val="single" w:color="auto" w:sz="4" w:space="0"/>
              <w:left w:val="single" w:color="auto" w:sz="4" w:space="0"/>
              <w:bottom w:val="single" w:color="auto" w:sz="4" w:space="0"/>
              <w:right w:val="single" w:color="auto" w:sz="4" w:space="0"/>
            </w:tcBorders>
            <w:noWrap/>
            <w:vAlign w:val="center"/>
          </w:tcPr>
          <w:p w14:paraId="01FA4D18">
            <w:pPr>
              <w:jc w:val="center"/>
              <w:rPr>
                <w:rFonts w:ascii="宋体" w:cs="宋体"/>
                <w:color w:val="000000" w:themeColor="text1"/>
                <w:sz w:val="24"/>
                <w:highlight w:val="none"/>
                <w14:textFill>
                  <w14:solidFill>
                    <w14:schemeClr w14:val="tx1"/>
                  </w14:solidFill>
                </w14:textFill>
              </w:rPr>
            </w:pPr>
            <w:bookmarkStart w:id="105" w:name="_Toc420593297"/>
            <w:bookmarkStart w:id="106" w:name="_Toc7508"/>
            <w:bookmarkStart w:id="107" w:name="_Toc492451852"/>
            <w:r>
              <w:rPr>
                <w:rFonts w:hint="eastAsia" w:ascii="宋体" w:cs="宋体"/>
                <w:color w:val="000000" w:themeColor="text1"/>
                <w:sz w:val="24"/>
                <w:highlight w:val="none"/>
                <w14:textFill>
                  <w14:solidFill>
                    <w14:schemeClr w14:val="tx1"/>
                  </w14:solidFill>
                </w14:textFill>
              </w:rPr>
              <w:t>备注</w:t>
            </w:r>
            <w:bookmarkEnd w:id="105"/>
            <w:bookmarkEnd w:id="106"/>
            <w:bookmarkEnd w:id="107"/>
          </w:p>
        </w:tc>
      </w:tr>
      <w:tr w14:paraId="0190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1C94FEB">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F85E910">
            <w:pPr>
              <w:pStyle w:val="14"/>
              <w:ind w:left="5250"/>
              <w:jc w:val="center"/>
              <w:outlineLvl w:val="0"/>
              <w:rPr>
                <w:rFonts w:ascii="宋体" w:cs="宋体"/>
                <w:color w:val="000000" w:themeColor="text1"/>
                <w:szCs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4A8EAED">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3B5384E">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A95D038">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2E8A4644">
            <w:pPr>
              <w:jc w:val="center"/>
              <w:outlineLvl w:val="0"/>
              <w:rPr>
                <w:rFonts w:ascii="宋体" w:cs="宋体"/>
                <w:color w:val="000000" w:themeColor="text1"/>
                <w:sz w:val="24"/>
                <w:highlight w:val="none"/>
                <w14:textFill>
                  <w14:solidFill>
                    <w14:schemeClr w14:val="tx1"/>
                  </w14:solidFill>
                </w14:textFill>
              </w:rPr>
            </w:pPr>
          </w:p>
        </w:tc>
      </w:tr>
      <w:tr w14:paraId="4C10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741CD2E">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D593AAA">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1CB28C7">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D1B58CB">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5CB1F5D">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C57B426">
            <w:pPr>
              <w:jc w:val="center"/>
              <w:outlineLvl w:val="0"/>
              <w:rPr>
                <w:rFonts w:ascii="宋体" w:cs="宋体"/>
                <w:color w:val="000000" w:themeColor="text1"/>
                <w:sz w:val="24"/>
                <w:highlight w:val="none"/>
                <w14:textFill>
                  <w14:solidFill>
                    <w14:schemeClr w14:val="tx1"/>
                  </w14:solidFill>
                </w14:textFill>
              </w:rPr>
            </w:pPr>
          </w:p>
        </w:tc>
      </w:tr>
      <w:tr w14:paraId="3D55E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CE3EAD0">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75F1705">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53C02E5">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36FA83A6">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0F64C61">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AFB5F54">
            <w:pPr>
              <w:jc w:val="center"/>
              <w:outlineLvl w:val="0"/>
              <w:rPr>
                <w:rFonts w:ascii="宋体" w:cs="宋体"/>
                <w:color w:val="000000" w:themeColor="text1"/>
                <w:sz w:val="24"/>
                <w:highlight w:val="none"/>
                <w14:textFill>
                  <w14:solidFill>
                    <w14:schemeClr w14:val="tx1"/>
                  </w14:solidFill>
                </w14:textFill>
              </w:rPr>
            </w:pPr>
          </w:p>
        </w:tc>
      </w:tr>
      <w:tr w14:paraId="3A63B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C3F6273">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AE44079">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D5B9A92">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92EF3DB">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5B7167B">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D63295F">
            <w:pPr>
              <w:jc w:val="center"/>
              <w:outlineLvl w:val="0"/>
              <w:rPr>
                <w:rFonts w:ascii="宋体" w:cs="宋体"/>
                <w:color w:val="000000" w:themeColor="text1"/>
                <w:sz w:val="24"/>
                <w:highlight w:val="none"/>
                <w14:textFill>
                  <w14:solidFill>
                    <w14:schemeClr w14:val="tx1"/>
                  </w14:solidFill>
                </w14:textFill>
              </w:rPr>
            </w:pPr>
          </w:p>
        </w:tc>
      </w:tr>
      <w:tr w14:paraId="40EE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344AB7D">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FBF7CC">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92D5408">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84360D8">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DF3C224">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3136C98">
            <w:pPr>
              <w:jc w:val="center"/>
              <w:outlineLvl w:val="0"/>
              <w:rPr>
                <w:rFonts w:ascii="宋体" w:cs="宋体"/>
                <w:color w:val="000000" w:themeColor="text1"/>
                <w:sz w:val="24"/>
                <w:highlight w:val="none"/>
                <w14:textFill>
                  <w14:solidFill>
                    <w14:schemeClr w14:val="tx1"/>
                  </w14:solidFill>
                </w14:textFill>
              </w:rPr>
            </w:pPr>
          </w:p>
        </w:tc>
      </w:tr>
      <w:tr w14:paraId="5419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49B1290">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5879FF6">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91FAEFD">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1F1E6E4">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C139DC0">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61BFF79">
            <w:pPr>
              <w:jc w:val="center"/>
              <w:outlineLvl w:val="0"/>
              <w:rPr>
                <w:rFonts w:ascii="宋体" w:cs="宋体"/>
                <w:color w:val="000000" w:themeColor="text1"/>
                <w:sz w:val="24"/>
                <w:highlight w:val="none"/>
                <w14:textFill>
                  <w14:solidFill>
                    <w14:schemeClr w14:val="tx1"/>
                  </w14:solidFill>
                </w14:textFill>
              </w:rPr>
            </w:pPr>
          </w:p>
        </w:tc>
      </w:tr>
      <w:tr w14:paraId="009A9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B8712DB">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98FEFA8">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684FC2E">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615EE52">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3A459A56">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8C685A6">
            <w:pPr>
              <w:jc w:val="center"/>
              <w:outlineLvl w:val="0"/>
              <w:rPr>
                <w:rFonts w:ascii="宋体" w:cs="宋体"/>
                <w:color w:val="000000" w:themeColor="text1"/>
                <w:sz w:val="24"/>
                <w:highlight w:val="none"/>
                <w14:textFill>
                  <w14:solidFill>
                    <w14:schemeClr w14:val="tx1"/>
                  </w14:solidFill>
                </w14:textFill>
              </w:rPr>
            </w:pPr>
          </w:p>
        </w:tc>
      </w:tr>
    </w:tbl>
    <w:p w14:paraId="156E43CD">
      <w:pPr>
        <w:rPr>
          <w:rFonts w:ascii="宋体" w:cs="宋体"/>
          <w:color w:val="000000" w:themeColor="text1"/>
          <w:sz w:val="24"/>
          <w:highlight w:val="none"/>
          <w14:textFill>
            <w14:solidFill>
              <w14:schemeClr w14:val="tx1"/>
            </w14:solidFill>
          </w14:textFill>
        </w:rPr>
      </w:pPr>
    </w:p>
    <w:p w14:paraId="00D4C11A">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1E6AE949">
      <w:pPr>
        <w:spacing w:line="360" w:lineRule="auto"/>
        <w:ind w:firstLine="600" w:firstLineChars="25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应对照竞争性磋商文件技术要求，逐条说明所提供服务技术标准已对竞争性磋商文件的技术要求做出了实质性的响应，并申明与技术要求条文的偏差和例外。若供应商完全响应竞争性磋商文件技术要求，填写“完全响应”即可，无需填写竞争性磋商文件商务要求中的条文。</w:t>
      </w:r>
    </w:p>
    <w:p w14:paraId="577CBF62">
      <w:pPr>
        <w:spacing w:line="360" w:lineRule="auto"/>
        <w:ind w:firstLine="600" w:firstLineChars="25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2、表内如果填列不全，可另外附页说明并按规定签字和加盖公章。             </w:t>
      </w:r>
    </w:p>
    <w:p w14:paraId="2D47731F">
      <w:pPr>
        <w:spacing w:line="360" w:lineRule="auto"/>
        <w:ind w:firstLine="600" w:firstLineChars="250"/>
        <w:rPr>
          <w:rFonts w:ascii="宋体" w:cs="宋体"/>
          <w:color w:val="000000" w:themeColor="text1"/>
          <w:sz w:val="24"/>
          <w:highlight w:val="none"/>
          <w14:textFill>
            <w14:solidFill>
              <w14:schemeClr w14:val="tx1"/>
            </w14:solidFill>
          </w14:textFill>
        </w:rPr>
      </w:pPr>
      <w:bookmarkStart w:id="108" w:name="_Toc22204"/>
      <w:bookmarkStart w:id="109" w:name="_Toc492451853"/>
      <w:bookmarkStart w:id="110" w:name="_Toc420593298"/>
      <w:r>
        <w:rPr>
          <w:rFonts w:hint="eastAsia" w:ascii="宋体" w:cs="宋体"/>
          <w:color w:val="000000" w:themeColor="text1"/>
          <w:sz w:val="24"/>
          <w:highlight w:val="none"/>
          <w14:textFill>
            <w14:solidFill>
              <w14:schemeClr w14:val="tx1"/>
            </w14:solidFill>
          </w14:textFill>
        </w:rPr>
        <w:t>3、此表可根据需要自行拉长加宽（或格式自拟）。</w:t>
      </w:r>
      <w:bookmarkEnd w:id="108"/>
      <w:bookmarkEnd w:id="109"/>
      <w:bookmarkEnd w:id="110"/>
    </w:p>
    <w:p w14:paraId="2BFC897A">
      <w:pPr>
        <w:rPr>
          <w:rFonts w:ascii="宋体" w:cs="宋体"/>
          <w:color w:val="000000" w:themeColor="text1"/>
          <w:highlight w:val="none"/>
          <w14:textFill>
            <w14:solidFill>
              <w14:schemeClr w14:val="tx1"/>
            </w14:solidFill>
          </w14:textFill>
        </w:rPr>
      </w:pPr>
    </w:p>
    <w:p w14:paraId="4059C7E8">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458AFCEB">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0D8A4CC3">
      <w:pPr>
        <w:autoSpaceDE w:val="0"/>
        <w:autoSpaceDN w:val="0"/>
        <w:adjustRightInd w:val="0"/>
        <w:spacing w:line="360" w:lineRule="auto"/>
        <w:ind w:firstLine="480"/>
        <w:jc w:val="center"/>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326E0732">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10E6944F">
      <w:pPr>
        <w:autoSpaceDE w:val="0"/>
        <w:autoSpaceDN w:val="0"/>
        <w:adjustRightInd w:val="0"/>
        <w:ind w:right="480" w:firstLine="4920" w:firstLineChars="20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34B60C2D">
      <w:pPr>
        <w:tabs>
          <w:tab w:val="left" w:pos="1365"/>
        </w:tabs>
        <w:spacing w:line="360" w:lineRule="auto"/>
        <w:jc w:val="center"/>
        <w:rPr>
          <w:rFonts w:ascii="宋体" w:cs="宋体"/>
          <w:color w:val="000000" w:themeColor="text1"/>
          <w:sz w:val="24"/>
          <w:highlight w:val="none"/>
          <w14:textFill>
            <w14:solidFill>
              <w14:schemeClr w14:val="tx1"/>
            </w14:solidFill>
          </w14:textFill>
        </w:rPr>
      </w:pPr>
    </w:p>
    <w:p w14:paraId="568C45F3">
      <w:pPr>
        <w:tabs>
          <w:tab w:val="left" w:pos="1365"/>
        </w:tabs>
        <w:spacing w:line="360" w:lineRule="auto"/>
        <w:jc w:val="center"/>
        <w:rPr>
          <w:rFonts w:ascii="宋体" w:cs="宋体"/>
          <w:color w:val="000000" w:themeColor="text1"/>
          <w:sz w:val="24"/>
          <w:highlight w:val="none"/>
          <w14:textFill>
            <w14:solidFill>
              <w14:schemeClr w14:val="tx1"/>
            </w14:solidFill>
          </w14:textFill>
        </w:rPr>
      </w:pPr>
    </w:p>
    <w:p w14:paraId="3BEF44AB">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1AFF0346">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8、供应商资格声明</w:t>
      </w:r>
    </w:p>
    <w:p w14:paraId="4E6C7719">
      <w:pPr>
        <w:autoSpaceDE w:val="0"/>
        <w:autoSpaceDN w:val="0"/>
        <w:adjustRightInd w:val="0"/>
        <w:spacing w:line="36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致：（采购人、采购代理机构）</w:t>
      </w:r>
    </w:p>
    <w:p w14:paraId="1C2160AC">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w:t>
      </w:r>
      <w:r>
        <w:rPr>
          <w:rFonts w:hint="eastAsia" w:ascii="宋体" w:cs="宋体"/>
          <w:color w:val="000000" w:themeColor="text1"/>
          <w:sz w:val="24"/>
          <w:highlight w:val="none"/>
          <w:lang w:val="zh-CN"/>
          <w14:textFill>
            <w14:solidFill>
              <w14:schemeClr w14:val="tx1"/>
            </w14:solidFill>
          </w14:textFill>
        </w:rPr>
        <w:t>按照《中华人民共和国政府采购法》第</w:t>
      </w:r>
      <w:r>
        <w:rPr>
          <w:rFonts w:hint="eastAsia" w:ascii="宋体" w:cs="宋体"/>
          <w:color w:val="000000" w:themeColor="text1"/>
          <w:sz w:val="24"/>
          <w:highlight w:val="none"/>
          <w14:textFill>
            <w14:solidFill>
              <w14:schemeClr w14:val="tx1"/>
            </w14:solidFill>
          </w14:textFill>
        </w:rPr>
        <w:t>二十二</w:t>
      </w:r>
      <w:r>
        <w:rPr>
          <w:rFonts w:hint="eastAsia" w:ascii="宋体" w:cs="宋体"/>
          <w:color w:val="000000" w:themeColor="text1"/>
          <w:sz w:val="24"/>
          <w:highlight w:val="none"/>
          <w:lang w:val="zh-CN"/>
          <w14:textFill>
            <w14:solidFill>
              <w14:schemeClr w14:val="tx1"/>
            </w14:solidFill>
          </w14:textFill>
        </w:rPr>
        <w:t>条和你公司发布的《</w:t>
      </w:r>
      <w:r>
        <w:rPr>
          <w:rFonts w:hint="eastAsia" w:ascii="宋体" w:cs="宋体"/>
          <w:color w:val="000000" w:themeColor="text1"/>
          <w:sz w:val="24"/>
          <w:highlight w:val="none"/>
          <w:u w:val="single"/>
          <w:lang w:val="zh-CN"/>
          <w14:textFill>
            <w14:solidFill>
              <w14:schemeClr w14:val="tx1"/>
            </w14:solidFill>
          </w14:textFill>
        </w:rPr>
        <w:t xml:space="preserve">项目名称、项目编号 </w:t>
      </w:r>
      <w:r>
        <w:rPr>
          <w:rFonts w:hint="eastAsia" w:ascii="宋体" w:cs="宋体"/>
          <w:color w:val="000000" w:themeColor="text1"/>
          <w:sz w:val="24"/>
          <w:highlight w:val="none"/>
          <w:lang w:val="zh-CN"/>
          <w14:textFill>
            <w14:solidFill>
              <w14:schemeClr w14:val="tx1"/>
            </w14:solidFill>
          </w14:textFill>
        </w:rPr>
        <w:t>竞争性磋商文件》的规定，我公司郑重声明如下：</w:t>
      </w:r>
    </w:p>
    <w:p w14:paraId="4A293F3E">
      <w:pPr>
        <w:autoSpaceDE w:val="0"/>
        <w:autoSpaceDN w:val="0"/>
        <w:adjustRightInd w:val="0"/>
        <w:spacing w:line="360" w:lineRule="auto"/>
        <w:ind w:firstLine="48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zh-CN"/>
          <w14:textFill>
            <w14:solidFill>
              <w14:schemeClr w14:val="tx1"/>
            </w14:solidFill>
          </w14:textFill>
        </w:rPr>
        <w:t>、我公司是按照中华人民共和国法律在工商管理机关登记注册的企业法人，注册地点为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，公司全称为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，法定代表人为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，具有独立承担民事责任的能力。</w:t>
      </w:r>
    </w:p>
    <w:p w14:paraId="219B3E80">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zh-CN"/>
          <w14:textFill>
            <w14:solidFill>
              <w14:schemeClr w14:val="tx1"/>
            </w14:solidFill>
          </w14:textFill>
        </w:rPr>
        <w:t>、我公司具有良好的商业信誉和健全的财务会计制度。</w:t>
      </w:r>
    </w:p>
    <w:p w14:paraId="5D70E450">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w:t>
      </w:r>
      <w:r>
        <w:rPr>
          <w:rFonts w:hint="eastAsia" w:ascii="宋体" w:cs="宋体"/>
          <w:color w:val="000000" w:themeColor="text1"/>
          <w:sz w:val="24"/>
          <w:highlight w:val="none"/>
          <w:lang w:val="zh-CN"/>
          <w14:textFill>
            <w14:solidFill>
              <w14:schemeClr w14:val="tx1"/>
            </w14:solidFill>
          </w14:textFill>
        </w:rPr>
        <w:t>、我公司具有履行本项目采购合同所必需的设备和专业技术能力。</w:t>
      </w:r>
    </w:p>
    <w:p w14:paraId="1F83E7BE">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r>
        <w:rPr>
          <w:rFonts w:hint="eastAsia" w:ascii="宋体" w:cs="宋体"/>
          <w:color w:val="000000" w:themeColor="text1"/>
          <w:sz w:val="24"/>
          <w:highlight w:val="none"/>
          <w:lang w:val="zh-CN"/>
          <w14:textFill>
            <w14:solidFill>
              <w14:schemeClr w14:val="tx1"/>
            </w14:solidFill>
          </w14:textFill>
        </w:rPr>
        <w:t>、我公司具有依法缴纳税收和社会保障资金的良好记录。</w:t>
      </w:r>
    </w:p>
    <w:p w14:paraId="12CFAA86">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w:t>
      </w:r>
      <w:r>
        <w:rPr>
          <w:rFonts w:hint="eastAsia" w:ascii="宋体" w:cs="宋体"/>
          <w:color w:val="000000" w:themeColor="text1"/>
          <w:sz w:val="24"/>
          <w:highlight w:val="none"/>
          <w:lang w:val="zh-CN"/>
          <w14:textFill>
            <w14:solidFill>
              <w14:schemeClr w14:val="tx1"/>
            </w14:solidFill>
          </w14:textFill>
        </w:rPr>
        <w:t>、我公司在参与本次政府采购活动之前三年内，在经营活动中无重大违法记录。</w:t>
      </w:r>
    </w:p>
    <w:p w14:paraId="0FCAAA99">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r>
        <w:rPr>
          <w:rFonts w:hint="eastAsia" w:ascii="宋体" w:cs="宋体"/>
          <w:color w:val="000000" w:themeColor="text1"/>
          <w:sz w:val="24"/>
          <w:highlight w:val="none"/>
          <w:lang w:val="zh-CN"/>
          <w14:textFill>
            <w14:solidFill>
              <w14:schemeClr w14:val="tx1"/>
            </w14:solidFill>
          </w14:textFill>
        </w:rPr>
        <w:t>、我公司在参与本次政府采购活动时未受到任何地方政府采购部门作出的暂停参加政府采购活动的处罚。</w:t>
      </w:r>
    </w:p>
    <w:p w14:paraId="4915B68A">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二、我公司保证上述声明的事项都是真实的，如有虚假，我公司承担相应的法律责任，并承担因此给你公司以及本项目采购人所造成的损失。</w:t>
      </w:r>
    </w:p>
    <w:p w14:paraId="3683B7D7">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w:t>
      </w:r>
      <w:r>
        <w:rPr>
          <w:rFonts w:hint="eastAsia" w:ascii="宋体" w:cs="宋体"/>
          <w:color w:val="000000" w:themeColor="text1"/>
          <w:sz w:val="24"/>
          <w:highlight w:val="none"/>
          <w:lang w:val="zh-CN"/>
          <w14:textFill>
            <w14:solidFill>
              <w14:schemeClr w14:val="tx1"/>
            </w14:solidFill>
          </w14:textFill>
        </w:rPr>
        <w:t>我公司已经按照你公司</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文件的要求提交了所要求提交的能够证明上述声明事项真实性的全部文件材料，并保证随时按照你公司的要求提供能够证明上述声明事项真实性的任何有效文件。</w:t>
      </w:r>
    </w:p>
    <w:p w14:paraId="08F10F37">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3F190070">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64C78E78">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933D018">
      <w:pPr>
        <w:autoSpaceDE w:val="0"/>
        <w:autoSpaceDN w:val="0"/>
        <w:adjustRightInd w:val="0"/>
        <w:spacing w:line="360" w:lineRule="auto"/>
        <w:ind w:right="480" w:firstLine="6240" w:firstLineChars="26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15D88036">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089254EA">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42E8ADE5">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3F9AD5E">
      <w:pPr>
        <w:autoSpaceDE w:val="0"/>
        <w:autoSpaceDN w:val="0"/>
        <w:adjustRightInd w:val="0"/>
        <w:ind w:right="480" w:firstLine="5280" w:firstLineChars="2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01EE3B02">
      <w:pPr>
        <w:tabs>
          <w:tab w:val="left" w:pos="0"/>
        </w:tabs>
        <w:spacing w:line="360" w:lineRule="auto"/>
        <w:ind w:left="315" w:leftChars="150" w:firstLine="120" w:firstLineChars="50"/>
        <w:jc w:val="right"/>
        <w:rPr>
          <w:rFonts w:ascii="宋体" w:cs="宋体"/>
          <w:color w:val="000000" w:themeColor="text1"/>
          <w:sz w:val="24"/>
          <w:highlight w:val="none"/>
          <w:lang w:val="zh-CN"/>
          <w14:textFill>
            <w14:solidFill>
              <w14:schemeClr w14:val="tx1"/>
            </w14:solidFill>
          </w14:textFill>
        </w:rPr>
      </w:pPr>
    </w:p>
    <w:p w14:paraId="7469ED21">
      <w:pPr>
        <w:tabs>
          <w:tab w:val="left" w:pos="0"/>
        </w:tabs>
        <w:spacing w:line="360" w:lineRule="auto"/>
        <w:ind w:left="315" w:leftChars="150" w:firstLine="120" w:firstLineChars="50"/>
        <w:jc w:val="left"/>
        <w:rPr>
          <w:rFonts w:ascii="宋体" w:cs="宋体"/>
          <w:color w:val="000000" w:themeColor="text1"/>
          <w:sz w:val="24"/>
          <w:highlight w:val="none"/>
          <w:lang w:val="zh-CN"/>
          <w14:textFill>
            <w14:solidFill>
              <w14:schemeClr w14:val="tx1"/>
            </w14:solidFill>
          </w14:textFill>
        </w:rPr>
      </w:pPr>
    </w:p>
    <w:p w14:paraId="060B2F7C">
      <w:pPr>
        <w:tabs>
          <w:tab w:val="left" w:pos="0"/>
        </w:tabs>
        <w:spacing w:line="360" w:lineRule="auto"/>
        <w:ind w:left="315" w:leftChars="150" w:firstLine="120" w:firstLineChars="50"/>
        <w:jc w:val="left"/>
        <w:rPr>
          <w:rFonts w:ascii="宋体" w:cs="宋体"/>
          <w:color w:val="000000" w:themeColor="text1"/>
          <w:sz w:val="24"/>
          <w:highlight w:val="none"/>
          <w:lang w:val="zh-CN"/>
          <w14:textFill>
            <w14:solidFill>
              <w14:schemeClr w14:val="tx1"/>
            </w14:solidFill>
          </w14:textFill>
        </w:rPr>
      </w:pPr>
    </w:p>
    <w:p w14:paraId="1E67762F">
      <w:pPr>
        <w:tabs>
          <w:tab w:val="left" w:pos="0"/>
        </w:tabs>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r>
        <w:rPr>
          <w:rFonts w:hint="eastAsia" w:ascii="宋体" w:cs="宋体"/>
          <w:b/>
          <w:color w:val="000000" w:themeColor="text1"/>
          <w:sz w:val="32"/>
          <w:szCs w:val="32"/>
          <w:highlight w:val="none"/>
          <w14:textFill>
            <w14:solidFill>
              <w14:schemeClr w14:val="tx1"/>
            </w14:solidFill>
          </w14:textFill>
        </w:rPr>
        <w:t>9、供应商基本情况</w:t>
      </w:r>
    </w:p>
    <w:p w14:paraId="69263967">
      <w:pPr>
        <w:widowControl/>
        <w:spacing w:line="360" w:lineRule="auto"/>
        <w:jc w:val="left"/>
        <w:rPr>
          <w:rFonts w:ascii="宋体" w:cs="宋体"/>
          <w:b/>
          <w:bCs/>
          <w:color w:val="000000" w:themeColor="text1"/>
          <w:kern w:val="0"/>
          <w:sz w:val="24"/>
          <w:highlight w:val="none"/>
          <w14:textFill>
            <w14:solidFill>
              <w14:schemeClr w14:val="tx1"/>
            </w14:solidFill>
          </w14:textFill>
        </w:rPr>
      </w:pPr>
      <w:r>
        <w:rPr>
          <w:rFonts w:hint="eastAsia" w:ascii="宋体" w:cs="宋体"/>
          <w:b/>
          <w:bCs/>
          <w:color w:val="000000" w:themeColor="text1"/>
          <w:kern w:val="0"/>
          <w:sz w:val="24"/>
          <w:highlight w:val="none"/>
          <w14:textFill>
            <w14:solidFill>
              <w14:schemeClr w14:val="tx1"/>
            </w14:solidFill>
          </w14:textFill>
        </w:rPr>
        <w:t>单位名称：(公章）</w:t>
      </w:r>
    </w:p>
    <w:tbl>
      <w:tblPr>
        <w:tblStyle w:val="26"/>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53"/>
        <w:gridCol w:w="1313"/>
        <w:gridCol w:w="2056"/>
        <w:gridCol w:w="1236"/>
      </w:tblGrid>
      <w:tr w14:paraId="1E69DE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9804A1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供应商全称</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01158BB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5BBDD2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F86200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w:t>
            </w:r>
          </w:p>
        </w:tc>
        <w:tc>
          <w:tcPr>
            <w:tcW w:w="2153" w:type="dxa"/>
            <w:tcBorders>
              <w:top w:val="single" w:color="auto" w:sz="6" w:space="0"/>
              <w:left w:val="single" w:color="auto" w:sz="6" w:space="0"/>
              <w:bottom w:val="single" w:color="auto" w:sz="6" w:space="0"/>
              <w:right w:val="single" w:color="auto" w:sz="6" w:space="0"/>
            </w:tcBorders>
            <w:noWrap/>
            <w:vAlign w:val="center"/>
          </w:tcPr>
          <w:p w14:paraId="41873E5F">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250259B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成立日期</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0A6F0457">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073E04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16A0AA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企业地址</w:t>
            </w:r>
          </w:p>
        </w:tc>
        <w:tc>
          <w:tcPr>
            <w:tcW w:w="2153" w:type="dxa"/>
            <w:tcBorders>
              <w:top w:val="single" w:color="auto" w:sz="6" w:space="0"/>
              <w:left w:val="single" w:color="auto" w:sz="6" w:space="0"/>
              <w:bottom w:val="single" w:color="auto" w:sz="6" w:space="0"/>
              <w:right w:val="single" w:color="auto" w:sz="6" w:space="0"/>
            </w:tcBorders>
            <w:noWrap/>
            <w:vAlign w:val="center"/>
          </w:tcPr>
          <w:p w14:paraId="13118ECC">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269848E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注册资本</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5FDB81B5">
            <w:pPr>
              <w:autoSpaceDE w:val="0"/>
              <w:autoSpaceDN w:val="0"/>
              <w:adjustRightInd w:val="0"/>
              <w:spacing w:line="360" w:lineRule="auto"/>
              <w:ind w:firstLine="21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12CD25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249924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经营范围</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ABEFCFB">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3DDF5F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54A5D362">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职工人数</w:t>
            </w:r>
          </w:p>
        </w:tc>
        <w:tc>
          <w:tcPr>
            <w:tcW w:w="2153" w:type="dxa"/>
            <w:tcBorders>
              <w:top w:val="single" w:color="auto" w:sz="6" w:space="0"/>
              <w:left w:val="single" w:color="auto" w:sz="6" w:space="0"/>
              <w:bottom w:val="single" w:color="auto" w:sz="6" w:space="0"/>
              <w:right w:val="single" w:color="auto" w:sz="6" w:space="0"/>
            </w:tcBorders>
            <w:noWrap/>
            <w:vAlign w:val="center"/>
          </w:tcPr>
          <w:p w14:paraId="5C5A3A49">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c>
          <w:tcPr>
            <w:tcW w:w="3369" w:type="dxa"/>
            <w:gridSpan w:val="2"/>
            <w:tcBorders>
              <w:top w:val="single" w:color="auto" w:sz="6" w:space="0"/>
              <w:left w:val="single" w:color="auto" w:sz="6" w:space="0"/>
              <w:bottom w:val="single" w:color="auto" w:sz="6" w:space="0"/>
              <w:right w:val="single" w:color="auto" w:sz="6" w:space="0"/>
            </w:tcBorders>
            <w:noWrap/>
            <w:vAlign w:val="center"/>
          </w:tcPr>
          <w:p w14:paraId="5608D48B">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noWrap/>
            <w:vAlign w:val="center"/>
          </w:tcPr>
          <w:p w14:paraId="03025D0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01E9E0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526389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资产总计</w:t>
            </w:r>
          </w:p>
        </w:tc>
        <w:tc>
          <w:tcPr>
            <w:tcW w:w="2153" w:type="dxa"/>
            <w:tcBorders>
              <w:top w:val="single" w:color="auto" w:sz="6" w:space="0"/>
              <w:left w:val="single" w:color="auto" w:sz="6" w:space="0"/>
              <w:bottom w:val="single" w:color="auto" w:sz="6" w:space="0"/>
              <w:right w:val="single" w:color="auto" w:sz="6" w:space="0"/>
            </w:tcBorders>
            <w:noWrap/>
            <w:vAlign w:val="center"/>
          </w:tcPr>
          <w:p w14:paraId="3FA2A6D7">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10BE714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净资产</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2A2157A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09C033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705F46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股东权益</w:t>
            </w:r>
          </w:p>
        </w:tc>
        <w:tc>
          <w:tcPr>
            <w:tcW w:w="2153" w:type="dxa"/>
            <w:tcBorders>
              <w:top w:val="single" w:color="auto" w:sz="6" w:space="0"/>
              <w:left w:val="single" w:color="auto" w:sz="6" w:space="0"/>
              <w:bottom w:val="single" w:color="auto" w:sz="6" w:space="0"/>
              <w:right w:val="single" w:color="auto" w:sz="6" w:space="0"/>
            </w:tcBorders>
            <w:noWrap/>
            <w:vAlign w:val="center"/>
          </w:tcPr>
          <w:p w14:paraId="0900E23B">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2DBF9F90">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销售收入</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54F9E03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171390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2DDC10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实现利润</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7B794C4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224E98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1C5BD6C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单位优势及特长</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3F30367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28574F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89A8C0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5657293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（包括财政、工商、税务、物价、技监部门稽查情况和结果）</w:t>
            </w:r>
          </w:p>
        </w:tc>
      </w:tr>
      <w:tr w14:paraId="004FAA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91E5F9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7FDFC85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（包括解决方式和结果）</w:t>
            </w:r>
          </w:p>
        </w:tc>
      </w:tr>
      <w:tr w14:paraId="610AB61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2DEE79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C76939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6ED0996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7F8E0E4B">
            <w:pPr>
              <w:autoSpaceDE w:val="0"/>
              <w:autoSpaceDN w:val="0"/>
              <w:adjustRightInd w:val="0"/>
              <w:spacing w:line="360" w:lineRule="auto"/>
              <w:jc w:val="center"/>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备注</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3FFB75BD">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bl>
    <w:p w14:paraId="04A3A777">
      <w:pPr>
        <w:autoSpaceDE w:val="0"/>
        <w:autoSpaceDN w:val="0"/>
        <w:adjustRightInd w:val="0"/>
        <w:spacing w:line="400" w:lineRule="exact"/>
        <w:rPr>
          <w:rFonts w:ascii="宋体" w:cs="宋体"/>
          <w:b/>
          <w:bCs/>
          <w:color w:val="000000" w:themeColor="text1"/>
          <w:szCs w:val="21"/>
          <w:highlight w:val="none"/>
          <w:lang w:val="zh-CN"/>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附：本表后须附</w:t>
      </w:r>
      <w:r>
        <w:rPr>
          <w:rFonts w:hint="eastAsia" w:ascii="宋体" w:cs="宋体"/>
          <w:b/>
          <w:bCs/>
          <w:color w:val="000000" w:themeColor="text1"/>
          <w:szCs w:val="21"/>
          <w:highlight w:val="none"/>
          <w:lang w:val="zh-CN"/>
          <w14:textFill>
            <w14:solidFill>
              <w14:schemeClr w14:val="tx1"/>
            </w14:solidFill>
          </w14:textFill>
        </w:rPr>
        <w:t>企业营业执照副本、税务登记证副本、组织机构代码证副本</w:t>
      </w:r>
      <w:r>
        <w:rPr>
          <w:rFonts w:hint="eastAsia" w:ascii="宋体" w:cs="宋体"/>
          <w:b/>
          <w:bCs/>
          <w:color w:val="000000" w:themeColor="text1"/>
          <w:szCs w:val="21"/>
          <w:highlight w:val="none"/>
          <w14:textFill>
            <w14:solidFill>
              <w14:schemeClr w14:val="tx1"/>
            </w14:solidFill>
          </w14:textFill>
        </w:rPr>
        <w:t>（</w:t>
      </w:r>
      <w:r>
        <w:rPr>
          <w:rFonts w:hint="eastAsia" w:ascii="宋体" w:cs="宋体"/>
          <w:b/>
          <w:bCs/>
          <w:color w:val="000000" w:themeColor="text1"/>
          <w:szCs w:val="21"/>
          <w:highlight w:val="none"/>
          <w:lang w:val="zh-CN"/>
          <w14:textFill>
            <w14:solidFill>
              <w14:schemeClr w14:val="tx1"/>
            </w14:solidFill>
          </w14:textFill>
        </w:rPr>
        <w:t>五证合一的除外）、财务状况良好证明材料等资料；</w:t>
      </w:r>
    </w:p>
    <w:p w14:paraId="6A030A54">
      <w:p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8F72838">
      <w:pPr>
        <w:jc w:val="center"/>
        <w:rPr>
          <w:rFonts w:ascii="宋体" w:cs="宋体"/>
          <w:b/>
          <w:bCs/>
          <w:color w:val="000000" w:themeColor="text1"/>
          <w:sz w:val="32"/>
          <w:szCs w:val="32"/>
          <w:highlight w:val="none"/>
          <w14:textFill>
            <w14:solidFill>
              <w14:schemeClr w14:val="tx1"/>
            </w14:solidFill>
          </w14:textFill>
        </w:rPr>
      </w:pPr>
      <w:r>
        <w:rPr>
          <w:rFonts w:hint="eastAsia" w:ascii="宋体" w:cs="宋体"/>
          <w:b/>
          <w:bCs/>
          <w:color w:val="000000" w:themeColor="text1"/>
          <w:sz w:val="32"/>
          <w:szCs w:val="32"/>
          <w:highlight w:val="none"/>
          <w14:textFill>
            <w14:solidFill>
              <w14:schemeClr w14:val="tx1"/>
            </w14:solidFill>
          </w14:textFill>
        </w:rPr>
        <w:t>财务状况承诺</w:t>
      </w:r>
    </w:p>
    <w:p w14:paraId="07574710">
      <w:pPr>
        <w:rPr>
          <w:rFonts w:ascii="宋体" w:cs="宋体"/>
          <w:b/>
          <w:bCs/>
          <w:color w:val="000000" w:themeColor="text1"/>
          <w:sz w:val="28"/>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附件：</w:t>
      </w:r>
    </w:p>
    <w:p w14:paraId="7600BC15">
      <w:pPr>
        <w:snapToGrid w:val="0"/>
        <w:spacing w:line="480" w:lineRule="auto"/>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8"/>
          <w:highlight w:val="none"/>
          <w14:textFill>
            <w14:solidFill>
              <w14:schemeClr w14:val="tx1"/>
            </w14:solidFill>
          </w14:textFill>
        </w:rPr>
        <w:t>资格条件承诺函</w:t>
      </w:r>
    </w:p>
    <w:p w14:paraId="56F422DA">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p>
    <w:p w14:paraId="62EBDD31">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致:(采购人、采购代理机构)</w:t>
      </w:r>
    </w:p>
    <w:p w14:paraId="006B53FA">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我单位(公司)参与(采购项目名称 项目编号 )采购项目的政府采购活动，现承诺如下:</w:t>
      </w:r>
    </w:p>
    <w:p w14:paraId="5B6E21E2">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1.具有良好的商业信誉和健全的财务会计制度;</w:t>
      </w:r>
    </w:p>
    <w:p w14:paraId="2AC89552">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2.具有依法缴纳税收的良好记录;</w:t>
      </w:r>
    </w:p>
    <w:p w14:paraId="393F9FBF">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3.具有依法缴纳社会保障金的良好记录</w:t>
      </w:r>
    </w:p>
    <w:p w14:paraId="0BF6DBBD">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我方在采购项目评审 (评标) 环节结束后，随时接受采购人、采购代理机构的检查验证，配合提供相关证明材料，证明符合《中华人民共和国政府采购法》规定的供应商基本资格条件。</w:t>
      </w:r>
    </w:p>
    <w:p w14:paraId="30DFE785">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我单位 (公司)对上述承诺的真实性负责。如有虚假将依法承担相应责任。</w:t>
      </w:r>
    </w:p>
    <w:p w14:paraId="1B088C67">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特此承诺。</w:t>
      </w:r>
    </w:p>
    <w:p w14:paraId="4C60DF2A">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p>
    <w:p w14:paraId="38DE41E8">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盖章:</w:t>
      </w:r>
    </w:p>
    <w:p w14:paraId="4048BAB2">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签字:</w:t>
      </w:r>
    </w:p>
    <w:p w14:paraId="6B7E6589">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日期:</w:t>
      </w:r>
    </w:p>
    <w:p w14:paraId="3500E843">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备注：以下情形不适用信用承诺</w:t>
      </w:r>
    </w:p>
    <w:p w14:paraId="593B1942">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1.被列入政府采购不良行为记录名单的，被禁止参加政府采购活动且尚在处罚有效期内的；</w:t>
      </w:r>
    </w:p>
    <w:p w14:paraId="0F747F28">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2.被有关部门列入失信被执行人、联合惩戒对象、严重违法失信行为记录等情形的；</w:t>
      </w:r>
    </w:p>
    <w:p w14:paraId="61846CF0">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3.其他法律法规规定的不适用于资格条件信用承诺的情形。</w:t>
      </w:r>
    </w:p>
    <w:p w14:paraId="67085397">
      <w:pPr>
        <w:pStyle w:val="25"/>
        <w:rPr>
          <w:rFonts w:ascii="宋体" w:eastAsia="宋体" w:cs="宋体"/>
          <w:color w:val="000000" w:themeColor="text1"/>
          <w:highlight w:val="none"/>
          <w14:textFill>
            <w14:solidFill>
              <w14:schemeClr w14:val="tx1"/>
            </w14:solidFill>
          </w14:textFill>
        </w:rPr>
      </w:pPr>
    </w:p>
    <w:p w14:paraId="3BCAA757">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10、供应商类似项目业绩一览表</w:t>
      </w:r>
    </w:p>
    <w:p w14:paraId="1155FBE7">
      <w:pPr>
        <w:pStyle w:val="9"/>
        <w:rPr>
          <w:rFonts w:ascii="宋体" w:eastAsia="宋体" w:cs="宋体"/>
          <w:color w:val="000000" w:themeColor="text1"/>
          <w:highlight w:val="none"/>
          <w14:textFill>
            <w14:solidFill>
              <w14:schemeClr w14:val="tx1"/>
            </w14:solidFill>
          </w14:textFill>
        </w:rPr>
      </w:pPr>
    </w:p>
    <w:tbl>
      <w:tblPr>
        <w:tblStyle w:val="2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13"/>
        <w:gridCol w:w="1630"/>
        <w:gridCol w:w="1564"/>
        <w:gridCol w:w="1339"/>
        <w:gridCol w:w="1564"/>
        <w:gridCol w:w="1009"/>
      </w:tblGrid>
      <w:tr w14:paraId="7BE9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96" w:type="dxa"/>
          </w:tcPr>
          <w:p w14:paraId="2463441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序号</w:t>
            </w:r>
          </w:p>
        </w:tc>
        <w:tc>
          <w:tcPr>
            <w:tcW w:w="1613" w:type="dxa"/>
          </w:tcPr>
          <w:p w14:paraId="4E266BE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项目名称</w:t>
            </w:r>
          </w:p>
        </w:tc>
        <w:tc>
          <w:tcPr>
            <w:tcW w:w="1630" w:type="dxa"/>
          </w:tcPr>
          <w:p w14:paraId="7E2CF61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采购人名称</w:t>
            </w:r>
          </w:p>
        </w:tc>
        <w:tc>
          <w:tcPr>
            <w:tcW w:w="1564" w:type="dxa"/>
          </w:tcPr>
          <w:p w14:paraId="6949C2C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采购内容</w:t>
            </w:r>
          </w:p>
        </w:tc>
        <w:tc>
          <w:tcPr>
            <w:tcW w:w="1339" w:type="dxa"/>
          </w:tcPr>
          <w:p w14:paraId="084433D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项目金额</w:t>
            </w:r>
          </w:p>
        </w:tc>
        <w:tc>
          <w:tcPr>
            <w:tcW w:w="1564" w:type="dxa"/>
          </w:tcPr>
          <w:p w14:paraId="6849203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完成时间</w:t>
            </w:r>
          </w:p>
        </w:tc>
        <w:tc>
          <w:tcPr>
            <w:tcW w:w="1009" w:type="dxa"/>
          </w:tcPr>
          <w:p w14:paraId="0C88108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备注</w:t>
            </w:r>
          </w:p>
        </w:tc>
      </w:tr>
      <w:tr w14:paraId="5B12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8FB0803">
            <w:pPr>
              <w:pStyle w:val="9"/>
              <w:rPr>
                <w:rFonts w:ascii="宋体" w:eastAsia="宋体" w:cs="宋体"/>
                <w:color w:val="000000" w:themeColor="text1"/>
                <w:highlight w:val="none"/>
                <w14:textFill>
                  <w14:solidFill>
                    <w14:schemeClr w14:val="tx1"/>
                  </w14:solidFill>
                </w14:textFill>
              </w:rPr>
            </w:pPr>
          </w:p>
        </w:tc>
        <w:tc>
          <w:tcPr>
            <w:tcW w:w="1613" w:type="dxa"/>
          </w:tcPr>
          <w:p w14:paraId="037491CB">
            <w:pPr>
              <w:pStyle w:val="9"/>
              <w:rPr>
                <w:rFonts w:ascii="宋体" w:eastAsia="宋体" w:cs="宋体"/>
                <w:color w:val="000000" w:themeColor="text1"/>
                <w:highlight w:val="none"/>
                <w14:textFill>
                  <w14:solidFill>
                    <w14:schemeClr w14:val="tx1"/>
                  </w14:solidFill>
                </w14:textFill>
              </w:rPr>
            </w:pPr>
          </w:p>
        </w:tc>
        <w:tc>
          <w:tcPr>
            <w:tcW w:w="1630" w:type="dxa"/>
          </w:tcPr>
          <w:p w14:paraId="24E9217A">
            <w:pPr>
              <w:pStyle w:val="9"/>
              <w:rPr>
                <w:rFonts w:ascii="宋体" w:eastAsia="宋体" w:cs="宋体"/>
                <w:color w:val="000000" w:themeColor="text1"/>
                <w:highlight w:val="none"/>
                <w14:textFill>
                  <w14:solidFill>
                    <w14:schemeClr w14:val="tx1"/>
                  </w14:solidFill>
                </w14:textFill>
              </w:rPr>
            </w:pPr>
          </w:p>
        </w:tc>
        <w:tc>
          <w:tcPr>
            <w:tcW w:w="1564" w:type="dxa"/>
          </w:tcPr>
          <w:p w14:paraId="57931DE4">
            <w:pPr>
              <w:pStyle w:val="9"/>
              <w:rPr>
                <w:rFonts w:ascii="宋体" w:eastAsia="宋体" w:cs="宋体"/>
                <w:color w:val="000000" w:themeColor="text1"/>
                <w:highlight w:val="none"/>
                <w14:textFill>
                  <w14:solidFill>
                    <w14:schemeClr w14:val="tx1"/>
                  </w14:solidFill>
                </w14:textFill>
              </w:rPr>
            </w:pPr>
          </w:p>
        </w:tc>
        <w:tc>
          <w:tcPr>
            <w:tcW w:w="1339" w:type="dxa"/>
          </w:tcPr>
          <w:p w14:paraId="5639BD6A">
            <w:pPr>
              <w:pStyle w:val="9"/>
              <w:rPr>
                <w:rFonts w:ascii="宋体" w:eastAsia="宋体" w:cs="宋体"/>
                <w:color w:val="000000" w:themeColor="text1"/>
                <w:highlight w:val="none"/>
                <w14:textFill>
                  <w14:solidFill>
                    <w14:schemeClr w14:val="tx1"/>
                  </w14:solidFill>
                </w14:textFill>
              </w:rPr>
            </w:pPr>
          </w:p>
        </w:tc>
        <w:tc>
          <w:tcPr>
            <w:tcW w:w="1564" w:type="dxa"/>
          </w:tcPr>
          <w:p w14:paraId="543A06A2">
            <w:pPr>
              <w:pStyle w:val="9"/>
              <w:rPr>
                <w:rFonts w:ascii="宋体" w:eastAsia="宋体" w:cs="宋体"/>
                <w:color w:val="000000" w:themeColor="text1"/>
                <w:highlight w:val="none"/>
                <w14:textFill>
                  <w14:solidFill>
                    <w14:schemeClr w14:val="tx1"/>
                  </w14:solidFill>
                </w14:textFill>
              </w:rPr>
            </w:pPr>
          </w:p>
        </w:tc>
        <w:tc>
          <w:tcPr>
            <w:tcW w:w="1009" w:type="dxa"/>
          </w:tcPr>
          <w:p w14:paraId="32933324">
            <w:pPr>
              <w:pStyle w:val="9"/>
              <w:rPr>
                <w:rFonts w:ascii="宋体" w:eastAsia="宋体" w:cs="宋体"/>
                <w:color w:val="000000" w:themeColor="text1"/>
                <w:highlight w:val="none"/>
                <w14:textFill>
                  <w14:solidFill>
                    <w14:schemeClr w14:val="tx1"/>
                  </w14:solidFill>
                </w14:textFill>
              </w:rPr>
            </w:pPr>
          </w:p>
        </w:tc>
      </w:tr>
      <w:tr w14:paraId="3DE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FD703FD">
            <w:pPr>
              <w:pStyle w:val="9"/>
              <w:rPr>
                <w:rFonts w:ascii="宋体" w:eastAsia="宋体" w:cs="宋体"/>
                <w:color w:val="000000" w:themeColor="text1"/>
                <w:highlight w:val="none"/>
                <w14:textFill>
                  <w14:solidFill>
                    <w14:schemeClr w14:val="tx1"/>
                  </w14:solidFill>
                </w14:textFill>
              </w:rPr>
            </w:pPr>
          </w:p>
        </w:tc>
        <w:tc>
          <w:tcPr>
            <w:tcW w:w="1613" w:type="dxa"/>
          </w:tcPr>
          <w:p w14:paraId="0DA1C2B2">
            <w:pPr>
              <w:pStyle w:val="9"/>
              <w:rPr>
                <w:rFonts w:ascii="宋体" w:eastAsia="宋体" w:cs="宋体"/>
                <w:color w:val="000000" w:themeColor="text1"/>
                <w:highlight w:val="none"/>
                <w14:textFill>
                  <w14:solidFill>
                    <w14:schemeClr w14:val="tx1"/>
                  </w14:solidFill>
                </w14:textFill>
              </w:rPr>
            </w:pPr>
          </w:p>
        </w:tc>
        <w:tc>
          <w:tcPr>
            <w:tcW w:w="1630" w:type="dxa"/>
          </w:tcPr>
          <w:p w14:paraId="6FAA185B">
            <w:pPr>
              <w:pStyle w:val="9"/>
              <w:rPr>
                <w:rFonts w:ascii="宋体" w:eastAsia="宋体" w:cs="宋体"/>
                <w:color w:val="000000" w:themeColor="text1"/>
                <w:highlight w:val="none"/>
                <w14:textFill>
                  <w14:solidFill>
                    <w14:schemeClr w14:val="tx1"/>
                  </w14:solidFill>
                </w14:textFill>
              </w:rPr>
            </w:pPr>
          </w:p>
        </w:tc>
        <w:tc>
          <w:tcPr>
            <w:tcW w:w="1564" w:type="dxa"/>
          </w:tcPr>
          <w:p w14:paraId="3405C186">
            <w:pPr>
              <w:pStyle w:val="9"/>
              <w:rPr>
                <w:rFonts w:ascii="宋体" w:eastAsia="宋体" w:cs="宋体"/>
                <w:color w:val="000000" w:themeColor="text1"/>
                <w:highlight w:val="none"/>
                <w14:textFill>
                  <w14:solidFill>
                    <w14:schemeClr w14:val="tx1"/>
                  </w14:solidFill>
                </w14:textFill>
              </w:rPr>
            </w:pPr>
          </w:p>
        </w:tc>
        <w:tc>
          <w:tcPr>
            <w:tcW w:w="1339" w:type="dxa"/>
          </w:tcPr>
          <w:p w14:paraId="7400FDD4">
            <w:pPr>
              <w:pStyle w:val="9"/>
              <w:rPr>
                <w:rFonts w:ascii="宋体" w:eastAsia="宋体" w:cs="宋体"/>
                <w:color w:val="000000" w:themeColor="text1"/>
                <w:highlight w:val="none"/>
                <w14:textFill>
                  <w14:solidFill>
                    <w14:schemeClr w14:val="tx1"/>
                  </w14:solidFill>
                </w14:textFill>
              </w:rPr>
            </w:pPr>
          </w:p>
        </w:tc>
        <w:tc>
          <w:tcPr>
            <w:tcW w:w="1564" w:type="dxa"/>
          </w:tcPr>
          <w:p w14:paraId="52E11D75">
            <w:pPr>
              <w:pStyle w:val="9"/>
              <w:rPr>
                <w:rFonts w:ascii="宋体" w:eastAsia="宋体" w:cs="宋体"/>
                <w:color w:val="000000" w:themeColor="text1"/>
                <w:highlight w:val="none"/>
                <w14:textFill>
                  <w14:solidFill>
                    <w14:schemeClr w14:val="tx1"/>
                  </w14:solidFill>
                </w14:textFill>
              </w:rPr>
            </w:pPr>
          </w:p>
        </w:tc>
        <w:tc>
          <w:tcPr>
            <w:tcW w:w="1009" w:type="dxa"/>
          </w:tcPr>
          <w:p w14:paraId="68654A8E">
            <w:pPr>
              <w:pStyle w:val="9"/>
              <w:rPr>
                <w:rFonts w:ascii="宋体" w:eastAsia="宋体" w:cs="宋体"/>
                <w:color w:val="000000" w:themeColor="text1"/>
                <w:highlight w:val="none"/>
                <w14:textFill>
                  <w14:solidFill>
                    <w14:schemeClr w14:val="tx1"/>
                  </w14:solidFill>
                </w14:textFill>
              </w:rPr>
            </w:pPr>
          </w:p>
        </w:tc>
      </w:tr>
      <w:tr w14:paraId="4FB9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760F5038">
            <w:pPr>
              <w:pStyle w:val="9"/>
              <w:rPr>
                <w:rFonts w:ascii="宋体" w:eastAsia="宋体" w:cs="宋体"/>
                <w:color w:val="000000" w:themeColor="text1"/>
                <w:highlight w:val="none"/>
                <w14:textFill>
                  <w14:solidFill>
                    <w14:schemeClr w14:val="tx1"/>
                  </w14:solidFill>
                </w14:textFill>
              </w:rPr>
            </w:pPr>
          </w:p>
        </w:tc>
        <w:tc>
          <w:tcPr>
            <w:tcW w:w="1613" w:type="dxa"/>
          </w:tcPr>
          <w:p w14:paraId="11203E28">
            <w:pPr>
              <w:pStyle w:val="9"/>
              <w:rPr>
                <w:rFonts w:ascii="宋体" w:eastAsia="宋体" w:cs="宋体"/>
                <w:color w:val="000000" w:themeColor="text1"/>
                <w:highlight w:val="none"/>
                <w14:textFill>
                  <w14:solidFill>
                    <w14:schemeClr w14:val="tx1"/>
                  </w14:solidFill>
                </w14:textFill>
              </w:rPr>
            </w:pPr>
          </w:p>
        </w:tc>
        <w:tc>
          <w:tcPr>
            <w:tcW w:w="1630" w:type="dxa"/>
          </w:tcPr>
          <w:p w14:paraId="7DED0460">
            <w:pPr>
              <w:pStyle w:val="9"/>
              <w:rPr>
                <w:rFonts w:ascii="宋体" w:eastAsia="宋体" w:cs="宋体"/>
                <w:color w:val="000000" w:themeColor="text1"/>
                <w:highlight w:val="none"/>
                <w14:textFill>
                  <w14:solidFill>
                    <w14:schemeClr w14:val="tx1"/>
                  </w14:solidFill>
                </w14:textFill>
              </w:rPr>
            </w:pPr>
          </w:p>
        </w:tc>
        <w:tc>
          <w:tcPr>
            <w:tcW w:w="1564" w:type="dxa"/>
          </w:tcPr>
          <w:p w14:paraId="2E2F230F">
            <w:pPr>
              <w:pStyle w:val="9"/>
              <w:rPr>
                <w:rFonts w:ascii="宋体" w:eastAsia="宋体" w:cs="宋体"/>
                <w:color w:val="000000" w:themeColor="text1"/>
                <w:highlight w:val="none"/>
                <w14:textFill>
                  <w14:solidFill>
                    <w14:schemeClr w14:val="tx1"/>
                  </w14:solidFill>
                </w14:textFill>
              </w:rPr>
            </w:pPr>
          </w:p>
        </w:tc>
        <w:tc>
          <w:tcPr>
            <w:tcW w:w="1339" w:type="dxa"/>
          </w:tcPr>
          <w:p w14:paraId="0DD00508">
            <w:pPr>
              <w:pStyle w:val="9"/>
              <w:rPr>
                <w:rFonts w:ascii="宋体" w:eastAsia="宋体" w:cs="宋体"/>
                <w:color w:val="000000" w:themeColor="text1"/>
                <w:highlight w:val="none"/>
                <w14:textFill>
                  <w14:solidFill>
                    <w14:schemeClr w14:val="tx1"/>
                  </w14:solidFill>
                </w14:textFill>
              </w:rPr>
            </w:pPr>
          </w:p>
        </w:tc>
        <w:tc>
          <w:tcPr>
            <w:tcW w:w="1564" w:type="dxa"/>
          </w:tcPr>
          <w:p w14:paraId="5FE0BC9F">
            <w:pPr>
              <w:pStyle w:val="9"/>
              <w:rPr>
                <w:rFonts w:ascii="宋体" w:eastAsia="宋体" w:cs="宋体"/>
                <w:color w:val="000000" w:themeColor="text1"/>
                <w:highlight w:val="none"/>
                <w14:textFill>
                  <w14:solidFill>
                    <w14:schemeClr w14:val="tx1"/>
                  </w14:solidFill>
                </w14:textFill>
              </w:rPr>
            </w:pPr>
          </w:p>
        </w:tc>
        <w:tc>
          <w:tcPr>
            <w:tcW w:w="1009" w:type="dxa"/>
          </w:tcPr>
          <w:p w14:paraId="67F45E67">
            <w:pPr>
              <w:pStyle w:val="9"/>
              <w:rPr>
                <w:rFonts w:ascii="宋体" w:eastAsia="宋体" w:cs="宋体"/>
                <w:color w:val="000000" w:themeColor="text1"/>
                <w:highlight w:val="none"/>
                <w14:textFill>
                  <w14:solidFill>
                    <w14:schemeClr w14:val="tx1"/>
                  </w14:solidFill>
                </w14:textFill>
              </w:rPr>
            </w:pPr>
          </w:p>
        </w:tc>
      </w:tr>
      <w:tr w14:paraId="0E08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1DF0EB9F">
            <w:pPr>
              <w:pStyle w:val="9"/>
              <w:rPr>
                <w:rFonts w:ascii="宋体" w:eastAsia="宋体" w:cs="宋体"/>
                <w:color w:val="000000" w:themeColor="text1"/>
                <w:highlight w:val="none"/>
                <w14:textFill>
                  <w14:solidFill>
                    <w14:schemeClr w14:val="tx1"/>
                  </w14:solidFill>
                </w14:textFill>
              </w:rPr>
            </w:pPr>
          </w:p>
        </w:tc>
        <w:tc>
          <w:tcPr>
            <w:tcW w:w="1613" w:type="dxa"/>
          </w:tcPr>
          <w:p w14:paraId="6899AB9F">
            <w:pPr>
              <w:pStyle w:val="9"/>
              <w:rPr>
                <w:rFonts w:ascii="宋体" w:eastAsia="宋体" w:cs="宋体"/>
                <w:color w:val="000000" w:themeColor="text1"/>
                <w:highlight w:val="none"/>
                <w14:textFill>
                  <w14:solidFill>
                    <w14:schemeClr w14:val="tx1"/>
                  </w14:solidFill>
                </w14:textFill>
              </w:rPr>
            </w:pPr>
          </w:p>
        </w:tc>
        <w:tc>
          <w:tcPr>
            <w:tcW w:w="1630" w:type="dxa"/>
          </w:tcPr>
          <w:p w14:paraId="10A4962C">
            <w:pPr>
              <w:pStyle w:val="9"/>
              <w:rPr>
                <w:rFonts w:ascii="宋体" w:eastAsia="宋体" w:cs="宋体"/>
                <w:color w:val="000000" w:themeColor="text1"/>
                <w:highlight w:val="none"/>
                <w14:textFill>
                  <w14:solidFill>
                    <w14:schemeClr w14:val="tx1"/>
                  </w14:solidFill>
                </w14:textFill>
              </w:rPr>
            </w:pPr>
          </w:p>
        </w:tc>
        <w:tc>
          <w:tcPr>
            <w:tcW w:w="1564" w:type="dxa"/>
          </w:tcPr>
          <w:p w14:paraId="0CCC2372">
            <w:pPr>
              <w:pStyle w:val="9"/>
              <w:rPr>
                <w:rFonts w:ascii="宋体" w:eastAsia="宋体" w:cs="宋体"/>
                <w:color w:val="000000" w:themeColor="text1"/>
                <w:highlight w:val="none"/>
                <w14:textFill>
                  <w14:solidFill>
                    <w14:schemeClr w14:val="tx1"/>
                  </w14:solidFill>
                </w14:textFill>
              </w:rPr>
            </w:pPr>
          </w:p>
        </w:tc>
        <w:tc>
          <w:tcPr>
            <w:tcW w:w="1339" w:type="dxa"/>
          </w:tcPr>
          <w:p w14:paraId="1F93B8D2">
            <w:pPr>
              <w:pStyle w:val="9"/>
              <w:rPr>
                <w:rFonts w:ascii="宋体" w:eastAsia="宋体" w:cs="宋体"/>
                <w:color w:val="000000" w:themeColor="text1"/>
                <w:highlight w:val="none"/>
                <w14:textFill>
                  <w14:solidFill>
                    <w14:schemeClr w14:val="tx1"/>
                  </w14:solidFill>
                </w14:textFill>
              </w:rPr>
            </w:pPr>
          </w:p>
        </w:tc>
        <w:tc>
          <w:tcPr>
            <w:tcW w:w="1564" w:type="dxa"/>
          </w:tcPr>
          <w:p w14:paraId="7DD671D9">
            <w:pPr>
              <w:pStyle w:val="9"/>
              <w:rPr>
                <w:rFonts w:ascii="宋体" w:eastAsia="宋体" w:cs="宋体"/>
                <w:color w:val="000000" w:themeColor="text1"/>
                <w:highlight w:val="none"/>
                <w14:textFill>
                  <w14:solidFill>
                    <w14:schemeClr w14:val="tx1"/>
                  </w14:solidFill>
                </w14:textFill>
              </w:rPr>
            </w:pPr>
          </w:p>
        </w:tc>
        <w:tc>
          <w:tcPr>
            <w:tcW w:w="1009" w:type="dxa"/>
          </w:tcPr>
          <w:p w14:paraId="7BA91D46">
            <w:pPr>
              <w:pStyle w:val="9"/>
              <w:rPr>
                <w:rFonts w:ascii="宋体" w:eastAsia="宋体" w:cs="宋体"/>
                <w:color w:val="000000" w:themeColor="text1"/>
                <w:highlight w:val="none"/>
                <w14:textFill>
                  <w14:solidFill>
                    <w14:schemeClr w14:val="tx1"/>
                  </w14:solidFill>
                </w14:textFill>
              </w:rPr>
            </w:pPr>
          </w:p>
        </w:tc>
      </w:tr>
      <w:tr w14:paraId="5801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52EE9E2D">
            <w:pPr>
              <w:pStyle w:val="9"/>
              <w:rPr>
                <w:rFonts w:ascii="宋体" w:eastAsia="宋体" w:cs="宋体"/>
                <w:color w:val="000000" w:themeColor="text1"/>
                <w:highlight w:val="none"/>
                <w14:textFill>
                  <w14:solidFill>
                    <w14:schemeClr w14:val="tx1"/>
                  </w14:solidFill>
                </w14:textFill>
              </w:rPr>
            </w:pPr>
          </w:p>
        </w:tc>
        <w:tc>
          <w:tcPr>
            <w:tcW w:w="1613" w:type="dxa"/>
          </w:tcPr>
          <w:p w14:paraId="15F1E7BC">
            <w:pPr>
              <w:pStyle w:val="9"/>
              <w:rPr>
                <w:rFonts w:ascii="宋体" w:eastAsia="宋体" w:cs="宋体"/>
                <w:color w:val="000000" w:themeColor="text1"/>
                <w:highlight w:val="none"/>
                <w14:textFill>
                  <w14:solidFill>
                    <w14:schemeClr w14:val="tx1"/>
                  </w14:solidFill>
                </w14:textFill>
              </w:rPr>
            </w:pPr>
          </w:p>
        </w:tc>
        <w:tc>
          <w:tcPr>
            <w:tcW w:w="1630" w:type="dxa"/>
          </w:tcPr>
          <w:p w14:paraId="75A32A21">
            <w:pPr>
              <w:pStyle w:val="9"/>
              <w:rPr>
                <w:rFonts w:ascii="宋体" w:eastAsia="宋体" w:cs="宋体"/>
                <w:color w:val="000000" w:themeColor="text1"/>
                <w:highlight w:val="none"/>
                <w14:textFill>
                  <w14:solidFill>
                    <w14:schemeClr w14:val="tx1"/>
                  </w14:solidFill>
                </w14:textFill>
              </w:rPr>
            </w:pPr>
          </w:p>
        </w:tc>
        <w:tc>
          <w:tcPr>
            <w:tcW w:w="1564" w:type="dxa"/>
          </w:tcPr>
          <w:p w14:paraId="77D24DBB">
            <w:pPr>
              <w:pStyle w:val="9"/>
              <w:rPr>
                <w:rFonts w:ascii="宋体" w:eastAsia="宋体" w:cs="宋体"/>
                <w:color w:val="000000" w:themeColor="text1"/>
                <w:highlight w:val="none"/>
                <w14:textFill>
                  <w14:solidFill>
                    <w14:schemeClr w14:val="tx1"/>
                  </w14:solidFill>
                </w14:textFill>
              </w:rPr>
            </w:pPr>
          </w:p>
        </w:tc>
        <w:tc>
          <w:tcPr>
            <w:tcW w:w="1339" w:type="dxa"/>
          </w:tcPr>
          <w:p w14:paraId="094D3329">
            <w:pPr>
              <w:pStyle w:val="9"/>
              <w:rPr>
                <w:rFonts w:ascii="宋体" w:eastAsia="宋体" w:cs="宋体"/>
                <w:color w:val="000000" w:themeColor="text1"/>
                <w:highlight w:val="none"/>
                <w14:textFill>
                  <w14:solidFill>
                    <w14:schemeClr w14:val="tx1"/>
                  </w14:solidFill>
                </w14:textFill>
              </w:rPr>
            </w:pPr>
          </w:p>
        </w:tc>
        <w:tc>
          <w:tcPr>
            <w:tcW w:w="1564" w:type="dxa"/>
          </w:tcPr>
          <w:p w14:paraId="0342980F">
            <w:pPr>
              <w:pStyle w:val="9"/>
              <w:rPr>
                <w:rFonts w:ascii="宋体" w:eastAsia="宋体" w:cs="宋体"/>
                <w:color w:val="000000" w:themeColor="text1"/>
                <w:highlight w:val="none"/>
                <w14:textFill>
                  <w14:solidFill>
                    <w14:schemeClr w14:val="tx1"/>
                  </w14:solidFill>
                </w14:textFill>
              </w:rPr>
            </w:pPr>
          </w:p>
        </w:tc>
        <w:tc>
          <w:tcPr>
            <w:tcW w:w="1009" w:type="dxa"/>
          </w:tcPr>
          <w:p w14:paraId="7D75EE29">
            <w:pPr>
              <w:pStyle w:val="9"/>
              <w:rPr>
                <w:rFonts w:ascii="宋体" w:eastAsia="宋体" w:cs="宋体"/>
                <w:color w:val="000000" w:themeColor="text1"/>
                <w:highlight w:val="none"/>
                <w14:textFill>
                  <w14:solidFill>
                    <w14:schemeClr w14:val="tx1"/>
                  </w14:solidFill>
                </w14:textFill>
              </w:rPr>
            </w:pPr>
          </w:p>
        </w:tc>
      </w:tr>
      <w:tr w14:paraId="35BD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96" w:type="dxa"/>
          </w:tcPr>
          <w:p w14:paraId="5F74EA60">
            <w:pPr>
              <w:pStyle w:val="9"/>
              <w:rPr>
                <w:rFonts w:ascii="宋体" w:eastAsia="宋体" w:cs="宋体"/>
                <w:color w:val="000000" w:themeColor="text1"/>
                <w:highlight w:val="none"/>
                <w14:textFill>
                  <w14:solidFill>
                    <w14:schemeClr w14:val="tx1"/>
                  </w14:solidFill>
                </w14:textFill>
              </w:rPr>
            </w:pPr>
          </w:p>
        </w:tc>
        <w:tc>
          <w:tcPr>
            <w:tcW w:w="1613" w:type="dxa"/>
          </w:tcPr>
          <w:p w14:paraId="198F7707">
            <w:pPr>
              <w:pStyle w:val="9"/>
              <w:rPr>
                <w:rFonts w:ascii="宋体" w:eastAsia="宋体" w:cs="宋体"/>
                <w:color w:val="000000" w:themeColor="text1"/>
                <w:highlight w:val="none"/>
                <w14:textFill>
                  <w14:solidFill>
                    <w14:schemeClr w14:val="tx1"/>
                  </w14:solidFill>
                </w14:textFill>
              </w:rPr>
            </w:pPr>
          </w:p>
        </w:tc>
        <w:tc>
          <w:tcPr>
            <w:tcW w:w="1630" w:type="dxa"/>
          </w:tcPr>
          <w:p w14:paraId="3EDC0649">
            <w:pPr>
              <w:pStyle w:val="9"/>
              <w:rPr>
                <w:rFonts w:ascii="宋体" w:eastAsia="宋体" w:cs="宋体"/>
                <w:color w:val="000000" w:themeColor="text1"/>
                <w:highlight w:val="none"/>
                <w14:textFill>
                  <w14:solidFill>
                    <w14:schemeClr w14:val="tx1"/>
                  </w14:solidFill>
                </w14:textFill>
              </w:rPr>
            </w:pPr>
          </w:p>
        </w:tc>
        <w:tc>
          <w:tcPr>
            <w:tcW w:w="1564" w:type="dxa"/>
          </w:tcPr>
          <w:p w14:paraId="732E71C8">
            <w:pPr>
              <w:pStyle w:val="9"/>
              <w:rPr>
                <w:rFonts w:ascii="宋体" w:eastAsia="宋体" w:cs="宋体"/>
                <w:color w:val="000000" w:themeColor="text1"/>
                <w:highlight w:val="none"/>
                <w14:textFill>
                  <w14:solidFill>
                    <w14:schemeClr w14:val="tx1"/>
                  </w14:solidFill>
                </w14:textFill>
              </w:rPr>
            </w:pPr>
          </w:p>
        </w:tc>
        <w:tc>
          <w:tcPr>
            <w:tcW w:w="1339" w:type="dxa"/>
          </w:tcPr>
          <w:p w14:paraId="7E657341">
            <w:pPr>
              <w:pStyle w:val="9"/>
              <w:rPr>
                <w:rFonts w:ascii="宋体" w:eastAsia="宋体" w:cs="宋体"/>
                <w:color w:val="000000" w:themeColor="text1"/>
                <w:highlight w:val="none"/>
                <w14:textFill>
                  <w14:solidFill>
                    <w14:schemeClr w14:val="tx1"/>
                  </w14:solidFill>
                </w14:textFill>
              </w:rPr>
            </w:pPr>
          </w:p>
        </w:tc>
        <w:tc>
          <w:tcPr>
            <w:tcW w:w="1564" w:type="dxa"/>
          </w:tcPr>
          <w:p w14:paraId="465801C8">
            <w:pPr>
              <w:pStyle w:val="9"/>
              <w:rPr>
                <w:rFonts w:ascii="宋体" w:eastAsia="宋体" w:cs="宋体"/>
                <w:color w:val="000000" w:themeColor="text1"/>
                <w:highlight w:val="none"/>
                <w14:textFill>
                  <w14:solidFill>
                    <w14:schemeClr w14:val="tx1"/>
                  </w14:solidFill>
                </w14:textFill>
              </w:rPr>
            </w:pPr>
          </w:p>
        </w:tc>
        <w:tc>
          <w:tcPr>
            <w:tcW w:w="1009" w:type="dxa"/>
          </w:tcPr>
          <w:p w14:paraId="1FB52A62">
            <w:pPr>
              <w:pStyle w:val="9"/>
              <w:rPr>
                <w:rFonts w:ascii="宋体" w:eastAsia="宋体" w:cs="宋体"/>
                <w:color w:val="000000" w:themeColor="text1"/>
                <w:highlight w:val="none"/>
                <w14:textFill>
                  <w14:solidFill>
                    <w14:schemeClr w14:val="tx1"/>
                  </w14:solidFill>
                </w14:textFill>
              </w:rPr>
            </w:pPr>
          </w:p>
        </w:tc>
      </w:tr>
    </w:tbl>
    <w:p w14:paraId="41094F47">
      <w:pPr>
        <w:pStyle w:val="9"/>
        <w:rPr>
          <w:rFonts w:ascii="宋体" w:eastAsia="宋体" w:cs="宋体"/>
          <w:b/>
          <w:bCs/>
          <w:color w:val="000000" w:themeColor="text1"/>
          <w:sz w:val="21"/>
          <w:szCs w:val="21"/>
          <w:highlight w:val="none"/>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注：本表后附相关业绩合同或中标通知书复印件加盖企业公章。</w:t>
      </w:r>
    </w:p>
    <w:p w14:paraId="56CFB821">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C7FD292">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11、供应商拟派于本项目管理、技术、服务人员情况表（如有）</w:t>
      </w:r>
    </w:p>
    <w:p w14:paraId="2432B9EF">
      <w:pPr>
        <w:spacing w:line="360" w:lineRule="auto"/>
        <w:jc w:val="center"/>
        <w:rPr>
          <w:rFonts w:ascii="宋体" w:cs="宋体"/>
          <w:b/>
          <w:color w:val="000000" w:themeColor="text1"/>
          <w:sz w:val="32"/>
          <w:szCs w:val="32"/>
          <w:highlight w:val="none"/>
          <w14:textFill>
            <w14:solidFill>
              <w14:schemeClr w14:val="tx1"/>
            </w14:solidFill>
          </w14:textFill>
        </w:rPr>
      </w:pPr>
    </w:p>
    <w:tbl>
      <w:tblPr>
        <w:tblStyle w:val="26"/>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4"/>
        <w:gridCol w:w="1121"/>
        <w:gridCol w:w="1155"/>
        <w:gridCol w:w="1155"/>
        <w:gridCol w:w="1155"/>
        <w:gridCol w:w="1419"/>
        <w:gridCol w:w="890"/>
      </w:tblGrid>
      <w:tr w14:paraId="4486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vAlign w:val="center"/>
          </w:tcPr>
          <w:p w14:paraId="46CF60E1">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序号</w:t>
            </w:r>
          </w:p>
        </w:tc>
        <w:tc>
          <w:tcPr>
            <w:tcW w:w="1634" w:type="dxa"/>
            <w:vAlign w:val="center"/>
          </w:tcPr>
          <w:p w14:paraId="25CDD218">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职务</w:t>
            </w:r>
          </w:p>
        </w:tc>
        <w:tc>
          <w:tcPr>
            <w:tcW w:w="1121" w:type="dxa"/>
            <w:vAlign w:val="center"/>
          </w:tcPr>
          <w:p w14:paraId="362CC194">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姓名</w:t>
            </w:r>
          </w:p>
        </w:tc>
        <w:tc>
          <w:tcPr>
            <w:tcW w:w="1155" w:type="dxa"/>
            <w:vAlign w:val="center"/>
          </w:tcPr>
          <w:p w14:paraId="4812207D">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学历</w:t>
            </w:r>
          </w:p>
        </w:tc>
        <w:tc>
          <w:tcPr>
            <w:tcW w:w="1155" w:type="dxa"/>
            <w:vAlign w:val="center"/>
          </w:tcPr>
          <w:p w14:paraId="1C7B295F">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职称</w:t>
            </w:r>
          </w:p>
        </w:tc>
        <w:tc>
          <w:tcPr>
            <w:tcW w:w="1155" w:type="dxa"/>
            <w:vAlign w:val="center"/>
          </w:tcPr>
          <w:p w14:paraId="7B9D285C">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专业</w:t>
            </w:r>
          </w:p>
        </w:tc>
        <w:tc>
          <w:tcPr>
            <w:tcW w:w="1419" w:type="dxa"/>
            <w:vAlign w:val="center"/>
          </w:tcPr>
          <w:p w14:paraId="5DCF5997">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工作年限</w:t>
            </w:r>
          </w:p>
        </w:tc>
        <w:tc>
          <w:tcPr>
            <w:tcW w:w="890" w:type="dxa"/>
            <w:vAlign w:val="center"/>
          </w:tcPr>
          <w:p w14:paraId="711ABC53">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备注</w:t>
            </w:r>
          </w:p>
        </w:tc>
      </w:tr>
      <w:tr w14:paraId="4EC5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4E87D8FF">
            <w:pPr>
              <w:jc w:val="center"/>
              <w:rPr>
                <w:rFonts w:ascii="宋体" w:cs="宋体"/>
                <w:bCs/>
                <w:color w:val="000000" w:themeColor="text1"/>
                <w:sz w:val="24"/>
                <w:highlight w:val="none"/>
                <w14:textFill>
                  <w14:solidFill>
                    <w14:schemeClr w14:val="tx1"/>
                  </w14:solidFill>
                </w14:textFill>
              </w:rPr>
            </w:pPr>
          </w:p>
        </w:tc>
        <w:tc>
          <w:tcPr>
            <w:tcW w:w="1634" w:type="dxa"/>
          </w:tcPr>
          <w:p w14:paraId="4481087B">
            <w:pPr>
              <w:jc w:val="center"/>
              <w:rPr>
                <w:rFonts w:ascii="宋体" w:cs="宋体"/>
                <w:bCs/>
                <w:color w:val="000000" w:themeColor="text1"/>
                <w:sz w:val="24"/>
                <w:highlight w:val="none"/>
                <w14:textFill>
                  <w14:solidFill>
                    <w14:schemeClr w14:val="tx1"/>
                  </w14:solidFill>
                </w14:textFill>
              </w:rPr>
            </w:pPr>
          </w:p>
        </w:tc>
        <w:tc>
          <w:tcPr>
            <w:tcW w:w="1121" w:type="dxa"/>
          </w:tcPr>
          <w:p w14:paraId="13D41B13">
            <w:pPr>
              <w:jc w:val="center"/>
              <w:rPr>
                <w:rFonts w:ascii="宋体" w:cs="宋体"/>
                <w:bCs/>
                <w:color w:val="000000" w:themeColor="text1"/>
                <w:sz w:val="24"/>
                <w:highlight w:val="none"/>
                <w14:textFill>
                  <w14:solidFill>
                    <w14:schemeClr w14:val="tx1"/>
                  </w14:solidFill>
                </w14:textFill>
              </w:rPr>
            </w:pPr>
          </w:p>
        </w:tc>
        <w:tc>
          <w:tcPr>
            <w:tcW w:w="1155" w:type="dxa"/>
          </w:tcPr>
          <w:p w14:paraId="511856F0">
            <w:pPr>
              <w:jc w:val="center"/>
              <w:rPr>
                <w:rFonts w:ascii="宋体" w:cs="宋体"/>
                <w:bCs/>
                <w:color w:val="000000" w:themeColor="text1"/>
                <w:sz w:val="24"/>
                <w:highlight w:val="none"/>
                <w14:textFill>
                  <w14:solidFill>
                    <w14:schemeClr w14:val="tx1"/>
                  </w14:solidFill>
                </w14:textFill>
              </w:rPr>
            </w:pPr>
          </w:p>
        </w:tc>
        <w:tc>
          <w:tcPr>
            <w:tcW w:w="1155" w:type="dxa"/>
          </w:tcPr>
          <w:p w14:paraId="424E1B3D">
            <w:pPr>
              <w:jc w:val="center"/>
              <w:rPr>
                <w:rFonts w:ascii="宋体" w:cs="宋体"/>
                <w:bCs/>
                <w:color w:val="000000" w:themeColor="text1"/>
                <w:sz w:val="24"/>
                <w:highlight w:val="none"/>
                <w14:textFill>
                  <w14:solidFill>
                    <w14:schemeClr w14:val="tx1"/>
                  </w14:solidFill>
                </w14:textFill>
              </w:rPr>
            </w:pPr>
          </w:p>
        </w:tc>
        <w:tc>
          <w:tcPr>
            <w:tcW w:w="1155" w:type="dxa"/>
          </w:tcPr>
          <w:p w14:paraId="04B6EED3">
            <w:pPr>
              <w:jc w:val="center"/>
              <w:rPr>
                <w:rFonts w:ascii="宋体" w:cs="宋体"/>
                <w:bCs/>
                <w:color w:val="000000" w:themeColor="text1"/>
                <w:sz w:val="24"/>
                <w:highlight w:val="none"/>
                <w14:textFill>
                  <w14:solidFill>
                    <w14:schemeClr w14:val="tx1"/>
                  </w14:solidFill>
                </w14:textFill>
              </w:rPr>
            </w:pPr>
          </w:p>
        </w:tc>
        <w:tc>
          <w:tcPr>
            <w:tcW w:w="1419" w:type="dxa"/>
          </w:tcPr>
          <w:p w14:paraId="47C7AF02">
            <w:pPr>
              <w:jc w:val="center"/>
              <w:rPr>
                <w:rFonts w:ascii="宋体" w:cs="宋体"/>
                <w:bCs/>
                <w:color w:val="000000" w:themeColor="text1"/>
                <w:sz w:val="24"/>
                <w:highlight w:val="none"/>
                <w14:textFill>
                  <w14:solidFill>
                    <w14:schemeClr w14:val="tx1"/>
                  </w14:solidFill>
                </w14:textFill>
              </w:rPr>
            </w:pPr>
          </w:p>
        </w:tc>
        <w:tc>
          <w:tcPr>
            <w:tcW w:w="890" w:type="dxa"/>
          </w:tcPr>
          <w:p w14:paraId="630BBEC1">
            <w:pPr>
              <w:jc w:val="center"/>
              <w:rPr>
                <w:rFonts w:ascii="宋体" w:cs="宋体"/>
                <w:bCs/>
                <w:color w:val="000000" w:themeColor="text1"/>
                <w:sz w:val="24"/>
                <w:highlight w:val="none"/>
                <w14:textFill>
                  <w14:solidFill>
                    <w14:schemeClr w14:val="tx1"/>
                  </w14:solidFill>
                </w14:textFill>
              </w:rPr>
            </w:pPr>
          </w:p>
        </w:tc>
      </w:tr>
      <w:tr w14:paraId="14AB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5A6E3AD3">
            <w:pPr>
              <w:jc w:val="center"/>
              <w:rPr>
                <w:rFonts w:ascii="宋体" w:cs="宋体"/>
                <w:bCs/>
                <w:color w:val="000000" w:themeColor="text1"/>
                <w:sz w:val="24"/>
                <w:highlight w:val="none"/>
                <w14:textFill>
                  <w14:solidFill>
                    <w14:schemeClr w14:val="tx1"/>
                  </w14:solidFill>
                </w14:textFill>
              </w:rPr>
            </w:pPr>
          </w:p>
        </w:tc>
        <w:tc>
          <w:tcPr>
            <w:tcW w:w="1634" w:type="dxa"/>
          </w:tcPr>
          <w:p w14:paraId="0322535B">
            <w:pPr>
              <w:jc w:val="center"/>
              <w:rPr>
                <w:rFonts w:ascii="宋体" w:cs="宋体"/>
                <w:bCs/>
                <w:color w:val="000000" w:themeColor="text1"/>
                <w:sz w:val="24"/>
                <w:highlight w:val="none"/>
                <w14:textFill>
                  <w14:solidFill>
                    <w14:schemeClr w14:val="tx1"/>
                  </w14:solidFill>
                </w14:textFill>
              </w:rPr>
            </w:pPr>
          </w:p>
        </w:tc>
        <w:tc>
          <w:tcPr>
            <w:tcW w:w="1121" w:type="dxa"/>
          </w:tcPr>
          <w:p w14:paraId="7C37AB6F">
            <w:pPr>
              <w:jc w:val="center"/>
              <w:rPr>
                <w:rFonts w:ascii="宋体" w:cs="宋体"/>
                <w:bCs/>
                <w:color w:val="000000" w:themeColor="text1"/>
                <w:sz w:val="24"/>
                <w:highlight w:val="none"/>
                <w14:textFill>
                  <w14:solidFill>
                    <w14:schemeClr w14:val="tx1"/>
                  </w14:solidFill>
                </w14:textFill>
              </w:rPr>
            </w:pPr>
          </w:p>
        </w:tc>
        <w:tc>
          <w:tcPr>
            <w:tcW w:w="1155" w:type="dxa"/>
          </w:tcPr>
          <w:p w14:paraId="08109AF3">
            <w:pPr>
              <w:jc w:val="center"/>
              <w:rPr>
                <w:rFonts w:ascii="宋体" w:cs="宋体"/>
                <w:bCs/>
                <w:color w:val="000000" w:themeColor="text1"/>
                <w:sz w:val="24"/>
                <w:highlight w:val="none"/>
                <w14:textFill>
                  <w14:solidFill>
                    <w14:schemeClr w14:val="tx1"/>
                  </w14:solidFill>
                </w14:textFill>
              </w:rPr>
            </w:pPr>
          </w:p>
        </w:tc>
        <w:tc>
          <w:tcPr>
            <w:tcW w:w="1155" w:type="dxa"/>
          </w:tcPr>
          <w:p w14:paraId="3530135A">
            <w:pPr>
              <w:jc w:val="center"/>
              <w:rPr>
                <w:rFonts w:ascii="宋体" w:cs="宋体"/>
                <w:bCs/>
                <w:color w:val="000000" w:themeColor="text1"/>
                <w:sz w:val="24"/>
                <w:highlight w:val="none"/>
                <w14:textFill>
                  <w14:solidFill>
                    <w14:schemeClr w14:val="tx1"/>
                  </w14:solidFill>
                </w14:textFill>
              </w:rPr>
            </w:pPr>
          </w:p>
        </w:tc>
        <w:tc>
          <w:tcPr>
            <w:tcW w:w="1155" w:type="dxa"/>
          </w:tcPr>
          <w:p w14:paraId="3DCE79E4">
            <w:pPr>
              <w:jc w:val="center"/>
              <w:rPr>
                <w:rFonts w:ascii="宋体" w:cs="宋体"/>
                <w:bCs/>
                <w:color w:val="000000" w:themeColor="text1"/>
                <w:sz w:val="24"/>
                <w:highlight w:val="none"/>
                <w14:textFill>
                  <w14:solidFill>
                    <w14:schemeClr w14:val="tx1"/>
                  </w14:solidFill>
                </w14:textFill>
              </w:rPr>
            </w:pPr>
          </w:p>
        </w:tc>
        <w:tc>
          <w:tcPr>
            <w:tcW w:w="1419" w:type="dxa"/>
          </w:tcPr>
          <w:p w14:paraId="0A571B6E">
            <w:pPr>
              <w:jc w:val="center"/>
              <w:rPr>
                <w:rFonts w:ascii="宋体" w:cs="宋体"/>
                <w:bCs/>
                <w:color w:val="000000" w:themeColor="text1"/>
                <w:sz w:val="24"/>
                <w:highlight w:val="none"/>
                <w14:textFill>
                  <w14:solidFill>
                    <w14:schemeClr w14:val="tx1"/>
                  </w14:solidFill>
                </w14:textFill>
              </w:rPr>
            </w:pPr>
          </w:p>
        </w:tc>
        <w:tc>
          <w:tcPr>
            <w:tcW w:w="890" w:type="dxa"/>
          </w:tcPr>
          <w:p w14:paraId="0F2E6381">
            <w:pPr>
              <w:jc w:val="center"/>
              <w:rPr>
                <w:rFonts w:ascii="宋体" w:cs="宋体"/>
                <w:bCs/>
                <w:color w:val="000000" w:themeColor="text1"/>
                <w:sz w:val="24"/>
                <w:highlight w:val="none"/>
                <w14:textFill>
                  <w14:solidFill>
                    <w14:schemeClr w14:val="tx1"/>
                  </w14:solidFill>
                </w14:textFill>
              </w:rPr>
            </w:pPr>
          </w:p>
        </w:tc>
      </w:tr>
      <w:tr w14:paraId="10F9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6F31B7EA">
            <w:pPr>
              <w:jc w:val="center"/>
              <w:rPr>
                <w:rFonts w:ascii="宋体" w:cs="宋体"/>
                <w:bCs/>
                <w:color w:val="000000" w:themeColor="text1"/>
                <w:sz w:val="24"/>
                <w:highlight w:val="none"/>
                <w14:textFill>
                  <w14:solidFill>
                    <w14:schemeClr w14:val="tx1"/>
                  </w14:solidFill>
                </w14:textFill>
              </w:rPr>
            </w:pPr>
          </w:p>
        </w:tc>
        <w:tc>
          <w:tcPr>
            <w:tcW w:w="1634" w:type="dxa"/>
          </w:tcPr>
          <w:p w14:paraId="7C136BCF">
            <w:pPr>
              <w:jc w:val="center"/>
              <w:rPr>
                <w:rFonts w:ascii="宋体" w:cs="宋体"/>
                <w:bCs/>
                <w:color w:val="000000" w:themeColor="text1"/>
                <w:sz w:val="24"/>
                <w:highlight w:val="none"/>
                <w14:textFill>
                  <w14:solidFill>
                    <w14:schemeClr w14:val="tx1"/>
                  </w14:solidFill>
                </w14:textFill>
              </w:rPr>
            </w:pPr>
          </w:p>
        </w:tc>
        <w:tc>
          <w:tcPr>
            <w:tcW w:w="1121" w:type="dxa"/>
          </w:tcPr>
          <w:p w14:paraId="03840EE8">
            <w:pPr>
              <w:jc w:val="center"/>
              <w:rPr>
                <w:rFonts w:ascii="宋体" w:cs="宋体"/>
                <w:bCs/>
                <w:color w:val="000000" w:themeColor="text1"/>
                <w:sz w:val="24"/>
                <w:highlight w:val="none"/>
                <w14:textFill>
                  <w14:solidFill>
                    <w14:schemeClr w14:val="tx1"/>
                  </w14:solidFill>
                </w14:textFill>
              </w:rPr>
            </w:pPr>
          </w:p>
        </w:tc>
        <w:tc>
          <w:tcPr>
            <w:tcW w:w="1155" w:type="dxa"/>
          </w:tcPr>
          <w:p w14:paraId="12CC06E2">
            <w:pPr>
              <w:jc w:val="center"/>
              <w:rPr>
                <w:rFonts w:ascii="宋体" w:cs="宋体"/>
                <w:bCs/>
                <w:color w:val="000000" w:themeColor="text1"/>
                <w:sz w:val="24"/>
                <w:highlight w:val="none"/>
                <w14:textFill>
                  <w14:solidFill>
                    <w14:schemeClr w14:val="tx1"/>
                  </w14:solidFill>
                </w14:textFill>
              </w:rPr>
            </w:pPr>
          </w:p>
        </w:tc>
        <w:tc>
          <w:tcPr>
            <w:tcW w:w="1155" w:type="dxa"/>
          </w:tcPr>
          <w:p w14:paraId="3D005C0A">
            <w:pPr>
              <w:jc w:val="center"/>
              <w:rPr>
                <w:rFonts w:ascii="宋体" w:cs="宋体"/>
                <w:bCs/>
                <w:color w:val="000000" w:themeColor="text1"/>
                <w:sz w:val="24"/>
                <w:highlight w:val="none"/>
                <w14:textFill>
                  <w14:solidFill>
                    <w14:schemeClr w14:val="tx1"/>
                  </w14:solidFill>
                </w14:textFill>
              </w:rPr>
            </w:pPr>
          </w:p>
        </w:tc>
        <w:tc>
          <w:tcPr>
            <w:tcW w:w="1155" w:type="dxa"/>
          </w:tcPr>
          <w:p w14:paraId="5EC862DF">
            <w:pPr>
              <w:jc w:val="center"/>
              <w:rPr>
                <w:rFonts w:ascii="宋体" w:cs="宋体"/>
                <w:bCs/>
                <w:color w:val="000000" w:themeColor="text1"/>
                <w:sz w:val="24"/>
                <w:highlight w:val="none"/>
                <w14:textFill>
                  <w14:solidFill>
                    <w14:schemeClr w14:val="tx1"/>
                  </w14:solidFill>
                </w14:textFill>
              </w:rPr>
            </w:pPr>
          </w:p>
        </w:tc>
        <w:tc>
          <w:tcPr>
            <w:tcW w:w="1419" w:type="dxa"/>
          </w:tcPr>
          <w:p w14:paraId="4B98F4E4">
            <w:pPr>
              <w:jc w:val="center"/>
              <w:rPr>
                <w:rFonts w:ascii="宋体" w:cs="宋体"/>
                <w:bCs/>
                <w:color w:val="000000" w:themeColor="text1"/>
                <w:sz w:val="24"/>
                <w:highlight w:val="none"/>
                <w14:textFill>
                  <w14:solidFill>
                    <w14:schemeClr w14:val="tx1"/>
                  </w14:solidFill>
                </w14:textFill>
              </w:rPr>
            </w:pPr>
          </w:p>
        </w:tc>
        <w:tc>
          <w:tcPr>
            <w:tcW w:w="890" w:type="dxa"/>
          </w:tcPr>
          <w:p w14:paraId="33F88D6F">
            <w:pPr>
              <w:jc w:val="center"/>
              <w:rPr>
                <w:rFonts w:ascii="宋体" w:cs="宋体"/>
                <w:bCs/>
                <w:color w:val="000000" w:themeColor="text1"/>
                <w:sz w:val="24"/>
                <w:highlight w:val="none"/>
                <w14:textFill>
                  <w14:solidFill>
                    <w14:schemeClr w14:val="tx1"/>
                  </w14:solidFill>
                </w14:textFill>
              </w:rPr>
            </w:pPr>
          </w:p>
        </w:tc>
      </w:tr>
      <w:tr w14:paraId="09CF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1B17D97A">
            <w:pPr>
              <w:jc w:val="center"/>
              <w:rPr>
                <w:rFonts w:ascii="宋体" w:cs="宋体"/>
                <w:bCs/>
                <w:color w:val="000000" w:themeColor="text1"/>
                <w:sz w:val="24"/>
                <w:highlight w:val="none"/>
                <w14:textFill>
                  <w14:solidFill>
                    <w14:schemeClr w14:val="tx1"/>
                  </w14:solidFill>
                </w14:textFill>
              </w:rPr>
            </w:pPr>
          </w:p>
        </w:tc>
        <w:tc>
          <w:tcPr>
            <w:tcW w:w="1634" w:type="dxa"/>
          </w:tcPr>
          <w:p w14:paraId="067CB233">
            <w:pPr>
              <w:jc w:val="center"/>
              <w:rPr>
                <w:rFonts w:ascii="宋体" w:cs="宋体"/>
                <w:bCs/>
                <w:color w:val="000000" w:themeColor="text1"/>
                <w:sz w:val="24"/>
                <w:highlight w:val="none"/>
                <w14:textFill>
                  <w14:solidFill>
                    <w14:schemeClr w14:val="tx1"/>
                  </w14:solidFill>
                </w14:textFill>
              </w:rPr>
            </w:pPr>
          </w:p>
        </w:tc>
        <w:tc>
          <w:tcPr>
            <w:tcW w:w="1121" w:type="dxa"/>
          </w:tcPr>
          <w:p w14:paraId="427D1335">
            <w:pPr>
              <w:jc w:val="center"/>
              <w:rPr>
                <w:rFonts w:ascii="宋体" w:cs="宋体"/>
                <w:bCs/>
                <w:color w:val="000000" w:themeColor="text1"/>
                <w:sz w:val="24"/>
                <w:highlight w:val="none"/>
                <w14:textFill>
                  <w14:solidFill>
                    <w14:schemeClr w14:val="tx1"/>
                  </w14:solidFill>
                </w14:textFill>
              </w:rPr>
            </w:pPr>
          </w:p>
        </w:tc>
        <w:tc>
          <w:tcPr>
            <w:tcW w:w="1155" w:type="dxa"/>
          </w:tcPr>
          <w:p w14:paraId="0D95BB24">
            <w:pPr>
              <w:jc w:val="center"/>
              <w:rPr>
                <w:rFonts w:ascii="宋体" w:cs="宋体"/>
                <w:bCs/>
                <w:color w:val="000000" w:themeColor="text1"/>
                <w:sz w:val="24"/>
                <w:highlight w:val="none"/>
                <w14:textFill>
                  <w14:solidFill>
                    <w14:schemeClr w14:val="tx1"/>
                  </w14:solidFill>
                </w14:textFill>
              </w:rPr>
            </w:pPr>
          </w:p>
        </w:tc>
        <w:tc>
          <w:tcPr>
            <w:tcW w:w="1155" w:type="dxa"/>
          </w:tcPr>
          <w:p w14:paraId="0E54969C">
            <w:pPr>
              <w:jc w:val="center"/>
              <w:rPr>
                <w:rFonts w:ascii="宋体" w:cs="宋体"/>
                <w:bCs/>
                <w:color w:val="000000" w:themeColor="text1"/>
                <w:sz w:val="24"/>
                <w:highlight w:val="none"/>
                <w14:textFill>
                  <w14:solidFill>
                    <w14:schemeClr w14:val="tx1"/>
                  </w14:solidFill>
                </w14:textFill>
              </w:rPr>
            </w:pPr>
          </w:p>
        </w:tc>
        <w:tc>
          <w:tcPr>
            <w:tcW w:w="1155" w:type="dxa"/>
          </w:tcPr>
          <w:p w14:paraId="6F0DF7D8">
            <w:pPr>
              <w:jc w:val="center"/>
              <w:rPr>
                <w:rFonts w:ascii="宋体" w:cs="宋体"/>
                <w:bCs/>
                <w:color w:val="000000" w:themeColor="text1"/>
                <w:sz w:val="24"/>
                <w:highlight w:val="none"/>
                <w14:textFill>
                  <w14:solidFill>
                    <w14:schemeClr w14:val="tx1"/>
                  </w14:solidFill>
                </w14:textFill>
              </w:rPr>
            </w:pPr>
          </w:p>
        </w:tc>
        <w:tc>
          <w:tcPr>
            <w:tcW w:w="1419" w:type="dxa"/>
          </w:tcPr>
          <w:p w14:paraId="0529BD3C">
            <w:pPr>
              <w:jc w:val="center"/>
              <w:rPr>
                <w:rFonts w:ascii="宋体" w:cs="宋体"/>
                <w:bCs/>
                <w:color w:val="000000" w:themeColor="text1"/>
                <w:sz w:val="24"/>
                <w:highlight w:val="none"/>
                <w14:textFill>
                  <w14:solidFill>
                    <w14:schemeClr w14:val="tx1"/>
                  </w14:solidFill>
                </w14:textFill>
              </w:rPr>
            </w:pPr>
          </w:p>
        </w:tc>
        <w:tc>
          <w:tcPr>
            <w:tcW w:w="890" w:type="dxa"/>
          </w:tcPr>
          <w:p w14:paraId="6C3B8B10">
            <w:pPr>
              <w:jc w:val="center"/>
              <w:rPr>
                <w:rFonts w:ascii="宋体" w:cs="宋体"/>
                <w:bCs/>
                <w:color w:val="000000" w:themeColor="text1"/>
                <w:sz w:val="24"/>
                <w:highlight w:val="none"/>
                <w14:textFill>
                  <w14:solidFill>
                    <w14:schemeClr w14:val="tx1"/>
                  </w14:solidFill>
                </w14:textFill>
              </w:rPr>
            </w:pPr>
          </w:p>
        </w:tc>
      </w:tr>
      <w:tr w14:paraId="5A25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8" w:type="dxa"/>
          </w:tcPr>
          <w:p w14:paraId="15E10D89">
            <w:pPr>
              <w:jc w:val="center"/>
              <w:rPr>
                <w:rFonts w:ascii="宋体" w:cs="宋体"/>
                <w:bCs/>
                <w:color w:val="000000" w:themeColor="text1"/>
                <w:sz w:val="24"/>
                <w:highlight w:val="none"/>
                <w14:textFill>
                  <w14:solidFill>
                    <w14:schemeClr w14:val="tx1"/>
                  </w14:solidFill>
                </w14:textFill>
              </w:rPr>
            </w:pPr>
          </w:p>
        </w:tc>
        <w:tc>
          <w:tcPr>
            <w:tcW w:w="1634" w:type="dxa"/>
          </w:tcPr>
          <w:p w14:paraId="61B5082B">
            <w:pPr>
              <w:jc w:val="center"/>
              <w:rPr>
                <w:rFonts w:ascii="宋体" w:cs="宋体"/>
                <w:bCs/>
                <w:color w:val="000000" w:themeColor="text1"/>
                <w:sz w:val="24"/>
                <w:highlight w:val="none"/>
                <w14:textFill>
                  <w14:solidFill>
                    <w14:schemeClr w14:val="tx1"/>
                  </w14:solidFill>
                </w14:textFill>
              </w:rPr>
            </w:pPr>
          </w:p>
        </w:tc>
        <w:tc>
          <w:tcPr>
            <w:tcW w:w="1121" w:type="dxa"/>
          </w:tcPr>
          <w:p w14:paraId="3787E4D2">
            <w:pPr>
              <w:jc w:val="center"/>
              <w:rPr>
                <w:rFonts w:ascii="宋体" w:cs="宋体"/>
                <w:bCs/>
                <w:color w:val="000000" w:themeColor="text1"/>
                <w:sz w:val="24"/>
                <w:highlight w:val="none"/>
                <w14:textFill>
                  <w14:solidFill>
                    <w14:schemeClr w14:val="tx1"/>
                  </w14:solidFill>
                </w14:textFill>
              </w:rPr>
            </w:pPr>
          </w:p>
        </w:tc>
        <w:tc>
          <w:tcPr>
            <w:tcW w:w="1155" w:type="dxa"/>
          </w:tcPr>
          <w:p w14:paraId="459D882D">
            <w:pPr>
              <w:jc w:val="center"/>
              <w:rPr>
                <w:rFonts w:ascii="宋体" w:cs="宋体"/>
                <w:bCs/>
                <w:color w:val="000000" w:themeColor="text1"/>
                <w:sz w:val="24"/>
                <w:highlight w:val="none"/>
                <w14:textFill>
                  <w14:solidFill>
                    <w14:schemeClr w14:val="tx1"/>
                  </w14:solidFill>
                </w14:textFill>
              </w:rPr>
            </w:pPr>
          </w:p>
        </w:tc>
        <w:tc>
          <w:tcPr>
            <w:tcW w:w="1155" w:type="dxa"/>
          </w:tcPr>
          <w:p w14:paraId="2207ADFC">
            <w:pPr>
              <w:jc w:val="center"/>
              <w:rPr>
                <w:rFonts w:ascii="宋体" w:cs="宋体"/>
                <w:bCs/>
                <w:color w:val="000000" w:themeColor="text1"/>
                <w:sz w:val="24"/>
                <w:highlight w:val="none"/>
                <w14:textFill>
                  <w14:solidFill>
                    <w14:schemeClr w14:val="tx1"/>
                  </w14:solidFill>
                </w14:textFill>
              </w:rPr>
            </w:pPr>
          </w:p>
        </w:tc>
        <w:tc>
          <w:tcPr>
            <w:tcW w:w="1155" w:type="dxa"/>
          </w:tcPr>
          <w:p w14:paraId="578F0EEE">
            <w:pPr>
              <w:jc w:val="center"/>
              <w:rPr>
                <w:rFonts w:ascii="宋体" w:cs="宋体"/>
                <w:bCs/>
                <w:color w:val="000000" w:themeColor="text1"/>
                <w:sz w:val="24"/>
                <w:highlight w:val="none"/>
                <w14:textFill>
                  <w14:solidFill>
                    <w14:schemeClr w14:val="tx1"/>
                  </w14:solidFill>
                </w14:textFill>
              </w:rPr>
            </w:pPr>
          </w:p>
        </w:tc>
        <w:tc>
          <w:tcPr>
            <w:tcW w:w="1419" w:type="dxa"/>
          </w:tcPr>
          <w:p w14:paraId="0B4A803D">
            <w:pPr>
              <w:jc w:val="center"/>
              <w:rPr>
                <w:rFonts w:ascii="宋体" w:cs="宋体"/>
                <w:bCs/>
                <w:color w:val="000000" w:themeColor="text1"/>
                <w:sz w:val="24"/>
                <w:highlight w:val="none"/>
                <w14:textFill>
                  <w14:solidFill>
                    <w14:schemeClr w14:val="tx1"/>
                  </w14:solidFill>
                </w14:textFill>
              </w:rPr>
            </w:pPr>
          </w:p>
        </w:tc>
        <w:tc>
          <w:tcPr>
            <w:tcW w:w="890" w:type="dxa"/>
          </w:tcPr>
          <w:p w14:paraId="28B2FFDC">
            <w:pPr>
              <w:jc w:val="center"/>
              <w:rPr>
                <w:rFonts w:ascii="宋体" w:cs="宋体"/>
                <w:bCs/>
                <w:color w:val="000000" w:themeColor="text1"/>
                <w:sz w:val="24"/>
                <w:highlight w:val="none"/>
                <w14:textFill>
                  <w14:solidFill>
                    <w14:schemeClr w14:val="tx1"/>
                  </w14:solidFill>
                </w14:textFill>
              </w:rPr>
            </w:pPr>
          </w:p>
        </w:tc>
      </w:tr>
    </w:tbl>
    <w:p w14:paraId="0AF4AE08">
      <w:pPr>
        <w:spacing w:line="360" w:lineRule="auto"/>
        <w:jc w:val="center"/>
        <w:rPr>
          <w:rFonts w:ascii="宋体" w:cs="宋体"/>
          <w:b/>
          <w:color w:val="000000" w:themeColor="text1"/>
          <w:sz w:val="32"/>
          <w:szCs w:val="32"/>
          <w:highlight w:val="none"/>
          <w14:textFill>
            <w14:solidFill>
              <w14:schemeClr w14:val="tx1"/>
            </w14:solidFill>
          </w14:textFill>
        </w:rPr>
      </w:pPr>
    </w:p>
    <w:p w14:paraId="1705371F">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注：本表须后附相关人员身份证、相关证书（如有）、在职证明（劳动合同或社保证明）等证明材料</w:t>
      </w:r>
      <w:r>
        <w:rPr>
          <w:rFonts w:hint="eastAsia" w:ascii="宋体" w:cs="宋体"/>
          <w:b/>
          <w:color w:val="000000" w:themeColor="text1"/>
          <w:sz w:val="32"/>
          <w:szCs w:val="32"/>
          <w:highlight w:val="none"/>
          <w14:textFill>
            <w14:solidFill>
              <w14:schemeClr w14:val="tx1"/>
            </w14:solidFill>
          </w14:textFill>
        </w:rPr>
        <w:br w:type="page"/>
      </w:r>
    </w:p>
    <w:p w14:paraId="31F40911">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12、</w:t>
      </w:r>
      <w:bookmarkStart w:id="111" w:name="_Toc424468844"/>
      <w:r>
        <w:rPr>
          <w:rFonts w:hint="eastAsia" w:ascii="宋体" w:cs="宋体"/>
          <w:b/>
          <w:color w:val="000000" w:themeColor="text1"/>
          <w:sz w:val="32"/>
          <w:szCs w:val="32"/>
          <w:highlight w:val="none"/>
          <w14:textFill>
            <w14:solidFill>
              <w14:schemeClr w14:val="tx1"/>
            </w14:solidFill>
          </w14:textFill>
        </w:rPr>
        <w:t>信誉承诺书</w:t>
      </w:r>
    </w:p>
    <w:p w14:paraId="4F260581">
      <w:pPr>
        <w:pStyle w:val="9"/>
        <w:rPr>
          <w:rFonts w:ascii="宋体" w:eastAsia="宋体" w:cs="宋体"/>
          <w:color w:val="000000" w:themeColor="text1"/>
          <w:highlight w:val="none"/>
          <w14:textFill>
            <w14:solidFill>
              <w14:schemeClr w14:val="tx1"/>
            </w14:solidFill>
          </w14:textFill>
        </w:rPr>
      </w:pPr>
    </w:p>
    <w:p w14:paraId="3BBE8E2C">
      <w:pPr>
        <w:tabs>
          <w:tab w:val="left" w:pos="1365"/>
        </w:tabs>
        <w:spacing w:line="360" w:lineRule="auto"/>
        <w:jc w:val="center"/>
        <w:rPr>
          <w:rFonts w:ascii="宋体" w:cs="宋体"/>
          <w:color w:val="000000" w:themeColor="text1"/>
          <w:sz w:val="28"/>
          <w:szCs w:val="32"/>
          <w:highlight w:val="none"/>
          <w14:textFill>
            <w14:solidFill>
              <w14:schemeClr w14:val="tx1"/>
            </w14:solidFill>
          </w14:textFill>
        </w:rPr>
      </w:pPr>
      <w:r>
        <w:rPr>
          <w:rFonts w:hint="eastAsia" w:ascii="宋体" w:cs="宋体"/>
          <w:color w:val="000000" w:themeColor="text1"/>
          <w:sz w:val="28"/>
          <w:szCs w:val="32"/>
          <w:highlight w:val="none"/>
          <w14:textFill>
            <w14:solidFill>
              <w14:schemeClr w14:val="tx1"/>
            </w14:solidFill>
          </w14:textFill>
        </w:rPr>
        <w:t>（格式自拟）</w:t>
      </w:r>
    </w:p>
    <w:bookmarkEnd w:id="111"/>
    <w:p w14:paraId="7ECA1972">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08F8A6DB">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13、磋商保证金</w:t>
      </w:r>
    </w:p>
    <w:p w14:paraId="05742AED">
      <w:pPr>
        <w:spacing w:line="48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致：</w:t>
      </w:r>
      <w:r>
        <w:rPr>
          <w:rFonts w:hint="eastAsia" w:ascii="宋体" w:cs="宋体"/>
          <w:color w:val="000000" w:themeColor="text1"/>
          <w:sz w:val="24"/>
          <w:highlight w:val="none"/>
          <w:u w:val="single"/>
          <w14:textFill>
            <w14:solidFill>
              <w14:schemeClr w14:val="tx1"/>
            </w14:solidFill>
          </w14:textFill>
        </w:rPr>
        <w:t xml:space="preserve">     （采购人名称）</w:t>
      </w:r>
      <w:r>
        <w:rPr>
          <w:rFonts w:hint="eastAsia" w:ascii="宋体" w:cs="宋体"/>
          <w:color w:val="000000" w:themeColor="text1"/>
          <w:sz w:val="24"/>
          <w:highlight w:val="none"/>
          <w:u w:val="single"/>
          <w14:textFill>
            <w14:solidFill>
              <w14:schemeClr w14:val="tx1"/>
            </w14:solidFill>
          </w14:textFill>
        </w:rPr>
        <w:tab/>
      </w:r>
      <w:r>
        <w:rPr>
          <w:rFonts w:hint="eastAsia" w:ascii="宋体" w:cs="宋体"/>
          <w:color w:val="000000" w:themeColor="text1"/>
          <w:sz w:val="24"/>
          <w:highlight w:val="none"/>
          <w:u w:val="single"/>
          <w14:textFill>
            <w14:solidFill>
              <w14:schemeClr w14:val="tx1"/>
            </w14:solidFill>
          </w14:textFill>
        </w:rPr>
        <w:tab/>
      </w:r>
    </w:p>
    <w:p w14:paraId="3544E8C5">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 xml:space="preserve">        （供应商名称）    </w:t>
      </w:r>
      <w:r>
        <w:rPr>
          <w:rFonts w:hint="eastAsia" w:ascii="宋体" w:cs="宋体"/>
          <w:color w:val="000000" w:themeColor="text1"/>
          <w:sz w:val="24"/>
          <w:highlight w:val="none"/>
          <w14:textFill>
            <w14:solidFill>
              <w14:schemeClr w14:val="tx1"/>
            </w14:solidFill>
          </w14:textFill>
        </w:rPr>
        <w:t>（以下称“供应商”）于</w:t>
      </w:r>
      <w:r>
        <w:rPr>
          <w:rFonts w:hint="eastAsia" w:ascii="宋体" w:cs="宋体"/>
          <w:color w:val="000000" w:themeColor="text1"/>
          <w:sz w:val="24"/>
          <w:highlight w:val="none"/>
          <w:u w:val="single"/>
          <w14:textFill>
            <w14:solidFill>
              <w14:schemeClr w14:val="tx1"/>
            </w14:solidFill>
          </w14:textFill>
        </w:rPr>
        <w:t xml:space="preserve">    年   月   日</w:t>
      </w:r>
      <w:r>
        <w:rPr>
          <w:rFonts w:hint="eastAsia" w:ascii="宋体" w:cs="宋体"/>
          <w:color w:val="000000" w:themeColor="text1"/>
          <w:sz w:val="24"/>
          <w:highlight w:val="none"/>
          <w14:textFill>
            <w14:solidFill>
              <w14:schemeClr w14:val="tx1"/>
            </w14:solidFill>
          </w14:textFill>
        </w:rPr>
        <w:t>递交了</w:t>
      </w:r>
      <w:r>
        <w:rPr>
          <w:rFonts w:hint="eastAsia" w:ascii="宋体" w:cs="宋体"/>
          <w:color w:val="000000" w:themeColor="text1"/>
          <w:sz w:val="24"/>
          <w:highlight w:val="none"/>
          <w:u w:val="single"/>
          <w14:textFill>
            <w14:solidFill>
              <w14:schemeClr w14:val="tx1"/>
            </w14:solidFill>
          </w14:textFill>
        </w:rPr>
        <w:t xml:space="preserve">    （项目名称、项目编号）    </w:t>
      </w:r>
      <w:r>
        <w:rPr>
          <w:rFonts w:hint="eastAsia" w:ascii="宋体" w:cs="宋体"/>
          <w:color w:val="000000" w:themeColor="text1"/>
          <w:sz w:val="24"/>
          <w:highlight w:val="none"/>
          <w14:textFill>
            <w14:solidFill>
              <w14:schemeClr w14:val="tx1"/>
            </w14:solidFill>
          </w14:textFill>
        </w:rPr>
        <w:t>的磋商保证金人民币元；</w:t>
      </w:r>
    </w:p>
    <w:p w14:paraId="6348E3C9">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如果我方在磋商有效期内收到你方的成交通知书后</w:t>
      </w:r>
    </w:p>
    <w:p w14:paraId="6287E667">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1、不能或拒绝按供应商须知的要求签署合同协议书；</w:t>
      </w:r>
    </w:p>
    <w:p w14:paraId="25EBD874">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2、在磋商有效期内撤回磋商响应文件。</w:t>
      </w:r>
    </w:p>
    <w:p w14:paraId="2B8FC7A4">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否则你方有权没收我方的磋商保证金。</w:t>
      </w:r>
    </w:p>
    <w:p w14:paraId="04B23476">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我方同意竞争性磋商文件有关磋商保证金规定，并对我方有约束力。</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6058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14:paraId="03406CC4">
            <w:pPr>
              <w:rPr>
                <w:rFonts w:ascii="宋体" w:cs="宋体"/>
                <w:b/>
                <w:color w:val="000000" w:themeColor="text1"/>
                <w:sz w:val="24"/>
                <w:highlight w:val="none"/>
                <w14:textFill>
                  <w14:solidFill>
                    <w14:schemeClr w14:val="tx1"/>
                  </w14:solidFill>
                </w14:textFill>
              </w:rPr>
            </w:pPr>
          </w:p>
          <w:p w14:paraId="073D7FC2">
            <w:pPr>
              <w:ind w:firstLine="361" w:firstLineChars="150"/>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附:银行进账回单</w:t>
            </w:r>
          </w:p>
          <w:p w14:paraId="5B536CA2">
            <w:pPr>
              <w:ind w:firstLine="361" w:firstLineChars="150"/>
              <w:rPr>
                <w:rFonts w:ascii="宋体" w:cs="宋体"/>
                <w:b/>
                <w:color w:val="000000" w:themeColor="text1"/>
                <w:sz w:val="24"/>
                <w:highlight w:val="none"/>
                <w14:textFill>
                  <w14:solidFill>
                    <w14:schemeClr w14:val="tx1"/>
                  </w14:solidFill>
                </w14:textFill>
              </w:rPr>
            </w:pPr>
          </w:p>
          <w:p w14:paraId="2823774C">
            <w:pPr>
              <w:ind w:firstLine="361" w:firstLineChars="150"/>
              <w:rPr>
                <w:rFonts w:ascii="宋体" w:cs="宋体"/>
                <w:b/>
                <w:color w:val="000000" w:themeColor="text1"/>
                <w:sz w:val="24"/>
                <w:highlight w:val="none"/>
                <w14:textFill>
                  <w14:solidFill>
                    <w14:schemeClr w14:val="tx1"/>
                  </w14:solidFill>
                </w14:textFill>
              </w:rPr>
            </w:pPr>
          </w:p>
          <w:p w14:paraId="221EDA92">
            <w:pPr>
              <w:ind w:firstLine="361" w:firstLineChars="150"/>
              <w:rPr>
                <w:rFonts w:ascii="宋体" w:cs="宋体"/>
                <w:b/>
                <w:color w:val="000000" w:themeColor="text1"/>
                <w:sz w:val="24"/>
                <w:highlight w:val="none"/>
                <w14:textFill>
                  <w14:solidFill>
                    <w14:schemeClr w14:val="tx1"/>
                  </w14:solidFill>
                </w14:textFill>
              </w:rPr>
            </w:pPr>
          </w:p>
          <w:p w14:paraId="5EA9684C">
            <w:pPr>
              <w:rPr>
                <w:rFonts w:ascii="宋体" w:cs="宋体"/>
                <w:color w:val="000000" w:themeColor="text1"/>
                <w:sz w:val="24"/>
                <w:highlight w:val="none"/>
                <w14:textFill>
                  <w14:solidFill>
                    <w14:schemeClr w14:val="tx1"/>
                  </w14:solidFill>
                </w14:textFill>
              </w:rPr>
            </w:pPr>
          </w:p>
          <w:p w14:paraId="0E6CA3B4">
            <w:pPr>
              <w:rPr>
                <w:rFonts w:ascii="宋体" w:cs="宋体"/>
                <w:color w:val="000000" w:themeColor="text1"/>
                <w:sz w:val="24"/>
                <w:highlight w:val="none"/>
                <w14:textFill>
                  <w14:solidFill>
                    <w14:schemeClr w14:val="tx1"/>
                  </w14:solidFill>
                </w14:textFill>
              </w:rPr>
            </w:pPr>
          </w:p>
          <w:p w14:paraId="1B5B785E">
            <w:pPr>
              <w:rPr>
                <w:rFonts w:ascii="宋体" w:cs="宋体"/>
                <w:color w:val="000000" w:themeColor="text1"/>
                <w:sz w:val="24"/>
                <w:highlight w:val="none"/>
                <w14:textFill>
                  <w14:solidFill>
                    <w14:schemeClr w14:val="tx1"/>
                  </w14:solidFill>
                </w14:textFill>
              </w:rPr>
            </w:pPr>
          </w:p>
        </w:tc>
      </w:tr>
    </w:tbl>
    <w:p w14:paraId="50247DC5">
      <w:pPr>
        <w:rPr>
          <w:rFonts w:ascii="宋体" w:cs="宋体"/>
          <w:color w:val="000000" w:themeColor="text1"/>
          <w:sz w:val="24"/>
          <w:highlight w:val="none"/>
          <w14:textFill>
            <w14:solidFill>
              <w14:schemeClr w14:val="tx1"/>
            </w14:solidFill>
          </w14:textFill>
        </w:rPr>
      </w:pPr>
    </w:p>
    <w:p w14:paraId="549B33FA">
      <w:pPr>
        <w:rPr>
          <w:rFonts w:ascii="宋体" w:cs="宋体"/>
          <w:color w:val="000000" w:themeColor="text1"/>
          <w:sz w:val="24"/>
          <w:highlight w:val="none"/>
          <w14:textFill>
            <w14:solidFill>
              <w14:schemeClr w14:val="tx1"/>
            </w14:solidFill>
          </w14:textFill>
        </w:rPr>
      </w:pPr>
    </w:p>
    <w:p w14:paraId="4E14F5E8">
      <w:pPr>
        <w:autoSpaceDE w:val="0"/>
        <w:autoSpaceDN w:val="0"/>
        <w:adjustRightInd w:val="0"/>
        <w:spacing w:line="360" w:lineRule="auto"/>
        <w:ind w:right="480" w:firstLine="6120" w:firstLineChars="25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1237B7A6">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3B7CF8DC">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5315230A">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01D1461">
      <w:pPr>
        <w:autoSpaceDE w:val="0"/>
        <w:autoSpaceDN w:val="0"/>
        <w:adjustRightInd w:val="0"/>
        <w:ind w:right="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16FBAD40">
      <w:pPr>
        <w:rPr>
          <w:rFonts w:ascii="宋体" w:cs="宋体"/>
          <w:color w:val="000000" w:themeColor="text1"/>
          <w:sz w:val="24"/>
          <w:highlight w:val="none"/>
          <w:lang w:val="zh-CN"/>
          <w14:textFill>
            <w14:solidFill>
              <w14:schemeClr w14:val="tx1"/>
            </w14:solidFill>
          </w14:textFill>
        </w:rPr>
      </w:pPr>
    </w:p>
    <w:p w14:paraId="65127A9D">
      <w:pPr>
        <w:rPr>
          <w:rFonts w:ascii="宋体" w:cs="宋体"/>
          <w:b/>
          <w:bCs/>
          <w:color w:val="000000" w:themeColor="text1"/>
          <w:szCs w:val="21"/>
          <w:highlight w:val="none"/>
          <w:lang w:val="zh-CN"/>
          <w14:textFill>
            <w14:solidFill>
              <w14:schemeClr w14:val="tx1"/>
            </w14:solidFill>
          </w14:textFill>
        </w:rPr>
      </w:pPr>
      <w:r>
        <w:rPr>
          <w:rFonts w:hint="eastAsia" w:ascii="宋体" w:cs="宋体"/>
          <w:b/>
          <w:bCs/>
          <w:color w:val="000000" w:themeColor="text1"/>
          <w:szCs w:val="21"/>
          <w:highlight w:val="none"/>
          <w:lang w:val="zh-CN"/>
          <w14:textFill>
            <w14:solidFill>
              <w14:schemeClr w14:val="tx1"/>
            </w14:solidFill>
          </w14:textFill>
        </w:rPr>
        <w:t>注：</w:t>
      </w:r>
      <w:r>
        <w:rPr>
          <w:rFonts w:hint="eastAsia" w:ascii="宋体" w:cs="宋体"/>
          <w:b/>
          <w:bCs/>
          <w:color w:val="000000" w:themeColor="text1"/>
          <w:szCs w:val="21"/>
          <w:highlight w:val="none"/>
          <w14:textFill>
            <w14:solidFill>
              <w14:schemeClr w14:val="tx1"/>
            </w14:solidFill>
          </w14:textFill>
        </w:rPr>
        <w:t>1、</w:t>
      </w:r>
      <w:r>
        <w:rPr>
          <w:rFonts w:hint="eastAsia" w:ascii="宋体" w:cs="宋体"/>
          <w:b/>
          <w:bCs/>
          <w:color w:val="000000" w:themeColor="text1"/>
          <w:szCs w:val="21"/>
          <w:highlight w:val="none"/>
          <w:lang w:val="zh-CN"/>
          <w14:textFill>
            <w14:solidFill>
              <w14:schemeClr w14:val="tx1"/>
            </w14:solidFill>
          </w14:textFill>
        </w:rPr>
        <w:t>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29FC2A88">
      <w:pPr>
        <w:ind w:firstLine="422" w:firstLineChars="200"/>
        <w:rPr>
          <w:rFonts w:ascii="宋体" w:cs="宋体"/>
          <w:b/>
          <w:color w:val="000000" w:themeColor="text1"/>
          <w:sz w:val="32"/>
          <w:szCs w:val="32"/>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w:t>
      </w:r>
      <w:r>
        <w:rPr>
          <w:rFonts w:hint="eastAsia" w:ascii="宋体" w:cs="宋体"/>
          <w:b/>
          <w:bCs/>
          <w:color w:val="000000" w:themeColor="text1"/>
          <w:szCs w:val="21"/>
          <w:highlight w:val="none"/>
          <w:lang w:val="zh-CN"/>
          <w14:textFill>
            <w14:solidFill>
              <w14:schemeClr w14:val="tx1"/>
            </w14:solidFill>
          </w14:textFill>
        </w:rPr>
        <w:t>信誉良好的供应商无须递交磋商保证金，但须在此处提供经“信用中国”网站查询不存在行政处罚信息截图。</w:t>
      </w:r>
      <w:r>
        <w:rPr>
          <w:rFonts w:hint="eastAsia" w:ascii="宋体" w:cs="宋体"/>
          <w:b/>
          <w:color w:val="000000" w:themeColor="text1"/>
          <w:sz w:val="32"/>
          <w:szCs w:val="32"/>
          <w:highlight w:val="none"/>
          <w14:textFill>
            <w14:solidFill>
              <w14:schemeClr w14:val="tx1"/>
            </w14:solidFill>
          </w14:textFill>
        </w:rPr>
        <w:br w:type="page"/>
      </w:r>
    </w:p>
    <w:p w14:paraId="28D967F0">
      <w:pPr>
        <w:ind w:left="-710" w:leftChars="-338" w:firstLine="643" w:firstLineChars="200"/>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14、服务承诺书</w:t>
      </w:r>
    </w:p>
    <w:p w14:paraId="26CCD84E">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致：（采购人、采购代理机构）</w:t>
      </w:r>
    </w:p>
    <w:p w14:paraId="15B7BF3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我公司自愿参加项目（项目名称</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采购编号）的投标。我公司郑重承诺，如果我公司的投标被评定为成交，我公司对于成交项目，除完全响应</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文件对伴随服务和售后服务的所有要求外，还将按照以下条款提供优质和完善的售后服务：</w:t>
      </w:r>
    </w:p>
    <w:p w14:paraId="3266AE9A">
      <w:pPr>
        <w:numPr>
          <w:ilvl w:val="0"/>
          <w:numId w:val="6"/>
        </w:num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我公司成交后将为采购人提供下列售后服务项目：</w:t>
      </w:r>
    </w:p>
    <w:p w14:paraId="33F17ACC">
      <w:pPr>
        <w:pStyle w:val="25"/>
        <w:ind w:firstLine="0"/>
        <w:rPr>
          <w:rFonts w:ascii="宋体" w:eastAsia="宋体" w:cs="宋体"/>
          <w:color w:val="000000" w:themeColor="text1"/>
          <w:highlight w:val="none"/>
          <w14:textFill>
            <w14:solidFill>
              <w14:schemeClr w14:val="tx1"/>
            </w14:solidFill>
          </w14:textFill>
        </w:rPr>
      </w:pPr>
    </w:p>
    <w:p w14:paraId="7C873AAF">
      <w:pPr>
        <w:numPr>
          <w:ilvl w:val="0"/>
          <w:numId w:val="6"/>
        </w:num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我公司的售后服务响应及到达现场的时间：</w:t>
      </w:r>
    </w:p>
    <w:p w14:paraId="72ED2D1C">
      <w:pPr>
        <w:pStyle w:val="25"/>
        <w:ind w:left="480" w:firstLine="0"/>
        <w:rPr>
          <w:rFonts w:ascii="宋体" w:eastAsia="宋体" w:cs="宋体"/>
          <w:color w:val="000000" w:themeColor="text1"/>
          <w:highlight w:val="none"/>
          <w:lang w:val="zh-CN"/>
          <w14:textFill>
            <w14:solidFill>
              <w14:schemeClr w14:val="tx1"/>
            </w14:solidFill>
          </w14:textFill>
        </w:rPr>
      </w:pPr>
    </w:p>
    <w:p w14:paraId="125FD68B">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3、我公司用于本项目的售后服务人员、设备情况及质量保证措施：</w:t>
      </w:r>
    </w:p>
    <w:p w14:paraId="379AA3F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4、……。</w:t>
      </w:r>
    </w:p>
    <w:p w14:paraId="69E30EBB">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57F27EF0">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7DFA72A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5A30C2A4">
      <w:pPr>
        <w:autoSpaceDE w:val="0"/>
        <w:autoSpaceDN w:val="0"/>
        <w:adjustRightInd w:val="0"/>
        <w:spacing w:line="360" w:lineRule="auto"/>
        <w:ind w:right="480" w:firstLine="6120" w:firstLineChars="2550"/>
        <w:rPr>
          <w:rFonts w:ascii="宋体" w:cs="宋体"/>
          <w:color w:val="000000" w:themeColor="text1"/>
          <w:sz w:val="24"/>
          <w:highlight w:val="none"/>
          <w:lang w:val="zh-CN"/>
          <w14:textFill>
            <w14:solidFill>
              <w14:schemeClr w14:val="tx1"/>
            </w14:solidFill>
          </w14:textFill>
        </w:rPr>
      </w:pPr>
      <w:bookmarkStart w:id="112" w:name="_Toc237236999"/>
      <w:bookmarkStart w:id="113" w:name="_Toc237200087"/>
      <w:bookmarkStart w:id="114" w:name="_Toc332217856"/>
      <w:bookmarkStart w:id="115" w:name="_Toc237200211"/>
      <w:bookmarkStart w:id="116" w:name="_Toc237199968"/>
      <w:bookmarkStart w:id="117" w:name="_Toc238185769"/>
      <w:bookmarkStart w:id="118" w:name="_Toc332735797"/>
      <w:bookmarkStart w:id="119" w:name="_Toc237328732"/>
      <w:bookmarkStart w:id="120" w:name="_Toc332735965"/>
      <w:bookmarkStart w:id="121" w:name="_Toc237329054"/>
      <w:r>
        <w:rPr>
          <w:rFonts w:hint="eastAsia" w:ascii="宋体" w:cs="宋体"/>
          <w:color w:val="000000" w:themeColor="text1"/>
          <w:sz w:val="24"/>
          <w:highlight w:val="none"/>
          <w:lang w:val="zh-CN"/>
          <w14:textFill>
            <w14:solidFill>
              <w14:schemeClr w14:val="tx1"/>
            </w14:solidFill>
          </w14:textFill>
        </w:rPr>
        <w:t>供应商名称（盖章）：</w:t>
      </w:r>
      <w:bookmarkEnd w:id="112"/>
      <w:bookmarkEnd w:id="113"/>
      <w:bookmarkEnd w:id="114"/>
      <w:bookmarkEnd w:id="115"/>
      <w:bookmarkEnd w:id="116"/>
      <w:bookmarkEnd w:id="117"/>
      <w:bookmarkEnd w:id="118"/>
      <w:bookmarkEnd w:id="119"/>
      <w:bookmarkEnd w:id="120"/>
      <w:bookmarkEnd w:id="121"/>
    </w:p>
    <w:p w14:paraId="203DF809">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78FBB973">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3AA670F7">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78CBEC5">
      <w:pPr>
        <w:autoSpaceDE w:val="0"/>
        <w:autoSpaceDN w:val="0"/>
        <w:adjustRightInd w:val="0"/>
        <w:ind w:right="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4622392A">
      <w:pPr>
        <w:jc w:val="right"/>
        <w:rPr>
          <w:rFonts w:ascii="宋体" w:cs="宋体"/>
          <w:color w:val="000000" w:themeColor="text1"/>
          <w:sz w:val="24"/>
          <w:highlight w:val="none"/>
          <w14:textFill>
            <w14:solidFill>
              <w14:schemeClr w14:val="tx1"/>
            </w14:solidFill>
          </w14:textFill>
        </w:rPr>
      </w:pPr>
    </w:p>
    <w:p w14:paraId="3BE93ACF">
      <w:pPr>
        <w:jc w:val="right"/>
        <w:rPr>
          <w:rFonts w:ascii="宋体" w:cs="宋体"/>
          <w:color w:val="000000" w:themeColor="text1"/>
          <w:sz w:val="24"/>
          <w:highlight w:val="none"/>
          <w14:textFill>
            <w14:solidFill>
              <w14:schemeClr w14:val="tx1"/>
            </w14:solidFill>
          </w14:textFill>
        </w:rPr>
      </w:pPr>
    </w:p>
    <w:p w14:paraId="695E4E89">
      <w:pPr>
        <w:rPr>
          <w:rFonts w:ascii="宋体" w:cs="宋体"/>
          <w:color w:val="000000" w:themeColor="text1"/>
          <w:sz w:val="24"/>
          <w:highlight w:val="none"/>
          <w14:textFill>
            <w14:solidFill>
              <w14:schemeClr w14:val="tx1"/>
            </w14:solidFill>
          </w14:textFill>
        </w:rPr>
      </w:pPr>
    </w:p>
    <w:p w14:paraId="5AB83C23">
      <w:pPr>
        <w:spacing w:line="360" w:lineRule="auto"/>
        <w:rPr>
          <w:rFonts w:ascii="宋体" w:cs="宋体"/>
          <w:b/>
          <w:color w:val="000000" w:themeColor="text1"/>
          <w:sz w:val="24"/>
          <w:highlight w:val="none"/>
          <w14:textFill>
            <w14:solidFill>
              <w14:schemeClr w14:val="tx1"/>
            </w14:solidFill>
          </w14:textFill>
        </w:rPr>
      </w:pPr>
    </w:p>
    <w:p w14:paraId="77E6F4EB">
      <w:pPr>
        <w:spacing w:line="360" w:lineRule="auto"/>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注：供应商可对上述承诺内容自行增加或补充</w:t>
      </w:r>
      <w:r>
        <w:rPr>
          <w:rFonts w:hint="eastAsia" w:ascii="宋体" w:cs="宋体"/>
          <w:b/>
          <w:color w:val="000000" w:themeColor="text1"/>
          <w:sz w:val="24"/>
          <w:highlight w:val="none"/>
          <w14:textFill>
            <w14:solidFill>
              <w14:schemeClr w14:val="tx1"/>
            </w14:solidFill>
          </w14:textFill>
        </w:rPr>
        <w:t>。</w:t>
      </w:r>
    </w:p>
    <w:p w14:paraId="619EECB3">
      <w:pPr>
        <w:spacing w:line="360" w:lineRule="auto"/>
        <w:jc w:val="center"/>
        <w:rPr>
          <w:rFonts w:ascii="宋体" w:cs="宋体"/>
          <w:b/>
          <w:color w:val="000000" w:themeColor="text1"/>
          <w:sz w:val="24"/>
          <w:highlight w:val="none"/>
          <w14:textFill>
            <w14:solidFill>
              <w14:schemeClr w14:val="tx1"/>
            </w14:solidFill>
          </w14:textFill>
        </w:rPr>
        <w:sectPr>
          <w:footerReference r:id="rId7" w:type="first"/>
          <w:footerReference r:id="rId6" w:type="default"/>
          <w:pgSz w:w="11907" w:h="16840"/>
          <w:pgMar w:top="1162" w:right="1418" w:bottom="1418" w:left="1474" w:header="851" w:footer="573" w:gutter="0"/>
          <w:cols w:space="720" w:num="1"/>
          <w:titlePg/>
          <w:docGrid w:type="lines" w:linePitch="312" w:charSpace="0"/>
        </w:sectPr>
      </w:pPr>
    </w:p>
    <w:p w14:paraId="46F1146C">
      <w:pPr>
        <w:ind w:left="-710" w:leftChars="-338" w:firstLine="643" w:firstLineChars="200"/>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15、实施方案</w:t>
      </w:r>
    </w:p>
    <w:p w14:paraId="59D14F4F">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（格式内容自拟）</w:t>
      </w:r>
    </w:p>
    <w:p w14:paraId="27EF5D97">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04531C06">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15F95CB3">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6DDAFB35">
      <w:pPr>
        <w:rPr>
          <w:rFonts w:ascii="宋体" w:cs="宋体"/>
          <w:color w:val="000000" w:themeColor="text1"/>
          <w:highlight w:val="none"/>
          <w14:textFill>
            <w14:solidFill>
              <w14:schemeClr w14:val="tx1"/>
            </w14:solidFill>
          </w14:textFill>
        </w:rPr>
      </w:pPr>
    </w:p>
    <w:p w14:paraId="053AB8C1">
      <w:pPr>
        <w:rPr>
          <w:rFonts w:ascii="宋体" w:cs="宋体"/>
          <w:color w:val="000000" w:themeColor="text1"/>
          <w:highlight w:val="none"/>
          <w14:textFill>
            <w14:solidFill>
              <w14:schemeClr w14:val="tx1"/>
            </w14:solidFill>
          </w14:textFill>
        </w:rPr>
      </w:pPr>
    </w:p>
    <w:p w14:paraId="3A8DF35A">
      <w:pPr>
        <w:rPr>
          <w:rFonts w:ascii="宋体" w:cs="宋体"/>
          <w:color w:val="000000" w:themeColor="text1"/>
          <w:highlight w:val="none"/>
          <w14:textFill>
            <w14:solidFill>
              <w14:schemeClr w14:val="tx1"/>
            </w14:solidFill>
          </w14:textFill>
        </w:rPr>
      </w:pPr>
    </w:p>
    <w:p w14:paraId="746AE0DE">
      <w:pPr>
        <w:rPr>
          <w:rFonts w:ascii="宋体" w:cs="宋体"/>
          <w:color w:val="000000" w:themeColor="text1"/>
          <w:highlight w:val="none"/>
          <w14:textFill>
            <w14:solidFill>
              <w14:schemeClr w14:val="tx1"/>
            </w14:solidFill>
          </w14:textFill>
        </w:rPr>
      </w:pPr>
    </w:p>
    <w:p w14:paraId="31392A0B">
      <w:pPr>
        <w:rPr>
          <w:rFonts w:ascii="宋体" w:cs="宋体"/>
          <w:b/>
          <w:color w:val="000000" w:themeColor="text1"/>
          <w:szCs w:val="32"/>
          <w:highlight w:val="none"/>
          <w14:textFill>
            <w14:solidFill>
              <w14:schemeClr w14:val="tx1"/>
            </w14:solidFill>
          </w14:textFill>
        </w:rPr>
      </w:pPr>
      <w:bookmarkStart w:id="122" w:name="_Toc17971"/>
      <w:r>
        <w:rPr>
          <w:rFonts w:hint="eastAsia" w:ascii="宋体" w:cs="宋体"/>
          <w:color w:val="000000" w:themeColor="text1"/>
          <w:highlight w:val="none"/>
          <w14:textFill>
            <w14:solidFill>
              <w14:schemeClr w14:val="tx1"/>
            </w14:solidFill>
          </w14:textFill>
        </w:rPr>
        <w:br w:type="page"/>
      </w:r>
    </w:p>
    <w:bookmarkEnd w:id="122"/>
    <w:p w14:paraId="47B7EADD">
      <w:pPr>
        <w:tabs>
          <w:tab w:val="left" w:pos="0"/>
        </w:tabs>
        <w:jc w:val="center"/>
        <w:rPr>
          <w:rFonts w:ascii="宋体" w:cs="宋体"/>
          <w:b/>
          <w:color w:val="000000" w:themeColor="text1"/>
          <w:sz w:val="32"/>
          <w:szCs w:val="32"/>
          <w:highlight w:val="none"/>
          <w14:textFill>
            <w14:solidFill>
              <w14:schemeClr w14:val="tx1"/>
            </w14:solidFill>
          </w14:textFill>
        </w:rPr>
      </w:pPr>
      <w:bookmarkStart w:id="123" w:name="_Toc424468861"/>
      <w:r>
        <w:rPr>
          <w:rFonts w:hint="eastAsia" w:ascii="宋体" w:cs="宋体"/>
          <w:b/>
          <w:color w:val="000000" w:themeColor="text1"/>
          <w:sz w:val="32"/>
          <w:szCs w:val="32"/>
          <w:highlight w:val="none"/>
          <w14:textFill>
            <w14:solidFill>
              <w14:schemeClr w14:val="tx1"/>
            </w14:solidFill>
          </w14:textFill>
        </w:rPr>
        <w:t>16、供应商认为需要提供的其他材料</w:t>
      </w:r>
      <w:bookmarkEnd w:id="123"/>
    </w:p>
    <w:p w14:paraId="228F2D96">
      <w:pPr>
        <w:spacing w:line="360" w:lineRule="auto"/>
        <w:jc w:val="left"/>
        <w:rPr>
          <w:rFonts w:ascii="宋体" w:cs="宋体"/>
          <w:color w:val="000000" w:themeColor="text1"/>
          <w:sz w:val="28"/>
          <w:szCs w:val="28"/>
          <w:highlight w:val="none"/>
          <w14:textFill>
            <w14:solidFill>
              <w14:schemeClr w14:val="tx1"/>
            </w14:solidFill>
          </w14:textFill>
        </w:rPr>
      </w:pPr>
    </w:p>
    <w:p w14:paraId="02B9A38A">
      <w:pPr>
        <w:spacing w:line="360" w:lineRule="auto"/>
        <w:jc w:val="center"/>
        <w:rPr>
          <w:rFonts w:ascii="宋体" w:cs="宋体"/>
          <w:color w:val="000000" w:themeColor="text1"/>
          <w:sz w:val="28"/>
          <w:highlight w:val="none"/>
          <w14:textFill>
            <w14:solidFill>
              <w14:schemeClr w14:val="tx1"/>
            </w14:solidFill>
          </w14:textFill>
        </w:rPr>
      </w:pPr>
      <w:r>
        <w:rPr>
          <w:rFonts w:hint="eastAsia" w:ascii="宋体" w:cs="宋体"/>
          <w:color w:val="000000" w:themeColor="text1"/>
          <w:sz w:val="28"/>
          <w:highlight w:val="none"/>
          <w14:textFill>
            <w14:solidFill>
              <w14:schemeClr w14:val="tx1"/>
            </w14:solidFill>
          </w14:textFill>
        </w:rPr>
        <w:t>格式自拟</w:t>
      </w:r>
    </w:p>
    <w:p w14:paraId="456C56B4">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6359E033">
      <w:pPr>
        <w:keepNext/>
        <w:keepLines/>
        <w:autoSpaceDE w:val="0"/>
        <w:autoSpaceDN w:val="0"/>
        <w:spacing w:before="120" w:after="120" w:line="360" w:lineRule="auto"/>
        <w:jc w:val="left"/>
        <w:rPr>
          <w:rFonts w:ascii="宋体" w:cs="宋体"/>
          <w:b/>
          <w:bCs/>
          <w:color w:val="000000" w:themeColor="text1"/>
          <w:sz w:val="24"/>
          <w:highlight w:val="none"/>
          <w:lang w:val="zh-CN"/>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附件一：</w:t>
      </w:r>
    </w:p>
    <w:p w14:paraId="1C974311">
      <w:pPr>
        <w:pStyle w:val="3"/>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中小企业声明函(货物)</w:t>
      </w:r>
    </w:p>
    <w:p w14:paraId="51199ECE">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p>
    <w:p w14:paraId="459A67F5">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本公司（联合体）郑重声明，根据《政府采购促进中小企业发展管理办法》（财库[2020]64号）的规定，本公司（联合体）参加</w:t>
      </w:r>
      <w:r>
        <w:rPr>
          <w:rFonts w:hint="eastAsia" w:ascii="宋体" w:hAnsi="宋体" w:cs="宋体"/>
          <w:color w:val="000000" w:themeColor="text1"/>
          <w:sz w:val="24"/>
          <w:highlight w:val="none"/>
          <w:u w:val="single"/>
          <w14:textFill>
            <w14:solidFill>
              <w14:schemeClr w14:val="tx1"/>
            </w14:solidFill>
          </w14:textFill>
        </w:rPr>
        <w:t xml:space="preserve"> （单位名称）的（项目名称） </w:t>
      </w:r>
      <w:r>
        <w:rPr>
          <w:rFonts w:hint="eastAsia" w:ascii="宋体" w:hAnsi="宋体" w:cs="宋体"/>
          <w:color w:val="000000" w:themeColor="text1"/>
          <w:sz w:val="24"/>
          <w:highlight w:val="none"/>
          <w14:textFill>
            <w14:solidFill>
              <w14:schemeClr w14:val="tx1"/>
            </w14:solidFill>
          </w14:textFill>
        </w:rPr>
        <w:t>采购活动，提供的货物全部为符合政策要求的中小企业。相关企业（含联合体中的中小企业、签订分包意向协议的中小企业）的具体情况如下：</w:t>
      </w:r>
    </w:p>
    <w:p w14:paraId="7B11CBAD">
      <w:pPr>
        <w:numPr>
          <w:ilvl w:val="0"/>
          <w:numId w:val="7"/>
        </w:num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（磋商文件内明确的所属行业）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3B4CA270">
      <w:pPr>
        <w:numPr>
          <w:ilvl w:val="0"/>
          <w:numId w:val="7"/>
        </w:num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（磋商文件内明确的所属行业）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3843B406">
      <w:pPr>
        <w:spacing w:line="500" w:lineRule="exact"/>
        <w:ind w:left="420" w:left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168112F">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以上企业不属于大企业的分支机构，不存在控股股东为大企业的情形，也不存在与大企业责任人为同一人的情形。</w:t>
      </w:r>
    </w:p>
    <w:p w14:paraId="7C9C02DA">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5283732">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p>
    <w:p w14:paraId="69C3B162">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企业名称（加盖公章）：</w:t>
      </w:r>
    </w:p>
    <w:p w14:paraId="2D35ED3C">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w:t>
      </w:r>
    </w:p>
    <w:p w14:paraId="040581DC">
      <w:pPr>
        <w:rPr>
          <w:rFonts w:ascii="宋体" w:hAnsi="宋体" w:cs="宋体"/>
          <w:color w:val="000000" w:themeColor="text1"/>
          <w:sz w:val="28"/>
          <w:szCs w:val="28"/>
          <w:highlight w:val="none"/>
          <w14:textFill>
            <w14:solidFill>
              <w14:schemeClr w14:val="tx1"/>
            </w14:solidFill>
          </w14:textFill>
        </w:rPr>
      </w:pPr>
    </w:p>
    <w:p w14:paraId="3D71F7B8">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79BEA565">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1、从业人员、营业收入、资产总额填报上一年度数据，无上一年度数据的新成立企业可不填报。 </w:t>
      </w:r>
    </w:p>
    <w:p w14:paraId="3A8C6B87">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2、填写前请认真阅读《关于印发中小企业划型标准规定的通知》（工信部联企业[2011]300 号）和《关于 印发＜政府采购促进中小企业发展管理办法＞的通知》 (财库﹝2020﹞46 号)相关规定。 </w:t>
      </w:r>
    </w:p>
    <w:p w14:paraId="548C2F4B">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3、未按上述要求提供、填写的，评审时不予以考虑。</w:t>
      </w:r>
    </w:p>
    <w:p w14:paraId="4CACED7D">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00F29CEC">
      <w:pPr>
        <w:keepNext/>
        <w:keepLines/>
        <w:autoSpaceDE w:val="0"/>
        <w:autoSpaceDN w:val="0"/>
        <w:spacing w:before="120" w:after="120" w:line="360" w:lineRule="auto"/>
        <w:jc w:val="left"/>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附件二：</w:t>
      </w:r>
    </w:p>
    <w:p w14:paraId="16D3A48E">
      <w:pPr>
        <w:keepNext/>
        <w:keepLines/>
        <w:autoSpaceDE w:val="0"/>
        <w:autoSpaceDN w:val="0"/>
        <w:spacing w:before="120" w:after="120" w:line="360" w:lineRule="auto"/>
        <w:jc w:val="center"/>
        <w:rPr>
          <w:rFonts w:ascii="宋体" w:cs="宋体"/>
          <w:b/>
          <w:bCs/>
          <w:color w:val="000000" w:themeColor="text1"/>
          <w:sz w:val="30"/>
          <w:szCs w:val="30"/>
          <w:highlight w:val="none"/>
          <w14:textFill>
            <w14:solidFill>
              <w14:schemeClr w14:val="tx1"/>
            </w14:solidFill>
          </w14:textFill>
        </w:rPr>
      </w:pPr>
      <w:r>
        <w:rPr>
          <w:rFonts w:hint="eastAsia" w:ascii="宋体" w:cs="宋体"/>
          <w:b/>
          <w:bCs/>
          <w:color w:val="000000" w:themeColor="text1"/>
          <w:sz w:val="30"/>
          <w:szCs w:val="30"/>
          <w:highlight w:val="none"/>
          <w14:textFill>
            <w14:solidFill>
              <w14:schemeClr w14:val="tx1"/>
            </w14:solidFill>
          </w14:textFill>
        </w:rPr>
        <w:t xml:space="preserve">残疾人福利性单位声明函（如是） </w:t>
      </w:r>
    </w:p>
    <w:p w14:paraId="65B5081C">
      <w:pPr>
        <w:spacing w:line="500" w:lineRule="exact"/>
        <w:ind w:firstLine="480" w:firstLineChars="20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cs="宋体"/>
          <w:color w:val="000000" w:themeColor="text1"/>
          <w:sz w:val="24"/>
          <w:highlight w:val="none"/>
          <w:u w:val="single"/>
          <w14:textFill>
            <w14:solidFill>
              <w14:schemeClr w14:val="tx1"/>
            </w14:solidFill>
          </w14:textFill>
        </w:rPr>
        <w:t xml:space="preserve">    （采购人名称）      </w:t>
      </w:r>
      <w:r>
        <w:rPr>
          <w:rFonts w:hint="eastAsia" w:ascii="宋体" w:cs="宋体"/>
          <w:color w:val="000000" w:themeColor="text1"/>
          <w:sz w:val="24"/>
          <w:highlight w:val="none"/>
          <w14:textFill>
            <w14:solidFill>
              <w14:schemeClr w14:val="tx1"/>
            </w14:solidFill>
          </w14:textFill>
        </w:rPr>
        <w:t>单位的</w:t>
      </w:r>
      <w:r>
        <w:rPr>
          <w:rFonts w:hint="eastAsia" w:ascii="宋体" w:cs="宋体"/>
          <w:color w:val="000000" w:themeColor="text1"/>
          <w:sz w:val="24"/>
          <w:highlight w:val="none"/>
          <w:u w:val="single"/>
          <w14:textFill>
            <w14:solidFill>
              <w14:schemeClr w14:val="tx1"/>
            </w14:solidFill>
          </w14:textFill>
        </w:rPr>
        <w:t xml:space="preserve">   （采购项目名称）    </w:t>
      </w:r>
      <w:r>
        <w:rPr>
          <w:rFonts w:hint="eastAsia" w:ascii="宋体" w:cs="宋体"/>
          <w:color w:val="000000" w:themeColor="text1"/>
          <w:sz w:val="24"/>
          <w:highlight w:val="none"/>
          <w14:textFill>
            <w14:solidFill>
              <w14:schemeClr w14:val="tx1"/>
            </w14:solidFill>
          </w14:textFill>
        </w:rPr>
        <w:t xml:space="preserve">项目采购活动提供本单位制造的货物（由本单位承担工程/提供服务），或者提供其他残疾人福利性单位制造的货物（不包括使用非残疾人福利性单位注册商标的货物）。 </w:t>
      </w:r>
    </w:p>
    <w:p w14:paraId="7CED7E6B">
      <w:pPr>
        <w:spacing w:line="500" w:lineRule="exact"/>
        <w:ind w:firstLine="480" w:firstLineChars="20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本单位对上述声明的真实性负责。如有虚假，将依法承担相应责任。 </w:t>
      </w:r>
    </w:p>
    <w:p w14:paraId="6D2D12E9">
      <w:pPr>
        <w:spacing w:line="500" w:lineRule="exact"/>
        <w:ind w:firstLine="480" w:firstLineChars="200"/>
        <w:jc w:val="right"/>
        <w:rPr>
          <w:rFonts w:ascii="宋体" w:cs="宋体"/>
          <w:color w:val="000000" w:themeColor="text1"/>
          <w:sz w:val="24"/>
          <w:highlight w:val="none"/>
          <w14:textFill>
            <w14:solidFill>
              <w14:schemeClr w14:val="tx1"/>
            </w14:solidFill>
          </w14:textFill>
        </w:rPr>
      </w:pPr>
    </w:p>
    <w:p w14:paraId="2F54446F">
      <w:pPr>
        <w:spacing w:line="500" w:lineRule="exact"/>
        <w:ind w:firstLine="480" w:firstLineChars="200"/>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单位名称（盖章）： </w:t>
      </w:r>
    </w:p>
    <w:p w14:paraId="75203023">
      <w:pPr>
        <w:spacing w:line="500" w:lineRule="exact"/>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日期</w:t>
      </w:r>
    </w:p>
    <w:p w14:paraId="0A1BDD9C">
      <w:pPr>
        <w:pStyle w:val="9"/>
        <w:rPr>
          <w:rFonts w:ascii="宋体" w:eastAsia="宋体" w:cs="宋体"/>
          <w:color w:val="000000" w:themeColor="text1"/>
          <w:highlight w:val="none"/>
          <w14:textFill>
            <w14:solidFill>
              <w14:schemeClr w14:val="tx1"/>
            </w14:solidFill>
          </w14:textFill>
        </w:rPr>
      </w:pPr>
    </w:p>
    <w:p w14:paraId="031C9E75">
      <w:pPr>
        <w:spacing w:line="360" w:lineRule="auto"/>
        <w:jc w:val="left"/>
        <w:rPr>
          <w:rFonts w:ascii="宋体" w:cs="宋体"/>
          <w:color w:val="000000" w:themeColor="text1"/>
          <w:sz w:val="28"/>
          <w:szCs w:val="28"/>
          <w:highlight w:val="none"/>
          <w14:textFill>
            <w14:solidFill>
              <w14:schemeClr w14:val="tx1"/>
            </w14:solidFill>
          </w14:textFill>
        </w:rPr>
      </w:pPr>
    </w:p>
    <w:p w14:paraId="7DF0E5F4">
      <w:pPr>
        <w:spacing w:line="360" w:lineRule="auto"/>
        <w:jc w:val="left"/>
        <w:rPr>
          <w:rFonts w:ascii="宋体" w:cs="宋体"/>
          <w:color w:val="000000" w:themeColor="text1"/>
          <w:sz w:val="24"/>
          <w:highlight w:val="none"/>
          <w14:textFill>
            <w14:solidFill>
              <w14:schemeClr w14:val="tx1"/>
            </w14:solidFill>
          </w14:textFill>
        </w:rPr>
      </w:pPr>
    </w:p>
    <w:p w14:paraId="62FC5B1D">
      <w:pPr>
        <w:spacing w:line="360" w:lineRule="auto"/>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注：</w:t>
      </w:r>
    </w:p>
    <w:p w14:paraId="522574B7">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14:paraId="74F83698">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2、供应商为非残疾人福利性单位的，可不提供此声明。</w:t>
      </w:r>
    </w:p>
    <w:p w14:paraId="7504897D">
      <w:pPr>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br w:type="page"/>
      </w:r>
    </w:p>
    <w:p w14:paraId="6F656732">
      <w:pPr>
        <w:keepNext/>
        <w:keepLines/>
        <w:autoSpaceDE w:val="0"/>
        <w:autoSpaceDN w:val="0"/>
        <w:spacing w:before="120" w:after="120" w:line="360" w:lineRule="auto"/>
        <w:jc w:val="left"/>
        <w:rPr>
          <w:rFonts w:ascii="宋体" w:cs="宋体"/>
          <w:b/>
          <w:color w:val="000000" w:themeColor="text1"/>
          <w:sz w:val="32"/>
          <w:szCs w:val="32"/>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附件三：</w:t>
      </w:r>
    </w:p>
    <w:p w14:paraId="6780D165">
      <w:pPr>
        <w:keepNext/>
        <w:keepLines/>
        <w:autoSpaceDE w:val="0"/>
        <w:autoSpaceDN w:val="0"/>
        <w:spacing w:before="120" w:after="120" w:line="360" w:lineRule="auto"/>
        <w:jc w:val="center"/>
        <w:rPr>
          <w:rFonts w:ascii="宋体" w:cs="宋体"/>
          <w:b/>
          <w:bCs/>
          <w:color w:val="000000" w:themeColor="text1"/>
          <w:sz w:val="30"/>
          <w:szCs w:val="30"/>
          <w:highlight w:val="none"/>
          <w14:textFill>
            <w14:solidFill>
              <w14:schemeClr w14:val="tx1"/>
            </w14:solidFill>
          </w14:textFill>
        </w:rPr>
      </w:pPr>
      <w:r>
        <w:rPr>
          <w:rFonts w:hint="eastAsia" w:ascii="宋体" w:cs="宋体"/>
          <w:b/>
          <w:bCs/>
          <w:color w:val="000000" w:themeColor="text1"/>
          <w:sz w:val="30"/>
          <w:szCs w:val="30"/>
          <w:highlight w:val="none"/>
          <w14:textFill>
            <w14:solidFill>
              <w14:schemeClr w14:val="tx1"/>
            </w14:solidFill>
          </w14:textFill>
        </w:rPr>
        <w:t>监狱企业证明文件（如是）</w:t>
      </w:r>
    </w:p>
    <w:p w14:paraId="378F7E49">
      <w:pPr>
        <w:widowControl/>
        <w:jc w:val="left"/>
        <w:rPr>
          <w:rFonts w:ascii="宋体" w:cs="宋体"/>
          <w:color w:val="000000" w:themeColor="text1"/>
          <w:kern w:val="0"/>
          <w:sz w:val="24"/>
          <w:highlight w:val="none"/>
          <w14:textFill>
            <w14:solidFill>
              <w14:schemeClr w14:val="tx1"/>
            </w14:solidFill>
          </w14:textFill>
        </w:rPr>
      </w:pPr>
    </w:p>
    <w:p w14:paraId="108150DA">
      <w:pPr>
        <w:widowControl/>
        <w:jc w:val="left"/>
        <w:rPr>
          <w:rFonts w:ascii="宋体" w:cs="宋体"/>
          <w:color w:val="000000" w:themeColor="text1"/>
          <w:kern w:val="0"/>
          <w:sz w:val="24"/>
          <w:highlight w:val="none"/>
          <w14:textFill>
            <w14:solidFill>
              <w14:schemeClr w14:val="tx1"/>
            </w14:solidFill>
          </w14:textFill>
        </w:rPr>
      </w:pPr>
    </w:p>
    <w:p w14:paraId="5F39E799">
      <w:pPr>
        <w:widowControl/>
        <w:jc w:val="left"/>
        <w:rPr>
          <w:rFonts w:ascii="宋体" w:cs="宋体"/>
          <w:color w:val="000000" w:themeColor="text1"/>
          <w:kern w:val="0"/>
          <w:sz w:val="24"/>
          <w:highlight w:val="none"/>
          <w14:textFill>
            <w14:solidFill>
              <w14:schemeClr w14:val="tx1"/>
            </w14:solidFill>
          </w14:textFill>
        </w:rPr>
      </w:pPr>
    </w:p>
    <w:p w14:paraId="59B79852">
      <w:pPr>
        <w:widowControl/>
        <w:jc w:val="left"/>
        <w:rPr>
          <w:rFonts w:ascii="宋体" w:cs="宋体"/>
          <w:color w:val="000000" w:themeColor="text1"/>
          <w:highlight w:val="none"/>
          <w14:textFill>
            <w14:solidFill>
              <w14:schemeClr w14:val="tx1"/>
            </w14:solidFill>
          </w14:textFill>
        </w:rPr>
      </w:pPr>
      <w:r>
        <w:rPr>
          <w:rFonts w:hint="eastAsia" w:ascii="宋体" w:cs="宋体"/>
          <w:color w:val="000000" w:themeColor="text1"/>
          <w:kern w:val="0"/>
          <w:sz w:val="24"/>
          <w:highlight w:val="none"/>
          <w14:textFill>
            <w14:solidFill>
              <w14:schemeClr w14:val="tx1"/>
            </w14:solidFill>
          </w14:textFill>
        </w:rPr>
        <w:t xml:space="preserve">省级以上监狱管理局、戒毒管理局（含新疆生产建设兵团）出具的属于监狱企业的证明文件。 </w:t>
      </w:r>
    </w:p>
    <w:p w14:paraId="352B4BD5">
      <w:pPr>
        <w:rPr>
          <w:rFonts w:ascii="宋体" w:cs="宋体"/>
          <w:b/>
          <w:color w:val="000000" w:themeColor="text1"/>
          <w:szCs w:val="21"/>
          <w:highlight w:val="none"/>
          <w14:textFill>
            <w14:solidFill>
              <w14:schemeClr w14:val="tx1"/>
            </w14:solidFill>
          </w14:textFill>
        </w:rPr>
      </w:pPr>
    </w:p>
    <w:p w14:paraId="0C490DE5">
      <w:pPr>
        <w:rPr>
          <w:rFonts w:ascii="宋体" w:cs="宋体"/>
          <w:b/>
          <w:color w:val="000000" w:themeColor="text1"/>
          <w:szCs w:val="21"/>
          <w:highlight w:val="none"/>
          <w14:textFill>
            <w14:solidFill>
              <w14:schemeClr w14:val="tx1"/>
            </w14:solidFill>
          </w14:textFill>
        </w:rPr>
      </w:pPr>
    </w:p>
    <w:p w14:paraId="6A5236CB">
      <w:pPr>
        <w:rPr>
          <w:rFonts w:ascii="宋体" w:cs="宋体"/>
          <w:b/>
          <w:color w:val="000000" w:themeColor="text1"/>
          <w:szCs w:val="21"/>
          <w:highlight w:val="none"/>
          <w14:textFill>
            <w14:solidFill>
              <w14:schemeClr w14:val="tx1"/>
            </w14:solidFill>
          </w14:textFill>
        </w:rPr>
      </w:pPr>
    </w:p>
    <w:p w14:paraId="36224E35">
      <w:pPr>
        <w:spacing w:line="360" w:lineRule="auto"/>
        <w:jc w:val="left"/>
        <w:rPr>
          <w:rFonts w:ascii="宋体" w:cs="宋体"/>
          <w:color w:val="000000" w:themeColor="text1"/>
          <w:sz w:val="24"/>
          <w:highlight w:val="none"/>
          <w14:textFill>
            <w14:solidFill>
              <w14:schemeClr w14:val="tx1"/>
            </w14:solidFill>
          </w14:textFill>
        </w:rPr>
      </w:pPr>
    </w:p>
    <w:p w14:paraId="058D90E8">
      <w:pPr>
        <w:spacing w:line="360" w:lineRule="auto"/>
        <w:jc w:val="left"/>
        <w:rPr>
          <w:rFonts w:ascii="宋体" w:cs="宋体"/>
          <w:color w:val="000000" w:themeColor="text1"/>
          <w:sz w:val="24"/>
          <w:highlight w:val="none"/>
          <w14:textFill>
            <w14:solidFill>
              <w14:schemeClr w14:val="tx1"/>
            </w14:solidFill>
          </w14:textFill>
        </w:rPr>
      </w:pPr>
    </w:p>
    <w:p w14:paraId="7A14C18E">
      <w:pPr>
        <w:spacing w:line="360" w:lineRule="auto"/>
        <w:jc w:val="left"/>
        <w:rPr>
          <w:rFonts w:ascii="宋体" w:cs="宋体"/>
          <w:color w:val="000000" w:themeColor="text1"/>
          <w:sz w:val="24"/>
          <w:highlight w:val="none"/>
          <w14:textFill>
            <w14:solidFill>
              <w14:schemeClr w14:val="tx1"/>
            </w14:solidFill>
          </w14:textFill>
        </w:rPr>
      </w:pPr>
    </w:p>
    <w:p w14:paraId="0CE776B6">
      <w:pPr>
        <w:spacing w:line="360" w:lineRule="auto"/>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注：</w:t>
      </w:r>
    </w:p>
    <w:p w14:paraId="6AC951DD">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1、监狱企业视同小型、微型企业，享受预留份额、评审中价格扣除等促进中小企业发展的政府采购政策。监狱企业属于小型、微型企业的，不重复享受政策。</w:t>
      </w:r>
    </w:p>
    <w:p w14:paraId="27175557">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2、供应商为非监狱企业的，可不提供此证明。</w:t>
      </w:r>
    </w:p>
    <w:p w14:paraId="35674DBD">
      <w:pPr>
        <w:jc w:val="center"/>
        <w:rPr>
          <w:rFonts w:ascii="宋体" w:hAnsi="宋体" w:cs="宋体"/>
          <w:b/>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节能产品、环境标志产品政府强制采购认证证书一览表（如有）</w:t>
      </w:r>
    </w:p>
    <w:p w14:paraId="3EB83118">
      <w:pPr>
        <w:jc w:val="left"/>
        <w:rPr>
          <w:rFonts w:ascii="宋体" w:hAnsi="宋体" w:cs="宋体"/>
          <w:b/>
          <w:color w:val="000000" w:themeColor="text1"/>
          <w:szCs w:val="21"/>
          <w:highlight w:val="none"/>
          <w14:textFill>
            <w14:solidFill>
              <w14:schemeClr w14:val="tx1"/>
            </w14:solidFill>
          </w14:textFill>
        </w:rPr>
      </w:pPr>
    </w:p>
    <w:tbl>
      <w:tblPr>
        <w:tblStyle w:val="27"/>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5045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28A0BA1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序号</w:t>
            </w:r>
          </w:p>
        </w:tc>
        <w:tc>
          <w:tcPr>
            <w:tcW w:w="1652" w:type="dxa"/>
            <w:vAlign w:val="center"/>
          </w:tcPr>
          <w:p w14:paraId="1647DAEF">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标的名称</w:t>
            </w:r>
          </w:p>
        </w:tc>
        <w:tc>
          <w:tcPr>
            <w:tcW w:w="856" w:type="dxa"/>
            <w:vAlign w:val="center"/>
          </w:tcPr>
          <w:p w14:paraId="7B266B64">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品目</w:t>
            </w:r>
          </w:p>
        </w:tc>
        <w:tc>
          <w:tcPr>
            <w:tcW w:w="1369" w:type="dxa"/>
            <w:vAlign w:val="center"/>
          </w:tcPr>
          <w:p w14:paraId="3321D7EF">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品牌</w:t>
            </w:r>
          </w:p>
        </w:tc>
        <w:tc>
          <w:tcPr>
            <w:tcW w:w="695" w:type="dxa"/>
            <w:vAlign w:val="center"/>
          </w:tcPr>
          <w:p w14:paraId="0B8D002C">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规格型号</w:t>
            </w:r>
          </w:p>
        </w:tc>
        <w:tc>
          <w:tcPr>
            <w:tcW w:w="1260" w:type="dxa"/>
            <w:vAlign w:val="center"/>
          </w:tcPr>
          <w:p w14:paraId="7F3D9CD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生产者（制造商）</w:t>
            </w:r>
          </w:p>
        </w:tc>
        <w:tc>
          <w:tcPr>
            <w:tcW w:w="804" w:type="dxa"/>
            <w:vAlign w:val="center"/>
          </w:tcPr>
          <w:p w14:paraId="1521CCD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证书编号</w:t>
            </w:r>
          </w:p>
        </w:tc>
        <w:tc>
          <w:tcPr>
            <w:tcW w:w="1032" w:type="dxa"/>
            <w:vAlign w:val="center"/>
          </w:tcPr>
          <w:p w14:paraId="00FC59A3">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证书到期日期</w:t>
            </w:r>
          </w:p>
        </w:tc>
        <w:tc>
          <w:tcPr>
            <w:tcW w:w="1210" w:type="dxa"/>
            <w:vAlign w:val="center"/>
          </w:tcPr>
          <w:p w14:paraId="649B69A9">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发证机构</w:t>
            </w:r>
          </w:p>
        </w:tc>
      </w:tr>
      <w:tr w14:paraId="483B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4B14087B">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p>
        </w:tc>
        <w:tc>
          <w:tcPr>
            <w:tcW w:w="1652" w:type="dxa"/>
            <w:vAlign w:val="center"/>
          </w:tcPr>
          <w:p w14:paraId="3183D08E">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61DA3029">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299A921F">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4D77E101">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79DA8B24">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6DBC9287">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5717C1AF">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1CE70F20">
            <w:pPr>
              <w:jc w:val="center"/>
              <w:rPr>
                <w:rFonts w:ascii="宋体" w:hAnsi="宋体" w:cs="宋体"/>
                <w:bCs/>
                <w:color w:val="000000" w:themeColor="text1"/>
                <w:szCs w:val="21"/>
                <w:highlight w:val="none"/>
                <w14:textFill>
                  <w14:solidFill>
                    <w14:schemeClr w14:val="tx1"/>
                  </w14:solidFill>
                </w14:textFill>
              </w:rPr>
            </w:pPr>
          </w:p>
        </w:tc>
      </w:tr>
      <w:tr w14:paraId="0730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517B0E1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p>
        </w:tc>
        <w:tc>
          <w:tcPr>
            <w:tcW w:w="1652" w:type="dxa"/>
            <w:vAlign w:val="center"/>
          </w:tcPr>
          <w:p w14:paraId="0872BB30">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637625C1">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657D32D8">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4474F114">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660ACF64">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0276E0D1">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0825CD52">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0C872B79">
            <w:pPr>
              <w:jc w:val="center"/>
              <w:rPr>
                <w:rFonts w:ascii="宋体" w:hAnsi="宋体" w:cs="宋体"/>
                <w:bCs/>
                <w:color w:val="000000" w:themeColor="text1"/>
                <w:szCs w:val="21"/>
                <w:highlight w:val="none"/>
                <w14:textFill>
                  <w14:solidFill>
                    <w14:schemeClr w14:val="tx1"/>
                  </w14:solidFill>
                </w14:textFill>
              </w:rPr>
            </w:pPr>
          </w:p>
        </w:tc>
      </w:tr>
      <w:tr w14:paraId="118E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7CBBA07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c>
          <w:tcPr>
            <w:tcW w:w="1652" w:type="dxa"/>
            <w:vAlign w:val="center"/>
          </w:tcPr>
          <w:p w14:paraId="50D65730">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5432EC93">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2D2B581C">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2D45CB6E">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7F198203">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5BD3352C">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2CD3E4A1">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435F5B8B">
            <w:pPr>
              <w:jc w:val="center"/>
              <w:rPr>
                <w:rFonts w:ascii="宋体" w:hAnsi="宋体" w:cs="宋体"/>
                <w:bCs/>
                <w:color w:val="000000" w:themeColor="text1"/>
                <w:szCs w:val="21"/>
                <w:highlight w:val="none"/>
                <w14:textFill>
                  <w14:solidFill>
                    <w14:schemeClr w14:val="tx1"/>
                  </w14:solidFill>
                </w14:textFill>
              </w:rPr>
            </w:pPr>
          </w:p>
        </w:tc>
      </w:tr>
      <w:tr w14:paraId="5ADA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693C48E">
            <w:pP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p>
        </w:tc>
        <w:tc>
          <w:tcPr>
            <w:tcW w:w="1652" w:type="dxa"/>
            <w:vAlign w:val="center"/>
          </w:tcPr>
          <w:p w14:paraId="60A9B96C">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57384EB7">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0AF1DFA3">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46C0875E">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6A1BAA34">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6D50EE6D">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3E5D6826">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52135C73">
            <w:pPr>
              <w:jc w:val="center"/>
              <w:rPr>
                <w:rFonts w:ascii="宋体" w:hAnsi="宋体" w:cs="宋体"/>
                <w:bCs/>
                <w:color w:val="000000" w:themeColor="text1"/>
                <w:szCs w:val="21"/>
                <w:highlight w:val="none"/>
                <w14:textFill>
                  <w14:solidFill>
                    <w14:schemeClr w14:val="tx1"/>
                  </w14:solidFill>
                </w14:textFill>
              </w:rPr>
            </w:pPr>
          </w:p>
        </w:tc>
      </w:tr>
    </w:tbl>
    <w:p w14:paraId="3D329A50">
      <w:pPr>
        <w:jc w:val="left"/>
        <w:rPr>
          <w:rFonts w:ascii="宋体" w:hAnsi="宋体" w:cs="宋体"/>
          <w:b/>
          <w:color w:val="000000" w:themeColor="text1"/>
          <w:szCs w:val="21"/>
          <w:highlight w:val="none"/>
          <w14:textFill>
            <w14:solidFill>
              <w14:schemeClr w14:val="tx1"/>
            </w14:solidFill>
          </w14:textFill>
        </w:rPr>
      </w:pPr>
    </w:p>
    <w:p w14:paraId="34EE1648">
      <w:pPr>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5B13E2D1">
      <w:pPr>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1、请在本表后提供对应的认证证书扫描件，本表信息与认证证书信息不一致的，以认证证书载明信息为准。</w:t>
      </w:r>
    </w:p>
    <w:p w14:paraId="559E1BC8">
      <w:pPr>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2、本表填列要求详见本磋商文件政策采购内容。</w:t>
      </w:r>
    </w:p>
    <w:p w14:paraId="7F23CD32">
      <w:pPr>
        <w:ind w:firstLine="422" w:firstLineChars="200"/>
        <w:jc w:val="left"/>
        <w:rPr>
          <w:rFonts w:ascii="宋体" w:hAnsi="宋体" w:cs="宋体"/>
          <w:b/>
          <w:color w:val="000000" w:themeColor="text1"/>
          <w:szCs w:val="21"/>
          <w:highlight w:val="none"/>
          <w14:textFill>
            <w14:solidFill>
              <w14:schemeClr w14:val="tx1"/>
            </w14:solidFill>
          </w14:textFill>
        </w:rPr>
      </w:pPr>
    </w:p>
    <w:p w14:paraId="4D048A82">
      <w:pPr>
        <w:ind w:firstLine="422" w:firstLineChars="200"/>
        <w:jc w:val="left"/>
        <w:rPr>
          <w:rFonts w:ascii="宋体" w:hAnsi="宋体" w:cs="宋体"/>
          <w:b/>
          <w:color w:val="000000" w:themeColor="text1"/>
          <w:szCs w:val="21"/>
          <w:highlight w:val="none"/>
          <w14:textFill>
            <w14:solidFill>
              <w14:schemeClr w14:val="tx1"/>
            </w14:solidFill>
          </w14:textFill>
        </w:rPr>
      </w:pPr>
    </w:p>
    <w:p w14:paraId="54721BFB">
      <w:pPr>
        <w:jc w:val="center"/>
        <w:rPr>
          <w:rFonts w:ascii="宋体" w:hAnsi="宋体" w:cs="宋体"/>
          <w:b/>
          <w:color w:val="000000" w:themeColor="text1"/>
          <w:szCs w:val="21"/>
          <w:highlight w:val="none"/>
          <w14:textFill>
            <w14:solidFill>
              <w14:schemeClr w14:val="tx1"/>
            </w14:solidFill>
          </w14:textFill>
        </w:rPr>
      </w:pPr>
    </w:p>
    <w:p w14:paraId="708223C8">
      <w:pPr>
        <w:jc w:val="center"/>
        <w:rPr>
          <w:rFonts w:ascii="宋体" w:hAnsi="宋体" w:cs="宋体"/>
          <w:b/>
          <w:color w:val="000000" w:themeColor="text1"/>
          <w:szCs w:val="21"/>
          <w:highlight w:val="none"/>
          <w14:textFill>
            <w14:solidFill>
              <w14:schemeClr w14:val="tx1"/>
            </w14:solidFill>
          </w14:textFill>
        </w:rPr>
      </w:pPr>
    </w:p>
    <w:p w14:paraId="7160769F">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节能产品、环境标志产品政府优先采购认证证书一览表（如有）</w:t>
      </w:r>
    </w:p>
    <w:p w14:paraId="7298C480">
      <w:pPr>
        <w:jc w:val="left"/>
        <w:rPr>
          <w:rFonts w:ascii="宋体" w:hAnsi="宋体" w:cs="宋体"/>
          <w:b/>
          <w:color w:val="000000" w:themeColor="text1"/>
          <w:szCs w:val="21"/>
          <w:highlight w:val="none"/>
          <w14:textFill>
            <w14:solidFill>
              <w14:schemeClr w14:val="tx1"/>
            </w14:solidFill>
          </w14:textFill>
        </w:rPr>
      </w:pPr>
    </w:p>
    <w:tbl>
      <w:tblPr>
        <w:tblStyle w:val="27"/>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59E8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6D05AF8C">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序号</w:t>
            </w:r>
          </w:p>
        </w:tc>
        <w:tc>
          <w:tcPr>
            <w:tcW w:w="1652" w:type="dxa"/>
            <w:vAlign w:val="center"/>
          </w:tcPr>
          <w:p w14:paraId="0A66A8AE">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标的名称</w:t>
            </w:r>
          </w:p>
        </w:tc>
        <w:tc>
          <w:tcPr>
            <w:tcW w:w="856" w:type="dxa"/>
            <w:vAlign w:val="center"/>
          </w:tcPr>
          <w:p w14:paraId="67C58733">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品目</w:t>
            </w:r>
          </w:p>
        </w:tc>
        <w:tc>
          <w:tcPr>
            <w:tcW w:w="1369" w:type="dxa"/>
            <w:vAlign w:val="center"/>
          </w:tcPr>
          <w:p w14:paraId="699F43E7">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品牌</w:t>
            </w:r>
          </w:p>
        </w:tc>
        <w:tc>
          <w:tcPr>
            <w:tcW w:w="695" w:type="dxa"/>
            <w:vAlign w:val="center"/>
          </w:tcPr>
          <w:p w14:paraId="701D1D81">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规格型号</w:t>
            </w:r>
          </w:p>
        </w:tc>
        <w:tc>
          <w:tcPr>
            <w:tcW w:w="1260" w:type="dxa"/>
            <w:vAlign w:val="center"/>
          </w:tcPr>
          <w:p w14:paraId="115F828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生产者（制造商）</w:t>
            </w:r>
          </w:p>
        </w:tc>
        <w:tc>
          <w:tcPr>
            <w:tcW w:w="804" w:type="dxa"/>
            <w:vAlign w:val="center"/>
          </w:tcPr>
          <w:p w14:paraId="1C73DD78">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证书编号</w:t>
            </w:r>
          </w:p>
        </w:tc>
        <w:tc>
          <w:tcPr>
            <w:tcW w:w="1032" w:type="dxa"/>
            <w:vAlign w:val="center"/>
          </w:tcPr>
          <w:p w14:paraId="4852C90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证书到期日期</w:t>
            </w:r>
          </w:p>
        </w:tc>
        <w:tc>
          <w:tcPr>
            <w:tcW w:w="1210" w:type="dxa"/>
            <w:vAlign w:val="center"/>
          </w:tcPr>
          <w:p w14:paraId="317BFAE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发证机构</w:t>
            </w:r>
          </w:p>
        </w:tc>
      </w:tr>
      <w:tr w14:paraId="4A8F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40A8B57B">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p>
        </w:tc>
        <w:tc>
          <w:tcPr>
            <w:tcW w:w="1652" w:type="dxa"/>
            <w:vAlign w:val="center"/>
          </w:tcPr>
          <w:p w14:paraId="15237449">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627DAD35">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029CD8C4">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01708540">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3BEB0F82">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2B5B2F33">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136B4DD3">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19724D65">
            <w:pPr>
              <w:jc w:val="center"/>
              <w:rPr>
                <w:rFonts w:ascii="宋体" w:hAnsi="宋体" w:cs="宋体"/>
                <w:bCs/>
                <w:color w:val="000000" w:themeColor="text1"/>
                <w:szCs w:val="21"/>
                <w:highlight w:val="none"/>
                <w14:textFill>
                  <w14:solidFill>
                    <w14:schemeClr w14:val="tx1"/>
                  </w14:solidFill>
                </w14:textFill>
              </w:rPr>
            </w:pPr>
          </w:p>
        </w:tc>
      </w:tr>
      <w:tr w14:paraId="2C2E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73632265">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p>
        </w:tc>
        <w:tc>
          <w:tcPr>
            <w:tcW w:w="1652" w:type="dxa"/>
            <w:vAlign w:val="center"/>
          </w:tcPr>
          <w:p w14:paraId="33965206">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276030CA">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4DE28789">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2E86EB83">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7ABAA852">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377DDD63">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6097D513">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1FE574AA">
            <w:pPr>
              <w:jc w:val="center"/>
              <w:rPr>
                <w:rFonts w:ascii="宋体" w:hAnsi="宋体" w:cs="宋体"/>
                <w:bCs/>
                <w:color w:val="000000" w:themeColor="text1"/>
                <w:szCs w:val="21"/>
                <w:highlight w:val="none"/>
                <w14:textFill>
                  <w14:solidFill>
                    <w14:schemeClr w14:val="tx1"/>
                  </w14:solidFill>
                </w14:textFill>
              </w:rPr>
            </w:pPr>
          </w:p>
        </w:tc>
      </w:tr>
      <w:tr w14:paraId="5E0B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485035F7">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c>
          <w:tcPr>
            <w:tcW w:w="1652" w:type="dxa"/>
            <w:vAlign w:val="center"/>
          </w:tcPr>
          <w:p w14:paraId="7CBB4AEC">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44BB7E22">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687B8076">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3F339AF4">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357D6A3A">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19438E50">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507AC811">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618A08F7">
            <w:pPr>
              <w:jc w:val="center"/>
              <w:rPr>
                <w:rFonts w:ascii="宋体" w:hAnsi="宋体" w:cs="宋体"/>
                <w:bCs/>
                <w:color w:val="000000" w:themeColor="text1"/>
                <w:szCs w:val="21"/>
                <w:highlight w:val="none"/>
                <w14:textFill>
                  <w14:solidFill>
                    <w14:schemeClr w14:val="tx1"/>
                  </w14:solidFill>
                </w14:textFill>
              </w:rPr>
            </w:pPr>
          </w:p>
        </w:tc>
      </w:tr>
      <w:tr w14:paraId="0369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5E7583DD">
            <w:pP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p>
        </w:tc>
        <w:tc>
          <w:tcPr>
            <w:tcW w:w="1652" w:type="dxa"/>
            <w:vAlign w:val="center"/>
          </w:tcPr>
          <w:p w14:paraId="257F0ED3">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5C7DBD8F">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41E4F9DA">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3EAC10EE">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496704A0">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72B03DAA">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6609A85E">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19343698">
            <w:pPr>
              <w:jc w:val="center"/>
              <w:rPr>
                <w:rFonts w:ascii="宋体" w:hAnsi="宋体" w:cs="宋体"/>
                <w:bCs/>
                <w:color w:val="000000" w:themeColor="text1"/>
                <w:szCs w:val="21"/>
                <w:highlight w:val="none"/>
                <w14:textFill>
                  <w14:solidFill>
                    <w14:schemeClr w14:val="tx1"/>
                  </w14:solidFill>
                </w14:textFill>
              </w:rPr>
            </w:pPr>
          </w:p>
        </w:tc>
      </w:tr>
    </w:tbl>
    <w:p w14:paraId="125AE8F1">
      <w:pPr>
        <w:jc w:val="left"/>
        <w:rPr>
          <w:rFonts w:ascii="宋体" w:hAnsi="宋体" w:cs="宋体"/>
          <w:b/>
          <w:color w:val="000000" w:themeColor="text1"/>
          <w:szCs w:val="21"/>
          <w:highlight w:val="none"/>
          <w14:textFill>
            <w14:solidFill>
              <w14:schemeClr w14:val="tx1"/>
            </w14:solidFill>
          </w14:textFill>
        </w:rPr>
      </w:pPr>
    </w:p>
    <w:p w14:paraId="6A161E9C">
      <w:pPr>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77FF14DD">
      <w:pPr>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1、请在本表后提供对应的认证证书扫描件，本表信息与认证证书信息不一致的，以认证证书载明信息为准。</w:t>
      </w:r>
    </w:p>
    <w:p w14:paraId="4284AF1C">
      <w:pPr>
        <w:rPr>
          <w:rFonts w:asci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2、本表填列要求详见本磋商文件政策采购内容。</w:t>
      </w:r>
      <w:r>
        <w:rPr>
          <w:rFonts w:hint="eastAsia" w:ascii="宋体" w:hAnsi="宋体" w:cs="宋体"/>
          <w:b/>
          <w:color w:val="000000" w:themeColor="text1"/>
          <w:szCs w:val="21"/>
          <w:highlight w:val="none"/>
          <w14:textFill>
            <w14:solidFill>
              <w14:schemeClr w14:val="tx1"/>
            </w14:solidFill>
          </w14:textFill>
        </w:rPr>
        <w:br w:type="page"/>
      </w:r>
    </w:p>
    <w:p w14:paraId="16A7B7B0">
      <w:pPr>
        <w:keepNext/>
        <w:keepLines/>
        <w:autoSpaceDE w:val="0"/>
        <w:autoSpaceDN w:val="0"/>
        <w:spacing w:before="120" w:after="120" w:line="360" w:lineRule="auto"/>
        <w:jc w:val="left"/>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附件四：</w:t>
      </w:r>
    </w:p>
    <w:p w14:paraId="0B7FBF56">
      <w:pPr>
        <w:spacing w:line="312"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政府采购促进中小企业发展管理办法</w:t>
      </w:r>
    </w:p>
    <w:p w14:paraId="74F7FBA7">
      <w:pPr>
        <w:spacing w:line="312" w:lineRule="auto"/>
        <w:rPr>
          <w:rFonts w:ascii="宋体" w:cs="宋体"/>
          <w:color w:val="000000" w:themeColor="text1"/>
          <w:sz w:val="24"/>
          <w:highlight w:val="none"/>
          <w14:textFill>
            <w14:solidFill>
              <w14:schemeClr w14:val="tx1"/>
            </w14:solidFill>
          </w14:textFill>
        </w:rPr>
      </w:pPr>
    </w:p>
    <w:p w14:paraId="2A002DC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1A17FFB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503A2E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符合中小企业划分标准的个体工商户，在政府采购活动中视同中小企业。</w:t>
      </w:r>
    </w:p>
    <w:p w14:paraId="3A79B03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第三条　采购人在政府采购活动中应当通过加强采购需求管理，落实预留采购份额、价格评审优惠、优先采购等措施，提高中小企业在政府采购中的份额，支持中小企业发展。</w:t>
      </w:r>
    </w:p>
    <w:p w14:paraId="2FF42BD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第四条　在政府采购活动中，供应商提供的货物、工程或者服务符合下列情形的，享受本办法规定的中小企业扶持政策：</w:t>
      </w:r>
    </w:p>
    <w:p w14:paraId="11FEB67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（一）在货物采购项目中，货物由中小企业制造，即货物由中小企业生产且使用该中小企业商号或者注册商标；</w:t>
      </w:r>
    </w:p>
    <w:p w14:paraId="1C1D10E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（二）在工程采购项目中，工程由中小企业承建，即工程施工单位为中小企业；</w:t>
      </w:r>
    </w:p>
    <w:p w14:paraId="1C3AB10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3894DB1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5A4EF89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60D689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AB60BD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CD26A1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符合下列情形之一的，可不专门面向中小企业预留采购份额：</w:t>
      </w:r>
    </w:p>
    <w:p w14:paraId="1B82B63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（一）法律法规和国家有关政策明确规定优先或者应当面向事业单位、社会组织等非企业主体采购的；</w:t>
      </w:r>
    </w:p>
    <w:p w14:paraId="481B175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32C2F45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（三）按照本办法规定预留采购份额无法确保充分供应、充分竞争，或者存在可能影响政府采购目标实现的情形；</w:t>
      </w:r>
    </w:p>
    <w:p w14:paraId="0439EA5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（四）框架协议采购项目；</w:t>
      </w:r>
    </w:p>
    <w:p w14:paraId="56DC3F2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（五）省级以上人民政府财政部门规定的其他情形。</w:t>
      </w:r>
    </w:p>
    <w:p w14:paraId="7FD7080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除上述情形外，其他均为适宜由中小企业提供的情形。</w:t>
      </w:r>
    </w:p>
    <w:p w14:paraId="117372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第七条　采购限额标准以上，200万元以下的货物和服务采购项目、400万元以下的工程采购项目，适宜由中小企业提供的，采购人应当专门面向中小企业采购。</w:t>
      </w:r>
    </w:p>
    <w:p w14:paraId="6D29F33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27A68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（一）将采购项目整体或者设置采购包专门面向中小企业采购；</w:t>
      </w:r>
    </w:p>
    <w:p w14:paraId="57FB6C0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（二）要求供应商以联合体形式参加采购活动，且联合体中中小企业承担的部分达到一定比例；</w:t>
      </w:r>
    </w:p>
    <w:p w14:paraId="6EB2AAC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（三）要求获得采购合同的供应商将采购项目中的一定比例分包给一家或者多家中小企业。</w:t>
      </w:r>
    </w:p>
    <w:p w14:paraId="0ED5655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组成联合体或者接受分包合同的中小企业与联合体内其他企业、分包企业之间不得存在直接控股、管理关系。</w:t>
      </w:r>
    </w:p>
    <w:p w14:paraId="2F255DD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FE9A6A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6FFA97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6ADF0D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90CEA3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9377FA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第十二条　采购项目涉及中小企业采购的，竞争性磋商文件应当明确以下内容：</w:t>
      </w:r>
    </w:p>
    <w:p w14:paraId="1E3A2A8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（一）预留份额的采购项目或者采购包，明确该项目或相关采购包专门面向中小企业采购，以及相关标的及预算金额；</w:t>
      </w:r>
    </w:p>
    <w:p w14:paraId="4D19F74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（二）要求以联合体形式参加或者合同分包的，明确联合协议或者分包意向协议中中小企业合同金额应当达到的比例，并作为供应商资格条件；</w:t>
      </w:r>
    </w:p>
    <w:p w14:paraId="356E4D6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（三）非预留份额的采购项目或者采购包，明确有关价格扣除比例或者价格分加分比例；</w:t>
      </w:r>
    </w:p>
    <w:p w14:paraId="0E74579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256A900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（五）采购人认为具备相关条件的，明确对中小企业在资金支付期限、预付款比例等方面的优惠措施；</w:t>
      </w:r>
    </w:p>
    <w:p w14:paraId="2EF736A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（六）明确采购标的对应的中小企业划分标准所属行业；</w:t>
      </w:r>
    </w:p>
    <w:p w14:paraId="49B939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（七）法律法规和省级以上人民政府财政部门规定的其他事项。</w:t>
      </w:r>
    </w:p>
    <w:p w14:paraId="25548DD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7CBAE50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适用招标投标法的政府采购工程建设项目，应当在公示中标候选人时公开中标候选人的《中小企业声明函》。</w:t>
      </w:r>
    </w:p>
    <w:p w14:paraId="72810A7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C6E89B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19E0026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14:paraId="072F648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中小企业主管部门应当在收到财政部门或者有关招标投标行政监督部门关于协助开展中小企业认定函后10个工作日内做出书面答复。</w:t>
      </w:r>
    </w:p>
    <w:p w14:paraId="28E251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第十七条　各地区、各部门应当对涉及中小企业采购的预算项目实施全过程绩效管理，合理设置绩效目标和指标，落实扶持中小企业有关政策要求，定期开展绩效监控和评价，强化绩效评价结果应用。</w:t>
      </w:r>
    </w:p>
    <w:p w14:paraId="7EE37BC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68AC85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2F7A25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14:paraId="2DA3409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适用招标投标法的政府采购工程建设项目，供应商按照本办法规定提供声明函内容不实的，属于弄虚作假骗取中标，依照《中华人民共和国招标投标法》等国家有关规定追究相应责任。</w:t>
      </w:r>
    </w:p>
    <w:p w14:paraId="66D74C2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C1E243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第二十二条　对外援助项目、国家相关资格或者资质管理制度另有规定的项目，不适用本办法。</w:t>
      </w:r>
    </w:p>
    <w:p w14:paraId="4BE4FE4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第二十三条　关于视同中小企业的其他主体的政府采购扶持政策，由财政部会同有关部门另行规定。</w:t>
      </w:r>
    </w:p>
    <w:p w14:paraId="29BA817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第二十四条　省级财政部门可以会同中小企业主管部门根据本办法的规定制定具体实施办法。</w:t>
      </w:r>
    </w:p>
    <w:p w14:paraId="3920948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第二十五条　本办法自2021年1月1日起施行。《财政部工业和信息化部关于印发〈政府采购促进中小企业发展暂行办法〉的通知》（财库﹝2011﹞181号）同时废止。</w:t>
      </w:r>
    </w:p>
    <w:p w14:paraId="199F4AA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26D92F97">
      <w:pPr>
        <w:spacing w:line="360" w:lineRule="auto"/>
        <w:ind w:firstLine="442" w:firstLineChars="200"/>
        <w:jc w:val="center"/>
        <w:rPr>
          <w:rFonts w:ascii="宋体" w:cs="宋体"/>
          <w:b/>
          <w:bCs/>
          <w:color w:val="000000" w:themeColor="text1"/>
          <w:sz w:val="22"/>
          <w:szCs w:val="22"/>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关于进一步加大政府采购支持中小企业力度的通知</w:t>
      </w:r>
    </w:p>
    <w:p w14:paraId="439E4126">
      <w:pPr>
        <w:spacing w:line="360" w:lineRule="auto"/>
        <w:ind w:firstLine="442" w:firstLineChars="200"/>
        <w:jc w:val="center"/>
        <w:rPr>
          <w:rFonts w:ascii="宋体" w:cs="宋体"/>
          <w:b/>
          <w:bCs/>
          <w:color w:val="000000" w:themeColor="text1"/>
          <w:sz w:val="22"/>
          <w:szCs w:val="22"/>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财库〔2022〕19号</w:t>
      </w:r>
    </w:p>
    <w:p w14:paraId="2E5CFE11">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各中央预算单位，各省、自治区、直辖市、计划单列市财政厅（局），新疆生产建设兵团财政局：</w:t>
      </w:r>
    </w:p>
    <w:p w14:paraId="4D41F658">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A1EB0D4">
      <w:pPr>
        <w:spacing w:line="400" w:lineRule="exact"/>
        <w:ind w:firstLine="442" w:firstLineChars="200"/>
        <w:rPr>
          <w:rFonts w:ascii="宋体" w:cs="宋体"/>
          <w:color w:val="000000" w:themeColor="text1"/>
          <w:szCs w:val="21"/>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一、严格落实支持中小企业政府采购政策。</w:t>
      </w:r>
      <w:r>
        <w:rPr>
          <w:rFonts w:hint="eastAsia" w:ascii="宋体" w:cs="宋体"/>
          <w:color w:val="000000" w:themeColor="text1"/>
          <w:sz w:val="24"/>
          <w:highlight w:val="none"/>
          <w14:textFill>
            <w14:solidFill>
              <w14:schemeClr w14:val="tx1"/>
            </w14:solidFill>
          </w14:textFill>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竞争性磋商文件等方式，为中小企业参与采购活动提供便利。要严格按规定及时支付采购资金，不得收取没有法律法规依据的保证金，有效减轻中小企业资金压力。</w:t>
      </w:r>
    </w:p>
    <w:p w14:paraId="3A332744">
      <w:pPr>
        <w:spacing w:line="400" w:lineRule="exact"/>
        <w:ind w:firstLine="442" w:firstLineChars="200"/>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二、调整对小微企业的价格评审优惠幅度。</w:t>
      </w:r>
      <w:r>
        <w:rPr>
          <w:rFonts w:hint="eastAsia" w:ascii="宋体" w:cs="宋体"/>
          <w:color w:val="000000" w:themeColor="text1"/>
          <w:sz w:val="24"/>
          <w:highlight w:val="none"/>
          <w14:textFill>
            <w14:solidFill>
              <w14:schemeClr w14:val="tx1"/>
            </w14:solidFill>
          </w14:textFill>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6C66394">
      <w:pPr>
        <w:spacing w:line="400" w:lineRule="exact"/>
        <w:ind w:firstLine="442" w:firstLineChars="200"/>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三、提高政府采购工程面向中小企业预留份额。</w:t>
      </w:r>
      <w:r>
        <w:rPr>
          <w:rFonts w:hint="eastAsia" w:ascii="宋体" w:cs="宋体"/>
          <w:color w:val="000000" w:themeColor="text1"/>
          <w:sz w:val="24"/>
          <w:highlight w:val="none"/>
          <w14:textFill>
            <w14:solidFill>
              <w14:schemeClr w14:val="tx1"/>
            </w14:solidFill>
          </w14:textFill>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DBF3419">
      <w:pPr>
        <w:spacing w:line="400" w:lineRule="exact"/>
        <w:ind w:firstLine="422" w:firstLineChars="200"/>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四、认真做好组织实施。</w:t>
      </w:r>
      <w:r>
        <w:rPr>
          <w:rFonts w:hint="eastAsia" w:ascii="宋体" w:cs="宋体"/>
          <w:color w:val="000000" w:themeColor="text1"/>
          <w:sz w:val="24"/>
          <w:highlight w:val="none"/>
          <w14:textFill>
            <w14:solidFill>
              <w14:schemeClr w14:val="tx1"/>
            </w14:solidFill>
          </w14:textFill>
        </w:rPr>
        <w:t>各地区、各部门应当加强组织领导，明确工作责任，细化执行要求，强化监督检查，确保国务院部署落实到位，对通知执行中出现的问题要及时向财政部报告。</w:t>
      </w:r>
    </w:p>
    <w:p w14:paraId="7E6CF2FC">
      <w:pPr>
        <w:spacing w:line="360" w:lineRule="auto"/>
        <w:ind w:firstLine="480" w:firstLineChars="200"/>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本通知自2022年7月1日起执行。</w:t>
      </w:r>
    </w:p>
    <w:p w14:paraId="1F81C72B">
      <w:pPr>
        <w:spacing w:line="360" w:lineRule="auto"/>
        <w:ind w:firstLine="480" w:firstLineChars="200"/>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财  政  部　　2022年5月30日</w:t>
      </w:r>
    </w:p>
    <w:p w14:paraId="73DD4FF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387645BD">
      <w:pPr>
        <w:spacing w:line="360" w:lineRule="auto"/>
        <w:ind w:firstLine="422" w:firstLineChars="20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吉林省强化政府采购政策支持中小企业发展落实举措 </w:t>
      </w:r>
    </w:p>
    <w:p w14:paraId="24ECFC9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 号）规定，提出如下落实措施： </w:t>
      </w:r>
    </w:p>
    <w:p w14:paraId="3EA85126">
      <w:pPr>
        <w:numPr>
          <w:ilvl w:val="0"/>
          <w:numId w:val="8"/>
        </w:num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强化政策落实支持中小企业发展</w:t>
      </w:r>
    </w:p>
    <w:p w14:paraId="305A0E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0364AB0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二、提高政府采购项目价格评审优惠幅度</w:t>
      </w:r>
      <w:r>
        <w:rPr>
          <w:rFonts w:hint="eastAsia" w:ascii="宋体" w:hAnsi="宋体" w:cs="宋体"/>
          <w:color w:val="000000" w:themeColor="text1"/>
          <w:sz w:val="24"/>
          <w:highlight w:val="none"/>
          <w14:textFill>
            <w14:solidFill>
              <w14:schemeClr w14:val="tx1"/>
            </w14:solidFill>
          </w14:textFill>
        </w:rPr>
        <w:t xml:space="preserve"> </w:t>
      </w:r>
    </w:p>
    <w:p w14:paraId="61ADA3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自 2022 年 7 月 1 日起发布招标公告或者发出采购邀请，未预留份额专门面向中小企业采购的货物、服务项目，给予小微企业的价格扣除优惠由《办法》规定的 6%-10%提高至10%-20%；大中型企业与小微企业组成联合体或者大中型企业向小微企业分包的，评审优惠幅度由 2%—3%提高至 4%—6%。政府采购工程的价格评审优惠按照《办法》的规定执行。 </w:t>
      </w:r>
    </w:p>
    <w:p w14:paraId="46D8FE95">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三、提高政府采购工程项目预留份额比例 </w:t>
      </w:r>
    </w:p>
    <w:p w14:paraId="01D1D47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400 万元以下的工程采购项目适宜由中小企业提供的，采购人应当专门面向中小企业采购。达到或超过 400 万元的工程采购项目中适宜由中小企业提供的，在坚持公开、公正、公平竞争和统一质量标准的前提下，2022 年下半年面向中小企业的预留份额由 30%以上提高至 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 </w:t>
      </w:r>
    </w:p>
    <w:p w14:paraId="23D5BF3E">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四、降低经营成本提高履约能力 </w:t>
      </w:r>
    </w:p>
    <w:p w14:paraId="5344E4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 2022 年 5月前实施完成的政府采购项目投标（响应）或履约保证金进行核查清理，对符合法定或合同约定退还条件的应及时退还，切实减轻中小企业资金压力。采购人在编制招标文件时可结合项目实际，明确中小企业获得合同后可采取分期付款的方式，最大限度的确定首期预付款比例，并尽量缩短资金支付期限。 </w:t>
      </w:r>
    </w:p>
    <w:p w14:paraId="5BBA108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五、优化政府采购程序推进全流程电子化</w:t>
      </w:r>
      <w:r>
        <w:rPr>
          <w:rFonts w:hint="eastAsia" w:ascii="宋体" w:hAnsi="宋体" w:cs="宋体"/>
          <w:color w:val="000000" w:themeColor="text1"/>
          <w:sz w:val="24"/>
          <w:highlight w:val="none"/>
          <w14:textFill>
            <w14:solidFill>
              <w14:schemeClr w14:val="tx1"/>
            </w14:solidFill>
          </w14:textFill>
        </w:rPr>
        <w:t xml:space="preserve"> </w:t>
      </w:r>
    </w:p>
    <w:p w14:paraId="22DDE89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招标文件或者到场参加开标、谈判等。加快推进全省政府采购全流程电子化建设，实现在线发布招标公告、提供招标文件、提交投标（响应）文件，实行电子开标、电子评审，提升中小企业参与政府采购活动的便利度。 </w:t>
      </w:r>
    </w:p>
    <w:p w14:paraId="6C8150E4">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六、加强项目执行管理提升政府采购透明度 </w:t>
      </w:r>
    </w:p>
    <w:p w14:paraId="48A095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人、采购代理机构对投标（响应）文件的格式、形式要求应当简化明确，不得因非实质性的格式、形式问题限制和影响中小企业投标（响应）。实现电子化采购的，采购人、采购代理机构应当免费提供电子招标文件；暂未实现电子化采购的，鼓励采购人、采购代理机构向中小企业免费提供纸质招标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4569F14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57D2A8BF">
      <w:pPr>
        <w:pStyle w:val="3"/>
        <w:rPr>
          <w:color w:val="000000" w:themeColor="text1"/>
          <w:highlight w:val="none"/>
          <w14:textFill>
            <w14:solidFill>
              <w14:schemeClr w14:val="tx1"/>
            </w14:solidFill>
          </w14:textFill>
        </w:rPr>
      </w:pPr>
    </w:p>
    <w:p w14:paraId="123E24E5">
      <w:pPr>
        <w:pStyle w:val="25"/>
        <w:rPr>
          <w:rFonts w:ascii="宋体" w:eastAsia="宋体" w:cs="宋体"/>
          <w:color w:val="000000" w:themeColor="text1"/>
          <w:highlight w:val="none"/>
          <w14:textFill>
            <w14:solidFill>
              <w14:schemeClr w14:val="tx1"/>
            </w14:solidFill>
          </w14:textFill>
        </w:rPr>
      </w:pPr>
    </w:p>
    <w:p w14:paraId="0B6888F3">
      <w:pPr>
        <w:spacing w:line="312" w:lineRule="auto"/>
        <w:rPr>
          <w:rFonts w:ascii="宋体" w:cs="宋体"/>
          <w:color w:val="000000" w:themeColor="text1"/>
          <w:sz w:val="24"/>
          <w:highlight w:val="none"/>
          <w14:textFill>
            <w14:solidFill>
              <w14:schemeClr w14:val="tx1"/>
            </w14:solidFill>
          </w14:textFill>
        </w:rPr>
      </w:pPr>
    </w:p>
    <w:p w14:paraId="2418EB1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6BF8223A">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国家统计局关于印发《统计上大中小微型企业划分办法（2017）》的通知</w:t>
      </w:r>
    </w:p>
    <w:p w14:paraId="5AEB6CA5">
      <w:pPr>
        <w:pStyle w:val="25"/>
        <w:rPr>
          <w:rFonts w:ascii="宋体" w:eastAsia="宋体" w:cs="宋体"/>
          <w:color w:val="000000" w:themeColor="text1"/>
          <w:highlight w:val="none"/>
          <w14:textFill>
            <w14:solidFill>
              <w14:schemeClr w14:val="tx1"/>
            </w14:solidFill>
          </w14:textFill>
        </w:rPr>
      </w:pPr>
    </w:p>
    <w:p w14:paraId="5ADB15F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各省、自治区、直辖市统计局，新疆生产建设兵团统计局，国务院各有关部门，国家统计局</w:t>
      </w:r>
    </w:p>
    <w:p w14:paraId="65B98C5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各调查总队： </w:t>
      </w:r>
    </w:p>
    <w:p w14:paraId="106A2307">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744AAC1B">
      <w:pPr>
        <w:rPr>
          <w:rFonts w:ascii="宋体" w:cs="宋体"/>
          <w:color w:val="000000" w:themeColor="text1"/>
          <w:sz w:val="24"/>
          <w:highlight w:val="none"/>
          <w14:textFill>
            <w14:solidFill>
              <w14:schemeClr w14:val="tx1"/>
            </w14:solidFill>
          </w14:textFill>
        </w:rPr>
      </w:pPr>
    </w:p>
    <w:p w14:paraId="7F5E3349">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统计上大中小微型企业划分办法（2017）</w:t>
      </w:r>
    </w:p>
    <w:p w14:paraId="5E1A65D5">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596B8429">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二、本办法适用对象为在中华人民共和国境内依法设立的各种组织形式的法人企业或单位。个体工商户参照本办法进行划分。 </w:t>
      </w:r>
    </w:p>
    <w:p w14:paraId="0C876362">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7261D8DF">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四、本办法按照行业门类、大类、中类和组合类别，依据从业人员、营业收入、资产总额等指标或替代指标，将我国的企业划分为大型、中型、小型、微型等四种类型。具体划分标准见附表。 </w:t>
      </w:r>
    </w:p>
    <w:p w14:paraId="4B51E913">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五、企业划分由政府综合统计部门根据统计年报每年确定一次，定报统计原则上不进行调整。</w:t>
      </w:r>
    </w:p>
    <w:p w14:paraId="5E0D45F5">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六、本办法自印发之日起执行，国家统计局 2011 年印发的《统计上大中小微型企业划分办法》（国统字〔2011〕75 号）同时废止。 </w:t>
      </w:r>
    </w:p>
    <w:p w14:paraId="6553007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附表：统计上大中小微型企业划分标准 </w:t>
      </w:r>
    </w:p>
    <w:p w14:paraId="7E6E1A53">
      <w:pPr>
        <w:widowControl/>
        <w:spacing w:line="330" w:lineRule="atLeas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统计上大中小微型企业划分标准</w:t>
      </w:r>
    </w:p>
    <w:tbl>
      <w:tblPr>
        <w:tblStyle w:val="26"/>
        <w:tblW w:w="9457" w:type="dxa"/>
        <w:jc w:val="center"/>
        <w:tblLayout w:type="fixed"/>
        <w:tblCellMar>
          <w:top w:w="0" w:type="dxa"/>
          <w:left w:w="108" w:type="dxa"/>
          <w:bottom w:w="0" w:type="dxa"/>
          <w:right w:w="108" w:type="dxa"/>
        </w:tblCellMar>
      </w:tblPr>
      <w:tblGrid>
        <w:gridCol w:w="2122"/>
        <w:gridCol w:w="1373"/>
        <w:gridCol w:w="706"/>
        <w:gridCol w:w="1127"/>
        <w:gridCol w:w="1707"/>
        <w:gridCol w:w="1429"/>
        <w:gridCol w:w="993"/>
      </w:tblGrid>
      <w:tr w14:paraId="1273DDCB">
        <w:tblPrEx>
          <w:tblCellMar>
            <w:top w:w="0" w:type="dxa"/>
            <w:left w:w="108" w:type="dxa"/>
            <w:bottom w:w="0" w:type="dxa"/>
            <w:right w:w="108" w:type="dxa"/>
          </w:tblCellMar>
        </w:tblPrEx>
        <w:trPr>
          <w:trHeight w:val="1206" w:hRule="exact"/>
          <w:jc w:val="center"/>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094E2791">
            <w:pPr>
              <w:widowControl/>
              <w:spacing w:line="240" w:lineRule="exact"/>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行业名称</w:t>
            </w:r>
          </w:p>
        </w:tc>
        <w:tc>
          <w:tcPr>
            <w:tcW w:w="1373" w:type="dxa"/>
            <w:tcBorders>
              <w:top w:val="single" w:color="auto" w:sz="4" w:space="0"/>
              <w:left w:val="nil"/>
              <w:bottom w:val="single" w:color="auto" w:sz="4" w:space="0"/>
              <w:right w:val="single" w:color="auto" w:sz="4" w:space="0"/>
            </w:tcBorders>
            <w:shd w:val="clear" w:color="auto" w:fill="auto"/>
            <w:vAlign w:val="center"/>
          </w:tcPr>
          <w:p w14:paraId="2434EB2B">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指标名称</w:t>
            </w:r>
          </w:p>
        </w:tc>
        <w:tc>
          <w:tcPr>
            <w:tcW w:w="706" w:type="dxa"/>
            <w:tcBorders>
              <w:top w:val="single" w:color="auto" w:sz="4" w:space="0"/>
              <w:left w:val="nil"/>
              <w:bottom w:val="single" w:color="auto" w:sz="4" w:space="0"/>
              <w:right w:val="single" w:color="auto" w:sz="4" w:space="0"/>
            </w:tcBorders>
            <w:shd w:val="clear" w:color="auto" w:fill="auto"/>
            <w:vAlign w:val="center"/>
          </w:tcPr>
          <w:p w14:paraId="25C7633C">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计量</w:t>
            </w:r>
          </w:p>
          <w:p w14:paraId="10999C47">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单位</w:t>
            </w:r>
          </w:p>
        </w:tc>
        <w:tc>
          <w:tcPr>
            <w:tcW w:w="1127" w:type="dxa"/>
            <w:tcBorders>
              <w:top w:val="single" w:color="auto" w:sz="4" w:space="0"/>
              <w:left w:val="nil"/>
              <w:bottom w:val="single" w:color="auto" w:sz="4" w:space="0"/>
              <w:right w:val="single" w:color="auto" w:sz="4" w:space="0"/>
            </w:tcBorders>
            <w:shd w:val="clear" w:color="auto" w:fill="auto"/>
            <w:vAlign w:val="center"/>
          </w:tcPr>
          <w:p w14:paraId="186A55C5">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大型</w:t>
            </w:r>
          </w:p>
        </w:tc>
        <w:tc>
          <w:tcPr>
            <w:tcW w:w="1707" w:type="dxa"/>
            <w:tcBorders>
              <w:top w:val="single" w:color="auto" w:sz="4" w:space="0"/>
              <w:left w:val="nil"/>
              <w:bottom w:val="single" w:color="auto" w:sz="4" w:space="0"/>
              <w:right w:val="single" w:color="auto" w:sz="4" w:space="0"/>
            </w:tcBorders>
            <w:shd w:val="clear" w:color="auto" w:fill="auto"/>
            <w:vAlign w:val="center"/>
          </w:tcPr>
          <w:p w14:paraId="197414B5">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中型</w:t>
            </w:r>
          </w:p>
        </w:tc>
        <w:tc>
          <w:tcPr>
            <w:tcW w:w="1429" w:type="dxa"/>
            <w:tcBorders>
              <w:top w:val="single" w:color="auto" w:sz="4" w:space="0"/>
              <w:left w:val="nil"/>
              <w:bottom w:val="single" w:color="auto" w:sz="4" w:space="0"/>
              <w:right w:val="single" w:color="auto" w:sz="4" w:space="0"/>
            </w:tcBorders>
            <w:shd w:val="clear" w:color="auto" w:fill="auto"/>
            <w:vAlign w:val="center"/>
          </w:tcPr>
          <w:p w14:paraId="63D15D49">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小型</w:t>
            </w:r>
          </w:p>
        </w:tc>
        <w:tc>
          <w:tcPr>
            <w:tcW w:w="993" w:type="dxa"/>
            <w:tcBorders>
              <w:top w:val="single" w:color="auto" w:sz="4" w:space="0"/>
              <w:left w:val="nil"/>
              <w:bottom w:val="single" w:color="auto" w:sz="4" w:space="0"/>
              <w:right w:val="single" w:color="auto" w:sz="4" w:space="0"/>
            </w:tcBorders>
            <w:shd w:val="clear" w:color="auto" w:fill="auto"/>
            <w:vAlign w:val="center"/>
          </w:tcPr>
          <w:p w14:paraId="6A4669EC">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微型</w:t>
            </w:r>
          </w:p>
        </w:tc>
      </w:tr>
      <w:tr w14:paraId="454D9FDC">
        <w:tblPrEx>
          <w:tblCellMar>
            <w:top w:w="0" w:type="dxa"/>
            <w:left w:w="108" w:type="dxa"/>
            <w:bottom w:w="0" w:type="dxa"/>
            <w:right w:w="108" w:type="dxa"/>
          </w:tblCellMar>
        </w:tblPrEx>
        <w:trPr>
          <w:trHeight w:val="768" w:hRule="exact"/>
          <w:jc w:val="center"/>
        </w:trPr>
        <w:tc>
          <w:tcPr>
            <w:tcW w:w="2122" w:type="dxa"/>
            <w:tcBorders>
              <w:top w:val="nil"/>
              <w:left w:val="single" w:color="auto" w:sz="4" w:space="0"/>
              <w:bottom w:val="single" w:color="auto" w:sz="4" w:space="0"/>
              <w:right w:val="single" w:color="auto" w:sz="4" w:space="0"/>
            </w:tcBorders>
            <w:shd w:val="clear" w:color="auto" w:fill="auto"/>
            <w:vAlign w:val="center"/>
          </w:tcPr>
          <w:p w14:paraId="50BDD8A2">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农、林、牧、渔业</w:t>
            </w:r>
          </w:p>
        </w:tc>
        <w:tc>
          <w:tcPr>
            <w:tcW w:w="1373" w:type="dxa"/>
            <w:tcBorders>
              <w:top w:val="nil"/>
              <w:left w:val="nil"/>
              <w:bottom w:val="single" w:color="auto" w:sz="4" w:space="0"/>
              <w:right w:val="single" w:color="auto" w:sz="4" w:space="0"/>
            </w:tcBorders>
            <w:shd w:val="clear" w:color="auto" w:fill="auto"/>
            <w:vAlign w:val="center"/>
          </w:tcPr>
          <w:p w14:paraId="683FA06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2AD2D4B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7F40C4F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Y≥20000</w:t>
            </w:r>
          </w:p>
        </w:tc>
        <w:tc>
          <w:tcPr>
            <w:tcW w:w="1707" w:type="dxa"/>
            <w:tcBorders>
              <w:top w:val="nil"/>
              <w:left w:val="nil"/>
              <w:bottom w:val="single" w:color="auto" w:sz="4" w:space="0"/>
              <w:right w:val="single" w:color="auto" w:sz="4" w:space="0"/>
            </w:tcBorders>
            <w:shd w:val="clear" w:color="auto" w:fill="auto"/>
            <w:vAlign w:val="center"/>
          </w:tcPr>
          <w:p w14:paraId="42B2439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500≤Y＜20000</w:t>
            </w:r>
          </w:p>
        </w:tc>
        <w:tc>
          <w:tcPr>
            <w:tcW w:w="1429" w:type="dxa"/>
            <w:tcBorders>
              <w:top w:val="nil"/>
              <w:left w:val="nil"/>
              <w:bottom w:val="single" w:color="auto" w:sz="4" w:space="0"/>
              <w:right w:val="single" w:color="auto" w:sz="4" w:space="0"/>
            </w:tcBorders>
            <w:shd w:val="clear" w:color="auto" w:fill="auto"/>
            <w:vAlign w:val="center"/>
          </w:tcPr>
          <w:p w14:paraId="241EC9F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50≤Y＜500</w:t>
            </w:r>
          </w:p>
        </w:tc>
        <w:tc>
          <w:tcPr>
            <w:tcW w:w="993" w:type="dxa"/>
            <w:tcBorders>
              <w:top w:val="nil"/>
              <w:left w:val="nil"/>
              <w:bottom w:val="single" w:color="auto" w:sz="4" w:space="0"/>
              <w:right w:val="single" w:color="auto" w:sz="4" w:space="0"/>
            </w:tcBorders>
            <w:shd w:val="clear" w:color="auto" w:fill="auto"/>
            <w:vAlign w:val="center"/>
          </w:tcPr>
          <w:p w14:paraId="7DBC525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Y＜50</w:t>
            </w:r>
          </w:p>
        </w:tc>
      </w:tr>
      <w:tr w14:paraId="07FBF252">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5188916B">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工业 *</w:t>
            </w:r>
          </w:p>
        </w:tc>
        <w:tc>
          <w:tcPr>
            <w:tcW w:w="1373" w:type="dxa"/>
            <w:tcBorders>
              <w:top w:val="nil"/>
              <w:left w:val="nil"/>
              <w:bottom w:val="nil"/>
              <w:right w:val="single" w:color="auto" w:sz="4" w:space="0"/>
            </w:tcBorders>
            <w:shd w:val="clear" w:color="auto" w:fill="auto"/>
            <w:vAlign w:val="center"/>
          </w:tcPr>
          <w:p w14:paraId="23C8879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4574142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520DDCD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X≥1000</w:t>
            </w:r>
          </w:p>
        </w:tc>
        <w:tc>
          <w:tcPr>
            <w:tcW w:w="1707" w:type="dxa"/>
            <w:tcBorders>
              <w:top w:val="nil"/>
              <w:left w:val="nil"/>
              <w:bottom w:val="nil"/>
              <w:right w:val="single" w:color="auto" w:sz="4" w:space="0"/>
            </w:tcBorders>
            <w:shd w:val="clear" w:color="auto" w:fill="auto"/>
            <w:vAlign w:val="center"/>
          </w:tcPr>
          <w:p w14:paraId="5755C1B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300≤X＜1000</w:t>
            </w:r>
          </w:p>
        </w:tc>
        <w:tc>
          <w:tcPr>
            <w:tcW w:w="1429" w:type="dxa"/>
            <w:tcBorders>
              <w:top w:val="nil"/>
              <w:left w:val="nil"/>
              <w:bottom w:val="nil"/>
              <w:right w:val="single" w:color="auto" w:sz="4" w:space="0"/>
            </w:tcBorders>
            <w:shd w:val="clear" w:color="auto" w:fill="auto"/>
            <w:vAlign w:val="center"/>
          </w:tcPr>
          <w:p w14:paraId="5606073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20≤X＜300</w:t>
            </w:r>
          </w:p>
        </w:tc>
        <w:tc>
          <w:tcPr>
            <w:tcW w:w="993" w:type="dxa"/>
            <w:tcBorders>
              <w:top w:val="nil"/>
              <w:left w:val="nil"/>
              <w:bottom w:val="nil"/>
              <w:right w:val="single" w:color="auto" w:sz="4" w:space="0"/>
            </w:tcBorders>
            <w:shd w:val="clear" w:color="auto" w:fill="auto"/>
            <w:vAlign w:val="center"/>
          </w:tcPr>
          <w:p w14:paraId="00FA613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w:t>
            </w:r>
          </w:p>
        </w:tc>
      </w:tr>
      <w:tr w14:paraId="03C1032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0C6185FA">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68514CB4">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29AC615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4CFA512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Y≥40000</w:t>
            </w:r>
          </w:p>
        </w:tc>
        <w:tc>
          <w:tcPr>
            <w:tcW w:w="1707" w:type="dxa"/>
            <w:tcBorders>
              <w:top w:val="nil"/>
              <w:left w:val="nil"/>
              <w:bottom w:val="single" w:color="auto" w:sz="4" w:space="0"/>
              <w:right w:val="single" w:color="auto" w:sz="4" w:space="0"/>
            </w:tcBorders>
            <w:shd w:val="clear" w:color="auto" w:fill="auto"/>
            <w:vAlign w:val="center"/>
          </w:tcPr>
          <w:p w14:paraId="1C7557D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2000≤Y＜40000</w:t>
            </w:r>
          </w:p>
        </w:tc>
        <w:tc>
          <w:tcPr>
            <w:tcW w:w="1429" w:type="dxa"/>
            <w:tcBorders>
              <w:top w:val="nil"/>
              <w:left w:val="nil"/>
              <w:bottom w:val="single" w:color="auto" w:sz="4" w:space="0"/>
              <w:right w:val="single" w:color="auto" w:sz="4" w:space="0"/>
            </w:tcBorders>
            <w:shd w:val="clear" w:color="auto" w:fill="auto"/>
            <w:vAlign w:val="center"/>
          </w:tcPr>
          <w:p w14:paraId="4518859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300≤Y＜2000</w:t>
            </w:r>
          </w:p>
        </w:tc>
        <w:tc>
          <w:tcPr>
            <w:tcW w:w="993" w:type="dxa"/>
            <w:tcBorders>
              <w:top w:val="nil"/>
              <w:left w:val="nil"/>
              <w:bottom w:val="single" w:color="auto" w:sz="4" w:space="0"/>
              <w:right w:val="single" w:color="auto" w:sz="4" w:space="0"/>
            </w:tcBorders>
            <w:shd w:val="clear" w:color="auto" w:fill="auto"/>
            <w:vAlign w:val="center"/>
          </w:tcPr>
          <w:p w14:paraId="70E2DF1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w:t>
            </w:r>
          </w:p>
        </w:tc>
      </w:tr>
      <w:tr w14:paraId="5639E32F">
        <w:tblPrEx>
          <w:tblCellMar>
            <w:top w:w="0" w:type="dxa"/>
            <w:left w:w="108" w:type="dxa"/>
            <w:bottom w:w="0" w:type="dxa"/>
            <w:right w:w="108" w:type="dxa"/>
          </w:tblCellMar>
        </w:tblPrEx>
        <w:trPr>
          <w:trHeight w:val="768"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61698">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建筑业</w:t>
            </w:r>
          </w:p>
        </w:tc>
        <w:tc>
          <w:tcPr>
            <w:tcW w:w="1373" w:type="dxa"/>
            <w:tcBorders>
              <w:top w:val="single" w:color="auto" w:sz="4" w:space="0"/>
              <w:left w:val="nil"/>
              <w:bottom w:val="nil"/>
              <w:right w:val="single" w:color="auto" w:sz="4" w:space="0"/>
            </w:tcBorders>
            <w:shd w:val="clear" w:color="auto" w:fill="auto"/>
            <w:vAlign w:val="center"/>
          </w:tcPr>
          <w:p w14:paraId="7CA0A36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single" w:color="auto" w:sz="4" w:space="0"/>
              <w:left w:val="nil"/>
              <w:bottom w:val="nil"/>
              <w:right w:val="single" w:color="auto" w:sz="4" w:space="0"/>
            </w:tcBorders>
            <w:shd w:val="clear" w:color="auto" w:fill="auto"/>
            <w:vAlign w:val="center"/>
          </w:tcPr>
          <w:p w14:paraId="7A80324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single" w:color="auto" w:sz="4" w:space="0"/>
              <w:left w:val="nil"/>
              <w:bottom w:val="nil"/>
              <w:right w:val="single" w:color="auto" w:sz="4" w:space="0"/>
            </w:tcBorders>
            <w:shd w:val="clear" w:color="auto" w:fill="auto"/>
            <w:vAlign w:val="center"/>
          </w:tcPr>
          <w:p w14:paraId="7889B4B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Y≥80000</w:t>
            </w:r>
          </w:p>
        </w:tc>
        <w:tc>
          <w:tcPr>
            <w:tcW w:w="1707" w:type="dxa"/>
            <w:tcBorders>
              <w:top w:val="single" w:color="auto" w:sz="4" w:space="0"/>
              <w:left w:val="nil"/>
              <w:bottom w:val="nil"/>
              <w:right w:val="single" w:color="auto" w:sz="4" w:space="0"/>
            </w:tcBorders>
            <w:shd w:val="clear" w:color="auto" w:fill="auto"/>
            <w:vAlign w:val="center"/>
          </w:tcPr>
          <w:p w14:paraId="7395E7A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6000≤Y＜80000</w:t>
            </w:r>
          </w:p>
        </w:tc>
        <w:tc>
          <w:tcPr>
            <w:tcW w:w="1429" w:type="dxa"/>
            <w:tcBorders>
              <w:top w:val="single" w:color="auto" w:sz="4" w:space="0"/>
              <w:left w:val="nil"/>
              <w:bottom w:val="nil"/>
              <w:right w:val="single" w:color="auto" w:sz="4" w:space="0"/>
            </w:tcBorders>
            <w:shd w:val="clear" w:color="auto" w:fill="auto"/>
            <w:vAlign w:val="center"/>
          </w:tcPr>
          <w:p w14:paraId="59C797E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300≤Y＜6000</w:t>
            </w:r>
          </w:p>
        </w:tc>
        <w:tc>
          <w:tcPr>
            <w:tcW w:w="993" w:type="dxa"/>
            <w:tcBorders>
              <w:top w:val="single" w:color="auto" w:sz="4" w:space="0"/>
              <w:left w:val="nil"/>
              <w:bottom w:val="nil"/>
              <w:right w:val="single" w:color="auto" w:sz="4" w:space="0"/>
            </w:tcBorders>
            <w:shd w:val="clear" w:color="auto" w:fill="auto"/>
            <w:vAlign w:val="center"/>
          </w:tcPr>
          <w:p w14:paraId="7DC6FC4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w:t>
            </w:r>
          </w:p>
        </w:tc>
      </w:tr>
      <w:tr w14:paraId="7C5A6D62">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5C70CEAC">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71E6B6B5">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资产总额(Z)</w:t>
            </w:r>
          </w:p>
        </w:tc>
        <w:tc>
          <w:tcPr>
            <w:tcW w:w="706" w:type="dxa"/>
            <w:tcBorders>
              <w:top w:val="nil"/>
              <w:left w:val="nil"/>
              <w:bottom w:val="single" w:color="auto" w:sz="4" w:space="0"/>
              <w:right w:val="single" w:color="auto" w:sz="4" w:space="0"/>
            </w:tcBorders>
            <w:shd w:val="clear" w:color="auto" w:fill="auto"/>
            <w:vAlign w:val="center"/>
          </w:tcPr>
          <w:p w14:paraId="3A655E3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21A05B5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Z≥80000</w:t>
            </w:r>
          </w:p>
        </w:tc>
        <w:tc>
          <w:tcPr>
            <w:tcW w:w="1707" w:type="dxa"/>
            <w:tcBorders>
              <w:top w:val="nil"/>
              <w:left w:val="nil"/>
              <w:bottom w:val="single" w:color="auto" w:sz="4" w:space="0"/>
              <w:right w:val="single" w:color="auto" w:sz="4" w:space="0"/>
            </w:tcBorders>
            <w:shd w:val="clear" w:color="auto" w:fill="auto"/>
            <w:vAlign w:val="center"/>
          </w:tcPr>
          <w:p w14:paraId="2D7B6D7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5000≤Z＜80000</w:t>
            </w:r>
          </w:p>
        </w:tc>
        <w:tc>
          <w:tcPr>
            <w:tcW w:w="1429" w:type="dxa"/>
            <w:tcBorders>
              <w:top w:val="nil"/>
              <w:left w:val="nil"/>
              <w:bottom w:val="single" w:color="auto" w:sz="4" w:space="0"/>
              <w:right w:val="single" w:color="auto" w:sz="4" w:space="0"/>
            </w:tcBorders>
            <w:shd w:val="clear" w:color="auto" w:fill="auto"/>
            <w:vAlign w:val="center"/>
          </w:tcPr>
          <w:p w14:paraId="2907FF2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300≤Z＜5000</w:t>
            </w:r>
          </w:p>
        </w:tc>
        <w:tc>
          <w:tcPr>
            <w:tcW w:w="993" w:type="dxa"/>
            <w:tcBorders>
              <w:top w:val="nil"/>
              <w:left w:val="nil"/>
              <w:bottom w:val="single" w:color="auto" w:sz="4" w:space="0"/>
              <w:right w:val="single" w:color="auto" w:sz="4" w:space="0"/>
            </w:tcBorders>
            <w:shd w:val="clear" w:color="auto" w:fill="auto"/>
            <w:vAlign w:val="center"/>
          </w:tcPr>
          <w:p w14:paraId="7B7CCEE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Z＜300</w:t>
            </w:r>
          </w:p>
        </w:tc>
      </w:tr>
      <w:tr w14:paraId="16409AD1">
        <w:tblPrEx>
          <w:tblCellMar>
            <w:top w:w="0" w:type="dxa"/>
            <w:left w:w="108" w:type="dxa"/>
            <w:bottom w:w="0" w:type="dxa"/>
            <w:right w:w="108" w:type="dxa"/>
          </w:tblCellMar>
        </w:tblPrEx>
        <w:trPr>
          <w:trHeight w:val="768"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D3AE66">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批发业</w:t>
            </w:r>
          </w:p>
        </w:tc>
        <w:tc>
          <w:tcPr>
            <w:tcW w:w="1373" w:type="dxa"/>
            <w:tcBorders>
              <w:top w:val="single" w:color="auto" w:sz="4" w:space="0"/>
              <w:left w:val="nil"/>
              <w:bottom w:val="nil"/>
              <w:right w:val="single" w:color="auto" w:sz="4" w:space="0"/>
            </w:tcBorders>
            <w:shd w:val="clear" w:color="auto" w:fill="auto"/>
            <w:vAlign w:val="center"/>
          </w:tcPr>
          <w:p w14:paraId="4FE9424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single" w:color="auto" w:sz="4" w:space="0"/>
              <w:left w:val="nil"/>
              <w:bottom w:val="nil"/>
              <w:right w:val="single" w:color="auto" w:sz="4" w:space="0"/>
            </w:tcBorders>
            <w:shd w:val="clear" w:color="auto" w:fill="auto"/>
            <w:vAlign w:val="center"/>
          </w:tcPr>
          <w:p w14:paraId="3C6A4D3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single" w:color="auto" w:sz="4" w:space="0"/>
              <w:left w:val="nil"/>
              <w:bottom w:val="nil"/>
              <w:right w:val="single" w:color="auto" w:sz="4" w:space="0"/>
            </w:tcBorders>
            <w:shd w:val="clear" w:color="auto" w:fill="auto"/>
            <w:vAlign w:val="center"/>
          </w:tcPr>
          <w:p w14:paraId="2E6C1A1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X≥200</w:t>
            </w:r>
          </w:p>
        </w:tc>
        <w:tc>
          <w:tcPr>
            <w:tcW w:w="1707" w:type="dxa"/>
            <w:tcBorders>
              <w:top w:val="single" w:color="auto" w:sz="4" w:space="0"/>
              <w:left w:val="nil"/>
              <w:bottom w:val="nil"/>
              <w:right w:val="single" w:color="auto" w:sz="4" w:space="0"/>
            </w:tcBorders>
            <w:shd w:val="clear" w:color="auto" w:fill="auto"/>
            <w:vAlign w:val="center"/>
          </w:tcPr>
          <w:p w14:paraId="1512B0C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20≤X＜200</w:t>
            </w:r>
          </w:p>
        </w:tc>
        <w:tc>
          <w:tcPr>
            <w:tcW w:w="1429" w:type="dxa"/>
            <w:tcBorders>
              <w:top w:val="single" w:color="auto" w:sz="4" w:space="0"/>
              <w:left w:val="nil"/>
              <w:bottom w:val="nil"/>
              <w:right w:val="single" w:color="auto" w:sz="4" w:space="0"/>
            </w:tcBorders>
            <w:shd w:val="clear" w:color="auto" w:fill="auto"/>
            <w:vAlign w:val="center"/>
          </w:tcPr>
          <w:p w14:paraId="0D3948B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5≤X＜20</w:t>
            </w:r>
          </w:p>
        </w:tc>
        <w:tc>
          <w:tcPr>
            <w:tcW w:w="993" w:type="dxa"/>
            <w:tcBorders>
              <w:top w:val="single" w:color="auto" w:sz="4" w:space="0"/>
              <w:left w:val="nil"/>
              <w:bottom w:val="nil"/>
              <w:right w:val="single" w:color="auto" w:sz="4" w:space="0"/>
            </w:tcBorders>
            <w:shd w:val="clear" w:color="auto" w:fill="auto"/>
            <w:vAlign w:val="center"/>
          </w:tcPr>
          <w:p w14:paraId="6C1D57F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X＜5</w:t>
            </w:r>
          </w:p>
        </w:tc>
      </w:tr>
      <w:tr w14:paraId="704629E4">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83C1899">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045EC18C">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3F3F787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6318C4C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Y≥40000</w:t>
            </w:r>
          </w:p>
        </w:tc>
        <w:tc>
          <w:tcPr>
            <w:tcW w:w="1707" w:type="dxa"/>
            <w:tcBorders>
              <w:top w:val="nil"/>
              <w:left w:val="nil"/>
              <w:bottom w:val="single" w:color="auto" w:sz="4" w:space="0"/>
              <w:right w:val="single" w:color="auto" w:sz="4" w:space="0"/>
            </w:tcBorders>
            <w:shd w:val="clear" w:color="auto" w:fill="auto"/>
            <w:vAlign w:val="center"/>
          </w:tcPr>
          <w:p w14:paraId="601D9BC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5000≤Y＜40000</w:t>
            </w:r>
          </w:p>
        </w:tc>
        <w:tc>
          <w:tcPr>
            <w:tcW w:w="1429" w:type="dxa"/>
            <w:tcBorders>
              <w:top w:val="nil"/>
              <w:left w:val="nil"/>
              <w:bottom w:val="single" w:color="auto" w:sz="4" w:space="0"/>
              <w:right w:val="single" w:color="auto" w:sz="4" w:space="0"/>
            </w:tcBorders>
            <w:shd w:val="clear" w:color="auto" w:fill="auto"/>
            <w:vAlign w:val="center"/>
          </w:tcPr>
          <w:p w14:paraId="68CB16D4">
            <w:pPr>
              <w:widowControl/>
              <w:ind w:left="-1" w:leftChars="-1" w:hanging="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1000≤Y＜5000</w:t>
            </w:r>
          </w:p>
        </w:tc>
        <w:tc>
          <w:tcPr>
            <w:tcW w:w="993" w:type="dxa"/>
            <w:tcBorders>
              <w:top w:val="nil"/>
              <w:left w:val="nil"/>
              <w:bottom w:val="single" w:color="auto" w:sz="4" w:space="0"/>
              <w:right w:val="single" w:color="auto" w:sz="4" w:space="0"/>
            </w:tcBorders>
            <w:shd w:val="clear" w:color="auto" w:fill="auto"/>
            <w:vAlign w:val="center"/>
          </w:tcPr>
          <w:p w14:paraId="29ED282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w:t>
            </w:r>
          </w:p>
        </w:tc>
      </w:tr>
      <w:tr w14:paraId="77439D18">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421A92A">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零售业</w:t>
            </w:r>
          </w:p>
        </w:tc>
        <w:tc>
          <w:tcPr>
            <w:tcW w:w="1373" w:type="dxa"/>
            <w:tcBorders>
              <w:top w:val="nil"/>
              <w:left w:val="nil"/>
              <w:bottom w:val="nil"/>
              <w:right w:val="single" w:color="auto" w:sz="4" w:space="0"/>
            </w:tcBorders>
            <w:shd w:val="clear" w:color="auto" w:fill="auto"/>
            <w:vAlign w:val="center"/>
          </w:tcPr>
          <w:p w14:paraId="520A0D5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612425C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3FB79FC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nil"/>
              <w:right w:val="single" w:color="auto" w:sz="4" w:space="0"/>
            </w:tcBorders>
            <w:shd w:val="clear" w:color="auto" w:fill="auto"/>
            <w:vAlign w:val="center"/>
          </w:tcPr>
          <w:p w14:paraId="157E74E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50≤X＜300</w:t>
            </w:r>
          </w:p>
        </w:tc>
        <w:tc>
          <w:tcPr>
            <w:tcW w:w="1429" w:type="dxa"/>
            <w:tcBorders>
              <w:top w:val="nil"/>
              <w:left w:val="nil"/>
              <w:bottom w:val="nil"/>
              <w:right w:val="single" w:color="auto" w:sz="4" w:space="0"/>
            </w:tcBorders>
            <w:shd w:val="clear" w:color="auto" w:fill="auto"/>
            <w:vAlign w:val="center"/>
          </w:tcPr>
          <w:p w14:paraId="7BF790FF">
            <w:pPr>
              <w:widowControl/>
              <w:ind w:left="-1" w:leftChars="-1" w:hanging="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10≤X＜50 </w:t>
            </w:r>
          </w:p>
        </w:tc>
        <w:tc>
          <w:tcPr>
            <w:tcW w:w="993" w:type="dxa"/>
            <w:tcBorders>
              <w:top w:val="nil"/>
              <w:left w:val="nil"/>
              <w:bottom w:val="nil"/>
              <w:right w:val="single" w:color="auto" w:sz="4" w:space="0"/>
            </w:tcBorders>
            <w:shd w:val="clear" w:color="auto" w:fill="auto"/>
            <w:vAlign w:val="center"/>
          </w:tcPr>
          <w:p w14:paraId="63FB95A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08DE9BCF">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6A297A3A">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1D6EE63B">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49AE402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3E36543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Y≥20000</w:t>
            </w:r>
          </w:p>
        </w:tc>
        <w:tc>
          <w:tcPr>
            <w:tcW w:w="1707" w:type="dxa"/>
            <w:tcBorders>
              <w:top w:val="nil"/>
              <w:left w:val="nil"/>
              <w:bottom w:val="single" w:color="auto" w:sz="4" w:space="0"/>
              <w:right w:val="single" w:color="auto" w:sz="4" w:space="0"/>
            </w:tcBorders>
            <w:shd w:val="clear" w:color="auto" w:fill="auto"/>
            <w:vAlign w:val="center"/>
          </w:tcPr>
          <w:p w14:paraId="0C9244A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500≤Y＜20000</w:t>
            </w:r>
          </w:p>
        </w:tc>
        <w:tc>
          <w:tcPr>
            <w:tcW w:w="1429" w:type="dxa"/>
            <w:tcBorders>
              <w:top w:val="nil"/>
              <w:left w:val="nil"/>
              <w:bottom w:val="single" w:color="auto" w:sz="4" w:space="0"/>
              <w:right w:val="single" w:color="auto" w:sz="4" w:space="0"/>
            </w:tcBorders>
            <w:shd w:val="clear" w:color="auto" w:fill="auto"/>
            <w:vAlign w:val="center"/>
          </w:tcPr>
          <w:p w14:paraId="60C63BFB">
            <w:pPr>
              <w:widowControl/>
              <w:ind w:left="-1" w:leftChars="-1" w:hanging="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100≤Y＜500 </w:t>
            </w:r>
          </w:p>
        </w:tc>
        <w:tc>
          <w:tcPr>
            <w:tcW w:w="993" w:type="dxa"/>
            <w:tcBorders>
              <w:top w:val="nil"/>
              <w:left w:val="nil"/>
              <w:bottom w:val="single" w:color="auto" w:sz="4" w:space="0"/>
              <w:right w:val="single" w:color="auto" w:sz="4" w:space="0"/>
            </w:tcBorders>
            <w:shd w:val="clear" w:color="auto" w:fill="auto"/>
            <w:vAlign w:val="center"/>
          </w:tcPr>
          <w:p w14:paraId="059C1CF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62CD3E45">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78533BAC">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交通运输业 *</w:t>
            </w:r>
          </w:p>
        </w:tc>
        <w:tc>
          <w:tcPr>
            <w:tcW w:w="1373" w:type="dxa"/>
            <w:tcBorders>
              <w:top w:val="nil"/>
              <w:left w:val="nil"/>
              <w:bottom w:val="nil"/>
              <w:right w:val="single" w:color="auto" w:sz="4" w:space="0"/>
            </w:tcBorders>
            <w:shd w:val="clear" w:color="auto" w:fill="auto"/>
            <w:vAlign w:val="center"/>
          </w:tcPr>
          <w:p w14:paraId="202A530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47BBA97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1998606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X≥1000</w:t>
            </w:r>
          </w:p>
        </w:tc>
        <w:tc>
          <w:tcPr>
            <w:tcW w:w="1707" w:type="dxa"/>
            <w:tcBorders>
              <w:top w:val="nil"/>
              <w:left w:val="nil"/>
              <w:bottom w:val="nil"/>
              <w:right w:val="single" w:color="auto" w:sz="4" w:space="0"/>
            </w:tcBorders>
            <w:shd w:val="clear" w:color="auto" w:fill="auto"/>
            <w:vAlign w:val="center"/>
          </w:tcPr>
          <w:p w14:paraId="0F35FB4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300≤X＜1000</w:t>
            </w:r>
          </w:p>
        </w:tc>
        <w:tc>
          <w:tcPr>
            <w:tcW w:w="1429" w:type="dxa"/>
            <w:tcBorders>
              <w:top w:val="nil"/>
              <w:left w:val="nil"/>
              <w:bottom w:val="nil"/>
              <w:right w:val="single" w:color="auto" w:sz="4" w:space="0"/>
            </w:tcBorders>
            <w:shd w:val="clear" w:color="auto" w:fill="auto"/>
            <w:vAlign w:val="center"/>
          </w:tcPr>
          <w:p w14:paraId="4B60826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20≤X＜300</w:t>
            </w:r>
          </w:p>
        </w:tc>
        <w:tc>
          <w:tcPr>
            <w:tcW w:w="993" w:type="dxa"/>
            <w:tcBorders>
              <w:top w:val="nil"/>
              <w:left w:val="nil"/>
              <w:bottom w:val="nil"/>
              <w:right w:val="single" w:color="auto" w:sz="4" w:space="0"/>
            </w:tcBorders>
            <w:shd w:val="clear" w:color="auto" w:fill="auto"/>
            <w:vAlign w:val="center"/>
          </w:tcPr>
          <w:p w14:paraId="3E87684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w:t>
            </w:r>
          </w:p>
        </w:tc>
      </w:tr>
      <w:tr w14:paraId="0482FCA4">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5E728021">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0AE62DDB">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6F90E38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3B44D31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Y≥30000</w:t>
            </w:r>
          </w:p>
        </w:tc>
        <w:tc>
          <w:tcPr>
            <w:tcW w:w="1707" w:type="dxa"/>
            <w:tcBorders>
              <w:top w:val="nil"/>
              <w:left w:val="nil"/>
              <w:bottom w:val="single" w:color="auto" w:sz="4" w:space="0"/>
              <w:right w:val="single" w:color="auto" w:sz="4" w:space="0"/>
            </w:tcBorders>
            <w:shd w:val="clear" w:color="auto" w:fill="auto"/>
            <w:vAlign w:val="center"/>
          </w:tcPr>
          <w:p w14:paraId="41D283A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3000≤Y＜30000</w:t>
            </w:r>
          </w:p>
        </w:tc>
        <w:tc>
          <w:tcPr>
            <w:tcW w:w="1429" w:type="dxa"/>
            <w:tcBorders>
              <w:top w:val="nil"/>
              <w:left w:val="nil"/>
              <w:bottom w:val="single" w:color="auto" w:sz="4" w:space="0"/>
              <w:right w:val="single" w:color="auto" w:sz="4" w:space="0"/>
            </w:tcBorders>
            <w:shd w:val="clear" w:color="auto" w:fill="auto"/>
            <w:vAlign w:val="center"/>
          </w:tcPr>
          <w:p w14:paraId="0D28178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200≤Y＜3000</w:t>
            </w:r>
          </w:p>
        </w:tc>
        <w:tc>
          <w:tcPr>
            <w:tcW w:w="993" w:type="dxa"/>
            <w:tcBorders>
              <w:top w:val="nil"/>
              <w:left w:val="nil"/>
              <w:bottom w:val="single" w:color="auto" w:sz="4" w:space="0"/>
              <w:right w:val="single" w:color="auto" w:sz="4" w:space="0"/>
            </w:tcBorders>
            <w:shd w:val="clear" w:color="auto" w:fill="auto"/>
            <w:vAlign w:val="center"/>
          </w:tcPr>
          <w:p w14:paraId="2A51D93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Y＜200</w:t>
            </w:r>
          </w:p>
        </w:tc>
      </w:tr>
      <w:tr w14:paraId="7028E886">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7E9346CC">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仓储业*</w:t>
            </w:r>
          </w:p>
        </w:tc>
        <w:tc>
          <w:tcPr>
            <w:tcW w:w="1373" w:type="dxa"/>
            <w:tcBorders>
              <w:top w:val="nil"/>
              <w:left w:val="nil"/>
              <w:bottom w:val="nil"/>
              <w:right w:val="single" w:color="auto" w:sz="4" w:space="0"/>
            </w:tcBorders>
            <w:shd w:val="clear" w:color="auto" w:fill="auto"/>
            <w:vAlign w:val="center"/>
          </w:tcPr>
          <w:p w14:paraId="6A49394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48D7592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5ADD42E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X≥200</w:t>
            </w:r>
          </w:p>
        </w:tc>
        <w:tc>
          <w:tcPr>
            <w:tcW w:w="1707" w:type="dxa"/>
            <w:tcBorders>
              <w:top w:val="nil"/>
              <w:left w:val="nil"/>
              <w:bottom w:val="nil"/>
              <w:right w:val="single" w:color="auto" w:sz="4" w:space="0"/>
            </w:tcBorders>
            <w:shd w:val="clear" w:color="auto" w:fill="auto"/>
            <w:vAlign w:val="center"/>
          </w:tcPr>
          <w:p w14:paraId="5B78A993">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100≤X＜200</w:t>
            </w:r>
          </w:p>
        </w:tc>
        <w:tc>
          <w:tcPr>
            <w:tcW w:w="1429" w:type="dxa"/>
            <w:tcBorders>
              <w:top w:val="nil"/>
              <w:left w:val="nil"/>
              <w:bottom w:val="nil"/>
              <w:right w:val="single" w:color="auto" w:sz="4" w:space="0"/>
            </w:tcBorders>
            <w:shd w:val="clear" w:color="auto" w:fill="auto"/>
            <w:vAlign w:val="center"/>
          </w:tcPr>
          <w:p w14:paraId="7DE61C3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20≤X＜100</w:t>
            </w:r>
          </w:p>
        </w:tc>
        <w:tc>
          <w:tcPr>
            <w:tcW w:w="993" w:type="dxa"/>
            <w:tcBorders>
              <w:top w:val="nil"/>
              <w:left w:val="nil"/>
              <w:bottom w:val="nil"/>
              <w:right w:val="single" w:color="auto" w:sz="4" w:space="0"/>
            </w:tcBorders>
            <w:shd w:val="clear" w:color="auto" w:fill="auto"/>
            <w:vAlign w:val="center"/>
          </w:tcPr>
          <w:p w14:paraId="49B8287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w:t>
            </w:r>
          </w:p>
        </w:tc>
      </w:tr>
      <w:tr w14:paraId="67DD1A1C">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4542E7B2">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7C7E86F1">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2111059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7607F89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Y≥30000</w:t>
            </w:r>
          </w:p>
        </w:tc>
        <w:tc>
          <w:tcPr>
            <w:tcW w:w="1707" w:type="dxa"/>
            <w:tcBorders>
              <w:top w:val="nil"/>
              <w:left w:val="nil"/>
              <w:bottom w:val="single" w:color="auto" w:sz="4" w:space="0"/>
              <w:right w:val="single" w:color="auto" w:sz="4" w:space="0"/>
            </w:tcBorders>
            <w:shd w:val="clear" w:color="auto" w:fill="auto"/>
            <w:vAlign w:val="center"/>
          </w:tcPr>
          <w:p w14:paraId="1E16E00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1000≤Y＜30000</w:t>
            </w:r>
          </w:p>
        </w:tc>
        <w:tc>
          <w:tcPr>
            <w:tcW w:w="1429" w:type="dxa"/>
            <w:tcBorders>
              <w:top w:val="nil"/>
              <w:left w:val="nil"/>
              <w:bottom w:val="single" w:color="auto" w:sz="4" w:space="0"/>
              <w:right w:val="single" w:color="auto" w:sz="4" w:space="0"/>
            </w:tcBorders>
            <w:shd w:val="clear" w:color="auto" w:fill="auto"/>
            <w:vAlign w:val="center"/>
          </w:tcPr>
          <w:p w14:paraId="2512D5B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100≤Y＜1000</w:t>
            </w:r>
          </w:p>
        </w:tc>
        <w:tc>
          <w:tcPr>
            <w:tcW w:w="993" w:type="dxa"/>
            <w:tcBorders>
              <w:top w:val="nil"/>
              <w:left w:val="nil"/>
              <w:bottom w:val="single" w:color="auto" w:sz="4" w:space="0"/>
              <w:right w:val="single" w:color="auto" w:sz="4" w:space="0"/>
            </w:tcBorders>
            <w:shd w:val="clear" w:color="auto" w:fill="auto"/>
            <w:vAlign w:val="center"/>
          </w:tcPr>
          <w:p w14:paraId="12814CF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0F7CA223">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0E224207">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邮政业</w:t>
            </w:r>
          </w:p>
        </w:tc>
        <w:tc>
          <w:tcPr>
            <w:tcW w:w="1373" w:type="dxa"/>
            <w:tcBorders>
              <w:top w:val="nil"/>
              <w:left w:val="nil"/>
              <w:bottom w:val="nil"/>
              <w:right w:val="single" w:color="auto" w:sz="4" w:space="0"/>
            </w:tcBorders>
            <w:shd w:val="clear" w:color="auto" w:fill="auto"/>
            <w:vAlign w:val="center"/>
          </w:tcPr>
          <w:p w14:paraId="3D15A6A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6FCA42E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02EB3C5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X≥1000</w:t>
            </w:r>
          </w:p>
        </w:tc>
        <w:tc>
          <w:tcPr>
            <w:tcW w:w="1707" w:type="dxa"/>
            <w:tcBorders>
              <w:top w:val="nil"/>
              <w:left w:val="nil"/>
              <w:bottom w:val="nil"/>
              <w:right w:val="single" w:color="auto" w:sz="4" w:space="0"/>
            </w:tcBorders>
            <w:shd w:val="clear" w:color="auto" w:fill="auto"/>
            <w:vAlign w:val="center"/>
          </w:tcPr>
          <w:p w14:paraId="0B0DD3F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300≤X＜1000</w:t>
            </w:r>
          </w:p>
        </w:tc>
        <w:tc>
          <w:tcPr>
            <w:tcW w:w="1429" w:type="dxa"/>
            <w:tcBorders>
              <w:top w:val="nil"/>
              <w:left w:val="nil"/>
              <w:bottom w:val="nil"/>
              <w:right w:val="single" w:color="auto" w:sz="4" w:space="0"/>
            </w:tcBorders>
            <w:shd w:val="clear" w:color="auto" w:fill="auto"/>
            <w:vAlign w:val="center"/>
          </w:tcPr>
          <w:p w14:paraId="32BB799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20≤X＜300</w:t>
            </w:r>
          </w:p>
        </w:tc>
        <w:tc>
          <w:tcPr>
            <w:tcW w:w="993" w:type="dxa"/>
            <w:tcBorders>
              <w:top w:val="nil"/>
              <w:left w:val="nil"/>
              <w:bottom w:val="nil"/>
              <w:right w:val="single" w:color="auto" w:sz="4" w:space="0"/>
            </w:tcBorders>
            <w:shd w:val="clear" w:color="auto" w:fill="auto"/>
            <w:vAlign w:val="center"/>
          </w:tcPr>
          <w:p w14:paraId="56E4B0C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w:t>
            </w:r>
          </w:p>
        </w:tc>
      </w:tr>
      <w:tr w14:paraId="31D92439">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EA3D98D">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20A448C5">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63FDAC1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108DF5C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Y≥30000</w:t>
            </w:r>
          </w:p>
        </w:tc>
        <w:tc>
          <w:tcPr>
            <w:tcW w:w="1707" w:type="dxa"/>
            <w:tcBorders>
              <w:top w:val="nil"/>
              <w:left w:val="nil"/>
              <w:bottom w:val="single" w:color="auto" w:sz="4" w:space="0"/>
              <w:right w:val="single" w:color="auto" w:sz="4" w:space="0"/>
            </w:tcBorders>
            <w:shd w:val="clear" w:color="auto" w:fill="auto"/>
            <w:vAlign w:val="center"/>
          </w:tcPr>
          <w:p w14:paraId="1B6C724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2000≤Y＜30000</w:t>
            </w:r>
          </w:p>
        </w:tc>
        <w:tc>
          <w:tcPr>
            <w:tcW w:w="1429" w:type="dxa"/>
            <w:tcBorders>
              <w:top w:val="nil"/>
              <w:left w:val="nil"/>
              <w:bottom w:val="single" w:color="auto" w:sz="4" w:space="0"/>
              <w:right w:val="single" w:color="auto" w:sz="4" w:space="0"/>
            </w:tcBorders>
            <w:shd w:val="clear" w:color="auto" w:fill="auto"/>
            <w:vAlign w:val="center"/>
          </w:tcPr>
          <w:p w14:paraId="0AD623A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6FA6623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1809B9CE">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26303916">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住宿业</w:t>
            </w:r>
          </w:p>
        </w:tc>
        <w:tc>
          <w:tcPr>
            <w:tcW w:w="1373" w:type="dxa"/>
            <w:tcBorders>
              <w:top w:val="nil"/>
              <w:left w:val="nil"/>
              <w:bottom w:val="nil"/>
              <w:right w:val="single" w:color="auto" w:sz="4" w:space="0"/>
            </w:tcBorders>
            <w:shd w:val="clear" w:color="auto" w:fill="auto"/>
            <w:vAlign w:val="center"/>
          </w:tcPr>
          <w:p w14:paraId="7497D66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5A0304F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7549BA9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nil"/>
              <w:right w:val="single" w:color="auto" w:sz="4" w:space="0"/>
            </w:tcBorders>
            <w:shd w:val="clear" w:color="auto" w:fill="auto"/>
            <w:vAlign w:val="center"/>
          </w:tcPr>
          <w:p w14:paraId="193C9483">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nil"/>
              <w:left w:val="nil"/>
              <w:bottom w:val="nil"/>
              <w:right w:val="single" w:color="auto" w:sz="4" w:space="0"/>
            </w:tcBorders>
            <w:shd w:val="clear" w:color="auto" w:fill="auto"/>
            <w:vAlign w:val="center"/>
          </w:tcPr>
          <w:p w14:paraId="1C5D927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nil"/>
              <w:right w:val="single" w:color="auto" w:sz="4" w:space="0"/>
            </w:tcBorders>
            <w:shd w:val="clear" w:color="auto" w:fill="auto"/>
            <w:vAlign w:val="center"/>
          </w:tcPr>
          <w:p w14:paraId="0EA2E77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7485F25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4E0A2962">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69268FD8">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0F0AC19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0626C19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Y≥10000</w:t>
            </w:r>
          </w:p>
        </w:tc>
        <w:tc>
          <w:tcPr>
            <w:tcW w:w="1707" w:type="dxa"/>
            <w:tcBorders>
              <w:top w:val="nil"/>
              <w:left w:val="nil"/>
              <w:bottom w:val="single" w:color="auto" w:sz="4" w:space="0"/>
              <w:right w:val="single" w:color="auto" w:sz="4" w:space="0"/>
            </w:tcBorders>
            <w:shd w:val="clear" w:color="auto" w:fill="auto"/>
            <w:vAlign w:val="center"/>
          </w:tcPr>
          <w:p w14:paraId="44A5B64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2000≤Y＜10000</w:t>
            </w:r>
          </w:p>
        </w:tc>
        <w:tc>
          <w:tcPr>
            <w:tcW w:w="1429" w:type="dxa"/>
            <w:tcBorders>
              <w:top w:val="nil"/>
              <w:left w:val="nil"/>
              <w:bottom w:val="single" w:color="auto" w:sz="4" w:space="0"/>
              <w:right w:val="single" w:color="auto" w:sz="4" w:space="0"/>
            </w:tcBorders>
            <w:shd w:val="clear" w:color="auto" w:fill="auto"/>
            <w:vAlign w:val="center"/>
          </w:tcPr>
          <w:p w14:paraId="4B11556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62BC3FD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2FC8984C">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2A630906">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餐饮业</w:t>
            </w:r>
          </w:p>
        </w:tc>
        <w:tc>
          <w:tcPr>
            <w:tcW w:w="1373" w:type="dxa"/>
            <w:tcBorders>
              <w:top w:val="nil"/>
              <w:left w:val="nil"/>
              <w:bottom w:val="nil"/>
              <w:right w:val="single" w:color="auto" w:sz="4" w:space="0"/>
            </w:tcBorders>
            <w:shd w:val="clear" w:color="auto" w:fill="auto"/>
            <w:vAlign w:val="center"/>
          </w:tcPr>
          <w:p w14:paraId="12FF34A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0A22BE6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1083D2C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nil"/>
              <w:right w:val="single" w:color="auto" w:sz="4" w:space="0"/>
            </w:tcBorders>
            <w:shd w:val="clear" w:color="auto" w:fill="auto"/>
            <w:vAlign w:val="center"/>
          </w:tcPr>
          <w:p w14:paraId="1A19C648">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nil"/>
              <w:left w:val="nil"/>
              <w:bottom w:val="nil"/>
              <w:right w:val="single" w:color="auto" w:sz="4" w:space="0"/>
            </w:tcBorders>
            <w:shd w:val="clear" w:color="auto" w:fill="auto"/>
            <w:vAlign w:val="center"/>
          </w:tcPr>
          <w:p w14:paraId="1A05133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nil"/>
              <w:right w:val="single" w:color="auto" w:sz="4" w:space="0"/>
            </w:tcBorders>
            <w:shd w:val="clear" w:color="auto" w:fill="auto"/>
            <w:vAlign w:val="center"/>
          </w:tcPr>
          <w:p w14:paraId="7863294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25720A4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5482B55">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68F0A769">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0C6327F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553491F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Y≥10000</w:t>
            </w:r>
          </w:p>
        </w:tc>
        <w:tc>
          <w:tcPr>
            <w:tcW w:w="1707" w:type="dxa"/>
            <w:tcBorders>
              <w:top w:val="nil"/>
              <w:left w:val="nil"/>
              <w:bottom w:val="single" w:color="auto" w:sz="4" w:space="0"/>
              <w:right w:val="single" w:color="auto" w:sz="4" w:space="0"/>
            </w:tcBorders>
            <w:shd w:val="clear" w:color="auto" w:fill="auto"/>
            <w:vAlign w:val="center"/>
          </w:tcPr>
          <w:p w14:paraId="2F2A40F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2000≤Y＜10000</w:t>
            </w:r>
          </w:p>
        </w:tc>
        <w:tc>
          <w:tcPr>
            <w:tcW w:w="1429" w:type="dxa"/>
            <w:tcBorders>
              <w:top w:val="nil"/>
              <w:left w:val="nil"/>
              <w:bottom w:val="single" w:color="auto" w:sz="4" w:space="0"/>
              <w:right w:val="single" w:color="auto" w:sz="4" w:space="0"/>
            </w:tcBorders>
            <w:shd w:val="clear" w:color="auto" w:fill="auto"/>
            <w:vAlign w:val="center"/>
          </w:tcPr>
          <w:p w14:paraId="73C3F7D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500515E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13E4BDD5">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6D125191">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信息传输业 *</w:t>
            </w:r>
          </w:p>
        </w:tc>
        <w:tc>
          <w:tcPr>
            <w:tcW w:w="1373" w:type="dxa"/>
            <w:tcBorders>
              <w:top w:val="nil"/>
              <w:left w:val="nil"/>
              <w:bottom w:val="nil"/>
              <w:right w:val="single" w:color="auto" w:sz="4" w:space="0"/>
            </w:tcBorders>
            <w:shd w:val="clear" w:color="auto" w:fill="auto"/>
            <w:vAlign w:val="center"/>
          </w:tcPr>
          <w:p w14:paraId="7A1066B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0FBF083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526F1BD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X≥2000</w:t>
            </w:r>
          </w:p>
        </w:tc>
        <w:tc>
          <w:tcPr>
            <w:tcW w:w="1707" w:type="dxa"/>
            <w:tcBorders>
              <w:top w:val="nil"/>
              <w:left w:val="nil"/>
              <w:bottom w:val="nil"/>
              <w:right w:val="single" w:color="auto" w:sz="4" w:space="0"/>
            </w:tcBorders>
            <w:shd w:val="clear" w:color="auto" w:fill="auto"/>
            <w:vAlign w:val="center"/>
          </w:tcPr>
          <w:p w14:paraId="602B014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100≤X＜2000</w:t>
            </w:r>
          </w:p>
        </w:tc>
        <w:tc>
          <w:tcPr>
            <w:tcW w:w="1429" w:type="dxa"/>
            <w:tcBorders>
              <w:top w:val="nil"/>
              <w:left w:val="nil"/>
              <w:bottom w:val="nil"/>
              <w:right w:val="single" w:color="auto" w:sz="4" w:space="0"/>
            </w:tcBorders>
            <w:shd w:val="clear" w:color="auto" w:fill="auto"/>
            <w:vAlign w:val="center"/>
          </w:tcPr>
          <w:p w14:paraId="659F3FB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nil"/>
              <w:right w:val="single" w:color="auto" w:sz="4" w:space="0"/>
            </w:tcBorders>
            <w:shd w:val="clear" w:color="auto" w:fill="auto"/>
            <w:vAlign w:val="center"/>
          </w:tcPr>
          <w:p w14:paraId="19BE578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79DF794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7D1DD4EC">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459E8B04">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710B37F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6B3FEAF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Y≥100000</w:t>
            </w:r>
          </w:p>
        </w:tc>
        <w:tc>
          <w:tcPr>
            <w:tcW w:w="1707" w:type="dxa"/>
            <w:tcBorders>
              <w:top w:val="nil"/>
              <w:left w:val="nil"/>
              <w:bottom w:val="single" w:color="auto" w:sz="4" w:space="0"/>
              <w:right w:val="single" w:color="auto" w:sz="4" w:space="0"/>
            </w:tcBorders>
            <w:shd w:val="clear" w:color="auto" w:fill="auto"/>
            <w:vAlign w:val="center"/>
          </w:tcPr>
          <w:p w14:paraId="5E8CD98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1000≤Y＜100000</w:t>
            </w:r>
          </w:p>
        </w:tc>
        <w:tc>
          <w:tcPr>
            <w:tcW w:w="1429" w:type="dxa"/>
            <w:tcBorders>
              <w:top w:val="nil"/>
              <w:left w:val="nil"/>
              <w:bottom w:val="single" w:color="auto" w:sz="4" w:space="0"/>
              <w:right w:val="single" w:color="auto" w:sz="4" w:space="0"/>
            </w:tcBorders>
            <w:shd w:val="clear" w:color="auto" w:fill="auto"/>
            <w:vAlign w:val="center"/>
          </w:tcPr>
          <w:p w14:paraId="1925CCA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100≤Y＜1000</w:t>
            </w:r>
          </w:p>
        </w:tc>
        <w:tc>
          <w:tcPr>
            <w:tcW w:w="993" w:type="dxa"/>
            <w:tcBorders>
              <w:top w:val="nil"/>
              <w:left w:val="nil"/>
              <w:bottom w:val="single" w:color="auto" w:sz="4" w:space="0"/>
              <w:right w:val="single" w:color="auto" w:sz="4" w:space="0"/>
            </w:tcBorders>
            <w:shd w:val="clear" w:color="auto" w:fill="auto"/>
            <w:vAlign w:val="center"/>
          </w:tcPr>
          <w:p w14:paraId="4F1A936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2A0A90D9">
        <w:tblPrEx>
          <w:tblCellMar>
            <w:top w:w="0" w:type="dxa"/>
            <w:left w:w="108" w:type="dxa"/>
            <w:bottom w:w="0" w:type="dxa"/>
            <w:right w:w="108" w:type="dxa"/>
          </w:tblCellMar>
        </w:tblPrEx>
        <w:trPr>
          <w:trHeight w:val="657"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090D76">
            <w:pPr>
              <w:widowControl/>
              <w:spacing w:line="240" w:lineRule="exact"/>
              <w:rPr>
                <w:rFonts w:ascii="宋体" w:cs="宋体"/>
                <w:color w:val="000000" w:themeColor="text1"/>
                <w:spacing w:val="-12"/>
                <w:sz w:val="24"/>
                <w:highlight w:val="none"/>
                <w14:textFill>
                  <w14:solidFill>
                    <w14:schemeClr w14:val="tx1"/>
                  </w14:solidFill>
                </w14:textFill>
              </w:rPr>
            </w:pPr>
            <w:r>
              <w:rPr>
                <w:rFonts w:hint="eastAsia" w:ascii="宋体" w:cs="宋体"/>
                <w:color w:val="000000" w:themeColor="text1"/>
                <w:spacing w:val="-12"/>
                <w:sz w:val="24"/>
                <w:highlight w:val="none"/>
                <w14:textFill>
                  <w14:solidFill>
                    <w14:schemeClr w14:val="tx1"/>
                  </w14:solidFill>
                </w14:textFill>
              </w:rPr>
              <w:t>软件和信息技术服</w:t>
            </w:r>
            <w:r>
              <w:rPr>
                <w:rFonts w:hint="eastAsia" w:ascii="宋体" w:cs="宋体"/>
                <w:color w:val="000000" w:themeColor="text1"/>
                <w:sz w:val="24"/>
                <w:highlight w:val="none"/>
                <w14:textFill>
                  <w14:solidFill>
                    <w14:schemeClr w14:val="tx1"/>
                  </w14:solidFill>
                </w14:textFill>
              </w:rPr>
              <w:t>务业</w:t>
            </w:r>
          </w:p>
        </w:tc>
        <w:tc>
          <w:tcPr>
            <w:tcW w:w="1373" w:type="dxa"/>
            <w:tcBorders>
              <w:top w:val="single" w:color="auto" w:sz="4" w:space="0"/>
              <w:left w:val="nil"/>
              <w:bottom w:val="nil"/>
              <w:right w:val="single" w:color="auto" w:sz="4" w:space="0"/>
            </w:tcBorders>
            <w:shd w:val="clear" w:color="auto" w:fill="auto"/>
            <w:vAlign w:val="center"/>
          </w:tcPr>
          <w:p w14:paraId="7F32108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single" w:color="auto" w:sz="4" w:space="0"/>
              <w:left w:val="nil"/>
              <w:bottom w:val="nil"/>
              <w:right w:val="single" w:color="auto" w:sz="4" w:space="0"/>
            </w:tcBorders>
            <w:shd w:val="clear" w:color="auto" w:fill="auto"/>
            <w:vAlign w:val="center"/>
          </w:tcPr>
          <w:p w14:paraId="75A4B16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single" w:color="auto" w:sz="4" w:space="0"/>
              <w:left w:val="nil"/>
              <w:bottom w:val="nil"/>
              <w:right w:val="single" w:color="auto" w:sz="4" w:space="0"/>
            </w:tcBorders>
            <w:shd w:val="clear" w:color="auto" w:fill="auto"/>
            <w:vAlign w:val="center"/>
          </w:tcPr>
          <w:p w14:paraId="3A11B25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single" w:color="auto" w:sz="4" w:space="0"/>
              <w:left w:val="nil"/>
              <w:bottom w:val="nil"/>
              <w:right w:val="single" w:color="auto" w:sz="4" w:space="0"/>
            </w:tcBorders>
            <w:shd w:val="clear" w:color="auto" w:fill="auto"/>
            <w:vAlign w:val="center"/>
          </w:tcPr>
          <w:p w14:paraId="094B98E9">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single" w:color="auto" w:sz="4" w:space="0"/>
              <w:left w:val="nil"/>
              <w:bottom w:val="nil"/>
              <w:right w:val="single" w:color="auto" w:sz="4" w:space="0"/>
            </w:tcBorders>
            <w:shd w:val="clear" w:color="auto" w:fill="auto"/>
            <w:vAlign w:val="center"/>
          </w:tcPr>
          <w:p w14:paraId="37B22DB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single" w:color="auto" w:sz="4" w:space="0"/>
              <w:left w:val="nil"/>
              <w:bottom w:val="nil"/>
              <w:right w:val="single" w:color="auto" w:sz="4" w:space="0"/>
            </w:tcBorders>
            <w:shd w:val="clear" w:color="auto" w:fill="auto"/>
            <w:vAlign w:val="center"/>
          </w:tcPr>
          <w:p w14:paraId="1AD6A86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6D052FAF">
        <w:tblPrEx>
          <w:tblCellMar>
            <w:top w:w="0" w:type="dxa"/>
            <w:left w:w="108" w:type="dxa"/>
            <w:bottom w:w="0" w:type="dxa"/>
            <w:right w:w="108" w:type="dxa"/>
          </w:tblCellMar>
        </w:tblPrEx>
        <w:trPr>
          <w:trHeight w:val="657" w:hRule="exact"/>
          <w:jc w:val="center"/>
        </w:trPr>
        <w:tc>
          <w:tcPr>
            <w:tcW w:w="2122" w:type="dxa"/>
            <w:vMerge w:val="continue"/>
            <w:tcBorders>
              <w:top w:val="single" w:color="auto" w:sz="4" w:space="0"/>
              <w:left w:val="single" w:color="auto" w:sz="4" w:space="0"/>
              <w:bottom w:val="single" w:color="auto" w:sz="4" w:space="0"/>
              <w:right w:val="single" w:color="auto" w:sz="4" w:space="0"/>
            </w:tcBorders>
            <w:vAlign w:val="center"/>
          </w:tcPr>
          <w:p w14:paraId="618A7283">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0F58771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5986BA8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7B5C825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Y≥10000</w:t>
            </w:r>
          </w:p>
        </w:tc>
        <w:tc>
          <w:tcPr>
            <w:tcW w:w="1707" w:type="dxa"/>
            <w:tcBorders>
              <w:top w:val="nil"/>
              <w:left w:val="nil"/>
              <w:bottom w:val="single" w:color="auto" w:sz="4" w:space="0"/>
              <w:right w:val="single" w:color="auto" w:sz="4" w:space="0"/>
            </w:tcBorders>
            <w:shd w:val="clear" w:color="auto" w:fill="auto"/>
            <w:vAlign w:val="center"/>
          </w:tcPr>
          <w:p w14:paraId="1DD1C4A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1000≤Y＜10000</w:t>
            </w:r>
          </w:p>
        </w:tc>
        <w:tc>
          <w:tcPr>
            <w:tcW w:w="1429" w:type="dxa"/>
            <w:tcBorders>
              <w:top w:val="nil"/>
              <w:left w:val="nil"/>
              <w:bottom w:val="single" w:color="auto" w:sz="4" w:space="0"/>
              <w:right w:val="single" w:color="auto" w:sz="4" w:space="0"/>
            </w:tcBorders>
            <w:shd w:val="clear" w:color="auto" w:fill="auto"/>
            <w:vAlign w:val="center"/>
          </w:tcPr>
          <w:p w14:paraId="49FBE5A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50≤Y＜1000</w:t>
            </w:r>
          </w:p>
        </w:tc>
        <w:tc>
          <w:tcPr>
            <w:tcW w:w="993" w:type="dxa"/>
            <w:tcBorders>
              <w:top w:val="nil"/>
              <w:left w:val="nil"/>
              <w:bottom w:val="single" w:color="auto" w:sz="4" w:space="0"/>
              <w:right w:val="single" w:color="auto" w:sz="4" w:space="0"/>
            </w:tcBorders>
            <w:shd w:val="clear" w:color="auto" w:fill="auto"/>
            <w:vAlign w:val="center"/>
          </w:tcPr>
          <w:p w14:paraId="08243A2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Y＜50</w:t>
            </w:r>
          </w:p>
        </w:tc>
      </w:tr>
      <w:tr w14:paraId="7B95D98B">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103D1E8">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房地产开发经营</w:t>
            </w:r>
          </w:p>
        </w:tc>
        <w:tc>
          <w:tcPr>
            <w:tcW w:w="1373" w:type="dxa"/>
            <w:tcBorders>
              <w:top w:val="nil"/>
              <w:left w:val="nil"/>
              <w:bottom w:val="nil"/>
              <w:right w:val="single" w:color="auto" w:sz="4" w:space="0"/>
            </w:tcBorders>
            <w:shd w:val="clear" w:color="auto" w:fill="auto"/>
            <w:vAlign w:val="center"/>
          </w:tcPr>
          <w:p w14:paraId="2805CD5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nil"/>
              <w:right w:val="single" w:color="auto" w:sz="4" w:space="0"/>
            </w:tcBorders>
            <w:shd w:val="clear" w:color="auto" w:fill="auto"/>
            <w:vAlign w:val="center"/>
          </w:tcPr>
          <w:p w14:paraId="1E850C7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nil"/>
              <w:right w:val="single" w:color="auto" w:sz="4" w:space="0"/>
            </w:tcBorders>
            <w:shd w:val="clear" w:color="auto" w:fill="auto"/>
            <w:vAlign w:val="center"/>
          </w:tcPr>
          <w:p w14:paraId="10BCF69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Y≥200000</w:t>
            </w:r>
          </w:p>
        </w:tc>
        <w:tc>
          <w:tcPr>
            <w:tcW w:w="1707" w:type="dxa"/>
            <w:tcBorders>
              <w:top w:val="nil"/>
              <w:left w:val="nil"/>
              <w:bottom w:val="nil"/>
              <w:right w:val="single" w:color="auto" w:sz="4" w:space="0"/>
            </w:tcBorders>
            <w:shd w:val="clear" w:color="auto" w:fill="auto"/>
            <w:vAlign w:val="center"/>
          </w:tcPr>
          <w:p w14:paraId="07271AC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1000≤Y＜200000</w:t>
            </w:r>
          </w:p>
        </w:tc>
        <w:tc>
          <w:tcPr>
            <w:tcW w:w="1429" w:type="dxa"/>
            <w:tcBorders>
              <w:top w:val="nil"/>
              <w:left w:val="nil"/>
              <w:bottom w:val="nil"/>
              <w:right w:val="single" w:color="auto" w:sz="4" w:space="0"/>
            </w:tcBorders>
            <w:shd w:val="clear" w:color="auto" w:fill="auto"/>
            <w:vAlign w:val="center"/>
          </w:tcPr>
          <w:p w14:paraId="6D7C5CD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100≤Y＜1000</w:t>
            </w:r>
          </w:p>
        </w:tc>
        <w:tc>
          <w:tcPr>
            <w:tcW w:w="993" w:type="dxa"/>
            <w:tcBorders>
              <w:top w:val="nil"/>
              <w:left w:val="nil"/>
              <w:bottom w:val="nil"/>
              <w:right w:val="single" w:color="auto" w:sz="4" w:space="0"/>
            </w:tcBorders>
            <w:shd w:val="clear" w:color="auto" w:fill="auto"/>
            <w:vAlign w:val="center"/>
          </w:tcPr>
          <w:p w14:paraId="6C46F7B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1A873F4E">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597018E4">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4579A7BA">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资产总额(Z)</w:t>
            </w:r>
          </w:p>
        </w:tc>
        <w:tc>
          <w:tcPr>
            <w:tcW w:w="706" w:type="dxa"/>
            <w:tcBorders>
              <w:top w:val="nil"/>
              <w:left w:val="nil"/>
              <w:bottom w:val="single" w:color="auto" w:sz="4" w:space="0"/>
              <w:right w:val="single" w:color="auto" w:sz="4" w:space="0"/>
            </w:tcBorders>
            <w:shd w:val="clear" w:color="auto" w:fill="auto"/>
            <w:vAlign w:val="center"/>
          </w:tcPr>
          <w:p w14:paraId="60B6756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0E11841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Z≥10000</w:t>
            </w:r>
          </w:p>
        </w:tc>
        <w:tc>
          <w:tcPr>
            <w:tcW w:w="1707" w:type="dxa"/>
            <w:tcBorders>
              <w:top w:val="nil"/>
              <w:left w:val="nil"/>
              <w:bottom w:val="single" w:color="auto" w:sz="4" w:space="0"/>
              <w:right w:val="single" w:color="auto" w:sz="4" w:space="0"/>
            </w:tcBorders>
            <w:shd w:val="clear" w:color="auto" w:fill="auto"/>
            <w:vAlign w:val="center"/>
          </w:tcPr>
          <w:p w14:paraId="4A0CD98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5000≤Z＜10000</w:t>
            </w:r>
          </w:p>
        </w:tc>
        <w:tc>
          <w:tcPr>
            <w:tcW w:w="1429" w:type="dxa"/>
            <w:tcBorders>
              <w:top w:val="nil"/>
              <w:left w:val="nil"/>
              <w:bottom w:val="single" w:color="auto" w:sz="4" w:space="0"/>
              <w:right w:val="single" w:color="auto" w:sz="4" w:space="0"/>
            </w:tcBorders>
            <w:shd w:val="clear" w:color="auto" w:fill="auto"/>
            <w:vAlign w:val="center"/>
          </w:tcPr>
          <w:p w14:paraId="422F45C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2000≤Z＜5000   </w:t>
            </w:r>
          </w:p>
        </w:tc>
        <w:tc>
          <w:tcPr>
            <w:tcW w:w="993" w:type="dxa"/>
            <w:tcBorders>
              <w:top w:val="nil"/>
              <w:left w:val="nil"/>
              <w:bottom w:val="single" w:color="auto" w:sz="4" w:space="0"/>
              <w:right w:val="single" w:color="auto" w:sz="4" w:space="0"/>
            </w:tcBorders>
            <w:shd w:val="clear" w:color="auto" w:fill="auto"/>
            <w:vAlign w:val="center"/>
          </w:tcPr>
          <w:p w14:paraId="21C91C4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Z＜2000</w:t>
            </w:r>
          </w:p>
        </w:tc>
      </w:tr>
      <w:tr w14:paraId="066898BF">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733CFE0">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物业管理</w:t>
            </w:r>
          </w:p>
        </w:tc>
        <w:tc>
          <w:tcPr>
            <w:tcW w:w="1373" w:type="dxa"/>
            <w:tcBorders>
              <w:top w:val="nil"/>
              <w:left w:val="nil"/>
              <w:bottom w:val="nil"/>
              <w:right w:val="single" w:color="auto" w:sz="4" w:space="0"/>
            </w:tcBorders>
            <w:shd w:val="clear" w:color="auto" w:fill="auto"/>
            <w:vAlign w:val="center"/>
          </w:tcPr>
          <w:p w14:paraId="7A9DAEC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0D1A0B2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3C3D7B9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X≥1000</w:t>
            </w:r>
          </w:p>
        </w:tc>
        <w:tc>
          <w:tcPr>
            <w:tcW w:w="1707" w:type="dxa"/>
            <w:tcBorders>
              <w:top w:val="nil"/>
              <w:left w:val="nil"/>
              <w:bottom w:val="nil"/>
              <w:right w:val="single" w:color="auto" w:sz="4" w:space="0"/>
            </w:tcBorders>
            <w:shd w:val="clear" w:color="auto" w:fill="auto"/>
            <w:vAlign w:val="center"/>
          </w:tcPr>
          <w:p w14:paraId="692AC9F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300≤X＜1000</w:t>
            </w:r>
          </w:p>
        </w:tc>
        <w:tc>
          <w:tcPr>
            <w:tcW w:w="1429" w:type="dxa"/>
            <w:tcBorders>
              <w:top w:val="nil"/>
              <w:left w:val="nil"/>
              <w:bottom w:val="nil"/>
              <w:right w:val="single" w:color="auto" w:sz="4" w:space="0"/>
            </w:tcBorders>
            <w:shd w:val="clear" w:color="auto" w:fill="auto"/>
            <w:vAlign w:val="center"/>
          </w:tcPr>
          <w:p w14:paraId="15A7AB4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993" w:type="dxa"/>
            <w:tcBorders>
              <w:top w:val="nil"/>
              <w:left w:val="nil"/>
              <w:bottom w:val="nil"/>
              <w:right w:val="single" w:color="auto" w:sz="4" w:space="0"/>
            </w:tcBorders>
            <w:shd w:val="clear" w:color="auto" w:fill="auto"/>
            <w:vAlign w:val="center"/>
          </w:tcPr>
          <w:p w14:paraId="793E0C8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w:t>
            </w:r>
          </w:p>
        </w:tc>
      </w:tr>
      <w:tr w14:paraId="08C94309">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0E71B45">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6C461209">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2F57934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6F9E920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Y≥5000</w:t>
            </w:r>
          </w:p>
        </w:tc>
        <w:tc>
          <w:tcPr>
            <w:tcW w:w="1707" w:type="dxa"/>
            <w:tcBorders>
              <w:top w:val="nil"/>
              <w:left w:val="nil"/>
              <w:bottom w:val="single" w:color="auto" w:sz="4" w:space="0"/>
              <w:right w:val="single" w:color="auto" w:sz="4" w:space="0"/>
            </w:tcBorders>
            <w:shd w:val="clear" w:color="auto" w:fill="auto"/>
            <w:vAlign w:val="center"/>
          </w:tcPr>
          <w:p w14:paraId="43D672F1">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1000≤Y＜5000 </w:t>
            </w:r>
          </w:p>
        </w:tc>
        <w:tc>
          <w:tcPr>
            <w:tcW w:w="1429" w:type="dxa"/>
            <w:tcBorders>
              <w:top w:val="nil"/>
              <w:left w:val="nil"/>
              <w:bottom w:val="single" w:color="auto" w:sz="4" w:space="0"/>
              <w:right w:val="single" w:color="auto" w:sz="4" w:space="0"/>
            </w:tcBorders>
            <w:shd w:val="clear" w:color="auto" w:fill="auto"/>
            <w:vAlign w:val="center"/>
          </w:tcPr>
          <w:p w14:paraId="69B7EBA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500≤Y＜1000</w:t>
            </w:r>
          </w:p>
        </w:tc>
        <w:tc>
          <w:tcPr>
            <w:tcW w:w="993" w:type="dxa"/>
            <w:tcBorders>
              <w:top w:val="nil"/>
              <w:left w:val="nil"/>
              <w:bottom w:val="single" w:color="auto" w:sz="4" w:space="0"/>
              <w:right w:val="single" w:color="auto" w:sz="4" w:space="0"/>
            </w:tcBorders>
            <w:shd w:val="clear" w:color="auto" w:fill="auto"/>
            <w:vAlign w:val="center"/>
          </w:tcPr>
          <w:p w14:paraId="32A2AF9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Y＜500</w:t>
            </w:r>
          </w:p>
        </w:tc>
      </w:tr>
      <w:tr w14:paraId="3ADB2891">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10F7030C">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租赁和商务服务业</w:t>
            </w:r>
          </w:p>
        </w:tc>
        <w:tc>
          <w:tcPr>
            <w:tcW w:w="1373" w:type="dxa"/>
            <w:tcBorders>
              <w:top w:val="nil"/>
              <w:left w:val="nil"/>
              <w:bottom w:val="nil"/>
              <w:right w:val="single" w:color="auto" w:sz="4" w:space="0"/>
            </w:tcBorders>
            <w:shd w:val="clear" w:color="auto" w:fill="auto"/>
            <w:vAlign w:val="center"/>
          </w:tcPr>
          <w:p w14:paraId="469D49D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0ABCEED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185D6A5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nil"/>
              <w:right w:val="single" w:color="auto" w:sz="4" w:space="0"/>
            </w:tcBorders>
            <w:shd w:val="clear" w:color="auto" w:fill="auto"/>
            <w:vAlign w:val="center"/>
          </w:tcPr>
          <w:p w14:paraId="1CEEF53E">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nil"/>
              <w:left w:val="nil"/>
              <w:bottom w:val="nil"/>
              <w:right w:val="single" w:color="auto" w:sz="4" w:space="0"/>
            </w:tcBorders>
            <w:shd w:val="clear" w:color="auto" w:fill="auto"/>
            <w:vAlign w:val="center"/>
          </w:tcPr>
          <w:p w14:paraId="27B22C5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nil"/>
              <w:right w:val="single" w:color="auto" w:sz="4" w:space="0"/>
            </w:tcBorders>
            <w:shd w:val="clear" w:color="auto" w:fill="auto"/>
            <w:vAlign w:val="center"/>
          </w:tcPr>
          <w:p w14:paraId="0024272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2F731D1D">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23A7A1C9">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50ACBD1C">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资产总额(Z)</w:t>
            </w:r>
          </w:p>
        </w:tc>
        <w:tc>
          <w:tcPr>
            <w:tcW w:w="706" w:type="dxa"/>
            <w:tcBorders>
              <w:top w:val="nil"/>
              <w:left w:val="nil"/>
              <w:bottom w:val="single" w:color="auto" w:sz="4" w:space="0"/>
              <w:right w:val="single" w:color="auto" w:sz="4" w:space="0"/>
            </w:tcBorders>
            <w:shd w:val="clear" w:color="auto" w:fill="auto"/>
            <w:vAlign w:val="center"/>
          </w:tcPr>
          <w:p w14:paraId="0651BFA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746E703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Z≥120000</w:t>
            </w:r>
          </w:p>
        </w:tc>
        <w:tc>
          <w:tcPr>
            <w:tcW w:w="1707" w:type="dxa"/>
            <w:tcBorders>
              <w:top w:val="nil"/>
              <w:left w:val="nil"/>
              <w:bottom w:val="single" w:color="auto" w:sz="4" w:space="0"/>
              <w:right w:val="single" w:color="auto" w:sz="4" w:space="0"/>
            </w:tcBorders>
            <w:shd w:val="clear" w:color="auto" w:fill="auto"/>
            <w:vAlign w:val="center"/>
          </w:tcPr>
          <w:p w14:paraId="7A3DD15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8000≤Z＜120000</w:t>
            </w:r>
          </w:p>
        </w:tc>
        <w:tc>
          <w:tcPr>
            <w:tcW w:w="1429" w:type="dxa"/>
            <w:tcBorders>
              <w:top w:val="nil"/>
              <w:left w:val="nil"/>
              <w:bottom w:val="single" w:color="auto" w:sz="4" w:space="0"/>
              <w:right w:val="single" w:color="auto" w:sz="4" w:space="0"/>
            </w:tcBorders>
            <w:shd w:val="clear" w:color="auto" w:fill="auto"/>
            <w:vAlign w:val="center"/>
          </w:tcPr>
          <w:p w14:paraId="2B69456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100≤Z＜8000</w:t>
            </w:r>
          </w:p>
        </w:tc>
        <w:tc>
          <w:tcPr>
            <w:tcW w:w="993" w:type="dxa"/>
            <w:tcBorders>
              <w:top w:val="nil"/>
              <w:left w:val="nil"/>
              <w:bottom w:val="single" w:color="auto" w:sz="4" w:space="0"/>
              <w:right w:val="single" w:color="auto" w:sz="4" w:space="0"/>
            </w:tcBorders>
            <w:shd w:val="clear" w:color="auto" w:fill="auto"/>
            <w:vAlign w:val="center"/>
          </w:tcPr>
          <w:p w14:paraId="643C75D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Z＜100</w:t>
            </w:r>
          </w:p>
        </w:tc>
      </w:tr>
      <w:tr w14:paraId="7A3B2934">
        <w:tblPrEx>
          <w:tblCellMar>
            <w:top w:w="0" w:type="dxa"/>
            <w:left w:w="108" w:type="dxa"/>
            <w:bottom w:w="0" w:type="dxa"/>
            <w:right w:w="108" w:type="dxa"/>
          </w:tblCellMar>
        </w:tblPrEx>
        <w:trPr>
          <w:trHeight w:val="955" w:hRule="exact"/>
          <w:jc w:val="center"/>
        </w:trPr>
        <w:tc>
          <w:tcPr>
            <w:tcW w:w="2122" w:type="dxa"/>
            <w:tcBorders>
              <w:top w:val="nil"/>
              <w:left w:val="single" w:color="auto" w:sz="4" w:space="0"/>
              <w:bottom w:val="single" w:color="auto" w:sz="4" w:space="0"/>
              <w:right w:val="single" w:color="auto" w:sz="4" w:space="0"/>
            </w:tcBorders>
            <w:shd w:val="clear" w:color="auto" w:fill="auto"/>
            <w:vAlign w:val="center"/>
          </w:tcPr>
          <w:p w14:paraId="4F7FF64B">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其他未列明行业 *</w:t>
            </w:r>
          </w:p>
        </w:tc>
        <w:tc>
          <w:tcPr>
            <w:tcW w:w="1373" w:type="dxa"/>
            <w:tcBorders>
              <w:top w:val="nil"/>
              <w:left w:val="nil"/>
              <w:bottom w:val="single" w:color="auto" w:sz="4" w:space="0"/>
              <w:right w:val="single" w:color="auto" w:sz="4" w:space="0"/>
            </w:tcBorders>
            <w:shd w:val="clear" w:color="auto" w:fill="auto"/>
            <w:vAlign w:val="center"/>
          </w:tcPr>
          <w:p w14:paraId="4C6A0D6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single" w:color="auto" w:sz="4" w:space="0"/>
              <w:right w:val="single" w:color="auto" w:sz="4" w:space="0"/>
            </w:tcBorders>
            <w:shd w:val="clear" w:color="auto" w:fill="auto"/>
            <w:vAlign w:val="center"/>
          </w:tcPr>
          <w:p w14:paraId="27674F9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single" w:color="auto" w:sz="4" w:space="0"/>
              <w:right w:val="single" w:color="auto" w:sz="4" w:space="0"/>
            </w:tcBorders>
            <w:shd w:val="clear" w:color="auto" w:fill="auto"/>
            <w:vAlign w:val="center"/>
          </w:tcPr>
          <w:p w14:paraId="064531E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single" w:color="auto" w:sz="4" w:space="0"/>
              <w:right w:val="single" w:color="auto" w:sz="4" w:space="0"/>
            </w:tcBorders>
            <w:shd w:val="clear" w:color="auto" w:fill="auto"/>
            <w:vAlign w:val="center"/>
          </w:tcPr>
          <w:p w14:paraId="7F5C4DA6">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nil"/>
              <w:left w:val="nil"/>
              <w:bottom w:val="single" w:color="auto" w:sz="4" w:space="0"/>
              <w:right w:val="single" w:color="auto" w:sz="4" w:space="0"/>
            </w:tcBorders>
            <w:shd w:val="clear" w:color="auto" w:fill="auto"/>
            <w:vAlign w:val="center"/>
          </w:tcPr>
          <w:p w14:paraId="79FA006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single" w:color="auto" w:sz="4" w:space="0"/>
              <w:right w:val="single" w:color="auto" w:sz="4" w:space="0"/>
            </w:tcBorders>
            <w:shd w:val="clear" w:color="auto" w:fill="auto"/>
            <w:vAlign w:val="center"/>
          </w:tcPr>
          <w:p w14:paraId="7FEB659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bl>
    <w:p w14:paraId="7E533FE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说明：</w:t>
      </w:r>
    </w:p>
    <w:p w14:paraId="561F1A0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1.大型、中型和小型企业须同时满足所列指标的下限，否则下划一档；微型企业只须满足所列指标中的一项即可。</w:t>
      </w:r>
    </w:p>
    <w:p w14:paraId="7E22160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06F1F3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0632CA0">
      <w:pPr>
        <w:widowControl/>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243FCAE4">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《统计上大中小微型企业划分办法（2017）》修订说明</w:t>
      </w:r>
    </w:p>
    <w:p w14:paraId="78CAE94C">
      <w:pPr>
        <w:rPr>
          <w:rFonts w:ascii="宋体" w:cs="宋体"/>
          <w:color w:val="000000" w:themeColor="text1"/>
          <w:sz w:val="24"/>
          <w:highlight w:val="none"/>
          <w14:textFill>
            <w14:solidFill>
              <w14:schemeClr w14:val="tx1"/>
            </w14:solidFill>
          </w14:textFill>
        </w:rPr>
      </w:pPr>
    </w:p>
    <w:p w14:paraId="668C0AB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一、修订背景</w:t>
      </w:r>
    </w:p>
    <w:p w14:paraId="602B4752">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3ABE7A">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9D60ED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二、修订主要内容</w:t>
      </w:r>
    </w:p>
    <w:p w14:paraId="151AC172">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B8DDC36">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将交通运输业中包括的“装卸搬运和运输代理业”修改为“多式联运和运输代理业、装卸搬运”。</w:t>
      </w:r>
    </w:p>
    <w:p w14:paraId="1BA4FF6A">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仓储业所包括的行业中类，根据《国民经济行业分类》（GB/T 4754—2017）调整为“通用仓储，低温仓储，危险品仓储，谷物、棉花等农产品仓储，中药材仓储和其他仓储业”。</w:t>
      </w:r>
    </w:p>
    <w:p w14:paraId="0FE8501E">
      <w:pPr>
        <w:rPr>
          <w:rFonts w:ascii="宋体" w:cs="宋体"/>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br w:type="page"/>
      </w:r>
    </w:p>
    <w:p w14:paraId="2172CB00">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中国人民银行中国银行业监督管理委员会 </w:t>
      </w:r>
    </w:p>
    <w:p w14:paraId="0B8CEE46">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中国证券监督管理委员会中国保险监督管理委员会 </w:t>
      </w:r>
    </w:p>
    <w:p w14:paraId="600324E1">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国家统计局关于印发《金融业企业划型标准规定》的通知</w:t>
      </w:r>
    </w:p>
    <w:p w14:paraId="57B534BA">
      <w:pPr>
        <w:widowControl/>
        <w:shd w:val="clear" w:color="auto" w:fill="FFFFFF"/>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110A6396">
      <w:pPr>
        <w:widowControl/>
        <w:shd w:val="clear" w:color="auto" w:fill="FFFFFF"/>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324100FF">
      <w:pPr>
        <w:widowControl/>
        <w:shd w:val="clear" w:color="auto" w:fill="FFFFFF"/>
        <w:spacing w:line="360" w:lineRule="auto"/>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附件：金融业企业划型标准规定</w:t>
      </w:r>
    </w:p>
    <w:p w14:paraId="615706DC">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20210CCF">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59333F19">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5F8A301">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13AE0C55">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14E18F88">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0CD5559">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DBE690C">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332835AF">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BEDBC5A">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669FF85B">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2521C394">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342FA6EB">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金融业企业划型标准规定</w:t>
      </w:r>
    </w:p>
    <w:p w14:paraId="44072DE6">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一、 根据《中华人民共和国中小企业促进法》、《国务院关于进一步促进中小企业发展的若干意见》（国发〔2009〕36号）和《国务院办公厅关于金融支持小微企业发展的实施意见》（国办发〔2013〕87号），制定本规定。 </w:t>
      </w:r>
    </w:p>
    <w:p w14:paraId="1802EFC0">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 适用范围。本规定适用于从事《国民经济行业分类》(GB/T4754-2011)中J门类（金融业）活动的企业。 </w:t>
      </w:r>
    </w:p>
    <w:p w14:paraId="41F48A11">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0E511312">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四、划型标准指标。采用一个完整会计年度中四个季度末法人并表口径的资产总额（信托公司为信托资产）平均值作为划型指标，该指标以监管部门数据为准。 </w:t>
      </w:r>
    </w:p>
    <w:p w14:paraId="756ACF1D">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五、指标标准值。依据指标标准值，将各类金融业企业划分为大、中、小、微四个规模类型，中型企业标准上限及以上的为大型企业。 </w:t>
      </w:r>
    </w:p>
    <w:p w14:paraId="13E73C24">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 银行业存款类金融机构。资产总额40000亿元以下的为中小微型企业。其中，资产总额5000亿元及以上的为中型企业，资产总额50亿元及以上的为小型企业，资产总额50亿元以下的为微型企业。 </w:t>
      </w:r>
    </w:p>
    <w:p w14:paraId="1EB6E07F">
      <w:pPr>
        <w:widowControl/>
        <w:shd w:val="clear" w:color="auto" w:fill="FFFFFF"/>
        <w:spacing w:before="100" w:beforeAutospacing="1" w:after="100" w:afterAutospacing="1"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w:t>
      </w:r>
      <w:r>
        <w:rPr>
          <w:rFonts w:hint="eastAsia" w:ascii="宋体" w:hAnsi="宋体" w:cs="宋体"/>
          <w:color w:val="000000" w:themeColor="text1"/>
          <w:szCs w:val="21"/>
          <w:highlight w:val="none"/>
          <w14:textFill>
            <w14:solidFill>
              <w14:schemeClr w14:val="tx1"/>
            </w14:solidFill>
          </w14:textFill>
        </w:rPr>
        <w:t xml:space="preserve"> </w:t>
      </w:r>
    </w:p>
    <w:p w14:paraId="5EE1A97E">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(三) 贷款公司、小额贷款公司及典当行。资产总额1000亿元以下的为中小微型企业。其中，资产总额200亿元及以上的为中型企业，资产总额50亿元及以上的为小型企业，资产总额50亿元以下的为微型企业。 </w:t>
      </w:r>
    </w:p>
    <w:p w14:paraId="759F666D">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 证券业金融机构。资产总额1000亿元以下的为中小微型企业。其中，资产总额100亿元及以上的为中型企业，资产总额10亿元及以上的为小型企业，资产总额10亿元以下的为微型企业。 </w:t>
      </w:r>
    </w:p>
    <w:p w14:paraId="65AD016F">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 保险业金融机构。资产总额5000亿元以下的为中小微型企业。其中，资产总额400亿元及以上的为中型企业，资产总额20亿元及以上的为小型企业，资产总额20亿元以下的为微型企业。 </w:t>
      </w:r>
    </w:p>
    <w:p w14:paraId="30A50BF7">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 信托公司。信托资产1000亿元以下的为中小微型企业。其中，信托资产400亿元及以上的为中型企业，信托资产20亿元及以上的为小型企业，信托资产20亿元以下的为微型企业。 </w:t>
      </w:r>
    </w:p>
    <w:p w14:paraId="4EBD43C3">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(七) 金融控股公司。资产总额40000亿元以下的为中小微型企业。其中，资产总额5000亿元及以上的为中型企业，资产总额50亿元及以上的为小型企业，资产总额50亿元以下的为微型企业。 </w:t>
      </w:r>
    </w:p>
    <w:p w14:paraId="4F75CDD9">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39733B5E">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6619F32C">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七、 标准值的评估和调整。金融业企业划型标准工作组毎五年对划型标准值受经济发展与通货膨胀等因素的响程度进行评估和调整。 </w:t>
      </w:r>
    </w:p>
    <w:p w14:paraId="6F9917FE">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八、 本规定的中型金融业企业标准上限即为大型金融业企业下限。国务院有关部门据此进行相关数据的统计分析，不得制定与本规定不一致的金融业企业划型标准。 </w:t>
      </w:r>
    </w:p>
    <w:p w14:paraId="4268217A">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九、 融资担保公司参照本规定中“除贷款公司、小额贷款公司、典当行以外的其他金融机构”标准划型。 </w:t>
      </w:r>
    </w:p>
    <w:p w14:paraId="0EC46D5A">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十、本规定由人民银行会同银监会，证监会、保监会和统计局负责解释。 </w:t>
      </w:r>
    </w:p>
    <w:p w14:paraId="61771838">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十一、本规定自发布之日起实施。</w:t>
      </w:r>
    </w:p>
    <w:p w14:paraId="53109E25">
      <w:pPr>
        <w:widowControl/>
        <w:shd w:val="clear" w:color="auto" w:fill="FFFFFF"/>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附：金融业企业划型标准</w:t>
      </w:r>
    </w:p>
    <w:p w14:paraId="301D932C">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2684597">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37E65DED">
      <w:pPr>
        <w:widowControl/>
        <w:shd w:val="clear" w:color="auto" w:fill="FFFFFF"/>
        <w:spacing w:line="360" w:lineRule="auto"/>
        <w:rPr>
          <w:rFonts w:ascii="宋体" w:hAnsi="宋体" w:cs="宋体"/>
          <w:b/>
          <w:bCs/>
          <w:color w:val="000000" w:themeColor="text1"/>
          <w:sz w:val="28"/>
          <w:szCs w:val="28"/>
          <w:highlight w:val="none"/>
          <w14:textFill>
            <w14:solidFill>
              <w14:schemeClr w14:val="tx1"/>
            </w14:solidFill>
          </w14:textFill>
        </w:rPr>
      </w:pPr>
    </w:p>
    <w:p w14:paraId="008F8C70">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金融业企业划型标准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200"/>
        <w:gridCol w:w="1620"/>
        <w:gridCol w:w="1965"/>
        <w:gridCol w:w="3902"/>
      </w:tblGrid>
      <w:tr w14:paraId="7F6D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Align w:val="center"/>
          </w:tcPr>
          <w:p w14:paraId="47EAA84C">
            <w:pPr>
              <w:widowControl/>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行业</w:t>
            </w:r>
          </w:p>
        </w:tc>
        <w:tc>
          <w:tcPr>
            <w:tcW w:w="1620" w:type="dxa"/>
            <w:vAlign w:val="center"/>
          </w:tcPr>
          <w:p w14:paraId="490E62D9">
            <w:pPr>
              <w:widowControl/>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类别</w:t>
            </w:r>
          </w:p>
        </w:tc>
        <w:tc>
          <w:tcPr>
            <w:tcW w:w="1965" w:type="dxa"/>
            <w:vAlign w:val="center"/>
          </w:tcPr>
          <w:p w14:paraId="0C5FB4DE">
            <w:pPr>
              <w:widowControl/>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类型</w:t>
            </w:r>
          </w:p>
        </w:tc>
        <w:tc>
          <w:tcPr>
            <w:tcW w:w="3902" w:type="dxa"/>
            <w:vAlign w:val="center"/>
          </w:tcPr>
          <w:p w14:paraId="71B07651">
            <w:pPr>
              <w:widowControl/>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资产总额</w:t>
            </w:r>
          </w:p>
        </w:tc>
      </w:tr>
      <w:tr w14:paraId="7346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vAlign w:val="center"/>
          </w:tcPr>
          <w:p w14:paraId="14A6594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货币金融服务</w:t>
            </w:r>
          </w:p>
        </w:tc>
        <w:tc>
          <w:tcPr>
            <w:tcW w:w="1200" w:type="dxa"/>
            <w:vMerge w:val="restart"/>
            <w:vAlign w:val="center"/>
          </w:tcPr>
          <w:p w14:paraId="6CCAD58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货币银行服务</w:t>
            </w:r>
          </w:p>
        </w:tc>
        <w:tc>
          <w:tcPr>
            <w:tcW w:w="1620" w:type="dxa"/>
            <w:vMerge w:val="restart"/>
            <w:vAlign w:val="center"/>
          </w:tcPr>
          <w:p w14:paraId="7011259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银行业存款类金融机构</w:t>
            </w:r>
          </w:p>
        </w:tc>
        <w:tc>
          <w:tcPr>
            <w:tcW w:w="1965" w:type="dxa"/>
            <w:vAlign w:val="center"/>
          </w:tcPr>
          <w:p w14:paraId="2CEDD19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3F424F2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5000亿元（含）至40000亿元</w:t>
            </w:r>
          </w:p>
        </w:tc>
      </w:tr>
      <w:tr w14:paraId="5C11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EB1AB5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4614DB8C">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1359E20D">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6BA43DD0">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58423EE9">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50亿元（含）至5000亿元</w:t>
            </w:r>
          </w:p>
        </w:tc>
      </w:tr>
      <w:tr w14:paraId="561C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42F26F6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5CBFB186">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237B517B">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8F4E971">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0B050455">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r w14:paraId="5C13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6F1D038F">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restart"/>
            <w:vAlign w:val="center"/>
          </w:tcPr>
          <w:p w14:paraId="470C66C1">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非货币银行服务</w:t>
            </w:r>
          </w:p>
        </w:tc>
        <w:tc>
          <w:tcPr>
            <w:tcW w:w="1620" w:type="dxa"/>
            <w:vMerge w:val="restart"/>
            <w:vAlign w:val="center"/>
          </w:tcPr>
          <w:p w14:paraId="2930118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银行业非存款类金融机构</w:t>
            </w:r>
          </w:p>
        </w:tc>
        <w:tc>
          <w:tcPr>
            <w:tcW w:w="1965" w:type="dxa"/>
            <w:vAlign w:val="center"/>
          </w:tcPr>
          <w:p w14:paraId="73E189F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1E251A8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200亿元（含）至1000亿元</w:t>
            </w:r>
          </w:p>
        </w:tc>
      </w:tr>
      <w:tr w14:paraId="0F9E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9A1BDB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4A9ABD9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1AE190E9">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1E06E54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2A76C0F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50亿元（含）至200亿元</w:t>
            </w:r>
          </w:p>
        </w:tc>
      </w:tr>
      <w:tr w14:paraId="6F0D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686CCA6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6BCB0490">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5E5A6B76">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74DC9F3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7DC3830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r w14:paraId="1CCE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208A52F">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4CC90D3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restart"/>
            <w:vAlign w:val="center"/>
          </w:tcPr>
          <w:p w14:paraId="272122C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贷款公司、小额贷款公司及典当行</w:t>
            </w:r>
          </w:p>
        </w:tc>
        <w:tc>
          <w:tcPr>
            <w:tcW w:w="1965" w:type="dxa"/>
            <w:vAlign w:val="center"/>
          </w:tcPr>
          <w:p w14:paraId="6DF571B4">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12C7241E">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200亿元（含）至1000亿元</w:t>
            </w:r>
          </w:p>
        </w:tc>
      </w:tr>
      <w:tr w14:paraId="5AA1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7BB6FC46">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58AB4B56">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C54078A">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2C8BC7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5D4F91E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50亿元（含）至200亿元</w:t>
            </w:r>
          </w:p>
        </w:tc>
      </w:tr>
      <w:tr w14:paraId="50B9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64BA974">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334C6B7E">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DB99DA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4B33743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0AAF9A4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r w14:paraId="309D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vAlign w:val="center"/>
          </w:tcPr>
          <w:p w14:paraId="6AAF6A7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资本市场服务</w:t>
            </w:r>
          </w:p>
        </w:tc>
        <w:tc>
          <w:tcPr>
            <w:tcW w:w="1620" w:type="dxa"/>
            <w:vMerge w:val="restart"/>
            <w:vAlign w:val="center"/>
          </w:tcPr>
          <w:p w14:paraId="545491C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证券业金融机构</w:t>
            </w:r>
          </w:p>
        </w:tc>
        <w:tc>
          <w:tcPr>
            <w:tcW w:w="1965" w:type="dxa"/>
            <w:vAlign w:val="center"/>
          </w:tcPr>
          <w:p w14:paraId="714459A3">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72E95663">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100亿元（含）至1000亿元</w:t>
            </w:r>
          </w:p>
        </w:tc>
      </w:tr>
      <w:tr w14:paraId="6606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1100FB4A">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9664803">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225969DD">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4655FFF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10亿元（含）至100亿元</w:t>
            </w:r>
          </w:p>
        </w:tc>
      </w:tr>
      <w:tr w14:paraId="560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0B5AD90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1F67E2C0">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0606BE93">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5A19120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10亿元以下</w:t>
            </w:r>
          </w:p>
        </w:tc>
      </w:tr>
      <w:tr w14:paraId="26FA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vAlign w:val="center"/>
          </w:tcPr>
          <w:p w14:paraId="3A9A4C2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保险业</w:t>
            </w:r>
          </w:p>
        </w:tc>
        <w:tc>
          <w:tcPr>
            <w:tcW w:w="1620" w:type="dxa"/>
            <w:vMerge w:val="restart"/>
            <w:vAlign w:val="center"/>
          </w:tcPr>
          <w:p w14:paraId="7DBE0EF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保险业金融机构</w:t>
            </w:r>
          </w:p>
        </w:tc>
        <w:tc>
          <w:tcPr>
            <w:tcW w:w="1965" w:type="dxa"/>
            <w:vAlign w:val="center"/>
          </w:tcPr>
          <w:p w14:paraId="4607E7F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6F54099D">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400亿元（含）至5000亿元</w:t>
            </w:r>
          </w:p>
        </w:tc>
      </w:tr>
      <w:tr w14:paraId="06C6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4C73BADE">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39B906D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7230CFFE">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740E5EB4">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20亿元（含）至400亿元</w:t>
            </w:r>
          </w:p>
        </w:tc>
      </w:tr>
      <w:tr w14:paraId="0103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0E28DD24">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3CF3296B">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65D9D82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5CB76B8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20亿元以下</w:t>
            </w:r>
          </w:p>
        </w:tc>
      </w:tr>
      <w:tr w14:paraId="3A0A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vAlign w:val="center"/>
          </w:tcPr>
          <w:p w14:paraId="66AA5A5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其他金融业</w:t>
            </w:r>
          </w:p>
        </w:tc>
        <w:tc>
          <w:tcPr>
            <w:tcW w:w="1200" w:type="dxa"/>
            <w:vMerge w:val="restart"/>
            <w:vAlign w:val="center"/>
          </w:tcPr>
          <w:p w14:paraId="00FCCDA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金融信托与管理服务</w:t>
            </w:r>
          </w:p>
        </w:tc>
        <w:tc>
          <w:tcPr>
            <w:tcW w:w="1620" w:type="dxa"/>
            <w:vMerge w:val="restart"/>
            <w:vAlign w:val="center"/>
          </w:tcPr>
          <w:p w14:paraId="114BAD3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信托公司</w:t>
            </w:r>
          </w:p>
        </w:tc>
        <w:tc>
          <w:tcPr>
            <w:tcW w:w="1965" w:type="dxa"/>
            <w:vAlign w:val="center"/>
          </w:tcPr>
          <w:p w14:paraId="0EBA18D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72099449">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400亿元（含）至1000亿元</w:t>
            </w:r>
          </w:p>
        </w:tc>
      </w:tr>
      <w:tr w14:paraId="3A11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CFCCC8C">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68EBF020">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188A8508">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66F400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116E2F9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20亿元（含）至400亿元</w:t>
            </w:r>
          </w:p>
        </w:tc>
      </w:tr>
      <w:tr w14:paraId="060D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61D5BDE2">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0C31A1FB">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9E9A3BC">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446F9DA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557B6C0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20亿元以下</w:t>
            </w:r>
          </w:p>
        </w:tc>
      </w:tr>
      <w:tr w14:paraId="22DD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5E0E08D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restart"/>
            <w:vAlign w:val="center"/>
          </w:tcPr>
          <w:p w14:paraId="091283C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控股公司服务</w:t>
            </w:r>
          </w:p>
        </w:tc>
        <w:tc>
          <w:tcPr>
            <w:tcW w:w="1620" w:type="dxa"/>
            <w:vMerge w:val="restart"/>
            <w:vAlign w:val="center"/>
          </w:tcPr>
          <w:p w14:paraId="1041979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金融控股公司</w:t>
            </w:r>
          </w:p>
        </w:tc>
        <w:tc>
          <w:tcPr>
            <w:tcW w:w="1965" w:type="dxa"/>
            <w:vAlign w:val="center"/>
          </w:tcPr>
          <w:p w14:paraId="4C2D41F1">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2D0D04C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5000亿元（含）至40000亿元</w:t>
            </w:r>
          </w:p>
        </w:tc>
      </w:tr>
      <w:tr w14:paraId="2662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BFF0F9A">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616C897E">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443EA3E">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0E2E481">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25B373C9">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50亿元（含）至5000亿元</w:t>
            </w:r>
          </w:p>
        </w:tc>
      </w:tr>
      <w:tr w14:paraId="0962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F8AF5BD">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7A9E8E2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6189C39C">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B4CF095">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4D7C0B8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r w14:paraId="4122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7D099F3">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restart"/>
            <w:vAlign w:val="center"/>
          </w:tcPr>
          <w:p w14:paraId="688322C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其他未包括的金融业</w:t>
            </w:r>
          </w:p>
        </w:tc>
        <w:tc>
          <w:tcPr>
            <w:tcW w:w="1620" w:type="dxa"/>
            <w:vMerge w:val="restart"/>
            <w:vAlign w:val="center"/>
          </w:tcPr>
          <w:p w14:paraId="178C547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除贷款公司、小额贷款公司及典当行以外的其他金融机构</w:t>
            </w:r>
          </w:p>
        </w:tc>
        <w:tc>
          <w:tcPr>
            <w:tcW w:w="1965" w:type="dxa"/>
            <w:vAlign w:val="center"/>
          </w:tcPr>
          <w:p w14:paraId="0BA73FA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77D63EBB">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200亿元（含）至1000亿元</w:t>
            </w:r>
          </w:p>
        </w:tc>
      </w:tr>
      <w:tr w14:paraId="60B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514C7CD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10F899A8">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622E0D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480383D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2EE81DDB">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50亿元（含）至200亿元</w:t>
            </w:r>
          </w:p>
        </w:tc>
      </w:tr>
      <w:tr w14:paraId="7382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4F2C0B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1B9C1800">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054D647D">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5C56E8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543595B9">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bl>
    <w:p w14:paraId="6C6D77FE">
      <w:pPr>
        <w:autoSpaceDE w:val="0"/>
        <w:autoSpaceDN w:val="0"/>
        <w:adjustRightInd w:val="0"/>
        <w:spacing w:line="360" w:lineRule="auto"/>
        <w:ind w:firstLine="420"/>
        <w:jc w:val="center"/>
        <w:rPr>
          <w:rFonts w:ascii="宋体" w:hAnsi="宋体" w:cs="宋体"/>
          <w:b/>
          <w:bCs/>
          <w:color w:val="000000" w:themeColor="text1"/>
          <w:highlight w:val="none"/>
          <w14:textFill>
            <w14:solidFill>
              <w14:schemeClr w14:val="tx1"/>
            </w14:solidFill>
          </w14:textFill>
        </w:rPr>
      </w:pPr>
    </w:p>
    <w:p w14:paraId="3A4D53FC">
      <w:pPr>
        <w:autoSpaceDE w:val="0"/>
        <w:autoSpaceDN w:val="0"/>
        <w:adjustRightInd w:val="0"/>
        <w:spacing w:line="360" w:lineRule="auto"/>
        <w:ind w:firstLine="420"/>
        <w:jc w:val="center"/>
        <w:rPr>
          <w:rFonts w:ascii="宋体" w:hAnsi="宋体" w:cs="宋体"/>
          <w:b/>
          <w:bCs/>
          <w:color w:val="000000" w:themeColor="text1"/>
          <w:highlight w:val="none"/>
          <w14:textFill>
            <w14:solidFill>
              <w14:schemeClr w14:val="tx1"/>
            </w14:solidFill>
          </w14:textFill>
        </w:rPr>
      </w:pPr>
    </w:p>
    <w:p w14:paraId="628EE4ED">
      <w:pPr>
        <w:autoSpaceDE w:val="0"/>
        <w:autoSpaceDN w:val="0"/>
        <w:adjustRightInd w:val="0"/>
        <w:spacing w:line="312" w:lineRule="auto"/>
        <w:ind w:firstLine="42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财政部 发展改革委 生态环境部 市场监管总局关于调整优化节能产</w:t>
      </w:r>
    </w:p>
    <w:p w14:paraId="225C4ED5">
      <w:pPr>
        <w:autoSpaceDE w:val="0"/>
        <w:autoSpaceDN w:val="0"/>
        <w:adjustRightInd w:val="0"/>
        <w:spacing w:line="312"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品、环境标志产品政府采购执行机制的通知</w:t>
      </w:r>
    </w:p>
    <w:p w14:paraId="42BEE6B1">
      <w:pPr>
        <w:autoSpaceDE w:val="0"/>
        <w:autoSpaceDN w:val="0"/>
        <w:adjustRightInd w:val="0"/>
        <w:spacing w:line="312"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财库〔2019〕9号</w:t>
      </w:r>
    </w:p>
    <w:p w14:paraId="70DB6B87">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关中央预算单位，各省、自治区、直辖市、计划单列市财政厅（局）、发展改革委（经信委、工信委、工信厅、经信局）、生态环境厅（局）、市场监管部门，新疆生产建设兵团财政局、发展改革委、工信委、环境保护局、市场监管局：</w:t>
      </w:r>
    </w:p>
    <w:p w14:paraId="4B1C2091">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474A4E9B">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6DE9AFA1">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2CA1F6D">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F59B6A1">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04729FC">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E4F521C">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1A665FC4">
      <w:pPr>
        <w:autoSpaceDE w:val="0"/>
        <w:autoSpaceDN w:val="0"/>
        <w:adjustRightInd w:val="0"/>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政策采购</w:t>
      </w:r>
    </w:p>
    <w:p w14:paraId="65267B00">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本项目需要落实的政府采购政策包括：</w:t>
      </w:r>
    </w:p>
    <w:p w14:paraId="248812E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一、促进中小企业发展政策</w:t>
      </w:r>
    </w:p>
    <w:p w14:paraId="2FAAA2F1">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（一）政策依据财政部工业和信息化部《政府采购促进中小企业发展管理办法》（财库﹝2020﹞46号）。</w:t>
      </w:r>
    </w:p>
    <w:p w14:paraId="7E0A6F7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（二）中小企业的认定</w:t>
      </w:r>
    </w:p>
    <w:p w14:paraId="67CB32D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039133D2">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2、符合中小企业划分标准的个体工商户，在政府采购活动中视同中小企业。</w:t>
      </w:r>
    </w:p>
    <w:p w14:paraId="6C2D5A56">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07F7F1F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中小企业需提供的证明材料中小企业参加政府采购活动，应当出具本招标文件规定的《中小企业声明函》，否则不得享受相关中小企业扶持政策。任何单位和个人不得要求供应商提供《中小企业声明函》之外的中小企业身份证明文件。</w:t>
      </w:r>
    </w:p>
    <w:p w14:paraId="1F72BD4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（四）中小企业扶持政策享受情形在政府采购活动中，供应商提供的货物、工程或者服务符合下列情形的，享受相关中小企业扶持政策：</w:t>
      </w:r>
    </w:p>
    <w:p w14:paraId="6CD6236F">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6EE2AD9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2、在工程采购项目中，工程由中小企业承建，即工程施工单位为中小企业；</w:t>
      </w:r>
    </w:p>
    <w:p w14:paraId="44C1603A">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w:t>
      </w:r>
    </w:p>
    <w:p w14:paraId="6AFD6A6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（五）中小企业扶持政策</w:t>
      </w:r>
    </w:p>
    <w:p w14:paraId="37E290E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1、对于非专门面向中小企业采购的采购包，应当对符合本章规定的小微企业报价给予一定比例的扣除（具体比例详见本招标文件第三章），用扣除后的价格参加评审。</w:t>
      </w:r>
    </w:p>
    <w:p w14:paraId="3F59EB4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一定比例的扣除（具体比例详见本文件规定），用扣除后的价格参加评审。组成联合体或者接受分包的小微企业与联合体内其他企业、分包企业之间存在直接控股、管理关系的，不享受价格扣除优惠政策。</w:t>
      </w:r>
    </w:p>
    <w:p w14:paraId="0F3FF44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3、价格扣除比例或者价格分加分比例对小型企业和微型企业同等对待，不作区分。</w:t>
      </w:r>
    </w:p>
    <w:p w14:paraId="04517A1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（六）合同分包要求</w:t>
      </w:r>
    </w:p>
    <w:p w14:paraId="0A668BCA">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1、享受扶持政策获得政府采购合同的，小微企业不得将合同分包给大中型企业，中型企业不得将合同分包给大型企业。</w:t>
      </w:r>
    </w:p>
    <w:p w14:paraId="5F0FC017">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DA144A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（七）法律责任供应商按照本招标文件规定提供声明函内容不实的，属于提供虚假材料谋取中标、成交，依照《中华人民共和国政府采购法》等国家有关规定追究相应责任。</w:t>
      </w:r>
    </w:p>
    <w:p w14:paraId="7B655B5D">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二、支持监狱企业发展政策</w:t>
      </w:r>
    </w:p>
    <w:p w14:paraId="0A84268D">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（一）政策依据财政部司法部《关于政府采购支持监狱企业发展有关问题的通知》（财库〔2014〕68号）。</w:t>
      </w:r>
    </w:p>
    <w:p w14:paraId="0498C1C1">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监狱企业的认定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5B3662">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（三）监狱企业需提供的证明材料监狱企业参加政府采购活动时，应当提供由省级以上监狱管理局、戒毒管理局（含新疆生产建设兵团）出具的属于监狱企业的证明文件。</w:t>
      </w:r>
    </w:p>
    <w:p w14:paraId="2A9D1078">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监狱企业支持政策在政府采购活动中，监狱企业视同小型、微型企业，享受政府采购促进中小企业发展的政府采购政策。向监狱企业采购的金额，计入面向中小企业采购的统计数据。监狱企业属于小型、微型企业的，不重复享受政策。</w:t>
      </w:r>
    </w:p>
    <w:p w14:paraId="56410EE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三、支持残疾人福利性单位发展政策</w:t>
      </w:r>
    </w:p>
    <w:p w14:paraId="2E42207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（一）政策依据财政部民政部中国残疾人联合会《关于促进残疾人就业政府采购政策的通知》（财库[2017]141号）。</w:t>
      </w:r>
    </w:p>
    <w:p w14:paraId="7529369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（二）残疾人福利性单位的认定享受政府采购支持政策的残疾人福利性单位应当同时满足以下条件：</w:t>
      </w:r>
    </w:p>
    <w:p w14:paraId="6EA6F04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1、安置的残疾人占本单位在职职工人数的比例不低于25%(含25%)，并且安置的残疾人人数不少于10人(含10人)；</w:t>
      </w:r>
    </w:p>
    <w:p w14:paraId="438209C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2、依法与安置的每位残疾人签订了一年以上(含一年)的劳动合同或服务协议；</w:t>
      </w:r>
    </w:p>
    <w:p w14:paraId="454443F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3、为安置的每位残疾人按月足额缴纳了基本养老保险、基本医疗保险、失业保险、工伤保险和生育保险等社会保险费；</w:t>
      </w:r>
    </w:p>
    <w:p w14:paraId="04401D2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03F8D2D1">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F117787">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（三）残疾人福利性单位需提供的证明材料符合条件的残疾人福利性单位在参加政府采购活动时，应当出具本招标文件规定的《残疾人福利性单位声明函》，并对声明的真实性负责。</w:t>
      </w:r>
    </w:p>
    <w:p w14:paraId="0BCCD74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残疾人福利性单位支持政策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36EA5FEA">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（五）法律责任供应商按照本招标文件规定提供声明函内容不实的，属于提供虚假材料谋取中标、成交，依照《中华人民共和国政府采购法》等国家有关规定追究相应责任。</w:t>
      </w:r>
    </w:p>
    <w:p w14:paraId="739A21DF">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四、强制、优先采购节能产品、环境标志产品政策</w:t>
      </w:r>
    </w:p>
    <w:p w14:paraId="3CBC14F2">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（一）政策依据</w:t>
      </w:r>
    </w:p>
    <w:p w14:paraId="24249EF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1、财政部发展改革委生态环境部市场监管总局《关于调整优化节能产品、环境标志产品政府采购执行机制的通知》（财库〔2019〕9号）。</w:t>
      </w:r>
    </w:p>
    <w:p w14:paraId="01C8C951">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2、财政部生态环境部《关于印发环境标志产品政府采购品目清单的通知》（财库〔2019〕18号）。</w:t>
      </w:r>
    </w:p>
    <w:p w14:paraId="733B2365">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3、财政部发展改革委《关于印发节能产品政府采购品目清单的通知》（财库〔2019〕19号）。</w:t>
      </w:r>
    </w:p>
    <w:p w14:paraId="24158AEA">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（二）节能产品、环境标志产品的品目政府采购节能产品、环境标志产品实施品目清单管理，详见《节能产品政府采购品目清单》、《环境标志产品政府采购品目清单》。</w:t>
      </w:r>
    </w:p>
    <w:p w14:paraId="2A6AAC70">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节能产品、环境标志产品需提供的证明材料采购人拟采购的产品属于品目清单范围的，供应商应当提供本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25A6C07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节能产品、环境标志产品采购政策采购人拟采购的产品属于品目清单范围，且属于强制采购品目的，实行强制采购。本招标文件要求具有强制采购认证证书的产品，供应商必须在《节能产品、环境标志产品强制采购认证证书一览表》中，填写所投产品获得的、有效的认证证书相关信息并提供对应的认证证书扫描件。否则投标、响应无效。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文件第五章。</w:t>
      </w:r>
    </w:p>
    <w:p w14:paraId="411C2C0B">
      <w:pPr>
        <w:pStyle w:val="3"/>
        <w:rPr>
          <w:color w:val="000000" w:themeColor="text1"/>
          <w:highlight w:val="none"/>
          <w14:textFill>
            <w14:solidFill>
              <w14:schemeClr w14:val="tx1"/>
            </w14:solidFill>
          </w14:textFill>
        </w:rPr>
      </w:pPr>
    </w:p>
    <w:bookmarkEnd w:id="124"/>
    <w:sectPr>
      <w:pgSz w:w="11906" w:h="16838"/>
      <w:pgMar w:top="1440" w:right="1191"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宋?">
    <w:altName w:val="宋体"/>
    <w:panose1 w:val="00000000000000000000"/>
    <w:charset w:val="81"/>
    <w:family w:val="auto"/>
    <w:pitch w:val="default"/>
    <w:sig w:usb0="00000000" w:usb1="00000000" w:usb2="00000010" w:usb3="00000000" w:csb0="0008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16D2">
    <w:pPr>
      <w:pStyle w:val="18"/>
      <w:framePr w:wrap="around" w:vAnchor="text" w:hAnchor="margin" w:xAlign="center" w:y="1"/>
      <w:rPr>
        <w:rStyle w:val="30"/>
      </w:rPr>
    </w:pPr>
    <w:r>
      <w:rPr>
        <w:rStyle w:val="30"/>
      </w:rPr>
      <w:fldChar w:fldCharType="begin"/>
    </w:r>
    <w:r>
      <w:rPr>
        <w:rStyle w:val="30"/>
      </w:rPr>
      <w:instrText xml:space="preserve">PAGE  </w:instrText>
    </w:r>
    <w:r>
      <w:fldChar w:fldCharType="separate"/>
    </w:r>
    <w:r>
      <w:rPr>
        <w:rStyle w:val="30"/>
      </w:rPr>
      <w:t>33</w:t>
    </w:r>
    <w:r>
      <w:fldChar w:fldCharType="end"/>
    </w:r>
  </w:p>
  <w:p w14:paraId="77F9BC5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C06F">
    <w:pPr>
      <w:pStyle w:val="18"/>
      <w:tabs>
        <w:tab w:val="center" w:pos="4764"/>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D263">
    <w:pPr>
      <w:pStyle w:val="18"/>
      <w:tabs>
        <w:tab w:val="center" w:pos="4764"/>
        <w:tab w:val="clear" w:pos="4153"/>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4863" cy="139674"/>
                      </a:xfrm>
                      <a:prstGeom prst="rect">
                        <a:avLst/>
                      </a:prstGeom>
                      <a:noFill/>
                      <a:ln w="6350" cap="flat" cmpd="sng">
                        <a:noFill/>
                        <a:prstDash val="solid"/>
                        <a:round/>
                      </a:ln>
                    </wps:spPr>
                    <wps:txbx>
                      <w:txbxContent>
                        <w:p w14:paraId="2EC4D5BD">
                          <w:pPr>
                            <w:pStyle w:val="18"/>
                          </w:pPr>
                          <w:r>
                            <w:fldChar w:fldCharType="begin"/>
                          </w:r>
                          <w:r>
                            <w:instrText xml:space="preserve"> PAGE  \* MERGEFORMAT </w:instrText>
                          </w:r>
                          <w:r>
                            <w:fldChar w:fldCharType="separate"/>
                          </w:r>
                          <w:r>
                            <w:t>12</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1pt;width:4.3pt;mso-position-horizontal:center;mso-position-horizontal-relative:margin;mso-wrap-style:none;z-index:251659264;mso-width-relative:page;mso-height-relative:page;" filled="f" stroked="f" coordsize="21600,21600" o:gfxdata="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9JfO1QAAAAIBAAAPAAAAAAAAAAEAIAAAACIAAABkcnMvZG93bnJldi54&#10;bWxQSwECFAAUAAAACACHTuJAc7IUCP0BAADnAwAADgAAAAAAAAABACAAAAAkAQAAZHJzL2Uyb0Rv&#10;Yy54bWxQSwUGAAAAAAYABgBZAQAAkwUAAAAA&#10;">
              <v:fill on="f" focussize="0,0"/>
              <v:stroke on="f" weight="0.5pt" joinstyle="round"/>
              <v:imagedata o:title=""/>
              <o:lock v:ext="edit" aspectratio="f"/>
              <v:textbox inset="0mm,0mm,0mm,0mm" style="mso-fit-shape-to-text:t;">
                <w:txbxContent>
                  <w:p w14:paraId="2EC4D5BD">
                    <w:pPr>
                      <w:pStyle w:val="18"/>
                    </w:pPr>
                    <w:r>
                      <w:fldChar w:fldCharType="begin"/>
                    </w:r>
                    <w:r>
                      <w:instrText xml:space="preserve"> PAGE  \* MERGEFORMAT </w:instrText>
                    </w:r>
                    <w:r>
                      <w:fldChar w:fldCharType="separate"/>
                    </w:r>
                    <w:r>
                      <w:t>12</w:t>
                    </w:r>
                    <w:r>
                      <w:fldChar w:fldCharType="end"/>
                    </w:r>
                  </w:p>
                </w:txbxContent>
              </v:textbox>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E20F">
    <w:pPr>
      <w:pStyle w:val="18"/>
      <w:jc w:val="cente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0985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4CF5F754">
                          <w:pPr>
                            <w:pStyle w:val="18"/>
                          </w:pPr>
                          <w:r>
                            <w:fldChar w:fldCharType="begin"/>
                          </w:r>
                          <w:r>
                            <w:instrText xml:space="preserve"> PAGE  \* MERGEFORMAT </w:instrText>
                          </w:r>
                          <w:r>
                            <w:fldChar w:fldCharType="separate"/>
                          </w:r>
                          <w:r>
                            <w:t>30</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pt;width:8.65pt;mso-position-horizontal:center;mso-position-horizontal-relative:margin;mso-wrap-style:none;z-index:251660288;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O5/PWAAAAAwEAAA8AAAAAAAAAAQAgAAAAIgAAAGRycy9kb3ducmV2&#10;LnhtbFBLAQIUABQAAAAIAIdO4kCJm/F2/gEAAOgDAAAOAAAAAAAAAAEAIAAAACUBAABkcnMvZTJv&#10;RG9jLnhtbFBLBQYAAAAABgAGAFkBAACVBQAAAAA=&#10;">
              <v:fill on="f" focussize="0,0"/>
              <v:stroke on="f" weight="0.5pt" joinstyle="round"/>
              <v:imagedata o:title=""/>
              <o:lock v:ext="edit" aspectratio="f"/>
              <v:textbox inset="0mm,0mm,0mm,0mm" style="mso-fit-shape-to-text:t;">
                <w:txbxContent>
                  <w:p w14:paraId="4CF5F754">
                    <w:pPr>
                      <w:pStyle w:val="18"/>
                    </w:pPr>
                    <w:r>
                      <w:fldChar w:fldCharType="begin"/>
                    </w:r>
                    <w:r>
                      <w:instrText xml:space="preserve"> PAGE  \* MERGEFORMAT </w:instrText>
                    </w:r>
                    <w:r>
                      <w:fldChar w:fldCharType="separate"/>
                    </w:r>
                    <w:r>
                      <w:t>30</w:t>
                    </w:r>
                    <w:r>
                      <w:fldChar w:fldCharType="end"/>
                    </w:r>
                  </w:p>
                </w:txbxContent>
              </v:textbox>
            </v:rect>
          </w:pict>
        </mc:Fallback>
      </mc:AlternateContent>
    </w:r>
  </w:p>
  <w:p w14:paraId="5EF385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6D8F">
    <w:pPr>
      <w:pStyle w:val="18"/>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09855" cy="139700"/>
              <wp:effectExtent l="0" t="0" r="0" b="0"/>
              <wp:wrapNone/>
              <wp:docPr id="7" name="文本框 7"/>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6C52026E">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1pt;width:8.65pt;mso-position-horizontal:center;mso-position-horizontal-relative:margin;mso-wrap-style:none;z-index:251660288;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7n89YAAAADAQAADwAAAAAAAAABACAAAAAiAAAAZHJzL2Rvd25yZXYu&#10;eG1sUEsBAhQAFAAAAAgAh07iQFs+N3H9AQAA6AMAAA4AAAAAAAAAAQAgAAAAJQEAAGRycy9lMm9E&#10;b2MueG1sUEsFBgAAAAAGAAYAWQEAAJQFAAAAAA==&#10;">
              <v:fill on="f" focussize="0,0"/>
              <v:stroke on="f" weight="0.5pt" joinstyle="round"/>
              <v:imagedata o:title=""/>
              <o:lock v:ext="edit" aspectratio="f"/>
              <v:textbox inset="0mm,0mm,0mm,0mm" style="mso-fit-shape-to-text:t;">
                <w:txbxContent>
                  <w:p w14:paraId="6C52026E">
                    <w:pPr>
                      <w:pStyle w:val="18"/>
                    </w:pPr>
                    <w:r>
                      <w:fldChar w:fldCharType="begin"/>
                    </w:r>
                    <w:r>
                      <w:instrText xml:space="preserve"> PAGE  \* MERGEFORMAT </w:instrText>
                    </w:r>
                    <w:r>
                      <w:fldChar w:fldCharType="separate"/>
                    </w:r>
                    <w:r>
                      <w:t>13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B5E306ED"/>
    <w:multiLevelType w:val="singleLevel"/>
    <w:tmpl w:val="B5E306ED"/>
    <w:lvl w:ilvl="0" w:tentative="0">
      <w:start w:val="1"/>
      <w:numFmt w:val="decimal"/>
      <w:suff w:val="nothing"/>
      <w:lvlText w:val="%1、"/>
      <w:lvlJc w:val="left"/>
      <w:pPr>
        <w:tabs>
          <w:tab w:val="left" w:pos="0"/>
        </w:tabs>
        <w:ind w:left="0" w:firstLine="0"/>
      </w:pPr>
    </w:lvl>
  </w:abstractNum>
  <w:abstractNum w:abstractNumId="2">
    <w:nsid w:val="CF092B84"/>
    <w:multiLevelType w:val="singleLevel"/>
    <w:tmpl w:val="CF092B84"/>
    <w:lvl w:ilvl="0" w:tentative="0">
      <w:start w:val="1"/>
      <w:numFmt w:val="chineseCounting"/>
      <w:suff w:val="nothing"/>
      <w:lvlText w:val="（%1）"/>
      <w:lvlJc w:val="left"/>
      <w:pPr>
        <w:tabs>
          <w:tab w:val="left" w:pos="0"/>
        </w:tabs>
        <w:ind w:left="0" w:firstLine="0"/>
      </w:pPr>
      <w:rPr>
        <w:rFonts w:hint="eastAsia"/>
      </w:rPr>
    </w:lvl>
  </w:abstractNum>
  <w:abstractNum w:abstractNumId="3">
    <w:nsid w:val="E9C803F4"/>
    <w:multiLevelType w:val="singleLevel"/>
    <w:tmpl w:val="E9C803F4"/>
    <w:lvl w:ilvl="0" w:tentative="0">
      <w:start w:val="5"/>
      <w:numFmt w:val="decimal"/>
      <w:suff w:val="nothing"/>
      <w:lvlText w:val="%1、"/>
      <w:lvlJc w:val="left"/>
    </w:lvl>
  </w:abstractNum>
  <w:abstractNum w:abstractNumId="4">
    <w:nsid w:val="00000002"/>
    <w:multiLevelType w:val="singleLevel"/>
    <w:tmpl w:val="00000002"/>
    <w:lvl w:ilvl="0" w:tentative="0">
      <w:start w:val="1"/>
      <w:numFmt w:val="chineseCounting"/>
      <w:suff w:val="nothing"/>
      <w:lvlText w:val="%1、"/>
      <w:lvlJc w:val="left"/>
      <w:rPr>
        <w:rFonts w:hint="eastAsia"/>
      </w:rPr>
    </w:lvl>
  </w:abstractNum>
  <w:abstractNum w:abstractNumId="5">
    <w:nsid w:val="0053208E"/>
    <w:multiLevelType w:val="singleLevel"/>
    <w:tmpl w:val="0053208E"/>
    <w:lvl w:ilvl="0" w:tentative="0">
      <w:start w:val="4"/>
      <w:numFmt w:val="chineseCounting"/>
      <w:suff w:val="nothing"/>
      <w:lvlText w:val="（%1）"/>
      <w:lvlJc w:val="left"/>
      <w:pPr>
        <w:tabs>
          <w:tab w:val="left" w:pos="0"/>
        </w:tabs>
        <w:ind w:left="0" w:firstLine="0"/>
      </w:pPr>
    </w:lvl>
  </w:abstractNum>
  <w:abstractNum w:abstractNumId="6">
    <w:nsid w:val="37F58264"/>
    <w:multiLevelType w:val="singleLevel"/>
    <w:tmpl w:val="37F58264"/>
    <w:lvl w:ilvl="0" w:tentative="0">
      <w:start w:val="2"/>
      <w:numFmt w:val="chineseCounting"/>
      <w:suff w:val="nothing"/>
      <w:lvlText w:val="（%1）"/>
      <w:lvlJc w:val="left"/>
      <w:rPr>
        <w:rFonts w:hint="eastAsia"/>
      </w:rPr>
    </w:lvl>
  </w:abstractNum>
  <w:abstractNum w:abstractNumId="7">
    <w:nsid w:val="37F58269"/>
    <w:multiLevelType w:val="singleLevel"/>
    <w:tmpl w:val="37F58269"/>
    <w:lvl w:ilvl="0" w:tentative="0">
      <w:start w:val="2"/>
      <w:numFmt w:val="decimal"/>
      <w:lvlText w:val="%1."/>
      <w:lvlJc w:val="left"/>
      <w:pPr>
        <w:tabs>
          <w:tab w:val="left" w:pos="312"/>
        </w:tabs>
      </w:pPr>
    </w:lvl>
  </w:abstractNum>
  <w:num w:numId="1">
    <w:abstractNumId w:val="5"/>
  </w:num>
  <w:num w:numId="2">
    <w:abstractNumId w:val="2"/>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ZDFiMDQyOGRjY2Q5NTEyM2UzMzk3Mjk4ZjUxMzIyMDYifQ=="/>
  </w:docVars>
  <w:rsids>
    <w:rsidRoot w:val="00D35326"/>
    <w:rsid w:val="00014C73"/>
    <w:rsid w:val="00042D5B"/>
    <w:rsid w:val="000F437D"/>
    <w:rsid w:val="001A5677"/>
    <w:rsid w:val="001A6D76"/>
    <w:rsid w:val="00250D15"/>
    <w:rsid w:val="00253033"/>
    <w:rsid w:val="002D4D38"/>
    <w:rsid w:val="002E6DD2"/>
    <w:rsid w:val="00601AE0"/>
    <w:rsid w:val="007F1055"/>
    <w:rsid w:val="00801BCD"/>
    <w:rsid w:val="00A90347"/>
    <w:rsid w:val="00C64BA7"/>
    <w:rsid w:val="00CA3C38"/>
    <w:rsid w:val="00D35326"/>
    <w:rsid w:val="00D57042"/>
    <w:rsid w:val="00F11BD1"/>
    <w:rsid w:val="00FE2E47"/>
    <w:rsid w:val="0227420B"/>
    <w:rsid w:val="02C000FC"/>
    <w:rsid w:val="04387860"/>
    <w:rsid w:val="04AB0EF0"/>
    <w:rsid w:val="072618C5"/>
    <w:rsid w:val="07F4584C"/>
    <w:rsid w:val="08A95E44"/>
    <w:rsid w:val="09BB0F95"/>
    <w:rsid w:val="0B1701D0"/>
    <w:rsid w:val="0D957AD2"/>
    <w:rsid w:val="0DB15694"/>
    <w:rsid w:val="0DBA16AE"/>
    <w:rsid w:val="0E2F3B55"/>
    <w:rsid w:val="0ED1765E"/>
    <w:rsid w:val="10A7660C"/>
    <w:rsid w:val="13785584"/>
    <w:rsid w:val="14242E0D"/>
    <w:rsid w:val="16F77107"/>
    <w:rsid w:val="18EA326D"/>
    <w:rsid w:val="1A1B0030"/>
    <w:rsid w:val="1B903686"/>
    <w:rsid w:val="1DAF24EA"/>
    <w:rsid w:val="20542ED4"/>
    <w:rsid w:val="20833E39"/>
    <w:rsid w:val="21811739"/>
    <w:rsid w:val="220813AA"/>
    <w:rsid w:val="23862A1A"/>
    <w:rsid w:val="255C6F49"/>
    <w:rsid w:val="25D05592"/>
    <w:rsid w:val="25D54EB3"/>
    <w:rsid w:val="261A02CB"/>
    <w:rsid w:val="291476A5"/>
    <w:rsid w:val="294B485C"/>
    <w:rsid w:val="2A9C1CA8"/>
    <w:rsid w:val="2B0E3F16"/>
    <w:rsid w:val="2B733CFA"/>
    <w:rsid w:val="2C124DE2"/>
    <w:rsid w:val="2D871356"/>
    <w:rsid w:val="32715B68"/>
    <w:rsid w:val="32907C97"/>
    <w:rsid w:val="337E0E1D"/>
    <w:rsid w:val="339F04B3"/>
    <w:rsid w:val="35A91647"/>
    <w:rsid w:val="37667C65"/>
    <w:rsid w:val="38D97FC3"/>
    <w:rsid w:val="38FD2AE8"/>
    <w:rsid w:val="39A607ED"/>
    <w:rsid w:val="3DA00B4F"/>
    <w:rsid w:val="3E0C2BE9"/>
    <w:rsid w:val="3F1A33BE"/>
    <w:rsid w:val="3FA4132B"/>
    <w:rsid w:val="4278084D"/>
    <w:rsid w:val="42A27BA0"/>
    <w:rsid w:val="44DC50C3"/>
    <w:rsid w:val="4608474D"/>
    <w:rsid w:val="46BC2DCC"/>
    <w:rsid w:val="4D9D28C9"/>
    <w:rsid w:val="4EBE2546"/>
    <w:rsid w:val="502D0EC8"/>
    <w:rsid w:val="53582700"/>
    <w:rsid w:val="55091116"/>
    <w:rsid w:val="56514241"/>
    <w:rsid w:val="57B1418D"/>
    <w:rsid w:val="57E52089"/>
    <w:rsid w:val="59215342"/>
    <w:rsid w:val="5A034F8C"/>
    <w:rsid w:val="5FB371E1"/>
    <w:rsid w:val="61FC3BE3"/>
    <w:rsid w:val="63D647F6"/>
    <w:rsid w:val="64D4595F"/>
    <w:rsid w:val="67672ABA"/>
    <w:rsid w:val="688F4726"/>
    <w:rsid w:val="6A071A90"/>
    <w:rsid w:val="6A8E65B0"/>
    <w:rsid w:val="6BFB4527"/>
    <w:rsid w:val="6E9C129B"/>
    <w:rsid w:val="6ECC669A"/>
    <w:rsid w:val="6EDD53EF"/>
    <w:rsid w:val="6F8329F0"/>
    <w:rsid w:val="6FFE360F"/>
    <w:rsid w:val="705F5A7C"/>
    <w:rsid w:val="71DE7E1D"/>
    <w:rsid w:val="735C7117"/>
    <w:rsid w:val="736425A4"/>
    <w:rsid w:val="73643177"/>
    <w:rsid w:val="74B478DC"/>
    <w:rsid w:val="74EA2C16"/>
    <w:rsid w:val="760140DA"/>
    <w:rsid w:val="7AE27401"/>
    <w:rsid w:val="7B4707E1"/>
    <w:rsid w:val="7BD261F5"/>
    <w:rsid w:val="7CBE0F77"/>
    <w:rsid w:val="7D1103F8"/>
    <w:rsid w:val="7EE0157C"/>
    <w:rsid w:val="7F3D4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jc w:val="center"/>
      <w:outlineLvl w:val="0"/>
    </w:pPr>
    <w:rPr>
      <w:b/>
      <w:kern w:val="44"/>
      <w:sz w:val="44"/>
    </w:rPr>
  </w:style>
  <w:style w:type="paragraph" w:styleId="3">
    <w:name w:val="heading 2"/>
    <w:basedOn w:val="1"/>
    <w:next w:val="1"/>
    <w:autoRedefine/>
    <w:qFormat/>
    <w:uiPriority w:val="0"/>
    <w:pPr>
      <w:keepNext/>
      <w:keepLines/>
      <w:spacing w:line="415" w:lineRule="auto"/>
      <w:outlineLvl w:val="1"/>
    </w:pPr>
    <w:rPr>
      <w:rFonts w:ascii="Arial" w:hAnsi="Arial" w:eastAsia="黑体" w:cs="Verdana"/>
      <w:b/>
      <w:bCs/>
      <w:sz w:val="32"/>
      <w:szCs w:val="32"/>
    </w:rPr>
  </w:style>
  <w:style w:type="paragraph" w:styleId="4">
    <w:name w:val="heading 3"/>
    <w:basedOn w:val="1"/>
    <w:next w:val="1"/>
    <w:autoRedefine/>
    <w:qFormat/>
    <w:uiPriority w:val="0"/>
    <w:pPr>
      <w:keepNext/>
      <w:keepLines/>
      <w:spacing w:line="415"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index 5"/>
    <w:basedOn w:val="1"/>
    <w:next w:val="1"/>
    <w:autoRedefine/>
    <w:qFormat/>
    <w:uiPriority w:val="0"/>
    <w:pPr>
      <w:adjustRightInd w:val="0"/>
      <w:snapToGrid w:val="0"/>
      <w:spacing w:line="360" w:lineRule="auto"/>
      <w:jc w:val="center"/>
    </w:pPr>
    <w:rPr>
      <w:rFonts w:ascii="宋体" w:cs="宋体"/>
      <w:bCs/>
      <w:kern w:val="0"/>
      <w:szCs w:val="21"/>
    </w:rPr>
  </w:style>
  <w:style w:type="paragraph" w:styleId="7">
    <w:name w:val="annotation text"/>
    <w:basedOn w:val="1"/>
    <w:autoRedefine/>
    <w:qFormat/>
    <w:uiPriority w:val="0"/>
    <w:pPr>
      <w:adjustRightInd w:val="0"/>
      <w:spacing w:line="360" w:lineRule="atLeast"/>
      <w:jc w:val="left"/>
    </w:pPr>
    <w:rPr>
      <w:kern w:val="0"/>
      <w:sz w:val="24"/>
    </w:rPr>
  </w:style>
  <w:style w:type="paragraph" w:styleId="8">
    <w:name w:val="Body Text 3"/>
    <w:basedOn w:val="1"/>
    <w:autoRedefine/>
    <w:qFormat/>
    <w:uiPriority w:val="0"/>
    <w:pPr>
      <w:spacing w:line="80" w:lineRule="atLeast"/>
    </w:pPr>
    <w:rPr>
      <w:rFonts w:ascii="楷体_GB2312" w:eastAsia="楷体_GB2312"/>
      <w:sz w:val="28"/>
    </w:rPr>
  </w:style>
  <w:style w:type="paragraph" w:styleId="9">
    <w:name w:val="Body Text"/>
    <w:basedOn w:val="1"/>
    <w:next w:val="1"/>
    <w:autoRedefine/>
    <w:qFormat/>
    <w:uiPriority w:val="0"/>
    <w:rPr>
      <w:rFonts w:eastAsia="楷体_GB2312"/>
      <w:sz w:val="30"/>
      <w:szCs w:val="20"/>
    </w:rPr>
  </w:style>
  <w:style w:type="paragraph" w:styleId="10">
    <w:name w:val="Body Text Indent"/>
    <w:basedOn w:val="1"/>
    <w:next w:val="1"/>
    <w:autoRedefine/>
    <w:qFormat/>
    <w:uiPriority w:val="0"/>
    <w:pPr>
      <w:ind w:firstLine="630"/>
    </w:pPr>
    <w:rPr>
      <w:rFonts w:ascii="长城楷体" w:eastAsia="长城楷体"/>
      <w:kern w:val="0"/>
      <w:sz w:val="32"/>
    </w:rPr>
  </w:style>
  <w:style w:type="paragraph" w:styleId="11">
    <w:name w:val="toc 3"/>
    <w:basedOn w:val="1"/>
    <w:next w:val="1"/>
    <w:autoRedefine/>
    <w:qFormat/>
    <w:uiPriority w:val="0"/>
    <w:pPr>
      <w:ind w:left="400" w:leftChars="400"/>
    </w:pPr>
  </w:style>
  <w:style w:type="paragraph" w:styleId="12">
    <w:name w:val="Plain Text"/>
    <w:basedOn w:val="13"/>
    <w:autoRedefine/>
    <w:qFormat/>
    <w:uiPriority w:val="0"/>
    <w:rPr>
      <w:rFonts w:ascii="宋体"/>
      <w:szCs w:val="20"/>
    </w:rPr>
  </w:style>
  <w:style w:type="paragraph" w:customStyle="1" w:styleId="13">
    <w:name w:val="Normal_3"/>
    <w:autoRedefine/>
    <w:qFormat/>
    <w:uiPriority w:val="0"/>
    <w:pPr>
      <w:widowControl w:val="0"/>
      <w:jc w:val="both"/>
    </w:pPr>
    <w:rPr>
      <w:rFonts w:ascii="Calibri" w:hAnsi="Calibri" w:eastAsia="宋体" w:cs="Times New Roman"/>
      <w:kern w:val="2"/>
      <w:sz w:val="21"/>
      <w:szCs w:val="24"/>
      <w:lang w:val="en-US" w:eastAsia="zh-CN" w:bidi="ar-SA"/>
    </w:rPr>
  </w:style>
  <w:style w:type="paragraph" w:styleId="14">
    <w:name w:val="Date"/>
    <w:basedOn w:val="15"/>
    <w:next w:val="15"/>
    <w:autoRedefine/>
    <w:qFormat/>
    <w:uiPriority w:val="0"/>
    <w:rPr>
      <w:sz w:val="24"/>
      <w:szCs w:val="20"/>
    </w:rPr>
  </w:style>
  <w:style w:type="paragraph" w:customStyle="1" w:styleId="15">
    <w:name w:val="正文_0_0"/>
    <w:qFormat/>
    <w:uiPriority w:val="0"/>
    <w:pPr>
      <w:widowControl w:val="0"/>
      <w:jc w:val="both"/>
    </w:pPr>
    <w:rPr>
      <w:rFonts w:ascii="Calibri" w:hAnsi="Calibri" w:eastAsia="宋体" w:cs="Times New Roman"/>
      <w:kern w:val="2"/>
      <w:sz w:val="21"/>
      <w:szCs w:val="24"/>
      <w:lang w:val="en-US" w:eastAsia="zh-CN" w:bidi="ar-SA"/>
    </w:rPr>
  </w:style>
  <w:style w:type="paragraph" w:styleId="16">
    <w:name w:val="Body Text Indent 2"/>
    <w:basedOn w:val="1"/>
    <w:autoRedefine/>
    <w:qFormat/>
    <w:uiPriority w:val="0"/>
    <w:pPr>
      <w:spacing w:line="480" w:lineRule="auto"/>
      <w:ind w:left="200" w:leftChars="200"/>
    </w:p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spacing w:line="360" w:lineRule="exact"/>
    </w:pPr>
    <w:rPr>
      <w:rFonts w:ascii="仿宋_GB2312" w:eastAsia="仿宋_GB2312"/>
      <w:b/>
      <w:bCs/>
      <w:sz w:val="28"/>
      <w:szCs w:val="28"/>
    </w:rPr>
  </w:style>
  <w:style w:type="paragraph" w:styleId="21">
    <w:name w:val="toc 2"/>
    <w:basedOn w:val="1"/>
    <w:next w:val="1"/>
    <w:autoRedefine/>
    <w:qFormat/>
    <w:uiPriority w:val="0"/>
    <w:pPr>
      <w:ind w:left="200" w:leftChars="200"/>
    </w:pPr>
  </w:style>
  <w:style w:type="paragraph" w:styleId="22">
    <w:name w:val="Normal (Web)"/>
    <w:basedOn w:val="1"/>
    <w:autoRedefine/>
    <w:qFormat/>
    <w:uiPriority w:val="0"/>
    <w:pPr>
      <w:widowControl/>
      <w:spacing w:beforeAutospacing="1" w:afterAutospacing="1"/>
      <w:jc w:val="left"/>
    </w:pPr>
    <w:rPr>
      <w:rFonts w:ascii="宋体" w:cs="宋体"/>
      <w:kern w:val="0"/>
      <w:sz w:val="24"/>
    </w:rPr>
  </w:style>
  <w:style w:type="paragraph" w:styleId="23">
    <w:name w:val="Title"/>
    <w:basedOn w:val="1"/>
    <w:next w:val="1"/>
    <w:autoRedefine/>
    <w:qFormat/>
    <w:uiPriority w:val="0"/>
    <w:pPr>
      <w:spacing w:before="240" w:after="60"/>
      <w:jc w:val="center"/>
      <w:outlineLvl w:val="0"/>
    </w:pPr>
    <w:rPr>
      <w:rFonts w:ascii="Arial" w:hAnsi="Arial" w:cs="Arial"/>
      <w:b/>
      <w:bCs/>
      <w:sz w:val="44"/>
      <w:szCs w:val="32"/>
    </w:rPr>
  </w:style>
  <w:style w:type="paragraph" w:styleId="24">
    <w:name w:val="Body Text First Indent"/>
    <w:basedOn w:val="9"/>
    <w:next w:val="1"/>
    <w:unhideWhenUsed/>
    <w:qFormat/>
    <w:uiPriority w:val="99"/>
    <w:pPr>
      <w:spacing w:after="120"/>
      <w:ind w:firstLine="420" w:firstLineChars="100"/>
    </w:pPr>
    <w:rPr>
      <w:rFonts w:eastAsia="宋体"/>
      <w:sz w:val="21"/>
      <w:szCs w:val="24"/>
    </w:rPr>
  </w:style>
  <w:style w:type="paragraph" w:styleId="25">
    <w:name w:val="Body Text First Indent 2"/>
    <w:basedOn w:val="10"/>
    <w:next w:val="1"/>
    <w:autoRedefine/>
    <w:qFormat/>
    <w:uiPriority w:val="0"/>
    <w:pPr>
      <w:tabs>
        <w:tab w:val="left" w:pos="360"/>
      </w:tabs>
      <w:ind w:firstLine="420"/>
    </w:pPr>
    <w:rPr>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FollowedHyperlink"/>
    <w:basedOn w:val="28"/>
    <w:autoRedefine/>
    <w:qFormat/>
    <w:uiPriority w:val="0"/>
    <w:rPr>
      <w:color w:val="333333"/>
      <w:u w:val="none"/>
    </w:rPr>
  </w:style>
  <w:style w:type="character" w:styleId="32">
    <w:name w:val="Emphasis"/>
    <w:basedOn w:val="28"/>
    <w:autoRedefine/>
    <w:qFormat/>
    <w:uiPriority w:val="0"/>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basedOn w:val="28"/>
    <w:autoRedefine/>
    <w:qFormat/>
    <w:uiPriority w:val="0"/>
    <w:rPr>
      <w:color w:val="333333"/>
      <w:u w:val="none"/>
    </w:rPr>
  </w:style>
  <w:style w:type="character" w:styleId="38">
    <w:name w:val="HTML Code"/>
    <w:basedOn w:val="28"/>
    <w:autoRedefine/>
    <w:qFormat/>
    <w:uiPriority w:val="0"/>
    <w:rPr>
      <w:rFonts w:ascii="monospace" w:hAnsi="monospace" w:eastAsia="monospace" w:cs="monospace"/>
      <w:sz w:val="20"/>
    </w:rPr>
  </w:style>
  <w:style w:type="character" w:styleId="39">
    <w:name w:val="annotation reference"/>
    <w:basedOn w:val="28"/>
    <w:autoRedefine/>
    <w:qFormat/>
    <w:uiPriority w:val="0"/>
    <w:rPr>
      <w:sz w:val="21"/>
      <w:szCs w:val="21"/>
    </w:rPr>
  </w:style>
  <w:style w:type="character" w:styleId="40">
    <w:name w:val="HTML Cite"/>
    <w:basedOn w:val="28"/>
    <w:autoRedefine/>
    <w:qFormat/>
    <w:uiPriority w:val="0"/>
  </w:style>
  <w:style w:type="character" w:styleId="41">
    <w:name w:val="HTML Keyboard"/>
    <w:basedOn w:val="28"/>
    <w:autoRedefine/>
    <w:qFormat/>
    <w:uiPriority w:val="0"/>
    <w:rPr>
      <w:rFonts w:ascii="monospace" w:hAnsi="monospace" w:eastAsia="monospace" w:cs="monospace"/>
      <w:sz w:val="20"/>
    </w:rPr>
  </w:style>
  <w:style w:type="character" w:styleId="42">
    <w:name w:val="HTML Sample"/>
    <w:basedOn w:val="28"/>
    <w:autoRedefine/>
    <w:qFormat/>
    <w:uiPriority w:val="0"/>
    <w:rPr>
      <w:rFonts w:ascii="monospace" w:hAnsi="monospace" w:eastAsia="monospace" w:cs="monospace"/>
    </w:rPr>
  </w:style>
  <w:style w:type="paragraph" w:customStyle="1" w:styleId="43">
    <w:name w:val="Default"/>
    <w:next w:val="14"/>
    <w:autoRedefin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44">
    <w:name w:val="列出段落1"/>
    <w:basedOn w:val="1"/>
    <w:autoRedefine/>
    <w:qFormat/>
    <w:uiPriority w:val="0"/>
    <w:pPr>
      <w:ind w:firstLine="200" w:firstLineChars="200"/>
    </w:pPr>
    <w:rPr>
      <w:szCs w:val="22"/>
    </w:rPr>
  </w:style>
  <w:style w:type="paragraph" w:customStyle="1" w:styleId="45">
    <w:name w:val="正文（首行缩进）"/>
    <w:basedOn w:val="1"/>
    <w:autoRedefine/>
    <w:qFormat/>
    <w:uiPriority w:val="0"/>
    <w:pPr>
      <w:spacing w:line="360" w:lineRule="auto"/>
      <w:ind w:firstLine="200" w:firstLineChars="200"/>
    </w:pPr>
  </w:style>
  <w:style w:type="paragraph" w:customStyle="1" w:styleId="46">
    <w:name w:val="Table Paragraph"/>
    <w:basedOn w:val="1"/>
    <w:autoRedefine/>
    <w:qFormat/>
    <w:uiPriority w:val="1"/>
  </w:style>
  <w:style w:type="paragraph" w:customStyle="1" w:styleId="47">
    <w:name w:val="样式 小四 段前: 5 磅 段后: 5 磅 首行缩进:  2 字符"/>
    <w:basedOn w:val="1"/>
    <w:autoRedefine/>
    <w:qFormat/>
    <w:uiPriority w:val="0"/>
    <w:pPr>
      <w:spacing w:line="360" w:lineRule="auto"/>
    </w:pPr>
    <w:rPr>
      <w:rFonts w:ascii="宋体"/>
      <w:sz w:val="24"/>
      <w:szCs w:val="21"/>
    </w:rPr>
  </w:style>
  <w:style w:type="paragraph" w:customStyle="1" w:styleId="4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表 靠左"/>
    <w:basedOn w:val="50"/>
    <w:autoRedefine/>
    <w:qFormat/>
    <w:uiPriority w:val="0"/>
    <w:pPr>
      <w:widowControl/>
      <w:adjustRightInd w:val="0"/>
      <w:snapToGrid w:val="0"/>
      <w:spacing w:after="200"/>
      <w:jc w:val="left"/>
    </w:pPr>
    <w:rPr>
      <w:rFonts w:eastAsia="微软雅黑"/>
      <w:kern w:val="0"/>
      <w:sz w:val="22"/>
      <w:szCs w:val="21"/>
    </w:rPr>
  </w:style>
  <w:style w:type="paragraph" w:customStyle="1" w:styleId="50">
    <w:name w:val="表"/>
    <w:basedOn w:val="1"/>
    <w:next w:val="1"/>
    <w:autoRedefine/>
    <w:qFormat/>
    <w:uiPriority w:val="7"/>
    <w:pPr>
      <w:jc w:val="center"/>
    </w:pPr>
  </w:style>
  <w:style w:type="paragraph" w:customStyle="1" w:styleId="51">
    <w:name w:val="Normal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Normal_0_0_2"/>
    <w:autoRedefine/>
    <w:qFormat/>
    <w:uiPriority w:val="0"/>
    <w:rPr>
      <w:rFonts w:ascii="Times New Roman" w:hAnsi="Times New Roman" w:eastAsia="Times New Roman" w:cs="Times New Roman"/>
      <w:sz w:val="24"/>
      <w:szCs w:val="24"/>
      <w:lang w:val="en-US" w:eastAsia="zh-CN" w:bidi="ar-SA"/>
    </w:rPr>
  </w:style>
  <w:style w:type="paragraph" w:customStyle="1" w:styleId="53">
    <w:name w:val="标题 21"/>
    <w:basedOn w:val="51"/>
    <w:next w:val="51"/>
    <w:autoRedefine/>
    <w:qFormat/>
    <w:uiPriority w:val="0"/>
    <w:pPr>
      <w:keepNext/>
      <w:keepLines/>
      <w:spacing w:before="260" w:after="260" w:line="415" w:lineRule="auto"/>
      <w:outlineLvl w:val="1"/>
    </w:pPr>
    <w:rPr>
      <w:rFonts w:ascii="Cambria" w:hAnsi="Cambria" w:cs="宋体"/>
      <w:b/>
      <w:bCs/>
      <w:sz w:val="32"/>
      <w:szCs w:val="32"/>
    </w:rPr>
  </w:style>
  <w:style w:type="paragraph" w:customStyle="1" w:styleId="54">
    <w:name w:val="样式 样式 样式 左侧:  2 字符1 + 首行缩进:  2 字符1 + 首行缩进:  2 字符"/>
    <w:basedOn w:val="1"/>
    <w:autoRedefine/>
    <w:qFormat/>
    <w:uiPriority w:val="0"/>
    <w:pPr>
      <w:widowControl/>
      <w:spacing w:before="60" w:after="120" w:line="440" w:lineRule="atLeast"/>
      <w:ind w:firstLine="480"/>
    </w:pPr>
    <w:rPr>
      <w:rFonts w:ascii="Times New Roman" w:hAnsi="Times New Roman"/>
      <w:sz w:val="24"/>
      <w:szCs w:val="20"/>
    </w:rPr>
  </w:style>
  <w:style w:type="paragraph" w:customStyle="1" w:styleId="55">
    <w:name w:val="_Style 3"/>
    <w:autoRedefine/>
    <w:qFormat/>
    <w:uiPriority w:val="99"/>
    <w:pPr>
      <w:widowControl w:val="0"/>
      <w:jc w:val="both"/>
    </w:pPr>
    <w:rPr>
      <w:rFonts w:ascii="Times New Roman" w:hAnsi="Times New Roman" w:eastAsia="宋?" w:cs="Times New Roman"/>
      <w:kern w:val="2"/>
      <w:sz w:val="21"/>
      <w:szCs w:val="22"/>
      <w:lang w:val="en-US" w:eastAsia="zh-CN" w:bidi="ar-SA"/>
    </w:rPr>
  </w:style>
  <w:style w:type="paragraph" w:customStyle="1" w:styleId="56">
    <w:name w:val="Normal_0_0_1"/>
    <w:qFormat/>
    <w:uiPriority w:val="0"/>
    <w:rPr>
      <w:rFonts w:ascii="Times New Roman" w:hAnsi="Times New Roman" w:eastAsia="Times New Roman" w:cs="Times New Roman"/>
      <w:sz w:val="24"/>
      <w:szCs w:val="24"/>
      <w:lang w:val="en-US" w:eastAsia="zh-CN" w:bidi="ar-SA"/>
    </w:rPr>
  </w:style>
  <w:style w:type="paragraph" w:customStyle="1" w:styleId="57">
    <w:name w:val="普通(网站)_0"/>
    <w:basedOn w:val="15"/>
    <w:qFormat/>
    <w:uiPriority w:val="0"/>
    <w:pPr>
      <w:widowControl/>
      <w:spacing w:before="100" w:beforeAutospacing="1" w:after="100" w:afterAutospacing="1"/>
      <w:jc w:val="left"/>
    </w:pPr>
    <w:rPr>
      <w:rFonts w:ascii="宋体" w:hAnsi="宋体"/>
      <w:kern w:val="0"/>
      <w:sz w:val="24"/>
    </w:rPr>
  </w:style>
  <w:style w:type="paragraph" w:customStyle="1" w:styleId="58">
    <w:name w:val="标题 2_0"/>
    <w:basedOn w:val="15"/>
    <w:next w:val="15"/>
    <w:qFormat/>
    <w:uiPriority w:val="0"/>
    <w:pPr>
      <w:keepNext/>
      <w:keepLines/>
      <w:spacing w:before="260" w:after="260" w:line="416" w:lineRule="auto"/>
      <w:outlineLvl w:val="1"/>
    </w:pPr>
    <w:rPr>
      <w:rFonts w:ascii="Cambria" w:hAnsi="Cambria"/>
      <w:b/>
      <w:bCs/>
      <w:sz w:val="32"/>
      <w:szCs w:val="32"/>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7852</Words>
  <Characters>8676</Characters>
  <Lines>396</Lines>
  <Paragraphs>111</Paragraphs>
  <TotalTime>65</TotalTime>
  <ScaleCrop>false</ScaleCrop>
  <LinksUpToDate>false</LinksUpToDate>
  <CharactersWithSpaces>8808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2024-09-20T08:07:00Z</dcterms:created>
  <dc:creator>WPS_1565666140</dc:creator>
  <cp:lastModifiedBy>A 刘加贝</cp:lastModifiedBy>
  <cp:lastPrinted>2023-07-20T06:51:00Z</cp:lastPrinted>
  <dcterms:modified xsi:type="dcterms:W3CDTF">2024-11-26T05:38:57Z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6D6B095CBAA84926BAF507F230F7F7FF_13</vt:lpwstr>
  </property>
</Properties>
</file>