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insoku/>
        <w:spacing w:line="360" w:lineRule="auto"/>
        <w:ind w:left="0" w:leftChars="0" w:firstLine="0" w:firstLineChars="0"/>
        <w:jc w:val="center"/>
        <w:rPr>
          <w:rFonts w:ascii="Times New Roman" w:hAnsi="Times New Roman"/>
          <w:b/>
          <w:bCs/>
          <w:color w:val="auto"/>
          <w:sz w:val="44"/>
          <w:szCs w:val="40"/>
        </w:rPr>
      </w:pPr>
    </w:p>
    <w:p>
      <w:pPr>
        <w:pStyle w:val="12"/>
        <w:kinsoku/>
        <w:spacing w:line="360" w:lineRule="auto"/>
        <w:ind w:left="0" w:leftChars="0" w:firstLine="0" w:firstLineChars="0"/>
        <w:jc w:val="center"/>
        <w:rPr>
          <w:rFonts w:ascii="Times New Roman" w:hAnsi="Times New Roman"/>
          <w:b/>
          <w:bCs/>
          <w:color w:val="auto"/>
          <w:sz w:val="44"/>
          <w:szCs w:val="40"/>
        </w:rPr>
      </w:pPr>
    </w:p>
    <w:p>
      <w:pPr>
        <w:pStyle w:val="12"/>
        <w:kinsoku/>
        <w:spacing w:line="360" w:lineRule="auto"/>
        <w:ind w:left="0" w:leftChars="0" w:firstLine="0" w:firstLineChars="0"/>
        <w:jc w:val="center"/>
        <w:outlineLvl w:val="0"/>
        <w:rPr>
          <w:rFonts w:ascii="Times New Roman" w:hAnsi="Times New Roman"/>
          <w:color w:val="auto"/>
          <w:lang w:eastAsia="zh-CN"/>
        </w:rPr>
      </w:pPr>
      <w:bookmarkStart w:id="0" w:name="_Toc1008"/>
      <w:bookmarkStart w:id="1" w:name="_Toc2872"/>
      <w:r>
        <w:rPr>
          <w:rFonts w:hint="eastAsia" w:ascii="Times New Roman" w:hAnsi="Times New Roman"/>
          <w:b/>
          <w:bCs/>
          <w:color w:val="auto"/>
          <w:sz w:val="44"/>
          <w:szCs w:val="40"/>
          <w:lang w:eastAsia="zh-CN"/>
        </w:rPr>
        <w:t>人力资源外包项目</w:t>
      </w:r>
      <w:bookmarkEnd w:id="0"/>
      <w:bookmarkEnd w:id="1"/>
    </w:p>
    <w:p>
      <w:pPr>
        <w:pStyle w:val="12"/>
        <w:kinsoku/>
        <w:spacing w:line="360" w:lineRule="auto"/>
        <w:rPr>
          <w:rFonts w:ascii="Times New Roman" w:hAnsi="Times New Roman"/>
          <w:color w:val="auto"/>
          <w:lang w:eastAsia="zh-CN"/>
        </w:rPr>
      </w:pPr>
    </w:p>
    <w:p>
      <w:pPr>
        <w:pStyle w:val="12"/>
        <w:kinsoku/>
        <w:spacing w:line="360" w:lineRule="auto"/>
        <w:rPr>
          <w:rFonts w:ascii="Times New Roman" w:hAnsi="Times New Roman"/>
          <w:color w:val="auto"/>
          <w:lang w:eastAsia="zh-CN"/>
        </w:rPr>
      </w:pPr>
    </w:p>
    <w:p>
      <w:pPr>
        <w:pStyle w:val="12"/>
        <w:kinsoku/>
        <w:spacing w:line="360" w:lineRule="auto"/>
        <w:rPr>
          <w:rFonts w:ascii="Times New Roman" w:hAnsi="Times New Roman"/>
          <w:color w:val="auto"/>
          <w:lang w:eastAsia="zh-CN"/>
        </w:rPr>
      </w:pPr>
    </w:p>
    <w:p>
      <w:pPr>
        <w:pStyle w:val="12"/>
        <w:kinsoku/>
        <w:spacing w:line="360" w:lineRule="auto"/>
        <w:rPr>
          <w:rFonts w:ascii="Times New Roman" w:hAnsi="Times New Roman"/>
          <w:color w:val="auto"/>
          <w:lang w:eastAsia="zh-CN"/>
        </w:rPr>
      </w:pPr>
    </w:p>
    <w:p>
      <w:pPr>
        <w:pStyle w:val="12"/>
        <w:kinsoku/>
        <w:spacing w:line="360" w:lineRule="auto"/>
        <w:rPr>
          <w:rFonts w:ascii="Times New Roman" w:hAnsi="Times New Roman"/>
          <w:color w:val="auto"/>
          <w:lang w:eastAsia="zh-CN"/>
        </w:rPr>
      </w:pPr>
    </w:p>
    <w:p>
      <w:pPr>
        <w:kinsoku/>
        <w:spacing w:line="360" w:lineRule="auto"/>
        <w:jc w:val="center"/>
        <w:rPr>
          <w:rFonts w:ascii="Times New Roman" w:hAnsi="Times New Roman" w:eastAsia="宋体" w:cs="宋体"/>
          <w:b/>
          <w:color w:val="auto"/>
          <w:sz w:val="52"/>
          <w:lang w:eastAsia="zh-CN"/>
        </w:rPr>
      </w:pPr>
      <w:r>
        <w:rPr>
          <w:rFonts w:hint="eastAsia" w:ascii="Times New Roman" w:hAnsi="Times New Roman" w:eastAsia="宋体" w:cs="宋体"/>
          <w:b/>
          <w:color w:val="auto"/>
          <w:sz w:val="72"/>
          <w:szCs w:val="72"/>
          <w:lang w:eastAsia="zh-CN"/>
        </w:rPr>
        <w:t>招标文件</w:t>
      </w:r>
    </w:p>
    <w:p>
      <w:pPr>
        <w:kinsoku/>
        <w:spacing w:line="360" w:lineRule="auto"/>
        <w:jc w:val="center"/>
        <w:outlineLvl w:val="0"/>
        <w:rPr>
          <w:rFonts w:ascii="Times New Roman" w:hAnsi="Times New Roman" w:eastAsia="宋体" w:cs="宋体"/>
          <w:b/>
          <w:bCs/>
          <w:sz w:val="36"/>
          <w:szCs w:val="36"/>
          <w:lang w:eastAsia="zh-CN"/>
        </w:rPr>
      </w:pPr>
      <w:bookmarkStart w:id="2" w:name="_Toc2955"/>
      <w:bookmarkStart w:id="3" w:name="_Toc7404"/>
      <w:r>
        <w:rPr>
          <w:rFonts w:hint="eastAsia" w:ascii="Times New Roman" w:hAnsi="Times New Roman" w:eastAsia="宋体" w:cs="宋体"/>
          <w:b/>
          <w:bCs/>
          <w:sz w:val="36"/>
          <w:szCs w:val="36"/>
          <w:lang w:eastAsia="zh-CN"/>
        </w:rPr>
        <w:t>项目编号：JM-2024-05-00503</w:t>
      </w:r>
      <w:bookmarkEnd w:id="2"/>
      <w:bookmarkEnd w:id="3"/>
    </w:p>
    <w:p>
      <w:pPr>
        <w:kinsoku/>
        <w:spacing w:line="360" w:lineRule="auto"/>
        <w:jc w:val="center"/>
        <w:rPr>
          <w:rFonts w:ascii="Times New Roman" w:hAnsi="Times New Roman" w:eastAsia="宋体" w:cs="宋体"/>
          <w:b/>
          <w:bCs/>
          <w:sz w:val="36"/>
          <w:szCs w:val="36"/>
          <w:lang w:eastAsia="zh-CN"/>
        </w:rPr>
      </w:pPr>
    </w:p>
    <w:p>
      <w:pPr>
        <w:pStyle w:val="4"/>
        <w:spacing w:line="360" w:lineRule="auto"/>
        <w:jc w:val="both"/>
        <w:rPr>
          <w:rFonts w:ascii="Times New Roman" w:hAnsi="Times New Roman"/>
          <w:lang w:eastAsia="zh-CN"/>
        </w:rPr>
      </w:pPr>
    </w:p>
    <w:p>
      <w:pPr>
        <w:pStyle w:val="12"/>
        <w:kinsoku/>
        <w:spacing w:line="360" w:lineRule="auto"/>
        <w:ind w:firstLine="643"/>
        <w:rPr>
          <w:rFonts w:ascii="Times New Roman" w:hAnsi="Times New Roman" w:cs="宋体"/>
          <w:b/>
          <w:color w:val="auto"/>
          <w:sz w:val="32"/>
          <w:lang w:eastAsia="zh-CN"/>
        </w:rPr>
      </w:pPr>
    </w:p>
    <w:p>
      <w:pPr>
        <w:pStyle w:val="12"/>
        <w:kinsoku/>
        <w:spacing w:line="360" w:lineRule="auto"/>
        <w:ind w:firstLine="643"/>
        <w:rPr>
          <w:rFonts w:ascii="Times New Roman" w:hAnsi="Times New Roman" w:cs="宋体"/>
          <w:b/>
          <w:color w:val="auto"/>
          <w:sz w:val="32"/>
          <w:lang w:eastAsia="zh-CN"/>
        </w:rPr>
      </w:pPr>
    </w:p>
    <w:p>
      <w:pPr>
        <w:pStyle w:val="12"/>
        <w:kinsoku/>
        <w:spacing w:line="360" w:lineRule="auto"/>
        <w:ind w:firstLine="643"/>
        <w:rPr>
          <w:rFonts w:ascii="Times New Roman" w:hAnsi="Times New Roman" w:cs="宋体"/>
          <w:b/>
          <w:color w:val="auto"/>
          <w:sz w:val="32"/>
          <w:lang w:eastAsia="zh-CN"/>
        </w:rPr>
      </w:pPr>
    </w:p>
    <w:p>
      <w:pPr>
        <w:pStyle w:val="12"/>
        <w:kinsoku/>
        <w:spacing w:line="360" w:lineRule="auto"/>
        <w:ind w:firstLine="643"/>
        <w:rPr>
          <w:rFonts w:ascii="Times New Roman" w:hAnsi="Times New Roman" w:cs="宋体"/>
          <w:b/>
          <w:color w:val="auto"/>
          <w:sz w:val="32"/>
          <w:lang w:eastAsia="zh-CN"/>
        </w:rPr>
      </w:pPr>
    </w:p>
    <w:p>
      <w:pPr>
        <w:pStyle w:val="12"/>
        <w:kinsoku/>
        <w:spacing w:line="360" w:lineRule="auto"/>
        <w:ind w:firstLine="643"/>
        <w:rPr>
          <w:rFonts w:ascii="Times New Roman" w:hAnsi="Times New Roman" w:cs="宋体"/>
          <w:b/>
          <w:color w:val="auto"/>
          <w:sz w:val="32"/>
          <w:lang w:eastAsia="zh-CN"/>
        </w:rPr>
      </w:pPr>
    </w:p>
    <w:p>
      <w:pPr>
        <w:pStyle w:val="12"/>
        <w:kinsoku/>
        <w:spacing w:line="360" w:lineRule="auto"/>
        <w:ind w:firstLine="643"/>
        <w:rPr>
          <w:rFonts w:ascii="Times New Roman" w:hAnsi="Times New Roman" w:cs="宋体"/>
          <w:b/>
          <w:color w:val="auto"/>
          <w:sz w:val="32"/>
          <w:lang w:eastAsia="zh-CN"/>
        </w:rPr>
      </w:pPr>
    </w:p>
    <w:p>
      <w:pPr>
        <w:spacing w:line="360" w:lineRule="auto"/>
        <w:ind w:firstLine="602" w:firstLineChars="200"/>
        <w:outlineLvl w:val="0"/>
        <w:rPr>
          <w:rFonts w:ascii="Times New Roman" w:hAnsi="Times New Roman" w:eastAsia="宋体" w:cs="宋体"/>
          <w:b/>
          <w:bCs/>
          <w:sz w:val="30"/>
          <w:szCs w:val="30"/>
          <w:lang w:eastAsia="zh-CN"/>
        </w:rPr>
      </w:pPr>
      <w:bookmarkStart w:id="4" w:name="_Toc23089"/>
      <w:bookmarkStart w:id="5" w:name="_Toc4185"/>
      <w:r>
        <w:rPr>
          <w:rFonts w:hint="eastAsia" w:ascii="Times New Roman" w:hAnsi="Times New Roman" w:eastAsia="宋体" w:cs="宋体"/>
          <w:b/>
          <w:bCs/>
          <w:sz w:val="30"/>
          <w:szCs w:val="30"/>
          <w:lang w:eastAsia="zh-CN"/>
        </w:rPr>
        <w:t xml:space="preserve">采 购 人： </w:t>
      </w:r>
      <w:r>
        <w:fldChar w:fldCharType="begin"/>
      </w:r>
      <w:r>
        <w:instrText xml:space="preserve"> HYPERLINK "https://www.qcc.com/firm/gd8a959c2e202eb6eeff105f2b2a5d2e.html" \t "https://www.qcc.com/web/_blank" </w:instrText>
      </w:r>
      <w:r>
        <w:fldChar w:fldCharType="separate"/>
      </w:r>
      <w:r>
        <w:rPr>
          <w:rFonts w:hint="eastAsia" w:ascii="Times New Roman" w:hAnsi="Times New Roman" w:eastAsia="宋体" w:cs="宋体"/>
          <w:b/>
          <w:bCs/>
          <w:sz w:val="30"/>
          <w:szCs w:val="30"/>
          <w:lang w:eastAsia="zh-CN"/>
        </w:rPr>
        <w:t>长春特种设备检测研究院（长春市特种设备安全监控中心）</w:t>
      </w:r>
      <w:r>
        <w:rPr>
          <w:rFonts w:hint="eastAsia" w:ascii="Times New Roman" w:hAnsi="Times New Roman" w:eastAsia="宋体" w:cs="宋体"/>
          <w:b/>
          <w:bCs/>
          <w:sz w:val="30"/>
          <w:szCs w:val="30"/>
          <w:lang w:eastAsia="zh-CN"/>
        </w:rPr>
        <w:fldChar w:fldCharType="end"/>
      </w:r>
      <w:bookmarkEnd w:id="4"/>
      <w:bookmarkEnd w:id="5"/>
    </w:p>
    <w:p>
      <w:pPr>
        <w:spacing w:line="360" w:lineRule="auto"/>
        <w:ind w:firstLine="602" w:firstLineChars="200"/>
        <w:rPr>
          <w:rFonts w:ascii="Times New Roman" w:hAnsi="Times New Roman" w:eastAsia="宋体" w:cs="宋体"/>
          <w:b/>
          <w:bCs/>
          <w:sz w:val="30"/>
          <w:szCs w:val="30"/>
          <w:lang w:eastAsia="zh-CN"/>
        </w:rPr>
      </w:pPr>
      <w:r>
        <w:rPr>
          <w:rFonts w:hint="eastAsia" w:ascii="Times New Roman" w:hAnsi="Times New Roman" w:eastAsia="宋体" w:cs="宋体"/>
          <w:b/>
          <w:bCs/>
          <w:sz w:val="30"/>
          <w:szCs w:val="30"/>
          <w:lang w:eastAsia="zh-CN"/>
        </w:rPr>
        <w:t>采购代理机构：吉林瑞成工程招标造价咨询有限公司</w:t>
      </w:r>
    </w:p>
    <w:p>
      <w:pPr>
        <w:spacing w:line="360" w:lineRule="auto"/>
        <w:jc w:val="center"/>
        <w:rPr>
          <w:rFonts w:ascii="Times New Roman" w:hAnsi="Times New Roman" w:eastAsia="宋体" w:cs="宋体"/>
          <w:b/>
          <w:bCs/>
          <w:lang w:eastAsia="zh-CN"/>
        </w:rPr>
      </w:pPr>
      <w:r>
        <w:rPr>
          <w:rFonts w:hint="eastAsia" w:ascii="Times New Roman" w:hAnsi="Times New Roman" w:eastAsia="宋体" w:cs="宋体"/>
          <w:b/>
          <w:bCs/>
          <w:sz w:val="36"/>
          <w:szCs w:val="36"/>
          <w:lang w:eastAsia="zh-CN"/>
        </w:rPr>
        <w:t>2024年06月</w:t>
      </w:r>
    </w:p>
    <w:p>
      <w:pPr>
        <w:spacing w:line="360" w:lineRule="auto"/>
        <w:rPr>
          <w:rFonts w:ascii="Times New Roman" w:hAnsi="Times New Roman" w:eastAsia="宋体" w:cs="宋体"/>
          <w:b/>
          <w:bCs/>
          <w:sz w:val="44"/>
          <w:lang w:val="zh-CN"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851" w:footer="737" w:gutter="0"/>
          <w:pgNumType w:start="1"/>
          <w:cols w:space="0" w:num="1"/>
          <w:titlePg/>
          <w:docGrid w:type="lines" w:linePitch="490" w:charSpace="0"/>
        </w:sectPr>
      </w:pPr>
    </w:p>
    <w:sdt>
      <w:sdtPr>
        <w:rPr>
          <w:rFonts w:ascii="宋体" w:hAnsi="宋体" w:eastAsia="宋体"/>
        </w:rPr>
        <w:id w:val="147463956"/>
        <w:docPartObj>
          <w:docPartGallery w:val="Table of Contents"/>
          <w:docPartUnique/>
        </w:docPartObj>
      </w:sdtPr>
      <w:sdtEndPr>
        <w:rPr>
          <w:rFonts w:ascii="宋体" w:hAnsi="宋体" w:eastAsia="宋体"/>
        </w:rPr>
      </w:sdtEndPr>
      <w:sdtContent>
        <w:p>
          <w:pPr>
            <w:jc w:val="center"/>
          </w:pPr>
          <w:r>
            <w:rPr>
              <w:rFonts w:ascii="宋体" w:hAnsi="宋体" w:eastAsia="宋体"/>
            </w:rPr>
            <w:t>目录</w:t>
          </w:r>
        </w:p>
        <w:p>
          <w:pPr>
            <w:pStyle w:val="24"/>
            <w:tabs>
              <w:tab w:val="right" w:leader="dot" w:pos="9637"/>
            </w:tabs>
          </w:pPr>
          <w:r>
            <w:fldChar w:fldCharType="begin"/>
          </w:r>
          <w:r>
            <w:instrText xml:space="preserve">TOC \o "1-1" \h \u </w:instrText>
          </w:r>
          <w:r>
            <w:fldChar w:fldCharType="separate"/>
          </w:r>
        </w:p>
        <w:p>
          <w:pPr>
            <w:pStyle w:val="24"/>
            <w:tabs>
              <w:tab w:val="right" w:leader="dot" w:pos="9637"/>
            </w:tabs>
            <w:spacing w:line="480" w:lineRule="auto"/>
            <w:rPr>
              <w:sz w:val="22"/>
              <w:szCs w:val="22"/>
            </w:rPr>
          </w:pPr>
          <w:r>
            <w:fldChar w:fldCharType="begin"/>
          </w:r>
          <w:r>
            <w:instrText xml:space="preserve"> HYPERLINK \l "_Toc6284" </w:instrText>
          </w:r>
          <w:r>
            <w:fldChar w:fldCharType="separate"/>
          </w:r>
          <w:r>
            <w:rPr>
              <w:rFonts w:hint="eastAsia" w:ascii="宋体" w:hAnsi="宋体"/>
              <w:sz w:val="22"/>
              <w:szCs w:val="32"/>
            </w:rPr>
            <w:t>第一章</w:t>
          </w:r>
          <w:r>
            <w:rPr>
              <w:rFonts w:hint="eastAsia" w:ascii="宋体" w:hAnsi="宋体" w:cs="宋体"/>
              <w:sz w:val="22"/>
              <w:szCs w:val="32"/>
              <w:lang w:val="zh-CN"/>
            </w:rPr>
            <w:t>招标公告</w:t>
          </w:r>
          <w:r>
            <w:rPr>
              <w:sz w:val="22"/>
              <w:szCs w:val="22"/>
            </w:rPr>
            <w:tab/>
          </w:r>
          <w:r>
            <w:rPr>
              <w:sz w:val="22"/>
              <w:szCs w:val="22"/>
            </w:rPr>
            <w:fldChar w:fldCharType="begin"/>
          </w:r>
          <w:r>
            <w:rPr>
              <w:sz w:val="22"/>
              <w:szCs w:val="22"/>
            </w:rPr>
            <w:instrText xml:space="preserve"> PAGEREF _Toc6284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24"/>
            <w:tabs>
              <w:tab w:val="right" w:leader="dot" w:pos="9637"/>
            </w:tabs>
            <w:spacing w:line="480" w:lineRule="auto"/>
            <w:rPr>
              <w:sz w:val="22"/>
              <w:szCs w:val="22"/>
            </w:rPr>
          </w:pPr>
          <w:r>
            <w:fldChar w:fldCharType="begin"/>
          </w:r>
          <w:r>
            <w:instrText xml:space="preserve"> HYPERLINK \l "_Toc3720" </w:instrText>
          </w:r>
          <w:r>
            <w:fldChar w:fldCharType="separate"/>
          </w:r>
          <w:r>
            <w:rPr>
              <w:rFonts w:cs="宋体"/>
              <w:bCs/>
              <w:sz w:val="22"/>
              <w:szCs w:val="40"/>
            </w:rPr>
            <w:t>第二章投标人须知</w:t>
          </w:r>
          <w:r>
            <w:rPr>
              <w:sz w:val="22"/>
              <w:szCs w:val="22"/>
            </w:rPr>
            <w:tab/>
          </w:r>
          <w:r>
            <w:rPr>
              <w:sz w:val="22"/>
              <w:szCs w:val="22"/>
            </w:rPr>
            <w:fldChar w:fldCharType="begin"/>
          </w:r>
          <w:r>
            <w:rPr>
              <w:sz w:val="22"/>
              <w:szCs w:val="22"/>
            </w:rPr>
            <w:instrText xml:space="preserve"> PAGEREF _Toc3720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24"/>
            <w:tabs>
              <w:tab w:val="right" w:leader="dot" w:pos="9637"/>
            </w:tabs>
            <w:spacing w:line="480" w:lineRule="auto"/>
            <w:rPr>
              <w:sz w:val="22"/>
              <w:szCs w:val="22"/>
            </w:rPr>
          </w:pPr>
          <w:r>
            <w:fldChar w:fldCharType="begin"/>
          </w:r>
          <w:r>
            <w:instrText xml:space="preserve"> HYPERLINK \l "_Toc23255" </w:instrText>
          </w:r>
          <w:r>
            <w:fldChar w:fldCharType="separate"/>
          </w:r>
          <w:r>
            <w:rPr>
              <w:rFonts w:cs="宋体"/>
              <w:bCs/>
              <w:sz w:val="22"/>
              <w:szCs w:val="36"/>
            </w:rPr>
            <w:t>第三章评标办法</w:t>
          </w:r>
          <w:r>
            <w:rPr>
              <w:rFonts w:hint="eastAsia" w:cs="宋体"/>
              <w:bCs/>
              <w:sz w:val="22"/>
              <w:szCs w:val="36"/>
            </w:rPr>
            <w:t>（</w:t>
          </w:r>
          <w:r>
            <w:rPr>
              <w:rFonts w:cs="宋体"/>
              <w:bCs/>
              <w:sz w:val="22"/>
              <w:szCs w:val="36"/>
            </w:rPr>
            <w:t>综合评分法</w:t>
          </w:r>
          <w:r>
            <w:rPr>
              <w:rFonts w:hint="eastAsia" w:cs="宋体"/>
              <w:bCs/>
              <w:sz w:val="22"/>
              <w:szCs w:val="36"/>
            </w:rPr>
            <w:t>）</w:t>
          </w:r>
          <w:r>
            <w:rPr>
              <w:sz w:val="22"/>
              <w:szCs w:val="22"/>
            </w:rPr>
            <w:tab/>
          </w:r>
          <w:r>
            <w:rPr>
              <w:sz w:val="22"/>
              <w:szCs w:val="22"/>
            </w:rPr>
            <w:fldChar w:fldCharType="begin"/>
          </w:r>
          <w:r>
            <w:rPr>
              <w:sz w:val="22"/>
              <w:szCs w:val="22"/>
            </w:rPr>
            <w:instrText xml:space="preserve"> PAGEREF _Toc23255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24"/>
            <w:tabs>
              <w:tab w:val="right" w:leader="dot" w:pos="9637"/>
            </w:tabs>
            <w:spacing w:line="480" w:lineRule="auto"/>
            <w:rPr>
              <w:sz w:val="22"/>
              <w:szCs w:val="22"/>
            </w:rPr>
          </w:pPr>
          <w:r>
            <w:fldChar w:fldCharType="begin"/>
          </w:r>
          <w:r>
            <w:instrText xml:space="preserve"> HYPERLINK \l "_Toc8319" </w:instrText>
          </w:r>
          <w:r>
            <w:fldChar w:fldCharType="separate"/>
          </w:r>
          <w:r>
            <w:rPr>
              <w:rFonts w:cs="宋体"/>
              <w:bCs/>
              <w:sz w:val="22"/>
              <w:szCs w:val="48"/>
            </w:rPr>
            <w:t>第四章合同条款及格式</w:t>
          </w:r>
          <w:r>
            <w:rPr>
              <w:sz w:val="22"/>
              <w:szCs w:val="22"/>
            </w:rPr>
            <w:tab/>
          </w:r>
          <w:r>
            <w:rPr>
              <w:sz w:val="22"/>
              <w:szCs w:val="22"/>
            </w:rPr>
            <w:fldChar w:fldCharType="begin"/>
          </w:r>
          <w:r>
            <w:rPr>
              <w:sz w:val="22"/>
              <w:szCs w:val="22"/>
            </w:rPr>
            <w:instrText xml:space="preserve"> PAGEREF _Toc8319 \h </w:instrText>
          </w:r>
          <w:r>
            <w:rPr>
              <w:sz w:val="22"/>
              <w:szCs w:val="22"/>
            </w:rPr>
            <w:fldChar w:fldCharType="separate"/>
          </w:r>
          <w:r>
            <w:rPr>
              <w:sz w:val="22"/>
              <w:szCs w:val="22"/>
            </w:rPr>
            <w:t>37</w:t>
          </w:r>
          <w:r>
            <w:rPr>
              <w:sz w:val="22"/>
              <w:szCs w:val="22"/>
            </w:rPr>
            <w:fldChar w:fldCharType="end"/>
          </w:r>
          <w:r>
            <w:rPr>
              <w:sz w:val="22"/>
              <w:szCs w:val="22"/>
            </w:rPr>
            <w:fldChar w:fldCharType="end"/>
          </w:r>
        </w:p>
        <w:p>
          <w:pPr>
            <w:pStyle w:val="24"/>
            <w:tabs>
              <w:tab w:val="right" w:leader="dot" w:pos="9637"/>
            </w:tabs>
            <w:spacing w:line="480" w:lineRule="auto"/>
            <w:rPr>
              <w:sz w:val="22"/>
              <w:szCs w:val="22"/>
            </w:rPr>
          </w:pPr>
          <w:r>
            <w:fldChar w:fldCharType="begin"/>
          </w:r>
          <w:r>
            <w:instrText xml:space="preserve"> HYPERLINK \l "_Toc6188" </w:instrText>
          </w:r>
          <w:r>
            <w:fldChar w:fldCharType="separate"/>
          </w:r>
          <w:r>
            <w:rPr>
              <w:rFonts w:cs="宋体"/>
              <w:bCs/>
              <w:sz w:val="22"/>
              <w:szCs w:val="48"/>
            </w:rPr>
            <w:t>第五章服务需求</w:t>
          </w:r>
          <w:r>
            <w:rPr>
              <w:sz w:val="22"/>
              <w:szCs w:val="22"/>
            </w:rPr>
            <w:tab/>
          </w:r>
          <w:r>
            <w:rPr>
              <w:sz w:val="22"/>
              <w:szCs w:val="22"/>
            </w:rPr>
            <w:fldChar w:fldCharType="begin"/>
          </w:r>
          <w:r>
            <w:rPr>
              <w:sz w:val="22"/>
              <w:szCs w:val="22"/>
            </w:rPr>
            <w:instrText xml:space="preserve"> PAGEREF _Toc6188 \h </w:instrText>
          </w:r>
          <w:r>
            <w:rPr>
              <w:sz w:val="22"/>
              <w:szCs w:val="22"/>
            </w:rPr>
            <w:fldChar w:fldCharType="separate"/>
          </w:r>
          <w:r>
            <w:rPr>
              <w:sz w:val="22"/>
              <w:szCs w:val="22"/>
            </w:rPr>
            <w:t>38</w:t>
          </w:r>
          <w:r>
            <w:rPr>
              <w:sz w:val="22"/>
              <w:szCs w:val="22"/>
            </w:rPr>
            <w:fldChar w:fldCharType="end"/>
          </w:r>
          <w:r>
            <w:rPr>
              <w:sz w:val="22"/>
              <w:szCs w:val="22"/>
            </w:rPr>
            <w:fldChar w:fldCharType="end"/>
          </w:r>
        </w:p>
        <w:p>
          <w:pPr>
            <w:pStyle w:val="24"/>
            <w:tabs>
              <w:tab w:val="right" w:leader="dot" w:pos="9637"/>
            </w:tabs>
            <w:spacing w:line="480" w:lineRule="auto"/>
            <w:rPr>
              <w:sz w:val="22"/>
              <w:szCs w:val="22"/>
            </w:rPr>
          </w:pPr>
          <w:r>
            <w:fldChar w:fldCharType="begin"/>
          </w:r>
          <w:r>
            <w:instrText xml:space="preserve"> HYPERLINK \l "_Toc19107" </w:instrText>
          </w:r>
          <w:r>
            <w:fldChar w:fldCharType="separate"/>
          </w:r>
          <w:r>
            <w:rPr>
              <w:rFonts w:cs="宋体"/>
              <w:bCs/>
              <w:sz w:val="22"/>
              <w:szCs w:val="48"/>
            </w:rPr>
            <w:t>第六章 投标文件格式</w:t>
          </w:r>
          <w:r>
            <w:rPr>
              <w:sz w:val="22"/>
              <w:szCs w:val="22"/>
            </w:rPr>
            <w:tab/>
          </w:r>
          <w:r>
            <w:rPr>
              <w:sz w:val="22"/>
              <w:szCs w:val="22"/>
            </w:rPr>
            <w:fldChar w:fldCharType="begin"/>
          </w:r>
          <w:r>
            <w:rPr>
              <w:sz w:val="22"/>
              <w:szCs w:val="22"/>
            </w:rPr>
            <w:instrText xml:space="preserve"> PAGEREF _Toc19107 \h </w:instrText>
          </w:r>
          <w:r>
            <w:rPr>
              <w:sz w:val="22"/>
              <w:szCs w:val="22"/>
            </w:rPr>
            <w:fldChar w:fldCharType="separate"/>
          </w:r>
          <w:r>
            <w:rPr>
              <w:sz w:val="22"/>
              <w:szCs w:val="22"/>
            </w:rPr>
            <w:t>40</w:t>
          </w:r>
          <w:r>
            <w:rPr>
              <w:sz w:val="22"/>
              <w:szCs w:val="22"/>
            </w:rPr>
            <w:fldChar w:fldCharType="end"/>
          </w:r>
          <w:r>
            <w:rPr>
              <w:sz w:val="22"/>
              <w:szCs w:val="22"/>
            </w:rPr>
            <w:fldChar w:fldCharType="end"/>
          </w:r>
        </w:p>
        <w:p>
          <w:pPr>
            <w:pStyle w:val="24"/>
            <w:tabs>
              <w:tab w:val="right" w:leader="dot" w:pos="9637"/>
            </w:tabs>
            <w:spacing w:line="480" w:lineRule="auto"/>
          </w:pPr>
          <w:r>
            <w:fldChar w:fldCharType="begin"/>
          </w:r>
          <w:r>
            <w:instrText xml:space="preserve"> HYPERLINK \l "_Toc19574" </w:instrText>
          </w:r>
          <w:r>
            <w:fldChar w:fldCharType="separate"/>
          </w:r>
          <w:r>
            <w:rPr>
              <w:rFonts w:cs="宋体"/>
              <w:bCs/>
              <w:sz w:val="22"/>
              <w:szCs w:val="44"/>
            </w:rPr>
            <w:t>第七章技术标准及要求</w:t>
          </w:r>
          <w:r>
            <w:rPr>
              <w:sz w:val="22"/>
              <w:szCs w:val="22"/>
            </w:rPr>
            <w:tab/>
          </w:r>
          <w:r>
            <w:rPr>
              <w:sz w:val="22"/>
              <w:szCs w:val="22"/>
            </w:rPr>
            <w:fldChar w:fldCharType="begin"/>
          </w:r>
          <w:r>
            <w:rPr>
              <w:sz w:val="22"/>
              <w:szCs w:val="22"/>
            </w:rPr>
            <w:instrText xml:space="preserve"> PAGEREF _Toc19574 \h </w:instrText>
          </w:r>
          <w:r>
            <w:rPr>
              <w:sz w:val="22"/>
              <w:szCs w:val="22"/>
            </w:rPr>
            <w:fldChar w:fldCharType="separate"/>
          </w:r>
          <w:r>
            <w:rPr>
              <w:sz w:val="22"/>
              <w:szCs w:val="22"/>
            </w:rPr>
            <w:t>61</w:t>
          </w:r>
          <w:r>
            <w:rPr>
              <w:sz w:val="22"/>
              <w:szCs w:val="22"/>
            </w:rPr>
            <w:fldChar w:fldCharType="end"/>
          </w:r>
          <w:r>
            <w:rPr>
              <w:sz w:val="22"/>
              <w:szCs w:val="22"/>
            </w:rPr>
            <w:fldChar w:fldCharType="end"/>
          </w:r>
        </w:p>
        <w:p>
          <w:r>
            <w:fldChar w:fldCharType="end"/>
          </w:r>
        </w:p>
      </w:sdtContent>
    </w:sdt>
    <w:p>
      <w:pPr>
        <w:pStyle w:val="3"/>
        <w:kinsoku/>
        <w:spacing w:line="360" w:lineRule="auto"/>
        <w:jc w:val="center"/>
        <w:rPr>
          <w:rFonts w:ascii="宋体" w:hAnsi="宋体"/>
          <w:color w:val="auto"/>
          <w:sz w:val="24"/>
          <w:szCs w:val="24"/>
          <w:lang w:eastAsia="zh-CN"/>
        </w:rPr>
      </w:pPr>
      <w:bookmarkStart w:id="6" w:name="_Toc6284"/>
    </w:p>
    <w:p>
      <w:pPr>
        <w:rPr>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rPr>
          <w:rFonts w:ascii="宋体" w:hAnsi="宋体"/>
          <w:color w:val="auto"/>
          <w:sz w:val="24"/>
          <w:szCs w:val="24"/>
          <w:lang w:eastAsia="zh-CN"/>
        </w:rPr>
      </w:pPr>
    </w:p>
    <w:p>
      <w:pPr>
        <w:pStyle w:val="2"/>
        <w:rPr>
          <w:rFonts w:ascii="宋体" w:hAnsi="宋体"/>
          <w:color w:val="auto"/>
          <w:sz w:val="24"/>
          <w:szCs w:val="24"/>
          <w:lang w:eastAsia="zh-CN"/>
        </w:rPr>
      </w:pPr>
    </w:p>
    <w:p>
      <w:pPr>
        <w:pStyle w:val="2"/>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rPr>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pPr>
    </w:p>
    <w:p>
      <w:pPr>
        <w:rPr>
          <w:rFonts w:ascii="宋体" w:hAnsi="宋体"/>
          <w:color w:val="auto"/>
          <w:sz w:val="24"/>
          <w:szCs w:val="24"/>
          <w:lang w:eastAsia="zh-CN"/>
        </w:rPr>
      </w:pPr>
    </w:p>
    <w:p>
      <w:pPr>
        <w:pStyle w:val="2"/>
        <w:rPr>
          <w:rFonts w:ascii="宋体" w:hAnsi="宋体"/>
          <w:color w:val="auto"/>
          <w:sz w:val="24"/>
          <w:szCs w:val="24"/>
          <w:lang w:eastAsia="zh-CN"/>
        </w:rPr>
      </w:pPr>
    </w:p>
    <w:p>
      <w:pPr>
        <w:pStyle w:val="2"/>
        <w:rPr>
          <w:rFonts w:ascii="宋体" w:hAnsi="宋体"/>
          <w:color w:val="auto"/>
          <w:sz w:val="24"/>
          <w:szCs w:val="24"/>
          <w:lang w:eastAsia="zh-CN"/>
        </w:rPr>
      </w:pPr>
    </w:p>
    <w:p>
      <w:pPr>
        <w:pStyle w:val="2"/>
        <w:rPr>
          <w:rFonts w:ascii="宋体" w:hAnsi="宋体"/>
          <w:color w:val="auto"/>
          <w:sz w:val="24"/>
          <w:szCs w:val="24"/>
          <w:lang w:eastAsia="zh-CN"/>
        </w:rPr>
      </w:pPr>
    </w:p>
    <w:p>
      <w:pPr>
        <w:pStyle w:val="2"/>
        <w:rPr>
          <w:rFonts w:ascii="宋体" w:hAnsi="宋体"/>
          <w:color w:val="auto"/>
          <w:sz w:val="24"/>
          <w:szCs w:val="24"/>
          <w:lang w:eastAsia="zh-CN"/>
        </w:rPr>
      </w:pPr>
    </w:p>
    <w:p>
      <w:pPr>
        <w:pStyle w:val="3"/>
        <w:kinsoku/>
        <w:spacing w:line="360" w:lineRule="auto"/>
        <w:jc w:val="center"/>
        <w:rPr>
          <w:rFonts w:ascii="宋体" w:hAnsi="宋体"/>
          <w:color w:val="auto"/>
          <w:sz w:val="24"/>
          <w:szCs w:val="24"/>
          <w:lang w:eastAsia="zh-CN"/>
        </w:rPr>
        <w:sectPr>
          <w:footerReference r:id="rId9" w:type="default"/>
          <w:pgSz w:w="11905" w:h="16838"/>
          <w:pgMar w:top="1134" w:right="1134" w:bottom="1134" w:left="1134" w:header="0" w:footer="1043" w:gutter="0"/>
          <w:pgNumType w:start="1"/>
          <w:cols w:space="0" w:num="1"/>
        </w:sectPr>
      </w:pPr>
    </w:p>
    <w:p>
      <w:pPr>
        <w:pStyle w:val="3"/>
        <w:kinsoku/>
        <w:spacing w:line="360" w:lineRule="auto"/>
        <w:jc w:val="center"/>
        <w:rPr>
          <w:rFonts w:ascii="宋体" w:hAnsi="宋体" w:cs="宋体"/>
          <w:color w:val="auto"/>
          <w:sz w:val="24"/>
          <w:szCs w:val="24"/>
          <w:lang w:val="zh-CN" w:eastAsia="zh-CN"/>
        </w:rPr>
      </w:pPr>
      <w:r>
        <w:rPr>
          <w:rFonts w:hint="eastAsia" w:ascii="宋体" w:hAnsi="宋体"/>
          <w:color w:val="auto"/>
          <w:sz w:val="24"/>
          <w:szCs w:val="24"/>
          <w:lang w:eastAsia="zh-CN"/>
        </w:rPr>
        <w:t>第一章</w:t>
      </w:r>
      <w:bookmarkStart w:id="7" w:name="_Toc19773"/>
      <w:r>
        <w:rPr>
          <w:rFonts w:hint="eastAsia" w:ascii="宋体" w:hAnsi="宋体" w:cs="宋体"/>
          <w:color w:val="auto"/>
          <w:sz w:val="24"/>
          <w:szCs w:val="24"/>
          <w:lang w:val="zh-CN" w:eastAsia="zh-CN"/>
        </w:rPr>
        <w:t>招标公告</w:t>
      </w:r>
      <w:bookmarkEnd w:id="6"/>
      <w:bookmarkEnd w:id="7"/>
    </w:p>
    <w:p>
      <w:pPr>
        <w:kinsoku/>
        <w:spacing w:line="360" w:lineRule="auto"/>
        <w:jc w:val="cente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人力资源外包项目</w:t>
      </w:r>
    </w:p>
    <w:p>
      <w:pPr>
        <w:kinsoku/>
        <w:spacing w:line="360" w:lineRule="auto"/>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项目编号：JM-2024-05-00503</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项目概况：</w:t>
      </w:r>
    </w:p>
    <w:p>
      <w:pPr>
        <w:widowControl w:val="0"/>
        <w:kinsoku/>
        <w:autoSpaceDE/>
        <w:autoSpaceDN/>
        <w:adjustRightInd/>
        <w:snapToGrid/>
        <w:spacing w:line="410" w:lineRule="exact"/>
        <w:textAlignment w:val="auto"/>
        <w:rPr>
          <w:rFonts w:ascii="宋体" w:hAnsi="宋体" w:eastAsia="宋体" w:cs="宋体"/>
          <w:sz w:val="24"/>
          <w:szCs w:val="24"/>
        </w:rPr>
      </w:pPr>
      <w:r>
        <w:rPr>
          <w:rFonts w:hint="eastAsia" w:ascii="宋体" w:hAnsi="宋体" w:eastAsia="宋体" w:cs="宋体"/>
          <w:sz w:val="24"/>
          <w:szCs w:val="24"/>
          <w:u w:val="single"/>
          <w:lang w:eastAsia="zh-CN"/>
        </w:rPr>
        <w:t>人力资源外包项目</w:t>
      </w:r>
      <w:r>
        <w:rPr>
          <w:rFonts w:hint="eastAsia" w:ascii="宋体" w:hAnsi="宋体" w:eastAsia="宋体" w:cs="宋体"/>
          <w:sz w:val="24"/>
          <w:szCs w:val="24"/>
        </w:rPr>
        <w:t>的</w:t>
      </w:r>
      <w:bookmarkStart w:id="8" w:name="_Toc28359002"/>
      <w:bookmarkStart w:id="9" w:name="_Toc35393621"/>
      <w:bookmarkStart w:id="10" w:name="_Toc28359079"/>
      <w:bookmarkStart w:id="11" w:name="_Toc35393790"/>
      <w:bookmarkStart w:id="12" w:name="_Hlk24379207"/>
      <w:r>
        <w:rPr>
          <w:rFonts w:hint="eastAsia" w:ascii="宋体" w:hAnsi="宋体" w:eastAsia="宋体" w:cs="宋体"/>
          <w:sz w:val="24"/>
          <w:szCs w:val="24"/>
        </w:rPr>
        <w:t>潜在供应商应</w:t>
      </w:r>
      <w:r>
        <w:rPr>
          <w:rFonts w:hint="eastAsia" w:ascii="宋体" w:hAnsi="宋体" w:eastAsia="宋体" w:cs="宋体"/>
          <w:sz w:val="24"/>
          <w:szCs w:val="24"/>
          <w:u w:val="single"/>
        </w:rPr>
        <w:t>在“政采云”平台（http：//www.zcygov.cn）</w:t>
      </w:r>
      <w:r>
        <w:rPr>
          <w:rFonts w:hint="eastAsia" w:ascii="宋体" w:hAnsi="宋体" w:eastAsia="宋体" w:cs="宋体"/>
          <w:sz w:val="24"/>
          <w:szCs w:val="24"/>
        </w:rPr>
        <w:t>获取采购文件，并于</w:t>
      </w:r>
      <w:bookmarkStart w:id="13" w:name="blank15"/>
      <w:r>
        <w:rPr>
          <w:rFonts w:hint="eastAsia" w:ascii="宋体" w:hAnsi="宋体" w:eastAsia="宋体" w:cs="宋体"/>
          <w:sz w:val="24"/>
          <w:szCs w:val="24"/>
          <w:u w:val="single"/>
        </w:rPr>
        <w:t>202</w:t>
      </w:r>
      <w:r>
        <w:rPr>
          <w:rFonts w:hint="eastAsia" w:ascii="宋体" w:hAnsi="宋体" w:eastAsia="宋体" w:cs="宋体"/>
          <w:sz w:val="24"/>
          <w:szCs w:val="24"/>
          <w:u w:val="single"/>
          <w:lang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eastAsia="zh-CN"/>
        </w:rPr>
        <w:t>07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04</w:t>
      </w:r>
      <w:r>
        <w:rPr>
          <w:rFonts w:hint="eastAsia" w:ascii="宋体" w:hAnsi="宋体" w:eastAsia="宋体" w:cs="宋体"/>
          <w:sz w:val="24"/>
          <w:szCs w:val="24"/>
          <w:u w:val="single"/>
        </w:rPr>
        <w:t>日</w:t>
      </w:r>
      <w:r>
        <w:rPr>
          <w:rFonts w:hint="eastAsia" w:ascii="宋体" w:hAnsi="宋体" w:eastAsia="宋体" w:cs="宋体"/>
          <w:sz w:val="24"/>
          <w:szCs w:val="24"/>
          <w:u w:val="single"/>
          <w:lang w:eastAsia="zh-CN"/>
        </w:rPr>
        <w:t>09</w:t>
      </w:r>
      <w:r>
        <w:rPr>
          <w:rFonts w:hint="eastAsia" w:ascii="宋体" w:hAnsi="宋体" w:eastAsia="宋体" w:cs="宋体"/>
          <w:sz w:val="24"/>
          <w:szCs w:val="24"/>
          <w:u w:val="single"/>
        </w:rPr>
        <w:t>时</w:t>
      </w:r>
      <w:r>
        <w:rPr>
          <w:rFonts w:hint="eastAsia" w:ascii="宋体" w:hAnsi="宋体" w:eastAsia="宋体" w:cs="宋体"/>
          <w:sz w:val="24"/>
          <w:szCs w:val="24"/>
          <w:u w:val="single"/>
          <w:lang w:eastAsia="zh-CN"/>
        </w:rPr>
        <w:t>30</w:t>
      </w:r>
      <w:r>
        <w:rPr>
          <w:rFonts w:hint="eastAsia" w:ascii="宋体" w:hAnsi="宋体" w:eastAsia="宋体" w:cs="宋体"/>
          <w:sz w:val="24"/>
          <w:szCs w:val="24"/>
          <w:u w:val="single"/>
        </w:rPr>
        <w:t>分</w:t>
      </w:r>
      <w:bookmarkEnd w:id="13"/>
      <w:r>
        <w:rPr>
          <w:rFonts w:hint="eastAsia" w:ascii="宋体" w:hAnsi="宋体" w:eastAsia="宋体" w:cs="宋体"/>
          <w:sz w:val="24"/>
          <w:szCs w:val="24"/>
        </w:rPr>
        <w:t>（北京时间）前提交投标文件。</w:t>
      </w:r>
    </w:p>
    <w:p>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一、项目基本情况</w:t>
      </w:r>
      <w:bookmarkEnd w:id="8"/>
      <w:bookmarkEnd w:id="9"/>
      <w:bookmarkEnd w:id="10"/>
      <w:bookmarkEnd w:id="11"/>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1.项目编号：JM-2024-05-00503；</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2.项目名称：人力资源外包项目；</w:t>
      </w:r>
    </w:p>
    <w:bookmarkEnd w:id="12"/>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3.预算金额：250万元；</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4.最高限价：250万元；</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5.采购需求：</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宋体"/>
          <w:sz w:val="24"/>
          <w:szCs w:val="24"/>
          <w:lang w:eastAsia="zh-CN"/>
        </w:rPr>
        <w:t>长春特种设备检测研究院（长春市特种设备安全监控中心）</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人力资源服务采购项目；</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6.合同履行期限：合同签订之日起1年；</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7.本项目（是/否）接受联合体投标：否。</w:t>
      </w:r>
    </w:p>
    <w:p>
      <w:pPr>
        <w:widowControl w:val="0"/>
        <w:kinsoku/>
        <w:autoSpaceDE/>
        <w:autoSpaceDN/>
        <w:adjustRightInd/>
        <w:snapToGrid/>
        <w:spacing w:line="410" w:lineRule="exact"/>
        <w:textAlignment w:val="auto"/>
        <w:rPr>
          <w:rFonts w:ascii="宋体" w:hAnsi="宋体" w:eastAsia="宋体" w:cs="宋体"/>
          <w:b/>
          <w:sz w:val="24"/>
          <w:szCs w:val="24"/>
          <w:lang w:eastAsia="zh-CN"/>
        </w:rPr>
      </w:pPr>
      <w:bookmarkStart w:id="14" w:name="_Toc28359003"/>
      <w:bookmarkStart w:id="15" w:name="_Toc35393622"/>
      <w:bookmarkStart w:id="16" w:name="_Toc28359080"/>
      <w:bookmarkStart w:id="17" w:name="_Toc35393791"/>
      <w:r>
        <w:rPr>
          <w:rFonts w:hint="eastAsia" w:ascii="宋体" w:hAnsi="宋体" w:eastAsia="宋体" w:cs="宋体"/>
          <w:b/>
          <w:sz w:val="24"/>
          <w:szCs w:val="24"/>
          <w:lang w:eastAsia="zh-CN"/>
        </w:rPr>
        <w:t>二、申请人的资格要求：</w:t>
      </w:r>
      <w:bookmarkEnd w:id="14"/>
      <w:bookmarkEnd w:id="15"/>
      <w:bookmarkEnd w:id="16"/>
      <w:bookmarkEnd w:id="17"/>
    </w:p>
    <w:p>
      <w:pPr>
        <w:widowControl w:val="0"/>
        <w:kinsoku/>
        <w:autoSpaceDE/>
        <w:autoSpaceDN/>
        <w:adjustRightInd/>
        <w:snapToGrid/>
        <w:spacing w:line="410" w:lineRule="exact"/>
        <w:textAlignment w:val="auto"/>
        <w:rPr>
          <w:rFonts w:ascii="宋体" w:hAnsi="宋体" w:eastAsia="宋体" w:cs="宋体"/>
          <w:sz w:val="24"/>
          <w:szCs w:val="24"/>
          <w:lang w:eastAsia="zh-CN"/>
        </w:rPr>
      </w:pPr>
      <w:bookmarkStart w:id="18" w:name="_Toc28359081"/>
      <w:bookmarkStart w:id="19" w:name="_Toc35393792"/>
      <w:bookmarkStart w:id="20" w:name="_Toc35393623"/>
      <w:bookmarkStart w:id="21" w:name="_Toc28359004"/>
      <w:r>
        <w:rPr>
          <w:rFonts w:hint="eastAsia" w:ascii="宋体" w:hAnsi="宋体" w:eastAsia="宋体" w:cs="宋体"/>
          <w:sz w:val="24"/>
          <w:szCs w:val="24"/>
          <w:lang w:eastAsia="zh-CN"/>
        </w:rPr>
        <w:t>2.1满足《中华人民共和国政府采购法》第二十二条规定；</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2.2落实政府采购政策需满足的资格要求：本项目专门面向中小企业采购。</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（1）《政府采购促进中小企业发展管理办法》(财库[2020]46号)；</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（2）《关于政府采购支持监狱企业发展有关问题的通知》(财库[2014]68号)；</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（3）《三部门联合发布关于促进残疾人就业政府采购政策的通知》(财库[2017]141号)；</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（4）《环境标志产品政府采购实施意见》（财库[2006]90号）；</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（5）《关于调整优化节能产品、环境标志产品政府采购执行机制的通知》(财库[2019]9号)；</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（6）《关于进一步加大政府采购支持中小企业力度的通知》财库〔2022〕19号文件等国家最新政策。</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2.3本项目的特定资格要求：</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2.3.1投标人依法登记注册，具备有效的营业执照，并在人员、设备、资金等方面具有承担本服务项目的能力</w:t>
      </w:r>
      <w:r>
        <w:rPr>
          <w:rFonts w:hint="eastAsia" w:ascii="宋体" w:hAnsi="宋体" w:eastAsia="宋体" w:cs="宋体"/>
          <w:bCs/>
          <w:sz w:val="24"/>
          <w:szCs w:val="24"/>
          <w:lang w:eastAsia="zh-CN"/>
        </w:rPr>
        <w:t>。</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widowControl w:val="0"/>
        <w:kinsoku/>
        <w:autoSpaceDE/>
        <w:autoSpaceDN/>
        <w:adjustRightInd/>
        <w:snapToGrid/>
        <w:spacing w:line="410" w:lineRule="exact"/>
        <w:textAlignment w:val="auto"/>
        <w:rPr>
          <w:rFonts w:ascii="宋体" w:hAnsi="宋体" w:eastAsia="宋体" w:cs="宋体"/>
          <w:sz w:val="24"/>
          <w:szCs w:val="24"/>
          <w:lang w:eastAsia="zh-CN"/>
        </w:rPr>
        <w:sectPr>
          <w:footerReference r:id="rId10" w:type="default"/>
          <w:pgSz w:w="11905" w:h="16838"/>
          <w:pgMar w:top="1134" w:right="1134" w:bottom="1134" w:left="1134" w:header="0" w:footer="1043" w:gutter="0"/>
          <w:pgNumType w:start="1"/>
          <w:cols w:space="0" w:num="1"/>
        </w:sectPr>
      </w:pPr>
      <w:r>
        <w:rPr>
          <w:rFonts w:hint="eastAsia" w:ascii="宋体" w:hAnsi="宋体" w:eastAsia="宋体" w:cs="宋体"/>
          <w:sz w:val="24"/>
          <w:szCs w:val="24"/>
          <w:lang w:eastAsia="zh-CN"/>
        </w:rPr>
        <w:t>2.3.3与采购人或采购代理机构存在利害关系可能影响招标公正性的法人、其他组织或者个</w:t>
      </w:r>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人不得参加投标。单位负责人为同一人或者存在控股、管理关系的不同单位，不得参加同一标段或者未划分标段的同一项目投标。违反上述规定的，相关投标均无效。</w:t>
      </w:r>
    </w:p>
    <w:p>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三、获取招标文件</w:t>
      </w:r>
      <w:bookmarkEnd w:id="18"/>
      <w:bookmarkEnd w:id="19"/>
      <w:bookmarkEnd w:id="20"/>
      <w:bookmarkEnd w:id="21"/>
    </w:p>
    <w:p>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时间：2024年06月1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日至2024年06月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日，供应商登录政采云平台https://www.zcygov.cn/在线申请获取采购文件（进入“项目采购”应用，在获取采购文件菜单中选择项目，申请获取采购文件），其他途径获取的招标文件开标时一律按无效投标处理）。</w:t>
      </w:r>
    </w:p>
    <w:p>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22" w:name="_Toc28359005"/>
      <w:bookmarkStart w:id="23" w:name="_Toc28359082"/>
      <w:bookmarkStart w:id="24" w:name="_Toc35393793"/>
      <w:bookmarkStart w:id="25" w:name="_Toc35393624"/>
      <w:r>
        <w:rPr>
          <w:rFonts w:hint="eastAsia" w:ascii="宋体" w:hAnsi="宋体" w:eastAsia="宋体" w:cs="宋体"/>
          <w:b/>
          <w:sz w:val="24"/>
          <w:szCs w:val="24"/>
          <w:lang w:eastAsia="zh-CN"/>
        </w:rPr>
        <w:t>四、提交投标文件</w:t>
      </w:r>
      <w:bookmarkEnd w:id="22"/>
      <w:bookmarkEnd w:id="23"/>
      <w:r>
        <w:rPr>
          <w:rFonts w:hint="eastAsia" w:ascii="宋体" w:hAnsi="宋体" w:eastAsia="宋体" w:cs="宋体"/>
          <w:b/>
          <w:sz w:val="24"/>
          <w:szCs w:val="24"/>
          <w:lang w:eastAsia="zh-CN"/>
        </w:rPr>
        <w:t>截止时间、开标时间和地点</w:t>
      </w:r>
      <w:bookmarkEnd w:id="24"/>
      <w:bookmarkEnd w:id="25"/>
    </w:p>
    <w:p>
      <w:pPr>
        <w:widowControl w:val="0"/>
        <w:kinsoku/>
        <w:autoSpaceDE/>
        <w:autoSpaceDN/>
        <w:adjustRightInd/>
        <w:snapToGrid/>
        <w:spacing w:line="420" w:lineRule="exact"/>
        <w:textAlignment w:val="auto"/>
        <w:rPr>
          <w:rFonts w:ascii="宋体" w:hAnsi="宋体" w:eastAsia="宋体" w:cs="宋体"/>
          <w:sz w:val="24"/>
          <w:szCs w:val="24"/>
          <w:lang w:eastAsia="zh-CN"/>
        </w:rPr>
      </w:pPr>
      <w:bookmarkStart w:id="26" w:name="_Toc28359084"/>
      <w:bookmarkStart w:id="27" w:name="_Toc35393794"/>
      <w:bookmarkStart w:id="28" w:name="_Toc35393625"/>
      <w:bookmarkStart w:id="29" w:name="_Toc28359007"/>
      <w:r>
        <w:rPr>
          <w:rFonts w:hint="eastAsia" w:ascii="宋体" w:hAnsi="宋体" w:eastAsia="宋体" w:cs="宋体"/>
          <w:sz w:val="24"/>
          <w:szCs w:val="24"/>
          <w:lang w:eastAsia="zh-CN"/>
        </w:rPr>
        <w:t>时间：2024年07月</w:t>
      </w:r>
      <w:r>
        <w:rPr>
          <w:rFonts w:hint="eastAsia" w:ascii="宋体" w:hAnsi="宋体" w:eastAsia="宋体" w:cs="宋体"/>
          <w:sz w:val="24"/>
          <w:szCs w:val="24"/>
          <w:lang w:val="en-US" w:eastAsia="zh-CN"/>
        </w:rPr>
        <w:t>04</w:t>
      </w:r>
      <w:r>
        <w:rPr>
          <w:rFonts w:hint="eastAsia" w:ascii="宋体" w:hAnsi="宋体" w:eastAsia="宋体" w:cs="宋体"/>
          <w:sz w:val="24"/>
          <w:szCs w:val="24"/>
          <w:lang w:eastAsia="zh-CN"/>
        </w:rPr>
        <w:t>日09时30分（北京时间）；</w:t>
      </w:r>
    </w:p>
    <w:p>
      <w:pPr>
        <w:widowControl w:val="0"/>
        <w:kinsoku/>
        <w:autoSpaceDE/>
        <w:autoSpaceDN/>
        <w:adjustRightInd/>
        <w:snapToGrid/>
        <w:spacing w:line="42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地点：</w:t>
      </w:r>
      <w:r>
        <w:rPr>
          <w:rFonts w:hint="eastAsia" w:ascii="宋体" w:hAnsi="宋体" w:eastAsia="宋体" w:cs="宋体"/>
          <w:sz w:val="24"/>
          <w:szCs w:val="24"/>
          <w:highlight w:val="none"/>
          <w:lang w:eastAsia="zh-CN"/>
        </w:rPr>
        <w:t>长春市二道区洋浦大街6999号凯利中心AB栋101第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开标室。</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本项目全流程电子化招投标,须通过政府采购云平台（网址：http://www.zcygov.cn）递交电子版投标文件，并按照现场工作人员通知使用CA锁进行投标文件解密。</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投标操作流程：供应商在政府采购云平台网注册入库成为正式供应商后，在平台上按《政府采购项目电子交易管理操作指南-供应商》进行操作。</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数字证书办理及投标技术咨询：投标人须办理数字证书方可参加投标。</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办理联系电话：95763</w:t>
      </w:r>
    </w:p>
    <w:p>
      <w:pPr>
        <w:widowControl w:val="0"/>
        <w:kinsoku/>
        <w:autoSpaceDE/>
        <w:autoSpaceDN/>
        <w:adjustRightInd/>
        <w:snapToGrid/>
        <w:spacing w:line="42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五、公告期限</w:t>
      </w:r>
      <w:bookmarkEnd w:id="26"/>
      <w:bookmarkEnd w:id="27"/>
      <w:bookmarkEnd w:id="28"/>
      <w:bookmarkEnd w:id="29"/>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30" w:name="_Toc35393626"/>
      <w:bookmarkStart w:id="31" w:name="_Toc35393795"/>
      <w:r>
        <w:rPr>
          <w:rFonts w:hint="eastAsia" w:ascii="宋体" w:hAnsi="宋体" w:eastAsia="宋体" w:cs="宋体"/>
          <w:b/>
          <w:sz w:val="24"/>
          <w:szCs w:val="24"/>
          <w:lang w:eastAsia="zh-CN"/>
        </w:rPr>
        <w:t>六、其他补充事宜</w:t>
      </w:r>
      <w:bookmarkEnd w:id="30"/>
      <w:bookmarkEnd w:id="31"/>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1.逾期送达的或者未送达指定地点的投标文件，采购人不予受理。</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2.本项目有效投标人不足法定人数时，采购人另行组织招标。</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3.发布公告的媒介：本次招标公告同时在《中国政府采购网》、《长春市公共资源交易网》上发布。</w:t>
      </w:r>
    </w:p>
    <w:p>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购项目需要落实的政府采购政策:《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32" w:name="_Toc35393627"/>
      <w:bookmarkStart w:id="33" w:name="_Toc28359008"/>
      <w:bookmarkStart w:id="34" w:name="_Toc28359085"/>
      <w:bookmarkStart w:id="35" w:name="_Toc35393796"/>
      <w:r>
        <w:rPr>
          <w:rFonts w:hint="eastAsia" w:ascii="宋体" w:hAnsi="宋体" w:eastAsia="宋体" w:cs="宋体"/>
          <w:b/>
          <w:sz w:val="24"/>
          <w:szCs w:val="24"/>
          <w:lang w:eastAsia="zh-CN"/>
        </w:rPr>
        <w:t>七、对本次招标提出询问，请按以下方式联系。</w:t>
      </w:r>
      <w:bookmarkEnd w:id="32"/>
      <w:bookmarkEnd w:id="33"/>
      <w:bookmarkEnd w:id="34"/>
      <w:bookmarkEnd w:id="35"/>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7.1采购人信息</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采购人：</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Times New Roman"/>
          <w:sz w:val="24"/>
          <w:szCs w:val="24"/>
          <w:lang w:eastAsia="zh-CN"/>
        </w:rPr>
        <w:t>长春特种设备检测研究院（长春市特种设备安全监控中心）</w:t>
      </w:r>
      <w:r>
        <w:rPr>
          <w:rFonts w:hint="eastAsia" w:ascii="宋体" w:hAnsi="宋体" w:eastAsia="宋体" w:cs="Times New Roman"/>
          <w:sz w:val="24"/>
          <w:szCs w:val="24"/>
          <w:lang w:eastAsia="zh-CN"/>
        </w:rPr>
        <w:fldChar w:fldCharType="end"/>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地址：吉林省长春市经开区浦东路333号</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 系 人：李卓岩</w:t>
      </w:r>
    </w:p>
    <w:p>
      <w:pPr>
        <w:spacing w:line="420" w:lineRule="exact"/>
        <w:rPr>
          <w:rFonts w:ascii="宋体" w:hAnsi="宋体" w:eastAsia="宋体" w:cs="Times New Roman"/>
          <w:sz w:val="24"/>
          <w:szCs w:val="24"/>
          <w:lang w:eastAsia="zh-CN"/>
        </w:rPr>
        <w:sectPr>
          <w:footerReference r:id="rId11" w:type="default"/>
          <w:pgSz w:w="11905" w:h="16838"/>
          <w:pgMar w:top="1134" w:right="1134" w:bottom="1134" w:left="1134" w:header="0" w:footer="1043" w:gutter="0"/>
          <w:cols w:space="0" w:num="1"/>
        </w:sectPr>
      </w:pP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联系电话：0431-87605772</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7.2采购代理机构信息</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招标代理机构：吉林瑞成工程招标造价咨询有限公司</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地址：长春市前进大街2000号阳光大厦707室</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联系方式：聂世娇</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联系电话：0431-85112321</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7.3项目联系方式</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项目联系人：聂世娇</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电话：0431-85112321</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7.4监督联系方式</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监督管理部门：长春市财政局政府采购管理工作办公室</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联系方式：0431-89865657</w:t>
      </w:r>
    </w:p>
    <w:p>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7.5</w:t>
      </w:r>
      <w:r>
        <w:rPr>
          <w:rFonts w:ascii="宋体" w:hAnsi="宋体" w:eastAsia="宋体" w:cs="Times New Roman"/>
          <w:sz w:val="24"/>
          <w:szCs w:val="24"/>
          <w:lang w:eastAsia="zh-CN"/>
        </w:rPr>
        <w:t>本项目按照吉林省财政厅《关于依托政府采购数字金融服务平台开展融资业务有关事项的通知》</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吉财采购</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2023] 721号</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支持申请“政采合同贷”政策。</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“政采数金平台”联系电话：张经理0431-81888978</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柯经理0431-81888998</w:t>
      </w:r>
    </w:p>
    <w:p>
      <w:pPr>
        <w:spacing w:line="420" w:lineRule="exact"/>
        <w:rPr>
          <w:rFonts w:ascii="宋体" w:hAnsi="宋体" w:eastAsia="宋体" w:cs="Times New Roman"/>
          <w:b/>
          <w:sz w:val="24"/>
          <w:szCs w:val="24"/>
          <w:lang w:eastAsia="zh-CN"/>
        </w:rPr>
      </w:pPr>
      <w:r>
        <w:rPr>
          <w:rFonts w:ascii="宋体" w:hAnsi="宋体" w:eastAsia="宋体" w:cs="Times New Roman"/>
          <w:b/>
          <w:sz w:val="24"/>
          <w:szCs w:val="24"/>
          <w:lang w:eastAsia="zh-CN"/>
        </w:rPr>
        <w:t>八、扫黑除恶专项斗争线索举报方式：</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吉林省建设工程招标投标领域扫黑除恶专项斗争线索举报方式：</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电话：0431-82752638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jstzbc123@126.com</w:t>
      </w:r>
      <w:r>
        <w:rPr>
          <w:rFonts w:ascii="宋体" w:hAnsi="宋体" w:eastAsia="宋体" w:cs="Times New Roman"/>
          <w:sz w:val="24"/>
          <w:szCs w:val="24"/>
          <w:lang w:eastAsia="zh-CN"/>
        </w:rPr>
        <w:fldChar w:fldCharType="end"/>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地址：长春市贵阳街287号建设大厦428室招投标管理处 邮编：130051</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长春市建设工程招标投标领域扫黑除恶专项斗争线索举报方式：</w:t>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电话：0431-88779829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ccjw88779829@163.com</w:t>
      </w:r>
      <w:r>
        <w:rPr>
          <w:rFonts w:ascii="宋体" w:hAnsi="宋体" w:eastAsia="宋体" w:cs="Times New Roman"/>
          <w:sz w:val="24"/>
          <w:szCs w:val="24"/>
          <w:lang w:eastAsia="zh-CN"/>
        </w:rPr>
        <w:fldChar w:fldCharType="end"/>
      </w:r>
    </w:p>
    <w:p>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地址：长春市南关区华新街700号  邮编：130400</w:t>
      </w:r>
    </w:p>
    <w:p>
      <w:pPr>
        <w:spacing w:line="360" w:lineRule="auto"/>
        <w:ind w:firstLine="440" w:firstLineChars="200"/>
        <w:rPr>
          <w:rFonts w:ascii="Times New Roman" w:hAnsi="Times New Roman" w:eastAsia="宋体" w:cs="Times New Roman"/>
          <w:sz w:val="22"/>
          <w:lang w:eastAsia="zh-CN"/>
        </w:rPr>
      </w:pPr>
    </w:p>
    <w:p>
      <w:pPr>
        <w:spacing w:line="360" w:lineRule="auto"/>
        <w:jc w:val="center"/>
        <w:rPr>
          <w:rFonts w:ascii="Times New Roman" w:hAnsi="Times New Roman" w:eastAsia="宋体" w:cs="宋体"/>
          <w:b/>
          <w:bCs/>
          <w:sz w:val="32"/>
          <w:szCs w:val="32"/>
          <w:lang w:eastAsia="zh-CN"/>
        </w:rPr>
        <w:sectPr>
          <w:footerReference r:id="rId12" w:type="default"/>
          <w:pgSz w:w="11905" w:h="16838"/>
          <w:pgMar w:top="1134" w:right="1134" w:bottom="1134" w:left="1134" w:header="0" w:footer="1043" w:gutter="0"/>
          <w:cols w:space="0" w:num="1"/>
        </w:sectPr>
      </w:pPr>
    </w:p>
    <w:p>
      <w:pPr>
        <w:spacing w:line="360" w:lineRule="auto"/>
        <w:jc w:val="center"/>
        <w:outlineLvl w:val="0"/>
        <w:rPr>
          <w:rFonts w:ascii="Times New Roman" w:hAnsi="Times New Roman" w:eastAsia="宋体" w:cs="宋体"/>
          <w:sz w:val="32"/>
          <w:szCs w:val="32"/>
          <w:lang w:eastAsia="zh-CN"/>
        </w:rPr>
      </w:pPr>
      <w:bookmarkStart w:id="36" w:name="_Toc3720"/>
      <w:r>
        <w:rPr>
          <w:rFonts w:ascii="Times New Roman" w:hAnsi="Times New Roman" w:eastAsia="宋体" w:cs="宋体"/>
          <w:b/>
          <w:bCs/>
          <w:sz w:val="32"/>
          <w:szCs w:val="32"/>
          <w:lang w:eastAsia="zh-CN"/>
        </w:rPr>
        <w:t>第二章投标人须知</w:t>
      </w:r>
      <w:bookmarkEnd w:id="36"/>
    </w:p>
    <w:p>
      <w:pPr>
        <w:spacing w:line="360" w:lineRule="auto"/>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投标人须知前附表</w:t>
      </w:r>
    </w:p>
    <w:tbl>
      <w:tblPr>
        <w:tblStyle w:val="20"/>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7"/>
        <w:gridCol w:w="2070"/>
        <w:gridCol w:w="8"/>
        <w:gridCol w:w="7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条款号</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条款名称</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1.1.2</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采购人</w:t>
            </w:r>
          </w:p>
        </w:tc>
        <w:tc>
          <w:tcPr>
            <w:tcW w:w="7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采购人：</w:t>
            </w: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ascii="宋体" w:hAnsi="宋体" w:eastAsia="宋体" w:cs="宋体"/>
                <w:bCs/>
                <w:color w:val="auto"/>
                <w:kern w:val="44"/>
                <w:sz w:val="21"/>
                <w:szCs w:val="21"/>
                <w:lang w:eastAsia="zh-CN"/>
              </w:rPr>
              <w:t>长春特种设备检测研究院(长春市特种设备安全监控中心)</w:t>
            </w:r>
            <w:r>
              <w:rPr>
                <w:rFonts w:hint="eastAsia" w:ascii="宋体" w:hAnsi="宋体" w:eastAsia="宋体" w:cs="宋体"/>
                <w:bCs/>
                <w:color w:val="auto"/>
                <w:kern w:val="44"/>
                <w:sz w:val="21"/>
                <w:szCs w:val="21"/>
                <w:lang w:eastAsia="zh-CN"/>
              </w:rPr>
              <w:fldChar w:fldCharType="end"/>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地址：吉林省长春市经开区浦东路333号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联 系 人：李卓岩</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cs="宋体"/>
                <w:bCs/>
                <w:color w:val="auto"/>
                <w:kern w:val="44"/>
                <w:sz w:val="21"/>
                <w:szCs w:val="21"/>
                <w:lang w:eastAsia="zh-CN"/>
              </w:rPr>
              <w:t>联系电话：0431-87605772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1.1.3</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采购代理机构</w:t>
            </w:r>
          </w:p>
        </w:tc>
        <w:tc>
          <w:tcPr>
            <w:tcW w:w="7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招标代理机构：吉林瑞成工程招标造价咨询有限公司</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地址：长春市前进大街2000号阳光大厦707室</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联系方式：聂世娇</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cs="Times New Roman"/>
                <w:sz w:val="21"/>
                <w:szCs w:val="21"/>
                <w:lang w:eastAsia="zh-CN"/>
              </w:rPr>
              <w:t>联系电话：0431-85112321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Merge w:val="restart"/>
            <w:tcBorders>
              <w:bottom w:val="nil"/>
            </w:tcBorders>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1.1.4</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招标编号</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JM-2024-05-00503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Merge w:val="continue"/>
            <w:tcBorders>
              <w:top w:val="nil"/>
            </w:tcBorders>
            <w:vAlign w:val="center"/>
          </w:tcPr>
          <w:p>
            <w:pPr>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sz w:val="21"/>
                <w:szCs w:val="21"/>
              </w:rPr>
            </w:pP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项目</w:t>
            </w:r>
            <w:r>
              <w:rPr>
                <w:sz w:val="21"/>
                <w:szCs w:val="21"/>
              </w:rPr>
              <w:t>名称</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人力资源外包项目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1.1.5</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服务地点</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招标人指定地点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1.2.1</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资金来源</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1.2.2</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资金落实情况</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1.3.1</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招标范围</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采购需求</w:t>
            </w:r>
            <w:r>
              <w:rPr>
                <w:rFonts w:hint="eastAsia"/>
                <w:sz w:val="21"/>
                <w:szCs w:val="21"/>
                <w:lang w:eastAsia="zh-CN"/>
              </w:rPr>
              <w:t>）</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sz w:val="21"/>
                <w:szCs w:val="21"/>
                <w:lang w:eastAsia="zh-CN"/>
              </w:rPr>
              <w:t>长春特种设备检测研究院（长春市特种设备安全监控中心）</w:t>
            </w:r>
            <w:r>
              <w:rPr>
                <w:rFonts w:hint="eastAsia"/>
                <w:sz w:val="21"/>
                <w:szCs w:val="21"/>
                <w:lang w:eastAsia="zh-CN"/>
              </w:rPr>
              <w:fldChar w:fldCharType="end"/>
            </w:r>
            <w:r>
              <w:rPr>
                <w:rFonts w:hint="eastAsia"/>
                <w:sz w:val="21"/>
                <w:szCs w:val="21"/>
                <w:lang w:eastAsia="zh-CN"/>
              </w:rPr>
              <w:t>人力资源服务采购项目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1.3.2</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kern w:val="44"/>
                <w:sz w:val="21"/>
                <w:szCs w:val="21"/>
                <w:lang w:val="zh-CN" w:eastAsia="zh-CN"/>
              </w:rPr>
              <w:t>合同签订之日起1年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1.3.3</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服务标准</w:t>
            </w:r>
          </w:p>
        </w:tc>
        <w:tc>
          <w:tcPr>
            <w:tcW w:w="7168"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1.4.1</w:t>
            </w:r>
          </w:p>
        </w:tc>
        <w:tc>
          <w:tcPr>
            <w:tcW w:w="2078"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投标人资质条件、能力</w:t>
            </w:r>
          </w:p>
        </w:tc>
        <w:tc>
          <w:tcPr>
            <w:tcW w:w="7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2.2落实政府采购政策需满足的资格要求：本项目专门面向中小企业采购。</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（1）《政府采购促进中小企业发展管理办法》(财库[2020]46号)；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（2）《关于政府采购支持监狱企业发展有关问题的通知》(财库[2014]68号)；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（3）《三部门联合发布关于促进残疾人就业政府采购政策的通知》(财库[2017]141号)；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（4）《环境标志产品政府采购实施意见》（财库[2006]90号）；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（5）《关于调整优化节能产品、环境标志产品政府采购执行机制的通知》(财库[2019]9号)；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（6）《关于进一步加大政府采购支持中小企业力度的通知》财库〔2022〕19号文件等国家最新政策。</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2.3.1投标人依法登记注册，具备有效的营业执照，并在人员、设备、资金等方面具有承担本服务项目的能力。</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sz w:val="21"/>
                <w:szCs w:val="21"/>
              </w:rPr>
            </w:pPr>
            <w:r>
              <w:rPr>
                <w:rFonts w:hint="eastAsia" w:ascii="宋体" w:hAnsi="宋体" w:eastAsia="宋体" w:cs="宋体"/>
                <w:bCs/>
                <w:color w:val="auto"/>
                <w:kern w:val="44"/>
                <w:sz w:val="21"/>
                <w:szCs w:val="21"/>
                <w:lang w:val="zh-CN" w:eastAsia="zh-CN"/>
              </w:rPr>
              <w:t>2.3.3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1.9.1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踏勘现场</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投标预备会</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1.10.2</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投标人提出问题的 方式</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加盖公章的书面形式提问一式三份，递交到招标公司，并将word电子版发至 邮箱：</w:t>
            </w:r>
            <w:r>
              <w:rPr>
                <w:rFonts w:hint="eastAsia"/>
                <w:sz w:val="21"/>
                <w:szCs w:val="21"/>
                <w:lang w:eastAsia="zh-CN"/>
              </w:rPr>
              <w:t>314270895@qq.com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1.10.3</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采购人书面澄清的 时间</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投标截止日期前15日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偏离</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构成招标文件的其 他材料</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t>澄清文件</w:t>
            </w:r>
            <w:r>
              <w:rPr>
                <w:rFonts w:hint="eastAsia"/>
                <w:sz w:val="21"/>
                <w:szCs w:val="21"/>
                <w:lang w:eastAsia="zh-CN"/>
              </w:rPr>
              <w:t>（</w:t>
            </w:r>
            <w:r>
              <w:rPr>
                <w:sz w:val="21"/>
                <w:szCs w:val="21"/>
              </w:rPr>
              <w:t>如有</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2.2.2</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投标截止时间</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rPr>
              <w:t>202</w:t>
            </w:r>
            <w:r>
              <w:rPr>
                <w:rFonts w:hint="eastAsia"/>
                <w:sz w:val="21"/>
                <w:szCs w:val="21"/>
                <w:lang w:eastAsia="zh-CN"/>
              </w:rPr>
              <w:t>4</w:t>
            </w:r>
            <w:r>
              <w:rPr>
                <w:rFonts w:hint="eastAsia"/>
                <w:sz w:val="21"/>
                <w:szCs w:val="21"/>
              </w:rPr>
              <w:t>年</w:t>
            </w:r>
            <w:r>
              <w:rPr>
                <w:rFonts w:hint="eastAsia"/>
                <w:sz w:val="21"/>
                <w:szCs w:val="21"/>
                <w:lang w:val="en-US" w:eastAsia="zh-CN"/>
              </w:rPr>
              <w:t>07</w:t>
            </w:r>
            <w:r>
              <w:rPr>
                <w:rFonts w:hint="eastAsia"/>
                <w:sz w:val="21"/>
                <w:szCs w:val="21"/>
              </w:rPr>
              <w:t>月</w:t>
            </w:r>
            <w:r>
              <w:rPr>
                <w:rFonts w:hint="eastAsia"/>
                <w:sz w:val="21"/>
                <w:szCs w:val="21"/>
                <w:lang w:val="en-US" w:eastAsia="zh-CN"/>
              </w:rPr>
              <w:t>04</w:t>
            </w:r>
            <w:r>
              <w:rPr>
                <w:rFonts w:hint="eastAsia"/>
                <w:sz w:val="21"/>
                <w:szCs w:val="21"/>
              </w:rPr>
              <w:t>日</w:t>
            </w:r>
            <w:r>
              <w:rPr>
                <w:rFonts w:hint="eastAsia"/>
                <w:sz w:val="21"/>
                <w:szCs w:val="21"/>
                <w:lang w:val="en-US" w:eastAsia="zh-CN"/>
              </w:rPr>
              <w:t>09</w:t>
            </w:r>
            <w:r>
              <w:rPr>
                <w:rFonts w:hint="eastAsia"/>
                <w:sz w:val="21"/>
                <w:szCs w:val="21"/>
              </w:rPr>
              <w:t>时</w:t>
            </w:r>
            <w:r>
              <w:rPr>
                <w:rFonts w:hint="eastAsia"/>
                <w:sz w:val="21"/>
                <w:szCs w:val="21"/>
                <w:lang w:val="en-US" w:eastAsia="zh-CN"/>
              </w:rPr>
              <w:t>30</w:t>
            </w:r>
            <w:bookmarkStart w:id="137" w:name="_GoBack"/>
            <w:bookmarkEnd w:id="137"/>
            <w:r>
              <w:rPr>
                <w:rFonts w:hint="eastAsia"/>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2.2.3</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标文件澄清的时间</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在收到相应澄清文件后24小时内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2.3.2</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标文件修改的时间</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在收到相应修改文件后24小时达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3.3.1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投标有效期</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3.4.1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投标保证金</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1、对于诚信良好的供应商可免收投标保证金；但对于满足《中华人民共和国政府采购法》第二十二条有关规定，经“信用中国”网站查询存在行政处罚信息的供应商，须按规定提交投标保证金。</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2、投标保证金的金额：2.5万元。</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投标保证金的形式：支票、汇票、电汇、本票、或者金融机构、担保机构出具的保函等非现金形式提交，投标保证金须从基本账户转出，投标人未按照招标文件要求提交投标保证金的，投标无效。</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收款人全称：</w:t>
            </w:r>
            <w:bookmarkStart w:id="37" w:name="blank46"/>
            <w:r>
              <w:rPr>
                <w:rFonts w:hint="eastAsia"/>
                <w:sz w:val="21"/>
                <w:szCs w:val="21"/>
                <w:lang w:eastAsia="zh-CN"/>
              </w:rPr>
              <w:t>吉林瑞成工程招标造价咨询有限公司</w:t>
            </w:r>
            <w:bookmarkEnd w:id="37"/>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账号：</w:t>
            </w:r>
            <w:bookmarkStart w:id="38" w:name="blank48"/>
            <w:r>
              <w:rPr>
                <w:rFonts w:hint="eastAsia"/>
                <w:sz w:val="21"/>
                <w:szCs w:val="21"/>
                <w:lang w:eastAsia="zh-CN"/>
              </w:rPr>
              <w:t>221000668018010089712</w:t>
            </w:r>
            <w:bookmarkEnd w:id="38"/>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开户银行：</w:t>
            </w:r>
            <w:bookmarkStart w:id="39" w:name="blank49"/>
            <w:r>
              <w:rPr>
                <w:rFonts w:hint="eastAsia"/>
                <w:sz w:val="21"/>
                <w:szCs w:val="21"/>
                <w:lang w:eastAsia="zh-CN"/>
              </w:rPr>
              <w:t>交行长春阳光城支行</w:t>
            </w:r>
            <w:bookmarkEnd w:id="39"/>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※注：投标保证金应于投标截止前1个工作日16时前完成缴纳，截止时间前未到账的供应商视为未缴纳投标保证金。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3.5.2</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企业近年完成的类 似项目的年份要求</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近年，指202</w:t>
            </w:r>
            <w:r>
              <w:rPr>
                <w:rFonts w:hint="eastAsia"/>
                <w:sz w:val="21"/>
                <w:szCs w:val="21"/>
                <w:lang w:eastAsia="zh-CN"/>
              </w:rPr>
              <w:t>1</w:t>
            </w:r>
            <w:r>
              <w:rPr>
                <w:sz w:val="21"/>
                <w:szCs w:val="21"/>
              </w:rPr>
              <w:t>年1月1日至今。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3.6.3</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签字或盖章要求</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按政府采购云平台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提供的格式及要求填写。 纸质版投标文件应使用打印、复印或不能擦去的墨水书写，文字要清晰，语言要明确，并按招标文件的要求签字或盖章。</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投标文件应尽量避免涂改和插字，如有修改，除了按采购人书面请示进行修改的以外，均应由法定代表人</w:t>
            </w:r>
            <w:r>
              <w:rPr>
                <w:rFonts w:hint="eastAsia"/>
                <w:sz w:val="21"/>
                <w:szCs w:val="21"/>
                <w:lang w:eastAsia="zh-CN"/>
              </w:rPr>
              <w:t>（</w:t>
            </w:r>
            <w:r>
              <w:rPr>
                <w:sz w:val="21"/>
                <w:szCs w:val="21"/>
                <w:lang w:eastAsia="zh-CN"/>
              </w:rPr>
              <w:t>或授权委托人</w:t>
            </w:r>
            <w:r>
              <w:rPr>
                <w:rFonts w:hint="eastAsia"/>
                <w:sz w:val="21"/>
                <w:szCs w:val="21"/>
                <w:lang w:eastAsia="zh-CN"/>
              </w:rPr>
              <w:t>）</w:t>
            </w:r>
            <w:r>
              <w:rPr>
                <w:sz w:val="21"/>
                <w:szCs w:val="21"/>
                <w:lang w:eastAsia="zh-CN"/>
              </w:rPr>
              <w:t>在修改处盖章或签名确认。 投标文件正本、副本中的投标函、开标一览表、法人接权委托书等需要盖章和签字</w:t>
            </w:r>
            <w:r>
              <w:rPr>
                <w:rFonts w:hint="eastAsia"/>
                <w:sz w:val="21"/>
                <w:szCs w:val="21"/>
                <w:lang w:eastAsia="zh-CN"/>
              </w:rPr>
              <w:t>（</w:t>
            </w:r>
            <w:r>
              <w:rPr>
                <w:sz w:val="21"/>
                <w:szCs w:val="21"/>
                <w:lang w:eastAsia="zh-CN"/>
              </w:rPr>
              <w:t>盖章不能代替签字</w:t>
            </w:r>
            <w:r>
              <w:rPr>
                <w:rFonts w:hint="eastAsia"/>
                <w:sz w:val="21"/>
                <w:szCs w:val="21"/>
                <w:lang w:eastAsia="zh-CN"/>
              </w:rPr>
              <w:t>）</w:t>
            </w:r>
            <w:r>
              <w:rPr>
                <w:sz w:val="21"/>
                <w:szCs w:val="21"/>
                <w:lang w:eastAsia="zh-CN"/>
              </w:rPr>
              <w:t>的资料都要求是原件或真迹，不得复印。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3.6.4</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投标文件份数</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1</w:t>
            </w:r>
            <w:r>
              <w:rPr>
                <w:rFonts w:hint="eastAsia"/>
                <w:sz w:val="21"/>
                <w:szCs w:val="21"/>
                <w:lang w:eastAsia="zh-CN"/>
              </w:rPr>
              <w:t>、</w:t>
            </w:r>
            <w:r>
              <w:rPr>
                <w:sz w:val="21"/>
                <w:szCs w:val="21"/>
                <w:lang w:eastAsia="zh-CN"/>
              </w:rPr>
              <w:t>电子投标文件</w:t>
            </w:r>
            <w:r>
              <w:rPr>
                <w:rFonts w:hint="eastAsia"/>
                <w:sz w:val="21"/>
                <w:szCs w:val="21"/>
                <w:lang w:eastAsia="zh-CN"/>
              </w:rPr>
              <w:t>：</w:t>
            </w:r>
            <w:r>
              <w:rPr>
                <w:sz w:val="21"/>
                <w:szCs w:val="21"/>
                <w:lang w:eastAsia="zh-CN"/>
              </w:rPr>
              <w:t xml:space="preserve">1 份 。 投标人在政 府 采 购 云 平 台 </w:t>
            </w:r>
            <w:r>
              <w:rPr>
                <w:rFonts w:hint="eastAsia"/>
                <w:sz w:val="21"/>
                <w:szCs w:val="21"/>
                <w:lang w:eastAsia="zh-CN"/>
              </w:rPr>
              <w:t>（</w:t>
            </w:r>
            <w:r>
              <w:rPr>
                <w:sz w:val="21"/>
                <w:szCs w:val="21"/>
                <w:lang w:eastAsia="zh-CN"/>
              </w:rPr>
              <w:t xml:space="preserve"> 网 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通过数字证书制作投标文件1份</w:t>
            </w:r>
            <w:r>
              <w:rPr>
                <w:rFonts w:hint="eastAsia"/>
                <w:sz w:val="21"/>
                <w:szCs w:val="21"/>
                <w:lang w:eastAsia="zh-CN"/>
              </w:rPr>
              <w:t>（</w:t>
            </w:r>
            <w:r>
              <w:rPr>
                <w:sz w:val="21"/>
                <w:szCs w:val="21"/>
                <w:lang w:eastAsia="zh-CN"/>
              </w:rPr>
              <w:t>此投标文件需上传至政府采购云平台，并在开标时持编制投标文件的供应商数字证书解密</w:t>
            </w:r>
            <w:r>
              <w:rPr>
                <w:rFonts w:hint="eastAsia"/>
                <w:sz w:val="21"/>
                <w:szCs w:val="21"/>
                <w:lang w:eastAsia="zh-CN"/>
              </w:rPr>
              <w:t>）</w:t>
            </w:r>
            <w:r>
              <w:rPr>
                <w:sz w:val="21"/>
                <w:szCs w:val="21"/>
                <w:lang w:eastAsia="zh-CN"/>
              </w:rPr>
              <w:t>。2、纸质版投标文件</w:t>
            </w:r>
            <w:r>
              <w:rPr>
                <w:rFonts w:hint="eastAsia"/>
                <w:sz w:val="21"/>
                <w:szCs w:val="21"/>
                <w:lang w:eastAsia="zh-CN"/>
              </w:rPr>
              <w:t>（以代理机构通知为准）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3.6.5</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装订要求</w:t>
            </w:r>
          </w:p>
        </w:tc>
        <w:tc>
          <w:tcPr>
            <w:tcW w:w="7176" w:type="dxa"/>
            <w:gridSpan w:val="2"/>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4.1.2</w:t>
            </w:r>
          </w:p>
        </w:tc>
        <w:tc>
          <w:tcPr>
            <w:tcW w:w="2077" w:type="dxa"/>
            <w:gridSpan w:val="2"/>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封套上应载明的信 息</w:t>
            </w:r>
          </w:p>
        </w:tc>
        <w:tc>
          <w:tcPr>
            <w:tcW w:w="7176" w:type="dxa"/>
            <w:gridSpan w:val="2"/>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采购人地址：</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采购人名称：</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投标人名称：</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项目名称</w:t>
            </w:r>
            <w:r>
              <w:rPr>
                <w:rFonts w:hint="eastAsia"/>
                <w:sz w:val="21"/>
                <w:szCs w:val="21"/>
                <w:lang w:eastAsia="zh-CN"/>
              </w:rPr>
              <w:t>）</w:t>
            </w:r>
            <w:r>
              <w:rPr>
                <w:sz w:val="21"/>
                <w:szCs w:val="21"/>
                <w:lang w:eastAsia="zh-CN"/>
              </w:rPr>
              <w:t>投标文件</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4.2.2</w:t>
            </w:r>
          </w:p>
        </w:tc>
        <w:tc>
          <w:tcPr>
            <w:tcW w:w="2077" w:type="dxa"/>
            <w:gridSpan w:val="2"/>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递交投标文件地点及截至时间</w:t>
            </w:r>
          </w:p>
        </w:tc>
        <w:tc>
          <w:tcPr>
            <w:tcW w:w="7176" w:type="dxa"/>
            <w:gridSpan w:val="2"/>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截止时间：</w:t>
            </w:r>
            <w:r>
              <w:rPr>
                <w:rFonts w:hint="eastAsia"/>
                <w:sz w:val="21"/>
                <w:szCs w:val="21"/>
                <w:lang w:eastAsia="zh-CN"/>
              </w:rPr>
              <w:t>2024年07月0</w:t>
            </w:r>
            <w:r>
              <w:rPr>
                <w:rFonts w:hint="eastAsia"/>
                <w:sz w:val="21"/>
                <w:szCs w:val="21"/>
                <w:lang w:val="en-US" w:eastAsia="zh-CN"/>
              </w:rPr>
              <w:t>4</w:t>
            </w:r>
            <w:r>
              <w:rPr>
                <w:rFonts w:hint="eastAsia"/>
                <w:sz w:val="21"/>
                <w:szCs w:val="21"/>
                <w:lang w:eastAsia="zh-CN"/>
              </w:rPr>
              <w:t>日09时30分</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highlight w:val="none"/>
                <w:lang w:eastAsia="zh-CN"/>
              </w:rPr>
              <w:t>地点：长春市二道区洋浦大街6999号凯利中心AB栋101</w:t>
            </w:r>
            <w:r>
              <w:rPr>
                <w:rFonts w:hint="eastAsia"/>
                <w:sz w:val="21"/>
                <w:szCs w:val="21"/>
                <w:highlight w:val="none"/>
                <w:lang w:eastAsia="zh-CN"/>
              </w:rPr>
              <w:t>第</w:t>
            </w:r>
            <w:r>
              <w:rPr>
                <w:rFonts w:hint="eastAsia"/>
                <w:sz w:val="21"/>
                <w:szCs w:val="21"/>
                <w:highlight w:val="none"/>
                <w:lang w:val="en-US" w:eastAsia="zh-CN"/>
              </w:rPr>
              <w:t>四</w:t>
            </w:r>
            <w:r>
              <w:rPr>
                <w:rFonts w:hint="eastAsia"/>
                <w:sz w:val="21"/>
                <w:szCs w:val="21"/>
                <w:highlight w:val="none"/>
                <w:lang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4.2.3</w:t>
            </w:r>
          </w:p>
        </w:tc>
        <w:tc>
          <w:tcPr>
            <w:tcW w:w="2077" w:type="dxa"/>
            <w:gridSpan w:val="2"/>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是否退还投标文件</w:t>
            </w:r>
          </w:p>
        </w:tc>
        <w:tc>
          <w:tcPr>
            <w:tcW w:w="7176" w:type="dxa"/>
            <w:gridSpan w:val="2"/>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5.1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开标时间和地点</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开标时间：</w:t>
            </w:r>
            <w:r>
              <w:rPr>
                <w:rFonts w:hint="eastAsia"/>
                <w:sz w:val="21"/>
                <w:szCs w:val="21"/>
                <w:lang w:eastAsia="zh-CN"/>
              </w:rPr>
              <w:t>2024年06月25日09时30分</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开标地点：长春市二道区洋浦大街6999号凯利中心AB栋101</w:t>
            </w:r>
            <w:r>
              <w:rPr>
                <w:rFonts w:hint="eastAsia"/>
                <w:sz w:val="21"/>
                <w:szCs w:val="21"/>
                <w:lang w:eastAsia="zh-CN"/>
              </w:rPr>
              <w:t>第</w:t>
            </w:r>
            <w:r>
              <w:rPr>
                <w:rFonts w:hint="eastAsia"/>
                <w:sz w:val="21"/>
                <w:szCs w:val="21"/>
                <w:lang w:val="en-US" w:eastAsia="zh-CN"/>
              </w:rPr>
              <w:t>四</w:t>
            </w:r>
            <w:r>
              <w:rPr>
                <w:rFonts w:hint="eastAsia"/>
                <w:sz w:val="21"/>
                <w:szCs w:val="21"/>
                <w:lang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6.1.1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评标委员会的组建</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评标委员会构成：社会专家5人。</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评标专家确定方式：从“政采云”专家库中随机抽取产生。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是否授权评标委员 会确定中标人</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否，推荐的中标候选人数：3名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7.4</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履约担保</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10.1</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结算方式</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由甲乙双方在签订的具体合同中另行约定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10.2</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招标代理费</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招标代理费执行国家发展改革委《关于进一步放开建设项目专业服务价格的 通知》</w:t>
            </w:r>
            <w:r>
              <w:rPr>
                <w:rFonts w:hint="eastAsia"/>
                <w:sz w:val="21"/>
                <w:szCs w:val="21"/>
                <w:lang w:eastAsia="zh-CN"/>
              </w:rPr>
              <w:t>（</w:t>
            </w:r>
            <w:r>
              <w:rPr>
                <w:sz w:val="21"/>
                <w:szCs w:val="21"/>
                <w:lang w:eastAsia="zh-CN"/>
              </w:rPr>
              <w:t>发改价格〔2015〕299号</w:t>
            </w:r>
            <w:r>
              <w:rPr>
                <w:rFonts w:hint="eastAsia"/>
                <w:sz w:val="21"/>
                <w:szCs w:val="21"/>
                <w:lang w:eastAsia="zh-CN"/>
              </w:rPr>
              <w:t>）。</w:t>
            </w:r>
            <w:r>
              <w:rPr>
                <w:rFonts w:hint="eastAsia"/>
                <w:sz w:val="21"/>
                <w:szCs w:val="21"/>
                <w:lang w:val="zh-CN" w:eastAsia="zh-CN"/>
              </w:rPr>
              <w:t>按照中标金额1</w:t>
            </w:r>
            <w:r>
              <w:rPr>
                <w:rFonts w:hint="eastAsia"/>
                <w:sz w:val="21"/>
                <w:szCs w:val="21"/>
                <w:lang w:eastAsia="zh-CN"/>
              </w:rPr>
              <w:t>.5</w:t>
            </w:r>
            <w:r>
              <w:rPr>
                <w:rFonts w:hint="eastAsia"/>
                <w:sz w:val="21"/>
                <w:szCs w:val="21"/>
                <w:lang w:val="zh-CN" w:eastAsia="zh-CN"/>
              </w:rPr>
              <w:t>%收取招标代理服务费，</w:t>
            </w:r>
            <w:r>
              <w:rPr>
                <w:rFonts w:hint="eastAsia"/>
                <w:sz w:val="21"/>
                <w:szCs w:val="21"/>
                <w:lang w:eastAsia="zh-CN"/>
              </w:rPr>
              <w:t>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10.3</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采购预算</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250万元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10.4</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最高限价</w:t>
            </w:r>
          </w:p>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w:t>
            </w:r>
            <w:r>
              <w:rPr>
                <w:sz w:val="21"/>
                <w:szCs w:val="21"/>
                <w:lang w:eastAsia="zh-CN"/>
              </w:rPr>
              <w:t>招标控制价</w:t>
            </w:r>
            <w:r>
              <w:rPr>
                <w:rFonts w:hint="eastAsia"/>
                <w:sz w:val="21"/>
                <w:szCs w:val="21"/>
                <w:lang w:eastAsia="zh-CN"/>
              </w:rPr>
              <w:t>）</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250万元</w:t>
            </w:r>
            <w:r>
              <w:rPr>
                <w:sz w:val="21"/>
                <w:szCs w:val="21"/>
                <w:lang w:eastAsia="zh-CN"/>
              </w:rPr>
              <w:t>。</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kern w:val="15"/>
                <w:sz w:val="21"/>
                <w:szCs w:val="21"/>
                <w:lang w:eastAsia="zh-CN"/>
              </w:rPr>
              <w:t>1.超过预算价格的投标无效，分项报价均不得超过预算价；2.</w:t>
            </w:r>
            <w:r>
              <w:rPr>
                <w:rFonts w:hint="eastAsia"/>
                <w:kern w:val="1"/>
                <w:sz w:val="21"/>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kern w:val="15"/>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10.5</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lang w:eastAsia="zh-CN"/>
              </w:rPr>
              <w:t>中小企业划分标准 所属行业</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rFonts w:hint="default" w:ascii="宋体" w:hAnsi="宋体" w:eastAsia="宋体" w:cs="宋体"/>
                <w:snapToGrid w:val="0"/>
                <w:color w:val="000000"/>
                <w:sz w:val="21"/>
                <w:szCs w:val="21"/>
                <w:lang w:val="en-US" w:eastAsia="zh-CN" w:bidi="ar-SA"/>
              </w:rPr>
            </w:pPr>
            <w:r>
              <w:rPr>
                <w:sz w:val="21"/>
                <w:szCs w:val="21"/>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10.6</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rPr>
              <w:t>合同管理</w:t>
            </w:r>
          </w:p>
        </w:tc>
        <w:tc>
          <w:tcPr>
            <w:tcW w:w="7176"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中标单位应自中标通知书发出之日起30日内与采购人签订合同，签订合同 后5个工作日内除采购人要求合同份数外还需送至招标代理机构合同彩色复印件一份用于合同公示使用。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7" w:type="dxa"/>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10.7</w:t>
            </w:r>
          </w:p>
        </w:tc>
        <w:tc>
          <w:tcPr>
            <w:tcW w:w="2077" w:type="dxa"/>
            <w:gridSpan w:val="2"/>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en-US" w:bidi="ar-SA"/>
              </w:rPr>
            </w:pPr>
            <w:r>
              <w:rPr>
                <w:sz w:val="21"/>
                <w:szCs w:val="21"/>
              </w:rPr>
              <w:t>电子标说明</w:t>
            </w:r>
          </w:p>
        </w:tc>
        <w:tc>
          <w:tcPr>
            <w:tcW w:w="7176" w:type="dxa"/>
            <w:gridSpan w:val="2"/>
            <w:vAlign w:val="top"/>
          </w:tcPr>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本项目采用全流程电子化招投标，开标方式为远程开标，供应商在提交投标文件截止时间前通过政府采购云平台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递交电子投标文件，并按照现场工作人员通知使用CA锁进行投标文件远程解密。上传的电子证件及资料均需按要求签字盖章上传，否则按未签章处理。</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投标操作流程：供应商在政府采购云平台网注册入库成为正式供应商后， 在平台上按《政府采购项目电子交易管理操作指南-供应商》进行投标操作。</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数字证书办理及投标技术咨询：投标人须办理数字证书方可参加投标。 供应商须自行考虑数字证书办理时限，由于供应商自身原因在开标前无法完  成办理，后果自负。</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若对项目采购电子交易系统操作有疑问，可登录“政采云”平台</w:t>
            </w:r>
          </w:p>
          <w:p>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rPr>
              <w:fldChar w:fldCharType="begin"/>
            </w:r>
            <w:r>
              <w:rPr>
                <w:sz w:val="21"/>
                <w:szCs w:val="21"/>
              </w:rPr>
              <w:instrText xml:space="preserve"> HYPERLINK "https://www.zcygov.cn/" </w:instrText>
            </w:r>
            <w:r>
              <w:rPr>
                <w:sz w:val="21"/>
                <w:szCs w:val="21"/>
              </w:rPr>
              <w:fldChar w:fldCharType="separate"/>
            </w:r>
            <w:r>
              <w:rPr>
                <w:sz w:val="21"/>
                <w:szCs w:val="21"/>
                <w:lang w:eastAsia="zh-CN"/>
              </w:rPr>
              <w:t>https://www.zcygov.cn/</w:t>
            </w:r>
            <w:r>
              <w:rPr>
                <w:sz w:val="21"/>
                <w:szCs w:val="21"/>
                <w:lang w:eastAsia="zh-CN"/>
              </w:rPr>
              <w:fldChar w:fldCharType="end"/>
            </w:r>
            <w:r>
              <w:rPr>
                <w:rFonts w:hint="eastAsia"/>
                <w:sz w:val="21"/>
                <w:szCs w:val="21"/>
                <w:lang w:eastAsia="zh-CN"/>
              </w:rPr>
              <w:t>）</w:t>
            </w:r>
            <w:r>
              <w:rPr>
                <w:sz w:val="21"/>
                <w:szCs w:val="21"/>
                <w:lang w:eastAsia="zh-CN"/>
              </w:rPr>
              <w:t>点击右侧咨询小采，获取采小蜜智能服务管家 帮助，或拨打政采云服务热线95763获取热线服务帮助。</w:t>
            </w:r>
          </w:p>
          <w:p>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备注：投标文件U盘电子版按招标文件规定执行，用数字证书编制的电子投标文件按政府采购项目电子交易管理操作指南-供应商》进行投标操作。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5"/>
          </w:tcPr>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本项目按照吉林省财政厅《关于依托政府采购数字金融服务平台开展融资业务有关事项的通知》</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吉财采购</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2023] 721号</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支持申请“政采合同贷”政策。</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“政采数金平台”联系电话：张经理0431-81888978</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sz w:val="21"/>
                <w:szCs w:val="21"/>
              </w:rPr>
            </w:pPr>
            <w:r>
              <w:rPr>
                <w:rFonts w:ascii="宋体" w:hAnsi="宋体" w:eastAsia="宋体" w:cs="Times New Roman"/>
                <w:sz w:val="21"/>
                <w:szCs w:val="21"/>
                <w:lang w:eastAsia="zh-CN"/>
              </w:rPr>
              <w:t>柯经理0431-81888998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5"/>
          </w:tcPr>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1</w:t>
            </w:r>
            <w:r>
              <w:rPr>
                <w:rFonts w:hint="eastAsia" w:ascii="宋体" w:hAnsi="宋体" w:eastAsia="宋体" w:cs="Times New Roman"/>
                <w:sz w:val="21"/>
                <w:szCs w:val="21"/>
                <w:lang w:eastAsia="zh-CN"/>
              </w:rPr>
              <w:t>投标人认为采购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2</w:t>
            </w:r>
            <w:r>
              <w:rPr>
                <w:rFonts w:hint="eastAsia" w:ascii="宋体" w:hAnsi="宋体" w:eastAsia="宋体" w:cs="Times New Roman"/>
                <w:sz w:val="21"/>
                <w:szCs w:val="21"/>
                <w:lang w:eastAsia="zh-CN"/>
              </w:rPr>
              <w:t>投标人可以委托代理人进行质疑。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应当提交投标人签署的授权委托书。</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Times New Roman"/>
                <w:sz w:val="21"/>
                <w:szCs w:val="21"/>
                <w:lang w:eastAsia="zh-CN"/>
              </w:rPr>
              <w:t>投标人提出质疑的，在法定期限内提交书面质疑函和必要的证明材料。</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4</w:t>
            </w:r>
            <w:r>
              <w:rPr>
                <w:rFonts w:hint="eastAsia" w:ascii="宋体" w:hAnsi="宋体" w:eastAsia="宋体" w:cs="Times New Roman"/>
                <w:sz w:val="21"/>
                <w:szCs w:val="21"/>
                <w:lang w:eastAsia="zh-CN"/>
              </w:rPr>
              <w:t>投标人提交的质疑函应当采用财政部发布的质疑函范本。质疑范本获取方法：登陆中国政府采购网（</w:t>
            </w:r>
            <w:r>
              <w:rPr>
                <w:rFonts w:ascii="宋体" w:hAnsi="宋体" w:eastAsia="宋体" w:cs="Times New Roman"/>
                <w:sz w:val="21"/>
                <w:szCs w:val="21"/>
                <w:lang w:eastAsia="zh-CN"/>
              </w:rPr>
              <w:t>http://www.ccgp.gov.cn/</w:t>
            </w:r>
            <w:r>
              <w:rPr>
                <w:rFonts w:hint="eastAsia" w:ascii="宋体" w:hAnsi="宋体" w:eastAsia="宋体" w:cs="Times New Roman"/>
                <w:sz w:val="21"/>
                <w:szCs w:val="21"/>
                <w:lang w:eastAsia="zh-CN"/>
              </w:rPr>
              <w:t>）首页</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下载专区</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政府采购投标人质疑函范本。</w:t>
            </w:r>
          </w:p>
          <w:p>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5</w:t>
            </w:r>
            <w:r>
              <w:rPr>
                <w:rFonts w:hint="eastAsia" w:ascii="宋体" w:hAnsi="宋体" w:eastAsia="宋体" w:cs="Times New Roman"/>
                <w:sz w:val="21"/>
                <w:szCs w:val="21"/>
                <w:lang w:eastAsia="zh-CN"/>
              </w:rPr>
              <w:t>投标人应当在法定质疑期内一次性提出针对同一采购程序环节的质疑。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5"/>
            <w:vAlign w:val="center"/>
          </w:tcPr>
          <w:p>
            <w:pPr>
              <w:pStyle w:val="21"/>
              <w:keepNext w:val="0"/>
              <w:keepLines w:val="0"/>
              <w:pageBreakBefore w:val="0"/>
              <w:wordWrap/>
              <w:overflowPunct/>
              <w:topLinePunct w:val="0"/>
              <w:autoSpaceDE w:val="0"/>
              <w:autoSpaceDN w:val="0"/>
              <w:bidi w:val="0"/>
              <w:adjustRightInd w:val="0"/>
              <w:snapToGrid w:val="0"/>
              <w:spacing w:line="240" w:lineRule="auto"/>
              <w:jc w:val="both"/>
              <w:rPr>
                <w:sz w:val="21"/>
                <w:szCs w:val="21"/>
                <w:lang w:eastAsia="zh-CN"/>
              </w:rPr>
            </w:pPr>
            <w:r>
              <w:rPr>
                <w:sz w:val="21"/>
                <w:szCs w:val="21"/>
                <w:lang w:eastAsia="zh-CN"/>
              </w:rPr>
              <w:t>招标公告与招标文件如有不一致处，以招标文件为准。</w:t>
            </w:r>
          </w:p>
        </w:tc>
      </w:tr>
    </w:tbl>
    <w:p>
      <w:pPr>
        <w:rPr>
          <w:rFonts w:ascii="Times New Roman" w:hAnsi="Times New Roman" w:eastAsia="宋体" w:cs="宋体"/>
          <w:b/>
          <w:bCs/>
          <w:sz w:val="31"/>
          <w:szCs w:val="31"/>
          <w:lang w:eastAsia="zh-CN"/>
        </w:rPr>
      </w:pPr>
      <w:r>
        <w:rPr>
          <w:rFonts w:hint="eastAsia" w:ascii="Times New Roman" w:hAnsi="Times New Roman" w:eastAsia="宋体" w:cs="宋体"/>
          <w:b/>
          <w:bCs/>
          <w:sz w:val="31"/>
          <w:szCs w:val="31"/>
          <w:lang w:eastAsia="zh-CN"/>
        </w:rPr>
        <w:br w:type="page"/>
      </w:r>
    </w:p>
    <w:p>
      <w:pPr>
        <w:spacing w:line="360" w:lineRule="auto"/>
        <w:outlineLvl w:val="0"/>
        <w:rPr>
          <w:rFonts w:ascii="宋体" w:hAnsi="宋体" w:eastAsia="宋体" w:cs="宋体"/>
          <w:b/>
          <w:bCs/>
          <w:sz w:val="24"/>
          <w:szCs w:val="24"/>
          <w:lang w:eastAsia="zh-CN"/>
        </w:rPr>
      </w:pPr>
      <w:bookmarkStart w:id="40" w:name="_Toc15345"/>
      <w:bookmarkStart w:id="41" w:name="_Toc18841"/>
      <w:r>
        <w:rPr>
          <w:rFonts w:hint="eastAsia" w:ascii="宋体" w:hAnsi="宋体" w:eastAsia="宋体" w:cs="宋体"/>
          <w:b/>
          <w:bCs/>
          <w:sz w:val="24"/>
          <w:szCs w:val="24"/>
          <w:lang w:eastAsia="zh-CN"/>
        </w:rPr>
        <w:t>1.总</w:t>
      </w:r>
      <w:r>
        <w:rPr>
          <w:rFonts w:ascii="宋体" w:hAnsi="宋体" w:eastAsia="宋体" w:cs="宋体"/>
          <w:b/>
          <w:bCs/>
          <w:sz w:val="24"/>
          <w:szCs w:val="24"/>
          <w:lang w:eastAsia="zh-CN"/>
        </w:rPr>
        <w:t>则</w:t>
      </w:r>
      <w:bookmarkEnd w:id="40"/>
      <w:bookmarkEnd w:id="41"/>
    </w:p>
    <w:p>
      <w:pPr>
        <w:spacing w:line="360" w:lineRule="auto"/>
        <w:outlineLvl w:val="0"/>
        <w:rPr>
          <w:rFonts w:ascii="宋体" w:hAnsi="宋体" w:eastAsia="宋体" w:cs="宋体"/>
          <w:b/>
          <w:bCs/>
          <w:sz w:val="24"/>
          <w:szCs w:val="24"/>
          <w:lang w:eastAsia="zh-CN"/>
        </w:rPr>
      </w:pPr>
      <w:bookmarkStart w:id="42" w:name="_Toc9986"/>
      <w:bookmarkStart w:id="43" w:name="_Toc28870"/>
      <w:r>
        <w:rPr>
          <w:rFonts w:ascii="宋体" w:hAnsi="宋体" w:eastAsia="宋体" w:cs="宋体"/>
          <w:b/>
          <w:bCs/>
          <w:sz w:val="24"/>
          <w:szCs w:val="24"/>
          <w:lang w:eastAsia="zh-CN"/>
        </w:rPr>
        <w:t>1.1 项目概况</w:t>
      </w:r>
      <w:bookmarkEnd w:id="42"/>
      <w:bookmarkEnd w:id="43"/>
    </w:p>
    <w:p>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1.1.1根据《中华人民共和国政府采购法》等有关法律、法规和规章的规定，本招标项目 已具备招标条件，现对本项目采用资格后审方式进行招标。</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1.1.2 本招标项目建设单位、采购人：见投标人须知前附表。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1.1.3 本招标项目采购代理机构：见投标人须知前附表。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1.1.4 本招标项目名称：见投标人须知前附表。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1.1.5 本招标项目服务地点：见投标人须知前附表。</w:t>
      </w:r>
    </w:p>
    <w:p>
      <w:pPr>
        <w:spacing w:line="360" w:lineRule="auto"/>
        <w:outlineLvl w:val="0"/>
        <w:rPr>
          <w:rFonts w:ascii="宋体" w:hAnsi="宋体" w:eastAsia="宋体" w:cs="宋体"/>
          <w:sz w:val="24"/>
          <w:szCs w:val="24"/>
          <w:lang w:eastAsia="zh-CN"/>
        </w:rPr>
      </w:pPr>
      <w:bookmarkStart w:id="44" w:name="_Toc9167"/>
      <w:bookmarkStart w:id="45" w:name="_Toc2181"/>
      <w:r>
        <w:rPr>
          <w:rFonts w:ascii="宋体" w:hAnsi="宋体" w:eastAsia="宋体" w:cs="宋体"/>
          <w:b/>
          <w:bCs/>
          <w:sz w:val="24"/>
          <w:szCs w:val="24"/>
          <w:lang w:eastAsia="zh-CN"/>
        </w:rPr>
        <w:t>1.2资金来源和落实情况</w:t>
      </w:r>
      <w:bookmarkEnd w:id="44"/>
      <w:bookmarkEnd w:id="45"/>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1.2.1 本招标项目的资金来源：见投标人须知前附表。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1.2.2 本招标项目的资金落实情况：见投标人须知前附表。</w:t>
      </w:r>
    </w:p>
    <w:p>
      <w:pPr>
        <w:spacing w:line="360" w:lineRule="auto"/>
        <w:outlineLvl w:val="0"/>
        <w:rPr>
          <w:rFonts w:ascii="宋体" w:hAnsi="宋体" w:eastAsia="宋体" w:cs="宋体"/>
          <w:sz w:val="24"/>
          <w:szCs w:val="24"/>
          <w:lang w:eastAsia="zh-CN"/>
        </w:rPr>
      </w:pPr>
      <w:bookmarkStart w:id="46" w:name="_Toc10761"/>
      <w:bookmarkStart w:id="47" w:name="_Toc15355"/>
      <w:r>
        <w:rPr>
          <w:rFonts w:ascii="宋体" w:hAnsi="宋体" w:eastAsia="宋体" w:cs="宋体"/>
          <w:b/>
          <w:bCs/>
          <w:sz w:val="24"/>
          <w:szCs w:val="24"/>
          <w:lang w:eastAsia="zh-CN"/>
        </w:rPr>
        <w:t>1.3招标范围、合同履行期限</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服务期</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、服务标准、项目概况</w:t>
      </w:r>
      <w:bookmarkEnd w:id="46"/>
      <w:bookmarkEnd w:id="47"/>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1.3.1 本次招标范围：见投标人须知前附表。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1.3.2 本招标项目的合同履行期限：见投标人须知前附表。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1.3.3 本招标项目的服务标准：见投标人须知前附表。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1.3.4本招标项目的项目概况：见投标人须知前附表。</w:t>
      </w:r>
    </w:p>
    <w:p>
      <w:pPr>
        <w:spacing w:line="360" w:lineRule="auto"/>
        <w:outlineLvl w:val="0"/>
        <w:rPr>
          <w:rFonts w:ascii="宋体" w:hAnsi="宋体" w:eastAsia="宋体" w:cs="宋体"/>
          <w:sz w:val="24"/>
          <w:szCs w:val="24"/>
          <w:lang w:eastAsia="zh-CN"/>
        </w:rPr>
      </w:pPr>
      <w:bookmarkStart w:id="48" w:name="_Toc10434"/>
      <w:bookmarkStart w:id="49" w:name="_Toc7892"/>
      <w:r>
        <w:rPr>
          <w:rFonts w:ascii="宋体" w:hAnsi="宋体" w:eastAsia="宋体" w:cs="宋体"/>
          <w:b/>
          <w:bCs/>
          <w:sz w:val="24"/>
          <w:szCs w:val="24"/>
          <w:lang w:eastAsia="zh-CN"/>
        </w:rPr>
        <w:t>1.4投标人资格要求</w:t>
      </w:r>
      <w:bookmarkEnd w:id="48"/>
      <w:bookmarkEnd w:id="49"/>
    </w:p>
    <w:p>
      <w:pPr>
        <w:spacing w:line="360" w:lineRule="auto"/>
        <w:ind w:hanging="39"/>
        <w:rPr>
          <w:rFonts w:ascii="宋体" w:hAnsi="宋体" w:eastAsia="宋体" w:cs="宋体"/>
          <w:sz w:val="24"/>
          <w:szCs w:val="24"/>
          <w:lang w:eastAsia="zh-CN"/>
        </w:rPr>
      </w:pPr>
      <w:r>
        <w:rPr>
          <w:rFonts w:ascii="宋体" w:hAnsi="宋体" w:eastAsia="宋体" w:cs="宋体"/>
          <w:sz w:val="24"/>
          <w:szCs w:val="24"/>
          <w:lang w:eastAsia="zh-CN"/>
        </w:rPr>
        <w:t xml:space="preserve">1.4.1 投标人应具备承担本项目的资质条件、能力和信誉。 </w:t>
      </w: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资质条件：见投标人须知前附表；</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财务要求：见投标人须知前附表； </w:t>
      </w: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其他要求：见投标人须知前附表。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1.4.2 投标人不得存在下列情形之一：</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为采购人不具有独立法人资格的附属机构</w:t>
      </w:r>
      <w:r>
        <w:rPr>
          <w:rFonts w:hint="eastAsia" w:ascii="宋体" w:hAnsi="宋体" w:eastAsia="宋体" w:cs="宋体"/>
          <w:sz w:val="24"/>
          <w:szCs w:val="24"/>
          <w:lang w:eastAsia="zh-CN"/>
        </w:rPr>
        <w:t>（</w:t>
      </w:r>
      <w:r>
        <w:rPr>
          <w:rFonts w:ascii="宋体" w:hAnsi="宋体" w:eastAsia="宋体" w:cs="宋体"/>
          <w:sz w:val="24"/>
          <w:szCs w:val="24"/>
          <w:lang w:eastAsia="zh-CN"/>
        </w:rPr>
        <w:t>单位</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为本招标项目前期准备提供设计或咨询服务的；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为本招标项目提供招标代理服务的；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与本招标项目的招标代理机构同为一个法定代表人的； </w:t>
      </w: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与本招标项目的招标代理机构相互控股或参股的；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与本招标项目的招标代理机构相互任职或工作的； </w:t>
      </w: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被责令停业的；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被暂停或取消投标资格的；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财产被接管或冻结的；</w:t>
      </w:r>
    </w:p>
    <w:p>
      <w:pPr>
        <w:spacing w:line="360" w:lineRule="auto"/>
        <w:rPr>
          <w:rFonts w:ascii="宋体" w:hAnsi="宋体" w:eastAsia="宋体" w:cs="黑体"/>
          <w:sz w:val="24"/>
          <w:szCs w:val="24"/>
          <w:lang w:eastAsia="zh-CN"/>
        </w:rPr>
      </w:pPr>
      <w:r>
        <w:rPr>
          <w:rFonts w:hint="eastAsia" w:ascii="宋体" w:hAnsi="宋体" w:eastAsia="宋体" w:cs="黑体"/>
          <w:sz w:val="24"/>
          <w:szCs w:val="24"/>
          <w:lang w:eastAsia="zh-CN"/>
        </w:rPr>
        <w:t>（</w:t>
      </w:r>
      <w:r>
        <w:rPr>
          <w:rFonts w:ascii="宋体" w:hAnsi="宋体" w:eastAsia="宋体" w:cs="黑体"/>
          <w:sz w:val="24"/>
          <w:szCs w:val="24"/>
          <w:lang w:eastAsia="zh-CN"/>
        </w:rPr>
        <w:t>10</w:t>
      </w:r>
      <w:r>
        <w:rPr>
          <w:rFonts w:hint="eastAsia" w:ascii="宋体" w:hAnsi="宋体" w:eastAsia="宋体" w:cs="黑体"/>
          <w:sz w:val="24"/>
          <w:szCs w:val="24"/>
          <w:lang w:eastAsia="zh-CN"/>
        </w:rPr>
        <w:t>）</w:t>
      </w:r>
      <w:r>
        <w:rPr>
          <w:rFonts w:ascii="宋体" w:hAnsi="宋体" w:eastAsia="宋体" w:cs="黑体"/>
          <w:sz w:val="24"/>
          <w:szCs w:val="24"/>
          <w:lang w:eastAsia="zh-CN"/>
        </w:rPr>
        <w:t>在参与采购活动前三年内在经营活动中有重大违法记录。</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1.4.3单位负责人为同一人或者存在直接控股、管理关系的不同供应商，不得参加同一合同项 下的政府采购活动。</w:t>
      </w:r>
    </w:p>
    <w:p>
      <w:pPr>
        <w:spacing w:line="360" w:lineRule="auto"/>
        <w:outlineLvl w:val="0"/>
        <w:rPr>
          <w:rFonts w:ascii="宋体" w:hAnsi="宋体" w:eastAsia="宋体" w:cs="宋体"/>
          <w:sz w:val="24"/>
          <w:szCs w:val="24"/>
          <w:lang w:eastAsia="zh-CN"/>
        </w:rPr>
      </w:pPr>
      <w:bookmarkStart w:id="50" w:name="_Toc30366"/>
      <w:bookmarkStart w:id="51" w:name="_Toc8827"/>
      <w:r>
        <w:rPr>
          <w:rFonts w:ascii="宋体" w:hAnsi="宋体" w:eastAsia="宋体" w:cs="宋体"/>
          <w:b/>
          <w:bCs/>
          <w:sz w:val="24"/>
          <w:szCs w:val="24"/>
          <w:lang w:eastAsia="zh-CN"/>
        </w:rPr>
        <w:t>1.5费用承担</w:t>
      </w:r>
      <w:bookmarkEnd w:id="50"/>
      <w:bookmarkEnd w:id="51"/>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投标人准备和参加投标活动发生的费用自理。</w:t>
      </w:r>
    </w:p>
    <w:p>
      <w:pPr>
        <w:spacing w:line="360" w:lineRule="auto"/>
        <w:outlineLvl w:val="0"/>
        <w:rPr>
          <w:rFonts w:ascii="宋体" w:hAnsi="宋体" w:eastAsia="宋体" w:cs="宋体"/>
          <w:sz w:val="24"/>
          <w:szCs w:val="24"/>
          <w:lang w:eastAsia="zh-CN"/>
        </w:rPr>
      </w:pPr>
      <w:bookmarkStart w:id="52" w:name="_Toc9965"/>
      <w:bookmarkStart w:id="53" w:name="_Toc13461"/>
      <w:r>
        <w:rPr>
          <w:rFonts w:ascii="宋体" w:hAnsi="宋体" w:eastAsia="宋体" w:cs="宋体"/>
          <w:b/>
          <w:bCs/>
          <w:sz w:val="24"/>
          <w:szCs w:val="24"/>
          <w:lang w:eastAsia="zh-CN"/>
        </w:rPr>
        <w:t>1.6保密</w:t>
      </w:r>
      <w:bookmarkEnd w:id="52"/>
      <w:bookmarkEnd w:id="53"/>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参与招标投标活动的各方应对招标文件和投标文件中的商业和技术等秘密保密，违者应对由此 造成的后果承担法律责任。</w:t>
      </w:r>
    </w:p>
    <w:p>
      <w:pPr>
        <w:spacing w:line="360" w:lineRule="auto"/>
        <w:outlineLvl w:val="0"/>
        <w:rPr>
          <w:rFonts w:ascii="宋体" w:hAnsi="宋体" w:eastAsia="宋体" w:cs="宋体"/>
          <w:sz w:val="24"/>
          <w:szCs w:val="24"/>
          <w:lang w:eastAsia="zh-CN"/>
        </w:rPr>
      </w:pPr>
      <w:bookmarkStart w:id="54" w:name="_Toc1260"/>
      <w:bookmarkStart w:id="55" w:name="_Toc7590"/>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7语言文字</w:t>
      </w:r>
      <w:bookmarkEnd w:id="54"/>
      <w:bookmarkEnd w:id="55"/>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招标投标文件使用的语言文字为中文。专用术语使用外文的，应附有中文注释。</w:t>
      </w:r>
    </w:p>
    <w:p>
      <w:pPr>
        <w:spacing w:line="360" w:lineRule="auto"/>
        <w:outlineLvl w:val="0"/>
        <w:rPr>
          <w:rFonts w:ascii="宋体" w:hAnsi="宋体" w:eastAsia="宋体" w:cs="宋体"/>
          <w:sz w:val="24"/>
          <w:szCs w:val="24"/>
          <w:lang w:eastAsia="zh-CN"/>
        </w:rPr>
      </w:pPr>
      <w:bookmarkStart w:id="56" w:name="_Toc7265"/>
      <w:bookmarkStart w:id="57" w:name="_Toc27846"/>
      <w:r>
        <w:rPr>
          <w:rFonts w:ascii="宋体" w:hAnsi="宋体" w:eastAsia="宋体" w:cs="宋体"/>
          <w:b/>
          <w:bCs/>
          <w:sz w:val="24"/>
          <w:szCs w:val="24"/>
          <w:lang w:eastAsia="zh-CN"/>
        </w:rPr>
        <w:t>1.8计量单位</w:t>
      </w:r>
      <w:bookmarkEnd w:id="56"/>
      <w:bookmarkEnd w:id="57"/>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所有计量均采用中华人民共和国法定计量单位。</w:t>
      </w:r>
    </w:p>
    <w:p>
      <w:pPr>
        <w:spacing w:line="360" w:lineRule="auto"/>
        <w:outlineLvl w:val="0"/>
        <w:rPr>
          <w:rFonts w:ascii="宋体" w:hAnsi="宋体" w:eastAsia="宋体" w:cs="宋体"/>
          <w:sz w:val="24"/>
          <w:szCs w:val="24"/>
          <w:lang w:eastAsia="zh-CN"/>
        </w:rPr>
      </w:pPr>
      <w:bookmarkStart w:id="58" w:name="_Toc26400"/>
      <w:bookmarkStart w:id="59" w:name="_Toc1817"/>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9踏勘现场</w:t>
      </w:r>
      <w:bookmarkEnd w:id="58"/>
      <w:bookmarkEnd w:id="59"/>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1.9.1 投标人须知前附表规定组织踏勘现场的，采购人按投标人须知前附表规定的时间、地点 组织投标人踏勘项目现场。</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1.9.2 投标人踏勘现场发生的费用自理。</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1.9.3 除采购人的原因外，投标人自行负责在踏勘现场中所发生的人员伤亡和财产损失。</w:t>
      </w:r>
    </w:p>
    <w:p>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1.9.4 采购人在踏勘现场中介绍的工程场地和相关的周边环境情况，供投标人在编制投标文件</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时参考，采购人不对投标人据此作出的判断和决策负责。</w:t>
      </w:r>
    </w:p>
    <w:p>
      <w:pPr>
        <w:spacing w:line="360" w:lineRule="auto"/>
        <w:outlineLvl w:val="0"/>
        <w:rPr>
          <w:rFonts w:ascii="宋体" w:hAnsi="宋体" w:eastAsia="宋体" w:cs="宋体"/>
          <w:sz w:val="24"/>
          <w:szCs w:val="24"/>
          <w:lang w:eastAsia="zh-CN"/>
        </w:rPr>
      </w:pPr>
      <w:bookmarkStart w:id="60" w:name="_Toc9047"/>
      <w:bookmarkStart w:id="61" w:name="_Toc27857"/>
      <w:r>
        <w:rPr>
          <w:rFonts w:ascii="宋体" w:hAnsi="宋体" w:eastAsia="宋体" w:cs="宋体"/>
          <w:b/>
          <w:bCs/>
          <w:sz w:val="24"/>
          <w:szCs w:val="24"/>
          <w:lang w:eastAsia="zh-CN"/>
        </w:rPr>
        <w:t>1.10投标预备会</w:t>
      </w:r>
      <w:bookmarkEnd w:id="60"/>
      <w:bookmarkEnd w:id="61"/>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1.10.1 投标人须知前附表规定召开投标预备会的，采购人按投标人须知前附表规定的时间和 地点召开投标预备会，澄清投标人提出的问题。</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1.10.2投标人应在投标人须知前附表规定的时间前，以书面形式将提出的问题送达采购人， 以便采购人在会议期间澄清。</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1.10.3投标预备会后，采购人在投标人须知前附表规定的时间内，将对投标人所提问题的澄 清，以书面形式通知所有获取招标文件的投标人。该澄清内容为招标文件的组成部分。</w:t>
      </w:r>
    </w:p>
    <w:p>
      <w:pPr>
        <w:spacing w:line="360" w:lineRule="auto"/>
        <w:outlineLvl w:val="0"/>
        <w:rPr>
          <w:rFonts w:ascii="宋体" w:hAnsi="宋体" w:eastAsia="宋体" w:cs="宋体"/>
          <w:sz w:val="24"/>
          <w:szCs w:val="24"/>
          <w:lang w:eastAsia="zh-CN"/>
        </w:rPr>
      </w:pPr>
      <w:bookmarkStart w:id="62" w:name="_Toc10840"/>
      <w:bookmarkStart w:id="63" w:name="_Toc14763"/>
      <w:r>
        <w:rPr>
          <w:rFonts w:ascii="宋体" w:hAnsi="宋体" w:eastAsia="宋体" w:cs="宋体"/>
          <w:b/>
          <w:bCs/>
          <w:sz w:val="24"/>
          <w:szCs w:val="24"/>
          <w:lang w:eastAsia="zh-CN"/>
        </w:rPr>
        <w:t>1.11偏离</w:t>
      </w:r>
      <w:bookmarkEnd w:id="62"/>
      <w:bookmarkEnd w:id="63"/>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不允许。</w:t>
      </w:r>
    </w:p>
    <w:p>
      <w:pPr>
        <w:spacing w:line="360" w:lineRule="auto"/>
        <w:outlineLvl w:val="0"/>
        <w:rPr>
          <w:rFonts w:ascii="宋体" w:hAnsi="宋体" w:eastAsia="宋体" w:cs="宋体"/>
          <w:sz w:val="24"/>
          <w:szCs w:val="24"/>
          <w:lang w:eastAsia="zh-CN"/>
        </w:rPr>
      </w:pPr>
      <w:bookmarkStart w:id="64" w:name="_Toc17611"/>
      <w:bookmarkStart w:id="65" w:name="_Toc28505"/>
      <w:r>
        <w:rPr>
          <w:rFonts w:ascii="宋体" w:hAnsi="宋体" w:eastAsia="宋体" w:cs="宋体"/>
          <w:b/>
          <w:bCs/>
          <w:sz w:val="24"/>
          <w:szCs w:val="24"/>
          <w:lang w:eastAsia="zh-CN"/>
        </w:rPr>
        <w:t>2.招标文件</w:t>
      </w:r>
      <w:bookmarkEnd w:id="64"/>
      <w:bookmarkEnd w:id="65"/>
    </w:p>
    <w:p>
      <w:pPr>
        <w:spacing w:line="360" w:lineRule="auto"/>
        <w:outlineLvl w:val="0"/>
        <w:rPr>
          <w:rFonts w:ascii="宋体" w:hAnsi="宋体" w:eastAsia="宋体" w:cs="宋体"/>
          <w:sz w:val="24"/>
          <w:szCs w:val="24"/>
          <w:lang w:eastAsia="zh-CN"/>
        </w:rPr>
      </w:pPr>
      <w:bookmarkStart w:id="66" w:name="_Toc27672"/>
      <w:bookmarkStart w:id="67" w:name="_Toc2746"/>
      <w:r>
        <w:rPr>
          <w:rFonts w:ascii="宋体" w:hAnsi="宋体" w:eastAsia="宋体" w:cs="宋体"/>
          <w:b/>
          <w:bCs/>
          <w:sz w:val="24"/>
          <w:szCs w:val="24"/>
          <w:lang w:eastAsia="zh-CN"/>
        </w:rPr>
        <w:t>2.1招标文件的组成</w:t>
      </w:r>
      <w:bookmarkEnd w:id="66"/>
      <w:bookmarkEnd w:id="67"/>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2.1.1 本招标文件包括：</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招标公告</w:t>
      </w:r>
      <w:r>
        <w:rPr>
          <w:rFonts w:hint="eastAsia" w:ascii="宋体" w:hAnsi="宋体" w:eastAsia="宋体" w:cs="宋体"/>
          <w:sz w:val="24"/>
          <w:szCs w:val="24"/>
          <w:lang w:eastAsia="zh-CN"/>
        </w:rPr>
        <w:t>（</w:t>
      </w:r>
      <w:r>
        <w:rPr>
          <w:rFonts w:ascii="宋体" w:hAnsi="宋体" w:eastAsia="宋体" w:cs="宋体"/>
          <w:sz w:val="24"/>
          <w:szCs w:val="24"/>
          <w:lang w:eastAsia="zh-CN"/>
        </w:rPr>
        <w:t>或投标邀请书</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投标人须知；</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评标办法；</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合同条款及格式；</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投标文件格式；</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技术标准及要求。</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2.1.2 根据本章第1.10款、第2.2款和第2.3款对招标文件所作的澄清、修改，构成招标文 件的组成部分。</w:t>
      </w:r>
    </w:p>
    <w:p>
      <w:pPr>
        <w:pStyle w:val="5"/>
        <w:spacing w:line="360" w:lineRule="auto"/>
        <w:rPr>
          <w:rFonts w:ascii="宋体" w:hAnsi="宋体" w:eastAsia="宋体"/>
          <w:sz w:val="24"/>
          <w:szCs w:val="24"/>
          <w:lang w:eastAsia="zh-CN"/>
        </w:rPr>
      </w:pPr>
    </w:p>
    <w:p>
      <w:pPr>
        <w:spacing w:line="360" w:lineRule="auto"/>
        <w:outlineLvl w:val="0"/>
        <w:rPr>
          <w:rFonts w:ascii="宋体" w:hAnsi="宋体" w:eastAsia="宋体" w:cs="宋体"/>
          <w:sz w:val="24"/>
          <w:szCs w:val="24"/>
          <w:lang w:eastAsia="zh-CN"/>
        </w:rPr>
      </w:pPr>
      <w:bookmarkStart w:id="68" w:name="_Toc20502"/>
      <w:bookmarkStart w:id="69" w:name="_Toc793"/>
      <w:r>
        <w:rPr>
          <w:rFonts w:ascii="宋体" w:hAnsi="宋体" w:eastAsia="宋体" w:cs="宋体"/>
          <w:b/>
          <w:bCs/>
          <w:sz w:val="24"/>
          <w:szCs w:val="24"/>
          <w:lang w:eastAsia="zh-CN"/>
        </w:rPr>
        <w:t>2.2招标文件的澄清</w:t>
      </w:r>
      <w:bookmarkEnd w:id="68"/>
      <w:bookmarkEnd w:id="69"/>
    </w:p>
    <w:p>
      <w:pPr>
        <w:pStyle w:val="5"/>
        <w:spacing w:line="360" w:lineRule="auto"/>
        <w:rPr>
          <w:rFonts w:ascii="宋体" w:hAnsi="宋体" w:eastAsia="宋体"/>
          <w:sz w:val="24"/>
          <w:szCs w:val="24"/>
          <w:lang w:eastAsia="zh-CN"/>
        </w:rPr>
      </w:pPr>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2.2.1 投标人应仔细阅读和检查招标文件的全部内容。如发现缺页或附件不全，应及时向采购 人提出，以便补齐。如有疑问，应在投标人须知前附表规定的时间前以书面形式</w:t>
      </w:r>
      <w:r>
        <w:rPr>
          <w:rFonts w:hint="eastAsia" w:ascii="宋体" w:hAnsi="宋体" w:eastAsia="宋体" w:cs="宋体"/>
          <w:sz w:val="24"/>
          <w:szCs w:val="24"/>
          <w:lang w:eastAsia="zh-CN"/>
        </w:rPr>
        <w:t>（</w:t>
      </w:r>
      <w:r>
        <w:rPr>
          <w:rFonts w:ascii="宋体" w:hAnsi="宋体" w:eastAsia="宋体" w:cs="宋体"/>
          <w:sz w:val="24"/>
          <w:szCs w:val="24"/>
          <w:lang w:eastAsia="zh-CN"/>
        </w:rPr>
        <w:t>包括信函、电报、 传真等可以有形地表现所载内容的形式，下同</w:t>
      </w:r>
      <w:r>
        <w:rPr>
          <w:rFonts w:hint="eastAsia" w:ascii="宋体" w:hAnsi="宋体" w:eastAsia="宋体" w:cs="宋体"/>
          <w:sz w:val="24"/>
          <w:szCs w:val="24"/>
          <w:lang w:eastAsia="zh-CN"/>
        </w:rPr>
        <w:t>）</w:t>
      </w:r>
      <w:r>
        <w:rPr>
          <w:rFonts w:ascii="宋体" w:hAnsi="宋体" w:eastAsia="宋体" w:cs="宋体"/>
          <w:sz w:val="24"/>
          <w:szCs w:val="24"/>
          <w:lang w:eastAsia="zh-CN"/>
        </w:rPr>
        <w:t>,要求采购人对招标文件予以澄清。</w:t>
      </w:r>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2.2.2 招标文件的澄清将以书面形式发给所有获取招标文件的投标人，但不指明澄清问题的来 源。如果澄清发出的时间距投标人须知前附表规定的投标截止时间不足15天，并且澄清内容影响 投标文件编制的，将相应延长投标截止时间。</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2.2.3投标人在收到澄清后，应在投标人须知前附表规定的时间内以书面形式通知采购人，确 认已收到该澄清。</w:t>
      </w:r>
    </w:p>
    <w:p>
      <w:pPr>
        <w:pStyle w:val="5"/>
        <w:spacing w:line="360" w:lineRule="auto"/>
        <w:rPr>
          <w:rFonts w:ascii="宋体" w:hAnsi="宋体" w:eastAsia="宋体"/>
          <w:sz w:val="24"/>
          <w:szCs w:val="24"/>
          <w:lang w:eastAsia="zh-CN"/>
        </w:rPr>
      </w:pPr>
    </w:p>
    <w:p>
      <w:pPr>
        <w:spacing w:line="360" w:lineRule="auto"/>
        <w:outlineLvl w:val="0"/>
        <w:rPr>
          <w:rFonts w:ascii="宋体" w:hAnsi="宋体" w:eastAsia="宋体" w:cs="宋体"/>
          <w:sz w:val="24"/>
          <w:szCs w:val="24"/>
          <w:lang w:eastAsia="zh-CN"/>
        </w:rPr>
      </w:pPr>
      <w:bookmarkStart w:id="70" w:name="_Toc8842"/>
      <w:bookmarkStart w:id="71" w:name="_Toc30073"/>
      <w:r>
        <w:rPr>
          <w:rFonts w:ascii="宋体" w:hAnsi="宋体" w:eastAsia="宋体" w:cs="宋体"/>
          <w:b/>
          <w:bCs/>
          <w:sz w:val="24"/>
          <w:szCs w:val="24"/>
          <w:lang w:eastAsia="zh-CN"/>
        </w:rPr>
        <w:t>2.3招标文件的修改</w:t>
      </w:r>
      <w:bookmarkEnd w:id="70"/>
      <w:bookmarkEnd w:id="71"/>
    </w:p>
    <w:p>
      <w:pPr>
        <w:pStyle w:val="5"/>
        <w:spacing w:line="360" w:lineRule="auto"/>
        <w:rPr>
          <w:rFonts w:ascii="宋体" w:hAnsi="宋体" w:eastAsia="宋体"/>
          <w:sz w:val="24"/>
          <w:szCs w:val="24"/>
          <w:lang w:eastAsia="zh-CN"/>
        </w:rPr>
      </w:pPr>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2.3.1采购人可以书面形式修改招标文件，并通知所有已获取招标文件的投标人。但如果修改 招标文件的时间距投标截止时间不足15天，并且修改内容影响投标文件编制的，将相应延长投标 截止时间。</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2.3.2 投标人收到修改内容后，应在投标人须知前附表规定的时间内以书面形式通知采购人， 确认已收到该修改。</w:t>
      </w:r>
    </w:p>
    <w:p>
      <w:pPr>
        <w:pStyle w:val="5"/>
        <w:spacing w:line="360" w:lineRule="auto"/>
        <w:rPr>
          <w:rFonts w:ascii="宋体" w:hAnsi="宋体" w:eastAsia="宋体"/>
          <w:sz w:val="24"/>
          <w:szCs w:val="24"/>
          <w:lang w:eastAsia="zh-CN"/>
        </w:rPr>
      </w:pPr>
    </w:p>
    <w:p>
      <w:pPr>
        <w:spacing w:line="360" w:lineRule="auto"/>
        <w:outlineLvl w:val="0"/>
        <w:rPr>
          <w:rFonts w:ascii="宋体" w:hAnsi="宋体" w:eastAsia="宋体" w:cs="宋体"/>
          <w:sz w:val="24"/>
          <w:szCs w:val="24"/>
          <w:lang w:eastAsia="zh-CN"/>
        </w:rPr>
      </w:pPr>
      <w:bookmarkStart w:id="72" w:name="_Toc13642"/>
      <w:bookmarkStart w:id="73" w:name="_Toc12576"/>
      <w:r>
        <w:rPr>
          <w:rFonts w:ascii="宋体" w:hAnsi="宋体" w:eastAsia="宋体" w:cs="宋体"/>
          <w:b/>
          <w:bCs/>
          <w:sz w:val="24"/>
          <w:szCs w:val="24"/>
          <w:lang w:eastAsia="zh-CN"/>
        </w:rPr>
        <w:t>3.投标文件</w:t>
      </w:r>
      <w:bookmarkEnd w:id="72"/>
      <w:bookmarkEnd w:id="73"/>
    </w:p>
    <w:p>
      <w:pPr>
        <w:spacing w:line="360" w:lineRule="auto"/>
        <w:outlineLvl w:val="0"/>
        <w:rPr>
          <w:rFonts w:ascii="宋体" w:hAnsi="宋体" w:eastAsia="宋体" w:cs="宋体"/>
          <w:sz w:val="24"/>
          <w:szCs w:val="24"/>
          <w:lang w:eastAsia="zh-CN"/>
        </w:rPr>
      </w:pPr>
      <w:bookmarkStart w:id="74" w:name="_Toc5675"/>
      <w:bookmarkStart w:id="75" w:name="_Toc3717"/>
      <w:r>
        <w:rPr>
          <w:rFonts w:ascii="宋体" w:hAnsi="宋体" w:eastAsia="宋体" w:cs="宋体"/>
          <w:b/>
          <w:bCs/>
          <w:sz w:val="24"/>
          <w:szCs w:val="24"/>
          <w:lang w:eastAsia="zh-CN"/>
        </w:rPr>
        <w:t>3.1投标文件的组成</w:t>
      </w:r>
      <w:bookmarkEnd w:id="74"/>
      <w:bookmarkEnd w:id="75"/>
    </w:p>
    <w:p>
      <w:pPr>
        <w:pStyle w:val="5"/>
        <w:spacing w:line="360" w:lineRule="auto"/>
        <w:rPr>
          <w:rFonts w:ascii="宋体" w:hAnsi="宋体" w:eastAsia="宋体"/>
          <w:sz w:val="24"/>
          <w:szCs w:val="24"/>
          <w:lang w:eastAsia="zh-CN"/>
        </w:rPr>
      </w:pP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投标文件应包括下列内容：</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投标函及投标函附录</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法定代表人身份证明</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授权委托书</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开标一览表</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投标报价说明</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工作服务方案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项目管理机构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资格审查资料</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商务及技术条款偏离表</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其他材料</w:t>
      </w:r>
    </w:p>
    <w:p>
      <w:pPr>
        <w:spacing w:line="360" w:lineRule="auto"/>
        <w:outlineLvl w:val="0"/>
        <w:rPr>
          <w:rFonts w:ascii="宋体" w:hAnsi="宋体" w:eastAsia="宋体" w:cs="宋体"/>
          <w:sz w:val="24"/>
          <w:szCs w:val="24"/>
          <w:lang w:eastAsia="zh-CN"/>
        </w:rPr>
      </w:pPr>
      <w:bookmarkStart w:id="76" w:name="_Toc24657"/>
      <w:bookmarkStart w:id="77" w:name="_Toc3258"/>
      <w:r>
        <w:rPr>
          <w:rFonts w:ascii="宋体" w:hAnsi="宋体" w:eastAsia="宋体" w:cs="宋体"/>
          <w:b/>
          <w:bCs/>
          <w:sz w:val="24"/>
          <w:szCs w:val="24"/>
          <w:lang w:eastAsia="zh-CN"/>
        </w:rPr>
        <w:t>3.2投标报价</w:t>
      </w:r>
      <w:bookmarkEnd w:id="76"/>
      <w:bookmarkEnd w:id="77"/>
    </w:p>
    <w:p>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3.2.1 投标人应按第五章“投标文件格式”的要求填写相应表格。投标报价为项目涉及全部内 容价格</w:t>
      </w:r>
      <w:r>
        <w:rPr>
          <w:rFonts w:hint="eastAsia" w:ascii="宋体" w:hAnsi="宋体" w:eastAsia="宋体" w:cs="宋体"/>
          <w:sz w:val="24"/>
          <w:szCs w:val="24"/>
          <w:lang w:eastAsia="zh-CN"/>
        </w:rPr>
        <w:t>（</w:t>
      </w:r>
      <w:r>
        <w:rPr>
          <w:rFonts w:ascii="宋体" w:hAnsi="宋体" w:eastAsia="宋体" w:cs="宋体"/>
          <w:sz w:val="24"/>
          <w:szCs w:val="24"/>
          <w:lang w:eastAsia="zh-CN"/>
        </w:rPr>
        <w:t>包含服务、税务发票等所有费用</w:t>
      </w:r>
      <w:r>
        <w:rPr>
          <w:rFonts w:hint="eastAsia" w:ascii="宋体" w:hAnsi="宋体" w:eastAsia="宋体" w:cs="宋体"/>
          <w:sz w:val="24"/>
          <w:szCs w:val="24"/>
          <w:lang w:eastAsia="zh-CN"/>
        </w:rPr>
        <w:t>）</w:t>
      </w:r>
      <w:r>
        <w:rPr>
          <w:rFonts w:ascii="宋体" w:hAnsi="宋体" w:eastAsia="宋体" w:cs="宋体"/>
          <w:sz w:val="24"/>
          <w:szCs w:val="24"/>
          <w:lang w:eastAsia="zh-CN"/>
        </w:rPr>
        <w:t>。</w:t>
      </w:r>
    </w:p>
    <w:p>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3.2.2 投标人在投标截止时间前修改投标函中的投标报价总额，应同时修改“投标报价表”中 的相应报价，投标报价总额为各分项金额之和。此修改须符合本章第4.3款的有关要求。</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3.2.3 采购人设有招标控制价的，投标人的投标报价不得超过招标控制价。</w:t>
      </w:r>
    </w:p>
    <w:p>
      <w:pPr>
        <w:spacing w:line="360" w:lineRule="auto"/>
        <w:outlineLvl w:val="0"/>
        <w:rPr>
          <w:rFonts w:ascii="宋体" w:hAnsi="宋体" w:eastAsia="宋体" w:cs="宋体"/>
          <w:sz w:val="24"/>
          <w:szCs w:val="24"/>
          <w:lang w:eastAsia="zh-CN"/>
        </w:rPr>
      </w:pPr>
      <w:bookmarkStart w:id="78" w:name="_Toc23717"/>
      <w:bookmarkStart w:id="79" w:name="_Toc12010"/>
      <w:r>
        <w:rPr>
          <w:rFonts w:ascii="宋体" w:hAnsi="宋体" w:eastAsia="宋体" w:cs="宋体"/>
          <w:b/>
          <w:bCs/>
          <w:sz w:val="24"/>
          <w:szCs w:val="24"/>
          <w:lang w:eastAsia="zh-CN"/>
        </w:rPr>
        <w:t>3.3投标有效期</w:t>
      </w:r>
      <w:bookmarkEnd w:id="78"/>
      <w:bookmarkEnd w:id="79"/>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3.3.1投标有效期为投标截止之日起90日历天。</w:t>
      </w:r>
    </w:p>
    <w:p>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3.3.2在投标有效期内，投标人撤销或修改其投标文件的，应承担招标文件和法律规定的责任。</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3.3.3出现特殊情况需要延长投标有效期的，采购人以书面形式通知所有投标人延长投标有效</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期。投标人同意延长的，应相应延长其投标保证金的有效期，但不得要求或被允许修改或撤销其投 标文件；投标人拒绝延长的，其投标失效，但投标人有权收回其投标保证金。</w:t>
      </w:r>
    </w:p>
    <w:p>
      <w:pPr>
        <w:spacing w:line="360" w:lineRule="auto"/>
        <w:outlineLvl w:val="0"/>
        <w:rPr>
          <w:rFonts w:ascii="宋体" w:hAnsi="宋体" w:eastAsia="宋体" w:cs="宋体"/>
          <w:sz w:val="24"/>
          <w:szCs w:val="24"/>
          <w:lang w:eastAsia="zh-CN"/>
        </w:rPr>
      </w:pPr>
      <w:bookmarkStart w:id="80" w:name="_Toc4594"/>
      <w:bookmarkStart w:id="81" w:name="_Toc13292"/>
      <w:r>
        <w:rPr>
          <w:rFonts w:ascii="宋体" w:hAnsi="宋体" w:eastAsia="宋体" w:cs="宋体"/>
          <w:b/>
          <w:bCs/>
          <w:sz w:val="24"/>
          <w:szCs w:val="24"/>
          <w:lang w:eastAsia="zh-CN"/>
        </w:rPr>
        <w:t>3.4投标保证金</w:t>
      </w:r>
      <w:bookmarkEnd w:id="80"/>
      <w:bookmarkEnd w:id="81"/>
    </w:p>
    <w:p>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3.4.1 投标人须知前附表规定递交投标保证金的，投标人在递交投标文件的同时，应按投标人 须知前附表规定的金额、担保形式和第八章“投标文件格式”规定的或者事先经过采购人认可的投 标保证金格式递交投标保证金，并作为其投标文件的组成部分。</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3.4.2 投标人不按本章第3.4.1项要求提交投标保证金的，评标委员会将否决其投标。</w:t>
      </w:r>
    </w:p>
    <w:p>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3.4.3 采购人在中标公示期结束后十日内返还未中标投标单位的投标保证金，在签订合同后五 日内返还中标人的投标保证金。未中标单位的投标保函原件在中标公示期结束后十日内返还，中标 人的投标保函原件在签订合同后五日内返还。</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3.4.4 有下列情形之一的，投标保证金将不予退还：</w:t>
      </w:r>
    </w:p>
    <w:p>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投标人在投标有效期内撤销投标文件的；</w:t>
      </w:r>
    </w:p>
    <w:p>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中标通知书发出后，中标人无故放弃中标项目或无正当理由在规定时间内不与采购人 签订合同</w:t>
      </w:r>
      <w:r>
        <w:rPr>
          <w:rFonts w:hint="eastAsia" w:ascii="宋体" w:hAnsi="宋体" w:eastAsia="宋体" w:cs="宋体"/>
          <w:sz w:val="24"/>
          <w:szCs w:val="24"/>
          <w:lang w:eastAsia="zh-CN"/>
        </w:rPr>
        <w:t>；</w:t>
      </w:r>
    </w:p>
    <w:p>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其他违反法律法规的情况。</w:t>
      </w:r>
    </w:p>
    <w:p>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3.4.5投标人采取保函方式交纳投标保证金的，如违反3.4.4条规定，采购人将不予退还投标 保函，由出具保函的机构依法有关规定，将投标保证金转入采购人基本帐户。</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3.5 资格审查资料</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3.5.1“投标人基本情况表”应附投标人营业执照等材料的复印件。</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3.5.2“近年完成的类似项目情况表”应附中标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通知书或合同协议书复印件，具体</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年份要求见投标人须知前附表。每张表格只填写一个项目，并标明序号。</w:t>
      </w:r>
    </w:p>
    <w:p>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3.5.3“正在实施和新承接的项目情况表”应附中标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通知书或合同协议书复印件。每 张表格只填写一个项目，并标明序号。</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3.6投标文件的编制</w:t>
      </w:r>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3.6.1投标文件应按第八章“投标文件格式”进行编写，如有必要，可以增加附页，作为投标 文件的组成部分。其中，投标函附录在满足招标文件实质性要求的基础上，可以提出比招标文件要 求更有利于采购人的承诺。</w:t>
      </w:r>
    </w:p>
    <w:p>
      <w:pPr>
        <w:spacing w:line="360" w:lineRule="auto"/>
        <w:ind w:firstLine="409"/>
        <w:rPr>
          <w:rFonts w:ascii="宋体" w:hAnsi="宋体" w:eastAsia="宋体" w:cs="宋体"/>
          <w:sz w:val="24"/>
          <w:szCs w:val="24"/>
          <w:lang w:eastAsia="zh-CN"/>
        </w:rPr>
      </w:pPr>
      <w:r>
        <w:rPr>
          <w:rFonts w:ascii="宋体" w:hAnsi="宋体" w:eastAsia="宋体" w:cs="宋体"/>
          <w:sz w:val="24"/>
          <w:szCs w:val="24"/>
          <w:lang w:eastAsia="zh-CN"/>
        </w:rPr>
        <w:t>3.6.2 投标文件应当对招标文件有关服务、投标有效期、服务标准、采购需求、招标范围等实 质性内容作出响应。</w:t>
      </w:r>
    </w:p>
    <w:p>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3.6.3投标文件应用不褪色的材料书写或打印，并由投标人的法定代表人或其委托代理人签字 或盖单位章。委托代理人签字的，投标文件应附法定代表人签署的授权委托书。投标文件应尽量避 免涂改、行间插字或删除。如果出现上述情况，改动之处应加盖单位章或由投标人的法定代表人或 其授权的代理人签字确认。签字或盖章的具体要求见投标人须知前附表。</w:t>
      </w:r>
    </w:p>
    <w:p>
      <w:pPr>
        <w:spacing w:line="360" w:lineRule="auto"/>
        <w:ind w:firstLine="489"/>
        <w:rPr>
          <w:rFonts w:ascii="宋体" w:hAnsi="宋体" w:eastAsia="宋体" w:cs="宋体"/>
          <w:sz w:val="24"/>
          <w:szCs w:val="24"/>
          <w:lang w:eastAsia="zh-CN"/>
        </w:rPr>
      </w:pPr>
      <w:r>
        <w:rPr>
          <w:rFonts w:ascii="宋体" w:hAnsi="宋体" w:eastAsia="宋体" w:cs="宋体"/>
          <w:sz w:val="24"/>
          <w:szCs w:val="24"/>
          <w:lang w:eastAsia="zh-CN"/>
        </w:rPr>
        <w:t>3.6.4 投标文件正本一份，副本份数见投标人须知前附表。正本和副本的封面上应清楚地标记 “正本”或“副本”的字样。当副本和正本不一致时，以正本为准。</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3.6.5 投标文件的正本与副本应分别装订成册，具体装订要求见投标人须知前附表规定。</w:t>
      </w:r>
    </w:p>
    <w:p>
      <w:pPr>
        <w:pStyle w:val="5"/>
        <w:spacing w:line="360" w:lineRule="auto"/>
        <w:rPr>
          <w:rFonts w:ascii="宋体" w:hAnsi="宋体" w:eastAsia="宋体"/>
          <w:sz w:val="24"/>
          <w:szCs w:val="24"/>
          <w:lang w:eastAsia="zh-CN"/>
        </w:rPr>
      </w:pP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 投标</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4.1 投标文件的密封和标记</w:t>
      </w:r>
    </w:p>
    <w:p>
      <w:pPr>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4.1.1 投标文件正本、副本应密封包装在一起并加贴封条，在封套的封口处加盖投标人单章。</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4.1.2 投标文件封套上应写明的内容见投标人须知前附表。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4.1.3未按本章第4.1.1项或第4.1.2项要求密封和加写标记的投标文件，采购人应予拒收。</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4.2 投标文件的递交</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4.2.1 投标人应在本章第2.2.2项规定的投标截止时间前递交投标文件。</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4.2.2 投标人递交投标文件的地点：见投标人须知前附表。</w:t>
      </w:r>
    </w:p>
    <w:p>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4.2.3 除投标人须知前附表另有规定外，投标人所递交的投标文件不予退还。</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4.2.4 采购人收到投标文件后，向投标人出具签收凭证。</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4.2.5 逾期送达的或者未送达指定地点的投标文件，采购人不予受理。</w:t>
      </w:r>
    </w:p>
    <w:p>
      <w:pPr>
        <w:spacing w:line="360" w:lineRule="auto"/>
        <w:outlineLvl w:val="0"/>
        <w:rPr>
          <w:rFonts w:ascii="宋体" w:hAnsi="宋体" w:eastAsia="宋体" w:cs="宋体"/>
          <w:sz w:val="24"/>
          <w:szCs w:val="24"/>
          <w:lang w:eastAsia="zh-CN"/>
        </w:rPr>
      </w:pPr>
      <w:bookmarkStart w:id="82" w:name="_Toc9469"/>
      <w:bookmarkStart w:id="83" w:name="_Toc14977"/>
      <w:r>
        <w:rPr>
          <w:rFonts w:ascii="宋体" w:hAnsi="宋体" w:eastAsia="宋体" w:cs="宋体"/>
          <w:b/>
          <w:bCs/>
          <w:sz w:val="24"/>
          <w:szCs w:val="24"/>
          <w:lang w:eastAsia="zh-CN"/>
        </w:rPr>
        <w:t>4.3投标文件的修改与撤回</w:t>
      </w:r>
      <w:bookmarkEnd w:id="82"/>
      <w:bookmarkEnd w:id="83"/>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4.3.1 在本章第2.2.2项规定的投标截止时间前，投标人可以修改或撤回已递交的投标文件， 但应以书面形式通知采购人。</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4.3.2 投标人修改或撤回已递交投标文件的书面通知应按照本章第3.6.3项的要求签字或盖 章。采购人收到书面通知后，向投标人出具签收凭证。</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4.3.3 投标人撤回投标文件的，采购人自收到投标人书面撤回通知之日起5日内退还已收取的 投标保证金。</w:t>
      </w:r>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4.3.4 修改的内容为投标文件的组成部分。修改的投标文件应按照本章第3条、第4条规定进 行编制、密封、标记和递交，并标明“修改”字样。</w:t>
      </w:r>
    </w:p>
    <w:p>
      <w:pPr>
        <w:spacing w:line="360" w:lineRule="auto"/>
        <w:outlineLvl w:val="0"/>
        <w:rPr>
          <w:rFonts w:ascii="宋体" w:hAnsi="宋体" w:eastAsia="宋体" w:cs="宋体"/>
          <w:sz w:val="24"/>
          <w:szCs w:val="24"/>
          <w:lang w:eastAsia="zh-CN"/>
        </w:rPr>
      </w:pPr>
      <w:bookmarkStart w:id="84" w:name="_Toc147"/>
      <w:bookmarkStart w:id="85" w:name="_Toc6663"/>
      <w:r>
        <w:rPr>
          <w:rFonts w:ascii="宋体" w:hAnsi="宋体" w:eastAsia="宋体" w:cs="宋体"/>
          <w:b/>
          <w:bCs/>
          <w:sz w:val="24"/>
          <w:szCs w:val="24"/>
          <w:lang w:eastAsia="zh-CN"/>
        </w:rPr>
        <w:t>5.开标</w:t>
      </w:r>
      <w:bookmarkEnd w:id="84"/>
      <w:bookmarkEnd w:id="85"/>
    </w:p>
    <w:p>
      <w:pPr>
        <w:spacing w:line="360" w:lineRule="auto"/>
        <w:outlineLvl w:val="0"/>
        <w:rPr>
          <w:rFonts w:ascii="宋体" w:hAnsi="宋体" w:eastAsia="宋体" w:cs="宋体"/>
          <w:sz w:val="24"/>
          <w:szCs w:val="24"/>
          <w:lang w:eastAsia="zh-CN"/>
        </w:rPr>
      </w:pPr>
      <w:bookmarkStart w:id="86" w:name="_Toc7012"/>
      <w:bookmarkStart w:id="87" w:name="_Toc4365"/>
      <w:r>
        <w:rPr>
          <w:rFonts w:ascii="宋体" w:hAnsi="宋体" w:eastAsia="宋体" w:cs="宋体"/>
          <w:b/>
          <w:bCs/>
          <w:sz w:val="24"/>
          <w:szCs w:val="24"/>
          <w:lang w:eastAsia="zh-CN"/>
        </w:rPr>
        <w:t>5.1开标时间和地点</w:t>
      </w:r>
      <w:bookmarkEnd w:id="86"/>
      <w:bookmarkEnd w:id="87"/>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采购人在本章第2.2.2项规定的投标截止时间</w:t>
      </w:r>
      <w:r>
        <w:rPr>
          <w:rFonts w:hint="eastAsia" w:ascii="宋体" w:hAnsi="宋体" w:eastAsia="宋体" w:cs="宋体"/>
          <w:sz w:val="24"/>
          <w:szCs w:val="24"/>
          <w:lang w:eastAsia="zh-CN"/>
        </w:rPr>
        <w:t>（</w:t>
      </w:r>
      <w:r>
        <w:rPr>
          <w:rFonts w:ascii="宋体" w:hAnsi="宋体" w:eastAsia="宋体" w:cs="宋体"/>
          <w:sz w:val="24"/>
          <w:szCs w:val="24"/>
          <w:lang w:eastAsia="zh-CN"/>
        </w:rPr>
        <w:t>开标时间</w:t>
      </w:r>
      <w:r>
        <w:rPr>
          <w:rFonts w:hint="eastAsia" w:ascii="宋体" w:hAnsi="宋体" w:eastAsia="宋体" w:cs="宋体"/>
          <w:sz w:val="24"/>
          <w:szCs w:val="24"/>
          <w:lang w:eastAsia="zh-CN"/>
        </w:rPr>
        <w:t>）</w:t>
      </w:r>
      <w:r>
        <w:rPr>
          <w:rFonts w:ascii="宋体" w:hAnsi="宋体" w:eastAsia="宋体" w:cs="宋体"/>
          <w:sz w:val="24"/>
          <w:szCs w:val="24"/>
          <w:lang w:eastAsia="zh-CN"/>
        </w:rPr>
        <w:t>和投标人须知前附表规定的地点公 开开标，并邀请所有投标人的法定代表人或其委托代理人准时参加。</w:t>
      </w:r>
    </w:p>
    <w:p>
      <w:pPr>
        <w:spacing w:line="360" w:lineRule="auto"/>
        <w:outlineLvl w:val="0"/>
        <w:rPr>
          <w:rFonts w:ascii="宋体" w:hAnsi="宋体" w:eastAsia="宋体" w:cs="宋体"/>
          <w:sz w:val="24"/>
          <w:szCs w:val="24"/>
          <w:lang w:eastAsia="zh-CN"/>
        </w:rPr>
      </w:pPr>
      <w:bookmarkStart w:id="88" w:name="_Toc2638"/>
      <w:bookmarkStart w:id="89" w:name="_Toc4542"/>
      <w:r>
        <w:rPr>
          <w:rFonts w:ascii="宋体" w:hAnsi="宋体" w:eastAsia="宋体" w:cs="宋体"/>
          <w:b/>
          <w:bCs/>
          <w:sz w:val="24"/>
          <w:szCs w:val="24"/>
          <w:lang w:eastAsia="zh-CN"/>
        </w:rPr>
        <w:t>5.2开标程序</w:t>
      </w:r>
      <w:bookmarkEnd w:id="88"/>
      <w:bookmarkEnd w:id="89"/>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主持人按下列程序进行开标：</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宣布开标纪律；</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公布在投标截止时间前递交投标文件的投标人名称，并点名确认投标人是否派人到场；</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宣布开标人、唱标人、记录人、监标人等有关人员姓名；</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按照投标人须知前附表规定检查投标文件的密封情况；</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按照投标人须知前附表的规定确定并宣布投标文件开标顺序；</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按照宣布的开标顺序当众开标，公布投标人名称、投标保证金的递交情况</w:t>
      </w:r>
      <w:r>
        <w:rPr>
          <w:rFonts w:hint="eastAsia" w:ascii="宋体" w:hAnsi="宋体" w:eastAsia="宋体" w:cs="宋体"/>
          <w:sz w:val="24"/>
          <w:szCs w:val="24"/>
          <w:lang w:eastAsia="zh-CN"/>
        </w:rPr>
        <w:t>（</w:t>
      </w:r>
      <w:r>
        <w:rPr>
          <w:rFonts w:ascii="宋体" w:hAnsi="宋体" w:eastAsia="宋体" w:cs="宋体"/>
          <w:sz w:val="24"/>
          <w:szCs w:val="24"/>
          <w:lang w:eastAsia="zh-CN"/>
        </w:rPr>
        <w:t>若有</w:t>
      </w:r>
      <w:r>
        <w:rPr>
          <w:rFonts w:hint="eastAsia" w:ascii="宋体" w:hAnsi="宋体" w:eastAsia="宋体" w:cs="宋体"/>
          <w:sz w:val="24"/>
          <w:szCs w:val="24"/>
          <w:lang w:eastAsia="zh-CN"/>
        </w:rPr>
        <w:t>）</w:t>
      </w:r>
      <w:r>
        <w:rPr>
          <w:rFonts w:ascii="宋体" w:hAnsi="宋体" w:eastAsia="宋体" w:cs="宋体"/>
          <w:sz w:val="24"/>
          <w:szCs w:val="24"/>
          <w:lang w:eastAsia="zh-CN"/>
        </w:rPr>
        <w:t>、投标</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报价、服务标准、服务期及其他内容，并记录在案；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规定采购预算的，公布采购预算；</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供应商代表、采购人代表、监标人、记录人等有关人员在开标记录上签字确认；</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供应商若有异议应当当场提出；</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开标结束。</w:t>
      </w:r>
    </w:p>
    <w:p>
      <w:pPr>
        <w:spacing w:line="360" w:lineRule="auto"/>
        <w:outlineLvl w:val="0"/>
        <w:rPr>
          <w:rFonts w:ascii="宋体" w:hAnsi="宋体" w:eastAsia="宋体" w:cs="宋体"/>
          <w:sz w:val="24"/>
          <w:szCs w:val="24"/>
          <w:lang w:eastAsia="zh-CN"/>
        </w:rPr>
      </w:pPr>
      <w:bookmarkStart w:id="90" w:name="_Toc26430"/>
      <w:bookmarkStart w:id="91" w:name="_Toc10944"/>
      <w:r>
        <w:rPr>
          <w:rFonts w:ascii="宋体" w:hAnsi="宋体" w:eastAsia="宋体" w:cs="宋体"/>
          <w:b/>
          <w:bCs/>
          <w:sz w:val="24"/>
          <w:szCs w:val="24"/>
          <w:lang w:eastAsia="zh-CN"/>
        </w:rPr>
        <w:t>5.3开标异议</w:t>
      </w:r>
      <w:bookmarkEnd w:id="90"/>
      <w:bookmarkEnd w:id="91"/>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供应商对开标有异议的，应当在开标现场提出，采购人当场作出答复，并制作记录。</w:t>
      </w:r>
    </w:p>
    <w:p>
      <w:pPr>
        <w:spacing w:line="360" w:lineRule="auto"/>
        <w:outlineLvl w:val="0"/>
        <w:rPr>
          <w:rFonts w:ascii="宋体" w:hAnsi="宋体" w:eastAsia="宋体" w:cs="宋体"/>
          <w:sz w:val="24"/>
          <w:szCs w:val="24"/>
          <w:lang w:eastAsia="zh-CN"/>
        </w:rPr>
      </w:pPr>
      <w:bookmarkStart w:id="92" w:name="_Toc14884"/>
      <w:bookmarkStart w:id="93" w:name="_Toc2902"/>
      <w:r>
        <w:rPr>
          <w:rFonts w:ascii="宋体" w:hAnsi="宋体" w:eastAsia="宋体" w:cs="宋体"/>
          <w:b/>
          <w:bCs/>
          <w:sz w:val="24"/>
          <w:szCs w:val="24"/>
          <w:lang w:eastAsia="zh-CN"/>
        </w:rPr>
        <w:t>6.评标</w:t>
      </w:r>
      <w:bookmarkEnd w:id="92"/>
      <w:bookmarkEnd w:id="93"/>
    </w:p>
    <w:p>
      <w:pPr>
        <w:spacing w:line="360" w:lineRule="auto"/>
        <w:outlineLvl w:val="0"/>
        <w:rPr>
          <w:rFonts w:ascii="宋体" w:hAnsi="宋体" w:eastAsia="宋体" w:cs="宋体"/>
          <w:sz w:val="24"/>
          <w:szCs w:val="24"/>
          <w:lang w:eastAsia="zh-CN"/>
        </w:rPr>
      </w:pPr>
      <w:bookmarkStart w:id="94" w:name="_Toc1669"/>
      <w:bookmarkStart w:id="95" w:name="_Toc14762"/>
      <w:r>
        <w:rPr>
          <w:rFonts w:ascii="宋体" w:hAnsi="宋体" w:eastAsia="宋体" w:cs="宋体"/>
          <w:b/>
          <w:bCs/>
          <w:sz w:val="24"/>
          <w:szCs w:val="24"/>
          <w:lang w:eastAsia="zh-CN"/>
        </w:rPr>
        <w:t>6.1评标委员会</w:t>
      </w:r>
      <w:bookmarkEnd w:id="94"/>
      <w:bookmarkEnd w:id="95"/>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6.1.1 评标由采购人依法组建的评标委员会负责。评标委员会由采购人或其委托的采购代理机 构熟悉相关业务的代表，以及有关技术、经济等方面的专家组成。评标委员会成员人数以及技术、 经济等方面专家的确定方式见投标人须知前附表。</w:t>
      </w:r>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6.1.2 评标委员会成员有下列情形之一的，应当回避：</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参加采购活动前3年内与供应商存在劳动关系；</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参加采购活动前3年内担任供应商的董事、监事；</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（3）参加采购活动前3年内是供应商的控股股东或者实际控制人；</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（4）与供应商的法定代表人或者负责人有夫妻、直系血亲、三代以内旁系血亲或者近姻亲关系；</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（5）与供应商有其他可能影响政府采购活动公平、公正进行的关系。</w:t>
      </w:r>
    </w:p>
    <w:p>
      <w:pPr>
        <w:spacing w:line="360" w:lineRule="auto"/>
        <w:outlineLvl w:val="0"/>
        <w:rPr>
          <w:rFonts w:ascii="宋体" w:hAnsi="宋体" w:eastAsia="宋体" w:cs="宋体"/>
          <w:sz w:val="24"/>
          <w:szCs w:val="24"/>
          <w:lang w:eastAsia="zh-CN"/>
        </w:rPr>
      </w:pPr>
      <w:bookmarkStart w:id="96" w:name="_Toc22017"/>
      <w:bookmarkStart w:id="97" w:name="_Toc15160"/>
      <w:r>
        <w:rPr>
          <w:rFonts w:ascii="宋体" w:hAnsi="宋体" w:eastAsia="宋体" w:cs="宋体"/>
          <w:b/>
          <w:bCs/>
          <w:sz w:val="24"/>
          <w:szCs w:val="24"/>
          <w:lang w:eastAsia="zh-CN"/>
        </w:rPr>
        <w:t>6.2评标原则</w:t>
      </w:r>
      <w:bookmarkEnd w:id="96"/>
      <w:bookmarkEnd w:id="97"/>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评标活动遵循公平、公正、科学和择优的原则。</w:t>
      </w:r>
    </w:p>
    <w:p>
      <w:pPr>
        <w:spacing w:line="360" w:lineRule="auto"/>
        <w:outlineLvl w:val="0"/>
        <w:rPr>
          <w:rFonts w:ascii="宋体" w:hAnsi="宋体" w:eastAsia="宋体" w:cs="宋体"/>
          <w:sz w:val="24"/>
          <w:szCs w:val="24"/>
          <w:lang w:eastAsia="zh-CN"/>
        </w:rPr>
      </w:pPr>
      <w:bookmarkStart w:id="98" w:name="_Toc23202"/>
      <w:bookmarkStart w:id="99" w:name="_Toc32285"/>
      <w:r>
        <w:rPr>
          <w:rFonts w:ascii="宋体" w:hAnsi="宋体" w:eastAsia="宋体" w:cs="宋体"/>
          <w:b/>
          <w:bCs/>
          <w:sz w:val="24"/>
          <w:szCs w:val="24"/>
          <w:lang w:eastAsia="zh-CN"/>
        </w:rPr>
        <w:t>6.3评标</w:t>
      </w:r>
      <w:bookmarkEnd w:id="98"/>
      <w:bookmarkEnd w:id="99"/>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评标委员会按照第三章“评标办法”规定的方法、评审因素、标准和程序对投标文件进行评审。 第三章“评标办法”没有规定的方法、评审因素和标准，不作为评标依据。</w:t>
      </w:r>
    </w:p>
    <w:p>
      <w:pPr>
        <w:spacing w:line="360" w:lineRule="auto"/>
        <w:outlineLvl w:val="0"/>
        <w:rPr>
          <w:rFonts w:ascii="宋体" w:hAnsi="宋体" w:eastAsia="宋体" w:cs="宋体"/>
          <w:sz w:val="24"/>
          <w:szCs w:val="24"/>
          <w:lang w:eastAsia="zh-CN"/>
        </w:rPr>
      </w:pPr>
      <w:bookmarkStart w:id="100" w:name="_Toc25301"/>
      <w:bookmarkStart w:id="101" w:name="_Toc29962"/>
      <w:r>
        <w:rPr>
          <w:rFonts w:ascii="宋体" w:hAnsi="宋体" w:eastAsia="宋体" w:cs="宋体"/>
          <w:b/>
          <w:bCs/>
          <w:sz w:val="24"/>
          <w:szCs w:val="24"/>
          <w:lang w:eastAsia="zh-CN"/>
        </w:rPr>
        <w:t>7.合同授予</w:t>
      </w:r>
      <w:bookmarkEnd w:id="100"/>
      <w:bookmarkEnd w:id="101"/>
    </w:p>
    <w:p>
      <w:pPr>
        <w:spacing w:line="360" w:lineRule="auto"/>
        <w:outlineLvl w:val="0"/>
        <w:rPr>
          <w:rFonts w:ascii="宋体" w:hAnsi="宋体" w:eastAsia="宋体" w:cs="宋体"/>
          <w:sz w:val="24"/>
          <w:szCs w:val="24"/>
          <w:lang w:eastAsia="zh-CN"/>
        </w:rPr>
      </w:pPr>
      <w:bookmarkStart w:id="102" w:name="_Toc27060"/>
      <w:bookmarkStart w:id="103" w:name="_Toc24280"/>
      <w:r>
        <w:rPr>
          <w:rFonts w:ascii="宋体" w:hAnsi="宋体" w:eastAsia="宋体" w:cs="宋体"/>
          <w:b/>
          <w:bCs/>
          <w:sz w:val="24"/>
          <w:szCs w:val="24"/>
          <w:lang w:eastAsia="zh-CN"/>
        </w:rPr>
        <w:t>7.1定标方式</w:t>
      </w:r>
      <w:bookmarkEnd w:id="102"/>
      <w:bookmarkEnd w:id="103"/>
    </w:p>
    <w:p>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除投标人须知前附表规定评标委员会直接确定中标人外，采购人依据评标委员会推荐的中标候 选人确定中标人，评标委员会推荐中标候选人的人数见投标人须知前附表。</w:t>
      </w:r>
    </w:p>
    <w:p>
      <w:pPr>
        <w:pStyle w:val="5"/>
        <w:spacing w:line="360" w:lineRule="auto"/>
        <w:rPr>
          <w:rFonts w:ascii="宋体" w:hAnsi="宋体" w:eastAsia="宋体"/>
          <w:sz w:val="24"/>
          <w:szCs w:val="24"/>
          <w:lang w:eastAsia="zh-CN"/>
        </w:rPr>
      </w:pPr>
    </w:p>
    <w:p>
      <w:pPr>
        <w:spacing w:line="360" w:lineRule="auto"/>
        <w:outlineLvl w:val="0"/>
        <w:rPr>
          <w:rFonts w:ascii="宋体" w:hAnsi="宋体" w:eastAsia="宋体" w:cs="宋体"/>
          <w:sz w:val="24"/>
          <w:szCs w:val="24"/>
          <w:lang w:eastAsia="zh-CN"/>
        </w:rPr>
      </w:pPr>
      <w:bookmarkStart w:id="104" w:name="_Toc18902"/>
      <w:bookmarkStart w:id="105" w:name="_Toc5418"/>
      <w:r>
        <w:rPr>
          <w:rFonts w:ascii="宋体" w:hAnsi="宋体" w:eastAsia="宋体" w:cs="宋体"/>
          <w:b/>
          <w:bCs/>
          <w:sz w:val="24"/>
          <w:szCs w:val="24"/>
          <w:lang w:eastAsia="zh-CN"/>
        </w:rPr>
        <w:t>7.2中标候选人公示</w:t>
      </w:r>
      <w:bookmarkEnd w:id="104"/>
      <w:bookmarkEnd w:id="105"/>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采购人在投标人须知前附表规定的媒介公示中标候选人。</w:t>
      </w:r>
    </w:p>
    <w:p>
      <w:pPr>
        <w:spacing w:line="360" w:lineRule="auto"/>
        <w:outlineLvl w:val="0"/>
        <w:rPr>
          <w:rFonts w:ascii="宋体" w:hAnsi="宋体" w:eastAsia="宋体" w:cs="宋体"/>
          <w:sz w:val="24"/>
          <w:szCs w:val="24"/>
          <w:lang w:eastAsia="zh-CN"/>
        </w:rPr>
      </w:pPr>
      <w:bookmarkStart w:id="106" w:name="_Toc20416"/>
      <w:bookmarkStart w:id="107" w:name="_Toc31380"/>
      <w:r>
        <w:rPr>
          <w:rFonts w:ascii="宋体" w:hAnsi="宋体" w:eastAsia="宋体" w:cs="宋体"/>
          <w:b/>
          <w:bCs/>
          <w:sz w:val="24"/>
          <w:szCs w:val="24"/>
          <w:lang w:eastAsia="zh-CN"/>
        </w:rPr>
        <w:t>7.3中标通知</w:t>
      </w:r>
      <w:bookmarkEnd w:id="106"/>
      <w:bookmarkEnd w:id="107"/>
    </w:p>
    <w:p>
      <w:pPr>
        <w:spacing w:line="360" w:lineRule="auto"/>
        <w:ind w:firstLine="439"/>
        <w:rPr>
          <w:rFonts w:ascii="宋体" w:hAnsi="宋体" w:eastAsia="宋体" w:cs="黑体"/>
          <w:sz w:val="24"/>
          <w:szCs w:val="24"/>
          <w:lang w:eastAsia="zh-CN"/>
        </w:rPr>
      </w:pPr>
      <w:r>
        <w:rPr>
          <w:rFonts w:ascii="宋体" w:hAnsi="宋体" w:eastAsia="宋体" w:cs="宋体"/>
          <w:sz w:val="24"/>
          <w:szCs w:val="24"/>
          <w:lang w:eastAsia="zh-CN"/>
        </w:rPr>
        <w:t xml:space="preserve">在本章第3.3款规定的投标有效期内，采购人以书面形式向中标人发出中标通知书，同时将中 </w:t>
      </w:r>
      <w:r>
        <w:rPr>
          <w:rFonts w:ascii="宋体" w:hAnsi="宋体" w:eastAsia="宋体" w:cs="黑体"/>
          <w:sz w:val="24"/>
          <w:szCs w:val="24"/>
          <w:lang w:eastAsia="zh-CN"/>
        </w:rPr>
        <w:t>标结果通知未中标的投标人。</w:t>
      </w:r>
    </w:p>
    <w:p>
      <w:pPr>
        <w:spacing w:line="360" w:lineRule="auto"/>
        <w:outlineLvl w:val="0"/>
        <w:rPr>
          <w:rFonts w:ascii="宋体" w:hAnsi="宋体" w:eastAsia="宋体" w:cs="宋体"/>
          <w:sz w:val="24"/>
          <w:szCs w:val="24"/>
          <w:lang w:eastAsia="zh-CN"/>
        </w:rPr>
      </w:pPr>
      <w:bookmarkStart w:id="108" w:name="_Toc26884"/>
      <w:bookmarkStart w:id="109" w:name="_Toc23272"/>
      <w:r>
        <w:rPr>
          <w:rFonts w:ascii="宋体" w:hAnsi="宋体" w:eastAsia="宋体" w:cs="宋体"/>
          <w:b/>
          <w:bCs/>
          <w:sz w:val="24"/>
          <w:szCs w:val="24"/>
          <w:lang w:eastAsia="zh-CN"/>
        </w:rPr>
        <w:t>7.4履约担保</w:t>
      </w:r>
      <w:bookmarkEnd w:id="108"/>
      <w:bookmarkEnd w:id="109"/>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7.4.1在签订合同前，中标人应按投标人须知前附表规定的担保形式和招标文件第四章“合同 条款及格式”规定的或者事先经过采购人书面认可的履约担保格式向采购人提交履约担保。</w:t>
      </w:r>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7.4.2中标人不能按本章第7.4.1项要求提交履约担保的，视为放弃中标，其投标保证金不予 退还，给采购人造成的损失超过投标保证金数额的，中标人还应当对超过部分予以赔偿。</w:t>
      </w:r>
    </w:p>
    <w:p>
      <w:pPr>
        <w:spacing w:line="360" w:lineRule="auto"/>
        <w:outlineLvl w:val="0"/>
        <w:rPr>
          <w:rFonts w:ascii="宋体" w:hAnsi="宋体" w:eastAsia="宋体" w:cs="宋体"/>
          <w:sz w:val="24"/>
          <w:szCs w:val="24"/>
          <w:lang w:eastAsia="zh-CN"/>
        </w:rPr>
      </w:pPr>
      <w:bookmarkStart w:id="110" w:name="_Toc604"/>
      <w:bookmarkStart w:id="111" w:name="_Toc19233"/>
      <w:r>
        <w:rPr>
          <w:rFonts w:ascii="宋体" w:hAnsi="宋体" w:eastAsia="宋体" w:cs="宋体"/>
          <w:b/>
          <w:bCs/>
          <w:sz w:val="24"/>
          <w:szCs w:val="24"/>
          <w:lang w:eastAsia="zh-CN"/>
        </w:rPr>
        <w:t>7.5签订合同</w:t>
      </w:r>
      <w:bookmarkEnd w:id="110"/>
      <w:bookmarkEnd w:id="111"/>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7.5.1采购人和中标人应当自中标通知书发出之日起30天内，根据招标文件和中标人的投标文 件订立书面合同。中标人无正当理由拒签合同的，采购人取消其中标资格，其投标保证金不予退还； 给采购人造成的损失超过投标保证金数额的，中标人还应当对超过部分予以赔偿。</w:t>
      </w:r>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7.5.2 发出中标通知书后，采购人无正当理由拒签合同的，采购人向中标人退还投标保证金； 给中标人造成损失的，还应当赔偿损失。</w:t>
      </w:r>
    </w:p>
    <w:p>
      <w:pPr>
        <w:spacing w:line="360" w:lineRule="auto"/>
        <w:outlineLvl w:val="0"/>
        <w:rPr>
          <w:rFonts w:ascii="宋体" w:hAnsi="宋体" w:eastAsia="宋体" w:cs="宋体"/>
          <w:sz w:val="24"/>
          <w:szCs w:val="24"/>
          <w:lang w:eastAsia="zh-CN"/>
        </w:rPr>
      </w:pPr>
      <w:bookmarkStart w:id="112" w:name="_Toc5208"/>
      <w:bookmarkStart w:id="113" w:name="_Toc15882"/>
      <w:r>
        <w:rPr>
          <w:rFonts w:ascii="宋体" w:hAnsi="宋体" w:eastAsia="宋体" w:cs="宋体"/>
          <w:b/>
          <w:bCs/>
          <w:sz w:val="24"/>
          <w:szCs w:val="24"/>
          <w:lang w:eastAsia="zh-CN"/>
        </w:rPr>
        <w:t>8.重新招标和不再招标</w:t>
      </w:r>
      <w:bookmarkEnd w:id="112"/>
      <w:bookmarkEnd w:id="113"/>
    </w:p>
    <w:p>
      <w:pPr>
        <w:spacing w:line="360" w:lineRule="auto"/>
        <w:outlineLvl w:val="0"/>
        <w:rPr>
          <w:rFonts w:ascii="宋体" w:hAnsi="宋体" w:eastAsia="宋体" w:cs="宋体"/>
          <w:sz w:val="24"/>
          <w:szCs w:val="24"/>
          <w:lang w:eastAsia="zh-CN"/>
        </w:rPr>
      </w:pPr>
      <w:bookmarkStart w:id="114" w:name="_Toc29954"/>
      <w:bookmarkStart w:id="115" w:name="_Toc23565"/>
      <w:r>
        <w:rPr>
          <w:rFonts w:ascii="宋体" w:hAnsi="宋体" w:eastAsia="宋体" w:cs="宋体"/>
          <w:b/>
          <w:bCs/>
          <w:sz w:val="24"/>
          <w:szCs w:val="24"/>
          <w:lang w:eastAsia="zh-CN"/>
        </w:rPr>
        <w:t>8.1重新招标</w:t>
      </w:r>
      <w:bookmarkEnd w:id="114"/>
      <w:bookmarkEnd w:id="115"/>
    </w:p>
    <w:p>
      <w:pPr>
        <w:spacing w:line="360" w:lineRule="auto"/>
        <w:rPr>
          <w:rFonts w:ascii="宋体" w:hAnsi="宋体" w:eastAsia="宋体" w:cs="宋体"/>
          <w:sz w:val="24"/>
          <w:szCs w:val="24"/>
          <w:lang w:eastAsia="zh-CN"/>
        </w:rPr>
      </w:pPr>
      <w:r>
        <w:rPr>
          <w:rFonts w:ascii="宋体" w:hAnsi="宋体" w:eastAsia="宋体" w:cs="宋体"/>
          <w:sz w:val="24"/>
          <w:szCs w:val="24"/>
          <w:lang w:eastAsia="zh-CN"/>
        </w:rPr>
        <w:t>有下列情形之一的，采购人将重新招标：</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投标截止时间止，投标人少于3个的；</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经评标委员会评审后否决所有投标的。</w:t>
      </w:r>
    </w:p>
    <w:p>
      <w:pPr>
        <w:spacing w:line="360" w:lineRule="auto"/>
        <w:outlineLvl w:val="0"/>
        <w:rPr>
          <w:rFonts w:ascii="宋体" w:hAnsi="宋体" w:eastAsia="宋体" w:cs="宋体"/>
          <w:sz w:val="24"/>
          <w:szCs w:val="24"/>
          <w:lang w:eastAsia="zh-CN"/>
        </w:rPr>
      </w:pPr>
      <w:bookmarkStart w:id="116" w:name="_Toc1249"/>
      <w:bookmarkStart w:id="117" w:name="_Toc20910"/>
      <w:r>
        <w:rPr>
          <w:rFonts w:ascii="宋体" w:hAnsi="宋体" w:eastAsia="宋体" w:cs="宋体"/>
          <w:b/>
          <w:bCs/>
          <w:sz w:val="24"/>
          <w:szCs w:val="24"/>
          <w:lang w:eastAsia="zh-CN"/>
        </w:rPr>
        <w:t>8.2不再招标</w:t>
      </w:r>
      <w:bookmarkEnd w:id="116"/>
      <w:bookmarkEnd w:id="117"/>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重新招标后投标人仍少于3个或者所有投标被否决的，属于必须审批或核准的工程建设项目， 经原审批或核准部门批准后不再进行招标。</w:t>
      </w:r>
    </w:p>
    <w:p>
      <w:pPr>
        <w:spacing w:line="360" w:lineRule="auto"/>
        <w:outlineLvl w:val="0"/>
        <w:rPr>
          <w:rFonts w:ascii="宋体" w:hAnsi="宋体" w:eastAsia="宋体" w:cs="宋体"/>
          <w:sz w:val="24"/>
          <w:szCs w:val="24"/>
          <w:lang w:eastAsia="zh-CN"/>
        </w:rPr>
      </w:pPr>
      <w:bookmarkStart w:id="118" w:name="_Toc24508"/>
      <w:bookmarkStart w:id="119" w:name="_Toc25825"/>
      <w:r>
        <w:rPr>
          <w:rFonts w:ascii="宋体" w:hAnsi="宋体" w:eastAsia="宋体" w:cs="宋体"/>
          <w:b/>
          <w:bCs/>
          <w:sz w:val="24"/>
          <w:szCs w:val="24"/>
          <w:lang w:eastAsia="zh-CN"/>
        </w:rPr>
        <w:t>9.纪律和监督</w:t>
      </w:r>
      <w:bookmarkEnd w:id="118"/>
      <w:bookmarkEnd w:id="119"/>
    </w:p>
    <w:p>
      <w:pPr>
        <w:spacing w:line="360" w:lineRule="auto"/>
        <w:outlineLvl w:val="0"/>
        <w:rPr>
          <w:rFonts w:ascii="宋体" w:hAnsi="宋体" w:eastAsia="宋体" w:cs="宋体"/>
          <w:sz w:val="24"/>
          <w:szCs w:val="24"/>
          <w:lang w:eastAsia="zh-CN"/>
        </w:rPr>
      </w:pPr>
      <w:bookmarkStart w:id="120" w:name="_Toc3993"/>
      <w:bookmarkStart w:id="121" w:name="_Toc26066"/>
      <w:r>
        <w:rPr>
          <w:rFonts w:ascii="宋体" w:hAnsi="宋体" w:eastAsia="宋体" w:cs="宋体"/>
          <w:b/>
          <w:bCs/>
          <w:sz w:val="24"/>
          <w:szCs w:val="24"/>
          <w:lang w:eastAsia="zh-CN"/>
        </w:rPr>
        <w:t>9.1对采购人的纪律要求</w:t>
      </w:r>
      <w:bookmarkEnd w:id="120"/>
      <w:bookmarkEnd w:id="121"/>
    </w:p>
    <w:p>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采购人不得泄漏招标投标活动中应当保密的情况和资料，不得与投标人串通损害国家利益、社 会公共利益或者他人合法权益。</w:t>
      </w:r>
    </w:p>
    <w:p>
      <w:pPr>
        <w:spacing w:line="360" w:lineRule="auto"/>
        <w:outlineLvl w:val="0"/>
        <w:rPr>
          <w:rFonts w:ascii="宋体" w:hAnsi="宋体" w:eastAsia="宋体" w:cs="宋体"/>
          <w:sz w:val="24"/>
          <w:szCs w:val="24"/>
          <w:lang w:eastAsia="zh-CN"/>
        </w:rPr>
      </w:pPr>
      <w:bookmarkStart w:id="122" w:name="_Toc20692"/>
      <w:bookmarkStart w:id="123" w:name="_Toc15714"/>
      <w:r>
        <w:rPr>
          <w:rFonts w:ascii="宋体" w:hAnsi="宋体" w:eastAsia="宋体" w:cs="宋体"/>
          <w:b/>
          <w:bCs/>
          <w:sz w:val="24"/>
          <w:szCs w:val="24"/>
          <w:lang w:eastAsia="zh-CN"/>
        </w:rPr>
        <w:t>9.2对投标人的纪律要求</w:t>
      </w:r>
      <w:bookmarkEnd w:id="122"/>
      <w:bookmarkEnd w:id="123"/>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投标人不得相互串通投标或者与采购人串通投标，不得向采购人或者评标委员会成员行贿谋取 中标，不得以他人名义投标或者以其他方式弄虚作假骗取中标；投标人不得以任何方式干扰、影响评标工作。</w:t>
      </w:r>
    </w:p>
    <w:p>
      <w:pPr>
        <w:spacing w:line="360" w:lineRule="auto"/>
        <w:outlineLvl w:val="0"/>
        <w:rPr>
          <w:rFonts w:ascii="宋体" w:hAnsi="宋体" w:eastAsia="宋体" w:cs="宋体"/>
          <w:sz w:val="24"/>
          <w:szCs w:val="24"/>
          <w:lang w:eastAsia="zh-CN"/>
        </w:rPr>
      </w:pPr>
      <w:bookmarkStart w:id="124" w:name="_Toc16342"/>
      <w:bookmarkStart w:id="125" w:name="_Toc11771"/>
      <w:r>
        <w:rPr>
          <w:rFonts w:ascii="宋体" w:hAnsi="宋体" w:eastAsia="宋体" w:cs="宋体"/>
          <w:b/>
          <w:bCs/>
          <w:sz w:val="24"/>
          <w:szCs w:val="24"/>
          <w:lang w:eastAsia="zh-CN"/>
        </w:rPr>
        <w:t>9.3对评标委员会成员的纪律要求</w:t>
      </w:r>
      <w:bookmarkEnd w:id="124"/>
      <w:bookmarkEnd w:id="125"/>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评标委员会成员不得收受他人的财物或者其他好处，不得向他人透漏对投标文件的评审和比 较、中标候选人的推荐情况以及评标有关的其他情况。在评标活动中，评标委员会成员应当客观、 公正地履行职责，遵守职业道德，不得擅离职守，影响评标程序正常进行，不得使用第三章“评标 办法”没有规定的评审因素和标准进行评标。</w:t>
      </w:r>
    </w:p>
    <w:p>
      <w:pPr>
        <w:spacing w:line="360" w:lineRule="auto"/>
        <w:outlineLvl w:val="0"/>
        <w:rPr>
          <w:rFonts w:ascii="宋体" w:hAnsi="宋体" w:eastAsia="宋体" w:cs="宋体"/>
          <w:sz w:val="24"/>
          <w:szCs w:val="24"/>
          <w:lang w:eastAsia="zh-CN"/>
        </w:rPr>
      </w:pPr>
      <w:bookmarkStart w:id="126" w:name="_Toc17647"/>
      <w:bookmarkStart w:id="127" w:name="_Toc2365"/>
      <w:r>
        <w:rPr>
          <w:rFonts w:ascii="宋体" w:hAnsi="宋体" w:eastAsia="宋体" w:cs="宋体"/>
          <w:b/>
          <w:bCs/>
          <w:sz w:val="24"/>
          <w:szCs w:val="24"/>
          <w:lang w:eastAsia="zh-CN"/>
        </w:rPr>
        <w:t>9.4对与评标活动有关的工作人员的纪律要求</w:t>
      </w:r>
      <w:bookmarkEnd w:id="126"/>
      <w:bookmarkEnd w:id="127"/>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与评标活动有关的工作人员不得收受他人的财物或者其他好处，不得向他人透漏对投标文件的 评审和比较、中标候选人的推荐情况以及评标有关的其他情况。在评标活动中，与评标活动有关的 工作人员不得擅离职守，影响评标程序正常进行。</w:t>
      </w:r>
    </w:p>
    <w:p>
      <w:pPr>
        <w:spacing w:line="360" w:lineRule="auto"/>
        <w:outlineLvl w:val="0"/>
        <w:rPr>
          <w:rFonts w:ascii="宋体" w:hAnsi="宋体" w:eastAsia="宋体" w:cs="宋体"/>
          <w:sz w:val="24"/>
          <w:szCs w:val="24"/>
          <w:lang w:eastAsia="zh-CN"/>
        </w:rPr>
      </w:pPr>
      <w:bookmarkStart w:id="128" w:name="_Toc7730"/>
      <w:bookmarkStart w:id="129" w:name="_Toc6668"/>
      <w:r>
        <w:rPr>
          <w:rFonts w:ascii="宋体" w:hAnsi="宋体" w:eastAsia="宋体" w:cs="宋体"/>
          <w:b/>
          <w:bCs/>
          <w:sz w:val="24"/>
          <w:szCs w:val="24"/>
          <w:lang w:eastAsia="zh-CN"/>
        </w:rPr>
        <w:t>9.5投诉</w:t>
      </w:r>
      <w:bookmarkEnd w:id="128"/>
      <w:bookmarkEnd w:id="129"/>
    </w:p>
    <w:p>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投标人或者其他利害关系人认为招标投标活动中的招标文件和公示结果不符合法律、法规、规 章规定的，应当依法在法定期限内向采购人提出异议，采购人应当在收到异议后在规定时间内作出 答复。采购人不在规定时间内答复的或者投标人、其他利害关系人对答复有异议的，可就相关事宜 向主管部门投诉。</w:t>
      </w:r>
    </w:p>
    <w:p>
      <w:pPr>
        <w:spacing w:line="360" w:lineRule="auto"/>
        <w:outlineLvl w:val="0"/>
        <w:rPr>
          <w:rFonts w:ascii="宋体" w:hAnsi="宋体" w:eastAsia="宋体" w:cs="宋体"/>
          <w:sz w:val="24"/>
          <w:szCs w:val="24"/>
          <w:lang w:eastAsia="zh-CN"/>
        </w:rPr>
      </w:pPr>
      <w:bookmarkStart w:id="130" w:name="_Toc8583"/>
      <w:bookmarkStart w:id="131" w:name="_Toc7481"/>
      <w:r>
        <w:rPr>
          <w:rFonts w:ascii="宋体" w:hAnsi="宋体" w:eastAsia="宋体" w:cs="宋体"/>
          <w:b/>
          <w:bCs/>
          <w:sz w:val="24"/>
          <w:szCs w:val="24"/>
          <w:lang w:eastAsia="zh-CN"/>
        </w:rPr>
        <w:t>10.需要补充的其他内容</w:t>
      </w:r>
      <w:bookmarkEnd w:id="130"/>
      <w:bookmarkEnd w:id="131"/>
    </w:p>
    <w:p>
      <w:pPr>
        <w:spacing w:line="360" w:lineRule="auto"/>
        <w:rPr>
          <w:rFonts w:ascii="Times New Roman" w:hAnsi="Times New Roman" w:eastAsia="宋体" w:cs="宋体"/>
          <w:sz w:val="22"/>
          <w:szCs w:val="22"/>
          <w:lang w:eastAsia="zh-CN"/>
        </w:rPr>
      </w:pPr>
      <w:r>
        <w:rPr>
          <w:rFonts w:ascii="宋体" w:hAnsi="宋体" w:eastAsia="宋体" w:cs="宋体"/>
          <w:sz w:val="24"/>
          <w:szCs w:val="24"/>
          <w:lang w:eastAsia="zh-CN"/>
        </w:rPr>
        <w:t>需要补充的其他内容：见投标人须知前附表</w:t>
      </w:r>
    </w:p>
    <w:p>
      <w:pPr>
        <w:spacing w:line="360" w:lineRule="auto"/>
        <w:ind w:left="2299"/>
        <w:rPr>
          <w:rFonts w:ascii="Times New Roman" w:hAnsi="Times New Roman" w:eastAsia="宋体" w:cs="宋体"/>
          <w:b/>
          <w:bCs/>
          <w:sz w:val="30"/>
          <w:szCs w:val="30"/>
          <w:lang w:eastAsia="zh-CN"/>
        </w:rPr>
      </w:pPr>
    </w:p>
    <w:p>
      <w:pPr>
        <w:rPr>
          <w:rFonts w:ascii="Times New Roman" w:hAnsi="Times New Roman" w:eastAsia="宋体" w:cs="宋体"/>
          <w:b/>
          <w:bCs/>
          <w:sz w:val="30"/>
          <w:szCs w:val="30"/>
          <w:lang w:eastAsia="zh-CN"/>
        </w:rPr>
      </w:pPr>
      <w:r>
        <w:rPr>
          <w:rFonts w:ascii="Times New Roman" w:hAnsi="Times New Roman" w:eastAsia="宋体" w:cs="宋体"/>
          <w:b/>
          <w:bCs/>
          <w:sz w:val="30"/>
          <w:szCs w:val="30"/>
          <w:lang w:eastAsia="zh-CN"/>
        </w:rPr>
        <w:br w:type="page"/>
      </w:r>
    </w:p>
    <w:p>
      <w:pPr>
        <w:spacing w:line="360" w:lineRule="auto"/>
        <w:ind w:left="2299"/>
        <w:outlineLvl w:val="0"/>
        <w:rPr>
          <w:rFonts w:ascii="Times New Roman" w:hAnsi="Times New Roman" w:eastAsia="宋体" w:cs="宋体"/>
          <w:sz w:val="30"/>
          <w:szCs w:val="30"/>
          <w:lang w:eastAsia="zh-CN"/>
        </w:rPr>
      </w:pPr>
      <w:bookmarkStart w:id="132" w:name="_Toc23255"/>
      <w:r>
        <w:rPr>
          <w:rFonts w:ascii="Times New Roman" w:hAnsi="Times New Roman" w:eastAsia="宋体" w:cs="宋体"/>
          <w:b/>
          <w:bCs/>
          <w:sz w:val="30"/>
          <w:szCs w:val="30"/>
          <w:lang w:eastAsia="zh-CN"/>
        </w:rPr>
        <w:t>第三章评标办法</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综合评分法</w:t>
      </w:r>
      <w:r>
        <w:rPr>
          <w:rFonts w:hint="eastAsia" w:ascii="Times New Roman" w:hAnsi="Times New Roman" w:eastAsia="宋体" w:cs="宋体"/>
          <w:b/>
          <w:bCs/>
          <w:sz w:val="30"/>
          <w:szCs w:val="30"/>
          <w:lang w:eastAsia="zh-CN"/>
        </w:rPr>
        <w:t>）</w:t>
      </w:r>
      <w:bookmarkEnd w:id="132"/>
    </w:p>
    <w:p>
      <w:pPr>
        <w:spacing w:line="360" w:lineRule="auto"/>
        <w:ind w:left="3689"/>
        <w:rPr>
          <w:rFonts w:ascii="Times New Roman" w:hAnsi="Times New Roman" w:eastAsia="宋体" w:cs="宋体"/>
          <w:sz w:val="30"/>
          <w:szCs w:val="30"/>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一</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资格审查</w:t>
      </w:r>
    </w:p>
    <w:p>
      <w:pPr>
        <w:spacing w:line="360" w:lineRule="auto"/>
        <w:rPr>
          <w:rFonts w:ascii="Times New Roman" w:hAnsi="Times New Roman"/>
        </w:rPr>
      </w:pPr>
    </w:p>
    <w:tbl>
      <w:tblPr>
        <w:tblStyle w:val="20"/>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839"/>
        <w:gridCol w:w="1458"/>
        <w:gridCol w:w="6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43" w:type="dxa"/>
            <w:gridSpan w:val="2"/>
            <w:vAlign w:val="center"/>
          </w:tcPr>
          <w:p>
            <w:pPr>
              <w:pStyle w:val="21"/>
              <w:rPr>
                <w:sz w:val="21"/>
                <w:szCs w:val="21"/>
              </w:rPr>
            </w:pPr>
            <w:r>
              <w:rPr>
                <w:sz w:val="21"/>
                <w:szCs w:val="21"/>
              </w:rPr>
              <w:t>条款号</w:t>
            </w:r>
          </w:p>
        </w:tc>
        <w:tc>
          <w:tcPr>
            <w:tcW w:w="1458" w:type="dxa"/>
            <w:vAlign w:val="center"/>
          </w:tcPr>
          <w:p>
            <w:pPr>
              <w:pStyle w:val="21"/>
              <w:rPr>
                <w:sz w:val="21"/>
                <w:szCs w:val="21"/>
              </w:rPr>
            </w:pPr>
            <w:r>
              <w:rPr>
                <w:sz w:val="21"/>
                <w:szCs w:val="21"/>
              </w:rPr>
              <w:t>评审因素</w:t>
            </w:r>
          </w:p>
        </w:tc>
        <w:tc>
          <w:tcPr>
            <w:tcW w:w="6328" w:type="dxa"/>
            <w:vAlign w:val="center"/>
          </w:tcPr>
          <w:p>
            <w:pPr>
              <w:pStyle w:val="21"/>
              <w:rPr>
                <w:sz w:val="21"/>
                <w:szCs w:val="21"/>
              </w:rPr>
            </w:pPr>
            <w:r>
              <w:rPr>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4" w:type="dxa"/>
            <w:vMerge w:val="restart"/>
            <w:tcBorders>
              <w:bottom w:val="nil"/>
            </w:tcBorders>
            <w:vAlign w:val="center"/>
          </w:tcPr>
          <w:p>
            <w:pPr>
              <w:spacing w:line="400" w:lineRule="exact"/>
              <w:jc w:val="center"/>
              <w:rPr>
                <w:rFonts w:ascii="宋体" w:hAnsi="宋体" w:eastAsia="宋体"/>
              </w:rPr>
            </w:pPr>
          </w:p>
          <w:p>
            <w:pPr>
              <w:pStyle w:val="21"/>
              <w:rPr>
                <w:sz w:val="21"/>
                <w:szCs w:val="21"/>
              </w:rPr>
            </w:pPr>
            <w:r>
              <w:rPr>
                <w:sz w:val="21"/>
                <w:szCs w:val="21"/>
              </w:rPr>
              <w:t>2.1.1</w:t>
            </w:r>
          </w:p>
        </w:tc>
        <w:tc>
          <w:tcPr>
            <w:tcW w:w="839" w:type="dxa"/>
            <w:vMerge w:val="restart"/>
            <w:tcBorders>
              <w:bottom w:val="nil"/>
            </w:tcBorders>
            <w:vAlign w:val="center"/>
          </w:tcPr>
          <w:p>
            <w:pPr>
              <w:pStyle w:val="21"/>
              <w:rPr>
                <w:sz w:val="21"/>
                <w:szCs w:val="21"/>
              </w:rPr>
            </w:pPr>
            <w:r>
              <w:rPr>
                <w:sz w:val="21"/>
                <w:szCs w:val="21"/>
              </w:rPr>
              <w:t>资格</w:t>
            </w:r>
          </w:p>
          <w:p>
            <w:pPr>
              <w:pStyle w:val="21"/>
              <w:rPr>
                <w:sz w:val="21"/>
                <w:szCs w:val="21"/>
              </w:rPr>
            </w:pPr>
            <w:r>
              <w:rPr>
                <w:sz w:val="21"/>
                <w:szCs w:val="21"/>
              </w:rPr>
              <w:t>评审</w:t>
            </w:r>
          </w:p>
          <w:p>
            <w:pPr>
              <w:pStyle w:val="21"/>
              <w:rPr>
                <w:sz w:val="21"/>
                <w:szCs w:val="21"/>
              </w:rPr>
            </w:pPr>
            <w:r>
              <w:rPr>
                <w:sz w:val="21"/>
                <w:szCs w:val="21"/>
              </w:rPr>
              <w:t>标准</w:t>
            </w:r>
          </w:p>
        </w:tc>
        <w:tc>
          <w:tcPr>
            <w:tcW w:w="1458" w:type="dxa"/>
            <w:vAlign w:val="center"/>
          </w:tcPr>
          <w:p>
            <w:pPr>
              <w:pStyle w:val="21"/>
              <w:rPr>
                <w:sz w:val="21"/>
                <w:szCs w:val="21"/>
              </w:rPr>
            </w:pPr>
            <w:r>
              <w:rPr>
                <w:sz w:val="21"/>
                <w:szCs w:val="21"/>
              </w:rPr>
              <w:t>营业执照</w:t>
            </w:r>
          </w:p>
        </w:tc>
        <w:tc>
          <w:tcPr>
            <w:tcW w:w="6328" w:type="dxa"/>
            <w:vAlign w:val="center"/>
          </w:tcPr>
          <w:p>
            <w:pPr>
              <w:pStyle w:val="21"/>
              <w:rPr>
                <w:sz w:val="21"/>
                <w:szCs w:val="21"/>
                <w:lang w:eastAsia="zh-CN"/>
              </w:rPr>
            </w:pPr>
            <w:r>
              <w:rPr>
                <w:sz w:val="21"/>
                <w:szCs w:val="21"/>
                <w:lang w:eastAsia="zh-CN"/>
              </w:rPr>
              <w:t>具备有效的营业执照，投标文件内附营业执照</w:t>
            </w:r>
            <w:r>
              <w:rPr>
                <w:rFonts w:hint="eastAsia"/>
                <w:sz w:val="21"/>
                <w:szCs w:val="21"/>
                <w:lang w:eastAsia="zh-CN"/>
              </w:rPr>
              <w:t>（</w:t>
            </w:r>
            <w:r>
              <w:rPr>
                <w:sz w:val="21"/>
                <w:szCs w:val="21"/>
                <w:lang w:eastAsia="zh-CN"/>
              </w:rPr>
              <w:t>副本</w:t>
            </w:r>
            <w:r>
              <w:rPr>
                <w:rFonts w:hint="eastAsia"/>
                <w:sz w:val="21"/>
                <w:szCs w:val="21"/>
                <w:lang w:eastAsia="zh-CN"/>
              </w:rPr>
              <w:t>）</w:t>
            </w:r>
            <w:r>
              <w:rPr>
                <w:sz w:val="21"/>
                <w:szCs w:val="21"/>
                <w:lang w:eastAsia="zh-CN"/>
              </w:rPr>
              <w:t>复印件并加盖投标单位公章。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4" w:type="dxa"/>
            <w:vMerge w:val="continue"/>
            <w:tcBorders>
              <w:top w:val="nil"/>
              <w:bottom w:val="nil"/>
            </w:tcBorders>
          </w:tcPr>
          <w:p>
            <w:pPr>
              <w:spacing w:line="400" w:lineRule="exact"/>
              <w:rPr>
                <w:rFonts w:ascii="宋体" w:hAnsi="宋体" w:eastAsia="宋体"/>
                <w:lang w:eastAsia="zh-CN"/>
              </w:rPr>
            </w:pPr>
          </w:p>
        </w:tc>
        <w:tc>
          <w:tcPr>
            <w:tcW w:w="839" w:type="dxa"/>
            <w:vMerge w:val="continue"/>
            <w:tcBorders>
              <w:top w:val="nil"/>
              <w:bottom w:val="nil"/>
            </w:tcBorders>
          </w:tcPr>
          <w:p>
            <w:pPr>
              <w:spacing w:line="400" w:lineRule="exact"/>
              <w:rPr>
                <w:rFonts w:ascii="宋体" w:hAnsi="宋体" w:eastAsia="宋体"/>
                <w:lang w:eastAsia="zh-CN"/>
              </w:rPr>
            </w:pPr>
          </w:p>
        </w:tc>
        <w:tc>
          <w:tcPr>
            <w:tcW w:w="1458" w:type="dxa"/>
            <w:vAlign w:val="center"/>
          </w:tcPr>
          <w:p>
            <w:pPr>
              <w:pStyle w:val="21"/>
              <w:rPr>
                <w:sz w:val="21"/>
                <w:szCs w:val="21"/>
                <w:lang w:eastAsia="zh-CN"/>
              </w:rPr>
            </w:pPr>
            <w:r>
              <w:rPr>
                <w:sz w:val="21"/>
                <w:szCs w:val="21"/>
                <w:lang w:eastAsia="zh-CN"/>
              </w:rPr>
              <w:t>资格条件承诺</w:t>
            </w:r>
          </w:p>
          <w:p>
            <w:pPr>
              <w:pStyle w:val="21"/>
              <w:rPr>
                <w:sz w:val="21"/>
                <w:szCs w:val="21"/>
                <w:lang w:eastAsia="zh-CN"/>
              </w:rPr>
            </w:pPr>
            <w:r>
              <w:rPr>
                <w:sz w:val="21"/>
                <w:szCs w:val="21"/>
                <w:lang w:eastAsia="zh-CN"/>
              </w:rPr>
              <w:t>函及信用承诺</w:t>
            </w:r>
          </w:p>
          <w:p>
            <w:pPr>
              <w:pStyle w:val="21"/>
              <w:rPr>
                <w:sz w:val="21"/>
                <w:szCs w:val="21"/>
              </w:rPr>
            </w:pPr>
            <w:r>
              <w:rPr>
                <w:sz w:val="21"/>
                <w:szCs w:val="21"/>
              </w:rPr>
              <w:t>书</w:t>
            </w:r>
          </w:p>
        </w:tc>
        <w:tc>
          <w:tcPr>
            <w:tcW w:w="6328" w:type="dxa"/>
          </w:tcPr>
          <w:p>
            <w:pPr>
              <w:pStyle w:val="21"/>
              <w:rPr>
                <w:sz w:val="21"/>
                <w:szCs w:val="21"/>
                <w:lang w:eastAsia="zh-CN"/>
              </w:rPr>
            </w:pPr>
            <w:r>
              <w:rPr>
                <w:sz w:val="21"/>
                <w:szCs w:val="21"/>
                <w:lang w:eastAsia="zh-CN"/>
              </w:rPr>
              <w:t>供应商应按照《长春市财政局关于加强政府采购信用体系建设简化投标人资格条件有关事项的通知》</w:t>
            </w:r>
            <w:r>
              <w:rPr>
                <w:rFonts w:hint="eastAsia"/>
                <w:sz w:val="21"/>
                <w:szCs w:val="21"/>
                <w:lang w:eastAsia="zh-CN"/>
              </w:rPr>
              <w:t>（</w:t>
            </w:r>
            <w:r>
              <w:rPr>
                <w:sz w:val="21"/>
                <w:szCs w:val="21"/>
                <w:lang w:eastAsia="zh-CN"/>
              </w:rPr>
              <w:t>长财采购[2022]2066号</w:t>
            </w:r>
            <w:r>
              <w:rPr>
                <w:rFonts w:hint="eastAsia"/>
                <w:sz w:val="21"/>
                <w:szCs w:val="21"/>
                <w:lang w:eastAsia="zh-CN"/>
              </w:rPr>
              <w:t>）</w:t>
            </w:r>
            <w:r>
              <w:rPr>
                <w:sz w:val="21"/>
                <w:szCs w:val="21"/>
                <w:lang w:eastAsia="zh-CN"/>
              </w:rPr>
              <w:t>文件要求</w:t>
            </w:r>
          </w:p>
          <w:p>
            <w:pPr>
              <w:pStyle w:val="21"/>
              <w:rPr>
                <w:sz w:val="21"/>
                <w:szCs w:val="21"/>
                <w:lang w:eastAsia="zh-CN"/>
              </w:rPr>
            </w:pPr>
            <w:r>
              <w:rPr>
                <w:sz w:val="21"/>
                <w:szCs w:val="21"/>
                <w:lang w:eastAsia="zh-CN"/>
              </w:rPr>
              <w:t>在投标文件中提交反映其财务状况、依法缴纳税收和社会保障资金情 况的资格条件承诺函，并对资格条件承诺函有关内容的真实性、有效性、合法性负责。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4" w:type="dxa"/>
            <w:vMerge w:val="continue"/>
            <w:tcBorders>
              <w:top w:val="nil"/>
              <w:bottom w:val="nil"/>
            </w:tcBorders>
          </w:tcPr>
          <w:p>
            <w:pPr>
              <w:spacing w:line="400" w:lineRule="exact"/>
              <w:rPr>
                <w:rFonts w:ascii="宋体" w:hAnsi="宋体" w:eastAsia="宋体"/>
                <w:lang w:eastAsia="zh-CN"/>
              </w:rPr>
            </w:pPr>
          </w:p>
        </w:tc>
        <w:tc>
          <w:tcPr>
            <w:tcW w:w="839" w:type="dxa"/>
            <w:vMerge w:val="continue"/>
            <w:tcBorders>
              <w:top w:val="nil"/>
              <w:bottom w:val="nil"/>
            </w:tcBorders>
          </w:tcPr>
          <w:p>
            <w:pPr>
              <w:spacing w:line="400" w:lineRule="exact"/>
              <w:rPr>
                <w:rFonts w:ascii="宋体" w:hAnsi="宋体" w:eastAsia="宋体"/>
                <w:lang w:eastAsia="zh-CN"/>
              </w:rPr>
            </w:pPr>
          </w:p>
        </w:tc>
        <w:tc>
          <w:tcPr>
            <w:tcW w:w="1458" w:type="dxa"/>
            <w:vAlign w:val="center"/>
          </w:tcPr>
          <w:p>
            <w:pPr>
              <w:pStyle w:val="21"/>
              <w:rPr>
                <w:sz w:val="21"/>
                <w:szCs w:val="21"/>
              </w:rPr>
            </w:pPr>
            <w:r>
              <w:rPr>
                <w:sz w:val="21"/>
                <w:szCs w:val="21"/>
              </w:rPr>
              <w:t>信誉</w:t>
            </w:r>
          </w:p>
        </w:tc>
        <w:tc>
          <w:tcPr>
            <w:tcW w:w="6328" w:type="dxa"/>
          </w:tcPr>
          <w:p>
            <w:pPr>
              <w:pStyle w:val="21"/>
              <w:rPr>
                <w:sz w:val="21"/>
                <w:szCs w:val="21"/>
                <w:lang w:eastAsia="zh-CN"/>
              </w:rPr>
            </w:pPr>
            <w:r>
              <w:rPr>
                <w:sz w:val="21"/>
                <w:szCs w:val="21"/>
                <w:lang w:eastAsia="zh-CN"/>
              </w:rPr>
              <w:t>1、供应商不得为“信用中国”网站</w:t>
            </w:r>
            <w:r>
              <w:rPr>
                <w:rFonts w:hint="eastAsia"/>
                <w:sz w:val="21"/>
                <w:szCs w:val="21"/>
                <w:lang w:eastAsia="zh-CN"/>
              </w:rPr>
              <w:t>（</w:t>
            </w:r>
            <w:r>
              <w:rPr>
                <w:sz w:val="21"/>
                <w:szCs w:val="21"/>
                <w:lang w:eastAsia="zh-CN"/>
              </w:rPr>
              <w:t>www.creditchina.gov.cn</w:t>
            </w:r>
            <w:r>
              <w:rPr>
                <w:rFonts w:hint="eastAsia"/>
                <w:sz w:val="21"/>
                <w:szCs w:val="21"/>
                <w:lang w:eastAsia="zh-CN"/>
              </w:rPr>
              <w:t>）</w:t>
            </w:r>
            <w:r>
              <w:rPr>
                <w:sz w:val="21"/>
                <w:szCs w:val="21"/>
                <w:lang w:eastAsia="zh-CN"/>
              </w:rPr>
              <w:t>中列入重大税收违法案件当事人名单的投标人，不得为中国执行信息公 开网</w:t>
            </w:r>
            <w:r>
              <w:rPr>
                <w:rFonts w:hint="eastAsia"/>
                <w:sz w:val="21"/>
                <w:szCs w:val="21"/>
                <w:lang w:eastAsia="zh-CN"/>
              </w:rPr>
              <w:t>（</w:t>
            </w:r>
            <w:r>
              <w:fldChar w:fldCharType="begin"/>
            </w:r>
            <w:r>
              <w:instrText xml:space="preserve"> HYPERLINK "http://zxgk.court.gov.cn" </w:instrText>
            </w:r>
            <w:r>
              <w:fldChar w:fldCharType="separate"/>
            </w:r>
            <w:r>
              <w:rPr>
                <w:sz w:val="21"/>
                <w:szCs w:val="21"/>
                <w:lang w:eastAsia="zh-CN"/>
              </w:rPr>
              <w:t>http://zxgk.court.gov.cn</w:t>
            </w:r>
            <w:r>
              <w:rPr>
                <w:sz w:val="21"/>
                <w:szCs w:val="21"/>
                <w:lang w:eastAsia="zh-CN"/>
              </w:rPr>
              <w:fldChar w:fldCharType="end"/>
            </w:r>
            <w:r>
              <w:rPr>
                <w:rFonts w:hint="eastAsia"/>
                <w:sz w:val="21"/>
                <w:szCs w:val="21"/>
                <w:lang w:eastAsia="zh-CN"/>
              </w:rPr>
              <w:t>）</w:t>
            </w:r>
            <w:r>
              <w:rPr>
                <w:sz w:val="21"/>
                <w:szCs w:val="21"/>
                <w:lang w:eastAsia="zh-CN"/>
              </w:rPr>
              <w:t>中列入失信被执行人名单，不得为中国政府采购网</w:t>
            </w:r>
            <w:r>
              <w:rPr>
                <w:rFonts w:hint="eastAsia"/>
                <w:sz w:val="21"/>
                <w:szCs w:val="21"/>
                <w:lang w:eastAsia="zh-CN"/>
              </w:rPr>
              <w:t>（</w:t>
            </w:r>
            <w:r>
              <w:rPr>
                <w:sz w:val="21"/>
                <w:szCs w:val="21"/>
                <w:lang w:eastAsia="zh-CN"/>
              </w:rPr>
              <w:t>www.ccgp.gov.cn</w:t>
            </w:r>
            <w:r>
              <w:rPr>
                <w:rFonts w:hint="eastAsia"/>
                <w:sz w:val="21"/>
                <w:szCs w:val="21"/>
                <w:lang w:eastAsia="zh-CN"/>
              </w:rPr>
              <w:t>）</w:t>
            </w:r>
            <w:r>
              <w:rPr>
                <w:sz w:val="21"/>
                <w:szCs w:val="21"/>
                <w:lang w:eastAsia="zh-CN"/>
              </w:rPr>
              <w:t>政府采购严重违法失信行为 记录名单中被财政部门禁止参加政府采购活动的投标人</w:t>
            </w:r>
            <w:r>
              <w:rPr>
                <w:rFonts w:hint="eastAsia"/>
                <w:sz w:val="21"/>
                <w:szCs w:val="21"/>
                <w:lang w:eastAsia="zh-CN"/>
              </w:rPr>
              <w:t>（</w:t>
            </w:r>
            <w:r>
              <w:rPr>
                <w:sz w:val="21"/>
                <w:szCs w:val="21"/>
                <w:lang w:eastAsia="zh-CN"/>
              </w:rPr>
              <w:t>详见财库[2016]125号</w:t>
            </w:r>
            <w:r>
              <w:rPr>
                <w:rFonts w:hint="eastAsia"/>
                <w:sz w:val="21"/>
                <w:szCs w:val="21"/>
                <w:lang w:eastAsia="zh-CN"/>
              </w:rPr>
              <w:t>）</w:t>
            </w:r>
            <w:r>
              <w:rPr>
                <w:sz w:val="21"/>
                <w:szCs w:val="21"/>
                <w:lang w:eastAsia="zh-CN"/>
              </w:rPr>
              <w:t>。投标人及其法定代表人不得在“中国裁判文书网” 列入存在行贿犯罪情形。</w:t>
            </w:r>
            <w:r>
              <w:rPr>
                <w:rFonts w:hint="eastAsia"/>
                <w:sz w:val="21"/>
                <w:szCs w:val="21"/>
                <w:lang w:eastAsia="zh-CN"/>
              </w:rPr>
              <w:t>（</w:t>
            </w:r>
            <w:r>
              <w:rPr>
                <w:sz w:val="21"/>
                <w:szCs w:val="21"/>
                <w:lang w:eastAsia="zh-CN"/>
              </w:rPr>
              <w:t>投标文件中提供法定代表人或其授权委托人签字并加盖公章的承诺书</w:t>
            </w:r>
            <w:r>
              <w:rPr>
                <w:rFonts w:hint="eastAsia"/>
                <w:sz w:val="21"/>
                <w:szCs w:val="21"/>
                <w:lang w:eastAsia="zh-CN"/>
              </w:rPr>
              <w:t>）</w:t>
            </w:r>
            <w:r>
              <w:rPr>
                <w:sz w:val="21"/>
                <w:szCs w:val="21"/>
                <w:lang w:eastAsia="zh-CN"/>
              </w:rPr>
              <w:t>。</w:t>
            </w:r>
          </w:p>
          <w:p>
            <w:pPr>
              <w:pStyle w:val="21"/>
              <w:rPr>
                <w:sz w:val="21"/>
                <w:szCs w:val="21"/>
                <w:lang w:eastAsia="zh-CN"/>
              </w:rPr>
            </w:pPr>
            <w:r>
              <w:rPr>
                <w:sz w:val="21"/>
                <w:szCs w:val="21"/>
                <w:lang w:eastAsia="zh-CN"/>
              </w:rPr>
              <w:t>2、供应商需对公司材料和投标文件的真实性进行承诺，不得提供伪造、变造的材料，否则后果自负。投标文件中提供由法定代表人或其 授权委托人签字并加盖公章的承诺书。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4" w:type="dxa"/>
            <w:vMerge w:val="continue"/>
            <w:tcBorders>
              <w:top w:val="nil"/>
            </w:tcBorders>
          </w:tcPr>
          <w:p>
            <w:pPr>
              <w:spacing w:line="400" w:lineRule="exact"/>
              <w:rPr>
                <w:rFonts w:ascii="宋体" w:hAnsi="宋体" w:eastAsia="宋体"/>
                <w:lang w:eastAsia="zh-CN"/>
              </w:rPr>
            </w:pPr>
          </w:p>
        </w:tc>
        <w:tc>
          <w:tcPr>
            <w:tcW w:w="839" w:type="dxa"/>
            <w:vMerge w:val="continue"/>
            <w:tcBorders>
              <w:top w:val="nil"/>
            </w:tcBorders>
          </w:tcPr>
          <w:p>
            <w:pPr>
              <w:spacing w:line="400" w:lineRule="exact"/>
              <w:rPr>
                <w:rFonts w:ascii="宋体" w:hAnsi="宋体" w:eastAsia="宋体"/>
                <w:lang w:eastAsia="zh-CN"/>
              </w:rPr>
            </w:pPr>
          </w:p>
        </w:tc>
        <w:tc>
          <w:tcPr>
            <w:tcW w:w="1458" w:type="dxa"/>
          </w:tcPr>
          <w:p>
            <w:pPr>
              <w:pStyle w:val="21"/>
              <w:rPr>
                <w:sz w:val="21"/>
                <w:szCs w:val="21"/>
                <w:lang w:eastAsia="zh-CN"/>
              </w:rPr>
            </w:pPr>
            <w:r>
              <w:rPr>
                <w:sz w:val="21"/>
                <w:szCs w:val="21"/>
                <w:lang w:eastAsia="zh-CN"/>
              </w:rPr>
              <w:t>不存</w:t>
            </w:r>
          </w:p>
          <w:p>
            <w:pPr>
              <w:pStyle w:val="21"/>
              <w:rPr>
                <w:sz w:val="21"/>
                <w:szCs w:val="21"/>
                <w:lang w:eastAsia="zh-CN"/>
              </w:rPr>
            </w:pPr>
            <w:r>
              <w:rPr>
                <w:sz w:val="21"/>
                <w:szCs w:val="21"/>
                <w:lang w:eastAsia="zh-CN"/>
              </w:rPr>
              <w:t>在禁止</w:t>
            </w:r>
          </w:p>
          <w:p>
            <w:pPr>
              <w:pStyle w:val="21"/>
              <w:rPr>
                <w:sz w:val="21"/>
                <w:szCs w:val="21"/>
                <w:lang w:eastAsia="zh-CN"/>
              </w:rPr>
            </w:pPr>
            <w:r>
              <w:rPr>
                <w:sz w:val="21"/>
                <w:szCs w:val="21"/>
                <w:lang w:eastAsia="zh-CN"/>
              </w:rPr>
              <w:t>投 标的情形</w:t>
            </w:r>
          </w:p>
        </w:tc>
        <w:tc>
          <w:tcPr>
            <w:tcW w:w="6328" w:type="dxa"/>
          </w:tcPr>
          <w:p>
            <w:pPr>
              <w:pStyle w:val="21"/>
              <w:rPr>
                <w:sz w:val="21"/>
                <w:szCs w:val="21"/>
                <w:lang w:eastAsia="zh-CN"/>
              </w:rPr>
            </w:pPr>
            <w:r>
              <w:rPr>
                <w:sz w:val="21"/>
                <w:szCs w:val="21"/>
                <w:lang w:eastAsia="zh-CN"/>
              </w:rPr>
              <w:t>不存在第二章“投标人须知”第1.4.2和1.4.3项规定的任何一种情形及 招标文件所规定的其他条款。</w:t>
            </w:r>
          </w:p>
          <w:p>
            <w:pPr>
              <w:pStyle w:val="21"/>
              <w:rPr>
                <w:sz w:val="21"/>
                <w:szCs w:val="21"/>
                <w:lang w:eastAsia="zh-CN"/>
              </w:rPr>
            </w:pPr>
            <w:r>
              <w:rPr>
                <w:sz w:val="21"/>
                <w:szCs w:val="21"/>
                <w:lang w:eastAsia="zh-CN"/>
              </w:rPr>
              <w:t>投标文件内附由法定代表人或其委托代理人签字并加盖投标单位公 章的承诺书。</w:t>
            </w:r>
          </w:p>
        </w:tc>
      </w:tr>
    </w:tbl>
    <w:p>
      <w:pPr>
        <w:spacing w:line="360" w:lineRule="auto"/>
        <w:ind w:left="454" w:right="180"/>
        <w:rPr>
          <w:rFonts w:ascii="宋体" w:hAnsi="宋体" w:eastAsia="宋体" w:cs="宋体"/>
          <w:sz w:val="24"/>
          <w:szCs w:val="24"/>
          <w:lang w:eastAsia="zh-CN"/>
        </w:rPr>
      </w:pPr>
    </w:p>
    <w:p>
      <w:pPr>
        <w:spacing w:line="360" w:lineRule="auto"/>
        <w:ind w:right="180"/>
        <w:rPr>
          <w:rFonts w:ascii="宋体" w:hAnsi="宋体" w:eastAsia="宋体" w:cs="宋体"/>
          <w:lang w:eastAsia="zh-CN"/>
        </w:rPr>
      </w:pPr>
      <w:r>
        <w:rPr>
          <w:rFonts w:ascii="宋体" w:hAnsi="宋体" w:eastAsia="宋体" w:cs="宋体"/>
          <w:lang w:eastAsia="zh-CN"/>
        </w:rPr>
        <w:t>注：上述资格审查中有一项不合格，则资格评审不合格，投标按废标处理，不进入后续评审。 每项</w:t>
      </w:r>
      <w:r>
        <w:rPr>
          <w:rFonts w:hint="eastAsia" w:ascii="宋体" w:hAnsi="宋体" w:eastAsia="宋体" w:cs="宋体"/>
          <w:lang w:eastAsia="zh-CN"/>
        </w:rPr>
        <w:t>评审</w:t>
      </w:r>
      <w:r>
        <w:rPr>
          <w:rFonts w:ascii="宋体" w:hAnsi="宋体" w:eastAsia="宋体" w:cs="宋体"/>
          <w:lang w:eastAsia="zh-CN"/>
        </w:rPr>
        <w:t xml:space="preserve"> 内容合格打“ √ ”,不合格打“×”。评宙结论写“合格”或“不合格”。不合格须注明原因。投标人所提供的所有证件均需在有效期内且注册单位名称与投标人的名称一 致，如企业名称发生变更，需提供主管部门出具的变更证明材料。</w:t>
      </w:r>
    </w:p>
    <w:p>
      <w:pPr>
        <w:spacing w:line="360" w:lineRule="auto"/>
        <w:rPr>
          <w:rFonts w:ascii="宋体" w:hAnsi="宋体" w:eastAsia="宋体" w:cs="宋体"/>
          <w:lang w:eastAsia="zh-CN"/>
        </w:rPr>
        <w:sectPr>
          <w:footerReference r:id="rId13" w:type="default"/>
          <w:pgSz w:w="11905" w:h="16838"/>
          <w:pgMar w:top="1134" w:right="1134" w:bottom="1134" w:left="1134" w:header="0" w:footer="1043" w:gutter="0"/>
          <w:cols w:space="0" w:num="1"/>
        </w:sectPr>
      </w:pPr>
    </w:p>
    <w:p>
      <w:pPr>
        <w:pStyle w:val="5"/>
        <w:spacing w:line="360" w:lineRule="auto"/>
        <w:rPr>
          <w:rFonts w:ascii="宋体" w:hAnsi="宋体" w:eastAsia="宋体"/>
          <w:sz w:val="24"/>
          <w:szCs w:val="24"/>
          <w:lang w:eastAsia="zh-CN"/>
        </w:rPr>
      </w:pPr>
    </w:p>
    <w:p>
      <w:pPr>
        <w:spacing w:line="360" w:lineRule="auto"/>
        <w:ind w:left="3549"/>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二</w:t>
      </w:r>
      <w:r>
        <w:rPr>
          <w:rFonts w:hint="eastAsia" w:ascii="宋体" w:hAnsi="宋体" w:eastAsia="宋体" w:cs="宋体"/>
          <w:b/>
          <w:bCs/>
          <w:sz w:val="24"/>
          <w:szCs w:val="24"/>
          <w:lang w:eastAsia="zh-CN"/>
        </w:rPr>
        <w:t>）</w:t>
      </w:r>
      <w:r>
        <w:rPr>
          <w:rFonts w:ascii="宋体" w:hAnsi="宋体" w:eastAsia="宋体" w:cs="宋体"/>
          <w:b/>
          <w:bCs/>
          <w:sz w:val="24"/>
          <w:szCs w:val="24"/>
        </w:rPr>
        <w:t>符合性审查</w:t>
      </w:r>
    </w:p>
    <w:p>
      <w:pPr>
        <w:spacing w:line="360" w:lineRule="auto"/>
        <w:rPr>
          <w:rFonts w:ascii="宋体" w:hAnsi="宋体" w:eastAsia="宋体"/>
          <w:sz w:val="24"/>
          <w:szCs w:val="24"/>
        </w:rPr>
      </w:pPr>
    </w:p>
    <w:tbl>
      <w:tblPr>
        <w:tblStyle w:val="20"/>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849"/>
        <w:gridCol w:w="1768"/>
        <w:gridCol w:w="6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463" w:type="dxa"/>
            <w:gridSpan w:val="2"/>
            <w:vAlign w:val="center"/>
          </w:tcPr>
          <w:p>
            <w:pPr>
              <w:pStyle w:val="21"/>
              <w:rPr>
                <w:sz w:val="21"/>
                <w:szCs w:val="21"/>
              </w:rPr>
            </w:pPr>
            <w:r>
              <w:rPr>
                <w:sz w:val="21"/>
                <w:szCs w:val="21"/>
              </w:rPr>
              <w:t>条款号</w:t>
            </w:r>
          </w:p>
        </w:tc>
        <w:tc>
          <w:tcPr>
            <w:tcW w:w="1768" w:type="dxa"/>
            <w:vAlign w:val="center"/>
          </w:tcPr>
          <w:p>
            <w:pPr>
              <w:pStyle w:val="21"/>
              <w:rPr>
                <w:sz w:val="21"/>
                <w:szCs w:val="21"/>
              </w:rPr>
            </w:pPr>
            <w:r>
              <w:rPr>
                <w:sz w:val="21"/>
                <w:szCs w:val="21"/>
              </w:rPr>
              <w:t>评审因素</w:t>
            </w:r>
          </w:p>
        </w:tc>
        <w:tc>
          <w:tcPr>
            <w:tcW w:w="6079" w:type="dxa"/>
            <w:vAlign w:val="center"/>
          </w:tcPr>
          <w:p>
            <w:pPr>
              <w:pStyle w:val="21"/>
              <w:rPr>
                <w:sz w:val="21"/>
                <w:szCs w:val="21"/>
              </w:rPr>
            </w:pPr>
            <w:r>
              <w:rPr>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14" w:type="dxa"/>
            <w:vMerge w:val="restart"/>
            <w:tcBorders>
              <w:bottom w:val="nil"/>
            </w:tcBorders>
            <w:vAlign w:val="center"/>
          </w:tcPr>
          <w:p>
            <w:pPr>
              <w:pStyle w:val="21"/>
              <w:rPr>
                <w:sz w:val="21"/>
                <w:szCs w:val="21"/>
              </w:rPr>
            </w:pPr>
            <w:r>
              <w:rPr>
                <w:sz w:val="21"/>
                <w:szCs w:val="21"/>
              </w:rPr>
              <w:t>2.1.2</w:t>
            </w:r>
          </w:p>
        </w:tc>
        <w:tc>
          <w:tcPr>
            <w:tcW w:w="849" w:type="dxa"/>
            <w:vMerge w:val="restart"/>
            <w:tcBorders>
              <w:bottom w:val="nil"/>
            </w:tcBorders>
            <w:vAlign w:val="center"/>
          </w:tcPr>
          <w:p>
            <w:pPr>
              <w:pStyle w:val="21"/>
              <w:rPr>
                <w:sz w:val="21"/>
                <w:szCs w:val="21"/>
              </w:rPr>
            </w:pPr>
            <w:r>
              <w:rPr>
                <w:sz w:val="21"/>
                <w:szCs w:val="21"/>
              </w:rPr>
              <w:t>符合性 评审 标准</w:t>
            </w:r>
          </w:p>
        </w:tc>
        <w:tc>
          <w:tcPr>
            <w:tcW w:w="1768" w:type="dxa"/>
            <w:vAlign w:val="center"/>
          </w:tcPr>
          <w:p>
            <w:pPr>
              <w:pStyle w:val="21"/>
              <w:rPr>
                <w:sz w:val="21"/>
                <w:szCs w:val="21"/>
              </w:rPr>
            </w:pPr>
            <w:r>
              <w:rPr>
                <w:sz w:val="21"/>
                <w:szCs w:val="21"/>
              </w:rPr>
              <w:t>供应商名称</w:t>
            </w:r>
          </w:p>
        </w:tc>
        <w:tc>
          <w:tcPr>
            <w:tcW w:w="6079" w:type="dxa"/>
            <w:vAlign w:val="center"/>
          </w:tcPr>
          <w:p>
            <w:pPr>
              <w:pStyle w:val="21"/>
              <w:rPr>
                <w:sz w:val="21"/>
                <w:szCs w:val="21"/>
              </w:rPr>
            </w:pPr>
            <w:r>
              <w:rPr>
                <w:sz w:val="21"/>
                <w:szCs w:val="21"/>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spacing w:line="360" w:lineRule="auto"/>
              <w:jc w:val="center"/>
              <w:rPr>
                <w:rFonts w:ascii="宋体" w:hAnsi="宋体" w:eastAsia="宋体"/>
              </w:rPr>
            </w:pPr>
          </w:p>
        </w:tc>
        <w:tc>
          <w:tcPr>
            <w:tcW w:w="849" w:type="dxa"/>
            <w:vMerge w:val="continue"/>
            <w:tcBorders>
              <w:top w:val="nil"/>
              <w:bottom w:val="nil"/>
            </w:tcBorders>
            <w:vAlign w:val="center"/>
          </w:tcPr>
          <w:p>
            <w:pPr>
              <w:spacing w:line="360" w:lineRule="auto"/>
              <w:jc w:val="center"/>
              <w:rPr>
                <w:rFonts w:ascii="宋体" w:hAnsi="宋体" w:eastAsia="宋体"/>
              </w:rPr>
            </w:pPr>
          </w:p>
        </w:tc>
        <w:tc>
          <w:tcPr>
            <w:tcW w:w="1768" w:type="dxa"/>
            <w:vAlign w:val="center"/>
          </w:tcPr>
          <w:p>
            <w:pPr>
              <w:pStyle w:val="21"/>
              <w:rPr>
                <w:sz w:val="21"/>
                <w:szCs w:val="21"/>
              </w:rPr>
            </w:pPr>
            <w:r>
              <w:rPr>
                <w:sz w:val="21"/>
                <w:szCs w:val="21"/>
              </w:rPr>
              <w:t>投标函签字盖章</w:t>
            </w:r>
          </w:p>
        </w:tc>
        <w:tc>
          <w:tcPr>
            <w:tcW w:w="6079" w:type="dxa"/>
            <w:vAlign w:val="center"/>
          </w:tcPr>
          <w:p>
            <w:pPr>
              <w:pStyle w:val="21"/>
              <w:rPr>
                <w:sz w:val="21"/>
                <w:szCs w:val="21"/>
                <w:lang w:eastAsia="zh-CN"/>
              </w:rPr>
            </w:pPr>
            <w:r>
              <w:rPr>
                <w:sz w:val="21"/>
                <w:szCs w:val="21"/>
                <w:lang w:eastAsia="zh-CN"/>
              </w:rPr>
              <w:t>有法定代表人或其委托代理人签字并加盖单位章。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spacing w:line="360" w:lineRule="auto"/>
              <w:jc w:val="center"/>
              <w:rPr>
                <w:rFonts w:ascii="宋体" w:hAnsi="宋体" w:eastAsia="宋体"/>
                <w:lang w:eastAsia="zh-CN"/>
              </w:rPr>
            </w:pPr>
          </w:p>
        </w:tc>
        <w:tc>
          <w:tcPr>
            <w:tcW w:w="849" w:type="dxa"/>
            <w:vMerge w:val="continue"/>
            <w:tcBorders>
              <w:top w:val="nil"/>
              <w:bottom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rPr>
            </w:pPr>
            <w:r>
              <w:rPr>
                <w:sz w:val="21"/>
                <w:szCs w:val="21"/>
              </w:rPr>
              <w:t>投标文件格式</w:t>
            </w:r>
          </w:p>
        </w:tc>
        <w:tc>
          <w:tcPr>
            <w:tcW w:w="6079" w:type="dxa"/>
            <w:vAlign w:val="center"/>
          </w:tcPr>
          <w:p>
            <w:pPr>
              <w:pStyle w:val="21"/>
              <w:rPr>
                <w:sz w:val="21"/>
                <w:szCs w:val="21"/>
                <w:lang w:eastAsia="zh-CN"/>
              </w:rPr>
            </w:pPr>
            <w:r>
              <w:rPr>
                <w:sz w:val="21"/>
                <w:szCs w:val="21"/>
                <w:lang w:eastAsia="zh-CN"/>
              </w:rPr>
              <w:t>符合第五章“投标文件格式”的要求。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spacing w:line="360" w:lineRule="auto"/>
              <w:jc w:val="center"/>
              <w:rPr>
                <w:rFonts w:ascii="宋体" w:hAnsi="宋体" w:eastAsia="宋体"/>
                <w:lang w:eastAsia="zh-CN"/>
              </w:rPr>
            </w:pPr>
          </w:p>
        </w:tc>
        <w:tc>
          <w:tcPr>
            <w:tcW w:w="849" w:type="dxa"/>
            <w:vMerge w:val="continue"/>
            <w:tcBorders>
              <w:top w:val="nil"/>
              <w:bottom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rPr>
            </w:pPr>
            <w:r>
              <w:rPr>
                <w:sz w:val="21"/>
                <w:szCs w:val="21"/>
              </w:rPr>
              <w:t>报价唯一</w:t>
            </w:r>
          </w:p>
        </w:tc>
        <w:tc>
          <w:tcPr>
            <w:tcW w:w="6079" w:type="dxa"/>
            <w:vAlign w:val="center"/>
          </w:tcPr>
          <w:p>
            <w:pPr>
              <w:pStyle w:val="21"/>
              <w:rPr>
                <w:sz w:val="21"/>
                <w:szCs w:val="21"/>
                <w:lang w:eastAsia="zh-CN"/>
              </w:rPr>
            </w:pPr>
            <w:r>
              <w:rPr>
                <w:sz w:val="21"/>
                <w:szCs w:val="21"/>
                <w:lang w:eastAsia="zh-CN"/>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14" w:type="dxa"/>
            <w:vMerge w:val="continue"/>
            <w:tcBorders>
              <w:top w:val="nil"/>
              <w:bottom w:val="nil"/>
            </w:tcBorders>
            <w:vAlign w:val="center"/>
          </w:tcPr>
          <w:p>
            <w:pPr>
              <w:spacing w:line="360" w:lineRule="auto"/>
              <w:jc w:val="center"/>
              <w:rPr>
                <w:rFonts w:ascii="宋体" w:hAnsi="宋体" w:eastAsia="宋体"/>
                <w:lang w:eastAsia="zh-CN"/>
              </w:rPr>
            </w:pPr>
          </w:p>
        </w:tc>
        <w:tc>
          <w:tcPr>
            <w:tcW w:w="849" w:type="dxa"/>
            <w:vMerge w:val="continue"/>
            <w:tcBorders>
              <w:top w:val="nil"/>
              <w:bottom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rPr>
            </w:pPr>
            <w:r>
              <w:rPr>
                <w:sz w:val="21"/>
                <w:szCs w:val="21"/>
              </w:rPr>
              <w:t>投标报价</w:t>
            </w:r>
          </w:p>
        </w:tc>
        <w:tc>
          <w:tcPr>
            <w:tcW w:w="6079" w:type="dxa"/>
            <w:vAlign w:val="center"/>
          </w:tcPr>
          <w:p>
            <w:pPr>
              <w:pStyle w:val="21"/>
              <w:rPr>
                <w:sz w:val="21"/>
                <w:szCs w:val="21"/>
                <w:lang w:eastAsia="zh-CN"/>
              </w:rPr>
            </w:pPr>
            <w:r>
              <w:rPr>
                <w:sz w:val="21"/>
                <w:szCs w:val="21"/>
                <w:lang w:eastAsia="zh-CN"/>
              </w:rPr>
              <w:t>符合第二章“投标人须知”前附表第10.4款关于招标控制价的规定。 高于招标控制价的投标报价将被否决，按废标处理。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spacing w:line="360" w:lineRule="auto"/>
              <w:jc w:val="center"/>
              <w:rPr>
                <w:rFonts w:ascii="宋体" w:hAnsi="宋体" w:eastAsia="宋体"/>
                <w:lang w:eastAsia="zh-CN"/>
              </w:rPr>
            </w:pPr>
          </w:p>
        </w:tc>
        <w:tc>
          <w:tcPr>
            <w:tcW w:w="849" w:type="dxa"/>
            <w:vMerge w:val="continue"/>
            <w:tcBorders>
              <w:top w:val="nil"/>
              <w:bottom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rPr>
            </w:pPr>
            <w:r>
              <w:rPr>
                <w:sz w:val="21"/>
                <w:szCs w:val="21"/>
              </w:rPr>
              <w:t>投标内容</w:t>
            </w:r>
          </w:p>
        </w:tc>
        <w:tc>
          <w:tcPr>
            <w:tcW w:w="6079" w:type="dxa"/>
            <w:vAlign w:val="center"/>
          </w:tcPr>
          <w:p>
            <w:pPr>
              <w:pStyle w:val="21"/>
              <w:rPr>
                <w:sz w:val="21"/>
                <w:szCs w:val="21"/>
                <w:lang w:eastAsia="zh-CN"/>
              </w:rPr>
            </w:pPr>
            <w:r>
              <w:rPr>
                <w:sz w:val="21"/>
                <w:szCs w:val="21"/>
                <w:lang w:eastAsia="zh-CN"/>
              </w:rPr>
              <w:t>符合第二章“投标人须知”第1.3.1项规定</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14" w:type="dxa"/>
            <w:vMerge w:val="continue"/>
            <w:tcBorders>
              <w:top w:val="nil"/>
              <w:bottom w:val="nil"/>
            </w:tcBorders>
            <w:vAlign w:val="center"/>
          </w:tcPr>
          <w:p>
            <w:pPr>
              <w:spacing w:line="360" w:lineRule="auto"/>
              <w:jc w:val="center"/>
              <w:rPr>
                <w:rFonts w:ascii="宋体" w:hAnsi="宋体" w:eastAsia="宋体"/>
                <w:lang w:eastAsia="zh-CN"/>
              </w:rPr>
            </w:pPr>
          </w:p>
        </w:tc>
        <w:tc>
          <w:tcPr>
            <w:tcW w:w="849" w:type="dxa"/>
            <w:vMerge w:val="continue"/>
            <w:tcBorders>
              <w:top w:val="nil"/>
              <w:bottom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6079" w:type="dxa"/>
            <w:vAlign w:val="center"/>
          </w:tcPr>
          <w:p>
            <w:pPr>
              <w:pStyle w:val="21"/>
              <w:rPr>
                <w:sz w:val="21"/>
                <w:szCs w:val="21"/>
              </w:rPr>
            </w:pPr>
            <w:r>
              <w:rPr>
                <w:sz w:val="21"/>
                <w:szCs w:val="21"/>
              </w:rPr>
              <w:t>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spacing w:line="360" w:lineRule="auto"/>
              <w:jc w:val="center"/>
              <w:rPr>
                <w:rFonts w:ascii="宋体" w:hAnsi="宋体" w:eastAsia="宋体"/>
              </w:rPr>
            </w:pPr>
          </w:p>
        </w:tc>
        <w:tc>
          <w:tcPr>
            <w:tcW w:w="849" w:type="dxa"/>
            <w:vMerge w:val="continue"/>
            <w:tcBorders>
              <w:top w:val="nil"/>
              <w:bottom w:val="nil"/>
            </w:tcBorders>
            <w:vAlign w:val="center"/>
          </w:tcPr>
          <w:p>
            <w:pPr>
              <w:spacing w:line="360" w:lineRule="auto"/>
              <w:jc w:val="center"/>
              <w:rPr>
                <w:rFonts w:ascii="宋体" w:hAnsi="宋体" w:eastAsia="宋体"/>
              </w:rPr>
            </w:pPr>
          </w:p>
        </w:tc>
        <w:tc>
          <w:tcPr>
            <w:tcW w:w="1768" w:type="dxa"/>
            <w:vAlign w:val="center"/>
          </w:tcPr>
          <w:p>
            <w:pPr>
              <w:pStyle w:val="21"/>
              <w:rPr>
                <w:sz w:val="21"/>
                <w:szCs w:val="21"/>
              </w:rPr>
            </w:pPr>
            <w:r>
              <w:rPr>
                <w:sz w:val="21"/>
                <w:szCs w:val="21"/>
              </w:rPr>
              <w:t>投标有效期</w:t>
            </w:r>
          </w:p>
        </w:tc>
        <w:tc>
          <w:tcPr>
            <w:tcW w:w="6079" w:type="dxa"/>
            <w:vAlign w:val="center"/>
          </w:tcPr>
          <w:p>
            <w:pPr>
              <w:pStyle w:val="21"/>
              <w:rPr>
                <w:sz w:val="21"/>
                <w:szCs w:val="21"/>
                <w:lang w:eastAsia="zh-CN"/>
              </w:rPr>
            </w:pPr>
            <w:r>
              <w:rPr>
                <w:sz w:val="21"/>
                <w:szCs w:val="21"/>
                <w:lang w:eastAsia="zh-CN"/>
              </w:rPr>
              <w:t>投标截止之日起90日历天</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op w:val="nil"/>
            </w:tcBorders>
            <w:vAlign w:val="center"/>
          </w:tcPr>
          <w:p>
            <w:pPr>
              <w:spacing w:line="360" w:lineRule="auto"/>
              <w:jc w:val="center"/>
              <w:rPr>
                <w:rFonts w:ascii="宋体" w:hAnsi="宋体" w:eastAsia="宋体"/>
                <w:lang w:eastAsia="zh-CN"/>
              </w:rPr>
            </w:pPr>
          </w:p>
        </w:tc>
        <w:tc>
          <w:tcPr>
            <w:tcW w:w="849" w:type="dxa"/>
            <w:vMerge w:val="continue"/>
            <w:tcBorders>
              <w:top w:val="nil"/>
            </w:tcBorders>
            <w:vAlign w:val="center"/>
          </w:tcPr>
          <w:p>
            <w:pPr>
              <w:spacing w:line="360" w:lineRule="auto"/>
              <w:jc w:val="center"/>
              <w:rPr>
                <w:rFonts w:ascii="宋体" w:hAnsi="宋体" w:eastAsia="宋体"/>
                <w:lang w:eastAsia="zh-CN"/>
              </w:rPr>
            </w:pPr>
          </w:p>
        </w:tc>
        <w:tc>
          <w:tcPr>
            <w:tcW w:w="1768" w:type="dxa"/>
            <w:vAlign w:val="center"/>
          </w:tcPr>
          <w:p>
            <w:pPr>
              <w:pStyle w:val="21"/>
              <w:rPr>
                <w:sz w:val="21"/>
                <w:szCs w:val="21"/>
              </w:rPr>
            </w:pPr>
            <w:r>
              <w:rPr>
                <w:sz w:val="21"/>
                <w:szCs w:val="21"/>
              </w:rPr>
              <w:t>其他要求</w:t>
            </w:r>
          </w:p>
        </w:tc>
        <w:tc>
          <w:tcPr>
            <w:tcW w:w="6079" w:type="dxa"/>
            <w:vAlign w:val="center"/>
          </w:tcPr>
          <w:p>
            <w:pPr>
              <w:pStyle w:val="21"/>
              <w:rPr>
                <w:sz w:val="21"/>
                <w:szCs w:val="21"/>
                <w:lang w:eastAsia="zh-CN"/>
              </w:rPr>
            </w:pPr>
            <w:r>
              <w:rPr>
                <w:sz w:val="21"/>
                <w:szCs w:val="21"/>
                <w:lang w:eastAsia="zh-CN"/>
              </w:rPr>
              <w:t>满足招标文件的其他实质性要求。</w:t>
            </w:r>
          </w:p>
        </w:tc>
      </w:tr>
    </w:tbl>
    <w:p>
      <w:pPr>
        <w:spacing w:line="360" w:lineRule="auto"/>
        <w:ind w:left="505" w:right="413" w:firstLine="9"/>
        <w:rPr>
          <w:rFonts w:ascii="宋体" w:hAnsi="宋体" w:eastAsia="宋体" w:cs="宋体"/>
          <w:sz w:val="24"/>
          <w:szCs w:val="24"/>
          <w:lang w:eastAsia="zh-CN"/>
        </w:rPr>
      </w:pPr>
    </w:p>
    <w:p>
      <w:pPr>
        <w:spacing w:line="360" w:lineRule="auto"/>
        <w:ind w:left="505" w:right="413" w:firstLine="9"/>
        <w:rPr>
          <w:rFonts w:ascii="宋体" w:hAnsi="宋体" w:eastAsia="宋体" w:cs="宋体"/>
          <w:sz w:val="24"/>
          <w:szCs w:val="24"/>
          <w:lang w:eastAsia="zh-CN"/>
        </w:rPr>
      </w:pPr>
      <w:r>
        <w:rPr>
          <w:rFonts w:ascii="宋体" w:hAnsi="宋体" w:eastAsia="宋体" w:cs="宋体"/>
          <w:sz w:val="24"/>
          <w:szCs w:val="24"/>
          <w:lang w:eastAsia="zh-CN"/>
        </w:rPr>
        <w:t>注：上述符合性审查内容中有一项不合格，则符合性评审不合格，投标按废标处理，不进入 后续评审。每项审查内容合格打“ √ ”,不合格打“×”。评审结论写“合格”或“不合格”。 不合格须注明原因。</w:t>
      </w:r>
    </w:p>
    <w:p>
      <w:pPr>
        <w:spacing w:line="360" w:lineRule="auto"/>
        <w:ind w:left="505" w:right="413" w:firstLine="9"/>
        <w:rPr>
          <w:rFonts w:ascii="宋体" w:hAnsi="宋体" w:eastAsia="宋体" w:cs="宋体"/>
          <w:sz w:val="24"/>
          <w:szCs w:val="24"/>
          <w:lang w:eastAsia="zh-CN"/>
        </w:rPr>
        <w:sectPr>
          <w:footerReference r:id="rId14" w:type="default"/>
          <w:pgSz w:w="11905" w:h="16838"/>
          <w:pgMar w:top="1134" w:right="1134" w:bottom="1134" w:left="1134" w:header="0" w:footer="1049" w:gutter="0"/>
          <w:cols w:space="0" w:num="1"/>
        </w:sectPr>
      </w:pPr>
    </w:p>
    <w:p>
      <w:pPr>
        <w:spacing w:line="360" w:lineRule="auto"/>
        <w:ind w:left="3678"/>
        <w:rPr>
          <w:rFonts w:ascii="宋体" w:hAnsi="宋体" w:eastAsia="宋体" w:cs="黑体"/>
          <w:sz w:val="24"/>
          <w:szCs w:val="24"/>
          <w:lang w:eastAsia="zh-CN"/>
        </w:rPr>
      </w:pPr>
      <w:r>
        <w:rPr>
          <w:rFonts w:ascii="宋体" w:hAnsi="宋体" w:eastAsia="宋体" w:cs="黑体"/>
          <w:b/>
          <w:bCs/>
          <w:sz w:val="24"/>
          <w:szCs w:val="24"/>
        </w:rPr>
        <w:t>详细评审表</w:t>
      </w:r>
    </w:p>
    <w:tbl>
      <w:tblPr>
        <w:tblStyle w:val="20"/>
        <w:tblW w:w="44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7"/>
        <w:gridCol w:w="6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134" w:type="pct"/>
            <w:vAlign w:val="center"/>
          </w:tcPr>
          <w:p>
            <w:pPr>
              <w:pStyle w:val="21"/>
              <w:rPr>
                <w:sz w:val="21"/>
                <w:szCs w:val="21"/>
              </w:rPr>
            </w:pPr>
            <w:r>
              <w:rPr>
                <w:sz w:val="21"/>
                <w:szCs w:val="21"/>
              </w:rPr>
              <w:t>条款内容</w:t>
            </w:r>
          </w:p>
        </w:tc>
        <w:tc>
          <w:tcPr>
            <w:tcW w:w="3865" w:type="pct"/>
            <w:vAlign w:val="center"/>
          </w:tcPr>
          <w:p>
            <w:pPr>
              <w:pStyle w:val="21"/>
              <w:rPr>
                <w:sz w:val="21"/>
                <w:szCs w:val="21"/>
              </w:rPr>
            </w:pPr>
            <w:r>
              <w:rPr>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pPr>
              <w:pStyle w:val="21"/>
              <w:rPr>
                <w:sz w:val="21"/>
                <w:szCs w:val="21"/>
              </w:rPr>
            </w:pPr>
            <w:r>
              <w:rPr>
                <w:sz w:val="21"/>
                <w:szCs w:val="21"/>
              </w:rPr>
              <w:t>评标基准价计算 方法</w:t>
            </w:r>
          </w:p>
        </w:tc>
        <w:tc>
          <w:tcPr>
            <w:tcW w:w="3865" w:type="pct"/>
            <w:vAlign w:val="center"/>
          </w:tcPr>
          <w:p>
            <w:pPr>
              <w:pStyle w:val="21"/>
              <w:spacing w:line="420" w:lineRule="exact"/>
              <w:rPr>
                <w:sz w:val="21"/>
                <w:szCs w:val="21"/>
                <w:lang w:eastAsia="zh-CN"/>
              </w:rPr>
            </w:pPr>
            <w:r>
              <w:rPr>
                <w:sz w:val="21"/>
                <w:szCs w:val="21"/>
                <w:lang w:eastAsia="zh-CN"/>
              </w:rPr>
              <w:t>评标基准价为所有经过评审后的有效投标人的最低投标报价。当投标人的投标报价等于评标基准价时，得满分。因落实政府采购政策进行价格调整的，以调整后的价格计算评标基准价和投标报价。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pPr>
              <w:pStyle w:val="21"/>
              <w:rPr>
                <w:sz w:val="21"/>
                <w:szCs w:val="21"/>
              </w:rPr>
            </w:pPr>
            <w:r>
              <w:rPr>
                <w:sz w:val="21"/>
                <w:szCs w:val="21"/>
              </w:rPr>
              <w:t>计算公式</w:t>
            </w:r>
          </w:p>
        </w:tc>
        <w:tc>
          <w:tcPr>
            <w:tcW w:w="3865" w:type="pct"/>
            <w:vAlign w:val="center"/>
          </w:tcPr>
          <w:p>
            <w:pPr>
              <w:pStyle w:val="21"/>
              <w:spacing w:line="420" w:lineRule="exact"/>
              <w:rPr>
                <w:sz w:val="21"/>
                <w:szCs w:val="21"/>
                <w:lang w:eastAsia="zh-CN"/>
              </w:rPr>
            </w:pPr>
            <w:r>
              <w:rPr>
                <w:sz w:val="21"/>
                <w:szCs w:val="21"/>
                <w:lang w:eastAsia="zh-CN"/>
              </w:rPr>
              <w:t>投标报价得分=</w:t>
            </w:r>
            <w:r>
              <w:rPr>
                <w:rFonts w:hint="eastAsia"/>
                <w:sz w:val="21"/>
                <w:szCs w:val="21"/>
                <w:lang w:eastAsia="zh-CN"/>
              </w:rPr>
              <w:t>（</w:t>
            </w:r>
            <w:r>
              <w:rPr>
                <w:sz w:val="21"/>
                <w:szCs w:val="21"/>
                <w:lang w:eastAsia="zh-CN"/>
              </w:rPr>
              <w:t>评标基准价/投标报价</w:t>
            </w:r>
            <w:r>
              <w:rPr>
                <w:rFonts w:hint="eastAsia"/>
                <w:sz w:val="21"/>
                <w:szCs w:val="21"/>
                <w:lang w:eastAsia="zh-CN"/>
              </w:rPr>
              <w:t>）</w:t>
            </w:r>
            <w:r>
              <w:rPr>
                <w:sz w:val="21"/>
                <w:szCs w:val="21"/>
                <w:lang w:eastAsia="zh-CN"/>
              </w:rPr>
              <w:t>*基准分值</w:t>
            </w:r>
          </w:p>
          <w:p>
            <w:pPr>
              <w:pStyle w:val="21"/>
              <w:spacing w:line="420" w:lineRule="exact"/>
              <w:rPr>
                <w:sz w:val="21"/>
                <w:szCs w:val="21"/>
                <w:lang w:eastAsia="zh-CN"/>
              </w:rPr>
            </w:pPr>
            <w:r>
              <w:rPr>
                <w:sz w:val="21"/>
                <w:szCs w:val="21"/>
                <w:lang w:eastAsia="zh-CN"/>
              </w:rPr>
              <w:t>投标报价得分均保留小数点后两位，第三位四舍五入。</w:t>
            </w:r>
          </w:p>
        </w:tc>
      </w:tr>
    </w:tbl>
    <w:p>
      <w:pPr>
        <w:spacing w:line="360" w:lineRule="auto"/>
        <w:rPr>
          <w:rFonts w:hint="eastAsia" w:ascii="宋体" w:hAnsi="宋体" w:eastAsia="宋体" w:cs="宋体"/>
          <w:sz w:val="24"/>
          <w:szCs w:val="24"/>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78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81" w:type="dxa"/>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评审因素</w:t>
            </w:r>
          </w:p>
        </w:tc>
        <w:tc>
          <w:tcPr>
            <w:tcW w:w="7789" w:type="dxa"/>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评分内容</w:t>
            </w:r>
          </w:p>
        </w:tc>
        <w:tc>
          <w:tcPr>
            <w:tcW w:w="928" w:type="dxa"/>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pPr>
              <w:widowControl w:val="0"/>
              <w:kinsoku/>
              <w:snapToGrid/>
              <w:spacing w:line="300" w:lineRule="exact"/>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分值构成</w:t>
            </w:r>
          </w:p>
        </w:tc>
        <w:tc>
          <w:tcPr>
            <w:tcW w:w="7789" w:type="dxa"/>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报价部分：</w:t>
            </w:r>
            <w:r>
              <w:rPr>
                <w:rFonts w:hint="eastAsia" w:ascii="宋体" w:hAnsi="宋体" w:eastAsia="宋体" w:cs="宋体"/>
                <w:bCs/>
                <w:snapToGrid/>
                <w:kern w:val="2"/>
                <w:lang w:eastAsia="zh-CN"/>
              </w:rPr>
              <w:t>10</w:t>
            </w:r>
            <w:r>
              <w:rPr>
                <w:rFonts w:hint="eastAsia" w:ascii="宋体" w:hAnsi="宋体" w:eastAsia="宋体" w:cs="宋体"/>
                <w:bCs/>
                <w:snapToGrid/>
                <w:kern w:val="2"/>
                <w:lang w:val="zh-CN" w:eastAsia="zh-CN"/>
              </w:rPr>
              <w:t>分</w:t>
            </w:r>
          </w:p>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928" w:type="dxa"/>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pPr>
              <w:widowControl w:val="0"/>
              <w:kinsoku/>
              <w:snapToGrid/>
              <w:spacing w:line="300" w:lineRule="exact"/>
              <w:textAlignment w:val="auto"/>
              <w:rPr>
                <w:rFonts w:hint="eastAsia" w:ascii="宋体" w:hAnsi="宋体" w:eastAsia="宋体" w:cs="宋体"/>
                <w:bCs/>
                <w:snapToGrid/>
                <w:kern w:val="2"/>
                <w:lang w:eastAsia="zh-CN"/>
              </w:rPr>
            </w:pPr>
            <w:r>
              <w:rPr>
                <w:rFonts w:hint="eastAsia" w:ascii="宋体" w:hAnsi="宋体" w:eastAsia="宋体" w:cs="宋体"/>
                <w:bCs/>
                <w:snapToGrid/>
                <w:kern w:val="2"/>
                <w:lang w:eastAsia="zh-CN"/>
              </w:rPr>
              <w:t>投标报价（10分）</w:t>
            </w:r>
          </w:p>
        </w:tc>
        <w:tc>
          <w:tcPr>
            <w:tcW w:w="7789" w:type="dxa"/>
            <w:noWrap/>
            <w:vAlign w:val="center"/>
          </w:tcPr>
          <w:p>
            <w:pPr>
              <w:widowControl w:val="0"/>
              <w:kinsoku/>
              <w:snapToGrid/>
              <w:spacing w:line="360" w:lineRule="exact"/>
              <w:textAlignment w:val="auto"/>
              <w:rPr>
                <w:rFonts w:ascii="宋体" w:hAnsi="宋体" w:eastAsia="宋体"/>
                <w:bCs/>
                <w:snapToGrid/>
                <w:kern w:val="2"/>
                <w:lang w:val="zh-CN" w:eastAsia="zh-CN"/>
              </w:rPr>
            </w:pPr>
            <w:r>
              <w:rPr>
                <w:rFonts w:hint="eastAsia" w:ascii="宋体" w:hAnsi="宋体" w:eastAsia="宋体" w:cs="宋体"/>
                <w:bCs/>
                <w:snapToGrid/>
                <w:kern w:val="2"/>
                <w:lang w:val="zh-CN" w:eastAsia="zh-CN"/>
              </w:rPr>
              <w:t>价格分统一采用低价优先法计算，即满足磋商文件要求且最后报价最低的供应商的价格为磋商基准价，其价格分为满分。其他供应商的价格分统一按照下列公式计算：磋商报价得分</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（磋商基准价</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最后磋商报价）</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价格权值</w:t>
            </w:r>
            <w:r>
              <w:rPr>
                <w:rFonts w:ascii="宋体" w:hAnsi="宋体" w:eastAsia="宋体"/>
                <w:bCs/>
                <w:snapToGrid/>
                <w:kern w:val="2"/>
                <w:lang w:val="zh-CN" w:eastAsia="zh-CN"/>
              </w:rPr>
              <w:t>10%×100</w:t>
            </w:r>
          </w:p>
          <w:p>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宋体"/>
                <w:bCs/>
                <w:snapToGrid/>
                <w:kern w:val="2"/>
                <w:lang w:val="zh-CN" w:eastAsia="zh-CN"/>
              </w:rPr>
              <w:t>报价得分保留两位小数，第三位四舍五入。</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1" w:type="dxa"/>
            <w:vMerge w:val="restart"/>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p>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供应商</w:t>
            </w:r>
            <w:r>
              <w:rPr>
                <w:rFonts w:hint="eastAsia" w:ascii="宋体" w:hAnsi="宋体" w:eastAsia="宋体" w:cs="宋体"/>
                <w:bCs/>
                <w:snapToGrid/>
                <w:kern w:val="2"/>
                <w:lang w:val="zh-CN" w:eastAsia="zh-CN"/>
              </w:rPr>
              <w:t>近三年(20</w:t>
            </w:r>
            <w:r>
              <w:rPr>
                <w:rFonts w:hint="eastAsia" w:ascii="宋体" w:hAnsi="宋体" w:eastAsia="宋体" w:cs="宋体"/>
                <w:bCs/>
                <w:snapToGrid/>
                <w:kern w:val="2"/>
                <w:lang w:eastAsia="zh-CN"/>
              </w:rPr>
              <w:t>21</w:t>
            </w:r>
            <w:r>
              <w:rPr>
                <w:rFonts w:hint="eastAsia" w:ascii="宋体" w:hAnsi="宋体" w:eastAsia="宋体" w:cs="宋体"/>
                <w:bCs/>
                <w:snapToGrid/>
                <w:kern w:val="2"/>
                <w:lang w:val="zh-CN" w:eastAsia="zh-CN"/>
              </w:rPr>
              <w:t>年</w:t>
            </w:r>
            <w:r>
              <w:rPr>
                <w:rFonts w:hint="eastAsia" w:ascii="宋体" w:hAnsi="宋体" w:eastAsia="宋体" w:cs="宋体"/>
                <w:bCs/>
                <w:snapToGrid/>
                <w:kern w:val="2"/>
                <w:lang w:eastAsia="zh-CN"/>
              </w:rPr>
              <w:t>至今</w:t>
            </w:r>
            <w:r>
              <w:rPr>
                <w:rFonts w:hint="eastAsia" w:ascii="宋体" w:hAnsi="宋体" w:eastAsia="宋体" w:cs="宋体"/>
                <w:bCs/>
                <w:snapToGrid/>
                <w:kern w:val="2"/>
                <w:lang w:val="zh-CN" w:eastAsia="zh-CN"/>
              </w:rPr>
              <w:t>)</w:t>
            </w:r>
            <w:r>
              <w:rPr>
                <w:rFonts w:hint="eastAsia" w:ascii="宋体" w:hAnsi="宋体" w:eastAsia="宋体" w:cs="宋体"/>
                <w:lang w:eastAsia="zh-CN"/>
              </w:rPr>
              <w:t xml:space="preserve"> </w:t>
            </w:r>
            <w:r>
              <w:rPr>
                <w:rFonts w:hint="eastAsia" w:ascii="宋体" w:hAnsi="宋体" w:eastAsia="宋体" w:cs="宋体"/>
                <w:bCs/>
                <w:snapToGrid/>
                <w:kern w:val="2"/>
                <w:lang w:val="zh-CN" w:eastAsia="zh-CN"/>
              </w:rPr>
              <w:t>承担类似业绩且甲方反馈良好的有</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项计2分，最高可计14分，应提供中标通知书或合同等相关证明文件，标书内附有复印件，否则不计分。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对供应商提出的采购人可以接受的合理优惠条件进行综合评价，综合评价优</w:t>
            </w:r>
            <w:r>
              <w:rPr>
                <w:rFonts w:hint="eastAsia" w:ascii="宋体" w:hAnsi="宋体" w:eastAsia="宋体" w:cs="宋体"/>
                <w:bCs/>
                <w:snapToGrid/>
                <w:kern w:val="2"/>
                <w:lang w:val="zh-CN" w:eastAsia="zh-CN"/>
              </w:rPr>
              <w:t>得</w:t>
            </w:r>
            <w:r>
              <w:rPr>
                <w:rFonts w:hint="eastAsia" w:ascii="宋体" w:hAnsi="宋体" w:eastAsia="宋体" w:cs="宋体"/>
                <w:bCs/>
                <w:snapToGrid/>
                <w:kern w:val="2"/>
                <w:lang w:eastAsia="zh-CN"/>
              </w:rPr>
              <w:t>5</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eastAsia="zh-CN"/>
              </w:rPr>
              <w:t>4-3</w:t>
            </w:r>
            <w:r>
              <w:rPr>
                <w:rFonts w:hint="eastAsia" w:ascii="宋体" w:hAnsi="宋体" w:eastAsia="宋体" w:cs="宋体"/>
                <w:bCs/>
                <w:snapToGrid/>
                <w:kern w:val="2"/>
                <w:lang w:val="zh-CN" w:eastAsia="zh-CN"/>
              </w:rPr>
              <w:t>分，一般得</w:t>
            </w:r>
            <w:r>
              <w:rPr>
                <w:rFonts w:hint="eastAsia" w:ascii="宋体" w:hAnsi="宋体" w:eastAsia="宋体" w:cs="宋体"/>
                <w:bCs/>
                <w:snapToGrid/>
                <w:kern w:val="2"/>
                <w:lang w:eastAsia="zh-CN"/>
              </w:rPr>
              <w:t>2</w:t>
            </w:r>
            <w:r>
              <w:rPr>
                <w:rFonts w:hint="eastAsia" w:ascii="宋体" w:hAnsi="宋体" w:eastAsia="宋体" w:cs="宋体"/>
                <w:bCs/>
                <w:snapToGrid/>
                <w:kern w:val="2"/>
                <w:lang w:val="zh-CN" w:eastAsia="zh-CN"/>
              </w:rPr>
              <w:t>-1分，没有此项不得分。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对供应商提出的采购人可以接受的合理服务承诺进行综合评价，综合评价优</w:t>
            </w:r>
            <w:r>
              <w:rPr>
                <w:rFonts w:hint="eastAsia" w:ascii="宋体" w:hAnsi="宋体" w:eastAsia="宋体" w:cs="宋体"/>
                <w:bCs/>
                <w:snapToGrid/>
                <w:kern w:val="2"/>
                <w:lang w:val="zh-CN" w:eastAsia="zh-CN"/>
              </w:rPr>
              <w:t>得</w:t>
            </w:r>
            <w:r>
              <w:rPr>
                <w:rFonts w:hint="eastAsia" w:ascii="宋体" w:hAnsi="宋体" w:eastAsia="宋体" w:cs="宋体"/>
                <w:bCs/>
                <w:snapToGrid/>
                <w:kern w:val="2"/>
                <w:lang w:eastAsia="zh-CN"/>
              </w:rPr>
              <w:t>5</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eastAsia="zh-CN"/>
              </w:rPr>
              <w:t>4-3</w:t>
            </w:r>
            <w:r>
              <w:rPr>
                <w:rFonts w:hint="eastAsia" w:ascii="宋体" w:hAnsi="宋体" w:eastAsia="宋体" w:cs="宋体"/>
                <w:bCs/>
                <w:snapToGrid/>
                <w:kern w:val="2"/>
                <w:lang w:val="zh-CN" w:eastAsia="zh-CN"/>
              </w:rPr>
              <w:t>分，一般得</w:t>
            </w:r>
            <w:r>
              <w:rPr>
                <w:rFonts w:hint="eastAsia" w:ascii="宋体" w:hAnsi="宋体" w:eastAsia="宋体" w:cs="宋体"/>
                <w:bCs/>
                <w:snapToGrid/>
                <w:kern w:val="2"/>
                <w:lang w:eastAsia="zh-CN"/>
              </w:rPr>
              <w:t>2</w:t>
            </w:r>
            <w:r>
              <w:rPr>
                <w:rFonts w:hint="eastAsia" w:ascii="宋体" w:hAnsi="宋体" w:eastAsia="宋体" w:cs="宋体"/>
                <w:bCs/>
                <w:snapToGrid/>
                <w:kern w:val="2"/>
                <w:lang w:val="zh-CN" w:eastAsia="zh-CN"/>
              </w:rPr>
              <w:t>-1分，没有此项不得分。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项目组织机构配备合理，评标委员会对人员专业配置、综合实力、人员数量，进行综合评价评价优的计</w:t>
            </w:r>
            <w:r>
              <w:rPr>
                <w:rFonts w:ascii="宋体" w:hAnsi="宋体" w:eastAsia="宋体" w:cs="宋体"/>
                <w:bCs/>
                <w:snapToGrid/>
                <w:kern w:val="2"/>
                <w:lang w:val="zh-CN" w:eastAsia="zh-CN"/>
              </w:rPr>
              <w:t>10-8</w:t>
            </w:r>
            <w:r>
              <w:rPr>
                <w:rFonts w:hint="eastAsia" w:ascii="宋体" w:hAnsi="宋体" w:eastAsia="宋体" w:cs="宋体"/>
                <w:bCs/>
                <w:snapToGrid/>
                <w:kern w:val="2"/>
                <w:lang w:val="zh-CN" w:eastAsia="zh-CN"/>
              </w:rPr>
              <w:t>分，良的计</w:t>
            </w:r>
            <w:r>
              <w:rPr>
                <w:rFonts w:ascii="宋体" w:hAnsi="宋体" w:eastAsia="宋体" w:cs="宋体"/>
                <w:bCs/>
                <w:snapToGrid/>
                <w:kern w:val="2"/>
                <w:lang w:val="zh-CN" w:eastAsia="zh-CN"/>
              </w:rPr>
              <w:t>7-4</w:t>
            </w:r>
            <w:r>
              <w:rPr>
                <w:rFonts w:hint="eastAsia" w:ascii="宋体" w:hAnsi="宋体" w:eastAsia="宋体" w:cs="宋体"/>
                <w:bCs/>
                <w:snapToGrid/>
                <w:kern w:val="2"/>
                <w:lang w:val="zh-CN" w:eastAsia="zh-CN"/>
              </w:rPr>
              <w:t>分，一般的计</w:t>
            </w:r>
            <w:r>
              <w:rPr>
                <w:rFonts w:ascii="宋体" w:hAnsi="宋体" w:eastAsia="宋体" w:cs="宋体"/>
                <w:bCs/>
                <w:snapToGrid/>
                <w:kern w:val="2"/>
                <w:lang w:val="zh-CN" w:eastAsia="zh-CN"/>
              </w:rPr>
              <w:t>3-1</w:t>
            </w:r>
            <w:r>
              <w:rPr>
                <w:rFonts w:hint="eastAsia" w:ascii="宋体" w:hAnsi="宋体" w:eastAsia="宋体" w:cs="宋体"/>
                <w:bCs/>
                <w:snapToGrid/>
                <w:kern w:val="2"/>
                <w:lang w:val="zh-CN" w:eastAsia="zh-CN"/>
              </w:rPr>
              <w:t>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restart"/>
            <w:noWrap/>
            <w:vAlign w:val="center"/>
          </w:tcPr>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p>
          <w:p>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服务计划整体编制详细、完整、科学合理的，优得6-</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分，良得3-5分，一般得1-2分，差或无得0分。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服务进度控制方法和措施等进行综合评价，科学合理、切实可行计6-</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分，进度控制方法和措施安排合理者计</w:t>
            </w:r>
            <w:r>
              <w:rPr>
                <w:rFonts w:ascii="宋体" w:hAnsi="宋体" w:eastAsia="宋体" w:cs="宋体"/>
                <w:bCs/>
                <w:snapToGrid/>
                <w:kern w:val="2"/>
                <w:lang w:val="zh-CN" w:eastAsia="zh-CN"/>
              </w:rPr>
              <w:t>3-</w:t>
            </w:r>
            <w:r>
              <w:rPr>
                <w:rFonts w:hint="eastAsia" w:ascii="宋体" w:hAnsi="宋体" w:eastAsia="宋体" w:cs="宋体"/>
                <w:bCs/>
                <w:snapToGrid/>
                <w:kern w:val="2"/>
                <w:lang w:val="zh-CN" w:eastAsia="zh-CN"/>
              </w:rPr>
              <w:t>5分，安排基本合理、可行性稍差计</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-2分，没有得</w:t>
            </w:r>
            <w:r>
              <w:rPr>
                <w:rFonts w:ascii="宋体" w:hAnsi="宋体" w:eastAsia="宋体" w:cs="宋体"/>
                <w:bCs/>
                <w:snapToGrid/>
                <w:kern w:val="2"/>
                <w:lang w:val="zh-CN" w:eastAsia="zh-CN"/>
              </w:rPr>
              <w:t>0</w:t>
            </w:r>
            <w:r>
              <w:rPr>
                <w:rFonts w:hint="eastAsia" w:ascii="宋体" w:hAnsi="宋体" w:eastAsia="宋体" w:cs="宋体"/>
                <w:bCs/>
                <w:snapToGrid/>
                <w:kern w:val="2"/>
                <w:lang w:val="zh-CN" w:eastAsia="zh-CN"/>
              </w:rPr>
              <w:t>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服务质量保证措施，科学、合理、详尽的，优得6-</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分，良得3-5分，一般得1-2分，差或无得0分。</w:t>
            </w:r>
          </w:p>
        </w:tc>
        <w:tc>
          <w:tcPr>
            <w:tcW w:w="928" w:type="dxa"/>
            <w:noWrap/>
            <w:vAlign w:val="center"/>
          </w:tcPr>
          <w:p>
            <w:pPr>
              <w:jc w:val="cente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风险应急预案，合理、可靠、应对及时的，优得6-</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分，良得3-5分，一般得1-2分，差或无得0分。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制定切实可行的各项管理制度，科学、合理、详尽的，优得6-</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分，良得3-5分，一般得1-2分，差或无得0分。</w:t>
            </w:r>
          </w:p>
        </w:tc>
        <w:tc>
          <w:tcPr>
            <w:tcW w:w="928" w:type="dxa"/>
            <w:noWrap/>
            <w:vAlign w:val="center"/>
          </w:tcPr>
          <w:p>
            <w:pPr>
              <w:widowControl w:val="0"/>
              <w:kinsoku/>
              <w:snapToGrid/>
              <w:spacing w:line="300" w:lineRule="exact"/>
              <w:jc w:val="center"/>
              <w:textAlignment w:val="auto"/>
              <w:rPr>
                <w:rFonts w:hint="default" w:ascii="宋体" w:hAnsi="宋体" w:eastAsia="宋体" w:cs="宋体"/>
                <w:bCs/>
                <w:snapToGrid/>
                <w:kern w:val="2"/>
                <w:lang w:val="en-US"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Times New Roman"/>
                <w:color w:val="auto"/>
                <w:kern w:val="2"/>
                <w:lang w:eastAsia="zh-CN"/>
              </w:rPr>
              <w:t>组织协调综合能力进行综合评价，</w:t>
            </w:r>
            <w:r>
              <w:rPr>
                <w:rFonts w:hint="eastAsia" w:ascii="宋体" w:hAnsi="宋体" w:eastAsia="宋体" w:cs="Times New Roman"/>
                <w:color w:val="auto"/>
                <w:kern w:val="2"/>
                <w:lang w:val="zh-CN" w:eastAsia="zh-CN"/>
              </w:rPr>
              <w:t>方案具体详实、针对性强、可操作性强，得</w:t>
            </w:r>
            <w:r>
              <w:rPr>
                <w:rFonts w:hint="eastAsia" w:ascii="宋体" w:hAnsi="宋体" w:eastAsia="宋体" w:cs="宋体"/>
                <w:bCs/>
                <w:snapToGrid/>
                <w:kern w:val="2"/>
                <w:lang w:val="zh-CN" w:eastAsia="zh-CN"/>
              </w:rPr>
              <w:t>6-</w:t>
            </w:r>
            <w:r>
              <w:rPr>
                <w:rFonts w:hint="eastAsia" w:ascii="宋体" w:hAnsi="宋体" w:eastAsia="宋体" w:cs="宋体"/>
                <w:bCs/>
                <w:snapToGrid/>
                <w:kern w:val="2"/>
                <w:lang w:val="en-US" w:eastAsia="zh-CN"/>
              </w:rPr>
              <w:t>7</w:t>
            </w:r>
            <w:r>
              <w:rPr>
                <w:rFonts w:hint="eastAsia" w:ascii="宋体" w:hAnsi="宋体" w:eastAsia="宋体" w:cs="Times New Roman"/>
                <w:color w:val="auto"/>
                <w:kern w:val="2"/>
                <w:lang w:val="zh-CN" w:eastAsia="zh-CN"/>
              </w:rPr>
              <w:t>分，方案相对比较详实、针对性比较强、可操作性比较强，得3-</w:t>
            </w:r>
            <w:r>
              <w:rPr>
                <w:rFonts w:hint="eastAsia" w:ascii="宋体" w:hAnsi="宋体" w:eastAsia="宋体" w:cs="Times New Roman"/>
                <w:color w:val="auto"/>
                <w:kern w:val="2"/>
                <w:lang w:eastAsia="zh-CN"/>
              </w:rPr>
              <w:t>5</w:t>
            </w:r>
            <w:r>
              <w:rPr>
                <w:rFonts w:hint="eastAsia" w:ascii="宋体" w:hAnsi="宋体" w:eastAsia="宋体" w:cs="Times New Roman"/>
                <w:color w:val="auto"/>
                <w:kern w:val="2"/>
                <w:lang w:val="zh-CN" w:eastAsia="zh-CN"/>
              </w:rPr>
              <w:t>分，方案相对较差，得1-2分，</w:t>
            </w:r>
            <w:r>
              <w:rPr>
                <w:rFonts w:hint="eastAsia" w:ascii="宋体" w:hAnsi="宋体" w:eastAsia="宋体" w:cs="宋体"/>
                <w:bCs/>
                <w:snapToGrid/>
                <w:kern w:val="2"/>
                <w:lang w:val="zh-CN" w:eastAsia="zh-CN"/>
              </w:rPr>
              <w:t>无得0分。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从培训次数、培训范围、培训预期效果，以及培训内容的深入度、实用性等方面承诺进行评审。培训方案完整合理、可行性强，完全满足项目需求，得</w:t>
            </w:r>
            <w:r>
              <w:rPr>
                <w:rFonts w:hint="eastAsia" w:ascii="宋体" w:hAnsi="宋体" w:eastAsia="宋体" w:cs="宋体"/>
                <w:bCs/>
                <w:snapToGrid/>
                <w:kern w:val="2"/>
                <w:lang w:val="zh-CN" w:eastAsia="zh-CN"/>
              </w:rPr>
              <w:t>6-</w:t>
            </w:r>
            <w:r>
              <w:rPr>
                <w:rFonts w:hint="eastAsia" w:ascii="宋体" w:hAnsi="宋体" w:eastAsia="宋体" w:cs="宋体"/>
                <w:bCs/>
                <w:snapToGrid/>
                <w:kern w:val="2"/>
                <w:lang w:val="en-US" w:eastAsia="zh-CN"/>
              </w:rPr>
              <w:t>7</w:t>
            </w:r>
            <w:r>
              <w:rPr>
                <w:rFonts w:hint="eastAsia" w:ascii="宋体" w:hAnsi="宋体" w:eastAsia="宋体"/>
                <w:lang w:eastAsia="zh-CN"/>
              </w:rPr>
              <w:t>分；方案完整、可行性较好，满足项目需求，得3-5分；方案基本完整、基本可行，基本符合项目需求，得1-2分；未提供方案不得分。</w:t>
            </w:r>
          </w:p>
        </w:tc>
        <w:tc>
          <w:tcPr>
            <w:tcW w:w="928" w:type="dxa"/>
            <w:noWrap/>
            <w:vAlign w:val="center"/>
          </w:tcPr>
          <w:p>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81" w:type="dxa"/>
            <w:vMerge w:val="continue"/>
            <w:noWrap/>
            <w:vAlign w:val="center"/>
          </w:tcPr>
          <w:p>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根据供应商提供的合理化建议并详细说明建议的可行性分析比较进行综合评价，详细合理得</w:t>
            </w:r>
            <w:r>
              <w:rPr>
                <w:rFonts w:hint="eastAsia" w:ascii="宋体" w:hAnsi="宋体" w:eastAsia="宋体"/>
                <w:bCs/>
                <w:lang w:eastAsia="zh-CN"/>
              </w:rPr>
              <w:t>优者6-</w:t>
            </w:r>
            <w:r>
              <w:rPr>
                <w:rFonts w:hint="eastAsia" w:ascii="宋体" w:hAnsi="宋体" w:eastAsia="宋体"/>
                <w:bCs/>
                <w:lang w:val="en-US" w:eastAsia="zh-CN"/>
              </w:rPr>
              <w:t>7</w:t>
            </w:r>
            <w:r>
              <w:rPr>
                <w:rFonts w:hint="eastAsia" w:ascii="宋体" w:hAnsi="宋体" w:eastAsia="宋体"/>
                <w:bCs/>
                <w:lang w:eastAsia="zh-CN"/>
              </w:rPr>
              <w:t>分，良者3-5分，合格者1-2分，</w:t>
            </w:r>
            <w:r>
              <w:rPr>
                <w:rFonts w:hint="eastAsia" w:ascii="宋体" w:hAnsi="宋体" w:eastAsia="宋体"/>
                <w:lang w:eastAsia="zh-CN"/>
              </w:rPr>
              <w:t>无相应描述得0分。</w:t>
            </w:r>
          </w:p>
        </w:tc>
        <w:tc>
          <w:tcPr>
            <w:tcW w:w="928" w:type="dxa"/>
            <w:noWrap/>
            <w:vAlign w:val="center"/>
          </w:tcPr>
          <w:p>
            <w:pPr>
              <w:jc w:val="center"/>
            </w:pPr>
            <w:r>
              <w:rPr>
                <w:rFonts w:hint="eastAsia" w:ascii="宋体" w:hAnsi="宋体" w:eastAsia="宋体" w:cs="宋体"/>
                <w:bCs/>
                <w:snapToGrid/>
                <w:kern w:val="2"/>
                <w:lang w:val="en-US" w:eastAsia="zh-CN"/>
              </w:rPr>
              <w:t>7</w:t>
            </w:r>
          </w:p>
        </w:tc>
      </w:tr>
    </w:tbl>
    <w:p>
      <w:pPr>
        <w:spacing w:line="360" w:lineRule="auto"/>
        <w:rPr>
          <w:rFonts w:ascii="宋体" w:hAnsi="宋体" w:eastAsia="宋体" w:cs="宋体"/>
          <w:sz w:val="24"/>
          <w:szCs w:val="24"/>
          <w:lang w:eastAsia="zh-CN"/>
        </w:rPr>
      </w:pPr>
    </w:p>
    <w:p>
      <w:pPr>
        <w:spacing w:line="360" w:lineRule="auto"/>
        <w:rPr>
          <w:rFonts w:ascii="宋体" w:hAnsi="宋体" w:eastAsia="宋体" w:cs="宋体"/>
          <w:sz w:val="24"/>
          <w:szCs w:val="24"/>
          <w:lang w:eastAsia="zh-CN"/>
        </w:rPr>
      </w:pPr>
    </w:p>
    <w:p>
      <w:pPr>
        <w:spacing w:line="360" w:lineRule="auto"/>
        <w:rPr>
          <w:rFonts w:ascii="宋体" w:hAnsi="宋体" w:eastAsia="宋体" w:cs="宋体"/>
          <w:sz w:val="24"/>
          <w:szCs w:val="24"/>
        </w:rPr>
      </w:pPr>
      <w:r>
        <w:rPr>
          <w:rFonts w:hint="eastAsia" w:ascii="宋体" w:hAnsi="宋体" w:eastAsia="宋体" w:cs="宋体"/>
          <w:sz w:val="24"/>
          <w:szCs w:val="24"/>
        </w:rPr>
        <w:t>1、评标方法</w:t>
      </w:r>
    </w:p>
    <w:p>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本次评标采用综合评分法。综合评分法，是指投标文件满足招标文件全部实质性要求，且按照评审因素的量化指标评审得分最高的投标人为中标候选人的评标方法。</w:t>
      </w:r>
    </w:p>
    <w:p>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评标委员会对满足招标文件实质性要求的投标文件，按照本章第2.2款规定 的评分标准进行打分，并按得分由高到低顺序推荐中标候选人，但投标报价低于其成本的除外。综合评分相等时，以投标报价低的优先；投标报价也相等的，以 工作服务方案评分高的优先；工作服务方案评分也相等的，由采购人采用随机抽取的方式确定中标候选人排序。</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2、评审标准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2.1初步评审标准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2.1.1资格审查标准：见初步评审表；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2.1.2符合性审查标准：见初步评审表； 2.2分值构成与评分标准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2.2.1分值构成</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2.2.2评标基准价计算</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评标基准价计算方法：见详细评审表。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2.2.3投标报价的偏差率计算</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投标报价的偏差率计算公式：见详细评审表。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2.2.4评分标准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3、评标程序</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3.1初步评审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3.1.1评标委员会依据本章第2.1款规定的标准对投标文件进行初步评审。有一 项不符合评审标准的，作废标处理。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3.1.2投标人存在下列情况之一的，投标无效：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（一）未按照招标文件的规定提交投标保证金的；</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（二）投标文件未按招标文件要求签署、盖章的；</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（三）不具备招标文件中规定的资格要求的；</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（四）报价超过招标文件中规定的预算金额或者最高限价的； （五）投标文件含有采购人不能接受的附加条件的；</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（六）法律、法规和招标文件规定的其他无效情形。</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3.1.3投标文件报价出现前后不一致的，除招标文件另有规定外，按照下列规定 修正：</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（一）投标文件中开标一览表（报价表）内容与投标文件中相应内容不一致 的，以开标一览表（报价表）为准；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（二）大写金额和小写金额不一致的，以大写金额为准；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（三）单价金额小数点或者百分比有明显错位的，以开标一览表的总价为准， 并修改单价；</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（四）总价金额与按单价汇总金额不一致的，以单价金额计算结果为准。 同时出现两种以上不一致的，按照前款规定的顺序修正。</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3.2详细评审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3.2.1评标委员会按本章第2.2款规定的量化因素和分值进行打分，并计算出综 合评估得分。</w:t>
      </w:r>
    </w:p>
    <w:p>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（1）按本章第2.2.4（1）目规定的评审因素和分值对投标报价计算出得分A1; （2）按本章第2.2.4（2）目规定的评审因素和分值对商务部分计算出得分B1; （3）按本章第2.2.4（3）目规定的评审因素和分值对其他因素计算出得分C1; （4）按本章第2.2.4（4）目规定的评审因素和分值对技术方案计算出得分D1;</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3.2.2评分分值计算保留小数点后两位，小数点后第三位“四舍五入”。</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3.2.3得分汇总H1=A1+B1+C1+D1。投标人得分=（H1+H2+H3+H4+H5）/5</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3.2.4评标委员会发现投标单位的投标报价明显低于其他通过符合性审查投标 人的报价，有可能影响产品质量或者不能诚信履约的，须提供成本构成表及相应 证明材料，内容包括但不限于生产成本（如原材成本、设备损耗成本等）,管理 成本（人员工资、福利、社保等）,交通成本（汽油、过路费等）,税费等，并 列明计算过程。投标人不能合理说明或者不能提供相应证明材料的，由评标委员 会认定该投标人以低于成本报价竞标，其投标将被否决。</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3.3价格评审标准 （本项目不涉及）</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3.3.1投标人为小型或微型企业且投标产品含小型或微型企业产品时，报价给予(10%)的价格扣除，即：评标价格＝核实后的投标总价－小型或微型企业产品核实后的价格×(10%)；</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3.3.2本条款所称小型或微型企业应当符合以下条件：符合小型或微型企业划分标准，提供本企业制造的货物或者提供其他小型或微型企业制造的货物（以提交的中小企业申明函为准，投标人及其代理产品的制造商均应提交）；</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3.3.3小型、微型企业提供中型企业制造的货物的，视同为中型企业。</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3.3.4中小企业联合协议中约定，小型企业或微型企业的协议合同金额占到联合体协议合同总金额30%以上的，可给予联合体4%的价格扣除。</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3.4投标文件的澄清和补正</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3.4.1在评标过程中，评标委员会可以书面形式要求投标人对所提交投标文件中 不明确的内容进行书面澄清或说明，或者对细微偏差进行补正。评标委员会不接 受投标人主动提出的澄清、说明或补正。</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3.4.2澄清、说明和补正不得改变投标文件的实质性内容（算术性错误修正的除</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外）。投标人的书面澄清、说明和补正属于投标文件的组成部分。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3.4.3评标委员会对投标人提交的澄清、说明或补正有疑问的，可以要求投标人 进一步澄清、说明或补正，直至满足评标委员会的要求。</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3.5评标结果</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3.5.1除第二章“投标人须知”前附表授权直接确定中标人外，评标委员会按照 综合得分由高到低的顺序推荐3名中标候选人。采购人应当确定排名第一的中标候选人为中标人。排名第一的中标候选人放弃中标、因不可抗力不能履行合同、 不按照招标文件要求提交履约保证金，或者被查实存在影响中标结果的违法行为</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等情形，不符合中标条件的，采购人可以按照评标委员会提出的中标候选人名单</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排序依次确定其他中标候选人为中标人，也可以重新招标。</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3.5.2评标委员会完成评标后，应当向采购人提交书面评标报告。 4、有下列情形之一的，视为投标人串通投标，其投标无效：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（一）不同投标人的投标文件由同一单位或者个人编制；</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（二）不同投标人委托同一单位或者个人办理投标事宜；</w:t>
      </w:r>
    </w:p>
    <w:p>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（三）不同投标人的投标文件载明的项目管理成员或者联系人员为同一人；</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（四）不同投标人的投标文件异常一致或者投标报价呈规律性差异； （五）不同投标人的投标文件相互混装；</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（六）不同投标人的投标保证金从同一单位或者个人的账户转出。</w:t>
      </w:r>
    </w:p>
    <w:p>
      <w:pPr>
        <w:spacing w:line="360" w:lineRule="auto"/>
        <w:rPr>
          <w:rFonts w:ascii="Times New Roman" w:hAnsi="Times New Roman" w:eastAsia="黑体" w:cs="黑体"/>
          <w:sz w:val="28"/>
          <w:szCs w:val="28"/>
          <w:lang w:eastAsia="zh-CN"/>
        </w:rPr>
      </w:pPr>
    </w:p>
    <w:p>
      <w:pPr>
        <w:rPr>
          <w:rFonts w:ascii="Times New Roman" w:hAnsi="Times New Roman" w:eastAsia="黑体" w:cs="黑体"/>
          <w:sz w:val="28"/>
          <w:szCs w:val="28"/>
          <w:lang w:eastAsia="zh-CN"/>
        </w:rPr>
      </w:pPr>
      <w:r>
        <w:rPr>
          <w:rFonts w:ascii="Times New Roman" w:hAnsi="Times New Roman" w:eastAsia="黑体" w:cs="黑体"/>
          <w:sz w:val="28"/>
          <w:szCs w:val="28"/>
          <w:lang w:eastAsia="zh-CN"/>
        </w:rPr>
        <w:br w:type="page"/>
      </w:r>
    </w:p>
    <w:p>
      <w:pPr>
        <w:spacing w:line="360" w:lineRule="auto"/>
        <w:rPr>
          <w:rFonts w:ascii="Times New Roman" w:hAnsi="Times New Roman" w:eastAsia="黑体" w:cs="黑体"/>
          <w:sz w:val="28"/>
          <w:szCs w:val="28"/>
          <w:lang w:eastAsia="zh-CN"/>
        </w:rPr>
      </w:pPr>
      <w:r>
        <w:rPr>
          <w:rFonts w:ascii="Times New Roman" w:hAnsi="Times New Roman" w:eastAsia="黑体" w:cs="黑体"/>
          <w:sz w:val="28"/>
          <w:szCs w:val="28"/>
          <w:lang w:eastAsia="zh-CN"/>
        </w:rPr>
        <w:t>附件</w:t>
      </w:r>
    </w:p>
    <w:p>
      <w:pPr>
        <w:spacing w:line="360" w:lineRule="auto"/>
        <w:jc w:val="both"/>
        <w:rPr>
          <w:rFonts w:ascii="Times New Roman" w:hAnsi="Times New Roman" w:eastAsia="宋体" w:cs="宋体"/>
          <w:sz w:val="22"/>
          <w:szCs w:val="22"/>
          <w:lang w:eastAsia="zh-CN"/>
        </w:rPr>
      </w:pPr>
    </w:p>
    <w:p>
      <w:pPr>
        <w:spacing w:line="360" w:lineRule="auto"/>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政府采购相关政策：</w:t>
      </w:r>
    </w:p>
    <w:p>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关于印发《政府采购促进中小企业发展管理办法》的通知</w:t>
      </w:r>
    </w:p>
    <w:p>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财库〔2020〕46号</w:t>
      </w:r>
    </w:p>
    <w:p>
      <w:pPr>
        <w:pStyle w:val="4"/>
        <w:spacing w:line="360" w:lineRule="auto"/>
        <w:rPr>
          <w:rFonts w:ascii="Times New Roman" w:hAnsi="Times New Roman"/>
          <w:lang w:eastAsia="zh-CN"/>
        </w:rPr>
      </w:pPr>
    </w:p>
    <w:p>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第一条</w:t>
      </w:r>
    </w:p>
    <w:p>
      <w:pPr>
        <w:spacing w:line="360" w:lineRule="auto"/>
        <w:ind w:right="10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为了发挥政府采购的政策功能，促进中小企业健康发展，根据《中华人民共和国政府采 购法》、《中华人民共和国中小企业促进法》等有关法律法规，制定本办法。</w:t>
      </w:r>
    </w:p>
    <w:p>
      <w:pPr>
        <w:spacing w:line="360" w:lineRule="auto"/>
        <w:ind w:left="53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第二条</w:t>
      </w:r>
    </w:p>
    <w:p>
      <w:pPr>
        <w:spacing w:line="360" w:lineRule="auto"/>
        <w:ind w:right="52" w:firstLine="40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本办法所称中小企业，是指在中华人民共和国境内依法设立，依据国务院批准的中小企 业划分标准确定的中型企业、小型企业和微型企业，但与大企业的负责人为同一人，或者与 大企业存在直接控股、管理关系的除外。</w:t>
      </w:r>
    </w:p>
    <w:p>
      <w:pPr>
        <w:spacing w:line="360" w:lineRule="auto"/>
        <w:ind w:left="409" w:right="1260"/>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符合中小企业划分标准的个体工商户，在政府采购活动中视同中小企业。 第三条</w:t>
      </w:r>
    </w:p>
    <w:p>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采购人在政府采购活动中应当通过加强采购需求管理，落实预留采购份额、价格评审优 惠、优先采购等措施，提高中小企业在政府采购中的份额，支持中小企业发展。</w:t>
      </w:r>
    </w:p>
    <w:p>
      <w:pPr>
        <w:spacing w:line="360" w:lineRule="auto"/>
        <w:ind w:left="409"/>
        <w:rPr>
          <w:rFonts w:ascii="Times New Roman" w:hAnsi="Times New Roman" w:eastAsia="黑体" w:cs="黑体"/>
          <w:sz w:val="22"/>
          <w:szCs w:val="22"/>
          <w:lang w:eastAsia="zh-CN"/>
        </w:rPr>
      </w:pPr>
      <w:r>
        <w:rPr>
          <w:rFonts w:ascii="Times New Roman" w:hAnsi="Times New Roman" w:eastAsia="黑体" w:cs="黑体"/>
          <w:sz w:val="22"/>
          <w:szCs w:val="22"/>
          <w:lang w:eastAsia="zh-CN"/>
        </w:rPr>
        <w:t>第四条</w:t>
      </w:r>
    </w:p>
    <w:p>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在政府采购活动中，供应商提供的货物、工程或者服务符合下列情形的，享受本办法规 定的中小企业扶持政策：</w:t>
      </w:r>
    </w:p>
    <w:p>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在货物采购项目中，货物由中小企业制造，即货物由中小企业生产且使用该中小 企业商号或者注册商标；</w:t>
      </w:r>
    </w:p>
    <w:p>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在工程采购项目中，工程由中小企业承建，即工程施工单位为中小企业；</w:t>
      </w:r>
    </w:p>
    <w:p>
      <w:pPr>
        <w:spacing w:line="360" w:lineRule="auto"/>
        <w:ind w:right="41" w:firstLine="530"/>
        <w:rPr>
          <w:rFonts w:ascii="Times New Roman" w:hAnsi="Times New Roman" w:eastAsia="幼圆" w:cs="幼圆"/>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在服务采购项目中，服务由中小企业承接，即提供服务的人员为中小企业依照《中 华人民共和国劳动合同法》订立劳动合同的从业人员。在货物采购项目中，供应商提供的货 物既有中小企业制造货物，也有大型企业制造货物的，不享受本办法规定的中小企业扶持政 </w:t>
      </w:r>
      <w:r>
        <w:rPr>
          <w:rFonts w:ascii="Times New Roman" w:hAnsi="Times New Roman" w:eastAsia="幼圆" w:cs="幼圆"/>
          <w:sz w:val="22"/>
          <w:szCs w:val="22"/>
          <w:lang w:eastAsia="zh-CN"/>
        </w:rPr>
        <w:t>策。</w:t>
      </w:r>
    </w:p>
    <w:p>
      <w:pPr>
        <w:spacing w:line="360" w:lineRule="auto"/>
        <w:ind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以联合体形式参加政府采购活动，联合体各方均为中小企业的，联合体视同中小企业。 其中，联合体各方均为小微企业的，联合体视同小微企业。</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第五条</w:t>
      </w:r>
    </w:p>
    <w:p>
      <w:pPr>
        <w:spacing w:line="360" w:lineRule="auto"/>
        <w:ind w:right="58"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采购人在政府采购活动中应当合理确定采购项目的采购需求，不得以企业注册资本、资 产总额、营业收入、从业人员、利润、纳税额等规模条件和财务指标作为供应商的资格要求 或者评宙因素，不得在</w:t>
      </w:r>
      <w:r>
        <w:rPr>
          <w:rFonts w:ascii="Times New Roman" w:hAnsi="Times New Roman" w:eastAsia="宋体" w:cs="宋体"/>
          <w:sz w:val="22"/>
          <w:szCs w:val="22"/>
          <w:u w:val="single"/>
          <w:lang w:eastAsia="zh-CN"/>
        </w:rPr>
        <w:t>企业</w:t>
      </w:r>
      <w:r>
        <w:rPr>
          <w:rFonts w:ascii="Times New Roman" w:hAnsi="Times New Roman" w:eastAsia="宋体" w:cs="宋体"/>
          <w:sz w:val="22"/>
          <w:szCs w:val="22"/>
          <w:lang w:eastAsia="zh-CN"/>
        </w:rPr>
        <w:t>股权结构、经营年限等方面对中小企业实行差别待遇或者歧视待 遇。</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第六条</w:t>
      </w:r>
    </w:p>
    <w:p>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主管预算单位应当组织评估本部门及所属单位政府采购项目，统筹制定面向中小企业预 留采购份额的具体方案，对适宜由中小企业提供的采购项目和采购包，预留采购份额专门面 向中小企业采购，并在政府采购预算中单独列示。</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符合下列情形之一的，可不专门面向中小企业预留采购份额：</w:t>
      </w:r>
    </w:p>
    <w:p>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法律法规和国家有关政策明确规定优先或者应当面向事业单位、社会组织等非企 业主体采购的；</w:t>
      </w:r>
    </w:p>
    <w:p>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因确需使用不可替代的专利、专有技术，基础设施限制，或者提供特定公共服务 等原因，只能从中小企业之外的供应商处采购的；</w:t>
      </w:r>
    </w:p>
    <w:p>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按照本办法规定预留采购份额无法确保充分供应、充分竞争，或者存在可能影响 政府采购目标实现的情形；</w:t>
      </w:r>
    </w:p>
    <w:p>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框架协议采购项目；</w:t>
      </w:r>
    </w:p>
    <w:p>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省级以上人民政府财政部门规定的其他情形。</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除上述情形外，其他均为适宜由中小企业提供的情形。</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第七条</w:t>
      </w:r>
    </w:p>
    <w:p>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采购限额标准以上，200 万元以下的货物和服务采购项目、400 万元以下的工程采购项目，适宜</w:t>
      </w:r>
    </w:p>
    <w:p>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由中小企业提供的，采购人应当专门面向中小企业采购。</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第八条</w:t>
      </w:r>
    </w:p>
    <w:p>
      <w:pPr>
        <w:spacing w:line="360" w:lineRule="auto"/>
        <w:ind w:right="88" w:firstLine="530"/>
        <w:rPr>
          <w:rFonts w:ascii="Times New Roman" w:hAnsi="Times New Roman" w:eastAsia="宋体" w:cs="宋体"/>
          <w:lang w:eastAsia="zh-CN"/>
        </w:rPr>
      </w:pPr>
      <w:r>
        <w:rPr>
          <w:rFonts w:ascii="Times New Roman" w:hAnsi="Times New Roman" w:eastAsia="宋体" w:cs="宋体"/>
          <w:lang w:eastAsia="zh-CN"/>
        </w:rPr>
        <w:t>超过200万元的货物和服务采购项目、超过400 万元的工程采购项目中适宜由中小 企业提供的，预留该部分采购项目预算总额的30%以上专门面向中小企业采购，其中预留给 小微企业的比例不低于60%。预留份额通过下列措施进行：</w:t>
      </w:r>
    </w:p>
    <w:p>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将采购项目整体或者设置采购包专门面向中小企业采购；</w:t>
      </w:r>
    </w:p>
    <w:p>
      <w:pPr>
        <w:spacing w:line="360" w:lineRule="auto"/>
        <w:ind w:right="93"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要求供应商以联合体形式参加采购活动，且联合体中中小企业承担的部分达到一 定比例；</w:t>
      </w:r>
    </w:p>
    <w:p>
      <w:pPr>
        <w:spacing w:line="360" w:lineRule="auto"/>
        <w:ind w:right="93" w:firstLine="530"/>
        <w:rPr>
          <w:rFonts w:ascii="Times New Roman" w:hAnsi="Times New Roman" w:eastAsia="宋体" w:cs="宋体"/>
          <w:spacing w:val="-6"/>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要求获得采购合同的供应商将采购项目中的一定比例分包给一家或者多家中小企 业。组成</w:t>
      </w:r>
      <w:r>
        <w:rPr>
          <w:rFonts w:ascii="Times New Roman" w:hAnsi="Times New Roman" w:eastAsia="宋体" w:cs="宋体"/>
          <w:spacing w:val="-6"/>
          <w:lang w:eastAsia="zh-CN"/>
        </w:rPr>
        <w:t>联合体或者接受分包合同的中小企业与联合体内其他企业、分包企业之间不得存在 直接控股、管理关系。</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第九条</w:t>
      </w:r>
    </w:p>
    <w:p>
      <w:pPr>
        <w:spacing w:line="360" w:lineRule="auto"/>
        <w:ind w:firstLine="530"/>
        <w:rPr>
          <w:rFonts w:ascii="Times New Roman" w:hAnsi="Times New Roman" w:eastAsia="宋体" w:cs="宋体"/>
          <w:lang w:eastAsia="zh-CN"/>
        </w:rPr>
      </w:pPr>
      <w:r>
        <w:rPr>
          <w:rFonts w:ascii="Times New Roman" w:hAnsi="Times New Roman" w:eastAsia="宋体" w:cs="宋体"/>
          <w:lang w:eastAsia="zh-CN"/>
        </w:rPr>
        <w:t>对于经主管预算单位统筹后未预留份额专门面向中小企业采购的采购项目，以及预留  份额项目中的非预留部分采购包，采购人、招标代理机构应当对符合本办法规定的小微企业  报价给予6%—10%</w:t>
      </w:r>
      <w:r>
        <w:rPr>
          <w:rFonts w:hint="eastAsia" w:ascii="Times New Roman" w:hAnsi="Times New Roman" w:eastAsia="宋体" w:cs="宋体"/>
          <w:lang w:eastAsia="zh-CN"/>
        </w:rPr>
        <w:t>（</w:t>
      </w:r>
      <w:r>
        <w:rPr>
          <w:rFonts w:ascii="Times New Roman" w:hAnsi="Times New Roman" w:eastAsia="宋体" w:cs="宋体"/>
          <w:lang w:eastAsia="zh-CN"/>
        </w:rPr>
        <w:t>工程项目为3%-5%</w:t>
      </w:r>
      <w:r>
        <w:rPr>
          <w:rFonts w:hint="eastAsia" w:ascii="Times New Roman" w:hAnsi="Times New Roman" w:eastAsia="宋体" w:cs="宋体"/>
          <w:lang w:eastAsia="zh-CN"/>
        </w:rPr>
        <w:t>）</w:t>
      </w:r>
      <w:r>
        <w:rPr>
          <w:rFonts w:ascii="Times New Roman" w:hAnsi="Times New Roman" w:eastAsia="宋体" w:cs="宋体"/>
          <w:lang w:eastAsia="zh-CN"/>
        </w:rPr>
        <w:t>的扣除，用扣除后的价格参加评审。适用招标投  标法的政府采购工程建设项目，采用综合评分法但未采用低价优先法计算价格分的，评标时  应当在采用原报价进行评分的基础上增加其价格得分的3%-5%作为其价格分。接受大中型  企业与小微企业组成联合体或者允许大中型企业向一家或者多家小微企业分包的采购项目， 对于联合协议或者分包意向协议约定小微企业的合同份额占到合同总金额30%以上的，采购  人、招标代理机构应当对联合体或者大中型企业的报价给予2%-3%</w:t>
      </w:r>
      <w:r>
        <w:rPr>
          <w:rFonts w:hint="eastAsia" w:ascii="Times New Roman" w:hAnsi="Times New Roman" w:eastAsia="宋体" w:cs="宋体"/>
          <w:lang w:eastAsia="zh-CN"/>
        </w:rPr>
        <w:t>（</w:t>
      </w:r>
      <w:r>
        <w:rPr>
          <w:rFonts w:ascii="Times New Roman" w:hAnsi="Times New Roman" w:eastAsia="宋体" w:cs="宋体"/>
          <w:lang w:eastAsia="zh-CN"/>
        </w:rPr>
        <w:t>工程项目为1%-2%</w:t>
      </w:r>
      <w:r>
        <w:rPr>
          <w:rFonts w:hint="eastAsia" w:ascii="Times New Roman" w:hAnsi="Times New Roman" w:eastAsia="宋体" w:cs="宋体"/>
          <w:lang w:eastAsia="zh-CN"/>
        </w:rPr>
        <w:t>）</w:t>
      </w:r>
      <w:r>
        <w:rPr>
          <w:rFonts w:ascii="Times New Roman" w:hAnsi="Times New Roman" w:eastAsia="宋体" w:cs="宋体"/>
          <w:lang w:eastAsia="zh-CN"/>
        </w:rPr>
        <w:t xml:space="preserve">  的扣除，用扣除后的价格参加评审。适用招标投标法的政府采购工程建设项目，采用综合评  分法但未采用低价优先法计算价格分的，评标时应当在采用原报价进行评分的基础上增加其  价格得分的1%—2%作为其价格分。组成联合体或者接受分包的小微企业与联合体内其他企  业、分包企业之间存在直接控股、管理关系的，不享受价格扣除优惠政策。</w:t>
      </w:r>
    </w:p>
    <w:p>
      <w:pPr>
        <w:spacing w:line="360" w:lineRule="auto"/>
        <w:ind w:right="22" w:firstLine="429"/>
        <w:rPr>
          <w:rFonts w:ascii="Times New Roman" w:hAnsi="Times New Roman" w:eastAsia="宋体" w:cs="宋体"/>
          <w:lang w:eastAsia="zh-CN"/>
        </w:rPr>
      </w:pPr>
      <w:r>
        <w:rPr>
          <w:rFonts w:ascii="Times New Roman" w:hAnsi="Times New Roman" w:eastAsia="宋体" w:cs="宋体"/>
          <w:lang w:eastAsia="zh-CN"/>
        </w:rPr>
        <w:t>价格扣除比例或者价格分加分比例对小型企业和微型企业同等对待，不作区分。具体采 购项目的价格扣除比例或者价格分加分比例，由采购人根据采购标的相关行业平均利润率、 市场竞争状况等，在本办法规定的幅度内确定。</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第十条</w:t>
      </w:r>
    </w:p>
    <w:p>
      <w:pPr>
        <w:spacing w:line="360" w:lineRule="auto"/>
        <w:ind w:right="20" w:firstLine="530"/>
        <w:rPr>
          <w:rFonts w:ascii="Times New Roman" w:hAnsi="Times New Roman" w:eastAsia="宋体" w:cs="宋体"/>
          <w:lang w:eastAsia="zh-CN"/>
        </w:rPr>
      </w:pPr>
      <w:r>
        <w:rPr>
          <w:rFonts w:ascii="Times New Roman" w:hAnsi="Times New Roman" w:eastAsia="宋体" w:cs="宋体"/>
          <w:lang w:eastAsia="zh-CN"/>
        </w:rPr>
        <w:t>采购人应当严格按照本办法规定和主管预算单位制定的预留采购份额具体方案开展采 购活动。预留份额的采购项目或者采购包，通过发布公告方式邀请供应商后，符合资格条件 的中小企业数量不足3家的，应当中止采购活动，视同未预留份额的采购项目或者采购包， 按照本办法第九条有关规定重新组织采购活动。</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第十一条</w:t>
      </w:r>
    </w:p>
    <w:p>
      <w:pPr>
        <w:spacing w:line="360" w:lineRule="auto"/>
        <w:ind w:right="82" w:firstLine="530"/>
        <w:rPr>
          <w:rFonts w:ascii="Times New Roman" w:hAnsi="Times New Roman" w:eastAsia="宋体" w:cs="宋体"/>
          <w:lang w:eastAsia="zh-CN"/>
        </w:rPr>
      </w:pPr>
      <w:r>
        <w:rPr>
          <w:rFonts w:ascii="Times New Roman" w:hAnsi="Times New Roman" w:eastAsia="宋体" w:cs="宋体"/>
          <w:lang w:eastAsia="zh-CN"/>
        </w:rPr>
        <w:t>中小企业参加政府采购活动，应当出具本办法规定的《中小企业声明函》</w:t>
      </w:r>
      <w:r>
        <w:rPr>
          <w:rFonts w:hint="eastAsia" w:ascii="Times New Roman" w:hAnsi="Times New Roman" w:eastAsia="宋体" w:cs="宋体"/>
          <w:lang w:eastAsia="zh-CN"/>
        </w:rPr>
        <w:t>（</w:t>
      </w:r>
      <w:r>
        <w:rPr>
          <w:rFonts w:ascii="Times New Roman" w:hAnsi="Times New Roman" w:eastAsia="宋体" w:cs="宋体"/>
          <w:lang w:eastAsia="zh-CN"/>
        </w:rPr>
        <w:t>附1</w:t>
      </w:r>
      <w:r>
        <w:rPr>
          <w:rFonts w:hint="eastAsia" w:ascii="Times New Roman" w:hAnsi="Times New Roman" w:eastAsia="宋体" w:cs="宋体"/>
          <w:lang w:eastAsia="zh-CN"/>
        </w:rPr>
        <w:t>）</w:t>
      </w:r>
      <w:r>
        <w:rPr>
          <w:rFonts w:ascii="Times New Roman" w:hAnsi="Times New Roman" w:eastAsia="宋体" w:cs="宋体"/>
          <w:lang w:eastAsia="zh-CN"/>
        </w:rPr>
        <w:t>, 否则不得享受相关中小企业扶持政策。任何单位和个人不得要求供应商提供《中小企业声明 函》之外的中小企业身份证明文件。</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第十二条</w:t>
      </w:r>
    </w:p>
    <w:p>
      <w:pPr>
        <w:spacing w:line="360" w:lineRule="auto"/>
        <w:ind w:left="530"/>
        <w:rPr>
          <w:rFonts w:ascii="Times New Roman" w:hAnsi="Times New Roman" w:eastAsia="宋体" w:cs="宋体"/>
          <w:lang w:eastAsia="zh-CN"/>
        </w:rPr>
      </w:pPr>
      <w:r>
        <w:rPr>
          <w:rFonts w:ascii="Times New Roman" w:hAnsi="Times New Roman" w:eastAsia="宋体" w:cs="宋体"/>
          <w:lang w:eastAsia="zh-CN"/>
        </w:rPr>
        <w:t>采购项目涉及中小企业采购的，采购文件应当明确以下内容：</w:t>
      </w:r>
    </w:p>
    <w:p>
      <w:pPr>
        <w:spacing w:line="360" w:lineRule="auto"/>
        <w:ind w:right="96"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预留份额的采购项目或者采购包，明确该项目或相关采购包专门面向中小企业采 购，以及相关标的及预算金额；</w:t>
      </w:r>
    </w:p>
    <w:p>
      <w:pPr>
        <w:spacing w:line="360" w:lineRule="auto"/>
        <w:ind w:right="88" w:firstLine="53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 xml:space="preserve">要求以联合体形式参加或者合同分包的，明确联合协议或者分包意向协议中中小 </w:t>
      </w:r>
      <w:r>
        <w:rPr>
          <w:rFonts w:ascii="Times New Roman" w:hAnsi="Times New Roman" w:eastAsia="黑体" w:cs="黑体"/>
          <w:lang w:eastAsia="zh-CN"/>
        </w:rPr>
        <w:t>企业合同金额应当达到的比例，并作为供应商资格条件；</w:t>
      </w:r>
    </w:p>
    <w:p>
      <w:pPr>
        <w:spacing w:line="360" w:lineRule="auto"/>
        <w:ind w:right="16"/>
        <w:jc w:val="right"/>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非预留份额的采购项目或者采购包，明确有关价格扣除比例或者价格分加分比例；</w:t>
      </w:r>
    </w:p>
    <w:p>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规定依据本办法规定享受扶持政策获得政府采购合同的，小微企业不得将合同分</w:t>
      </w:r>
    </w:p>
    <w:p>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包给大中型企业，中型企业不得将合同分包给大型企业；</w:t>
      </w:r>
    </w:p>
    <w:p>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采购人认为具备相关条件的，明确对中小企业在资金支付期限、预付款比例等方</w:t>
      </w:r>
    </w:p>
    <w:p>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面的优惠措施；</w:t>
      </w:r>
    </w:p>
    <w:p>
      <w:pPr>
        <w:spacing w:line="360" w:lineRule="auto"/>
        <w:ind w:left="533"/>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六</w:t>
      </w:r>
      <w:r>
        <w:rPr>
          <w:rFonts w:hint="eastAsia" w:ascii="Times New Roman" w:hAnsi="Times New Roman" w:eastAsia="宋体" w:cs="宋体"/>
          <w:b/>
          <w:bCs/>
          <w:lang w:eastAsia="zh-CN"/>
        </w:rPr>
        <w:t>）</w:t>
      </w:r>
      <w:r>
        <w:rPr>
          <w:rFonts w:ascii="Times New Roman" w:hAnsi="Times New Roman" w:eastAsia="宋体" w:cs="宋体"/>
          <w:b/>
          <w:bCs/>
          <w:lang w:eastAsia="zh-CN"/>
        </w:rPr>
        <w:t>明确采购标的对应的中小企业划分标准所属行业；</w:t>
      </w:r>
    </w:p>
    <w:p>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七</w:t>
      </w:r>
      <w:r>
        <w:rPr>
          <w:rFonts w:hint="eastAsia" w:ascii="Times New Roman" w:hAnsi="Times New Roman" w:eastAsia="宋体" w:cs="宋体"/>
          <w:lang w:eastAsia="zh-CN"/>
        </w:rPr>
        <w:t>）</w:t>
      </w:r>
      <w:r>
        <w:rPr>
          <w:rFonts w:ascii="Times New Roman" w:hAnsi="Times New Roman" w:eastAsia="宋体" w:cs="宋体"/>
          <w:lang w:eastAsia="zh-CN"/>
        </w:rPr>
        <w:t>法律法规和省级以上人民政府财政部门规定的其他事项。</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第十三条</w:t>
      </w:r>
    </w:p>
    <w:p>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中标、成交供应商享受本办法规定的中小企业扶持政策的，采购人、招标代理机构应 当随中标、成交结果公开中标、成交供应商的《中小企业声明函》。适用招标投标法的政府 采购工程建设项目，应当在公示中标候选人时公开中标候选人的《中小企业声明函》。</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第十四条</w:t>
      </w:r>
    </w:p>
    <w:p>
      <w:pPr>
        <w:spacing w:line="360" w:lineRule="auto"/>
        <w:ind w:left="110"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对于通过预留采购项目、预留专门采购包、要求以联合体形式参加或者合同分包等措  施签订的采购合同，应当明确标注本合同为中小企业预留合同。其中，要求以联合体形式参  加采购活动或者合同分包的，应当将联合协议或者分包意向协议作为采购合同的组成部分。</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第十五条</w:t>
      </w:r>
    </w:p>
    <w:p>
      <w:pPr>
        <w:spacing w:line="360" w:lineRule="auto"/>
        <w:ind w:left="110" w:right="7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 xml:space="preserve">鼓励各地区、各部门在采购活动中允许中小企业引入信用担保手段，为中小企业在投标 </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响应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保证、履约保证等方面提供专业化服务。鼓励中小企业依法合规通过政府采购合同 融资。</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第十六条</w:t>
      </w:r>
    </w:p>
    <w:p>
      <w:pPr>
        <w:spacing w:line="360" w:lineRule="auto"/>
        <w:ind w:left="110" w:right="93"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政府采购监督检查、投诉处理及政府采购行政处罚中对中小企业的认定，由货物制造 商或者工程、服务供应商注册登记所在地的县级以上人民政府中小企业主管部门负责。中小 企业主管部门应当在收到财政部门或者有关招标投标行政监督部门关于协助开展中小企业 认定函后10 个工作日内做出书面答复。</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第十七条</w:t>
      </w:r>
    </w:p>
    <w:p>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各地区、各部门应当对涉及中小企业采购的预算项目实施全过程绩效管理，合理设置 绩效目标和指标，落实扶持中小企业有关政策要求，定期开展绩效监控和评价，强化绩效评 价结果应用。</w:t>
      </w:r>
    </w:p>
    <w:p>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第十八条</w:t>
      </w:r>
    </w:p>
    <w:p>
      <w:pPr>
        <w:spacing w:line="360" w:lineRule="auto"/>
        <w:ind w:left="110" w:right="9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主管预算单位应当自2022 年起向同级财政部门报告本部门上一年度面向中小企业预 留份额和采购的具体情况，并在中国政府采购网公开预留项目执行情况</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附2</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。未达到本办 法规定的预留份额比例的，应当作出说明。</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第十九条</w:t>
      </w:r>
    </w:p>
    <w:p>
      <w:pPr>
        <w:spacing w:line="360" w:lineRule="auto"/>
        <w:ind w:left="110" w:right="8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采购人未按本办法规定为中小企业预留采购份额，采购人、招标代理机构未按照本办 法规定要求实施价格扣除或者价格分加分的，属于未按照规定执行政府采购政策，依照《中 华人民共和国政府采购法》等国家有关规定追究法律责任。</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第二十条</w:t>
      </w:r>
    </w:p>
    <w:p>
      <w:pPr>
        <w:spacing w:line="360" w:lineRule="auto"/>
        <w:ind w:left="110"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供应商按照本办法规定提供声明函内容不实的，属于提供虚假材料谋取中标、成交，依  照《中华人民共和国政府采购法》等国家有关规定追究相应责任。适用招标投标法的政府采  购工程建设项目，投标人按照本办法规定提供声明函内容不实的，属于弄虚作假骗取中标， 依照《中华人民共和国招标投标法》等国家有关规定追究相应责任。</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第二十一条</w:t>
      </w:r>
    </w:p>
    <w:p>
      <w:pPr>
        <w:spacing w:line="360" w:lineRule="auto"/>
        <w:ind w:firstLine="610"/>
        <w:rPr>
          <w:rFonts w:ascii="Times New Roman" w:hAnsi="Times New Roman" w:eastAsia="宋体" w:cs="宋体"/>
          <w:sz w:val="22"/>
          <w:szCs w:val="22"/>
          <w:lang w:eastAsia="zh-CN"/>
        </w:rPr>
      </w:pPr>
      <w:r>
        <w:rPr>
          <w:rFonts w:ascii="Times New Roman" w:hAnsi="Times New Roman" w:eastAsia="宋体" w:cs="宋体"/>
          <w:sz w:val="22"/>
          <w:szCs w:val="22"/>
          <w:lang w:eastAsia="zh-CN"/>
        </w:rPr>
        <w:t>财政部门、中小企业主管部门及其工作人员在履行职责中违反本办法规定及存在其他  滥用职权、玩忽职守、徇私舞弊等违法违纪行为的，依照《中华人民共和国政府采购法》、 《中华人民共和国公务员法》、《中华人民共和国监察法》、《中华人民共和国政府采购法  实施条例》等国家</w:t>
      </w:r>
    </w:p>
    <w:p>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有关规定追究相应责任；涉嫌犯罪的，依法移送有关国家机关处理。</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第二十二条</w:t>
      </w:r>
    </w:p>
    <w:p>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对外援助项目、国家相关资格或者资质管理制度另有规定的项目，不适用本办法。</w:t>
      </w:r>
    </w:p>
    <w:p>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第二十三条</w:t>
      </w:r>
    </w:p>
    <w:p>
      <w:pPr>
        <w:spacing w:line="360" w:lineRule="auto"/>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关于视同中小企业的其他主体的政府采购扶持政策，由财政部会同有关部门另行规定。</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第二十四条</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省级财政部门可以会同中小企业主管部门根据本办法的规定制定具体实施办法。</w:t>
      </w:r>
    </w:p>
    <w:p>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第二十五条</w:t>
      </w:r>
    </w:p>
    <w:p>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本办法自2021年1月1日起施行。  财政部工业和信息化部关于印发&lt;政府采购促进 中小企业发展暂行办法&gt;的通知》</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财库〔2011〕181 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同时废止。</w:t>
      </w:r>
    </w:p>
    <w:p>
      <w:pPr>
        <w:spacing w:line="360" w:lineRule="auto"/>
        <w:rPr>
          <w:rFonts w:ascii="Times New Roman" w:hAnsi="Times New Roman" w:eastAsia="宋体" w:cs="宋体"/>
          <w:sz w:val="22"/>
          <w:szCs w:val="22"/>
          <w:lang w:eastAsia="zh-CN"/>
        </w:rPr>
        <w:sectPr>
          <w:footerReference r:id="rId15" w:type="default"/>
          <w:pgSz w:w="11905" w:h="16838"/>
          <w:pgMar w:top="1134" w:right="1134" w:bottom="1134" w:left="1134" w:header="0" w:footer="1043" w:gutter="0"/>
          <w:cols w:space="0" w:num="1"/>
        </w:sectPr>
      </w:pPr>
    </w:p>
    <w:p>
      <w:pPr>
        <w:spacing w:beforeLines="100" w:afterLines="100" w:line="360" w:lineRule="auto"/>
        <w:ind w:left="765"/>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一</w:t>
      </w:r>
      <w:r>
        <w:rPr>
          <w:rFonts w:hint="eastAsia" w:ascii="Times New Roman" w:hAnsi="Times New Roman" w:eastAsia="宋体" w:cs="宋体"/>
          <w:b/>
          <w:bCs/>
          <w:lang w:eastAsia="zh-CN"/>
        </w:rPr>
        <w:t>）</w:t>
      </w:r>
      <w:r>
        <w:rPr>
          <w:rFonts w:ascii="Times New Roman" w:hAnsi="Times New Roman" w:eastAsia="宋体" w:cs="宋体"/>
          <w:b/>
          <w:bCs/>
          <w:lang w:eastAsia="zh-CN"/>
        </w:rPr>
        <w:t>对于列入财政部、生态环境部发布的《环境标志产品政府采购品目清单》要求</w:t>
      </w:r>
    </w:p>
    <w:p>
      <w:pPr>
        <w:spacing w:line="360" w:lineRule="auto"/>
        <w:ind w:right="80"/>
        <w:jc w:val="both"/>
        <w:rPr>
          <w:rFonts w:ascii="Times New Roman" w:hAnsi="Times New Roman" w:eastAsia="宋体" w:cs="宋体"/>
          <w:lang w:eastAsia="zh-CN"/>
        </w:rPr>
      </w:pPr>
      <w:r>
        <w:rPr>
          <w:rFonts w:ascii="Times New Roman" w:hAnsi="Times New Roman" w:eastAsia="宋体" w:cs="宋体"/>
          <w:lang w:eastAsia="zh-CN"/>
        </w:rPr>
        <w:t>的产品，对其投标价格给予3%的价格扣除，并按照扣除后的价格参加排序。采购项目或者分  包中既包含环境标志产品也包含非环境标志产品的，只对列入《环境标志产品政府采购品目 清单》要求的产品按其在总报价中所占的比例给予价格扣除，投标文件中需提供认证证明， 认证机构须在市场监管总局公布的名录内《详见市场监管总局关于发布参与实施政府采购节 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 号文件</w:t>
      </w:r>
      <w:r>
        <w:rPr>
          <w:rFonts w:hint="eastAsia" w:ascii="Times New Roman" w:hAnsi="Times New Roman" w:eastAsia="宋体" w:cs="宋体"/>
          <w:lang w:eastAsia="zh-CN"/>
        </w:rPr>
        <w:t>）</w:t>
      </w:r>
      <w:r>
        <w:rPr>
          <w:rFonts w:ascii="Times New Roman" w:hAnsi="Times New Roman" w:eastAsia="宋体" w:cs="宋体"/>
          <w:lang w:eastAsia="zh-CN"/>
        </w:rPr>
        <w:t>》;</w:t>
      </w:r>
    </w:p>
    <w:p>
      <w:pPr>
        <w:spacing w:line="360" w:lineRule="auto"/>
        <w:ind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对财政部、国家发展改革委发布的《节能产品政府采购品目清单》但不属于国家  强制采购的产品，对其投标价格给予3%的价格扣除，并按照扣除后的价格参加排序。采购项  目或者分包中既包含节能产品也包含非节能产品的，只对列入《节能产品政府采购品目清单》 但不属于国家强制采购的产品按其在总报价中所占的比例给予价格扣除，投标文件中需提供  认证证明，认证机构须在市场监管总局公布的名录内《详见市场监管总局关于发布参与实施  政府采购节能产品、环境标志产品认证机构名录的公告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2019年第16号文件</w:t>
      </w:r>
      <w:r>
        <w:rPr>
          <w:rFonts w:hint="eastAsia" w:ascii="Times New Roman" w:hAnsi="Times New Roman" w:eastAsia="宋体" w:cs="宋体"/>
          <w:lang w:eastAsia="zh-CN"/>
        </w:rPr>
        <w:t>）</w:t>
      </w:r>
      <w:r>
        <w:rPr>
          <w:rFonts w:ascii="Times New Roman" w:hAnsi="Times New Roman" w:eastAsia="宋体" w:cs="宋体"/>
          <w:lang w:eastAsia="zh-CN"/>
        </w:rPr>
        <w:t>》。”</w:t>
      </w:r>
    </w:p>
    <w:p>
      <w:pPr>
        <w:spacing w:line="360" w:lineRule="auto"/>
        <w:ind w:right="95"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对于列入财政部、国家发改委、信息产业部发布的《无线局域网认证产品政府采 购清单》的产品，对其投标价格给予3%的价格扣除，并按扣除后的价格参加排序。采购项目 或者分包中既包含清单中产品也包含非清单中产品的，只对列入清单的产品按其在总报价中 所占的比例给予价格扣除。</w:t>
      </w:r>
    </w:p>
    <w:p>
      <w:pPr>
        <w:spacing w:line="360" w:lineRule="auto"/>
        <w:ind w:right="12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投标产品同时列入上述多个清单的，将上述规定的价格扣除比例叠加后计算价格 扣除。</w:t>
      </w:r>
    </w:p>
    <w:p>
      <w:pPr>
        <w:spacing w:line="360" w:lineRule="auto"/>
        <w:ind w:right="69"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根据《关于进一步加大政府采购支持中小企业力度的通知》</w:t>
      </w:r>
      <w:r>
        <w:rPr>
          <w:rFonts w:hint="eastAsia" w:ascii="Times New Roman" w:hAnsi="Times New Roman" w:eastAsia="宋体" w:cs="宋体"/>
          <w:lang w:eastAsia="zh-CN"/>
        </w:rPr>
        <w:t>（</w:t>
      </w:r>
      <w:r>
        <w:rPr>
          <w:rFonts w:ascii="Times New Roman" w:hAnsi="Times New Roman" w:eastAsia="宋体" w:cs="宋体"/>
          <w:lang w:eastAsia="zh-CN"/>
        </w:rPr>
        <w:t>财库〔2022〕19  号</w:t>
      </w:r>
      <w:r>
        <w:rPr>
          <w:rFonts w:hint="eastAsia" w:ascii="Times New Roman" w:hAnsi="Times New Roman" w:eastAsia="宋体" w:cs="宋体"/>
          <w:lang w:eastAsia="zh-CN"/>
        </w:rPr>
        <w:t>）</w:t>
      </w:r>
      <w:r>
        <w:rPr>
          <w:rFonts w:ascii="Times New Roman" w:hAnsi="Times New Roman" w:eastAsia="宋体" w:cs="宋体"/>
          <w:lang w:eastAsia="zh-CN"/>
        </w:rPr>
        <w:t>文件规定，货物服务采购项目给予小微企业的价格扣除优惠，按“工信部联企业〔2011〕 300号”通知标准划分的小型和微型企业的投标报价给予10%的扣除，用扣除后的价格参加评 审；根据《政府采购促进中小企业发展管理办法》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文件规定，工程项 目给予小微企业的价格扣除优惠，按“工信部联企业〔2011〕300号”通知标准划分的小型  和微型企业的投标报价给予3%的扣除，用扣除后的价格参加评审。适用招标投标法的政府采 购工程建设项目，采用综合评估法但未采用低价优先法计算价格分的，评标时应当在采用原 报价进行评分的基础上增加其价格得分的3%作为其价格分</w:t>
      </w:r>
      <w:r>
        <w:rPr>
          <w:rFonts w:hint="eastAsia" w:ascii="Times New Roman" w:hAnsi="Times New Roman" w:eastAsia="宋体" w:cs="宋体"/>
          <w:lang w:eastAsia="zh-CN"/>
        </w:rPr>
        <w:t>（</w:t>
      </w:r>
      <w:r>
        <w:rPr>
          <w:rFonts w:ascii="Times New Roman" w:hAnsi="Times New Roman" w:eastAsia="宋体" w:cs="宋体"/>
          <w:lang w:eastAsia="zh-CN"/>
        </w:rPr>
        <w:t>需提供中小企业声明函</w:t>
      </w:r>
      <w:r>
        <w:rPr>
          <w:rFonts w:hint="eastAsia" w:ascii="Times New Roman" w:hAnsi="Times New Roman" w:eastAsia="宋体" w:cs="宋体"/>
          <w:lang w:eastAsia="zh-CN"/>
        </w:rPr>
        <w:t>）</w:t>
      </w:r>
      <w:r>
        <w:rPr>
          <w:rFonts w:ascii="Times New Roman" w:hAnsi="Times New Roman" w:eastAsia="宋体" w:cs="宋体"/>
          <w:lang w:eastAsia="zh-CN"/>
        </w:rPr>
        <w:t>。</w:t>
      </w:r>
    </w:p>
    <w:p>
      <w:pPr>
        <w:spacing w:line="360" w:lineRule="auto"/>
        <w:ind w:right="122" w:firstLine="54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按照财政部《关于政府采购支持监狱企业发展有关问题的通知》</w:t>
      </w:r>
      <w:r>
        <w:rPr>
          <w:rFonts w:hint="eastAsia" w:ascii="Times New Roman" w:hAnsi="Times New Roman" w:eastAsia="宋体" w:cs="宋体"/>
          <w:lang w:eastAsia="zh-CN"/>
        </w:rPr>
        <w:t>（</w:t>
      </w:r>
      <w:r>
        <w:rPr>
          <w:rFonts w:ascii="Times New Roman" w:hAnsi="Times New Roman" w:eastAsia="宋体" w:cs="宋体"/>
          <w:lang w:eastAsia="zh-CN"/>
        </w:rPr>
        <w:t>财库[2014]68 号</w:t>
      </w:r>
      <w:r>
        <w:rPr>
          <w:rFonts w:hint="eastAsia" w:ascii="Times New Roman" w:hAnsi="Times New Roman" w:eastAsia="宋体" w:cs="宋体"/>
          <w:lang w:eastAsia="zh-CN"/>
        </w:rPr>
        <w:t>）</w:t>
      </w:r>
      <w:r>
        <w:rPr>
          <w:rFonts w:ascii="Times New Roman" w:hAnsi="Times New Roman" w:eastAsia="宋体" w:cs="宋体"/>
          <w:lang w:eastAsia="zh-CN"/>
        </w:rPr>
        <w:t xml:space="preserve">的规定，在政府采购活动中，监狱企业视同小型、微型企业，享受预留份额、评审中价 格扣除等政府采购促进中小企业发展的政府采购政策。监狱企业应当提供由省级以上监狱管 </w:t>
      </w:r>
      <w:r>
        <w:rPr>
          <w:rFonts w:ascii="Times New Roman" w:hAnsi="Times New Roman" w:eastAsia="黑体" w:cs="黑体"/>
          <w:lang w:eastAsia="zh-CN"/>
        </w:rPr>
        <w:t>理局、戒毒管理局</w:t>
      </w:r>
      <w:r>
        <w:rPr>
          <w:rFonts w:hint="eastAsia" w:ascii="Times New Roman" w:hAnsi="Times New Roman" w:eastAsia="黑体" w:cs="黑体"/>
          <w:lang w:eastAsia="zh-CN"/>
        </w:rPr>
        <w:t>（</w:t>
      </w:r>
      <w:r>
        <w:rPr>
          <w:rFonts w:ascii="Times New Roman" w:hAnsi="Times New Roman" w:eastAsia="黑体" w:cs="黑体"/>
          <w:lang w:eastAsia="zh-CN"/>
        </w:rPr>
        <w:t>含新疆生产建设兵团</w:t>
      </w:r>
      <w:r>
        <w:rPr>
          <w:rFonts w:hint="eastAsia" w:ascii="Times New Roman" w:hAnsi="Times New Roman" w:eastAsia="黑体" w:cs="黑体"/>
          <w:lang w:eastAsia="zh-CN"/>
        </w:rPr>
        <w:t>）</w:t>
      </w:r>
      <w:r>
        <w:rPr>
          <w:rFonts w:ascii="Times New Roman" w:hAnsi="Times New Roman" w:eastAsia="黑体" w:cs="黑体"/>
          <w:lang w:eastAsia="zh-CN"/>
        </w:rPr>
        <w:t>出具的属于监狱企业的证明文件。</w:t>
      </w:r>
    </w:p>
    <w:p>
      <w:pPr>
        <w:spacing w:line="360" w:lineRule="auto"/>
        <w:ind w:right="58" w:firstLine="540"/>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七</w:t>
      </w:r>
      <w:r>
        <w:rPr>
          <w:rFonts w:hint="eastAsia" w:ascii="Times New Roman" w:hAnsi="Times New Roman" w:eastAsia="黑体" w:cs="黑体"/>
          <w:lang w:eastAsia="zh-CN"/>
        </w:rPr>
        <w:t>）</w:t>
      </w:r>
      <w:r>
        <w:rPr>
          <w:rFonts w:ascii="Times New Roman" w:hAnsi="Times New Roman" w:eastAsia="黑体" w:cs="黑体"/>
          <w:lang w:eastAsia="zh-CN"/>
        </w:rPr>
        <w:t>按照《三部门联合发布关于促进残疾人就业政府采购政策的通知》</w:t>
      </w:r>
      <w:r>
        <w:rPr>
          <w:rFonts w:hint="eastAsia" w:ascii="Times New Roman" w:hAnsi="Times New Roman" w:eastAsia="黑体" w:cs="黑体"/>
          <w:lang w:eastAsia="zh-CN"/>
        </w:rPr>
        <w:t>（</w:t>
      </w:r>
      <w:r>
        <w:rPr>
          <w:rFonts w:ascii="Times New Roman" w:hAnsi="Times New Roman" w:eastAsia="黑体" w:cs="黑体"/>
          <w:lang w:eastAsia="zh-CN"/>
        </w:rPr>
        <w:t xml:space="preserve">财库〔2017〕 </w:t>
      </w:r>
      <w:r>
        <w:rPr>
          <w:rFonts w:ascii="Times New Roman" w:hAnsi="Times New Roman" w:eastAsia="宋体" w:cs="宋体"/>
          <w:lang w:eastAsia="zh-CN"/>
        </w:rPr>
        <w:t>141号</w:t>
      </w:r>
      <w:r>
        <w:rPr>
          <w:rFonts w:hint="eastAsia" w:ascii="Times New Roman" w:hAnsi="Times New Roman" w:eastAsia="宋体" w:cs="宋体"/>
          <w:lang w:eastAsia="zh-CN"/>
        </w:rPr>
        <w:t>）</w:t>
      </w:r>
      <w:r>
        <w:rPr>
          <w:rFonts w:ascii="Times New Roman" w:hAnsi="Times New Roman" w:eastAsia="宋体" w:cs="宋体"/>
          <w:lang w:eastAsia="zh-CN"/>
        </w:rPr>
        <w:t>的规定，在政府采购活动中，残疾人福利性单位视同小型、微</w:t>
      </w:r>
      <w:r>
        <w:rPr>
          <w:rFonts w:ascii="Times New Roman" w:hAnsi="Times New Roman" w:eastAsia="宋体" w:cs="宋体"/>
          <w:u w:val="single"/>
          <w:lang w:eastAsia="zh-CN"/>
        </w:rPr>
        <w:t>型企业</w:t>
      </w:r>
      <w:r>
        <w:rPr>
          <w:rFonts w:ascii="Times New Roman" w:hAnsi="Times New Roman" w:eastAsia="宋体" w:cs="宋体"/>
          <w:lang w:eastAsia="zh-CN"/>
        </w:rPr>
        <w:t>，享受预留份  额、评审中价格扣除等促进中小企业发展的政府采购政策。符合条件的残疾人福利性单位在 参加政府采购活动时，应当提供财库〔2017〕141号文规定的《残疾人福利性单位声明函》, 并对声明的真实性负责。经评委会审核确认供应商符合残疾人福利性单位条件的，在评定时 视同中小企业。残疾人福利性单位属于小型、微型企业的，不重复享受政策。</w:t>
      </w:r>
    </w:p>
    <w:p>
      <w:pPr>
        <w:spacing w:line="360" w:lineRule="auto"/>
        <w:ind w:right="64"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价格扣除的依据：第</w:t>
      </w: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至</w:t>
      </w: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条提供投标货物相关认证证书复印件加盖供 应商公章。第</w:t>
      </w: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条属于中小微企业投标的应按照关于印发《政府采购促进中小企业发展 管理办法》的通知</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附1中小企业声明函</w:t>
      </w:r>
      <w:r>
        <w:rPr>
          <w:rFonts w:hint="eastAsia" w:ascii="Times New Roman" w:hAnsi="Times New Roman" w:eastAsia="宋体" w:cs="宋体"/>
          <w:lang w:eastAsia="zh-CN"/>
        </w:rPr>
        <w:t>（</w:t>
      </w:r>
      <w:r>
        <w:rPr>
          <w:rFonts w:ascii="Times New Roman" w:hAnsi="Times New Roman" w:eastAsia="宋体" w:cs="宋体"/>
          <w:lang w:eastAsia="zh-CN"/>
        </w:rPr>
        <w:t>工程、服务</w:t>
      </w:r>
      <w:r>
        <w:rPr>
          <w:rFonts w:hint="eastAsia" w:ascii="Times New Roman" w:hAnsi="Times New Roman" w:eastAsia="宋体" w:cs="宋体"/>
          <w:lang w:eastAsia="zh-CN"/>
        </w:rPr>
        <w:t>）</w:t>
      </w:r>
      <w:r>
        <w:rPr>
          <w:rFonts w:ascii="Times New Roman" w:hAnsi="Times New Roman" w:eastAsia="宋体" w:cs="宋体"/>
          <w:lang w:eastAsia="zh-CN"/>
        </w:rPr>
        <w:t>格式规定提供 格式正确的《中小企业声明函》,第</w:t>
      </w: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条提供符合该文件要求且格式正确的《监狱企业 证明</w:t>
      </w:r>
      <w:r>
        <w:rPr>
          <w:rFonts w:ascii="Times New Roman" w:hAnsi="Times New Roman" w:eastAsia="宋体" w:cs="宋体"/>
          <w:b/>
          <w:bCs/>
          <w:lang w:eastAsia="zh-CN"/>
        </w:rPr>
        <w:t>文件》,第</w:t>
      </w:r>
      <w:r>
        <w:rPr>
          <w:rFonts w:hint="eastAsia" w:ascii="Times New Roman" w:hAnsi="Times New Roman" w:eastAsia="宋体" w:cs="宋体"/>
          <w:b/>
          <w:bCs/>
          <w:lang w:eastAsia="zh-CN"/>
        </w:rPr>
        <w:t>（</w:t>
      </w:r>
      <w:r>
        <w:rPr>
          <w:rFonts w:ascii="Times New Roman" w:hAnsi="Times New Roman" w:eastAsia="宋体" w:cs="宋体"/>
          <w:b/>
          <w:bCs/>
          <w:lang w:eastAsia="zh-CN"/>
        </w:rPr>
        <w:t>七</w:t>
      </w:r>
      <w:r>
        <w:rPr>
          <w:rFonts w:hint="eastAsia" w:ascii="Times New Roman" w:hAnsi="Times New Roman" w:eastAsia="宋体" w:cs="宋体"/>
          <w:b/>
          <w:bCs/>
          <w:lang w:eastAsia="zh-CN"/>
        </w:rPr>
        <w:t>）</w:t>
      </w:r>
      <w:r>
        <w:rPr>
          <w:rFonts w:ascii="Times New Roman" w:hAnsi="Times New Roman" w:eastAsia="宋体" w:cs="宋体"/>
          <w:b/>
          <w:bCs/>
          <w:lang w:eastAsia="zh-CN"/>
        </w:rPr>
        <w:t>条提供符合该文件要求且格式正确的《残疾人福利性单位声明函》。不提供相应证明文件或提供的证明文件格式不正确，则不享受政府采购中小企业扶持政策。</w:t>
      </w:r>
    </w:p>
    <w:p>
      <w:pPr>
        <w:spacing w:line="360" w:lineRule="auto"/>
        <w:ind w:left="3" w:right="97" w:firstLine="540"/>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九</w:t>
      </w:r>
      <w:r>
        <w:rPr>
          <w:rFonts w:hint="eastAsia" w:ascii="Times New Roman" w:hAnsi="Times New Roman" w:eastAsia="宋体" w:cs="宋体"/>
          <w:b/>
          <w:bCs/>
          <w:lang w:eastAsia="zh-CN"/>
        </w:rPr>
        <w:t>）</w:t>
      </w:r>
      <w:r>
        <w:rPr>
          <w:rFonts w:ascii="Times New Roman" w:hAnsi="Times New Roman" w:eastAsia="宋体" w:cs="宋体"/>
          <w:b/>
          <w:bCs/>
          <w:lang w:eastAsia="zh-CN"/>
        </w:rPr>
        <w:t>依据《政府采购促进中小企业发展政策问答》文件要求，专门面向中小企业采购的项目或者采购包，不再执行价格评审优惠的扶持政策。</w:t>
      </w:r>
    </w:p>
    <w:p>
      <w:pPr>
        <w:spacing w:line="360" w:lineRule="auto"/>
        <w:rPr>
          <w:rFonts w:ascii="Times New Roman" w:hAnsi="Times New Roman" w:eastAsia="宋体" w:cs="宋体"/>
          <w:lang w:eastAsia="zh-CN"/>
        </w:rPr>
        <w:sectPr>
          <w:footerReference r:id="rId16" w:type="default"/>
          <w:pgSz w:w="11905" w:h="16838"/>
          <w:pgMar w:top="1134" w:right="1134" w:bottom="1134" w:left="1134" w:header="0" w:footer="1043" w:gutter="0"/>
          <w:cols w:space="0" w:num="1"/>
        </w:sectPr>
      </w:pPr>
    </w:p>
    <w:p>
      <w:pPr>
        <w:spacing w:beforeLines="100" w:afterLines="100" w:line="360" w:lineRule="auto"/>
        <w:jc w:val="center"/>
        <w:rPr>
          <w:rFonts w:ascii="Times New Roman" w:hAnsi="Times New Roman" w:eastAsia="宋体" w:cs="宋体"/>
          <w:b/>
          <w:bCs/>
          <w:sz w:val="24"/>
          <w:szCs w:val="24"/>
          <w:lang w:eastAsia="zh-CN"/>
        </w:rPr>
      </w:pPr>
      <w:r>
        <w:rPr>
          <w:rFonts w:ascii="Times New Roman" w:hAnsi="Times New Roman" w:eastAsia="宋体" w:cs="宋体"/>
          <w:b/>
          <w:bCs/>
          <w:sz w:val="24"/>
          <w:szCs w:val="24"/>
          <w:lang w:eastAsia="zh-CN"/>
        </w:rPr>
        <w:t>关于进一步加大政府采购支持中小企业力度的通知</w:t>
      </w:r>
    </w:p>
    <w:p>
      <w:pPr>
        <w:spacing w:line="360" w:lineRule="auto"/>
        <w:jc w:val="center"/>
        <w:rPr>
          <w:rFonts w:ascii="Times New Roman" w:hAnsi="Times New Roman" w:eastAsia="宋体" w:cs="宋体"/>
          <w:lang w:eastAsia="zh-CN"/>
        </w:rPr>
      </w:pPr>
      <w:r>
        <w:rPr>
          <w:rFonts w:ascii="Times New Roman" w:hAnsi="Times New Roman" w:eastAsia="宋体" w:cs="宋体"/>
          <w:lang w:eastAsia="zh-CN"/>
        </w:rPr>
        <w:t>财库〔2022〕19号</w:t>
      </w:r>
    </w:p>
    <w:p>
      <w:pPr>
        <w:pStyle w:val="4"/>
        <w:rPr>
          <w:lang w:eastAsia="zh-CN"/>
        </w:rPr>
      </w:pPr>
    </w:p>
    <w:p>
      <w:pPr>
        <w:spacing w:line="360" w:lineRule="auto"/>
        <w:ind w:left="4" w:right="76" w:firstLine="419"/>
        <w:rPr>
          <w:rFonts w:ascii="Times New Roman" w:hAnsi="Times New Roman" w:eastAsia="宋体" w:cs="宋体"/>
          <w:lang w:eastAsia="zh-CN"/>
        </w:rPr>
      </w:pPr>
      <w:r>
        <w:rPr>
          <w:rFonts w:ascii="Times New Roman" w:hAnsi="Times New Roman" w:eastAsia="宋体" w:cs="宋体"/>
          <w:lang w:eastAsia="zh-CN"/>
        </w:rPr>
        <w:t>各中央预算单位，各省、自治区、直辖市、计划单列市财政厅</w:t>
      </w:r>
      <w:r>
        <w:rPr>
          <w:rFonts w:hint="eastAsia" w:ascii="Times New Roman" w:hAnsi="Times New Roman" w:eastAsia="宋体" w:cs="宋体"/>
          <w:lang w:eastAsia="zh-CN"/>
        </w:rPr>
        <w:t>（</w:t>
      </w:r>
      <w:r>
        <w:rPr>
          <w:rFonts w:ascii="Times New Roman" w:hAnsi="Times New Roman" w:eastAsia="宋体" w:cs="宋体"/>
          <w:lang w:eastAsia="zh-CN"/>
        </w:rPr>
        <w:t>局</w:t>
      </w:r>
      <w:r>
        <w:rPr>
          <w:rFonts w:hint="eastAsia" w:ascii="Times New Roman" w:hAnsi="Times New Roman" w:eastAsia="宋体" w:cs="宋体"/>
          <w:lang w:eastAsia="zh-CN"/>
        </w:rPr>
        <w:t>）</w:t>
      </w:r>
      <w:r>
        <w:rPr>
          <w:rFonts w:ascii="Times New Roman" w:hAnsi="Times New Roman" w:eastAsia="宋体" w:cs="宋体"/>
          <w:lang w:eastAsia="zh-CN"/>
        </w:rPr>
        <w:t>,新疆生产建设兵 团财政局：</w:t>
      </w:r>
    </w:p>
    <w:p>
      <w:pPr>
        <w:spacing w:line="360" w:lineRule="auto"/>
        <w:ind w:left="4" w:right="70" w:firstLine="419"/>
        <w:rPr>
          <w:rFonts w:ascii="Times New Roman" w:hAnsi="Times New Roman" w:eastAsia="宋体" w:cs="宋体"/>
          <w:lang w:eastAsia="zh-CN"/>
        </w:rPr>
      </w:pPr>
      <w:r>
        <w:rPr>
          <w:rFonts w:ascii="Times New Roman" w:hAnsi="Times New Roman" w:eastAsia="宋体" w:cs="宋体"/>
          <w:lang w:eastAsia="zh-CN"/>
        </w:rPr>
        <w:t>为贯彻落实《国务院关于印发扎实稳住经济一揽子政策措施的通知》</w:t>
      </w:r>
      <w:r>
        <w:rPr>
          <w:rFonts w:hint="eastAsia" w:ascii="Times New Roman" w:hAnsi="Times New Roman" w:eastAsia="宋体" w:cs="宋体"/>
          <w:lang w:eastAsia="zh-CN"/>
        </w:rPr>
        <w:t>（</w:t>
      </w:r>
      <w:r>
        <w:rPr>
          <w:rFonts w:ascii="Times New Roman" w:hAnsi="Times New Roman" w:eastAsia="宋体" w:cs="宋体"/>
          <w:lang w:eastAsia="zh-CN"/>
        </w:rPr>
        <w:t>国发〔2022〕12 号</w:t>
      </w:r>
      <w:r>
        <w:rPr>
          <w:rFonts w:hint="eastAsia" w:ascii="Times New Roman" w:hAnsi="Times New Roman" w:eastAsia="宋体" w:cs="宋体"/>
          <w:lang w:eastAsia="zh-CN"/>
        </w:rPr>
        <w:t>）</w:t>
      </w:r>
      <w:r>
        <w:rPr>
          <w:rFonts w:ascii="Times New Roman" w:hAnsi="Times New Roman" w:eastAsia="宋体" w:cs="宋体"/>
          <w:lang w:eastAsia="zh-CN"/>
        </w:rPr>
        <w:t>有关要求，做好财政政策支持中小企业纾困解难工作，助力经济平稳健康发展，现就加 大政府采购支持中小企业力度有关事项通知如下：</w:t>
      </w:r>
    </w:p>
    <w:p>
      <w:pPr>
        <w:spacing w:line="360" w:lineRule="auto"/>
        <w:ind w:left="4" w:firstLine="419"/>
        <w:rPr>
          <w:rFonts w:ascii="Times New Roman" w:hAnsi="Times New Roman" w:eastAsia="宋体" w:cs="宋体"/>
          <w:lang w:eastAsia="zh-CN"/>
        </w:rPr>
      </w:pPr>
      <w:r>
        <w:rPr>
          <w:rFonts w:ascii="Times New Roman" w:hAnsi="Times New Roman" w:eastAsia="宋体" w:cs="宋体"/>
          <w:lang w:eastAsia="zh-CN"/>
        </w:rPr>
        <w:t>一、严格落实支持中小企业政府采购政策。各地区、各部门要按照国务院的统一部署， 认真落实《政府采购促进中小企业发展管理办法》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的规定，规范资格 条件设置，降低中小企业参与门槛，灵活采取项目整体预留、合理预留采购包、要求大企业 与中小企业组成联合体、要求大</w:t>
      </w:r>
      <w:r>
        <w:rPr>
          <w:rFonts w:ascii="Times New Roman" w:hAnsi="Times New Roman" w:eastAsia="宋体" w:cs="宋体"/>
          <w:u w:val="single"/>
          <w:lang w:eastAsia="zh-CN"/>
        </w:rPr>
        <w:t>企业</w:t>
      </w:r>
      <w:r>
        <w:rPr>
          <w:rFonts w:ascii="Times New Roman" w:hAnsi="Times New Roman" w:eastAsia="宋体" w:cs="宋体"/>
          <w:lang w:eastAsia="zh-CN"/>
        </w:rPr>
        <w:t>向中小企业分包等形式，确保中小企业合同份额。要通 过提高预付款比例、引入信用担保、支持中小企业开展合同融资、免费提供电子采购文件等 方式，为中小企业参与采购活动提供便利。要严格按规定及时支付采购资金，不得收取没有 法律法规依据的保证金，有效减轻中小企业资金压力。</w:t>
      </w:r>
    </w:p>
    <w:p>
      <w:pPr>
        <w:spacing w:line="360" w:lineRule="auto"/>
        <w:ind w:left="4" w:right="74" w:firstLine="419"/>
        <w:rPr>
          <w:rFonts w:ascii="Times New Roman" w:hAnsi="Times New Roman" w:eastAsia="宋体" w:cs="宋体"/>
          <w:lang w:eastAsia="zh-CN"/>
        </w:rPr>
      </w:pPr>
      <w:r>
        <w:rPr>
          <w:rFonts w:ascii="Times New Roman" w:hAnsi="Times New Roman" w:eastAsia="宋体" w:cs="宋体"/>
          <w:lang w:eastAsia="zh-CN"/>
        </w:rPr>
        <w:t>二、调整对小微企业的价格评审优惠幅度。货物服务采购项目给予小微企业的价格扣除 优惠，由财库〔2020〕46号文件规定的6%—10%提高至10%—20%。大中</w:t>
      </w:r>
      <w:r>
        <w:rPr>
          <w:rFonts w:ascii="Times New Roman" w:hAnsi="Times New Roman" w:eastAsia="宋体" w:cs="宋体"/>
          <w:u w:val="single"/>
          <w:lang w:eastAsia="zh-CN"/>
        </w:rPr>
        <w:t>型企业</w:t>
      </w:r>
      <w:r>
        <w:rPr>
          <w:rFonts w:ascii="Times New Roman" w:hAnsi="Times New Roman" w:eastAsia="宋体" w:cs="宋体"/>
          <w:lang w:eastAsia="zh-CN"/>
        </w:rPr>
        <w:t>与小微企业组 成联合体或者大中型企业向小微企业分包的，评审优惠幅度由2%—3%提高至4%—6%。政府采 购工程的价格评审优惠按照财库〔2020〕46号文件的规定执行。自本通知执行之日起发布采 购公告或者发出采购邀请的货物服务采购项目，按照本通知规定的评审优惠幅度执行。</w:t>
      </w:r>
    </w:p>
    <w:p>
      <w:pPr>
        <w:spacing w:line="360" w:lineRule="auto"/>
        <w:ind w:left="4" w:right="46" w:firstLine="419"/>
        <w:rPr>
          <w:rFonts w:ascii="Times New Roman" w:hAnsi="Times New Roman" w:eastAsia="宋体" w:cs="宋体"/>
          <w:lang w:eastAsia="zh-CN"/>
        </w:rPr>
      </w:pPr>
      <w:r>
        <w:rPr>
          <w:rFonts w:ascii="Times New Roman" w:hAnsi="Times New Roman" w:eastAsia="宋体" w:cs="宋体"/>
          <w:lang w:eastAsia="zh-CN"/>
        </w:rPr>
        <w:t>三、提高政府采购工程面向中小企业预留份额。400万元以下的工程采购项目适宜由中 小企业提供的，采购人应当专门面向中小企业采购。超过400万元的工程采购项目中适宜由 中小企业提供的，在坚持公开公正、公平竞争原则和统一质量标准的前提下，2022年下半年 面向中小企业的预留份额由30%以上阶段性提高至40%以上。发展改革委会同相关工程招投标 行政监督部门完善工程招投标领域落实政府采购支持中小企业政策相关措施。省级财政部门 要积极协调发展改革、工业和信息化、住房和城乡建设、交通、水利、商务、铁路、民航等 部门调整完善工程招投标领域有关标准文本、评标制度等规定和做法，并于2022年6月30日 前将落实情况汇总报财政部。</w:t>
      </w:r>
    </w:p>
    <w:p>
      <w:pPr>
        <w:spacing w:line="360" w:lineRule="auto"/>
        <w:ind w:left="4" w:right="73" w:firstLine="419"/>
        <w:rPr>
          <w:rFonts w:ascii="Times New Roman" w:hAnsi="Times New Roman" w:eastAsia="宋体" w:cs="宋体"/>
          <w:lang w:eastAsia="zh-CN"/>
        </w:rPr>
      </w:pPr>
      <w:r>
        <w:rPr>
          <w:rFonts w:ascii="Times New Roman" w:hAnsi="Times New Roman" w:eastAsia="宋体" w:cs="宋体"/>
          <w:lang w:eastAsia="zh-CN"/>
        </w:rPr>
        <w:t>四 、认真做好组织实施。各地区、各部门应当加强组织领导，明确工作责任，细化执行 要求，强化监督检查，确保国务院部署落实到位，对通知执行中出现的问题要及时向财政部 报告。</w:t>
      </w:r>
    </w:p>
    <w:p>
      <w:pPr>
        <w:spacing w:line="360" w:lineRule="auto"/>
        <w:ind w:left="424"/>
        <w:rPr>
          <w:rFonts w:ascii="Times New Roman" w:hAnsi="Times New Roman" w:eastAsia="宋体" w:cs="宋体"/>
          <w:lang w:eastAsia="zh-CN"/>
        </w:rPr>
      </w:pPr>
    </w:p>
    <w:p>
      <w:pPr>
        <w:spacing w:line="360" w:lineRule="auto"/>
        <w:ind w:left="424"/>
        <w:rPr>
          <w:rFonts w:ascii="Times New Roman" w:hAnsi="Times New Roman" w:eastAsia="宋体" w:cs="宋体"/>
          <w:lang w:eastAsia="zh-CN"/>
        </w:rPr>
      </w:pPr>
      <w:r>
        <w:rPr>
          <w:rFonts w:ascii="Times New Roman" w:hAnsi="Times New Roman" w:eastAsia="宋体" w:cs="宋体"/>
          <w:lang w:eastAsia="zh-CN"/>
        </w:rPr>
        <w:t>本通知自2022年7月1日起执行。</w:t>
      </w:r>
    </w:p>
    <w:p>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财政部</w:t>
      </w:r>
    </w:p>
    <w:p>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 xml:space="preserve"> 2022年5月30日</w:t>
      </w:r>
    </w:p>
    <w:p>
      <w:pPr>
        <w:spacing w:line="360" w:lineRule="auto"/>
        <w:rPr>
          <w:rFonts w:ascii="Times New Roman" w:hAnsi="Times New Roman" w:eastAsia="宋体" w:cs="宋体"/>
          <w:lang w:eastAsia="zh-CN"/>
        </w:rPr>
      </w:pPr>
    </w:p>
    <w:p>
      <w:pPr>
        <w:pStyle w:val="4"/>
        <w:rPr>
          <w:lang w:eastAsia="zh-CN"/>
        </w:rPr>
        <w:sectPr>
          <w:footerReference r:id="rId17" w:type="default"/>
          <w:pgSz w:w="11905" w:h="16838"/>
          <w:pgMar w:top="1134" w:right="1134" w:bottom="1134" w:left="1134" w:header="0" w:footer="1043" w:gutter="0"/>
          <w:cols w:space="0" w:num="1"/>
        </w:sectPr>
      </w:pPr>
    </w:p>
    <w:p>
      <w:pPr>
        <w:pStyle w:val="5"/>
        <w:spacing w:line="360" w:lineRule="auto"/>
        <w:rPr>
          <w:rFonts w:ascii="Times New Roman" w:hAnsi="Times New Roman"/>
          <w:lang w:eastAsia="zh-CN"/>
        </w:rPr>
      </w:pPr>
    </w:p>
    <w:p>
      <w:pPr>
        <w:spacing w:line="360" w:lineRule="auto"/>
        <w:jc w:val="center"/>
        <w:rPr>
          <w:rFonts w:ascii="Times New Roman" w:hAnsi="Times New Roman" w:eastAsia="宋体" w:cs="宋体"/>
          <w:b/>
          <w:bCs/>
          <w:sz w:val="28"/>
          <w:szCs w:val="28"/>
          <w:lang w:eastAsia="zh-CN"/>
        </w:rPr>
      </w:pPr>
      <w:r>
        <w:rPr>
          <w:rFonts w:ascii="Times New Roman" w:hAnsi="Times New Roman" w:eastAsia="宋体" w:cs="宋体"/>
          <w:b/>
          <w:bCs/>
          <w:sz w:val="28"/>
          <w:szCs w:val="28"/>
          <w:lang w:eastAsia="zh-CN"/>
        </w:rPr>
        <w:t>关于印发中小企业划型标准规定的通知</w:t>
      </w:r>
    </w:p>
    <w:p>
      <w:pPr>
        <w:spacing w:line="360" w:lineRule="auto"/>
        <w:jc w:val="center"/>
        <w:rPr>
          <w:rFonts w:ascii="Times New Roman" w:hAnsi="Times New Roman" w:eastAsia="宋体" w:cs="宋体"/>
          <w:sz w:val="22"/>
          <w:szCs w:val="22"/>
          <w:lang w:eastAsia="zh-CN"/>
        </w:rPr>
      </w:pPr>
    </w:p>
    <w:p>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工信部联企业〔2011〕300号</w:t>
      </w:r>
    </w:p>
    <w:p>
      <w:pPr>
        <w:spacing w:line="360" w:lineRule="auto"/>
        <w:rPr>
          <w:rFonts w:ascii="Times New Roman" w:hAnsi="Times New Roman" w:eastAsia="宋体" w:cs="宋体"/>
          <w:sz w:val="22"/>
          <w:szCs w:val="22"/>
          <w:lang w:eastAsia="zh-CN"/>
        </w:rPr>
      </w:pPr>
    </w:p>
    <w:p>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各省、自治区、直辖市人民政府，国务院各部委、各直属机构及有关单位：</w:t>
      </w:r>
    </w:p>
    <w:p>
      <w:pPr>
        <w:spacing w:line="360" w:lineRule="auto"/>
        <w:ind w:right="61" w:firstLine="41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为贯彻落实《中华人民共和国中小企业促进法》和《国务院关于进一步促进中小企业发 展的若干意见》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,工业和信息化部、国家统计局、发展改革委、财 政部研究制定了《中小企业划型标准规定》。经国务院同意，现印发给你们，请遵照执行。</w:t>
      </w:r>
    </w:p>
    <w:p>
      <w:pPr>
        <w:spacing w:line="360" w:lineRule="auto"/>
        <w:ind w:left="5409" w:right="1" w:firstLine="200"/>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工业和信息化部 国家统计局 国家发展和改革委员会 财政部 二〇——年六月十八日</w:t>
      </w:r>
    </w:p>
    <w:p>
      <w:pPr>
        <w:spacing w:line="360" w:lineRule="auto"/>
        <w:ind w:left="3140"/>
        <w:rPr>
          <w:rFonts w:ascii="Times New Roman" w:hAnsi="Times New Roman" w:eastAsia="宋体" w:cs="宋体"/>
          <w:sz w:val="22"/>
          <w:szCs w:val="22"/>
          <w:lang w:eastAsia="zh-CN"/>
        </w:rPr>
      </w:pPr>
    </w:p>
    <w:p>
      <w:pPr>
        <w:spacing w:line="360" w:lineRule="auto"/>
        <w:ind w:left="3140"/>
        <w:rPr>
          <w:rFonts w:ascii="Times New Roman" w:hAnsi="Times New Roman" w:eastAsia="宋体" w:cs="宋体"/>
          <w:sz w:val="22"/>
          <w:szCs w:val="22"/>
          <w:lang w:eastAsia="zh-CN"/>
        </w:rPr>
      </w:pPr>
      <w:r>
        <w:rPr>
          <w:rFonts w:ascii="Times New Roman" w:hAnsi="Times New Roman" w:eastAsia="宋体" w:cs="宋体"/>
          <w:sz w:val="22"/>
          <w:szCs w:val="22"/>
          <w:lang w:eastAsia="zh-CN"/>
        </w:rPr>
        <w:t>中小企业划型标准规定</w:t>
      </w:r>
    </w:p>
    <w:p>
      <w:pPr>
        <w:pStyle w:val="4"/>
        <w:rPr>
          <w:lang w:eastAsia="zh-CN"/>
        </w:rPr>
      </w:pPr>
    </w:p>
    <w:p>
      <w:pPr>
        <w:spacing w:line="360" w:lineRule="auto"/>
        <w:ind w:right="28"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一、根据《中华人民共和国中小企业促进法》和《国务院关于进一步促进中小企业发展 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,制定本规定。</w:t>
      </w:r>
    </w:p>
    <w:p>
      <w:pPr>
        <w:spacing w:line="360" w:lineRule="auto"/>
        <w:ind w:right="6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二、中小企业划分为中型、小型、微型三种类型，具体标准根据企业从业人员、营业收 入、资产总额等指标，结合行业特点制定。</w:t>
      </w:r>
    </w:p>
    <w:p>
      <w:pPr>
        <w:spacing w:line="360" w:lineRule="auto"/>
        <w:ind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三、本规定适用的行业包括：农、林、牧、渔业，工业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包括采矿业，制造业，电力、 热力、燃气及水生产和供应业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,建筑业，批发业，零售业，交通运输业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不含铁路运输业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仓储业，邮政业，住宿业，餐饮业，信息传输业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包括电信、互联网和相关服务</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,软件和 信息技术服务业，房地产开发经营，物业管理，租赁和商务服务业，其他未列明行业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 科学研究和技术服务业，水利、环境和公共设施管理业，居民服务、修理和其他服务业，社 会工作，文化、体育和娱乐业等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w:t>
      </w:r>
    </w:p>
    <w:p>
      <w:pPr>
        <w:spacing w:line="360" w:lineRule="auto"/>
        <w:ind w:left="419"/>
        <w:rPr>
          <w:rFonts w:ascii="Times New Roman" w:hAnsi="Times New Roman" w:eastAsia="宋体" w:cs="宋体"/>
          <w:sz w:val="22"/>
          <w:szCs w:val="22"/>
          <w:lang w:eastAsia="zh-CN"/>
        </w:rPr>
      </w:pPr>
      <w:r>
        <w:rPr>
          <w:rFonts w:ascii="Times New Roman" w:hAnsi="Times New Roman" w:eastAsia="宋体" w:cs="宋体"/>
          <w:sz w:val="22"/>
          <w:szCs w:val="22"/>
          <w:lang w:eastAsia="zh-CN"/>
        </w:rPr>
        <w:t>四、各行业划型标准为：</w:t>
      </w:r>
    </w:p>
    <w:p>
      <w:pPr>
        <w:spacing w:line="360" w:lineRule="auto"/>
        <w:ind w:right="31"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农、林、牧、渔业。营业收入20000万元以下的为中小微型企业。其中，营业收 入500万元及以上的为中型企业，营业收入50万元及以上的为小型企业，营业收入50万元 以下的为微型企业。</w:t>
      </w:r>
    </w:p>
    <w:p>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工业。从业人员1000人以下或营业收入40000万元以下的为中小微型企业。其 中，从业人员300人及以上，且营业收入2000万元及以上的为中型企业；从业人员20人及 以上，且营业收入300万元及以上的为小型企业；从业人员20人以下或营业收入300万元 以下的为微型企业。</w:t>
      </w:r>
    </w:p>
    <w:p>
      <w:pPr>
        <w:spacing w:line="360" w:lineRule="auto"/>
        <w:ind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 总额300万元以下的为微</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w:t>
      </w:r>
    </w:p>
    <w:p>
      <w:pPr>
        <w:spacing w:line="360" w:lineRule="auto"/>
        <w:ind w:right="63"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批发业。从业人员200人以下或营业收入40000万元以下的为中小微型企业。其 中，从业人员20人及以上，且营业收入5000万元及以上的为中型企业；从业人员5人及以 上，且营业收入1000万元及以上的为小型企业；从业人员5人以下或营业收入1000 万元以 下的为微型企业。</w:t>
      </w:r>
    </w:p>
    <w:p>
      <w:pPr>
        <w:spacing w:line="360" w:lineRule="auto"/>
        <w:ind w:right="70"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零售业。从业人员300人以下或营业收入20000万元以下的为中小</w:t>
      </w:r>
      <w:r>
        <w:rPr>
          <w:rFonts w:ascii="Times New Roman" w:hAnsi="Times New Roman" w:eastAsia="宋体" w:cs="宋体"/>
          <w:sz w:val="22"/>
          <w:szCs w:val="22"/>
          <w:u w:val="single"/>
          <w:lang w:eastAsia="zh-CN"/>
        </w:rPr>
        <w:t>微型企业</w:t>
      </w:r>
      <w:r>
        <w:rPr>
          <w:rFonts w:ascii="Times New Roman" w:hAnsi="Times New Roman" w:eastAsia="宋体" w:cs="宋体"/>
          <w:sz w:val="22"/>
          <w:szCs w:val="22"/>
          <w:lang w:eastAsia="zh-CN"/>
        </w:rPr>
        <w:t>。其 中，从业人员50人及以上，且营业收入500万元及以上的为中型企业；从业人员10人及以 上，且营业收入100万元及以上的为小型企业；从业人员10人以下或营业收入100万元以 下的为微型企业。</w:t>
      </w:r>
    </w:p>
    <w:p>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六</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交通运输业。从业人员1000人以下或营业收入30000万元以下的为中小微型企 业。其中，从业人员300人及以上，且营业收入3000万元及以上的为中型企业；从业人员 20人及以上，且营业收入2,000,000.00元及以上的为小型企业；从业人员20人以下或营 业收入2,000,000.00 元以下的为微型企业。</w:t>
      </w:r>
    </w:p>
    <w:p>
      <w:pPr>
        <w:spacing w:line="360" w:lineRule="auto"/>
        <w:ind w:right="78"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七</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仓储业。从业人员200人以下或营业收入30000万元以下的为中小微型企业。其 中，从业人员100 人及以上，目营业收入1000万元及以上的为中</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；从业人员20 人及 以上，且营业收入100万元及以上的为小型企业；从业人员20人以下或营业收入100万元 以下的为微型企业。</w:t>
      </w:r>
    </w:p>
    <w:p>
      <w:pPr>
        <w:spacing w:line="360" w:lineRule="auto"/>
        <w:ind w:left="429"/>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邮政业。从业人员1000人以下或营业收入30000万元以下的为中小微型企业。</w:t>
      </w:r>
    </w:p>
    <w:p>
      <w:pPr>
        <w:spacing w:line="360" w:lineRule="auto"/>
        <w:ind w:right="94"/>
        <w:rPr>
          <w:rFonts w:ascii="Times New Roman" w:hAnsi="Times New Roman" w:eastAsia="宋体" w:cs="宋体"/>
          <w:lang w:eastAsia="zh-CN"/>
        </w:rPr>
      </w:pPr>
      <w:r>
        <w:rPr>
          <w:rFonts w:ascii="Times New Roman" w:hAnsi="Times New Roman" w:eastAsia="宋体" w:cs="宋体"/>
          <w:lang w:eastAsia="zh-CN"/>
        </w:rPr>
        <w:t>其中，从业人员300人及以上，且营业收入2000万元及以上的为中型企业；从业人员20 人及以上，且营业收入100万元及以上的为小型企业；从业人员20人以下或营业收入100</w:t>
      </w:r>
    </w:p>
    <w:p>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万元以下的为微型企业。</w:t>
      </w:r>
    </w:p>
    <w:p>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九</w:t>
      </w:r>
      <w:r>
        <w:rPr>
          <w:rFonts w:hint="eastAsia" w:ascii="Times New Roman" w:hAnsi="Times New Roman" w:eastAsia="宋体" w:cs="宋体"/>
          <w:lang w:eastAsia="zh-CN"/>
        </w:rPr>
        <w:t>）</w:t>
      </w:r>
      <w:r>
        <w:rPr>
          <w:rFonts w:ascii="Times New Roman" w:hAnsi="Times New Roman" w:eastAsia="宋体" w:cs="宋体"/>
          <w:lang w:eastAsia="zh-CN"/>
        </w:rPr>
        <w:t>住宿业。从业人员300人以下或营业收入10000万元以下的为中小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w:t>
      </w:r>
    </w:p>
    <w:p>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以下的为微</w:t>
      </w:r>
      <w:r>
        <w:rPr>
          <w:rFonts w:ascii="Times New Roman" w:hAnsi="Times New Roman" w:eastAsia="宋体" w:cs="宋体"/>
          <w:b/>
          <w:bCs/>
          <w:u w:val="single"/>
          <w:lang w:eastAsia="zh-CN"/>
        </w:rPr>
        <w:t>型企业</w:t>
      </w:r>
      <w:r>
        <w:rPr>
          <w:rFonts w:ascii="Times New Roman" w:hAnsi="Times New Roman" w:eastAsia="宋体" w:cs="宋体"/>
          <w:b/>
          <w:bCs/>
          <w:lang w:eastAsia="zh-CN"/>
        </w:rPr>
        <w:t>。</w:t>
      </w:r>
    </w:p>
    <w:p>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w:t>
      </w:r>
      <w:r>
        <w:rPr>
          <w:rFonts w:hint="eastAsia" w:ascii="Times New Roman" w:hAnsi="Times New Roman" w:eastAsia="宋体" w:cs="宋体"/>
          <w:lang w:eastAsia="zh-CN"/>
        </w:rPr>
        <w:t>）</w:t>
      </w:r>
      <w:r>
        <w:rPr>
          <w:rFonts w:ascii="Times New Roman" w:hAnsi="Times New Roman" w:eastAsia="宋体" w:cs="宋体"/>
          <w:lang w:eastAsia="zh-CN"/>
        </w:rPr>
        <w:t>餐饮业。从业人员300人以下或营业收入10000万元以下的为中小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 以下的为微型企业。</w:t>
      </w:r>
    </w:p>
    <w:p>
      <w:pPr>
        <w:spacing w:line="360" w:lineRule="auto"/>
        <w:ind w:right="95"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十一</w:t>
      </w:r>
      <w:r>
        <w:rPr>
          <w:rFonts w:hint="eastAsia" w:ascii="Times New Roman" w:hAnsi="Times New Roman" w:eastAsia="宋体" w:cs="宋体"/>
          <w:lang w:eastAsia="zh-CN"/>
        </w:rPr>
        <w:t>）</w:t>
      </w:r>
      <w:r>
        <w:rPr>
          <w:rFonts w:ascii="Times New Roman" w:hAnsi="Times New Roman" w:eastAsia="宋体" w:cs="宋体"/>
          <w:lang w:eastAsia="zh-CN"/>
        </w:rPr>
        <w:t>信息传输业。从业人员2000人以下或营业收入100000万元以下的为中小微型 企业。其中，从业人员100人及以上，且营业收入1000万元及以上的为中型企业；从业人 员10人及以上，且营业收入100万元及以上的为小型企业；从业人员10人以下或营业收入 100万元以下的为微型企业。</w:t>
      </w:r>
    </w:p>
    <w:p>
      <w:pPr>
        <w:spacing w:line="360" w:lineRule="auto"/>
        <w:ind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十二</w:t>
      </w:r>
      <w:r>
        <w:rPr>
          <w:rFonts w:hint="eastAsia" w:ascii="Times New Roman" w:hAnsi="Times New Roman" w:eastAsia="黑体" w:cs="黑体"/>
          <w:lang w:eastAsia="zh-CN"/>
        </w:rPr>
        <w:t>）</w:t>
      </w:r>
      <w:r>
        <w:rPr>
          <w:rFonts w:ascii="Times New Roman" w:hAnsi="Times New Roman" w:eastAsia="黑体" w:cs="黑体"/>
          <w:lang w:eastAsia="zh-CN"/>
        </w:rPr>
        <w:t xml:space="preserve">软件和信息技术服务业。从业人员300人以下或营业收入10000万元以下的为  </w:t>
      </w:r>
      <w:r>
        <w:rPr>
          <w:rFonts w:ascii="Times New Roman" w:hAnsi="Times New Roman" w:eastAsia="宋体" w:cs="宋体"/>
          <w:lang w:eastAsia="zh-CN"/>
        </w:rPr>
        <w:t>中小微型企业。其中，从业人员100人及以上，且营业收入1000万元及以上的为中型企业； 从业人员10人及以上，目营业收入50万元及以上的为小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；从业人员10人以下或营  业收入50 万元以下的为微型企业。</w:t>
      </w:r>
    </w:p>
    <w:p>
      <w:pPr>
        <w:spacing w:line="360" w:lineRule="auto"/>
        <w:ind w:right="94"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十三</w:t>
      </w:r>
      <w:r>
        <w:rPr>
          <w:rFonts w:hint="eastAsia" w:ascii="Times New Roman" w:hAnsi="Times New Roman" w:eastAsia="黑体" w:cs="黑体"/>
          <w:lang w:eastAsia="zh-CN"/>
        </w:rPr>
        <w:t>）</w:t>
      </w:r>
      <w:r>
        <w:rPr>
          <w:rFonts w:ascii="Times New Roman" w:hAnsi="Times New Roman" w:eastAsia="黑体" w:cs="黑体"/>
          <w:lang w:eastAsia="zh-CN"/>
        </w:rPr>
        <w:t xml:space="preserve">房地产开发经营。营业收入200000万元以下或资产总额10000万元以下的为  </w:t>
      </w:r>
      <w:r>
        <w:rPr>
          <w:rFonts w:ascii="Times New Roman" w:hAnsi="Times New Roman" w:eastAsia="宋体" w:cs="宋体"/>
          <w:lang w:eastAsia="zh-CN"/>
        </w:rPr>
        <w:t>中小微型企业。其中，营业收入1000万元及以上，且资产总额5000万元及以上的为中型企 业；营业收入100万元及以上，且资产总额2000万元及以上的为小型企业；营业收入100 万元以下或资产总额2000 万元以下的为微型企业。</w:t>
      </w:r>
    </w:p>
    <w:p>
      <w:pPr>
        <w:spacing w:line="360" w:lineRule="auto"/>
        <w:ind w:right="40"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十四</w:t>
      </w:r>
      <w:r>
        <w:rPr>
          <w:rFonts w:hint="eastAsia" w:ascii="Times New Roman" w:hAnsi="Times New Roman" w:eastAsia="宋体" w:cs="宋体"/>
          <w:lang w:eastAsia="zh-CN"/>
        </w:rPr>
        <w:t>）</w:t>
      </w:r>
      <w:r>
        <w:rPr>
          <w:rFonts w:ascii="Times New Roman" w:hAnsi="Times New Roman" w:eastAsia="宋体" w:cs="宋体"/>
          <w:lang w:eastAsia="zh-CN"/>
        </w:rPr>
        <w:t>物业管理。从业人员1000人以下或营业收入5000万元以下的为中小微型企业。 其中，从业人员300人及以上，且营业收入1000万元及以上的为中型企业；从业人员100 人及以上，且营业收入500万元及以上的为小型企业；从业人员100人以下或营业收入500 万元以下的为微型企业。</w:t>
      </w:r>
    </w:p>
    <w:p>
      <w:pPr>
        <w:spacing w:line="360" w:lineRule="auto"/>
        <w:ind w:right="82"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十五</w:t>
      </w:r>
      <w:r>
        <w:rPr>
          <w:rFonts w:hint="eastAsia" w:ascii="Times New Roman" w:hAnsi="Times New Roman" w:eastAsia="宋体" w:cs="宋体"/>
          <w:lang w:eastAsia="zh-CN"/>
        </w:rPr>
        <w:t>）</w:t>
      </w:r>
      <w:r>
        <w:rPr>
          <w:rFonts w:ascii="Times New Roman" w:hAnsi="Times New Roman" w:eastAsia="宋体" w:cs="宋体"/>
          <w:lang w:eastAsia="zh-CN"/>
        </w:rPr>
        <w:t>租赁和商务服务业。从业人员300人以下或资产总额120000万元以下的为中 小微型企业。其中，从业人员100人及以上，且资产总额8000万元及以上的为中型企业； 从业人员10人及以上，目资产总额100万元及以上的为小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；从业人员10人以下或资 产总额100万元以下的为微型企业。</w:t>
      </w:r>
    </w:p>
    <w:p>
      <w:pPr>
        <w:spacing w:line="360" w:lineRule="auto"/>
        <w:ind w:right="7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十六</w:t>
      </w:r>
      <w:r>
        <w:rPr>
          <w:rFonts w:hint="eastAsia" w:ascii="Times New Roman" w:hAnsi="Times New Roman" w:eastAsia="宋体" w:cs="宋体"/>
          <w:lang w:eastAsia="zh-CN"/>
        </w:rPr>
        <w:t>）</w:t>
      </w:r>
      <w:r>
        <w:rPr>
          <w:rFonts w:ascii="Times New Roman" w:hAnsi="Times New Roman" w:eastAsia="宋体" w:cs="宋体"/>
          <w:lang w:eastAsia="zh-CN"/>
        </w:rPr>
        <w:t>其他未列明行业。从业人员300人以下的为中小微型企业。其中，从业人员 100人及以上的为中</w:t>
      </w:r>
      <w:r>
        <w:rPr>
          <w:rFonts w:ascii="Times New Roman" w:hAnsi="Times New Roman" w:eastAsia="宋体" w:cs="宋体"/>
          <w:u w:val="single"/>
          <w:lang w:eastAsia="zh-CN"/>
        </w:rPr>
        <w:t>型企业</w:t>
      </w:r>
      <w:r>
        <w:rPr>
          <w:rFonts w:ascii="Times New Roman" w:hAnsi="Times New Roman" w:eastAsia="宋体" w:cs="宋体"/>
          <w:lang w:eastAsia="zh-CN"/>
        </w:rPr>
        <w:t>；从业人员10人及以上的为小型企业；从业人员10人以下的为 微型</w:t>
      </w:r>
      <w:r>
        <w:rPr>
          <w:rFonts w:ascii="Times New Roman" w:hAnsi="Times New Roman" w:eastAsia="宋体" w:cs="宋体"/>
          <w:u w:val="single"/>
          <w:lang w:eastAsia="zh-CN"/>
        </w:rPr>
        <w:t>企业</w:t>
      </w:r>
      <w:r>
        <w:rPr>
          <w:rFonts w:ascii="Times New Roman" w:hAnsi="Times New Roman" w:eastAsia="宋体" w:cs="宋体"/>
          <w:lang w:eastAsia="zh-CN"/>
        </w:rPr>
        <w:t>。</w:t>
      </w:r>
    </w:p>
    <w:p>
      <w:pPr>
        <w:spacing w:line="360" w:lineRule="auto"/>
        <w:ind w:left="419"/>
        <w:rPr>
          <w:rFonts w:ascii="Times New Roman" w:hAnsi="Times New Roman" w:eastAsia="宋体" w:cs="宋体"/>
          <w:lang w:eastAsia="zh-CN"/>
        </w:rPr>
      </w:pPr>
      <w:r>
        <w:rPr>
          <w:rFonts w:ascii="Times New Roman" w:hAnsi="Times New Roman" w:eastAsia="宋体" w:cs="宋体"/>
          <w:lang w:eastAsia="zh-CN"/>
        </w:rPr>
        <w:t>五 、企业类型的划分以统计部门的统计数据为依据。</w:t>
      </w:r>
    </w:p>
    <w:p>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六、本规定适用于在中华人民共和国境内依法设立的各类所有制和各种组织形式的企 业。个体工商户和本规定以外的行业，参照本规定进行划型。</w:t>
      </w:r>
    </w:p>
    <w:p>
      <w:pPr>
        <w:spacing w:line="360" w:lineRule="auto"/>
        <w:ind w:right="82" w:firstLine="429"/>
        <w:rPr>
          <w:rFonts w:ascii="Times New Roman" w:hAnsi="Times New Roman" w:eastAsia="宋体" w:cs="宋体"/>
          <w:lang w:eastAsia="zh-CN"/>
        </w:rPr>
      </w:pPr>
      <w:r>
        <w:rPr>
          <w:rFonts w:ascii="Times New Roman" w:hAnsi="Times New Roman" w:eastAsia="宋体" w:cs="宋体"/>
          <w:lang w:eastAsia="zh-CN"/>
        </w:rPr>
        <w:t>七、本规定的中型企业标准上限即为大型企业标准的下限，国家统计部门据此制定大中 小微型企业的统计分类。国务院有关部门据此进行相关数据分析，不得制定与本规定不一致 的企业划型标准。</w:t>
      </w:r>
    </w:p>
    <w:p>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八 、本规定由工业和信息化部、国家统计局会同有关部门根据《国民经济行业分类》修 订情况和企业发展变化情况适时修订。</w:t>
      </w:r>
    </w:p>
    <w:p>
      <w:pPr>
        <w:spacing w:line="360" w:lineRule="auto"/>
        <w:ind w:left="429"/>
        <w:rPr>
          <w:rFonts w:ascii="Times New Roman" w:hAnsi="Times New Roman" w:eastAsia="宋体" w:cs="宋体"/>
          <w:lang w:eastAsia="zh-CN"/>
        </w:rPr>
      </w:pPr>
      <w:r>
        <w:rPr>
          <w:rFonts w:ascii="Times New Roman" w:hAnsi="Times New Roman" w:eastAsia="宋体" w:cs="宋体"/>
          <w:lang w:eastAsia="zh-CN"/>
        </w:rPr>
        <w:t>九、本规定由工业和信息化部、国家统计局会同有关部门负责解释。</w:t>
      </w:r>
    </w:p>
    <w:p>
      <w:pPr>
        <w:spacing w:line="360" w:lineRule="auto"/>
        <w:ind w:right="54" w:firstLine="429"/>
        <w:rPr>
          <w:rFonts w:ascii="Times New Roman" w:hAnsi="Times New Roman" w:eastAsia="宋体" w:cs="宋体"/>
          <w:lang w:eastAsia="zh-CN"/>
        </w:rPr>
      </w:pPr>
      <w:r>
        <w:rPr>
          <w:rFonts w:ascii="Times New Roman" w:hAnsi="Times New Roman" w:eastAsia="宋体" w:cs="宋体"/>
          <w:lang w:eastAsia="zh-CN"/>
        </w:rPr>
        <w:t>十、本规定自发布之日起执行，原国家经贸委、原国家计委、财政部和国家统计局2003 年颁布的《中小企业标准暂行规定》同时废止。</w:t>
      </w:r>
    </w:p>
    <w:p>
      <w:pPr>
        <w:spacing w:line="360" w:lineRule="auto"/>
        <w:rPr>
          <w:rFonts w:ascii="Times New Roman" w:hAnsi="Times New Roman" w:eastAsia="宋体" w:cs="宋体"/>
          <w:lang w:eastAsia="zh-CN"/>
        </w:rPr>
        <w:sectPr>
          <w:footerReference r:id="rId18" w:type="default"/>
          <w:pgSz w:w="11905" w:h="16838"/>
          <w:pgMar w:top="1134" w:right="1134" w:bottom="1134" w:left="1134" w:header="0" w:footer="1043" w:gutter="0"/>
          <w:cols w:space="0" w:num="1"/>
        </w:sectPr>
      </w:pPr>
    </w:p>
    <w:p>
      <w:pPr>
        <w:spacing w:line="360" w:lineRule="auto"/>
        <w:jc w:val="center"/>
        <w:outlineLvl w:val="0"/>
        <w:rPr>
          <w:rFonts w:ascii="Times New Roman" w:hAnsi="Times New Roman" w:eastAsia="宋体" w:cs="宋体"/>
          <w:sz w:val="43"/>
          <w:szCs w:val="43"/>
          <w:lang w:eastAsia="zh-CN"/>
        </w:rPr>
      </w:pPr>
      <w:bookmarkStart w:id="133" w:name="_Toc8319"/>
      <w:r>
        <w:rPr>
          <w:rFonts w:ascii="Times New Roman" w:hAnsi="Times New Roman" w:eastAsia="宋体" w:cs="宋体"/>
          <w:b/>
          <w:bCs/>
          <w:sz w:val="43"/>
          <w:szCs w:val="43"/>
          <w:lang w:eastAsia="zh-CN"/>
        </w:rPr>
        <w:t>第四章合同条款及格式</w:t>
      </w:r>
      <w:bookmarkEnd w:id="133"/>
    </w:p>
    <w:p>
      <w:pPr>
        <w:spacing w:line="360" w:lineRule="auto"/>
        <w:ind w:left="437"/>
        <w:rPr>
          <w:rFonts w:ascii="Times New Roman" w:hAnsi="Times New Roman" w:eastAsia="宋体" w:cs="宋体"/>
          <w:b/>
          <w:bCs/>
          <w:sz w:val="22"/>
          <w:szCs w:val="22"/>
          <w:lang w:eastAsia="zh-CN"/>
        </w:rPr>
      </w:pPr>
    </w:p>
    <w:p>
      <w:pPr>
        <w:spacing w:line="360" w:lineRule="auto"/>
        <w:ind w:left="437"/>
        <w:jc w:val="center"/>
        <w:rPr>
          <w:rFonts w:ascii="Times New Roman" w:hAnsi="Times New Roman" w:eastAsia="宋体" w:cs="宋体"/>
          <w:sz w:val="22"/>
          <w:szCs w:val="22"/>
          <w:lang w:eastAsia="zh-CN"/>
        </w:rPr>
      </w:pPr>
      <w:r>
        <w:rPr>
          <w:rFonts w:ascii="Times New Roman" w:hAnsi="Times New Roman" w:eastAsia="宋体" w:cs="宋体"/>
          <w:b/>
          <w:bCs/>
          <w:sz w:val="22"/>
          <w:szCs w:val="22"/>
          <w:lang w:eastAsia="zh-CN"/>
        </w:rPr>
        <w:t>以合同实际签订内容为准</w:t>
      </w:r>
    </w:p>
    <w:p>
      <w:pPr>
        <w:spacing w:line="360" w:lineRule="auto"/>
        <w:rPr>
          <w:rFonts w:ascii="Times New Roman" w:hAnsi="Times New Roman" w:eastAsia="宋体" w:cs="宋体"/>
          <w:sz w:val="22"/>
          <w:szCs w:val="22"/>
          <w:lang w:eastAsia="zh-CN"/>
        </w:rPr>
        <w:sectPr>
          <w:footerReference r:id="rId19" w:type="default"/>
          <w:pgSz w:w="11905" w:h="16838"/>
          <w:pgMar w:top="1134" w:right="1134" w:bottom="1134" w:left="1134" w:header="0" w:footer="1043" w:gutter="0"/>
          <w:cols w:space="0" w:num="1"/>
        </w:sectPr>
      </w:pPr>
    </w:p>
    <w:p>
      <w:pPr>
        <w:spacing w:line="360" w:lineRule="auto"/>
        <w:jc w:val="center"/>
        <w:outlineLvl w:val="0"/>
        <w:rPr>
          <w:rFonts w:ascii="Times New Roman" w:hAnsi="Times New Roman" w:eastAsia="宋体" w:cs="宋体"/>
          <w:sz w:val="42"/>
          <w:szCs w:val="42"/>
          <w:lang w:eastAsia="zh-CN"/>
        </w:rPr>
      </w:pPr>
      <w:bookmarkStart w:id="134" w:name="_Toc6188"/>
      <w:r>
        <w:rPr>
          <w:rFonts w:ascii="Times New Roman" w:hAnsi="Times New Roman" w:eastAsia="宋体" w:cs="宋体"/>
          <w:b/>
          <w:bCs/>
          <w:sz w:val="42"/>
          <w:szCs w:val="42"/>
          <w:lang w:eastAsia="zh-CN"/>
        </w:rPr>
        <w:t>第五章服务需求</w:t>
      </w:r>
      <w:bookmarkEnd w:id="134"/>
    </w:p>
    <w:p>
      <w:pPr>
        <w:rPr>
          <w:rFonts w:ascii="宋体" w:hAnsi="宋体" w:eastAsia="宋体" w:cs="宋体"/>
          <w:b/>
          <w:bCs/>
          <w:sz w:val="28"/>
          <w:szCs w:val="28"/>
          <w:lang w:eastAsia="zh-CN"/>
        </w:rPr>
      </w:pPr>
    </w:p>
    <w:p>
      <w:pPr>
        <w:jc w:val="center"/>
        <w:rPr>
          <w:b/>
          <w:bCs/>
          <w:sz w:val="32"/>
          <w:szCs w:val="40"/>
          <w:lang w:eastAsia="zh-CN"/>
        </w:rPr>
      </w:pPr>
      <w:r>
        <w:rPr>
          <w:rFonts w:hint="eastAsia"/>
          <w:b/>
          <w:bCs/>
          <w:sz w:val="32"/>
          <w:szCs w:val="40"/>
          <w:lang w:eastAsia="zh-CN"/>
        </w:rPr>
        <w:t>长春特种设备检测研究院（长春市特种设备安全监控中心）人力资源外包服务采购项目需求</w:t>
      </w:r>
    </w:p>
    <w:p>
      <w:pPr>
        <w:pStyle w:val="2"/>
        <w:rPr>
          <w:b/>
          <w:bCs/>
          <w:sz w:val="32"/>
          <w:szCs w:val="40"/>
          <w:lang w:eastAsia="zh-CN"/>
        </w:rPr>
      </w:pP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一、项目名称:人力资源外包</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二、采购预算总额:2500000 元</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三、服务期限：一年</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四、服务需求：</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1、负责提供20-30人左右用工需求，具体以实际发生为准。</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2、要求该供应商团队至少配备投入此项目的人员不少于5人，项目经理1人，招聘专员1人，人事专员1人，财务人员1人，法律顾问1人。负责该项目的统筹协调、人员招聘、劳动关系办理、缴纳保险、发放工资等服务。</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3、供应商必须依据采购人招录条件及要求配备人员，并且所有人员上岗前，均需经采购人确认无误后方可上岗。</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4、招录用工包含承压类高级检验师、话务接线员、特种设备检验检测人员等。</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5、如供应商配备的人员上岗后不能胜任岗位要求，采购人有权要求更换。</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五、采购人信息</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名称：长春特种设备检测研究院（长春市特种设备安全监控中心）</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地址：吉林省长春市经开区浦东路333号</w:t>
      </w:r>
    </w:p>
    <w:p>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联系电话：李卓岩0431-87605772</w:t>
      </w:r>
    </w:p>
    <w:p>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ind w:firstLine="560" w:firstLineChars="200"/>
        <w:textAlignment w:val="auto"/>
        <w:rPr>
          <w:rFonts w:ascii="Calibri" w:hAnsi="Calibri" w:eastAsia="宋体" w:cs="Times New Roman"/>
          <w:snapToGrid/>
          <w:kern w:val="2"/>
          <w:sz w:val="28"/>
          <w:szCs w:val="28"/>
          <w:lang w:eastAsia="zh-CN"/>
        </w:rPr>
      </w:pPr>
    </w:p>
    <w:p>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pPr>
        <w:widowControl w:val="0"/>
        <w:kinsoku/>
        <w:autoSpaceDE/>
        <w:autoSpaceDN/>
        <w:adjustRightInd/>
        <w:snapToGrid/>
        <w:jc w:val="both"/>
        <w:textAlignment w:val="auto"/>
        <w:rPr>
          <w:rFonts w:ascii="Calibri" w:hAnsi="Calibri" w:eastAsia="宋体" w:cs="Times New Roman"/>
          <w:snapToGrid/>
          <w:kern w:val="2"/>
          <w:szCs w:val="24"/>
          <w:lang w:eastAsia="zh-CN"/>
        </w:rPr>
      </w:pPr>
    </w:p>
    <w:p>
      <w:pPr>
        <w:spacing w:line="360" w:lineRule="auto"/>
        <w:jc w:val="center"/>
        <w:rPr>
          <w:rFonts w:ascii="Times New Roman" w:hAnsi="Times New Roman" w:eastAsia="宋体" w:cs="宋体"/>
          <w:b/>
          <w:bCs/>
          <w:sz w:val="42"/>
          <w:szCs w:val="42"/>
          <w:lang w:eastAsia="zh-CN"/>
        </w:rPr>
      </w:pPr>
    </w:p>
    <w:p>
      <w:pPr>
        <w:spacing w:line="360" w:lineRule="auto"/>
        <w:jc w:val="center"/>
        <w:outlineLvl w:val="0"/>
        <w:rPr>
          <w:rFonts w:ascii="Times New Roman" w:hAnsi="Times New Roman" w:eastAsia="宋体" w:cs="宋体"/>
          <w:b/>
          <w:bCs/>
          <w:sz w:val="42"/>
          <w:szCs w:val="42"/>
          <w:lang w:eastAsia="zh-CN"/>
        </w:rPr>
      </w:pPr>
      <w:bookmarkStart w:id="135" w:name="_Toc19107"/>
      <w:r>
        <w:rPr>
          <w:rFonts w:ascii="Times New Roman" w:hAnsi="Times New Roman" w:eastAsia="宋体" w:cs="宋体"/>
          <w:b/>
          <w:bCs/>
          <w:sz w:val="42"/>
          <w:szCs w:val="42"/>
          <w:lang w:eastAsia="zh-CN"/>
        </w:rPr>
        <w:t>第六章 投标文件格式</w:t>
      </w:r>
      <w:bookmarkEnd w:id="135"/>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tabs>
          <w:tab w:val="left" w:pos="4445"/>
        </w:tabs>
        <w:spacing w:line="360" w:lineRule="auto"/>
        <w:ind w:firstLine="280" w:firstLineChars="100"/>
        <w:jc w:val="center"/>
        <w:rPr>
          <w:rFonts w:ascii="Times New Roman" w:hAnsi="Times New Roman" w:eastAsia="宋体" w:cs="宋体"/>
          <w:sz w:val="28"/>
          <w:szCs w:val="28"/>
          <w:lang w:eastAsia="zh-CN"/>
        </w:rPr>
      </w:pPr>
      <w:r>
        <w:rPr>
          <w:rFonts w:hint="eastAsia" w:ascii="Times New Roman" w:hAnsi="Times New Roman" w:eastAsia="宋体" w:cs="宋体"/>
          <w:sz w:val="28"/>
          <w:szCs w:val="28"/>
          <w:lang w:eastAsia="zh-CN"/>
        </w:rPr>
        <w:t>（项目</w:t>
      </w:r>
      <w:r>
        <w:rPr>
          <w:rFonts w:ascii="Times New Roman" w:hAnsi="Times New Roman" w:eastAsia="宋体" w:cs="宋体"/>
          <w:sz w:val="28"/>
          <w:szCs w:val="28"/>
          <w:lang w:eastAsia="zh-CN"/>
        </w:rPr>
        <w:t>名称</w:t>
      </w:r>
      <w:r>
        <w:rPr>
          <w:rFonts w:hint="eastAsia" w:ascii="Times New Roman" w:hAnsi="Times New Roman" w:eastAsia="宋体" w:cs="宋体"/>
          <w:sz w:val="28"/>
          <w:szCs w:val="28"/>
          <w:lang w:eastAsia="zh-CN"/>
        </w:rPr>
        <w:t>）</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jc w:val="center"/>
        <w:rPr>
          <w:rFonts w:ascii="Times New Roman" w:hAnsi="Times New Roman" w:eastAsia="宋体" w:cs="宋体"/>
          <w:sz w:val="66"/>
          <w:szCs w:val="66"/>
          <w:lang w:eastAsia="zh-CN"/>
        </w:rPr>
      </w:pPr>
      <w:r>
        <w:rPr>
          <w:rFonts w:ascii="Times New Roman" w:hAnsi="Times New Roman" w:eastAsia="宋体" w:cs="宋体"/>
          <w:b/>
          <w:bCs/>
          <w:sz w:val="66"/>
          <w:szCs w:val="66"/>
          <w:lang w:eastAsia="zh-CN"/>
        </w:rPr>
        <w:t>投标文件</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3475"/>
        <w:rPr>
          <w:rFonts w:ascii="Times New Roman" w:hAnsi="Times New Roman" w:eastAsia="宋体" w:cs="宋体"/>
          <w:sz w:val="28"/>
          <w:szCs w:val="28"/>
          <w:lang w:eastAsia="zh-CN"/>
        </w:rPr>
      </w:pPr>
      <w:r>
        <w:rPr>
          <w:rFonts w:ascii="Times New Roman" w:hAnsi="Times New Roman" w:eastAsia="宋体" w:cs="宋体"/>
          <w:sz w:val="28"/>
          <w:szCs w:val="28"/>
          <w:lang w:eastAsia="zh-CN"/>
        </w:rPr>
        <w:t>招标编号：</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64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投标人：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盖单位章</w:t>
      </w:r>
      <w:r>
        <w:rPr>
          <w:rFonts w:hint="eastAsia" w:ascii="Times New Roman" w:hAnsi="Times New Roman" w:eastAsia="宋体" w:cs="宋体"/>
          <w:sz w:val="28"/>
          <w:szCs w:val="28"/>
          <w:lang w:eastAsia="zh-CN"/>
        </w:rPr>
        <w:t>）</w:t>
      </w:r>
    </w:p>
    <w:p>
      <w:pPr>
        <w:spacing w:line="360" w:lineRule="auto"/>
        <w:ind w:left="674"/>
        <w:rPr>
          <w:rFonts w:ascii="Times New Roman" w:hAnsi="Times New Roman" w:eastAsia="宋体" w:cs="宋体"/>
          <w:sz w:val="28"/>
          <w:szCs w:val="28"/>
          <w:lang w:eastAsia="zh-CN"/>
        </w:rPr>
      </w:pPr>
    </w:p>
    <w:p>
      <w:pPr>
        <w:spacing w:line="360" w:lineRule="auto"/>
        <w:ind w:left="67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法定代表人或其委托代理人：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签字</w:t>
      </w:r>
      <w:r>
        <w:rPr>
          <w:rFonts w:hint="eastAsia" w:ascii="Times New Roman" w:hAnsi="Times New Roman" w:eastAsia="宋体" w:cs="宋体"/>
          <w:sz w:val="28"/>
          <w:szCs w:val="28"/>
          <w:lang w:eastAsia="zh-CN"/>
        </w:rPr>
        <w:t>）</w:t>
      </w:r>
    </w:p>
    <w:p>
      <w:pPr>
        <w:pStyle w:val="4"/>
        <w:rPr>
          <w:lang w:eastAsia="zh-CN"/>
        </w:rPr>
      </w:pPr>
    </w:p>
    <w:p>
      <w:pPr>
        <w:tabs>
          <w:tab w:val="left" w:pos="3185"/>
        </w:tabs>
        <w:spacing w:line="360" w:lineRule="auto"/>
        <w:jc w:val="center"/>
        <w:rPr>
          <w:rFonts w:ascii="Times New Roman" w:hAnsi="Times New Roman" w:eastAsia="黑体" w:cs="黑体"/>
          <w:sz w:val="28"/>
          <w:szCs w:val="28"/>
          <w:lang w:eastAsia="zh-CN"/>
        </w:rPr>
      </w:pPr>
      <w:r>
        <w:rPr>
          <w:rFonts w:ascii="Times New Roman" w:hAnsi="Times New Roman" w:eastAsia="宋体" w:cs="宋体"/>
          <w:sz w:val="28"/>
          <w:szCs w:val="28"/>
          <w:lang w:eastAsia="zh-CN"/>
        </w:rPr>
        <w:t>年  月</w:t>
      </w:r>
      <w:r>
        <w:rPr>
          <w:rFonts w:hint="eastAsia" w:ascii="Times New Roman" w:hAnsi="Times New Roman" w:eastAsia="宋体" w:cs="宋体"/>
          <w:sz w:val="28"/>
          <w:szCs w:val="28"/>
          <w:lang w:val="en-US" w:eastAsia="zh-CN"/>
        </w:rPr>
        <w:t xml:space="preserve">    </w:t>
      </w:r>
      <w:r>
        <w:rPr>
          <w:rFonts w:ascii="Times New Roman" w:hAnsi="Times New Roman" w:eastAsia="宋体" w:cs="宋体"/>
          <w:sz w:val="28"/>
          <w:szCs w:val="28"/>
          <w:lang w:eastAsia="zh-CN"/>
        </w:rPr>
        <w:t>日</w:t>
      </w:r>
    </w:p>
    <w:p>
      <w:pPr>
        <w:spacing w:line="360" w:lineRule="auto"/>
        <w:rPr>
          <w:rFonts w:ascii="Times New Roman" w:hAnsi="Times New Roman" w:eastAsia="黑体" w:cs="黑体"/>
          <w:sz w:val="28"/>
          <w:szCs w:val="28"/>
          <w:lang w:eastAsia="zh-CN"/>
        </w:rPr>
      </w:pPr>
    </w:p>
    <w:p>
      <w:pPr>
        <w:pStyle w:val="4"/>
        <w:rPr>
          <w:lang w:eastAsia="zh-CN"/>
        </w:rPr>
        <w:sectPr>
          <w:footerReference r:id="rId20" w:type="default"/>
          <w:pgSz w:w="11905" w:h="16838"/>
          <w:pgMar w:top="1134" w:right="1134" w:bottom="1134" w:left="1134" w:header="0" w:footer="1043" w:gutter="0"/>
          <w:cols w:space="0" w:num="1"/>
        </w:sectPr>
      </w:pPr>
    </w:p>
    <w:p>
      <w:pPr>
        <w:spacing w:line="360" w:lineRule="auto"/>
        <w:ind w:left="3589"/>
        <w:rPr>
          <w:rFonts w:ascii="Times New Roman" w:hAnsi="Times New Roman" w:eastAsia="宋体" w:cs="宋体"/>
          <w:sz w:val="33"/>
          <w:szCs w:val="33"/>
          <w:lang w:eastAsia="zh-CN"/>
        </w:rPr>
      </w:pPr>
      <w:r>
        <w:rPr>
          <w:rFonts w:ascii="Times New Roman" w:hAnsi="Times New Roman" w:eastAsia="宋体" w:cs="宋体"/>
          <w:b/>
          <w:bCs/>
          <w:sz w:val="33"/>
          <w:szCs w:val="33"/>
          <w:lang w:eastAsia="zh-CN"/>
        </w:rPr>
        <w:t>目录</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1948"/>
        <w:rPr>
          <w:rFonts w:ascii="Times New Roman" w:hAnsi="Times New Roman" w:eastAsia="黑体" w:cs="黑体"/>
          <w:sz w:val="22"/>
          <w:szCs w:val="22"/>
          <w:lang w:eastAsia="zh-CN"/>
        </w:rPr>
      </w:pPr>
      <w:r>
        <w:rPr>
          <w:rFonts w:hint="eastAsia" w:ascii="Times New Roman" w:hAnsi="Times New Roman" w:eastAsia="黑体" w:cs="黑体"/>
          <w:b/>
          <w:bCs/>
          <w:sz w:val="22"/>
          <w:szCs w:val="22"/>
          <w:lang w:eastAsia="zh-CN"/>
        </w:rPr>
        <w:t>（</w:t>
      </w:r>
      <w:r>
        <w:rPr>
          <w:rFonts w:ascii="Times New Roman" w:hAnsi="Times New Roman" w:eastAsia="黑体" w:cs="黑体"/>
          <w:b/>
          <w:bCs/>
          <w:sz w:val="22"/>
          <w:szCs w:val="22"/>
          <w:lang w:eastAsia="zh-CN"/>
        </w:rPr>
        <w:t>投标人需自行编制详细目录，并标注详细页码</w:t>
      </w:r>
      <w:r>
        <w:rPr>
          <w:rFonts w:hint="eastAsia" w:ascii="Times New Roman" w:hAnsi="Times New Roman" w:eastAsia="黑体" w:cs="黑体"/>
          <w:b/>
          <w:bCs/>
          <w:sz w:val="22"/>
          <w:szCs w:val="22"/>
          <w:lang w:eastAsia="zh-CN"/>
        </w:rPr>
        <w:t>）</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一、投标函及投标函附录</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二、法定代表人身份证明</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三、授权委托书</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四、开标一览表</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五、投标报价说明</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六、工作服务方案</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七、本项目投入的设备</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八、资格审查资料</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九、商务及技术条款偏离表</w:t>
      </w: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十 、其他资料</w:t>
      </w:r>
    </w:p>
    <w:p>
      <w:pPr>
        <w:spacing w:line="360" w:lineRule="auto"/>
        <w:rPr>
          <w:rFonts w:ascii="Times New Roman" w:hAnsi="Times New Roman" w:eastAsia="宋体" w:cs="宋体"/>
          <w:sz w:val="22"/>
          <w:szCs w:val="22"/>
          <w:lang w:eastAsia="zh-CN"/>
        </w:rPr>
        <w:sectPr>
          <w:footerReference r:id="rId21" w:type="default"/>
          <w:pgSz w:w="11905" w:h="16838"/>
          <w:pgMar w:top="1134" w:right="1134" w:bottom="1134" w:left="1134" w:header="0" w:footer="1027" w:gutter="0"/>
          <w:cols w:space="0" w:num="1"/>
        </w:sect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2444"/>
        <w:outlineLvl w:val="6"/>
        <w:rPr>
          <w:rFonts w:ascii="Times New Roman" w:hAnsi="Times New Roman" w:eastAsia="宋体" w:cs="宋体"/>
          <w:sz w:val="29"/>
          <w:szCs w:val="29"/>
          <w:lang w:eastAsia="zh-CN"/>
        </w:rPr>
      </w:pPr>
      <w:r>
        <w:rPr>
          <w:rFonts w:ascii="Times New Roman" w:hAnsi="Times New Roman" w:eastAsia="宋体" w:cs="宋体"/>
          <w:b/>
          <w:bCs/>
          <w:sz w:val="29"/>
          <w:szCs w:val="29"/>
          <w:lang w:eastAsia="zh-CN"/>
        </w:rPr>
        <w:t>一、投标函及投标函附录</w:t>
      </w:r>
    </w:p>
    <w:p>
      <w:pPr>
        <w:pStyle w:val="5"/>
        <w:spacing w:line="360" w:lineRule="auto"/>
        <w:rPr>
          <w:rFonts w:ascii="Times New Roman" w:hAnsi="Times New Roman"/>
          <w:lang w:eastAsia="zh-CN"/>
        </w:rPr>
      </w:pPr>
    </w:p>
    <w:p>
      <w:pPr>
        <w:spacing w:line="360" w:lineRule="auto"/>
        <w:ind w:left="3603"/>
        <w:rPr>
          <w:rFonts w:ascii="Times New Roman" w:hAnsi="Times New Roman" w:eastAsia="宋体" w:cs="宋体"/>
          <w:sz w:val="24"/>
          <w:szCs w:val="24"/>
          <w:lang w:eastAsia="zh-CN"/>
        </w:rPr>
      </w:pP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一</w:t>
      </w: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投标函</w:t>
      </w:r>
    </w:p>
    <w:p>
      <w:pPr>
        <w:pStyle w:val="5"/>
        <w:spacing w:line="360" w:lineRule="auto"/>
        <w:rPr>
          <w:rFonts w:ascii="Times New Roman" w:hAnsi="Times New Roman"/>
          <w:lang w:eastAsia="zh-CN"/>
        </w:rPr>
      </w:pPr>
    </w:p>
    <w:p>
      <w:pPr>
        <w:tabs>
          <w:tab w:val="left" w:pos="2570"/>
        </w:tabs>
        <w:spacing w:line="360" w:lineRule="auto"/>
        <w:rPr>
          <w:rFonts w:ascii="Times New Roman" w:hAnsi="Times New Roman" w:eastAsia="宋体" w:cs="宋体"/>
          <w:sz w:val="20"/>
          <w:szCs w:val="20"/>
          <w:lang w:eastAsia="zh-CN"/>
        </w:rPr>
      </w:pPr>
      <w:r>
        <w:rPr>
          <w:rFonts w:ascii="Times New Roman" w:hAnsi="Times New Roman" w:eastAsia="宋体" w:cs="宋体"/>
          <w:sz w:val="20"/>
          <w:szCs w:val="20"/>
          <w:u w:val="single"/>
          <w:lang w:eastAsia="zh-CN"/>
        </w:rPr>
        <w:tab/>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采购人名称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right="47" w:firstLine="429"/>
        <w:jc w:val="both"/>
        <w:rPr>
          <w:rFonts w:ascii="Times New Roman" w:hAnsi="Times New Roman" w:eastAsia="宋体" w:cs="Times New Roman"/>
          <w:sz w:val="34"/>
          <w:szCs w:val="34"/>
          <w:lang w:eastAsia="zh-CN"/>
        </w:rPr>
      </w:pPr>
      <w:r>
        <w:rPr>
          <w:rFonts w:ascii="Times New Roman" w:hAnsi="Times New Roman" w:eastAsia="宋体" w:cs="宋体"/>
          <w:sz w:val="20"/>
          <w:szCs w:val="20"/>
          <w:lang w:eastAsia="zh-CN"/>
        </w:rPr>
        <w:t xml:space="preserve">1. 我方已仔细研究了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项目名称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招标文件的全部内容，愿意按招标文件要求以 投标报价为折扣系数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完成本项目的全部工作。合同履行期限</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服务期</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服务标准： </w:t>
      </w:r>
      <w:r>
        <w:rPr>
          <w:rFonts w:hint="eastAsia" w:ascii="Times New Roman" w:hAnsi="Times New Roman" w:eastAsia="宋体" w:cs="宋体"/>
          <w:sz w:val="20"/>
          <w:szCs w:val="20"/>
          <w:lang w:eastAsia="zh-CN"/>
        </w:rPr>
        <w:t>。</w:t>
      </w:r>
    </w:p>
    <w:p>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2. 我方承诺在投标有效期内不修改、撤销投标文件。</w:t>
      </w:r>
    </w:p>
    <w:p>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3. 随同本投标函提交投标保证金一份，金额为人民币</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大写</w:t>
      </w:r>
      <w:r>
        <w:rPr>
          <w:rFonts w:hint="eastAsia" w:ascii="Times New Roman" w:hAnsi="Times New Roman" w:eastAsia="宋体" w:cs="宋体"/>
          <w:sz w:val="20"/>
          <w:szCs w:val="20"/>
          <w:lang w:eastAsia="zh-CN"/>
        </w:rPr>
        <w:t>）</w:t>
      </w:r>
      <w:r>
        <w:rPr>
          <w:rFonts w:ascii="Times New Roman" w:hAnsi="Times New Roman" w:eastAsia="宋体" w:cs="宋体"/>
          <w:i/>
          <w:iCs/>
          <w:u w:val="single"/>
          <w:lang w:eastAsia="zh-CN"/>
        </w:rPr>
        <w:t>/</w:t>
      </w:r>
      <w:r>
        <w:rPr>
          <w:rFonts w:ascii="Times New Roman" w:hAnsi="Times New Roman" w:eastAsia="宋体" w:cs="宋体"/>
          <w:i/>
          <w:iCs/>
          <w:lang w:eastAsia="zh-CN"/>
        </w:rPr>
        <w:t>元</w:t>
      </w:r>
      <w:r>
        <w:rPr>
          <w:rFonts w:hint="eastAsia" w:ascii="Times New Roman" w:hAnsi="Times New Roman" w:eastAsia="宋体" w:cs="宋体"/>
          <w:i/>
          <w:iCs/>
          <w:lang w:eastAsia="zh-CN"/>
        </w:rPr>
        <w:t>（</w:t>
      </w:r>
      <w:r>
        <w:rPr>
          <w:rFonts w:ascii="Times New Roman" w:hAnsi="Times New Roman" w:eastAsia="宋体" w:cs="宋体"/>
          <w:i/>
          <w:iCs/>
          <w:lang w:eastAsia="zh-CN"/>
        </w:rPr>
        <w:t>¥</w:t>
      </w:r>
      <w:r>
        <w:rPr>
          <w:rFonts w:ascii="Times New Roman" w:hAnsi="Times New Roman" w:eastAsia="宋体" w:cs="宋体"/>
          <w:sz w:val="20"/>
          <w:szCs w:val="20"/>
          <w:u w:val="single"/>
          <w:lang w:eastAsia="zh-CN"/>
        </w:rPr>
        <w:t xml:space="preserve">  /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4. 如我方中标：</w:t>
      </w:r>
    </w:p>
    <w:p>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1</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我方承诺在收到中标通知书后，在中标通知书规定的期限内与你方签订合同。</w:t>
      </w:r>
    </w:p>
    <w:p>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2</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随同本投标函递交的投标函附录属于合同文件的组成部分。</w:t>
      </w:r>
    </w:p>
    <w:p>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3</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我方承诺在合同约定的期限内完成并移交全部合同工程。</w:t>
      </w:r>
    </w:p>
    <w:p>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5. 我方在此声明，所递交的投标文件及有关资料内容完整、真实和准确。</w:t>
      </w:r>
    </w:p>
    <w:p>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6.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其他补充说明</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pPr>
        <w:pStyle w:val="5"/>
        <w:spacing w:line="360" w:lineRule="auto"/>
        <w:rPr>
          <w:rFonts w:ascii="Times New Roman" w:hAnsi="Times New Roman"/>
          <w:lang w:eastAsia="zh-CN"/>
        </w:rPr>
      </w:pPr>
    </w:p>
    <w:p>
      <w:pPr>
        <w:spacing w:line="360" w:lineRule="auto"/>
        <w:ind w:left="550"/>
        <w:rPr>
          <w:rFonts w:ascii="Times New Roman" w:hAnsi="Times New Roman" w:eastAsia="宋体" w:cs="宋体"/>
          <w:sz w:val="20"/>
          <w:szCs w:val="20"/>
          <w:lang w:eastAsia="zh-CN"/>
        </w:rPr>
      </w:pP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供应商：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盖单位章</w:t>
      </w:r>
      <w:r>
        <w:rPr>
          <w:rFonts w:hint="eastAsia" w:ascii="Times New Roman" w:hAnsi="Times New Roman" w:eastAsia="宋体" w:cs="宋体"/>
          <w:sz w:val="20"/>
          <w:szCs w:val="20"/>
          <w:lang w:eastAsia="zh-CN"/>
        </w:rPr>
        <w:t>）</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法定代表人或其委托代理人：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签字</w:t>
      </w:r>
      <w:r>
        <w:rPr>
          <w:rFonts w:hint="eastAsia" w:ascii="Times New Roman" w:hAnsi="Times New Roman" w:eastAsia="宋体" w:cs="宋体"/>
          <w:sz w:val="20"/>
          <w:szCs w:val="20"/>
          <w:lang w:eastAsia="zh-CN"/>
        </w:rPr>
        <w:t>）</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地址：                                         </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网址：                                         </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电话：                                         </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传直：                                         </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邮政编码：                                     </w:t>
      </w:r>
    </w:p>
    <w:p>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ab/>
      </w:r>
      <w:r>
        <w:rPr>
          <w:rFonts w:ascii="Times New Roman" w:hAnsi="Times New Roman" w:eastAsia="宋体" w:cs="宋体"/>
          <w:sz w:val="20"/>
          <w:szCs w:val="20"/>
          <w:lang w:eastAsia="zh-CN"/>
        </w:rPr>
        <w:t>年         月              日</w:t>
      </w:r>
    </w:p>
    <w:p>
      <w:pPr>
        <w:spacing w:line="360" w:lineRule="auto"/>
        <w:rPr>
          <w:rFonts w:ascii="Times New Roman" w:hAnsi="Times New Roman" w:eastAsia="华文琥珀" w:cs="华文琥珀"/>
          <w:sz w:val="24"/>
          <w:szCs w:val="24"/>
          <w:lang w:eastAsia="zh-CN"/>
        </w:rPr>
        <w:sectPr>
          <w:footerReference r:id="rId22" w:type="default"/>
          <w:pgSz w:w="11905" w:h="16838"/>
          <w:pgMar w:top="1134" w:right="1134" w:bottom="1134" w:left="1134" w:header="0" w:footer="1043" w:gutter="0"/>
          <w:cols w:space="0" w:num="1"/>
        </w:sect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3868"/>
        <w:rPr>
          <w:rFonts w:ascii="Times New Roman" w:hAnsi="Times New Roman" w:eastAsia="宋体" w:cs="宋体"/>
          <w:sz w:val="25"/>
          <w:szCs w:val="25"/>
          <w:lang w:eastAsia="zh-CN"/>
        </w:rPr>
      </w:pP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二</w:t>
      </w: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投标函附录</w:t>
      </w:r>
    </w:p>
    <w:p>
      <w:pPr>
        <w:spacing w:line="360" w:lineRule="auto"/>
        <w:ind w:left="545"/>
        <w:rPr>
          <w:rFonts w:ascii="Times New Roman" w:hAnsi="Times New Roman" w:eastAsia="宋体" w:cs="宋体"/>
          <w:sz w:val="23"/>
          <w:szCs w:val="23"/>
        </w:rPr>
      </w:pPr>
      <w:r>
        <w:rPr>
          <w:rFonts w:ascii="Times New Roman" w:hAnsi="Times New Roman" w:eastAsia="宋体" w:cs="宋体"/>
          <w:sz w:val="23"/>
          <w:szCs w:val="23"/>
        </w:rPr>
        <w:t>项目名称：</w:t>
      </w:r>
    </w:p>
    <w:tbl>
      <w:tblPr>
        <w:tblStyle w:val="20"/>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68"/>
        <w:gridCol w:w="5275"/>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74" w:type="dxa"/>
            <w:vAlign w:val="center"/>
          </w:tcPr>
          <w:p>
            <w:pPr>
              <w:pStyle w:val="21"/>
              <w:jc w:val="center"/>
            </w:pPr>
            <w:r>
              <w:t>序号</w:t>
            </w:r>
          </w:p>
        </w:tc>
        <w:tc>
          <w:tcPr>
            <w:tcW w:w="1768" w:type="dxa"/>
            <w:vAlign w:val="center"/>
          </w:tcPr>
          <w:p>
            <w:pPr>
              <w:pStyle w:val="21"/>
              <w:jc w:val="center"/>
            </w:pPr>
            <w:r>
              <w:t>条款名称</w:t>
            </w:r>
          </w:p>
        </w:tc>
        <w:tc>
          <w:tcPr>
            <w:tcW w:w="5275" w:type="dxa"/>
            <w:vAlign w:val="center"/>
          </w:tcPr>
          <w:p>
            <w:pPr>
              <w:pStyle w:val="21"/>
              <w:jc w:val="center"/>
            </w:pPr>
            <w:r>
              <w:t>约定内容</w:t>
            </w:r>
          </w:p>
        </w:tc>
        <w:tc>
          <w:tcPr>
            <w:tcW w:w="1563" w:type="dxa"/>
            <w:vAlign w:val="center"/>
          </w:tcPr>
          <w:p>
            <w:pPr>
              <w:pStyle w:val="21"/>
              <w:jc w:val="center"/>
            </w:pPr>
            <w: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pPr>
              <w:pStyle w:val="21"/>
              <w:jc w:val="center"/>
            </w:pPr>
            <w:r>
              <w:t>1</w:t>
            </w:r>
          </w:p>
        </w:tc>
        <w:tc>
          <w:tcPr>
            <w:tcW w:w="1768" w:type="dxa"/>
            <w:vAlign w:val="center"/>
          </w:tcPr>
          <w:p>
            <w:pPr>
              <w:pStyle w:val="21"/>
              <w:jc w:val="center"/>
            </w:pPr>
            <w:r>
              <w:t>服务期限</w:t>
            </w:r>
          </w:p>
        </w:tc>
        <w:tc>
          <w:tcPr>
            <w:tcW w:w="5275" w:type="dxa"/>
            <w:vAlign w:val="center"/>
          </w:tcPr>
          <w:p>
            <w:pPr>
              <w:pStyle w:val="21"/>
              <w:jc w:val="left"/>
              <w:rPr>
                <w:lang w:eastAsia="zh-CN"/>
              </w:rPr>
            </w:pPr>
            <w:r>
              <w:rPr>
                <w:rFonts w:hint="eastAsia"/>
                <w:lang w:eastAsia="zh-CN"/>
              </w:rPr>
              <w:t>符合招标文件要求</w:t>
            </w:r>
          </w:p>
        </w:tc>
        <w:tc>
          <w:tcPr>
            <w:tcW w:w="1563" w:type="dxa"/>
            <w:vAlign w:val="center"/>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74" w:type="dxa"/>
            <w:vAlign w:val="center"/>
          </w:tcPr>
          <w:p>
            <w:pPr>
              <w:pStyle w:val="21"/>
              <w:jc w:val="center"/>
            </w:pPr>
            <w:r>
              <w:t>2</w:t>
            </w:r>
          </w:p>
        </w:tc>
        <w:tc>
          <w:tcPr>
            <w:tcW w:w="1768" w:type="dxa"/>
            <w:vAlign w:val="center"/>
          </w:tcPr>
          <w:p>
            <w:pPr>
              <w:pStyle w:val="21"/>
              <w:jc w:val="center"/>
            </w:pPr>
            <w:r>
              <w:t>投标有效期</w:t>
            </w:r>
          </w:p>
        </w:tc>
        <w:tc>
          <w:tcPr>
            <w:tcW w:w="5275" w:type="dxa"/>
            <w:vAlign w:val="center"/>
          </w:tcPr>
          <w:p>
            <w:pPr>
              <w:pStyle w:val="21"/>
              <w:jc w:val="left"/>
              <w:rPr>
                <w:lang w:eastAsia="zh-CN"/>
              </w:rPr>
            </w:pPr>
            <w:r>
              <w:rPr>
                <w:lang w:eastAsia="zh-CN"/>
              </w:rPr>
              <w:t>投标截止之日起90日历天</w:t>
            </w:r>
          </w:p>
        </w:tc>
        <w:tc>
          <w:tcPr>
            <w:tcW w:w="1563" w:type="dxa"/>
            <w:vAlign w:val="center"/>
          </w:tcPr>
          <w:p>
            <w:pPr>
              <w:spacing w:line="360" w:lineRule="auto"/>
              <w:jc w:val="center"/>
              <w:rPr>
                <w:rFonts w:ascii="Times New Roman" w:hAns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pPr>
              <w:pStyle w:val="21"/>
              <w:jc w:val="center"/>
            </w:pPr>
            <w:r>
              <w:t>3</w:t>
            </w:r>
          </w:p>
        </w:tc>
        <w:tc>
          <w:tcPr>
            <w:tcW w:w="1768" w:type="dxa"/>
            <w:vAlign w:val="center"/>
          </w:tcPr>
          <w:p>
            <w:pPr>
              <w:pStyle w:val="21"/>
              <w:jc w:val="center"/>
            </w:pPr>
            <w:r>
              <w:t>服务标准</w:t>
            </w:r>
          </w:p>
        </w:tc>
        <w:tc>
          <w:tcPr>
            <w:tcW w:w="5275" w:type="dxa"/>
            <w:vAlign w:val="center"/>
          </w:tcPr>
          <w:p>
            <w:pPr>
              <w:pStyle w:val="21"/>
              <w:jc w:val="left"/>
            </w:pPr>
            <w:r>
              <w:t>优质服务</w:t>
            </w:r>
          </w:p>
        </w:tc>
        <w:tc>
          <w:tcPr>
            <w:tcW w:w="1563" w:type="dxa"/>
            <w:vAlign w:val="center"/>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74" w:type="dxa"/>
            <w:vAlign w:val="center"/>
          </w:tcPr>
          <w:p>
            <w:pPr>
              <w:pStyle w:val="21"/>
              <w:jc w:val="center"/>
            </w:pPr>
            <w:r>
              <w:t>4</w:t>
            </w:r>
          </w:p>
        </w:tc>
        <w:tc>
          <w:tcPr>
            <w:tcW w:w="1768" w:type="dxa"/>
            <w:vAlign w:val="center"/>
          </w:tcPr>
          <w:p>
            <w:pPr>
              <w:pStyle w:val="21"/>
              <w:jc w:val="center"/>
            </w:pPr>
            <w:r>
              <w:t>……</w:t>
            </w:r>
          </w:p>
        </w:tc>
        <w:tc>
          <w:tcPr>
            <w:tcW w:w="5275" w:type="dxa"/>
            <w:vAlign w:val="center"/>
          </w:tcPr>
          <w:p>
            <w:pPr>
              <w:pStyle w:val="21"/>
              <w:jc w:val="center"/>
            </w:pPr>
            <w:r>
              <w:t>……</w:t>
            </w:r>
          </w:p>
        </w:tc>
        <w:tc>
          <w:tcPr>
            <w:tcW w:w="1563" w:type="dxa"/>
            <w:vAlign w:val="center"/>
          </w:tcPr>
          <w:p>
            <w:pPr>
              <w:spacing w:line="360" w:lineRule="auto"/>
              <w:jc w:val="center"/>
              <w:rPr>
                <w:rFonts w:ascii="Times New Roman" w:hAnsi="Times New Roman"/>
              </w:rPr>
            </w:pPr>
          </w:p>
        </w:tc>
      </w:tr>
    </w:tbl>
    <w:p>
      <w:pPr>
        <w:spacing w:line="360" w:lineRule="auto"/>
        <w:ind w:left="1015"/>
        <w:rPr>
          <w:rFonts w:ascii="Times New Roman" w:hAnsi="Times New Roman" w:eastAsia="宋体" w:cs="宋体"/>
          <w:sz w:val="25"/>
          <w:szCs w:val="25"/>
        </w:rPr>
      </w:pPr>
    </w:p>
    <w:p>
      <w:pPr>
        <w:spacing w:line="360" w:lineRule="auto"/>
        <w:ind w:left="1015"/>
        <w:rPr>
          <w:rFonts w:ascii="Times New Roman" w:hAnsi="Times New Roman" w:eastAsia="宋体" w:cs="宋体"/>
          <w:sz w:val="25"/>
          <w:szCs w:val="25"/>
        </w:rPr>
      </w:pPr>
    </w:p>
    <w:p>
      <w:pPr>
        <w:spacing w:line="360" w:lineRule="auto"/>
        <w:ind w:left="1015"/>
        <w:rPr>
          <w:rFonts w:ascii="Times New Roman" w:hAnsi="Times New Roman" w:eastAsia="宋体" w:cs="宋体"/>
          <w:sz w:val="25"/>
          <w:szCs w:val="25"/>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rPr>
        <w:t>:</w:t>
      </w:r>
    </w:p>
    <w:p>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日期：    年     月      日</w:t>
      </w:r>
    </w:p>
    <w:p>
      <w:pPr>
        <w:spacing w:line="360" w:lineRule="auto"/>
        <w:rPr>
          <w:rFonts w:ascii="Times New Roman" w:hAnsi="Times New Roman" w:eastAsia="宋体" w:cs="宋体"/>
          <w:sz w:val="25"/>
          <w:szCs w:val="25"/>
          <w:lang w:eastAsia="zh-CN"/>
        </w:rPr>
        <w:sectPr>
          <w:footerReference r:id="rId23" w:type="default"/>
          <w:pgSz w:w="11905" w:h="16838"/>
          <w:pgMar w:top="1134" w:right="1134" w:bottom="1134" w:left="1134" w:header="0" w:footer="1043" w:gutter="0"/>
          <w:cols w:space="0" w:num="1"/>
        </w:sectPr>
      </w:pPr>
    </w:p>
    <w:p>
      <w:pPr>
        <w:spacing w:line="360" w:lineRule="auto"/>
        <w:ind w:left="242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二、法定代表人身份证明</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供应商名称： </w:t>
      </w:r>
    </w:p>
    <w:p>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单位性质： </w:t>
      </w:r>
    </w:p>
    <w:p>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地址： </w:t>
      </w:r>
    </w:p>
    <w:p>
      <w:pPr>
        <w:spacing w:line="360" w:lineRule="auto"/>
        <w:ind w:left="4"/>
        <w:rPr>
          <w:rFonts w:ascii="Times New Roman" w:hAnsi="Times New Roman" w:eastAsia="宋体" w:cs="宋体"/>
          <w:sz w:val="27"/>
          <w:szCs w:val="27"/>
          <w:lang w:eastAsia="zh-CN"/>
        </w:rPr>
      </w:pPr>
      <w:r>
        <w:rPr>
          <w:rFonts w:ascii="Times New Roman" w:hAnsi="Times New Roman" w:eastAsia="宋体" w:cs="宋体"/>
          <w:sz w:val="23"/>
          <w:szCs w:val="23"/>
          <w:lang w:eastAsia="zh-CN"/>
        </w:rPr>
        <w:t xml:space="preserve">成立时间： </w:t>
      </w:r>
      <w:r>
        <w:rPr>
          <w:rFonts w:ascii="Times New Roman" w:hAnsi="Times New Roman" w:eastAsia="宋体" w:cs="宋体"/>
          <w:sz w:val="24"/>
          <w:szCs w:val="24"/>
          <w:lang w:eastAsia="zh-CN"/>
        </w:rPr>
        <w:t xml:space="preserve">年 </w:t>
      </w:r>
      <w:r>
        <w:rPr>
          <w:rFonts w:ascii="Times New Roman" w:hAnsi="Times New Roman" w:eastAsia="黑体" w:cs="黑体"/>
          <w:sz w:val="22"/>
          <w:szCs w:val="22"/>
          <w:lang w:eastAsia="zh-CN"/>
        </w:rPr>
        <w:t>月</w:t>
      </w:r>
      <w:r>
        <w:rPr>
          <w:rFonts w:ascii="Times New Roman" w:hAnsi="Times New Roman" w:eastAsia="宋体" w:cs="宋体"/>
          <w:sz w:val="27"/>
          <w:szCs w:val="27"/>
          <w:lang w:eastAsia="zh-CN"/>
        </w:rPr>
        <w:t>日</w:t>
      </w:r>
    </w:p>
    <w:p>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经营期限： </w:t>
      </w:r>
    </w:p>
    <w:p>
      <w:pPr>
        <w:spacing w:line="360" w:lineRule="auto"/>
        <w:ind w:left="4"/>
        <w:rPr>
          <w:rFonts w:ascii="Times New Roman" w:hAnsi="Times New Roman" w:eastAsia="宋体" w:cs="宋体"/>
          <w:sz w:val="24"/>
          <w:szCs w:val="24"/>
          <w:lang w:eastAsia="zh-CN"/>
        </w:rPr>
      </w:pPr>
      <w:r>
        <w:rPr>
          <w:rFonts w:ascii="Times New Roman" w:hAnsi="Times New Roman" w:eastAsia="宋体" w:cs="宋体"/>
          <w:sz w:val="23"/>
          <w:szCs w:val="23"/>
          <w:lang w:eastAsia="zh-CN"/>
        </w:rPr>
        <w:t>姓名：  性 别 ：</w:t>
      </w:r>
      <w:r>
        <w:rPr>
          <w:rFonts w:ascii="Times New Roman" w:hAnsi="Times New Roman" w:eastAsia="宋体" w:cs="宋体"/>
          <w:sz w:val="25"/>
          <w:szCs w:val="25"/>
          <w:lang w:eastAsia="zh-CN"/>
        </w:rPr>
        <w:t>年龄：</w:t>
      </w:r>
      <w:r>
        <w:rPr>
          <w:rFonts w:ascii="Times New Roman" w:hAnsi="Times New Roman" w:eastAsia="宋体" w:cs="宋体"/>
          <w:sz w:val="24"/>
          <w:szCs w:val="24"/>
          <w:lang w:eastAsia="zh-CN"/>
        </w:rPr>
        <w:t xml:space="preserve">职务： </w:t>
      </w:r>
    </w:p>
    <w:p>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4"/>
          <w:szCs w:val="24"/>
          <w:lang w:eastAsia="zh-CN"/>
        </w:rPr>
        <w:t xml:space="preserve">系 </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投标人名称</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的法定代表人。</w:t>
      </w:r>
    </w:p>
    <w:p>
      <w:pPr>
        <w:spacing w:line="360" w:lineRule="auto"/>
        <w:ind w:left="434"/>
        <w:rPr>
          <w:rFonts w:ascii="宋体" w:hAnsi="宋体" w:eastAsia="宋体" w:cs="宋体"/>
          <w:sz w:val="23"/>
          <w:szCs w:val="23"/>
          <w:lang w:eastAsia="zh-CN"/>
        </w:rPr>
      </w:pPr>
      <w:r>
        <w:rPr>
          <w:rFonts w:hint="eastAsia" w:ascii="宋体" w:hAnsi="宋体" w:eastAsia="宋体" w:cs="宋体"/>
          <w:sz w:val="23"/>
          <w:szCs w:val="23"/>
          <w:lang w:eastAsia="zh-CN"/>
        </w:rPr>
        <w:t>特此证明。</w:t>
      </w: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spacing w:line="360" w:lineRule="auto"/>
        <w:ind w:left="2724"/>
        <w:rPr>
          <w:rFonts w:ascii="宋体" w:hAnsi="宋体" w:eastAsia="宋体" w:cs="宋体"/>
          <w:sz w:val="23"/>
          <w:szCs w:val="23"/>
          <w:lang w:eastAsia="zh-CN"/>
        </w:rPr>
      </w:pPr>
      <w:r>
        <w:rPr>
          <w:rFonts w:hint="eastAsia" w:ascii="宋体" w:hAnsi="宋体" w:eastAsia="宋体" w:cs="宋体"/>
          <w:sz w:val="23"/>
          <w:szCs w:val="23"/>
          <w:lang w:eastAsia="zh-CN"/>
        </w:rPr>
        <w:t>投标人： （盖单位章）</w:t>
      </w:r>
    </w:p>
    <w:p>
      <w:pPr>
        <w:tabs>
          <w:tab w:val="left" w:pos="4415"/>
        </w:tabs>
        <w:spacing w:line="360" w:lineRule="auto"/>
        <w:ind w:left="3674"/>
        <w:rPr>
          <w:rFonts w:ascii="宋体" w:hAnsi="宋体" w:eastAsia="宋体" w:cs="宋体"/>
          <w:sz w:val="27"/>
          <w:szCs w:val="27"/>
          <w:lang w:eastAsia="zh-CN"/>
        </w:rPr>
      </w:pPr>
      <w:r>
        <w:rPr>
          <w:rFonts w:hint="eastAsia" w:ascii="宋体" w:hAnsi="宋体" w:eastAsia="宋体" w:cs="宋体"/>
          <w:sz w:val="23"/>
          <w:szCs w:val="23"/>
          <w:u w:val="single"/>
          <w:lang w:eastAsia="zh-CN"/>
        </w:rPr>
        <w:tab/>
      </w:r>
      <w:r>
        <w:rPr>
          <w:rFonts w:hint="eastAsia" w:ascii="宋体" w:hAnsi="宋体" w:eastAsia="宋体" w:cs="宋体"/>
          <w:sz w:val="23"/>
          <w:szCs w:val="23"/>
          <w:lang w:eastAsia="zh-CN"/>
        </w:rPr>
        <w:t>年月</w:t>
      </w:r>
      <w:r>
        <w:rPr>
          <w:rFonts w:hint="eastAsia" w:ascii="宋体" w:hAnsi="宋体" w:eastAsia="宋体" w:cs="宋体"/>
          <w:sz w:val="27"/>
          <w:szCs w:val="27"/>
          <w:lang w:eastAsia="zh-CN"/>
        </w:rPr>
        <w:t>日</w:t>
      </w:r>
    </w:p>
    <w:p>
      <w:pPr>
        <w:spacing w:line="360" w:lineRule="auto"/>
        <w:rPr>
          <w:rFonts w:ascii="宋体" w:hAnsi="宋体" w:eastAsia="宋体" w:cs="宋体"/>
          <w:sz w:val="27"/>
          <w:szCs w:val="27"/>
          <w:lang w:eastAsia="zh-CN"/>
        </w:rPr>
        <w:sectPr>
          <w:footerReference r:id="rId24" w:type="default"/>
          <w:pgSz w:w="11905" w:h="16838"/>
          <w:pgMar w:top="1134" w:right="1134" w:bottom="1134" w:left="1134" w:header="0" w:footer="1027" w:gutter="0"/>
          <w:cols w:space="0" w:num="1"/>
        </w:sectPr>
      </w:pPr>
    </w:p>
    <w:p>
      <w:pPr>
        <w:spacing w:line="360" w:lineRule="auto"/>
        <w:ind w:left="3064"/>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三、授权委托书</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firstLine="630" w:firstLineChars="300"/>
        <w:jc w:val="both"/>
        <w:rPr>
          <w:rFonts w:ascii="Times New Roman" w:hAnsi="Times New Roman" w:eastAsia="黑体" w:cs="黑体"/>
          <w:lang w:eastAsia="zh-CN"/>
        </w:rPr>
      </w:pPr>
      <w:r>
        <w:rPr>
          <w:rFonts w:ascii="Times New Roman" w:hAnsi="Times New Roman" w:eastAsia="宋体" w:cs="宋体"/>
          <w:lang w:eastAsia="zh-CN"/>
        </w:rPr>
        <w:t xml:space="preserve">本人 </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系</w:t>
      </w:r>
      <w:r>
        <w:rPr>
          <w:rFonts w:hint="eastAsia" w:ascii="Times New Roman" w:hAnsi="Times New Roman" w:eastAsia="宋体" w:cs="宋体"/>
          <w:lang w:eastAsia="zh-CN"/>
        </w:rPr>
        <w:t>（</w:t>
      </w:r>
      <w:r>
        <w:rPr>
          <w:rFonts w:ascii="Times New Roman" w:hAnsi="Times New Roman" w:eastAsia="宋体" w:cs="宋体"/>
          <w:lang w:eastAsia="zh-CN"/>
        </w:rPr>
        <w:t>投标人名称</w:t>
      </w:r>
      <w:r>
        <w:rPr>
          <w:rFonts w:hint="eastAsia" w:ascii="Times New Roman" w:hAnsi="Times New Roman" w:eastAsia="宋体" w:cs="宋体"/>
          <w:lang w:eastAsia="zh-CN"/>
        </w:rPr>
        <w:t>）</w:t>
      </w:r>
      <w:r>
        <w:rPr>
          <w:rFonts w:ascii="Times New Roman" w:hAnsi="Times New Roman" w:eastAsia="宋体" w:cs="宋体"/>
          <w:lang w:eastAsia="zh-CN"/>
        </w:rPr>
        <w:t>的法定代表人，现委托</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 xml:space="preserve">为我方代理人。代理人根据接权，以我方名义签署、澄清、说明、补正、递交、撤回、修改 </w:t>
      </w:r>
      <w:r>
        <w:rPr>
          <w:rFonts w:hint="eastAsia" w:ascii="Times New Roman" w:hAnsi="Times New Roman" w:eastAsia="宋体" w:cs="宋体"/>
          <w:lang w:eastAsia="zh-CN"/>
        </w:rPr>
        <w:t>（</w:t>
      </w:r>
      <w:r>
        <w:rPr>
          <w:rFonts w:ascii="Times New Roman" w:hAnsi="Times New Roman" w:eastAsia="宋体" w:cs="宋体"/>
          <w:lang w:eastAsia="zh-CN"/>
        </w:rPr>
        <w:t>工程名称</w:t>
      </w:r>
      <w:r>
        <w:rPr>
          <w:rFonts w:hint="eastAsia" w:ascii="Times New Roman" w:hAnsi="Times New Roman" w:eastAsia="宋体" w:cs="宋体"/>
          <w:lang w:eastAsia="zh-CN"/>
        </w:rPr>
        <w:t>）</w:t>
      </w:r>
      <w:r>
        <w:rPr>
          <w:rFonts w:ascii="Times New Roman" w:hAnsi="Times New Roman" w:eastAsia="宋体" w:cs="宋体"/>
          <w:lang w:eastAsia="zh-CN"/>
        </w:rPr>
        <w:t xml:space="preserve">投标文件、签订合同和处理有关事宜，其法律后果由我方承担 </w:t>
      </w:r>
      <w:r>
        <w:rPr>
          <w:rFonts w:ascii="Times New Roman" w:hAnsi="Times New Roman" w:eastAsia="黑体" w:cs="黑体"/>
          <w:lang w:eastAsia="zh-CN"/>
        </w:rPr>
        <w:t>。</w:t>
      </w:r>
    </w:p>
    <w:p>
      <w:pPr>
        <w:spacing w:line="360" w:lineRule="auto"/>
        <w:ind w:left="459"/>
        <w:rPr>
          <w:rFonts w:ascii="Times New Roman" w:hAnsi="Times New Roman" w:eastAsia="宋体" w:cs="宋体"/>
          <w:lang w:eastAsia="zh-CN"/>
        </w:rPr>
      </w:pPr>
      <w:r>
        <w:rPr>
          <w:rFonts w:ascii="Times New Roman" w:hAnsi="Times New Roman" w:eastAsia="宋体" w:cs="宋体"/>
          <w:lang w:eastAsia="zh-CN"/>
        </w:rPr>
        <w:t>委托期限： 。</w:t>
      </w:r>
    </w:p>
    <w:p>
      <w:pPr>
        <w:spacing w:line="360" w:lineRule="auto"/>
        <w:ind w:left="459"/>
        <w:rPr>
          <w:rFonts w:ascii="Times New Roman" w:hAnsi="Times New Roman" w:eastAsia="宋体" w:cs="宋体"/>
          <w:lang w:eastAsia="zh-CN"/>
        </w:rPr>
      </w:pPr>
      <w:r>
        <w:rPr>
          <w:rFonts w:ascii="Times New Roman" w:hAnsi="Times New Roman" w:eastAsia="宋体" w:cs="宋体"/>
          <w:lang w:eastAsia="zh-CN"/>
        </w:rPr>
        <w:t>代理人无转委托权。</w:t>
      </w:r>
    </w:p>
    <w:p>
      <w:pPr>
        <w:spacing w:line="360" w:lineRule="auto"/>
        <w:ind w:left="459"/>
        <w:rPr>
          <w:rFonts w:ascii="Times New Roman" w:hAnsi="Times New Roman" w:eastAsia="宋体" w:cs="宋体"/>
          <w:lang w:eastAsia="zh-CN"/>
        </w:rPr>
      </w:pPr>
      <w:r>
        <w:rPr>
          <w:rFonts w:ascii="Times New Roman" w:hAnsi="Times New Roman" w:eastAsia="宋体" w:cs="宋体"/>
          <w:lang w:eastAsia="zh-CN"/>
        </w:rPr>
        <w:t>附：法定代表人及委托代理人身份正反面复印件</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宋体" w:hAnsi="宋体" w:eastAsia="宋体" w:cs="宋体"/>
          <w:lang w:eastAsia="zh-CN"/>
        </w:rPr>
      </w:pPr>
    </w:p>
    <w:p>
      <w:pPr>
        <w:spacing w:line="360" w:lineRule="auto"/>
        <w:rPr>
          <w:rFonts w:ascii="宋体" w:hAnsi="宋体" w:eastAsia="宋体" w:cs="宋体"/>
          <w:lang w:eastAsia="zh-CN"/>
        </w:rPr>
      </w:pPr>
      <w:r>
        <w:rPr>
          <w:rFonts w:hint="eastAsia" w:ascii="宋体" w:hAnsi="宋体" w:eastAsia="宋体" w:cs="宋体"/>
          <w:lang w:eastAsia="zh-CN"/>
        </w:rPr>
        <w:t>投标人： （盖单位章）</w:t>
      </w: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spacing w:line="360" w:lineRule="auto"/>
        <w:rPr>
          <w:rFonts w:ascii="宋体" w:hAnsi="宋体" w:eastAsia="宋体" w:cs="宋体"/>
          <w:lang w:eastAsia="zh-CN"/>
        </w:rPr>
      </w:pPr>
      <w:r>
        <w:rPr>
          <w:rFonts w:hint="eastAsia" w:ascii="宋体" w:hAnsi="宋体" w:eastAsia="宋体" w:cs="宋体"/>
          <w:lang w:eastAsia="zh-CN"/>
        </w:rPr>
        <w:t>法定代表人： （签字或盖章）</w:t>
      </w:r>
    </w:p>
    <w:p>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spacing w:line="360" w:lineRule="auto"/>
        <w:rPr>
          <w:rFonts w:ascii="宋体" w:hAnsi="宋体" w:eastAsia="宋体" w:cs="宋体"/>
          <w:lang w:eastAsia="zh-CN"/>
        </w:rPr>
      </w:pPr>
      <w:r>
        <w:rPr>
          <w:rFonts w:hint="eastAsia" w:ascii="宋体" w:hAnsi="宋体" w:eastAsia="宋体" w:cs="宋体"/>
          <w:sz w:val="23"/>
          <w:szCs w:val="23"/>
          <w:lang w:eastAsia="zh-CN"/>
        </w:rPr>
        <w:t xml:space="preserve">委托代理人： </w:t>
      </w:r>
      <w:r>
        <w:rPr>
          <w:rFonts w:hint="eastAsia" w:ascii="宋体" w:hAnsi="宋体" w:eastAsia="宋体" w:cs="宋体"/>
          <w:lang w:eastAsia="zh-CN"/>
        </w:rPr>
        <w:t>（签字）</w:t>
      </w:r>
    </w:p>
    <w:p>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tabs>
          <w:tab w:val="left" w:pos="3078"/>
        </w:tabs>
        <w:spacing w:line="360" w:lineRule="auto"/>
        <w:ind w:left="2350"/>
        <w:rPr>
          <w:rFonts w:ascii="宋体" w:hAnsi="宋体" w:eastAsia="宋体" w:cs="宋体"/>
          <w:sz w:val="25"/>
          <w:szCs w:val="25"/>
          <w:lang w:eastAsia="zh-CN"/>
        </w:rPr>
      </w:pPr>
      <w:r>
        <w:rPr>
          <w:rFonts w:hint="eastAsia" w:ascii="宋体" w:hAnsi="宋体" w:eastAsia="宋体" w:cs="宋体"/>
          <w:sz w:val="20"/>
          <w:szCs w:val="20"/>
          <w:u w:val="single"/>
          <w:lang w:eastAsia="zh-CN"/>
        </w:rPr>
        <w:tab/>
      </w:r>
      <w:r>
        <w:rPr>
          <w:rFonts w:hint="eastAsia" w:ascii="宋体" w:hAnsi="宋体" w:eastAsia="宋体" w:cs="宋体"/>
          <w:sz w:val="20"/>
          <w:szCs w:val="20"/>
          <w:lang w:eastAsia="zh-CN"/>
        </w:rPr>
        <w:t xml:space="preserve">年 </w:t>
      </w:r>
      <w:r>
        <w:rPr>
          <w:rFonts w:hint="eastAsia" w:ascii="宋体" w:hAnsi="宋体" w:eastAsia="宋体" w:cs="宋体"/>
          <w:sz w:val="25"/>
          <w:szCs w:val="25"/>
          <w:lang w:eastAsia="zh-CN"/>
        </w:rPr>
        <w:t>月</w:t>
      </w:r>
      <w:r>
        <w:rPr>
          <w:rFonts w:hint="eastAsia" w:ascii="宋体" w:hAnsi="宋体" w:eastAsia="宋体" w:cs="宋体"/>
          <w:sz w:val="25"/>
          <w:szCs w:val="25"/>
          <w:u w:val="single"/>
          <w:lang w:eastAsia="zh-CN"/>
        </w:rPr>
        <w:t xml:space="preserve">     日</w:t>
      </w:r>
    </w:p>
    <w:p>
      <w:pPr>
        <w:spacing w:line="360" w:lineRule="auto"/>
        <w:rPr>
          <w:rFonts w:ascii="宋体" w:hAnsi="宋体" w:eastAsia="宋体" w:cs="宋体"/>
          <w:sz w:val="25"/>
          <w:szCs w:val="25"/>
          <w:lang w:eastAsia="zh-CN"/>
        </w:rPr>
        <w:sectPr>
          <w:footerReference r:id="rId25" w:type="default"/>
          <w:pgSz w:w="11905" w:h="16838"/>
          <w:pgMar w:top="1134" w:right="1134" w:bottom="1134" w:left="1134" w:header="0" w:footer="1043" w:gutter="0"/>
          <w:cols w:space="0" w:num="1"/>
        </w:sect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364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四、开标一览表</w:t>
      </w:r>
    </w:p>
    <w:p>
      <w:pPr>
        <w:spacing w:line="360" w:lineRule="auto"/>
        <w:ind w:left="455"/>
        <w:rPr>
          <w:rFonts w:ascii="Times New Roman" w:hAnsi="Times New Roman" w:eastAsia="宋体" w:cs="宋体"/>
          <w:sz w:val="22"/>
          <w:szCs w:val="22"/>
        </w:rPr>
      </w:pPr>
      <w:r>
        <w:rPr>
          <w:rFonts w:ascii="Times New Roman" w:hAnsi="Times New Roman" w:eastAsia="宋体" w:cs="宋体"/>
          <w:sz w:val="22"/>
          <w:szCs w:val="22"/>
        </w:rPr>
        <w:t>项目名称：</w:t>
      </w:r>
    </w:p>
    <w:p>
      <w:pPr>
        <w:spacing w:line="360" w:lineRule="auto"/>
        <w:ind w:left="445"/>
        <w:rPr>
          <w:rFonts w:ascii="Times New Roman" w:hAnsi="Times New Roman" w:eastAsia="宋体" w:cs="宋体"/>
          <w:sz w:val="22"/>
          <w:szCs w:val="22"/>
        </w:rPr>
      </w:pPr>
      <w:r>
        <w:rPr>
          <w:rFonts w:ascii="Times New Roman" w:hAnsi="Times New Roman" w:eastAsia="宋体" w:cs="宋体"/>
          <w:sz w:val="22"/>
          <w:szCs w:val="22"/>
        </w:rPr>
        <w:t>招标编号：</w:t>
      </w:r>
    </w:p>
    <w:p>
      <w:pPr>
        <w:spacing w:line="360" w:lineRule="auto"/>
        <w:rPr>
          <w:rFonts w:ascii="Times New Roman" w:hAnsi="Times New Roman"/>
        </w:rPr>
      </w:pPr>
    </w:p>
    <w:tbl>
      <w:tblPr>
        <w:tblStyle w:val="20"/>
        <w:tblW w:w="9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7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703" w:type="dxa"/>
            <w:vAlign w:val="center"/>
          </w:tcPr>
          <w:p>
            <w:pPr>
              <w:pStyle w:val="21"/>
              <w:jc w:val="center"/>
            </w:pPr>
            <w:r>
              <w:t>供应商名称</w:t>
            </w:r>
          </w:p>
        </w:tc>
        <w:tc>
          <w:tcPr>
            <w:tcW w:w="7737" w:type="dxa"/>
            <w:vAlign w:val="center"/>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pPr>
              <w:spacing w:line="360" w:lineRule="auto"/>
              <w:jc w:val="center"/>
              <w:rPr>
                <w:rFonts w:ascii="Times New Roman" w:hAnsi="Times New Roman"/>
              </w:rPr>
            </w:pPr>
          </w:p>
          <w:p>
            <w:pPr>
              <w:pStyle w:val="21"/>
              <w:jc w:val="center"/>
            </w:pPr>
            <w:r>
              <w:t>投标报价</w:t>
            </w:r>
          </w:p>
        </w:tc>
        <w:tc>
          <w:tcPr>
            <w:tcW w:w="7737" w:type="dxa"/>
            <w:vAlign w:val="center"/>
          </w:tcPr>
          <w:p>
            <w:pPr>
              <w:spacing w:line="360" w:lineRule="auto"/>
              <w:jc w:val="center"/>
              <w:rPr>
                <w:rFonts w:ascii="Times New Roman" w:hAnsi="Times New Roman"/>
              </w:rPr>
            </w:pPr>
          </w:p>
          <w:p>
            <w:pPr>
              <w:pStyle w:val="21"/>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pPr>
              <w:spacing w:line="360" w:lineRule="auto"/>
              <w:jc w:val="center"/>
              <w:rPr>
                <w:rFonts w:ascii="Times New Roman" w:hAnsi="Times New Roman"/>
              </w:rPr>
            </w:pPr>
          </w:p>
          <w:p>
            <w:pPr>
              <w:pStyle w:val="21"/>
              <w:jc w:val="center"/>
            </w:pPr>
            <w:r>
              <w:t>服务标准</w:t>
            </w:r>
          </w:p>
        </w:tc>
        <w:tc>
          <w:tcPr>
            <w:tcW w:w="7737" w:type="dxa"/>
            <w:vAlign w:val="center"/>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703" w:type="dxa"/>
            <w:vAlign w:val="center"/>
          </w:tcPr>
          <w:p>
            <w:pPr>
              <w:pStyle w:val="21"/>
              <w:jc w:val="center"/>
              <w:rPr>
                <w:lang w:eastAsia="zh-CN"/>
              </w:rPr>
            </w:pPr>
            <w:r>
              <w:rPr>
                <w:lang w:eastAsia="zh-CN"/>
              </w:rPr>
              <w:t xml:space="preserve">合同履行期限 </w:t>
            </w:r>
            <w:r>
              <w:rPr>
                <w:rFonts w:hint="eastAsia"/>
                <w:lang w:eastAsia="zh-CN"/>
              </w:rPr>
              <w:t>（</w:t>
            </w:r>
            <w:r>
              <w:rPr>
                <w:lang w:eastAsia="zh-CN"/>
              </w:rPr>
              <w:t>服务期</w:t>
            </w:r>
            <w:r>
              <w:rPr>
                <w:rFonts w:hint="eastAsia"/>
                <w:lang w:eastAsia="zh-CN"/>
              </w:rPr>
              <w:t>）</w:t>
            </w:r>
          </w:p>
        </w:tc>
        <w:tc>
          <w:tcPr>
            <w:tcW w:w="7737" w:type="dxa"/>
            <w:vAlign w:val="center"/>
          </w:tcPr>
          <w:p>
            <w:pPr>
              <w:spacing w:line="360" w:lineRule="auto"/>
              <w:jc w:val="center"/>
              <w:rPr>
                <w:rFonts w:ascii="Times New Roman" w:hAns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03" w:type="dxa"/>
            <w:vAlign w:val="center"/>
          </w:tcPr>
          <w:p>
            <w:pPr>
              <w:pStyle w:val="21"/>
              <w:jc w:val="center"/>
            </w:pPr>
            <w:r>
              <w:t>服务承诺</w:t>
            </w:r>
          </w:p>
        </w:tc>
        <w:tc>
          <w:tcPr>
            <w:tcW w:w="7737" w:type="dxa"/>
            <w:vAlign w:val="center"/>
          </w:tcPr>
          <w:p>
            <w:pPr>
              <w:pStyle w:val="21"/>
              <w:jc w:val="center"/>
            </w:pPr>
            <w: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703" w:type="dxa"/>
          </w:tcPr>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pStyle w:val="21"/>
              <w:jc w:val="center"/>
            </w:pPr>
            <w:r>
              <w:t>备注</w:t>
            </w:r>
          </w:p>
        </w:tc>
        <w:tc>
          <w:tcPr>
            <w:tcW w:w="7737" w:type="dxa"/>
          </w:tcPr>
          <w:p>
            <w:pPr>
              <w:pStyle w:val="21"/>
              <w:rPr>
                <w:lang w:eastAsia="zh-CN"/>
              </w:rPr>
            </w:pPr>
            <w:r>
              <w:rPr>
                <w:lang w:eastAsia="zh-CN"/>
              </w:rPr>
              <w:t>1、填报的内容必须和投标文件及投标函中的内容一致。</w:t>
            </w:r>
          </w:p>
          <w:p>
            <w:pPr>
              <w:pStyle w:val="21"/>
              <w:rPr>
                <w:lang w:eastAsia="zh-CN"/>
              </w:rPr>
            </w:pPr>
            <w:r>
              <w:rPr>
                <w:lang w:eastAsia="zh-CN"/>
              </w:rPr>
              <w:t>2、服务承诺详细内容必须在投标书中载明，如内容较多，本表只填写“有”“无”</w:t>
            </w:r>
          </w:p>
          <w:p>
            <w:pPr>
              <w:pStyle w:val="21"/>
              <w:rPr>
                <w:lang w:eastAsia="zh-CN"/>
              </w:rPr>
            </w:pPr>
            <w:r>
              <w:rPr>
                <w:lang w:eastAsia="zh-CN"/>
              </w:rPr>
              <w:t>即可。</w:t>
            </w:r>
          </w:p>
          <w:p>
            <w:pPr>
              <w:pStyle w:val="21"/>
              <w:rPr>
                <w:lang w:eastAsia="zh-CN"/>
              </w:rPr>
            </w:pPr>
            <w:r>
              <w:rPr>
                <w:lang w:eastAsia="zh-CN"/>
              </w:rPr>
              <w:t>3、投标报价位数保留到小数点后二位。</w:t>
            </w:r>
          </w:p>
          <w:p>
            <w:pPr>
              <w:pStyle w:val="21"/>
              <w:rPr>
                <w:lang w:eastAsia="zh-CN"/>
              </w:rPr>
            </w:pPr>
            <w:r>
              <w:rPr>
                <w:lang w:eastAsia="zh-CN"/>
              </w:rPr>
              <w:t>4、本表格须装订在投标文件内。然后再将此开标一览表打印一份，单独密封在一 个小信封内，随投标文件一同递交，以便开标时唱标用.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9440" w:type="dxa"/>
            <w:gridSpan w:val="2"/>
          </w:tcPr>
          <w:p>
            <w:pPr>
              <w:spacing w:line="360" w:lineRule="auto"/>
              <w:rPr>
                <w:rFonts w:ascii="Times New Roman" w:hAnsi="Times New Roman"/>
                <w:lang w:eastAsia="zh-CN"/>
              </w:rPr>
            </w:pPr>
          </w:p>
          <w:p>
            <w:pPr>
              <w:spacing w:line="360" w:lineRule="auto"/>
              <w:rPr>
                <w:rFonts w:ascii="Times New Roman" w:hAnsi="Times New Roman"/>
                <w:lang w:eastAsia="zh-CN"/>
              </w:rPr>
            </w:pPr>
          </w:p>
          <w:p>
            <w:pPr>
              <w:spacing w:line="360" w:lineRule="auto"/>
              <w:rPr>
                <w:rFonts w:ascii="Times New Roman" w:hAnsi="Times New Roman"/>
                <w:lang w:eastAsia="zh-CN"/>
              </w:rPr>
            </w:pPr>
          </w:p>
          <w:p>
            <w:pPr>
              <w:spacing w:line="360" w:lineRule="auto"/>
              <w:rPr>
                <w:rFonts w:ascii="Times New Roman" w:hAnsi="Times New Roman"/>
                <w:lang w:eastAsia="zh-CN"/>
              </w:rPr>
            </w:pPr>
          </w:p>
          <w:p>
            <w:pPr>
              <w:pStyle w:val="21"/>
              <w:rPr>
                <w:lang w:eastAsia="zh-CN"/>
              </w:rPr>
            </w:pPr>
            <w:r>
              <w:rPr>
                <w:lang w:eastAsia="zh-CN"/>
              </w:rPr>
              <w:t xml:space="preserve">供应商：         </w:t>
            </w:r>
            <w:r>
              <w:rPr>
                <w:rFonts w:hint="eastAsia"/>
                <w:lang w:eastAsia="zh-CN"/>
              </w:rPr>
              <w:t>（</w:t>
            </w:r>
            <w:r>
              <w:rPr>
                <w:lang w:eastAsia="zh-CN"/>
              </w:rPr>
              <w:t>盖章</w:t>
            </w:r>
            <w:r>
              <w:rPr>
                <w:rFonts w:hint="eastAsia"/>
                <w:lang w:eastAsia="zh-CN"/>
              </w:rPr>
              <w:t>）</w:t>
            </w:r>
            <w:r>
              <w:rPr>
                <w:lang w:eastAsia="zh-CN"/>
              </w:rPr>
              <w:t xml:space="preserve">                 法定代表人或被授权人：           </w:t>
            </w:r>
            <w:r>
              <w:rPr>
                <w:rFonts w:hint="eastAsia"/>
                <w:lang w:eastAsia="zh-CN"/>
              </w:rPr>
              <w:t>（</w:t>
            </w:r>
            <w:r>
              <w:rPr>
                <w:lang w:eastAsia="zh-CN"/>
              </w:rPr>
              <w:t>签字或盖章</w:t>
            </w:r>
            <w:r>
              <w:rPr>
                <w:rFonts w:hint="eastAsia"/>
                <w:lang w:eastAsia="zh-CN"/>
              </w:rPr>
              <w:t>）</w:t>
            </w:r>
          </w:p>
        </w:tc>
      </w:tr>
    </w:tbl>
    <w:p>
      <w:pPr>
        <w:pStyle w:val="5"/>
        <w:spacing w:line="360" w:lineRule="auto"/>
        <w:rPr>
          <w:rFonts w:ascii="Times New Roman" w:hAnsi="Times New Roman"/>
          <w:lang w:eastAsia="zh-CN"/>
        </w:rPr>
      </w:pPr>
    </w:p>
    <w:p>
      <w:pPr>
        <w:spacing w:line="360" w:lineRule="auto"/>
        <w:rPr>
          <w:rFonts w:ascii="Times New Roman" w:hAnsi="Times New Roman"/>
          <w:lang w:eastAsia="zh-CN"/>
        </w:rPr>
        <w:sectPr>
          <w:footerReference r:id="rId26" w:type="default"/>
          <w:pgSz w:w="11905" w:h="16838"/>
          <w:pgMar w:top="1134" w:right="1134" w:bottom="1134" w:left="1134" w:header="0" w:footer="1043" w:gutter="0"/>
          <w:cols w:space="0" w:num="1"/>
        </w:sect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jc w:val="center"/>
        <w:outlineLvl w:val="6"/>
        <w:rPr>
          <w:rFonts w:ascii="Times New Roman" w:hAnsi="Times New Roman" w:eastAsia="宋体" w:cs="宋体"/>
          <w:sz w:val="36"/>
          <w:szCs w:val="36"/>
          <w:lang w:eastAsia="zh-CN"/>
        </w:rPr>
      </w:pPr>
      <w:r>
        <w:rPr>
          <w:rFonts w:ascii="Times New Roman" w:hAnsi="Times New Roman" w:eastAsia="宋体" w:cs="宋体"/>
          <w:b/>
          <w:bCs/>
          <w:sz w:val="36"/>
          <w:szCs w:val="36"/>
          <w:lang w:eastAsia="zh-CN"/>
        </w:rPr>
        <w:t>五、投标报价说明</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jc w:val="center"/>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格式自拟</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jc w:val="center"/>
        <w:rPr>
          <w:rFonts w:ascii="Times New Roman" w:hAnsi="Times New Roman" w:eastAsia="宋体" w:cs="宋体"/>
          <w:sz w:val="25"/>
          <w:szCs w:val="25"/>
          <w:lang w:eastAsia="zh-CN"/>
        </w:rPr>
      </w:pPr>
      <w:r>
        <w:rPr>
          <w:rFonts w:ascii="Times New Roman" w:hAnsi="Times New Roman" w:eastAsia="宋体" w:cs="宋体"/>
          <w:b/>
          <w:bCs/>
          <w:sz w:val="25"/>
          <w:szCs w:val="25"/>
          <w:lang w:eastAsia="zh-CN"/>
        </w:rPr>
        <w:t>注：投标报价应包含为完成本项目的所有费用。</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485"/>
        <w:rPr>
          <w:rFonts w:ascii="Times New Roman" w:hAnsi="Times New Roman" w:eastAsia="宋体" w:cs="宋体"/>
          <w:sz w:val="25"/>
          <w:szCs w:val="25"/>
          <w:lang w:eastAsia="zh-CN"/>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lang w:eastAsia="zh-CN"/>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pPr>
        <w:pStyle w:val="5"/>
        <w:spacing w:line="360" w:lineRule="auto"/>
        <w:rPr>
          <w:rFonts w:ascii="Times New Roman" w:hAnsi="Times New Roman"/>
          <w:lang w:eastAsia="zh-CN"/>
        </w:rPr>
      </w:pPr>
    </w:p>
    <w:p>
      <w:pPr>
        <w:spacing w:line="360" w:lineRule="auto"/>
        <w:ind w:left="48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pPr>
        <w:spacing w:line="360" w:lineRule="auto"/>
        <w:ind w:left="485"/>
        <w:rPr>
          <w:rFonts w:ascii="Times New Roman" w:hAnsi="Times New Roman" w:eastAsia="宋体" w:cs="宋体"/>
          <w:sz w:val="25"/>
          <w:szCs w:val="25"/>
          <w:lang w:eastAsia="zh-CN"/>
        </w:rPr>
      </w:pPr>
    </w:p>
    <w:p>
      <w:pPr>
        <w:spacing w:line="360" w:lineRule="auto"/>
        <w:ind w:left="485"/>
        <w:rPr>
          <w:rFonts w:ascii="Times New Roman" w:hAnsi="Times New Roman" w:eastAsia="宋体" w:cs="宋体"/>
          <w:sz w:val="25"/>
          <w:szCs w:val="25"/>
          <w:lang w:eastAsia="zh-CN"/>
        </w:rPr>
        <w:sectPr>
          <w:footerReference r:id="rId27" w:type="default"/>
          <w:pgSz w:w="11905" w:h="16838"/>
          <w:pgMar w:top="1134" w:right="1134" w:bottom="1134" w:left="1134" w:header="0" w:footer="1043" w:gutter="0"/>
          <w:cols w:space="0" w:num="1"/>
        </w:sectPr>
      </w:pPr>
      <w:r>
        <w:rPr>
          <w:rFonts w:ascii="Times New Roman" w:hAnsi="Times New Roman" w:eastAsia="宋体" w:cs="宋体"/>
          <w:sz w:val="25"/>
          <w:szCs w:val="25"/>
          <w:lang w:eastAsia="zh-CN"/>
        </w:rPr>
        <w:t>日期：    年     月      日</w:t>
      </w:r>
    </w:p>
    <w:p>
      <w:pPr>
        <w:spacing w:line="360" w:lineRule="auto"/>
        <w:ind w:left="2899"/>
        <w:outlineLvl w:val="6"/>
        <w:rPr>
          <w:rFonts w:ascii="Times New Roman" w:hAnsi="Times New Roman" w:eastAsia="宋体" w:cs="宋体"/>
          <w:b/>
          <w:bCs/>
          <w:sz w:val="32"/>
          <w:szCs w:val="32"/>
          <w:lang w:eastAsia="zh-CN"/>
        </w:rPr>
      </w:pPr>
    </w:p>
    <w:p>
      <w:pPr>
        <w:spacing w:line="360" w:lineRule="auto"/>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六、工作服务方案</w:t>
      </w:r>
    </w:p>
    <w:p>
      <w:pPr>
        <w:spacing w:line="360" w:lineRule="auto"/>
        <w:rPr>
          <w:rFonts w:ascii="Times New Roman" w:hAnsi="Times New Roman" w:eastAsia="宋体" w:cs="宋体"/>
          <w:sz w:val="32"/>
          <w:szCs w:val="32"/>
          <w:lang w:eastAsia="zh-CN"/>
        </w:rPr>
        <w:sectPr>
          <w:footerReference r:id="rId28" w:type="default"/>
          <w:pgSz w:w="11905" w:h="16838"/>
          <w:pgMar w:top="1134" w:right="1134" w:bottom="1134" w:left="1134" w:header="0" w:footer="1043" w:gutter="0"/>
          <w:cols w:space="0" w:num="1"/>
        </w:sectPr>
      </w:pPr>
    </w:p>
    <w:p>
      <w:pPr>
        <w:pStyle w:val="5"/>
        <w:spacing w:line="360" w:lineRule="auto"/>
        <w:jc w:val="center"/>
        <w:rPr>
          <w:rFonts w:ascii="Times New Roman" w:hAnsi="Times New Roman"/>
          <w:lang w:eastAsia="zh-CN"/>
        </w:rPr>
      </w:pPr>
    </w:p>
    <w:p>
      <w:pPr>
        <w:spacing w:line="360" w:lineRule="auto"/>
        <w:ind w:left="119"/>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七、拟投入本项目的设备汇总表</w:t>
      </w:r>
    </w:p>
    <w:p>
      <w:pPr>
        <w:spacing w:line="360" w:lineRule="auto"/>
        <w:rPr>
          <w:rFonts w:ascii="Times New Roman" w:hAnsi="Times New Roman"/>
          <w:lang w:eastAsia="zh-CN"/>
        </w:rPr>
      </w:pPr>
    </w:p>
    <w:tbl>
      <w:tblPr>
        <w:tblStyle w:val="20"/>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069"/>
        <w:gridCol w:w="1548"/>
        <w:gridCol w:w="1119"/>
        <w:gridCol w:w="1278"/>
        <w:gridCol w:w="1119"/>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083" w:type="dxa"/>
          </w:tcPr>
          <w:p>
            <w:pPr>
              <w:spacing w:line="360" w:lineRule="auto"/>
              <w:jc w:val="center"/>
              <w:rPr>
                <w:rFonts w:ascii="Times New Roman" w:hAnsi="Times New Roman"/>
                <w:lang w:eastAsia="zh-CN"/>
              </w:rPr>
            </w:pPr>
          </w:p>
          <w:p>
            <w:pPr>
              <w:pStyle w:val="21"/>
              <w:jc w:val="center"/>
            </w:pPr>
            <w:r>
              <w:t>序号</w:t>
            </w:r>
          </w:p>
        </w:tc>
        <w:tc>
          <w:tcPr>
            <w:tcW w:w="1069" w:type="dxa"/>
          </w:tcPr>
          <w:p>
            <w:pPr>
              <w:spacing w:line="360" w:lineRule="auto"/>
              <w:jc w:val="center"/>
              <w:rPr>
                <w:rFonts w:ascii="Times New Roman" w:hAnsi="Times New Roman"/>
              </w:rPr>
            </w:pPr>
          </w:p>
          <w:p>
            <w:pPr>
              <w:pStyle w:val="21"/>
              <w:jc w:val="center"/>
            </w:pPr>
            <w:r>
              <w:t>设备名称</w:t>
            </w:r>
          </w:p>
        </w:tc>
        <w:tc>
          <w:tcPr>
            <w:tcW w:w="1548" w:type="dxa"/>
          </w:tcPr>
          <w:p>
            <w:pPr>
              <w:spacing w:line="360" w:lineRule="auto"/>
              <w:jc w:val="center"/>
              <w:rPr>
                <w:rFonts w:ascii="Times New Roman" w:hAnsi="Times New Roman"/>
              </w:rPr>
            </w:pPr>
          </w:p>
          <w:p>
            <w:pPr>
              <w:pStyle w:val="21"/>
              <w:jc w:val="center"/>
            </w:pPr>
            <w:r>
              <w:t>规格型号</w:t>
            </w:r>
          </w:p>
        </w:tc>
        <w:tc>
          <w:tcPr>
            <w:tcW w:w="1119" w:type="dxa"/>
          </w:tcPr>
          <w:p>
            <w:pPr>
              <w:spacing w:line="360" w:lineRule="auto"/>
              <w:jc w:val="center"/>
              <w:rPr>
                <w:rFonts w:ascii="Times New Roman" w:hAnsi="Times New Roman"/>
              </w:rPr>
            </w:pPr>
          </w:p>
          <w:p>
            <w:pPr>
              <w:pStyle w:val="21"/>
              <w:jc w:val="center"/>
            </w:pPr>
            <w:r>
              <w:t>数量</w:t>
            </w:r>
          </w:p>
        </w:tc>
        <w:tc>
          <w:tcPr>
            <w:tcW w:w="1278" w:type="dxa"/>
          </w:tcPr>
          <w:p>
            <w:pPr>
              <w:spacing w:line="360" w:lineRule="auto"/>
              <w:jc w:val="center"/>
              <w:rPr>
                <w:rFonts w:ascii="Times New Roman" w:hAnsi="Times New Roman"/>
              </w:rPr>
            </w:pPr>
          </w:p>
          <w:p>
            <w:pPr>
              <w:pStyle w:val="21"/>
              <w:jc w:val="center"/>
            </w:pPr>
            <w:r>
              <w:t>使用情况</w:t>
            </w:r>
          </w:p>
        </w:tc>
        <w:tc>
          <w:tcPr>
            <w:tcW w:w="1119" w:type="dxa"/>
          </w:tcPr>
          <w:p>
            <w:pPr>
              <w:spacing w:line="360" w:lineRule="auto"/>
              <w:jc w:val="center"/>
              <w:rPr>
                <w:rFonts w:ascii="Times New Roman" w:hAnsi="Times New Roman"/>
              </w:rPr>
            </w:pPr>
          </w:p>
          <w:p>
            <w:pPr>
              <w:pStyle w:val="21"/>
              <w:jc w:val="center"/>
            </w:pPr>
            <w:r>
              <w:t>投入时间</w:t>
            </w:r>
          </w:p>
        </w:tc>
        <w:tc>
          <w:tcPr>
            <w:tcW w:w="1293" w:type="dxa"/>
          </w:tcPr>
          <w:p>
            <w:pPr>
              <w:spacing w:line="360" w:lineRule="auto"/>
              <w:jc w:val="center"/>
              <w:rPr>
                <w:rFonts w:ascii="Times New Roman" w:hAnsi="Times New Roman"/>
              </w:rPr>
            </w:pPr>
          </w:p>
          <w:p>
            <w:pPr>
              <w:pStyle w:val="21"/>
              <w:jc w:val="center"/>
            </w:pPr>
            <w: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83" w:type="dxa"/>
          </w:tcPr>
          <w:p>
            <w:pPr>
              <w:spacing w:line="360" w:lineRule="auto"/>
              <w:rPr>
                <w:rFonts w:ascii="Times New Roman" w:hAnsi="Times New Roman"/>
              </w:rPr>
            </w:pPr>
          </w:p>
        </w:tc>
        <w:tc>
          <w:tcPr>
            <w:tcW w:w="1069" w:type="dxa"/>
          </w:tcPr>
          <w:p>
            <w:pPr>
              <w:spacing w:line="360" w:lineRule="auto"/>
              <w:rPr>
                <w:rFonts w:ascii="Times New Roman" w:hAnsi="Times New Roman"/>
              </w:rPr>
            </w:pPr>
          </w:p>
        </w:tc>
        <w:tc>
          <w:tcPr>
            <w:tcW w:w="154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78" w:type="dxa"/>
          </w:tcPr>
          <w:p>
            <w:pPr>
              <w:spacing w:line="360" w:lineRule="auto"/>
              <w:rPr>
                <w:rFonts w:ascii="Times New Roman" w:hAnsi="Times New Roman"/>
              </w:rPr>
            </w:pPr>
          </w:p>
        </w:tc>
        <w:tc>
          <w:tcPr>
            <w:tcW w:w="1119" w:type="dxa"/>
          </w:tcPr>
          <w:p>
            <w:pPr>
              <w:spacing w:line="360" w:lineRule="auto"/>
              <w:rPr>
                <w:rFonts w:ascii="Times New Roman" w:hAnsi="Times New Roman"/>
              </w:rPr>
            </w:pPr>
          </w:p>
        </w:tc>
        <w:tc>
          <w:tcPr>
            <w:tcW w:w="1293" w:type="dxa"/>
          </w:tcPr>
          <w:p>
            <w:pPr>
              <w:spacing w:line="360" w:lineRule="auto"/>
              <w:rPr>
                <w:rFonts w:ascii="Times New Roman" w:hAnsi="Times New Roman"/>
              </w:rPr>
            </w:pPr>
          </w:p>
        </w:tc>
      </w:tr>
    </w:tbl>
    <w:p>
      <w:pPr>
        <w:pStyle w:val="5"/>
        <w:spacing w:line="360" w:lineRule="auto"/>
        <w:rPr>
          <w:rFonts w:ascii="Times New Roman" w:hAnsi="Times New Roman"/>
        </w:rPr>
      </w:pPr>
    </w:p>
    <w:p>
      <w:pPr>
        <w:spacing w:line="360" w:lineRule="auto"/>
        <w:rPr>
          <w:rFonts w:ascii="Times New Roman" w:hAnsi="Times New Roman"/>
        </w:rPr>
        <w:sectPr>
          <w:footerReference r:id="rId29" w:type="default"/>
          <w:pgSz w:w="11905" w:h="16838"/>
          <w:pgMar w:top="1134" w:right="1134" w:bottom="1134" w:left="1134" w:header="0" w:footer="1056" w:gutter="0"/>
          <w:cols w:space="0" w:num="1"/>
        </w:sectPr>
      </w:pPr>
    </w:p>
    <w:p>
      <w:pPr>
        <w:spacing w:line="360" w:lineRule="auto"/>
        <w:ind w:left="2999"/>
        <w:rPr>
          <w:rFonts w:ascii="Times New Roman" w:hAnsi="Times New Roman" w:eastAsia="宋体" w:cs="宋体"/>
          <w:sz w:val="32"/>
          <w:szCs w:val="32"/>
        </w:rPr>
      </w:pPr>
      <w:r>
        <w:rPr>
          <w:rFonts w:ascii="Times New Roman" w:hAnsi="Times New Roman" w:eastAsia="宋体" w:cs="宋体"/>
          <w:b/>
          <w:bCs/>
          <w:sz w:val="32"/>
          <w:szCs w:val="32"/>
        </w:rPr>
        <w:t>八、资格审查资料</w:t>
      </w:r>
    </w:p>
    <w:p>
      <w:pPr>
        <w:spacing w:line="360" w:lineRule="auto"/>
        <w:ind w:left="267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一</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投标人基本情况表</w:t>
      </w:r>
    </w:p>
    <w:p>
      <w:pPr>
        <w:spacing w:line="360" w:lineRule="auto"/>
        <w:rPr>
          <w:rFonts w:ascii="Times New Roman" w:hAnsi="Times New Roman"/>
          <w:lang w:eastAsia="zh-CN"/>
        </w:rPr>
      </w:pPr>
    </w:p>
    <w:tbl>
      <w:tblPr>
        <w:tblStyle w:val="20"/>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949"/>
        <w:gridCol w:w="1258"/>
        <w:gridCol w:w="819"/>
        <w:gridCol w:w="290"/>
        <w:gridCol w:w="1109"/>
        <w:gridCol w:w="329"/>
        <w:gridCol w:w="1059"/>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tcPr>
          <w:p>
            <w:pPr>
              <w:pStyle w:val="21"/>
            </w:pPr>
            <w:r>
              <w:t>供应商名称</w:t>
            </w:r>
          </w:p>
        </w:tc>
        <w:tc>
          <w:tcPr>
            <w:tcW w:w="7366" w:type="dxa"/>
            <w:gridSpan w:val="8"/>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pPr>
              <w:pStyle w:val="21"/>
            </w:pPr>
            <w:r>
              <w:t>注册地址</w:t>
            </w:r>
          </w:p>
        </w:tc>
        <w:tc>
          <w:tcPr>
            <w:tcW w:w="3316" w:type="dxa"/>
            <w:gridSpan w:val="4"/>
          </w:tcPr>
          <w:p>
            <w:pPr>
              <w:spacing w:line="360" w:lineRule="auto"/>
              <w:rPr>
                <w:rFonts w:ascii="Times New Roman" w:hAnsi="Times New Roman"/>
              </w:rPr>
            </w:pPr>
          </w:p>
        </w:tc>
        <w:tc>
          <w:tcPr>
            <w:tcW w:w="1109" w:type="dxa"/>
          </w:tcPr>
          <w:p>
            <w:pPr>
              <w:pStyle w:val="21"/>
            </w:pPr>
            <w:r>
              <w:t>邮政编码</w:t>
            </w:r>
          </w:p>
        </w:tc>
        <w:tc>
          <w:tcPr>
            <w:tcW w:w="2941" w:type="dxa"/>
            <w:gridSpan w:val="3"/>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pPr>
              <w:pStyle w:val="21"/>
            </w:pPr>
            <w:r>
              <w:t>联系方式</w:t>
            </w:r>
          </w:p>
        </w:tc>
        <w:tc>
          <w:tcPr>
            <w:tcW w:w="949" w:type="dxa"/>
          </w:tcPr>
          <w:p>
            <w:pPr>
              <w:pStyle w:val="21"/>
            </w:pPr>
            <w:r>
              <w:t>联系人</w:t>
            </w:r>
          </w:p>
        </w:tc>
        <w:tc>
          <w:tcPr>
            <w:tcW w:w="2367" w:type="dxa"/>
            <w:gridSpan w:val="3"/>
          </w:tcPr>
          <w:p>
            <w:pPr>
              <w:spacing w:line="360" w:lineRule="auto"/>
              <w:rPr>
                <w:rFonts w:ascii="Times New Roman" w:hAnsi="Times New Roman"/>
              </w:rPr>
            </w:pPr>
          </w:p>
        </w:tc>
        <w:tc>
          <w:tcPr>
            <w:tcW w:w="1109" w:type="dxa"/>
          </w:tcPr>
          <w:p>
            <w:pPr>
              <w:pStyle w:val="21"/>
            </w:pPr>
            <w:r>
              <w:t>电 话</w:t>
            </w:r>
          </w:p>
        </w:tc>
        <w:tc>
          <w:tcPr>
            <w:tcW w:w="2941" w:type="dxa"/>
            <w:gridSpan w:val="3"/>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63" w:type="dxa"/>
          </w:tcPr>
          <w:p>
            <w:pPr>
              <w:spacing w:line="360" w:lineRule="auto"/>
              <w:rPr>
                <w:rFonts w:ascii="Times New Roman" w:hAnsi="Times New Roman"/>
              </w:rPr>
            </w:pPr>
          </w:p>
        </w:tc>
        <w:tc>
          <w:tcPr>
            <w:tcW w:w="949" w:type="dxa"/>
          </w:tcPr>
          <w:p>
            <w:pPr>
              <w:pStyle w:val="21"/>
            </w:pPr>
            <w:r>
              <w:t>传 真</w:t>
            </w:r>
          </w:p>
        </w:tc>
        <w:tc>
          <w:tcPr>
            <w:tcW w:w="2367" w:type="dxa"/>
            <w:gridSpan w:val="3"/>
          </w:tcPr>
          <w:p>
            <w:pPr>
              <w:spacing w:line="360" w:lineRule="auto"/>
              <w:rPr>
                <w:rFonts w:ascii="Times New Roman" w:hAnsi="Times New Roman"/>
              </w:rPr>
            </w:pPr>
          </w:p>
        </w:tc>
        <w:tc>
          <w:tcPr>
            <w:tcW w:w="1109" w:type="dxa"/>
          </w:tcPr>
          <w:p>
            <w:pPr>
              <w:pStyle w:val="21"/>
            </w:pPr>
            <w:r>
              <w:t>网 址</w:t>
            </w:r>
          </w:p>
        </w:tc>
        <w:tc>
          <w:tcPr>
            <w:tcW w:w="2941" w:type="dxa"/>
            <w:gridSpan w:val="3"/>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63" w:type="dxa"/>
          </w:tcPr>
          <w:p>
            <w:pPr>
              <w:pStyle w:val="21"/>
            </w:pPr>
            <w:r>
              <w:t>组织结构</w:t>
            </w:r>
          </w:p>
        </w:tc>
        <w:tc>
          <w:tcPr>
            <w:tcW w:w="7366" w:type="dxa"/>
            <w:gridSpan w:val="8"/>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pPr>
              <w:pStyle w:val="21"/>
            </w:pPr>
            <w:r>
              <w:t>法定代表人</w:t>
            </w:r>
          </w:p>
        </w:tc>
        <w:tc>
          <w:tcPr>
            <w:tcW w:w="949" w:type="dxa"/>
          </w:tcPr>
          <w:p>
            <w:pPr>
              <w:pStyle w:val="21"/>
            </w:pPr>
            <w:r>
              <w:t>姓 名</w:t>
            </w:r>
          </w:p>
        </w:tc>
        <w:tc>
          <w:tcPr>
            <w:tcW w:w="1258" w:type="dxa"/>
          </w:tcPr>
          <w:p>
            <w:pPr>
              <w:spacing w:line="360" w:lineRule="auto"/>
              <w:rPr>
                <w:rFonts w:ascii="Times New Roman" w:hAnsi="Times New Roman"/>
              </w:rPr>
            </w:pPr>
          </w:p>
        </w:tc>
        <w:tc>
          <w:tcPr>
            <w:tcW w:w="1109" w:type="dxa"/>
            <w:gridSpan w:val="2"/>
          </w:tcPr>
          <w:p>
            <w:pPr>
              <w:pStyle w:val="21"/>
            </w:pPr>
            <w:r>
              <w:t>技术职称</w:t>
            </w:r>
          </w:p>
        </w:tc>
        <w:tc>
          <w:tcPr>
            <w:tcW w:w="1438" w:type="dxa"/>
            <w:gridSpan w:val="2"/>
          </w:tcPr>
          <w:p>
            <w:pPr>
              <w:spacing w:line="360" w:lineRule="auto"/>
              <w:rPr>
                <w:rFonts w:ascii="Times New Roman" w:hAnsi="Times New Roman"/>
              </w:rPr>
            </w:pPr>
          </w:p>
        </w:tc>
        <w:tc>
          <w:tcPr>
            <w:tcW w:w="1059" w:type="dxa"/>
          </w:tcPr>
          <w:p>
            <w:pPr>
              <w:pStyle w:val="21"/>
            </w:pPr>
            <w:r>
              <w:t>电话</w:t>
            </w:r>
          </w:p>
        </w:tc>
        <w:tc>
          <w:tcPr>
            <w:tcW w:w="155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pPr>
              <w:pStyle w:val="21"/>
            </w:pPr>
            <w:r>
              <w:t>技术负责人</w:t>
            </w:r>
          </w:p>
        </w:tc>
        <w:tc>
          <w:tcPr>
            <w:tcW w:w="949" w:type="dxa"/>
          </w:tcPr>
          <w:p>
            <w:pPr>
              <w:pStyle w:val="21"/>
            </w:pPr>
            <w:r>
              <w:t>姓 名</w:t>
            </w:r>
          </w:p>
        </w:tc>
        <w:tc>
          <w:tcPr>
            <w:tcW w:w="1258" w:type="dxa"/>
          </w:tcPr>
          <w:p>
            <w:pPr>
              <w:spacing w:line="360" w:lineRule="auto"/>
              <w:rPr>
                <w:rFonts w:ascii="Times New Roman" w:hAnsi="Times New Roman"/>
              </w:rPr>
            </w:pPr>
          </w:p>
        </w:tc>
        <w:tc>
          <w:tcPr>
            <w:tcW w:w="1109" w:type="dxa"/>
            <w:gridSpan w:val="2"/>
          </w:tcPr>
          <w:p>
            <w:pPr>
              <w:pStyle w:val="21"/>
            </w:pPr>
            <w:r>
              <w:t>技术职称</w:t>
            </w:r>
          </w:p>
        </w:tc>
        <w:tc>
          <w:tcPr>
            <w:tcW w:w="1438" w:type="dxa"/>
            <w:gridSpan w:val="2"/>
          </w:tcPr>
          <w:p>
            <w:pPr>
              <w:spacing w:line="360" w:lineRule="auto"/>
              <w:rPr>
                <w:rFonts w:ascii="Times New Roman" w:hAnsi="Times New Roman"/>
              </w:rPr>
            </w:pPr>
          </w:p>
        </w:tc>
        <w:tc>
          <w:tcPr>
            <w:tcW w:w="1059" w:type="dxa"/>
          </w:tcPr>
          <w:p>
            <w:pPr>
              <w:pStyle w:val="21"/>
            </w:pPr>
            <w:r>
              <w:t>电话</w:t>
            </w:r>
          </w:p>
        </w:tc>
        <w:tc>
          <w:tcPr>
            <w:tcW w:w="155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pPr>
              <w:pStyle w:val="21"/>
            </w:pPr>
            <w:r>
              <w:t>成立时间</w:t>
            </w:r>
          </w:p>
        </w:tc>
        <w:tc>
          <w:tcPr>
            <w:tcW w:w="2207" w:type="dxa"/>
            <w:gridSpan w:val="2"/>
          </w:tcPr>
          <w:p>
            <w:pPr>
              <w:spacing w:line="360" w:lineRule="auto"/>
              <w:rPr>
                <w:rFonts w:ascii="Times New Roman" w:hAnsi="Times New Roman"/>
              </w:rPr>
            </w:pPr>
          </w:p>
        </w:tc>
        <w:tc>
          <w:tcPr>
            <w:tcW w:w="5159" w:type="dxa"/>
            <w:gridSpan w:val="6"/>
          </w:tcPr>
          <w:p>
            <w:pPr>
              <w:pStyle w:val="21"/>
            </w:pPr>
            <w:r>
              <w:t>员工总人数：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63" w:type="dxa"/>
          </w:tcPr>
          <w:p>
            <w:pPr>
              <w:pStyle w:val="21"/>
            </w:pPr>
            <w:r>
              <w:t>企业资质等级</w:t>
            </w:r>
          </w:p>
        </w:tc>
        <w:tc>
          <w:tcPr>
            <w:tcW w:w="2207" w:type="dxa"/>
            <w:gridSpan w:val="2"/>
          </w:tcPr>
          <w:p>
            <w:pPr>
              <w:pStyle w:val="21"/>
            </w:pPr>
            <w:r>
              <w:t>/</w:t>
            </w:r>
          </w:p>
        </w:tc>
        <w:tc>
          <w:tcPr>
            <w:tcW w:w="819" w:type="dxa"/>
            <w:vMerge w:val="restart"/>
            <w:tcBorders>
              <w:bottom w:val="nil"/>
            </w:tcBorders>
          </w:tcPr>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pStyle w:val="21"/>
            </w:pPr>
            <w:r>
              <w:t>其中</w:t>
            </w:r>
          </w:p>
        </w:tc>
        <w:tc>
          <w:tcPr>
            <w:tcW w:w="1728" w:type="dxa"/>
            <w:gridSpan w:val="3"/>
          </w:tcPr>
          <w:p>
            <w:pPr>
              <w:pStyle w:val="21"/>
            </w:pPr>
            <w:r>
              <w:t>高级职称人员</w:t>
            </w:r>
          </w:p>
        </w:tc>
        <w:tc>
          <w:tcPr>
            <w:tcW w:w="2612" w:type="dxa"/>
            <w:gridSpan w:val="2"/>
          </w:tcPr>
          <w:p>
            <w:pPr>
              <w:pStyle w:val="21"/>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pPr>
              <w:pStyle w:val="21"/>
            </w:pPr>
            <w:r>
              <w:t>营业执照号</w:t>
            </w:r>
          </w:p>
        </w:tc>
        <w:tc>
          <w:tcPr>
            <w:tcW w:w="2207" w:type="dxa"/>
            <w:gridSpan w:val="2"/>
          </w:tcPr>
          <w:p>
            <w:pPr>
              <w:spacing w:line="360" w:lineRule="auto"/>
              <w:rPr>
                <w:rFonts w:ascii="Times New Roman" w:hAnsi="Times New Roman"/>
              </w:rPr>
            </w:pPr>
          </w:p>
        </w:tc>
        <w:tc>
          <w:tcPr>
            <w:tcW w:w="819" w:type="dxa"/>
            <w:vMerge w:val="continue"/>
            <w:tcBorders>
              <w:top w:val="nil"/>
              <w:bottom w:val="nil"/>
            </w:tcBorders>
          </w:tcPr>
          <w:p>
            <w:pPr>
              <w:spacing w:line="360" w:lineRule="auto"/>
              <w:rPr>
                <w:rFonts w:ascii="Times New Roman" w:hAnsi="Times New Roman"/>
              </w:rPr>
            </w:pPr>
          </w:p>
        </w:tc>
        <w:tc>
          <w:tcPr>
            <w:tcW w:w="1728" w:type="dxa"/>
            <w:gridSpan w:val="3"/>
          </w:tcPr>
          <w:p>
            <w:pPr>
              <w:pStyle w:val="21"/>
            </w:pPr>
            <w:r>
              <w:t>注册 ……</w:t>
            </w:r>
          </w:p>
        </w:tc>
        <w:tc>
          <w:tcPr>
            <w:tcW w:w="2612" w:type="dxa"/>
            <w:gridSpan w:val="2"/>
          </w:tcPr>
          <w:p>
            <w:pPr>
              <w:pStyle w:val="21"/>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pPr>
              <w:pStyle w:val="21"/>
            </w:pPr>
            <w:r>
              <w:t>注册资金</w:t>
            </w:r>
          </w:p>
        </w:tc>
        <w:tc>
          <w:tcPr>
            <w:tcW w:w="2207" w:type="dxa"/>
            <w:gridSpan w:val="2"/>
          </w:tcPr>
          <w:p>
            <w:pPr>
              <w:spacing w:line="360" w:lineRule="auto"/>
              <w:rPr>
                <w:rFonts w:ascii="Times New Roman" w:hAnsi="Times New Roman"/>
              </w:rPr>
            </w:pPr>
          </w:p>
        </w:tc>
        <w:tc>
          <w:tcPr>
            <w:tcW w:w="819" w:type="dxa"/>
            <w:vMerge w:val="continue"/>
            <w:tcBorders>
              <w:top w:val="nil"/>
              <w:bottom w:val="nil"/>
            </w:tcBorders>
          </w:tcPr>
          <w:p>
            <w:pPr>
              <w:spacing w:line="360" w:lineRule="auto"/>
              <w:rPr>
                <w:rFonts w:ascii="Times New Roman" w:hAnsi="Times New Roman"/>
              </w:rPr>
            </w:pPr>
          </w:p>
        </w:tc>
        <w:tc>
          <w:tcPr>
            <w:tcW w:w="1728" w:type="dxa"/>
            <w:gridSpan w:val="3"/>
          </w:tcPr>
          <w:p>
            <w:pPr>
              <w:spacing w:line="360" w:lineRule="auto"/>
              <w:rPr>
                <w:rFonts w:ascii="Times New Roman" w:hAnsi="Times New Roman"/>
              </w:rPr>
            </w:pPr>
          </w:p>
          <w:p>
            <w:pPr>
              <w:pStyle w:val="21"/>
            </w:pPr>
            <w:r>
              <w:t>……</w:t>
            </w:r>
          </w:p>
        </w:tc>
        <w:tc>
          <w:tcPr>
            <w:tcW w:w="2612" w:type="dxa"/>
            <w:gridSpan w:val="2"/>
          </w:tcPr>
          <w:p>
            <w:pPr>
              <w:pStyle w:val="21"/>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pPr>
              <w:pStyle w:val="21"/>
            </w:pPr>
            <w:r>
              <w:t>开户银行</w:t>
            </w:r>
          </w:p>
        </w:tc>
        <w:tc>
          <w:tcPr>
            <w:tcW w:w="2207" w:type="dxa"/>
            <w:gridSpan w:val="2"/>
          </w:tcPr>
          <w:p>
            <w:pPr>
              <w:spacing w:line="360" w:lineRule="auto"/>
              <w:rPr>
                <w:rFonts w:ascii="Times New Roman" w:hAnsi="Times New Roman"/>
              </w:rPr>
            </w:pPr>
          </w:p>
        </w:tc>
        <w:tc>
          <w:tcPr>
            <w:tcW w:w="819" w:type="dxa"/>
            <w:vMerge w:val="continue"/>
            <w:tcBorders>
              <w:top w:val="nil"/>
              <w:bottom w:val="nil"/>
            </w:tcBorders>
          </w:tcPr>
          <w:p>
            <w:pPr>
              <w:spacing w:line="360" w:lineRule="auto"/>
              <w:rPr>
                <w:rFonts w:ascii="Times New Roman" w:hAnsi="Times New Roman"/>
              </w:rPr>
            </w:pPr>
          </w:p>
        </w:tc>
        <w:tc>
          <w:tcPr>
            <w:tcW w:w="1728" w:type="dxa"/>
            <w:gridSpan w:val="3"/>
          </w:tcPr>
          <w:p>
            <w:pPr>
              <w:pStyle w:val="21"/>
            </w:pPr>
            <w:r>
              <w:t>工程师</w:t>
            </w:r>
          </w:p>
        </w:tc>
        <w:tc>
          <w:tcPr>
            <w:tcW w:w="2612" w:type="dxa"/>
            <w:gridSpan w:val="2"/>
          </w:tcPr>
          <w:p>
            <w:pPr>
              <w:pStyle w:val="21"/>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pPr>
              <w:pStyle w:val="21"/>
            </w:pPr>
            <w:r>
              <w:t>账    号</w:t>
            </w:r>
          </w:p>
        </w:tc>
        <w:tc>
          <w:tcPr>
            <w:tcW w:w="2207" w:type="dxa"/>
            <w:gridSpan w:val="2"/>
          </w:tcPr>
          <w:p>
            <w:pPr>
              <w:spacing w:line="360" w:lineRule="auto"/>
              <w:rPr>
                <w:rFonts w:ascii="Times New Roman" w:hAnsi="Times New Roman"/>
              </w:rPr>
            </w:pPr>
          </w:p>
        </w:tc>
        <w:tc>
          <w:tcPr>
            <w:tcW w:w="819" w:type="dxa"/>
            <w:vMerge w:val="continue"/>
            <w:tcBorders>
              <w:top w:val="nil"/>
            </w:tcBorders>
          </w:tcPr>
          <w:p>
            <w:pPr>
              <w:spacing w:line="360" w:lineRule="auto"/>
              <w:rPr>
                <w:rFonts w:ascii="Times New Roman" w:hAnsi="Times New Roman"/>
              </w:rPr>
            </w:pPr>
          </w:p>
        </w:tc>
        <w:tc>
          <w:tcPr>
            <w:tcW w:w="1728" w:type="dxa"/>
            <w:gridSpan w:val="3"/>
          </w:tcPr>
          <w:p>
            <w:pPr>
              <w:pStyle w:val="21"/>
            </w:pPr>
            <w:r>
              <w:t>其他</w:t>
            </w:r>
          </w:p>
        </w:tc>
        <w:tc>
          <w:tcPr>
            <w:tcW w:w="2612" w:type="dxa"/>
            <w:gridSpan w:val="2"/>
          </w:tcPr>
          <w:p>
            <w:pPr>
              <w:pStyle w:val="21"/>
            </w:pPr>
            <w: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63" w:type="dxa"/>
          </w:tcPr>
          <w:p>
            <w:pPr>
              <w:pStyle w:val="21"/>
            </w:pPr>
            <w:r>
              <w:t>经营范围</w:t>
            </w:r>
          </w:p>
        </w:tc>
        <w:tc>
          <w:tcPr>
            <w:tcW w:w="7366" w:type="dxa"/>
            <w:gridSpan w:val="8"/>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563" w:type="dxa"/>
          </w:tcPr>
          <w:p>
            <w:pPr>
              <w:pStyle w:val="21"/>
            </w:pPr>
            <w:r>
              <w:t>备   注</w:t>
            </w:r>
          </w:p>
        </w:tc>
        <w:tc>
          <w:tcPr>
            <w:tcW w:w="7366" w:type="dxa"/>
            <w:gridSpan w:val="8"/>
          </w:tcPr>
          <w:p>
            <w:pPr>
              <w:spacing w:line="360" w:lineRule="auto"/>
              <w:rPr>
                <w:rFonts w:ascii="Times New Roman" w:hAnsi="Times New Roman"/>
              </w:rPr>
            </w:pPr>
          </w:p>
        </w:tc>
      </w:tr>
    </w:tbl>
    <w:p>
      <w:pPr>
        <w:spacing w:line="360" w:lineRule="auto"/>
        <w:jc w:val="right"/>
        <w:rPr>
          <w:rFonts w:ascii="Times New Roman" w:hAnsi="Times New Roman" w:eastAsia="宋体" w:cs="宋体"/>
          <w:sz w:val="24"/>
          <w:szCs w:val="24"/>
          <w:lang w:eastAsia="zh-CN"/>
        </w:rPr>
      </w:pPr>
      <w:r>
        <w:rPr>
          <w:rFonts w:ascii="Times New Roman" w:hAnsi="Times New Roman" w:eastAsia="宋体" w:cs="宋体"/>
          <w:sz w:val="24"/>
          <w:szCs w:val="24"/>
          <w:lang w:eastAsia="zh-CN"/>
        </w:rPr>
        <w:t>备注：本表后应附企业法人营业执照副本、开户证明文件等材料的复印件并加盖单位</w:t>
      </w:r>
    </w:p>
    <w:p>
      <w:pPr>
        <w:spacing w:line="360" w:lineRule="auto"/>
        <w:ind w:left="104"/>
        <w:rPr>
          <w:rFonts w:ascii="Times New Roman" w:hAnsi="Times New Roman" w:eastAsia="宋体" w:cs="宋体"/>
          <w:sz w:val="25"/>
          <w:szCs w:val="25"/>
          <w:lang w:eastAsia="zh-CN"/>
        </w:rPr>
      </w:pPr>
      <w:r>
        <w:rPr>
          <w:rFonts w:ascii="Times New Roman" w:hAnsi="Times New Roman" w:eastAsia="宋体" w:cs="宋体"/>
          <w:sz w:val="25"/>
          <w:szCs w:val="25"/>
          <w:lang w:eastAsia="zh-CN"/>
        </w:rPr>
        <w:t>公章。</w:t>
      </w:r>
    </w:p>
    <w:p>
      <w:pPr>
        <w:spacing w:line="360" w:lineRule="auto"/>
        <w:rPr>
          <w:rFonts w:ascii="Times New Roman" w:hAnsi="Times New Roman" w:eastAsia="宋体" w:cs="宋体"/>
          <w:sz w:val="25"/>
          <w:szCs w:val="25"/>
          <w:lang w:eastAsia="zh-CN"/>
        </w:rPr>
        <w:sectPr>
          <w:footerReference r:id="rId30" w:type="default"/>
          <w:pgSz w:w="11905" w:h="16838"/>
          <w:pgMar w:top="1134" w:right="1134" w:bottom="1134" w:left="1134" w:header="0" w:footer="1043" w:gutter="0"/>
          <w:cols w:space="0" w:num="1"/>
        </w:sectPr>
      </w:pPr>
    </w:p>
    <w:p>
      <w:pPr>
        <w:spacing w:line="360" w:lineRule="auto"/>
        <w:ind w:left="2774"/>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二</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资格条件承诺函</w:t>
      </w:r>
    </w:p>
    <w:p>
      <w:pPr>
        <w:pStyle w:val="5"/>
        <w:spacing w:line="360" w:lineRule="auto"/>
        <w:rPr>
          <w:rFonts w:ascii="Times New Roman" w:hAnsi="Times New Roman"/>
          <w:lang w:eastAsia="zh-CN"/>
        </w:rPr>
      </w:pPr>
    </w:p>
    <w:p>
      <w:pPr>
        <w:spacing w:line="360" w:lineRule="auto"/>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致：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人 、 采 购 代 理 机 构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w:t>
      </w:r>
    </w:p>
    <w:p>
      <w:pPr>
        <w:pStyle w:val="5"/>
        <w:spacing w:line="360" w:lineRule="auto"/>
        <w:rPr>
          <w:rFonts w:ascii="Times New Roman" w:hAnsi="Times New Roman"/>
          <w:lang w:eastAsia="zh-CN"/>
        </w:rPr>
      </w:pPr>
    </w:p>
    <w:p>
      <w:pPr>
        <w:spacing w:line="360" w:lineRule="auto"/>
        <w:ind w:right="174" w:firstLine="439"/>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参与</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项 目 名 称 项 目 编 号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采购项目的政府采购活动，现承诺如下：</w:t>
      </w:r>
    </w:p>
    <w:p>
      <w:pPr>
        <w:pStyle w:val="5"/>
        <w:spacing w:line="360" w:lineRule="auto"/>
        <w:rPr>
          <w:rFonts w:ascii="Times New Roman" w:hAnsi="Times New Roman"/>
          <w:lang w:eastAsia="zh-CN"/>
        </w:rPr>
      </w:pPr>
    </w:p>
    <w:p>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1.具有良好的商业信誉和健全的财务会计制度；</w:t>
      </w:r>
    </w:p>
    <w:p>
      <w:pPr>
        <w:spacing w:line="360" w:lineRule="auto"/>
        <w:ind w:left="439"/>
        <w:rPr>
          <w:rFonts w:ascii="Times New Roman" w:hAnsi="Times New Roman"/>
          <w:lang w:eastAsia="zh-CN"/>
        </w:rPr>
      </w:pPr>
      <w:r>
        <w:rPr>
          <w:rFonts w:ascii="Times New Roman" w:hAnsi="Times New Roman" w:eastAsia="宋体" w:cs="宋体"/>
          <w:sz w:val="23"/>
          <w:szCs w:val="23"/>
          <w:lang w:eastAsia="zh-CN"/>
        </w:rPr>
        <w:t>2.具有依法缴纳税收的良好记录；</w:t>
      </w:r>
    </w:p>
    <w:p>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3.具有依法缴纳社会保障金的良好记录。</w:t>
      </w:r>
    </w:p>
    <w:p>
      <w:pPr>
        <w:pStyle w:val="5"/>
        <w:spacing w:line="360" w:lineRule="auto"/>
        <w:rPr>
          <w:rFonts w:ascii="Times New Roman" w:hAnsi="Times New Roman"/>
          <w:lang w:eastAsia="zh-CN"/>
        </w:rPr>
      </w:pPr>
    </w:p>
    <w:p>
      <w:pPr>
        <w:spacing w:line="360" w:lineRule="auto"/>
        <w:ind w:right="45" w:firstLine="439"/>
        <w:jc w:val="both"/>
        <w:rPr>
          <w:rFonts w:ascii="Times New Roman" w:hAnsi="Times New Roman" w:eastAsia="宋体" w:cs="宋体"/>
          <w:sz w:val="23"/>
          <w:szCs w:val="23"/>
          <w:lang w:eastAsia="zh-CN"/>
        </w:rPr>
      </w:pPr>
      <w:r>
        <w:rPr>
          <w:rFonts w:ascii="Times New Roman" w:hAnsi="Times New Roman" w:eastAsia="宋体" w:cs="宋体"/>
          <w:sz w:val="23"/>
          <w:szCs w:val="23"/>
          <w:lang w:eastAsia="zh-CN"/>
        </w:rPr>
        <w:t>我方在采购项目评审</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评标</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环节结束后，随时接受采购人、采购代理机构的 检查验证，配合提供相关证明材料，证明符合《中华人民共和国政府采购法》规 定的供应商基本资格条件。</w:t>
      </w:r>
    </w:p>
    <w:p>
      <w:pPr>
        <w:pStyle w:val="5"/>
        <w:spacing w:line="360" w:lineRule="auto"/>
        <w:rPr>
          <w:rFonts w:ascii="Times New Roman" w:hAnsi="Times New Roman"/>
          <w:lang w:eastAsia="zh-CN"/>
        </w:rPr>
      </w:pPr>
    </w:p>
    <w:p>
      <w:pPr>
        <w:spacing w:line="360" w:lineRule="auto"/>
        <w:jc w:val="right"/>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对上述承诺的真实性负责。如有虚假，将依法承担相应责任。</w:t>
      </w:r>
    </w:p>
    <w:p>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特此承诺。</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5449"/>
        <w:rPr>
          <w:rFonts w:ascii="Times New Roman" w:hAnsi="Times New Roman" w:eastAsia="黑体" w:cs="黑体"/>
          <w:sz w:val="23"/>
          <w:szCs w:val="23"/>
          <w:lang w:eastAsia="zh-CN"/>
        </w:rPr>
      </w:pPr>
      <w:r>
        <w:rPr>
          <w:rFonts w:ascii="Times New Roman" w:hAnsi="Times New Roman" w:eastAsia="黑体" w:cs="黑体"/>
          <w:sz w:val="23"/>
          <w:szCs w:val="23"/>
          <w:lang w:eastAsia="zh-CN"/>
        </w:rPr>
        <w:t>盖章：</w:t>
      </w:r>
    </w:p>
    <w:p>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签字：</w:t>
      </w:r>
    </w:p>
    <w:p>
      <w:pPr>
        <w:pStyle w:val="5"/>
        <w:spacing w:line="360" w:lineRule="auto"/>
        <w:rPr>
          <w:rFonts w:ascii="Times New Roman" w:hAnsi="Times New Roman"/>
          <w:lang w:eastAsia="zh-CN"/>
        </w:rPr>
      </w:pPr>
    </w:p>
    <w:p>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日期：</w:t>
      </w:r>
    </w:p>
    <w:p>
      <w:pPr>
        <w:spacing w:line="360" w:lineRule="auto"/>
        <w:rPr>
          <w:rFonts w:ascii="Times New Roman" w:hAnsi="Times New Roman" w:eastAsia="宋体" w:cs="宋体"/>
          <w:sz w:val="23"/>
          <w:szCs w:val="23"/>
          <w:lang w:eastAsia="zh-CN"/>
        </w:rPr>
        <w:sectPr>
          <w:footerReference r:id="rId31" w:type="default"/>
          <w:pgSz w:w="11905" w:h="16838"/>
          <w:pgMar w:top="1134" w:right="1134" w:bottom="1134" w:left="1134" w:header="0" w:footer="1043" w:gutter="0"/>
          <w:cols w:space="0" w:num="1"/>
        </w:sectPr>
      </w:pPr>
    </w:p>
    <w:p>
      <w:pPr>
        <w:spacing w:line="360" w:lineRule="auto"/>
        <w:ind w:left="1504"/>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符合提供资格条件承诺函的信用承诺书</w:t>
      </w:r>
    </w:p>
    <w:p>
      <w:pPr>
        <w:spacing w:line="360" w:lineRule="auto"/>
        <w:rPr>
          <w:rFonts w:ascii="Times New Roman" w:hAnsi="Times New Roman" w:eastAsia="宋体" w:cs="宋体"/>
          <w:sz w:val="24"/>
          <w:szCs w:val="24"/>
          <w:lang w:eastAsia="zh-CN"/>
        </w:rPr>
      </w:pP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致： </w:t>
      </w:r>
      <w:r>
        <w:rPr>
          <w:rFonts w:hint="eastAsia" w:ascii="宋体" w:hAnsi="宋体" w:eastAsia="宋体" w:cs="宋体"/>
          <w:sz w:val="24"/>
          <w:szCs w:val="24"/>
          <w:u w:val="single"/>
          <w:lang w:eastAsia="zh-CN"/>
        </w:rPr>
        <w:t>（ 采 购 人 、 采 购 代 理 机 构 ）</w:t>
      </w:r>
      <w:r>
        <w:rPr>
          <w:rFonts w:hint="eastAsia" w:ascii="宋体" w:hAnsi="宋体" w:eastAsia="宋体" w:cs="宋体"/>
          <w:sz w:val="24"/>
          <w:szCs w:val="24"/>
          <w:lang w:eastAsia="zh-CN"/>
        </w:rPr>
        <w:t xml:space="preserve"> :</w:t>
      </w:r>
    </w:p>
    <w:p>
      <w:pPr>
        <w:pStyle w:val="5"/>
        <w:spacing w:line="360" w:lineRule="auto"/>
        <w:rPr>
          <w:rFonts w:ascii="宋体" w:hAnsi="宋体" w:eastAsia="宋体" w:cs="宋体"/>
          <w:lang w:eastAsia="zh-CN"/>
        </w:rPr>
      </w:pPr>
    </w:p>
    <w:p>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我单位（公司）参与</w:t>
      </w:r>
      <w:r>
        <w:rPr>
          <w:rFonts w:hint="eastAsia" w:ascii="宋体" w:hAnsi="宋体" w:eastAsia="宋体" w:cs="宋体"/>
          <w:sz w:val="24"/>
          <w:szCs w:val="24"/>
          <w:u w:val="single"/>
          <w:lang w:eastAsia="zh-CN"/>
        </w:rPr>
        <w:t>（ 采 购 项 目 名 称 项 目 编 号 ）</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采购项目的政府采购活动，我单位（公司）现承诺不属于下列任何一种情形：</w:t>
      </w:r>
    </w:p>
    <w:p>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1.被列入政府采购不良行为记录名单的，被禁止参加政府采购活动且尚在处 罚有效期内的；</w:t>
      </w:r>
    </w:p>
    <w:p>
      <w:pPr>
        <w:pStyle w:val="5"/>
        <w:spacing w:line="360" w:lineRule="auto"/>
        <w:rPr>
          <w:rFonts w:ascii="宋体" w:hAnsi="宋体" w:eastAsia="宋体" w:cs="宋体"/>
          <w:lang w:eastAsia="zh-CN"/>
        </w:rPr>
      </w:pPr>
    </w:p>
    <w:p>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2.被有关部门列入失信被执行人、联合惩戒对象、严重违法失信行为记录等 情形的；</w:t>
      </w:r>
    </w:p>
    <w:p>
      <w:pPr>
        <w:pStyle w:val="5"/>
        <w:spacing w:line="360" w:lineRule="auto"/>
        <w:rPr>
          <w:rFonts w:ascii="宋体" w:hAnsi="宋体" w:eastAsia="宋体" w:cs="宋体"/>
          <w:lang w:eastAsia="zh-CN"/>
        </w:rPr>
      </w:pPr>
    </w:p>
    <w:p>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3.其他法律法规规定的不适用于资格条件信用承诺的情形。</w:t>
      </w:r>
    </w:p>
    <w:p>
      <w:pPr>
        <w:pStyle w:val="5"/>
        <w:spacing w:line="360" w:lineRule="auto"/>
        <w:rPr>
          <w:rFonts w:ascii="宋体" w:hAnsi="宋体" w:eastAsia="宋体" w:cs="宋体"/>
          <w:lang w:eastAsia="zh-CN"/>
        </w:rPr>
      </w:pPr>
    </w:p>
    <w:p>
      <w:pPr>
        <w:spacing w:line="360" w:lineRule="auto"/>
        <w:jc w:val="right"/>
        <w:rPr>
          <w:rFonts w:ascii="宋体" w:hAnsi="宋体" w:eastAsia="宋体" w:cs="宋体"/>
          <w:sz w:val="24"/>
          <w:szCs w:val="24"/>
          <w:lang w:eastAsia="zh-CN"/>
        </w:rPr>
      </w:pPr>
      <w:r>
        <w:rPr>
          <w:rFonts w:hint="eastAsia" w:ascii="宋体" w:hAnsi="宋体" w:eastAsia="宋体" w:cs="宋体"/>
          <w:sz w:val="24"/>
          <w:szCs w:val="24"/>
          <w:lang w:eastAsia="zh-CN"/>
        </w:rPr>
        <w:t>我单位（公司）对上述承诺的真实性负责。如有虚假，将依法承担相应责任。</w:t>
      </w:r>
    </w:p>
    <w:p>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特此承诺。</w:t>
      </w: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pStyle w:val="5"/>
        <w:spacing w:line="360" w:lineRule="auto"/>
        <w:rPr>
          <w:rFonts w:ascii="宋体" w:hAnsi="宋体" w:eastAsia="宋体" w:cs="宋体"/>
          <w:lang w:eastAsia="zh-CN"/>
        </w:rPr>
      </w:pPr>
    </w:p>
    <w:p>
      <w:pPr>
        <w:spacing w:line="360" w:lineRule="auto"/>
        <w:ind w:left="5479"/>
        <w:rPr>
          <w:rFonts w:ascii="宋体" w:hAnsi="宋体" w:eastAsia="宋体" w:cs="宋体"/>
          <w:sz w:val="24"/>
          <w:szCs w:val="24"/>
          <w:lang w:eastAsia="zh-CN"/>
        </w:rPr>
      </w:pPr>
      <w:r>
        <w:rPr>
          <w:rFonts w:hint="eastAsia" w:ascii="宋体" w:hAnsi="宋体" w:eastAsia="宋体" w:cs="宋体"/>
          <w:sz w:val="24"/>
          <w:szCs w:val="24"/>
          <w:lang w:eastAsia="zh-CN"/>
        </w:rPr>
        <w:t>盖章：</w:t>
      </w:r>
    </w:p>
    <w:p>
      <w:pPr>
        <w:spacing w:line="360" w:lineRule="auto"/>
        <w:ind w:left="5479"/>
        <w:rPr>
          <w:rFonts w:ascii="宋体" w:hAnsi="宋体" w:eastAsia="宋体" w:cs="宋体"/>
          <w:lang w:eastAsia="zh-CN"/>
        </w:rPr>
      </w:pPr>
      <w:r>
        <w:rPr>
          <w:rFonts w:hint="eastAsia" w:ascii="宋体" w:hAnsi="宋体" w:eastAsia="宋体" w:cs="宋体"/>
          <w:sz w:val="24"/>
          <w:szCs w:val="24"/>
          <w:lang w:eastAsia="zh-CN"/>
        </w:rPr>
        <w:t>签字：</w:t>
      </w:r>
    </w:p>
    <w:p>
      <w:pPr>
        <w:spacing w:line="360" w:lineRule="auto"/>
        <w:ind w:left="5519"/>
        <w:rPr>
          <w:rFonts w:ascii="宋体" w:hAnsi="宋体" w:eastAsia="宋体" w:cs="宋体"/>
          <w:sz w:val="24"/>
          <w:szCs w:val="24"/>
          <w:lang w:eastAsia="zh-CN"/>
        </w:rPr>
      </w:pPr>
      <w:r>
        <w:rPr>
          <w:rFonts w:hint="eastAsia" w:ascii="宋体" w:hAnsi="宋体" w:eastAsia="宋体" w:cs="宋体"/>
          <w:sz w:val="24"/>
          <w:szCs w:val="24"/>
          <w:lang w:eastAsia="zh-CN"/>
        </w:rPr>
        <w:t>日期：</w:t>
      </w:r>
    </w:p>
    <w:p>
      <w:pPr>
        <w:spacing w:line="360" w:lineRule="auto"/>
        <w:rPr>
          <w:rFonts w:ascii="宋体" w:hAnsi="宋体" w:eastAsia="宋体" w:cs="宋体"/>
          <w:sz w:val="24"/>
          <w:szCs w:val="24"/>
          <w:lang w:eastAsia="zh-CN"/>
        </w:rPr>
      </w:pPr>
    </w:p>
    <w:p>
      <w:pPr>
        <w:pStyle w:val="12"/>
        <w:rPr>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pStyle w:val="11"/>
        <w:ind w:firstLine="200"/>
        <w:rPr>
          <w:rFonts w:eastAsiaTheme="minorEastAsia"/>
          <w:lang w:eastAsia="zh-CN"/>
        </w:rPr>
      </w:pPr>
    </w:p>
    <w:p>
      <w:pPr>
        <w:keepNext/>
        <w:keepLines/>
        <w:kinsoku/>
        <w:autoSpaceDE/>
        <w:autoSpaceDN/>
        <w:adjustRightInd/>
        <w:snapToGrid/>
        <w:spacing w:before="260" w:after="260"/>
        <w:jc w:val="center"/>
        <w:textAlignment w:val="auto"/>
        <w:outlineLvl w:val="1"/>
        <w:rPr>
          <w:rFonts w:ascii="宋体" w:hAnsi="宋体" w:eastAsia="宋体" w:cs="宋体"/>
          <w:snapToGrid/>
          <w:color w:val="auto"/>
          <w:sz w:val="24"/>
          <w:szCs w:val="20"/>
          <w:lang w:eastAsia="zh-CN"/>
        </w:rPr>
      </w:pPr>
      <w:r>
        <w:rPr>
          <w:rFonts w:hint="eastAsia" w:ascii="宋体" w:hAnsi="宋体" w:eastAsia="宋体" w:cs="宋体"/>
          <w:b/>
          <w:snapToGrid/>
          <w:color w:val="auto"/>
          <w:kern w:val="2"/>
          <w:sz w:val="36"/>
          <w:szCs w:val="36"/>
          <w:lang w:val="zh-CN" w:eastAsia="zh-CN"/>
        </w:rPr>
        <w:t>中小企业声明函</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本公司(联合体)郑重声明，根据《政府采购促进中小企业发展管理办法》(财库(2020)46号)的规定，本公司(联合体</w:t>
      </w:r>
      <w:r>
        <w:rPr>
          <w:rFonts w:hint="eastAsia" w:ascii="宋体" w:hAnsi="宋体" w:eastAsia="宋体" w:cs="宋体"/>
          <w:snapToGrid/>
          <w:color w:val="auto"/>
          <w:kern w:val="2"/>
          <w:sz w:val="24"/>
          <w:szCs w:val="24"/>
          <w:u w:val="single"/>
          <w:lang w:eastAsia="zh-CN"/>
        </w:rPr>
        <w:t>)参加   (单位名称)</w:t>
      </w:r>
      <w:r>
        <w:rPr>
          <w:rFonts w:hint="eastAsia" w:ascii="宋体" w:hAnsi="宋体" w:eastAsia="宋体" w:cs="宋体"/>
          <w:snapToGrid/>
          <w:color w:val="auto"/>
          <w:kern w:val="2"/>
          <w:sz w:val="24"/>
          <w:szCs w:val="24"/>
          <w:lang w:eastAsia="zh-CN"/>
        </w:rPr>
        <w:t xml:space="preserve">的 </w:t>
      </w:r>
      <w:r>
        <w:rPr>
          <w:rFonts w:hint="eastAsia" w:ascii="宋体" w:hAnsi="宋体" w:eastAsia="宋体" w:cs="宋体"/>
          <w:snapToGrid/>
          <w:color w:val="auto"/>
          <w:kern w:val="2"/>
          <w:sz w:val="24"/>
          <w:szCs w:val="24"/>
          <w:u w:val="single"/>
          <w:lang w:eastAsia="zh-CN"/>
        </w:rPr>
        <w:t xml:space="preserve">  (项目名称)</w:t>
      </w:r>
      <w:r>
        <w:rPr>
          <w:rFonts w:hint="eastAsia" w:ascii="宋体" w:hAnsi="宋体" w:eastAsia="宋体" w:cs="宋体"/>
          <w:snapToGrid/>
          <w:color w:val="auto"/>
          <w:kern w:val="2"/>
          <w:sz w:val="24"/>
          <w:szCs w:val="24"/>
          <w:lang w:eastAsia="zh-CN"/>
        </w:rPr>
        <w:t>采购活动，工程的施工单位全部为由符合政策要求的中小企业（或者：服务全部由符合政策要求的中小企业承接）。相关企业（含联合体中的中小企业、签订分包意向协议的中小企业)的具体情况如下:</w:t>
      </w:r>
    </w:p>
    <w:p>
      <w:pPr>
        <w:widowControl w:val="0"/>
        <w:kinsoku/>
        <w:autoSpaceDE/>
        <w:autoSpaceDN/>
        <w:adjustRightInd/>
        <w:snapToGrid/>
        <w:spacing w:line="500" w:lineRule="exact"/>
        <w:ind w:firstLine="240" w:firstLineChars="1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vertAlign w:val="superscript"/>
          <w:lang w:eastAsia="zh-CN"/>
        </w:rPr>
        <w:t>1</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以上企业，不属于大企业的分支机构，不存在控股股东为大企业的情形，也不存在与大企业的负责人为同一人的情形。</w:t>
      </w:r>
    </w:p>
    <w:p>
      <w:pPr>
        <w:widowControl w:val="0"/>
        <w:kinsoku/>
        <w:autoSpaceDE/>
        <w:autoSpaceDN/>
        <w:adjustRightInd/>
        <w:snapToGrid/>
        <w:spacing w:line="500" w:lineRule="exact"/>
        <w:ind w:firstLine="482" w:firstLineChars="200"/>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本企业对上述声明内容的真实性负责。如有虚假，将依法承担相应责任。</w:t>
      </w:r>
    </w:p>
    <w:p>
      <w:pPr>
        <w:widowControl w:val="0"/>
        <w:kinsoku/>
        <w:autoSpaceDE/>
        <w:autoSpaceDN/>
        <w:adjustRightInd/>
        <w:snapToGrid/>
        <w:spacing w:line="500" w:lineRule="exact"/>
        <w:jc w:val="both"/>
        <w:textAlignment w:val="auto"/>
        <w:rPr>
          <w:rFonts w:ascii="宋体" w:hAnsi="宋体" w:eastAsia="宋体" w:cs="宋体"/>
          <w:snapToGrid/>
          <w:color w:val="auto"/>
          <w:kern w:val="2"/>
          <w:sz w:val="24"/>
          <w:szCs w:val="24"/>
          <w:lang w:eastAsia="zh-CN"/>
        </w:rPr>
      </w:pP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企业名称（盖单）：</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日期：</w:t>
      </w:r>
    </w:p>
    <w:p>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pPr>
        <w:keepNext/>
        <w:keepLines/>
        <w:kinsoku/>
        <w:autoSpaceDE/>
        <w:autoSpaceDN/>
        <w:adjustRightInd/>
        <w:snapToGrid/>
        <w:spacing w:before="260" w:after="260"/>
        <w:jc w:val="both"/>
        <w:textAlignment w:val="auto"/>
        <w:rPr>
          <w:rFonts w:ascii="宋体" w:hAnsi="宋体" w:eastAsia="宋体" w:cs="宋体"/>
          <w:snapToGrid/>
          <w:color w:val="auto"/>
          <w:sz w:val="24"/>
          <w:szCs w:val="24"/>
          <w:lang w:eastAsia="zh-CN"/>
        </w:rPr>
      </w:pPr>
    </w:p>
    <w:p>
      <w:pPr>
        <w:pStyle w:val="11"/>
        <w:ind w:firstLine="240"/>
        <w:rPr>
          <w:rFonts w:eastAsiaTheme="minorEastAsia"/>
          <w:lang w:eastAsia="zh-CN"/>
        </w:rPr>
        <w:sectPr>
          <w:footerReference r:id="rId32" w:type="default"/>
          <w:pgSz w:w="11905" w:h="16838"/>
          <w:pgMar w:top="1134" w:right="1134" w:bottom="1134" w:left="1134" w:header="0" w:footer="1085" w:gutter="0"/>
          <w:cols w:space="0" w:num="1"/>
        </w:sectPr>
      </w:pPr>
      <w:r>
        <w:rPr>
          <w:rFonts w:hint="eastAsia" w:ascii="宋体" w:hAnsi="宋体" w:eastAsia="宋体" w:cs="宋体"/>
          <w:snapToGrid/>
          <w:color w:val="auto"/>
          <w:kern w:val="2"/>
          <w:sz w:val="24"/>
          <w:szCs w:val="24"/>
          <w:lang w:eastAsia="zh-CN"/>
        </w:rPr>
        <w:t>从业人员，营业收入、资产总额填报上一年度数据，无上一年度数据的新成立企业可不填报。</w:t>
      </w:r>
    </w:p>
    <w:p>
      <w:pPr>
        <w:spacing w:line="360" w:lineRule="auto"/>
        <w:ind w:left="2339"/>
        <w:rPr>
          <w:rFonts w:ascii="Times New Roman" w:hAnsi="Times New Roman" w:eastAsia="宋体" w:cs="宋体"/>
          <w:sz w:val="29"/>
          <w:szCs w:val="29"/>
          <w:lang w:eastAsia="zh-CN"/>
        </w:rPr>
      </w:pP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三</w:t>
      </w: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近年完成的类似项目一览表</w:t>
      </w:r>
    </w:p>
    <w:p>
      <w:pPr>
        <w:spacing w:line="360" w:lineRule="auto"/>
        <w:rPr>
          <w:rFonts w:ascii="Times New Roman" w:hAnsi="Times New Roman"/>
          <w:lang w:eastAsia="zh-CN"/>
        </w:rPr>
      </w:pPr>
    </w:p>
    <w:tbl>
      <w:tblPr>
        <w:tblStyle w:val="20"/>
        <w:tblW w:w="94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468"/>
        <w:gridCol w:w="1302"/>
        <w:gridCol w:w="1914"/>
        <w:gridCol w:w="1301"/>
        <w:gridCol w:w="1312"/>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918" w:type="dxa"/>
          </w:tcPr>
          <w:p>
            <w:pPr>
              <w:spacing w:line="360" w:lineRule="auto"/>
              <w:jc w:val="center"/>
              <w:rPr>
                <w:rFonts w:ascii="Times New Roman" w:hAnsi="Times New Roman"/>
                <w:lang w:eastAsia="zh-CN"/>
              </w:rPr>
            </w:pPr>
          </w:p>
          <w:p>
            <w:pPr>
              <w:pStyle w:val="21"/>
              <w:jc w:val="center"/>
            </w:pPr>
            <w:r>
              <w:t>序号</w:t>
            </w:r>
          </w:p>
        </w:tc>
        <w:tc>
          <w:tcPr>
            <w:tcW w:w="1468" w:type="dxa"/>
          </w:tcPr>
          <w:p>
            <w:pPr>
              <w:spacing w:line="360" w:lineRule="auto"/>
              <w:jc w:val="center"/>
              <w:rPr>
                <w:rFonts w:ascii="Times New Roman" w:hAnsi="Times New Roman"/>
              </w:rPr>
            </w:pPr>
          </w:p>
          <w:p>
            <w:pPr>
              <w:pStyle w:val="21"/>
              <w:jc w:val="center"/>
            </w:pPr>
            <w:r>
              <w:t>项目名称</w:t>
            </w:r>
          </w:p>
        </w:tc>
        <w:tc>
          <w:tcPr>
            <w:tcW w:w="1302" w:type="dxa"/>
          </w:tcPr>
          <w:p>
            <w:pPr>
              <w:spacing w:line="360" w:lineRule="auto"/>
              <w:jc w:val="center"/>
              <w:rPr>
                <w:rFonts w:ascii="Times New Roman" w:hAnsi="Times New Roman"/>
              </w:rPr>
            </w:pPr>
          </w:p>
          <w:p>
            <w:pPr>
              <w:pStyle w:val="21"/>
              <w:jc w:val="center"/>
            </w:pPr>
            <w:r>
              <w:t>服务时间</w:t>
            </w:r>
          </w:p>
        </w:tc>
        <w:tc>
          <w:tcPr>
            <w:tcW w:w="1914" w:type="dxa"/>
          </w:tcPr>
          <w:p>
            <w:pPr>
              <w:spacing w:line="360" w:lineRule="auto"/>
              <w:jc w:val="center"/>
              <w:rPr>
                <w:rFonts w:ascii="Times New Roman" w:hAnsi="Times New Roman"/>
              </w:rPr>
            </w:pPr>
          </w:p>
          <w:p>
            <w:pPr>
              <w:pStyle w:val="21"/>
              <w:jc w:val="center"/>
            </w:pPr>
            <w:r>
              <w:t>项目总投资额</w:t>
            </w:r>
          </w:p>
        </w:tc>
        <w:tc>
          <w:tcPr>
            <w:tcW w:w="1301" w:type="dxa"/>
          </w:tcPr>
          <w:p>
            <w:pPr>
              <w:spacing w:line="360" w:lineRule="auto"/>
              <w:jc w:val="center"/>
              <w:rPr>
                <w:rFonts w:ascii="Times New Roman" w:hAnsi="Times New Roman"/>
              </w:rPr>
            </w:pPr>
          </w:p>
          <w:p>
            <w:pPr>
              <w:pStyle w:val="21"/>
              <w:jc w:val="center"/>
            </w:pPr>
            <w:r>
              <w:t>委托单位</w:t>
            </w:r>
          </w:p>
        </w:tc>
        <w:tc>
          <w:tcPr>
            <w:tcW w:w="1312" w:type="dxa"/>
          </w:tcPr>
          <w:p>
            <w:pPr>
              <w:spacing w:line="360" w:lineRule="auto"/>
              <w:jc w:val="center"/>
              <w:rPr>
                <w:rFonts w:ascii="Times New Roman" w:hAnsi="Times New Roman"/>
              </w:rPr>
            </w:pPr>
          </w:p>
          <w:p>
            <w:pPr>
              <w:pStyle w:val="21"/>
              <w:jc w:val="center"/>
            </w:pPr>
            <w:r>
              <w:t>委托事项</w:t>
            </w:r>
          </w:p>
        </w:tc>
        <w:tc>
          <w:tcPr>
            <w:tcW w:w="1263" w:type="dxa"/>
          </w:tcPr>
          <w:p>
            <w:pPr>
              <w:spacing w:line="360" w:lineRule="auto"/>
              <w:jc w:val="center"/>
              <w:rPr>
                <w:rFonts w:ascii="Times New Roman" w:hAnsi="Times New Roman"/>
              </w:rPr>
            </w:pPr>
          </w:p>
          <w:p>
            <w:pPr>
              <w:pStyle w:val="21"/>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pPr>
              <w:spacing w:line="360" w:lineRule="auto"/>
              <w:jc w:val="center"/>
              <w:rPr>
                <w:rFonts w:ascii="Times New Roman" w:hAnsi="Times New Roman"/>
              </w:rPr>
            </w:pPr>
          </w:p>
          <w:p>
            <w:pPr>
              <w:pStyle w:val="21"/>
              <w:jc w:val="center"/>
            </w:pPr>
            <w:r>
              <w:t>1</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pPr>
              <w:spacing w:line="360" w:lineRule="auto"/>
              <w:jc w:val="center"/>
              <w:rPr>
                <w:rFonts w:ascii="Times New Roman" w:hAnsi="Times New Roman"/>
              </w:rPr>
            </w:pPr>
          </w:p>
          <w:p>
            <w:pPr>
              <w:pStyle w:val="21"/>
              <w:jc w:val="center"/>
            </w:pPr>
            <w:r>
              <w:t>2</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pPr>
              <w:spacing w:line="360" w:lineRule="auto"/>
              <w:jc w:val="center"/>
              <w:rPr>
                <w:rFonts w:ascii="Times New Roman" w:hAnsi="Times New Roman"/>
              </w:rPr>
            </w:pPr>
          </w:p>
          <w:p>
            <w:pPr>
              <w:pStyle w:val="21"/>
              <w:jc w:val="center"/>
            </w:pPr>
            <w:r>
              <w:t>3</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pPr>
              <w:spacing w:line="360" w:lineRule="auto"/>
              <w:jc w:val="center"/>
              <w:rPr>
                <w:rFonts w:ascii="Times New Roman" w:hAnsi="Times New Roman"/>
              </w:rPr>
            </w:pPr>
          </w:p>
          <w:p>
            <w:pPr>
              <w:pStyle w:val="21"/>
              <w:jc w:val="center"/>
            </w:pPr>
            <w:r>
              <w:t>4</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pPr>
              <w:spacing w:line="360" w:lineRule="auto"/>
              <w:jc w:val="center"/>
              <w:rPr>
                <w:rFonts w:ascii="Times New Roman" w:hAnsi="Times New Roman"/>
              </w:rPr>
            </w:pPr>
          </w:p>
          <w:p>
            <w:pPr>
              <w:pStyle w:val="21"/>
              <w:jc w:val="center"/>
            </w:pPr>
            <w:r>
              <w:t>5</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pPr>
              <w:spacing w:line="360" w:lineRule="auto"/>
              <w:jc w:val="center"/>
              <w:rPr>
                <w:rFonts w:ascii="Times New Roman" w:hAnsi="Times New Roman"/>
              </w:rPr>
            </w:pPr>
          </w:p>
          <w:p>
            <w:pPr>
              <w:pStyle w:val="21"/>
              <w:jc w:val="center"/>
            </w:pPr>
            <w:r>
              <w:t>6</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918" w:type="dxa"/>
          </w:tcPr>
          <w:p>
            <w:pPr>
              <w:spacing w:line="360" w:lineRule="auto"/>
              <w:jc w:val="center"/>
              <w:rPr>
                <w:rFonts w:ascii="Times New Roman" w:hAnsi="Times New Roman"/>
              </w:rPr>
            </w:pPr>
          </w:p>
          <w:p>
            <w:pPr>
              <w:pStyle w:val="21"/>
              <w:jc w:val="center"/>
            </w:pPr>
            <w:r>
              <w:t>7</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18" w:type="dxa"/>
          </w:tcPr>
          <w:p>
            <w:pPr>
              <w:spacing w:line="360" w:lineRule="auto"/>
              <w:jc w:val="center"/>
              <w:rPr>
                <w:rFonts w:ascii="Times New Roman" w:hAnsi="Times New Roman"/>
              </w:rPr>
            </w:pPr>
          </w:p>
          <w:p>
            <w:pPr>
              <w:pStyle w:val="21"/>
              <w:jc w:val="center"/>
            </w:pPr>
            <w:r>
              <w:t>8</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pPr>
              <w:spacing w:line="360" w:lineRule="auto"/>
              <w:jc w:val="center"/>
              <w:rPr>
                <w:rFonts w:ascii="Times New Roman" w:hAnsi="Times New Roman"/>
              </w:rPr>
            </w:pPr>
          </w:p>
          <w:p>
            <w:pPr>
              <w:pStyle w:val="21"/>
              <w:jc w:val="center"/>
            </w:pPr>
            <w:r>
              <w:t>9</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18" w:type="dxa"/>
          </w:tcPr>
          <w:p>
            <w:pPr>
              <w:spacing w:line="360" w:lineRule="auto"/>
              <w:jc w:val="center"/>
              <w:rPr>
                <w:rFonts w:ascii="Times New Roman" w:hAnsi="Times New Roman"/>
              </w:rPr>
            </w:pPr>
          </w:p>
          <w:p>
            <w:pPr>
              <w:pStyle w:val="21"/>
              <w:jc w:val="center"/>
            </w:pPr>
            <w:r>
              <w:t>10</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918" w:type="dxa"/>
          </w:tcPr>
          <w:p>
            <w:pPr>
              <w:spacing w:line="360" w:lineRule="auto"/>
              <w:jc w:val="center"/>
              <w:rPr>
                <w:rFonts w:ascii="Times New Roman" w:hAnsi="Times New Roman"/>
              </w:rPr>
            </w:pPr>
          </w:p>
          <w:p>
            <w:pPr>
              <w:pStyle w:val="21"/>
              <w:jc w:val="center"/>
            </w:pPr>
            <w:r>
              <w:t>……</w:t>
            </w:r>
          </w:p>
        </w:tc>
        <w:tc>
          <w:tcPr>
            <w:tcW w:w="1468" w:type="dxa"/>
          </w:tcPr>
          <w:p>
            <w:pPr>
              <w:spacing w:line="360" w:lineRule="auto"/>
              <w:jc w:val="center"/>
              <w:rPr>
                <w:rFonts w:ascii="Times New Roman" w:hAnsi="Times New Roman"/>
              </w:rPr>
            </w:pPr>
          </w:p>
        </w:tc>
        <w:tc>
          <w:tcPr>
            <w:tcW w:w="1302" w:type="dxa"/>
          </w:tcPr>
          <w:p>
            <w:pPr>
              <w:spacing w:line="360" w:lineRule="auto"/>
              <w:jc w:val="center"/>
              <w:rPr>
                <w:rFonts w:ascii="Times New Roman" w:hAnsi="Times New Roman"/>
              </w:rPr>
            </w:pPr>
          </w:p>
        </w:tc>
        <w:tc>
          <w:tcPr>
            <w:tcW w:w="1914" w:type="dxa"/>
          </w:tcPr>
          <w:p>
            <w:pPr>
              <w:spacing w:line="360" w:lineRule="auto"/>
              <w:jc w:val="center"/>
              <w:rPr>
                <w:rFonts w:ascii="Times New Roman" w:hAnsi="Times New Roman"/>
              </w:rPr>
            </w:pPr>
          </w:p>
        </w:tc>
        <w:tc>
          <w:tcPr>
            <w:tcW w:w="1301" w:type="dxa"/>
          </w:tcPr>
          <w:p>
            <w:pPr>
              <w:spacing w:line="360" w:lineRule="auto"/>
              <w:jc w:val="center"/>
              <w:rPr>
                <w:rFonts w:ascii="Times New Roman" w:hAnsi="Times New Roman"/>
              </w:rPr>
            </w:pPr>
          </w:p>
        </w:tc>
        <w:tc>
          <w:tcPr>
            <w:tcW w:w="1312" w:type="dxa"/>
          </w:tcPr>
          <w:p>
            <w:pPr>
              <w:spacing w:line="360" w:lineRule="auto"/>
              <w:jc w:val="center"/>
              <w:rPr>
                <w:rFonts w:ascii="Times New Roman" w:hAnsi="Times New Roman"/>
              </w:rPr>
            </w:pPr>
          </w:p>
        </w:tc>
        <w:tc>
          <w:tcPr>
            <w:tcW w:w="1263" w:type="dxa"/>
          </w:tcPr>
          <w:p>
            <w:pPr>
              <w:spacing w:line="360" w:lineRule="auto"/>
              <w:jc w:val="center"/>
              <w:rPr>
                <w:rFonts w:ascii="Times New Roman" w:hAnsi="Times New Roman"/>
              </w:rPr>
            </w:pPr>
          </w:p>
        </w:tc>
      </w:tr>
    </w:tbl>
    <w:p>
      <w:pPr>
        <w:pStyle w:val="5"/>
        <w:spacing w:line="360" w:lineRule="auto"/>
        <w:rPr>
          <w:rFonts w:ascii="Times New Roman" w:hAnsi="Times New Roman"/>
        </w:rPr>
      </w:pPr>
    </w:p>
    <w:p>
      <w:pPr>
        <w:spacing w:line="360" w:lineRule="auto"/>
        <w:rPr>
          <w:rFonts w:ascii="Times New Roman" w:hAnsi="Times New Roman"/>
        </w:rPr>
        <w:sectPr>
          <w:footerReference r:id="rId33" w:type="default"/>
          <w:pgSz w:w="11905" w:h="16838"/>
          <w:pgMar w:top="1134" w:right="1134" w:bottom="1134" w:left="1134" w:header="0" w:footer="1043" w:gutter="0"/>
          <w:cols w:space="0" w:num="1"/>
        </w:sectPr>
      </w:pPr>
    </w:p>
    <w:p>
      <w:pPr>
        <w:spacing w:line="360" w:lineRule="auto"/>
        <w:ind w:left="2888"/>
        <w:rPr>
          <w:rFonts w:ascii="Times New Roman" w:hAnsi="Times New Roman" w:eastAsia="宋体" w:cs="宋体"/>
          <w:sz w:val="28"/>
          <w:szCs w:val="28"/>
          <w:lang w:eastAsia="zh-CN"/>
        </w:rPr>
      </w:pPr>
      <w:r>
        <w:rPr>
          <w:rFonts w:ascii="Times New Roman" w:hAnsi="Times New Roman" w:eastAsia="宋体" w:cs="宋体"/>
          <w:b/>
          <w:bCs/>
          <w:sz w:val="28"/>
          <w:szCs w:val="28"/>
          <w:lang w:eastAsia="zh-CN"/>
        </w:rPr>
        <w:t>已完成类似项目情况说明</w:t>
      </w:r>
    </w:p>
    <w:p>
      <w:pPr>
        <w:spacing w:line="360" w:lineRule="auto"/>
        <w:rPr>
          <w:rFonts w:ascii="Times New Roman" w:hAnsi="Times New Roman"/>
          <w:lang w:eastAsia="zh-CN"/>
        </w:rPr>
      </w:pPr>
    </w:p>
    <w:tbl>
      <w:tblPr>
        <w:tblStyle w:val="20"/>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2"/>
        <w:gridCol w:w="6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062" w:type="dxa"/>
            <w:vAlign w:val="center"/>
          </w:tcPr>
          <w:p>
            <w:pPr>
              <w:pStyle w:val="21"/>
              <w:jc w:val="center"/>
            </w:pPr>
            <w:r>
              <w:t>招标人</w:t>
            </w:r>
          </w:p>
        </w:tc>
        <w:tc>
          <w:tcPr>
            <w:tcW w:w="6447"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pPr>
              <w:pStyle w:val="21"/>
              <w:jc w:val="center"/>
            </w:pPr>
            <w:r>
              <w:t>项目名称</w:t>
            </w:r>
          </w:p>
        </w:tc>
        <w:tc>
          <w:tcPr>
            <w:tcW w:w="6447"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pPr>
              <w:pStyle w:val="21"/>
              <w:jc w:val="center"/>
            </w:pPr>
            <w:r>
              <w:t>合同金额</w:t>
            </w:r>
          </w:p>
        </w:tc>
        <w:tc>
          <w:tcPr>
            <w:tcW w:w="6447"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pPr>
              <w:pStyle w:val="21"/>
              <w:jc w:val="center"/>
            </w:pPr>
            <w:r>
              <w:t>完 成 日 期</w:t>
            </w:r>
          </w:p>
          <w:p>
            <w:pPr>
              <w:pStyle w:val="21"/>
              <w:jc w:val="center"/>
            </w:pPr>
            <w:r>
              <w:rPr>
                <w:rFonts w:hint="eastAsia"/>
                <w:lang w:eastAsia="zh-CN"/>
              </w:rPr>
              <w:t>（</w:t>
            </w:r>
            <w:r>
              <w:t>年/月/日</w:t>
            </w:r>
            <w:r>
              <w:rPr>
                <w:rFonts w:hint="eastAsia"/>
                <w:lang w:eastAsia="zh-CN"/>
              </w:rPr>
              <w:t>）</w:t>
            </w:r>
          </w:p>
        </w:tc>
        <w:tc>
          <w:tcPr>
            <w:tcW w:w="6447"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jc w:val="center"/>
        </w:trPr>
        <w:tc>
          <w:tcPr>
            <w:tcW w:w="8509" w:type="dxa"/>
            <w:gridSpan w:val="2"/>
          </w:tcPr>
          <w:p>
            <w:pPr>
              <w:pStyle w:val="21"/>
            </w:pPr>
            <w:r>
              <w:t>服务主要内容：</w:t>
            </w:r>
          </w:p>
        </w:tc>
      </w:tr>
    </w:tbl>
    <w:p>
      <w:pPr>
        <w:spacing w:line="360" w:lineRule="auto"/>
        <w:ind w:left="113" w:hanging="29"/>
        <w:rPr>
          <w:rFonts w:ascii="Times New Roman" w:hAnsi="Times New Roman" w:eastAsia="宋体" w:cs="宋体"/>
          <w:lang w:eastAsia="zh-CN"/>
        </w:rPr>
      </w:pPr>
      <w:r>
        <w:rPr>
          <w:rFonts w:ascii="Times New Roman" w:hAnsi="Times New Roman" w:eastAsia="宋体" w:cs="宋体"/>
          <w:sz w:val="22"/>
          <w:szCs w:val="22"/>
          <w:lang w:eastAsia="zh-CN"/>
        </w:rPr>
        <w:t>注：本表后附提供加盖公章的中标</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成交</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通知书或合同协议书复印件并加盖单位公章，具 </w:t>
      </w:r>
      <w:r>
        <w:rPr>
          <w:rFonts w:ascii="Times New Roman" w:hAnsi="Times New Roman" w:eastAsia="宋体" w:cs="宋体"/>
          <w:lang w:eastAsia="zh-CN"/>
        </w:rPr>
        <w:t>体年份要求见投标人须知前附表。每张表格只填写一个项目，并标明序号。</w:t>
      </w:r>
    </w:p>
    <w:p>
      <w:pPr>
        <w:spacing w:line="360" w:lineRule="auto"/>
        <w:rPr>
          <w:rFonts w:ascii="Times New Roman" w:hAnsi="Times New Roman" w:eastAsia="宋体" w:cs="宋体"/>
          <w:lang w:eastAsia="zh-CN"/>
        </w:rPr>
        <w:sectPr>
          <w:footerReference r:id="rId34" w:type="default"/>
          <w:pgSz w:w="11905" w:h="16838"/>
          <w:pgMar w:top="1134" w:right="1134" w:bottom="1134" w:left="1134" w:header="0" w:footer="1043" w:gutter="0"/>
          <w:cols w:space="0" w:num="1"/>
        </w:sectPr>
      </w:pPr>
    </w:p>
    <w:p>
      <w:pPr>
        <w:spacing w:line="360" w:lineRule="auto"/>
        <w:ind w:left="1789"/>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四</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正在实施的和新承接的项目情况表</w:t>
      </w:r>
    </w:p>
    <w:p>
      <w:pPr>
        <w:spacing w:line="360" w:lineRule="auto"/>
        <w:rPr>
          <w:rFonts w:ascii="Times New Roman" w:hAnsi="Times New Roman"/>
          <w:lang w:eastAsia="zh-CN"/>
        </w:rPr>
      </w:pPr>
    </w:p>
    <w:tbl>
      <w:tblPr>
        <w:tblStyle w:val="20"/>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731" w:type="dxa"/>
            <w:vAlign w:val="center"/>
          </w:tcPr>
          <w:p>
            <w:pPr>
              <w:pStyle w:val="21"/>
              <w:jc w:val="center"/>
            </w:pPr>
            <w:r>
              <w:t>招标人</w:t>
            </w:r>
          </w:p>
        </w:tc>
        <w:tc>
          <w:tcPr>
            <w:tcW w:w="6258"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731" w:type="dxa"/>
            <w:vAlign w:val="center"/>
          </w:tcPr>
          <w:p>
            <w:pPr>
              <w:pStyle w:val="21"/>
              <w:jc w:val="center"/>
            </w:pPr>
            <w:r>
              <w:t>项目名称</w:t>
            </w:r>
          </w:p>
        </w:tc>
        <w:tc>
          <w:tcPr>
            <w:tcW w:w="6258"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pPr>
              <w:pStyle w:val="21"/>
              <w:jc w:val="center"/>
            </w:pPr>
            <w:r>
              <w:t>合同金额</w:t>
            </w:r>
          </w:p>
        </w:tc>
        <w:tc>
          <w:tcPr>
            <w:tcW w:w="6258"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pPr>
              <w:pStyle w:val="21"/>
              <w:jc w:val="center"/>
            </w:pPr>
            <w:r>
              <w:t>完 成 日 期</w:t>
            </w:r>
          </w:p>
          <w:p>
            <w:pPr>
              <w:pStyle w:val="21"/>
              <w:jc w:val="center"/>
              <w:rPr>
                <w:lang w:eastAsia="zh-CN"/>
              </w:rPr>
            </w:pPr>
            <w:r>
              <w:rPr>
                <w:rFonts w:hint="eastAsia"/>
                <w:lang w:eastAsia="zh-CN"/>
              </w:rPr>
              <w:t>（</w:t>
            </w:r>
            <w:r>
              <w:t>年/月/日</w:t>
            </w:r>
            <w:r>
              <w:rPr>
                <w:rFonts w:hint="eastAsia"/>
                <w:lang w:eastAsia="zh-CN"/>
              </w:rPr>
              <w:t>）</w:t>
            </w:r>
          </w:p>
        </w:tc>
        <w:tc>
          <w:tcPr>
            <w:tcW w:w="6258"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731" w:type="dxa"/>
          </w:tcPr>
          <w:p>
            <w:pPr>
              <w:spacing w:line="360" w:lineRule="auto"/>
              <w:rPr>
                <w:rFonts w:ascii="Times New Roman" w:hAnsi="Times New Roman"/>
              </w:rPr>
            </w:pPr>
          </w:p>
          <w:p>
            <w:pPr>
              <w:pStyle w:val="21"/>
              <w:jc w:val="center"/>
            </w:pPr>
            <w:r>
              <w:t>……</w:t>
            </w:r>
          </w:p>
        </w:tc>
        <w:tc>
          <w:tcPr>
            <w:tcW w:w="6258" w:type="dxa"/>
          </w:tcPr>
          <w:p>
            <w:pPr>
              <w:spacing w:line="360" w:lineRule="auto"/>
              <w:rPr>
                <w:rFonts w:ascii="Times New Roman" w:hAnsi="Times New Roman"/>
              </w:rPr>
            </w:pPr>
          </w:p>
        </w:tc>
      </w:tr>
    </w:tbl>
    <w:p>
      <w:pPr>
        <w:spacing w:line="360" w:lineRule="auto"/>
        <w:ind w:left="604"/>
        <w:rPr>
          <w:rFonts w:ascii="Times New Roman" w:hAnsi="Times New Roman" w:eastAsia="宋体" w:cs="宋体"/>
          <w:sz w:val="20"/>
          <w:szCs w:val="20"/>
          <w:lang w:eastAsia="zh-CN"/>
        </w:rPr>
      </w:pPr>
      <w:r>
        <w:rPr>
          <w:rFonts w:ascii="Times New Roman" w:hAnsi="Times New Roman" w:eastAsia="宋体" w:cs="宋体"/>
          <w:sz w:val="20"/>
          <w:szCs w:val="20"/>
          <w:lang w:eastAsia="zh-CN"/>
        </w:rPr>
        <w:t>备注：本表后附提供中标</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成交</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通知书或合同协议书复印件并加盖单位公章，具体年</w:t>
      </w:r>
    </w:p>
    <w:p>
      <w:pPr>
        <w:spacing w:line="360" w:lineRule="auto"/>
        <w:ind w:left="595"/>
        <w:rPr>
          <w:rFonts w:ascii="Times New Roman" w:hAnsi="Times New Roman" w:eastAsia="宋体" w:cs="宋体"/>
          <w:sz w:val="20"/>
          <w:szCs w:val="20"/>
          <w:lang w:eastAsia="zh-CN"/>
        </w:rPr>
      </w:pPr>
      <w:r>
        <w:rPr>
          <w:rFonts w:ascii="Times New Roman" w:hAnsi="Times New Roman" w:eastAsia="宋体" w:cs="宋体"/>
          <w:sz w:val="20"/>
          <w:szCs w:val="20"/>
          <w:lang w:eastAsia="zh-CN"/>
        </w:rPr>
        <w:t>份要求见投标人须知前附表。每张表格只填写一个项目，并标明序号。</w:t>
      </w:r>
    </w:p>
    <w:p>
      <w:pPr>
        <w:spacing w:line="360" w:lineRule="auto"/>
        <w:rPr>
          <w:rFonts w:ascii="Times New Roman" w:hAnsi="Times New Roman" w:eastAsia="宋体" w:cs="宋体"/>
          <w:sz w:val="20"/>
          <w:szCs w:val="20"/>
          <w:lang w:eastAsia="zh-CN"/>
        </w:rPr>
        <w:sectPr>
          <w:footerReference r:id="rId35" w:type="default"/>
          <w:pgSz w:w="11905" w:h="16838"/>
          <w:pgMar w:top="1134" w:right="1134" w:bottom="1134" w:left="1134" w:header="0" w:footer="1066" w:gutter="0"/>
          <w:cols w:space="0" w:num="1"/>
        </w:sectPr>
      </w:pPr>
    </w:p>
    <w:p>
      <w:pPr>
        <w:spacing w:line="360" w:lineRule="auto"/>
        <w:ind w:left="779"/>
        <w:rPr>
          <w:rFonts w:ascii="Times New Roman" w:hAnsi="Times New Roman" w:eastAsia="宋体" w:cs="宋体"/>
          <w:sz w:val="31"/>
          <w:szCs w:val="31"/>
          <w:lang w:eastAsia="zh-CN"/>
        </w:rPr>
      </w:pP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五</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近三年</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202</w:t>
      </w:r>
      <w:r>
        <w:rPr>
          <w:rFonts w:hint="eastAsia" w:ascii="Times New Roman" w:hAnsi="Times New Roman" w:eastAsia="宋体" w:cs="宋体"/>
          <w:b/>
          <w:bCs/>
          <w:sz w:val="31"/>
          <w:szCs w:val="31"/>
          <w:lang w:eastAsia="zh-CN"/>
        </w:rPr>
        <w:t>1</w:t>
      </w:r>
      <w:r>
        <w:rPr>
          <w:rFonts w:ascii="Times New Roman" w:hAnsi="Times New Roman" w:eastAsia="宋体" w:cs="宋体"/>
          <w:b/>
          <w:bCs/>
          <w:sz w:val="31"/>
          <w:szCs w:val="31"/>
          <w:lang w:eastAsia="zh-CN"/>
        </w:rPr>
        <w:t>至今</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发生的诉讼及仲裁情况</w:t>
      </w: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说明：近年发生的诉讼和仲裁情况仅限于投标人败诉的，且与履行合同有关的案</w:t>
      </w:r>
    </w:p>
    <w:p>
      <w:pPr>
        <w:spacing w:line="360" w:lineRule="auto"/>
        <w:ind w:left="755"/>
        <w:rPr>
          <w:rFonts w:ascii="Times New Roman" w:hAnsi="Times New Roman" w:eastAsia="宋体" w:cs="宋体"/>
          <w:sz w:val="22"/>
          <w:szCs w:val="22"/>
          <w:lang w:eastAsia="zh-CN"/>
        </w:rPr>
      </w:pPr>
      <w:r>
        <w:rPr>
          <w:rFonts w:ascii="Times New Roman" w:hAnsi="Times New Roman" w:eastAsia="宋体" w:cs="宋体"/>
          <w:sz w:val="22"/>
          <w:szCs w:val="22"/>
          <w:lang w:eastAsia="zh-CN"/>
        </w:rPr>
        <w:t>件，不包括调解结案以及未裁决的仲裁或未终审判决的诉讼。</w:t>
      </w:r>
    </w:p>
    <w:p>
      <w:pPr>
        <w:spacing w:line="360" w:lineRule="auto"/>
        <w:rPr>
          <w:rFonts w:ascii="Times New Roman" w:hAnsi="Times New Roman" w:eastAsia="宋体" w:cs="宋体"/>
          <w:sz w:val="22"/>
          <w:szCs w:val="22"/>
          <w:lang w:eastAsia="zh-CN"/>
        </w:rPr>
        <w:sectPr>
          <w:footerReference r:id="rId36" w:type="default"/>
          <w:pgSz w:w="11905" w:h="16838"/>
          <w:pgMar w:top="1134" w:right="1134" w:bottom="1134" w:left="1134" w:header="0" w:footer="1049" w:gutter="0"/>
          <w:cols w:space="0" w:num="1"/>
        </w:sectPr>
      </w:pPr>
    </w:p>
    <w:p>
      <w:pPr>
        <w:spacing w:line="360" w:lineRule="auto"/>
        <w:ind w:left="321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六</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信誉承诺</w:t>
      </w:r>
    </w:p>
    <w:p>
      <w:pPr>
        <w:pStyle w:val="5"/>
        <w:spacing w:line="360" w:lineRule="auto"/>
        <w:ind w:left="4" w:right="31"/>
        <w:jc w:val="both"/>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1、供应商不得为“信用中国”网站 </w:t>
      </w:r>
      <w:r>
        <w:rPr>
          <w:rFonts w:hint="eastAsia" w:ascii="Times New Roman" w:hAnsi="Times New Roman" w:eastAsia="宋体"/>
          <w:sz w:val="20"/>
          <w:szCs w:val="20"/>
          <w:lang w:eastAsia="zh-CN"/>
        </w:rPr>
        <w:t>（</w:t>
      </w:r>
      <w:r>
        <w:rPr>
          <w:rFonts w:ascii="Times New Roman" w:hAnsi="Times New Roman"/>
          <w:sz w:val="20"/>
          <w:szCs w:val="20"/>
          <w:lang w:eastAsia="zh-CN"/>
        </w:rPr>
        <w:t>www.creditchina.gov.cn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中列入重大税收违法案件 当事人名单的投标人，不得为中国执行信息公开网</w:t>
      </w:r>
      <w:r>
        <w:rPr>
          <w:rFonts w:hint="eastAsia" w:ascii="Times New Roman" w:hAnsi="Times New Roman" w:eastAsia="宋体" w:cs="宋体"/>
          <w:sz w:val="20"/>
          <w:szCs w:val="20"/>
          <w:lang w:eastAsia="zh-CN"/>
        </w:rPr>
        <w:t>（</w:t>
      </w:r>
      <w:r>
        <w:fldChar w:fldCharType="begin"/>
      </w:r>
      <w:r>
        <w:instrText xml:space="preserve"> HYPERLINK "http://zxgk.court.gov.cn" </w:instrText>
      </w:r>
      <w:r>
        <w:fldChar w:fldCharType="separate"/>
      </w:r>
      <w:r>
        <w:rPr>
          <w:rFonts w:ascii="Times New Roman" w:hAnsi="Times New Roman" w:eastAsia="宋体" w:cs="宋体"/>
          <w:sz w:val="20"/>
          <w:szCs w:val="20"/>
          <w:lang w:eastAsia="zh-CN"/>
        </w:rPr>
        <w:t>http://zxgk.court.gov.cn</w:t>
      </w:r>
      <w:r>
        <w:rPr>
          <w:rFonts w:ascii="Times New Roman" w:hAnsi="Times New Roman" w:eastAsia="宋体" w:cs="宋体"/>
          <w:sz w:val="20"/>
          <w:szCs w:val="20"/>
          <w:lang w:eastAsia="zh-CN"/>
        </w:rPr>
        <w:fldChar w:fldCharType="end"/>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中列入失 信被执行人名单，不得为中国政府采购网 </w:t>
      </w:r>
      <w:r>
        <w:rPr>
          <w:rFonts w:hint="eastAsia" w:ascii="Times New Roman" w:hAnsi="Times New Roman" w:eastAsia="宋体"/>
          <w:sz w:val="20"/>
          <w:szCs w:val="20"/>
          <w:lang w:eastAsia="zh-CN"/>
        </w:rPr>
        <w:t>（</w:t>
      </w:r>
      <w:r>
        <w:rPr>
          <w:rFonts w:ascii="Times New Roman" w:hAnsi="Times New Roman"/>
          <w:sz w:val="20"/>
          <w:szCs w:val="20"/>
          <w:lang w:eastAsia="zh-CN"/>
        </w:rPr>
        <w:t>www.ccgp.gov.cn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政府采购严重违法失信行为 记录名单中被财政部门禁止参加政府采购活动的投标人</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详见财库[2016]125号</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。供应商 及其法定代表人不得在“中国裁判文书网”列入存在行贿犯罪情形。</w:t>
      </w:r>
    </w:p>
    <w:p>
      <w:pPr>
        <w:spacing w:line="360" w:lineRule="auto"/>
        <w:ind w:left="4"/>
        <w:rPr>
          <w:rFonts w:ascii="Times New Roman" w:hAnsi="Times New Roman" w:eastAsia="宋体" w:cs="宋体"/>
          <w:sz w:val="20"/>
          <w:szCs w:val="20"/>
          <w:lang w:eastAsia="zh-CN"/>
        </w:rPr>
      </w:pPr>
      <w:r>
        <w:rPr>
          <w:rFonts w:ascii="Times New Roman" w:hAnsi="Times New Roman" w:eastAsia="宋体" w:cs="宋体"/>
          <w:sz w:val="20"/>
          <w:szCs w:val="20"/>
          <w:lang w:eastAsia="zh-CN"/>
        </w:rPr>
        <w:t>2、 供应商不存在招标文件第二章“投标人须知”第1.4.2和1.4.3项规定内容的承诺书。</w:t>
      </w:r>
    </w:p>
    <w:p>
      <w:pPr>
        <w:pStyle w:val="5"/>
        <w:spacing w:line="360" w:lineRule="auto"/>
        <w:rPr>
          <w:rFonts w:ascii="Times New Roman" w:hAnsi="Times New Roman"/>
          <w:lang w:eastAsia="zh-CN"/>
        </w:rPr>
      </w:pPr>
    </w:p>
    <w:p>
      <w:pPr>
        <w:spacing w:line="360" w:lineRule="auto"/>
        <w:ind w:left="7"/>
        <w:rPr>
          <w:rFonts w:ascii="Times New Roman" w:hAnsi="Times New Roman" w:eastAsia="黑体" w:cs="黑体"/>
          <w:sz w:val="20"/>
          <w:szCs w:val="20"/>
          <w:lang w:eastAsia="zh-CN"/>
        </w:rPr>
      </w:pPr>
      <w:r>
        <w:rPr>
          <w:rFonts w:ascii="Times New Roman" w:hAnsi="Times New Roman" w:eastAsia="黑体" w:cs="黑体"/>
          <w:b/>
          <w:bCs/>
          <w:sz w:val="20"/>
          <w:szCs w:val="20"/>
          <w:lang w:eastAsia="zh-CN"/>
        </w:rPr>
        <w:t>提供由法定代表人或其接权委托人签字并加盖公章的承诺书。承诺书格式自拟。</w:t>
      </w:r>
    </w:p>
    <w:p>
      <w:pPr>
        <w:spacing w:line="360" w:lineRule="auto"/>
        <w:rPr>
          <w:rFonts w:ascii="Times New Roman" w:hAnsi="Times New Roman" w:eastAsia="黑体" w:cs="黑体"/>
          <w:sz w:val="20"/>
          <w:szCs w:val="20"/>
          <w:lang w:eastAsia="zh-CN"/>
        </w:rPr>
        <w:sectPr>
          <w:footerReference r:id="rId37" w:type="default"/>
          <w:pgSz w:w="11905" w:h="16838"/>
          <w:pgMar w:top="1134" w:right="1134" w:bottom="1134" w:left="1134" w:header="0" w:footer="1043" w:gutter="0"/>
          <w:cols w:space="0" w:num="1"/>
        </w:sectPr>
      </w:pPr>
    </w:p>
    <w:p>
      <w:pPr>
        <w:spacing w:line="360" w:lineRule="auto"/>
        <w:ind w:left="300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九、商务及技术条款偏离表</w:t>
      </w:r>
    </w:p>
    <w:p>
      <w:pPr>
        <w:spacing w:line="360" w:lineRule="auto"/>
        <w:ind w:left="354"/>
        <w:rPr>
          <w:rFonts w:ascii="Times New Roman" w:hAnsi="Times New Roman" w:eastAsia="宋体" w:cs="宋体"/>
          <w:sz w:val="24"/>
          <w:szCs w:val="24"/>
        </w:rPr>
      </w:pPr>
      <w:r>
        <w:rPr>
          <w:rFonts w:ascii="Times New Roman" w:hAnsi="Times New Roman" w:eastAsia="宋体" w:cs="宋体"/>
          <w:sz w:val="24"/>
          <w:szCs w:val="24"/>
        </w:rPr>
        <w:t>项目名称：</w:t>
      </w:r>
    </w:p>
    <w:p>
      <w:pPr>
        <w:spacing w:line="360" w:lineRule="auto"/>
        <w:rPr>
          <w:rFonts w:ascii="Times New Roman" w:hAnsi="Times New Roman"/>
        </w:rPr>
      </w:pPr>
    </w:p>
    <w:tbl>
      <w:tblPr>
        <w:tblStyle w:val="20"/>
        <w:tblW w:w="9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596"/>
        <w:gridCol w:w="3156"/>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24" w:type="dxa"/>
          </w:tcPr>
          <w:p>
            <w:pPr>
              <w:pStyle w:val="21"/>
            </w:pPr>
            <w:r>
              <w:t>序号</w:t>
            </w:r>
          </w:p>
        </w:tc>
        <w:tc>
          <w:tcPr>
            <w:tcW w:w="3596" w:type="dxa"/>
          </w:tcPr>
          <w:p>
            <w:pPr>
              <w:pStyle w:val="21"/>
            </w:pPr>
            <w:r>
              <w:t>招标文件的条款</w:t>
            </w:r>
          </w:p>
        </w:tc>
        <w:tc>
          <w:tcPr>
            <w:tcW w:w="3156" w:type="dxa"/>
          </w:tcPr>
          <w:p>
            <w:pPr>
              <w:pStyle w:val="21"/>
            </w:pPr>
            <w:r>
              <w:t>投标文件的条款</w:t>
            </w:r>
          </w:p>
        </w:tc>
        <w:tc>
          <w:tcPr>
            <w:tcW w:w="1493" w:type="dxa"/>
          </w:tcPr>
          <w:p>
            <w:pPr>
              <w:pStyle w:val="21"/>
            </w:pPr>
            <w: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24" w:type="dxa"/>
          </w:tcPr>
          <w:p>
            <w:pPr>
              <w:spacing w:line="360" w:lineRule="auto"/>
              <w:rPr>
                <w:rFonts w:ascii="Times New Roman" w:hAnsi="Times New Roman"/>
              </w:rPr>
            </w:pPr>
          </w:p>
        </w:tc>
        <w:tc>
          <w:tcPr>
            <w:tcW w:w="3596" w:type="dxa"/>
          </w:tcPr>
          <w:p>
            <w:pPr>
              <w:spacing w:line="360" w:lineRule="auto"/>
              <w:rPr>
                <w:rFonts w:ascii="Times New Roman" w:hAnsi="Times New Roman"/>
              </w:rPr>
            </w:pPr>
          </w:p>
        </w:tc>
        <w:tc>
          <w:tcPr>
            <w:tcW w:w="3156" w:type="dxa"/>
          </w:tcPr>
          <w:p>
            <w:pPr>
              <w:spacing w:line="360" w:lineRule="auto"/>
              <w:rPr>
                <w:rFonts w:ascii="Times New Roman" w:hAnsi="Times New Roman"/>
              </w:rPr>
            </w:pPr>
          </w:p>
        </w:tc>
        <w:tc>
          <w:tcPr>
            <w:tcW w:w="1493" w:type="dxa"/>
          </w:tcPr>
          <w:p>
            <w:pPr>
              <w:spacing w:line="360" w:lineRule="auto"/>
              <w:rPr>
                <w:rFonts w:ascii="Times New Roman" w:hAnsi="Times New Roman"/>
              </w:rPr>
            </w:pPr>
          </w:p>
        </w:tc>
      </w:tr>
    </w:tbl>
    <w:p>
      <w:pPr>
        <w:spacing w:line="360" w:lineRule="auto"/>
        <w:ind w:left="413" w:hanging="9"/>
        <w:rPr>
          <w:rFonts w:ascii="Times New Roman" w:hAnsi="Times New Roman" w:eastAsia="宋体" w:cs="宋体"/>
          <w:sz w:val="24"/>
          <w:szCs w:val="24"/>
          <w:lang w:eastAsia="zh-CN"/>
        </w:rPr>
      </w:pPr>
      <w:r>
        <w:rPr>
          <w:rFonts w:ascii="Times New Roman" w:hAnsi="Times New Roman" w:eastAsia="宋体" w:cs="宋体"/>
          <w:sz w:val="24"/>
          <w:szCs w:val="24"/>
          <w:lang w:eastAsia="zh-CN"/>
        </w:rPr>
        <w:t xml:space="preserve">注：投标人所提供的文件与招标文件中的要求如有任何偏差，都必须在“偏离表” 中列出。 </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没有偏离请填无或无偏离</w:t>
      </w:r>
      <w:r>
        <w:rPr>
          <w:rFonts w:hint="eastAsia" w:ascii="Times New Roman" w:hAnsi="Times New Roman" w:eastAsia="宋体" w:cs="宋体"/>
          <w:sz w:val="24"/>
          <w:szCs w:val="24"/>
          <w:lang w:eastAsia="zh-CN"/>
        </w:rPr>
        <w:t>）</w:t>
      </w:r>
    </w:p>
    <w:p>
      <w:pPr>
        <w:pStyle w:val="5"/>
        <w:spacing w:line="360" w:lineRule="auto"/>
        <w:rPr>
          <w:rFonts w:ascii="Times New Roman" w:hAnsi="Times New Roman"/>
          <w:lang w:eastAsia="zh-CN"/>
        </w:rPr>
      </w:pPr>
    </w:p>
    <w:p>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供应商</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法人代表或委托代理人</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签字或盖章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pPr>
        <w:spacing w:line="360" w:lineRule="auto"/>
        <w:ind w:left="855"/>
        <w:rPr>
          <w:rFonts w:ascii="Times New Roman" w:hAnsi="Times New Roman" w:eastAsia="宋体" w:cs="宋体"/>
          <w:sz w:val="24"/>
          <w:szCs w:val="24"/>
        </w:rPr>
      </w:pPr>
      <w:r>
        <w:rPr>
          <w:rFonts w:ascii="Times New Roman" w:hAnsi="Times New Roman" w:eastAsia="宋体" w:cs="宋体"/>
          <w:sz w:val="24"/>
          <w:szCs w:val="24"/>
        </w:rPr>
        <w:t>日 期 ：  年      月       日</w:t>
      </w:r>
    </w:p>
    <w:p>
      <w:pPr>
        <w:spacing w:line="360" w:lineRule="auto"/>
        <w:rPr>
          <w:rFonts w:ascii="Times New Roman" w:hAnsi="Times New Roman" w:eastAsia="宋体" w:cs="宋体"/>
          <w:sz w:val="24"/>
          <w:szCs w:val="24"/>
        </w:rPr>
        <w:sectPr>
          <w:footerReference r:id="rId38" w:type="default"/>
          <w:pgSz w:w="11905" w:h="16838"/>
          <w:pgMar w:top="1134" w:right="1134" w:bottom="1134" w:left="1134" w:header="0" w:footer="1043" w:gutter="0"/>
          <w:cols w:space="0" w:num="1"/>
        </w:sectPr>
      </w:pPr>
    </w:p>
    <w:p>
      <w:pPr>
        <w:spacing w:line="360" w:lineRule="auto"/>
        <w:ind w:left="3219"/>
        <w:rPr>
          <w:rFonts w:ascii="Times New Roman" w:hAnsi="Times New Roman" w:eastAsia="宋体" w:cs="宋体"/>
          <w:sz w:val="33"/>
          <w:szCs w:val="33"/>
        </w:rPr>
      </w:pPr>
      <w:r>
        <w:rPr>
          <w:rFonts w:ascii="Times New Roman" w:hAnsi="Times New Roman" w:eastAsia="宋体" w:cs="宋体"/>
          <w:b/>
          <w:bCs/>
          <w:sz w:val="33"/>
          <w:szCs w:val="33"/>
        </w:rPr>
        <w:t>十、其他材料</w:t>
      </w:r>
    </w:p>
    <w:p>
      <w:pPr>
        <w:pStyle w:val="5"/>
        <w:spacing w:line="360" w:lineRule="auto"/>
        <w:rPr>
          <w:rFonts w:ascii="Times New Roman" w:hAnsi="Times New Roman"/>
        </w:rPr>
      </w:pPr>
    </w:p>
    <w:p>
      <w:pPr>
        <w:pStyle w:val="5"/>
        <w:spacing w:line="360" w:lineRule="auto"/>
        <w:rPr>
          <w:rFonts w:ascii="Times New Roman" w:hAnsi="Times New Roman"/>
        </w:rPr>
      </w:pPr>
    </w:p>
    <w:p>
      <w:pPr>
        <w:pStyle w:val="5"/>
        <w:spacing w:line="360" w:lineRule="auto"/>
        <w:rPr>
          <w:rFonts w:ascii="Times New Roman" w:hAnsi="Times New Roman"/>
        </w:rPr>
      </w:pPr>
    </w:p>
    <w:p>
      <w:pPr>
        <w:pStyle w:val="5"/>
        <w:spacing w:line="360" w:lineRule="auto"/>
        <w:rPr>
          <w:rFonts w:ascii="Times New Roman" w:hAnsi="Times New Roman"/>
        </w:rPr>
      </w:pPr>
    </w:p>
    <w:p>
      <w:pPr>
        <w:spacing w:line="360" w:lineRule="auto"/>
        <w:ind w:left="1068"/>
        <w:outlineLvl w:val="6"/>
        <w:rPr>
          <w:rFonts w:ascii="Times New Roman" w:hAnsi="Times New Roman" w:eastAsia="宋体" w:cs="宋体"/>
          <w:sz w:val="22"/>
          <w:szCs w:val="22"/>
          <w:lang w:eastAsia="zh-CN"/>
        </w:rPr>
      </w:pPr>
      <w:r>
        <w:rPr>
          <w:rFonts w:ascii="Times New Roman" w:hAnsi="Times New Roman" w:eastAsia="宋体" w:cs="宋体"/>
          <w:sz w:val="22"/>
          <w:szCs w:val="22"/>
          <w:lang w:eastAsia="zh-CN"/>
        </w:rPr>
        <w:t>1、投标人认为有必要的其它资料及评标办法评审项目的其他证明材料。</w:t>
      </w:r>
    </w:p>
    <w:p>
      <w:pPr>
        <w:spacing w:line="360" w:lineRule="auto"/>
        <w:rPr>
          <w:rFonts w:ascii="Times New Roman" w:hAnsi="Times New Roman" w:eastAsia="宋体" w:cs="宋体"/>
          <w:sz w:val="22"/>
          <w:szCs w:val="22"/>
          <w:lang w:eastAsia="zh-CN"/>
        </w:rPr>
        <w:sectPr>
          <w:footerReference r:id="rId39" w:type="default"/>
          <w:pgSz w:w="11905" w:h="16838"/>
          <w:pgMar w:top="1134" w:right="1134" w:bottom="1134" w:left="1134" w:header="0" w:footer="1056" w:gutter="0"/>
          <w:cols w:space="0" w:num="1"/>
        </w:sectPr>
      </w:pPr>
    </w:p>
    <w:p>
      <w:pPr>
        <w:pStyle w:val="3"/>
        <w:jc w:val="center"/>
        <w:rPr>
          <w:sz w:val="32"/>
          <w:szCs w:val="22"/>
          <w:lang w:eastAsia="zh-CN"/>
        </w:rPr>
      </w:pPr>
      <w:bookmarkStart w:id="136" w:name="_Toc19574"/>
      <w:r>
        <w:rPr>
          <w:sz w:val="32"/>
          <w:szCs w:val="22"/>
          <w:lang w:eastAsia="zh-CN"/>
        </w:rPr>
        <w:t>第七章技术标准及要求</w:t>
      </w:r>
      <w:bookmarkEnd w:id="136"/>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pStyle w:val="5"/>
        <w:spacing w:line="360" w:lineRule="auto"/>
        <w:rPr>
          <w:rFonts w:ascii="Times New Roman" w:hAnsi="Times New Roman"/>
          <w:lang w:eastAsia="zh-CN"/>
        </w:rPr>
      </w:pPr>
    </w:p>
    <w:p>
      <w:pPr>
        <w:spacing w:line="360" w:lineRule="auto"/>
        <w:ind w:left="805"/>
        <w:rPr>
          <w:rFonts w:ascii="Times New Roman" w:hAnsi="Times New Roman" w:eastAsia="宋体" w:cs="宋体"/>
          <w:sz w:val="22"/>
          <w:szCs w:val="22"/>
          <w:lang w:eastAsia="zh-CN"/>
        </w:rPr>
      </w:pPr>
      <w:r>
        <w:rPr>
          <w:rFonts w:ascii="Times New Roman" w:hAnsi="Times New Roman" w:eastAsia="宋体" w:cs="宋体"/>
          <w:sz w:val="22"/>
          <w:szCs w:val="22"/>
          <w:lang w:eastAsia="zh-CN"/>
        </w:rPr>
        <w:t>需严格执行国家及省、市相应的规范、标准及规定、强制性标准和要求。</w:t>
      </w:r>
    </w:p>
    <w:sectPr>
      <w:footerReference r:id="rId40" w:type="default"/>
      <w:pgSz w:w="11905" w:h="16838"/>
      <w:pgMar w:top="1134" w:right="1134" w:bottom="1134" w:left="1134" w:header="0" w:footer="104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2" o:spid="_x0000_s1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1" o:spid="_x0000_s1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0" o:spid="_x0000_s1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9" o:spid="_x0000_s1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8" o:spid="_x0000_s1048"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7" o:spid="_x0000_s104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6" o:spid="_x0000_s104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5" o:spid="_x0000_s104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4" o:spid="_x0000_s104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3" o:spid="_x0000_s1043"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2" o:spid="_x0000_s104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44</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1" o:spid="_x0000_s1041"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40" o:spid="_x0000_s104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9" o:spid="_x0000_s1039"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8" o:spid="_x0000_s103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7" o:spid="_x0000_s1037"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6" o:spid="_x0000_s103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50</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5" o:spid="_x0000_s1035"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52</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4" o:spid="_x0000_s1034"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3" o:spid="_x0000_s1033"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2" o:spid="_x0000_s1032"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1" o:spid="_x0000_s1031"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56</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0" o:spid="_x0000_s1030"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9" o:spid="_x0000_s1029"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8" o:spid="_x0000_s1028"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34"/>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34"/>
      <w:rPr>
        <w:rFonts w:ascii="宋体" w:hAnsi="宋体" w:eastAsia="宋体" w:cs="宋体"/>
        <w:sz w:val="16"/>
        <w:szCs w:val="16"/>
      </w:rPr>
    </w:pPr>
    <w:r>
      <w:rPr>
        <w:sz w:val="16"/>
      </w:rPr>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6"/>
        <w:szCs w:val="16"/>
      </w:rPr>
    </w:pPr>
    <w:r>
      <w:rPr>
        <w:sz w:val="16"/>
      </w:rPr>
      <w:pict>
        <v:shape id="_x0000_s1056" o:spid="_x0000_s1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5" o:spid="_x0000_s1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4" o:spid="_x0000_s1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53" o:spid="_x0000_s1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A0121"/>
    <w:multiLevelType w:val="multilevel"/>
    <w:tmpl w:val="ED5A0121"/>
    <w:lvl w:ilvl="0" w:tentative="0">
      <w:start w:val="1"/>
      <w:numFmt w:val="bullet"/>
      <w:pStyle w:val="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99"/>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FkYWU0Y2M4M2YwZTY4MTU4ZjRlYTkzMWEwMmQ2ZjEifQ=="/>
    <w:docVar w:name="KSO_WPS_MARK_KEY" w:val="56fb1725-26a3-419b-a9e0-d5ecddc54e73"/>
  </w:docVars>
  <w:rsids>
    <w:rsidRoot w:val="004823B6"/>
    <w:rsid w:val="00066203"/>
    <w:rsid w:val="00186E5F"/>
    <w:rsid w:val="002239E6"/>
    <w:rsid w:val="0026247C"/>
    <w:rsid w:val="004823B6"/>
    <w:rsid w:val="004942F9"/>
    <w:rsid w:val="005F037B"/>
    <w:rsid w:val="00603C22"/>
    <w:rsid w:val="006D51E4"/>
    <w:rsid w:val="006F2EEA"/>
    <w:rsid w:val="006F5AB7"/>
    <w:rsid w:val="0088486C"/>
    <w:rsid w:val="008C311E"/>
    <w:rsid w:val="009A2A0D"/>
    <w:rsid w:val="00B539F5"/>
    <w:rsid w:val="00BE7797"/>
    <w:rsid w:val="00C11658"/>
    <w:rsid w:val="00E336F1"/>
    <w:rsid w:val="00F15729"/>
    <w:rsid w:val="00F20DF0"/>
    <w:rsid w:val="00F5343D"/>
    <w:rsid w:val="00FE23DA"/>
    <w:rsid w:val="00FE5D70"/>
    <w:rsid w:val="011937D7"/>
    <w:rsid w:val="01DF5C17"/>
    <w:rsid w:val="025C7268"/>
    <w:rsid w:val="025F567B"/>
    <w:rsid w:val="026779BA"/>
    <w:rsid w:val="027C16B8"/>
    <w:rsid w:val="029B04C9"/>
    <w:rsid w:val="02AD7AC3"/>
    <w:rsid w:val="02B01361"/>
    <w:rsid w:val="02B0310F"/>
    <w:rsid w:val="02B85023"/>
    <w:rsid w:val="030516AD"/>
    <w:rsid w:val="030F3F35"/>
    <w:rsid w:val="0316204F"/>
    <w:rsid w:val="03541CED"/>
    <w:rsid w:val="043164D2"/>
    <w:rsid w:val="049B394B"/>
    <w:rsid w:val="05222D89"/>
    <w:rsid w:val="05592701"/>
    <w:rsid w:val="056B1570"/>
    <w:rsid w:val="057E12A3"/>
    <w:rsid w:val="05A131E3"/>
    <w:rsid w:val="05F45A09"/>
    <w:rsid w:val="060914B4"/>
    <w:rsid w:val="06684BBA"/>
    <w:rsid w:val="06D04346"/>
    <w:rsid w:val="06D575E9"/>
    <w:rsid w:val="06F141E7"/>
    <w:rsid w:val="06F55595"/>
    <w:rsid w:val="070B125C"/>
    <w:rsid w:val="07320597"/>
    <w:rsid w:val="074E2EF7"/>
    <w:rsid w:val="07746E01"/>
    <w:rsid w:val="078057A6"/>
    <w:rsid w:val="078E3996"/>
    <w:rsid w:val="07944DAE"/>
    <w:rsid w:val="07B05960"/>
    <w:rsid w:val="07CF5DE6"/>
    <w:rsid w:val="082425D6"/>
    <w:rsid w:val="088210AA"/>
    <w:rsid w:val="08997829"/>
    <w:rsid w:val="08B9642C"/>
    <w:rsid w:val="09121B08"/>
    <w:rsid w:val="09594501"/>
    <w:rsid w:val="09A17C56"/>
    <w:rsid w:val="09B96D4E"/>
    <w:rsid w:val="09D05E45"/>
    <w:rsid w:val="0A540824"/>
    <w:rsid w:val="0A92134D"/>
    <w:rsid w:val="0A9652E1"/>
    <w:rsid w:val="0AA01CBB"/>
    <w:rsid w:val="0ACC485F"/>
    <w:rsid w:val="0AE91AF9"/>
    <w:rsid w:val="0B260413"/>
    <w:rsid w:val="0B297F03"/>
    <w:rsid w:val="0B3D750A"/>
    <w:rsid w:val="0B4765DB"/>
    <w:rsid w:val="0B626F71"/>
    <w:rsid w:val="0C05627A"/>
    <w:rsid w:val="0C403756"/>
    <w:rsid w:val="0C6D3E1F"/>
    <w:rsid w:val="0C8C24F7"/>
    <w:rsid w:val="0CA23AC9"/>
    <w:rsid w:val="0CD55B98"/>
    <w:rsid w:val="0CD8050E"/>
    <w:rsid w:val="0CF84031"/>
    <w:rsid w:val="0D006E92"/>
    <w:rsid w:val="0D1B387B"/>
    <w:rsid w:val="0D270472"/>
    <w:rsid w:val="0D705975"/>
    <w:rsid w:val="0D887163"/>
    <w:rsid w:val="0D927FE1"/>
    <w:rsid w:val="0DA25D4B"/>
    <w:rsid w:val="0DB03D36"/>
    <w:rsid w:val="0DCA2386"/>
    <w:rsid w:val="0DFC36AD"/>
    <w:rsid w:val="0E0662D9"/>
    <w:rsid w:val="0E0E518E"/>
    <w:rsid w:val="0E4A08BC"/>
    <w:rsid w:val="0E511C4A"/>
    <w:rsid w:val="0E686F94"/>
    <w:rsid w:val="0E6F0323"/>
    <w:rsid w:val="0E7C47EE"/>
    <w:rsid w:val="0E884F40"/>
    <w:rsid w:val="0E9733D5"/>
    <w:rsid w:val="0EF923EE"/>
    <w:rsid w:val="0F206DCD"/>
    <w:rsid w:val="0F2837E8"/>
    <w:rsid w:val="0F2F0D51"/>
    <w:rsid w:val="0FCB1589"/>
    <w:rsid w:val="0FE8038D"/>
    <w:rsid w:val="0FFD54BA"/>
    <w:rsid w:val="101D790A"/>
    <w:rsid w:val="10246EEB"/>
    <w:rsid w:val="10270CA8"/>
    <w:rsid w:val="102962AF"/>
    <w:rsid w:val="10352EA6"/>
    <w:rsid w:val="105E41AB"/>
    <w:rsid w:val="1077526D"/>
    <w:rsid w:val="108654B0"/>
    <w:rsid w:val="109A0F5B"/>
    <w:rsid w:val="10BE2E9B"/>
    <w:rsid w:val="10C2298C"/>
    <w:rsid w:val="10EC0A38"/>
    <w:rsid w:val="111B02EE"/>
    <w:rsid w:val="111C6B89"/>
    <w:rsid w:val="1125116C"/>
    <w:rsid w:val="11407D54"/>
    <w:rsid w:val="114A3997"/>
    <w:rsid w:val="11DB3201"/>
    <w:rsid w:val="11F748B7"/>
    <w:rsid w:val="12303925"/>
    <w:rsid w:val="12661A3D"/>
    <w:rsid w:val="12AB744F"/>
    <w:rsid w:val="13117BFA"/>
    <w:rsid w:val="131C20FB"/>
    <w:rsid w:val="13297348"/>
    <w:rsid w:val="136D1943"/>
    <w:rsid w:val="137A283D"/>
    <w:rsid w:val="13AA7707"/>
    <w:rsid w:val="13B35FF1"/>
    <w:rsid w:val="13D34EB0"/>
    <w:rsid w:val="13DA4490"/>
    <w:rsid w:val="13E470BD"/>
    <w:rsid w:val="145A553C"/>
    <w:rsid w:val="146C0B28"/>
    <w:rsid w:val="14795475"/>
    <w:rsid w:val="14AC432D"/>
    <w:rsid w:val="14B60A59"/>
    <w:rsid w:val="14E11805"/>
    <w:rsid w:val="152C0D1B"/>
    <w:rsid w:val="15374ED2"/>
    <w:rsid w:val="154C6CC8"/>
    <w:rsid w:val="15B30AF5"/>
    <w:rsid w:val="15DF7B3C"/>
    <w:rsid w:val="161A6DC6"/>
    <w:rsid w:val="164107F7"/>
    <w:rsid w:val="164B51D1"/>
    <w:rsid w:val="1674297A"/>
    <w:rsid w:val="16810BF3"/>
    <w:rsid w:val="16921052"/>
    <w:rsid w:val="169923E1"/>
    <w:rsid w:val="16DB47A7"/>
    <w:rsid w:val="16FF5E45"/>
    <w:rsid w:val="1767428D"/>
    <w:rsid w:val="17DB07D7"/>
    <w:rsid w:val="17DD00AB"/>
    <w:rsid w:val="18015B6E"/>
    <w:rsid w:val="186B4E30"/>
    <w:rsid w:val="18754787"/>
    <w:rsid w:val="1881137E"/>
    <w:rsid w:val="18846779"/>
    <w:rsid w:val="18B76B4E"/>
    <w:rsid w:val="18E436BB"/>
    <w:rsid w:val="19572765"/>
    <w:rsid w:val="19874772"/>
    <w:rsid w:val="19BC47E2"/>
    <w:rsid w:val="19DB686C"/>
    <w:rsid w:val="19EA2F53"/>
    <w:rsid w:val="19EC4C52"/>
    <w:rsid w:val="19FB6F0E"/>
    <w:rsid w:val="19FC4ED3"/>
    <w:rsid w:val="1A293A7B"/>
    <w:rsid w:val="1A412F43"/>
    <w:rsid w:val="1AA2738A"/>
    <w:rsid w:val="1ABE480F"/>
    <w:rsid w:val="1AEB5933"/>
    <w:rsid w:val="1AF5395E"/>
    <w:rsid w:val="1B0D6EF9"/>
    <w:rsid w:val="1B102545"/>
    <w:rsid w:val="1B302BE8"/>
    <w:rsid w:val="1B32070E"/>
    <w:rsid w:val="1B5E64BF"/>
    <w:rsid w:val="1B8371BB"/>
    <w:rsid w:val="1B90760A"/>
    <w:rsid w:val="1B99078D"/>
    <w:rsid w:val="1BC05D1A"/>
    <w:rsid w:val="1BD619E1"/>
    <w:rsid w:val="1C135997"/>
    <w:rsid w:val="1C353A9B"/>
    <w:rsid w:val="1C850D11"/>
    <w:rsid w:val="1C967551"/>
    <w:rsid w:val="1CBC0BD7"/>
    <w:rsid w:val="1D352737"/>
    <w:rsid w:val="1D484219"/>
    <w:rsid w:val="1D6E430A"/>
    <w:rsid w:val="1DBC4C07"/>
    <w:rsid w:val="1DCF0496"/>
    <w:rsid w:val="1DD71A40"/>
    <w:rsid w:val="1E05035C"/>
    <w:rsid w:val="1E162569"/>
    <w:rsid w:val="1E256308"/>
    <w:rsid w:val="1E9F255E"/>
    <w:rsid w:val="1EA77665"/>
    <w:rsid w:val="1EAC4C7B"/>
    <w:rsid w:val="1EC2624D"/>
    <w:rsid w:val="1EF83A1C"/>
    <w:rsid w:val="1EFD7285"/>
    <w:rsid w:val="1F132604"/>
    <w:rsid w:val="1F2B2044"/>
    <w:rsid w:val="1F301408"/>
    <w:rsid w:val="1F42429F"/>
    <w:rsid w:val="1F5A46D7"/>
    <w:rsid w:val="1F664E2A"/>
    <w:rsid w:val="1F9A0F77"/>
    <w:rsid w:val="1FA616CA"/>
    <w:rsid w:val="1FAA6E36"/>
    <w:rsid w:val="1FDF698A"/>
    <w:rsid w:val="1FEF6BCD"/>
    <w:rsid w:val="20337402"/>
    <w:rsid w:val="20515ADA"/>
    <w:rsid w:val="20547F60"/>
    <w:rsid w:val="205F2E5C"/>
    <w:rsid w:val="20EA16D6"/>
    <w:rsid w:val="210E39CB"/>
    <w:rsid w:val="217750CC"/>
    <w:rsid w:val="217832C3"/>
    <w:rsid w:val="21895CBD"/>
    <w:rsid w:val="2197751D"/>
    <w:rsid w:val="21BE719F"/>
    <w:rsid w:val="22026C30"/>
    <w:rsid w:val="22602004"/>
    <w:rsid w:val="226C09A9"/>
    <w:rsid w:val="228026A7"/>
    <w:rsid w:val="22877591"/>
    <w:rsid w:val="228F4698"/>
    <w:rsid w:val="235B16F9"/>
    <w:rsid w:val="235C6C70"/>
    <w:rsid w:val="23607DE2"/>
    <w:rsid w:val="23807B6F"/>
    <w:rsid w:val="23F073B8"/>
    <w:rsid w:val="23FF75FB"/>
    <w:rsid w:val="243472A5"/>
    <w:rsid w:val="243C084F"/>
    <w:rsid w:val="2443398C"/>
    <w:rsid w:val="2443573A"/>
    <w:rsid w:val="246062EC"/>
    <w:rsid w:val="2479115B"/>
    <w:rsid w:val="247955FF"/>
    <w:rsid w:val="247E2C16"/>
    <w:rsid w:val="24B44889"/>
    <w:rsid w:val="24D64800"/>
    <w:rsid w:val="24E011DB"/>
    <w:rsid w:val="24FA6740"/>
    <w:rsid w:val="252A06A8"/>
    <w:rsid w:val="25781413"/>
    <w:rsid w:val="25D77399"/>
    <w:rsid w:val="2604714B"/>
    <w:rsid w:val="260B2287"/>
    <w:rsid w:val="2647055B"/>
    <w:rsid w:val="26793695"/>
    <w:rsid w:val="26A92FFB"/>
    <w:rsid w:val="26EF7DFB"/>
    <w:rsid w:val="273E668C"/>
    <w:rsid w:val="27402404"/>
    <w:rsid w:val="276500BD"/>
    <w:rsid w:val="27A209C9"/>
    <w:rsid w:val="27B84691"/>
    <w:rsid w:val="27C2106B"/>
    <w:rsid w:val="28045EDF"/>
    <w:rsid w:val="280E2503"/>
    <w:rsid w:val="28277120"/>
    <w:rsid w:val="28305FD5"/>
    <w:rsid w:val="28321D4D"/>
    <w:rsid w:val="285A74F6"/>
    <w:rsid w:val="28610884"/>
    <w:rsid w:val="286345FC"/>
    <w:rsid w:val="28757E8C"/>
    <w:rsid w:val="28EF40E2"/>
    <w:rsid w:val="29622B06"/>
    <w:rsid w:val="297805EA"/>
    <w:rsid w:val="297D349C"/>
    <w:rsid w:val="29A361C6"/>
    <w:rsid w:val="29C0782D"/>
    <w:rsid w:val="29D56D78"/>
    <w:rsid w:val="29FF6315"/>
    <w:rsid w:val="2A24600D"/>
    <w:rsid w:val="2A663F30"/>
    <w:rsid w:val="2A697EC4"/>
    <w:rsid w:val="2A742AF1"/>
    <w:rsid w:val="2A7501E7"/>
    <w:rsid w:val="2A97058D"/>
    <w:rsid w:val="2ABA24CE"/>
    <w:rsid w:val="2ABB0720"/>
    <w:rsid w:val="2AE61515"/>
    <w:rsid w:val="2AED63FF"/>
    <w:rsid w:val="2B4C3BF3"/>
    <w:rsid w:val="2B4F2C16"/>
    <w:rsid w:val="2B8C3E6A"/>
    <w:rsid w:val="2B8C60F0"/>
    <w:rsid w:val="2BFA7026"/>
    <w:rsid w:val="2C0559CB"/>
    <w:rsid w:val="2C4E6D35"/>
    <w:rsid w:val="2CF41CC7"/>
    <w:rsid w:val="2D012636"/>
    <w:rsid w:val="2D5F6719"/>
    <w:rsid w:val="2DAF2092"/>
    <w:rsid w:val="2DE47F8D"/>
    <w:rsid w:val="2E5C3A70"/>
    <w:rsid w:val="2EA74B17"/>
    <w:rsid w:val="2EAF6A86"/>
    <w:rsid w:val="2EC27BA3"/>
    <w:rsid w:val="2ED2428A"/>
    <w:rsid w:val="2EF7784D"/>
    <w:rsid w:val="2F0F43EF"/>
    <w:rsid w:val="2F3C5BA7"/>
    <w:rsid w:val="2F587F49"/>
    <w:rsid w:val="2F8D1F5F"/>
    <w:rsid w:val="2FB41BE1"/>
    <w:rsid w:val="2FE04BDD"/>
    <w:rsid w:val="302208F9"/>
    <w:rsid w:val="30442F65"/>
    <w:rsid w:val="309061AB"/>
    <w:rsid w:val="30937A49"/>
    <w:rsid w:val="30AE4883"/>
    <w:rsid w:val="30C10112"/>
    <w:rsid w:val="30EC0F07"/>
    <w:rsid w:val="30ED53AB"/>
    <w:rsid w:val="30F2476F"/>
    <w:rsid w:val="311F5076"/>
    <w:rsid w:val="316519E7"/>
    <w:rsid w:val="319475D5"/>
    <w:rsid w:val="31973569"/>
    <w:rsid w:val="31AA329C"/>
    <w:rsid w:val="31ED4F37"/>
    <w:rsid w:val="32250B75"/>
    <w:rsid w:val="32476D3D"/>
    <w:rsid w:val="32780CA4"/>
    <w:rsid w:val="32D37E41"/>
    <w:rsid w:val="32EB76C8"/>
    <w:rsid w:val="334B0167"/>
    <w:rsid w:val="33596D28"/>
    <w:rsid w:val="336F654B"/>
    <w:rsid w:val="33784CD4"/>
    <w:rsid w:val="33DB773D"/>
    <w:rsid w:val="342804A8"/>
    <w:rsid w:val="34603342"/>
    <w:rsid w:val="34897199"/>
    <w:rsid w:val="349077F1"/>
    <w:rsid w:val="34AC2E87"/>
    <w:rsid w:val="34E2354C"/>
    <w:rsid w:val="351849C1"/>
    <w:rsid w:val="3550415A"/>
    <w:rsid w:val="35643762"/>
    <w:rsid w:val="357F059C"/>
    <w:rsid w:val="35944047"/>
    <w:rsid w:val="35CD57AB"/>
    <w:rsid w:val="35EF38C5"/>
    <w:rsid w:val="36257395"/>
    <w:rsid w:val="36A726E3"/>
    <w:rsid w:val="36C02C1A"/>
    <w:rsid w:val="36F54FB9"/>
    <w:rsid w:val="36FA437E"/>
    <w:rsid w:val="36FD5C1C"/>
    <w:rsid w:val="37691D16"/>
    <w:rsid w:val="37866434"/>
    <w:rsid w:val="37D56B99"/>
    <w:rsid w:val="37E138A3"/>
    <w:rsid w:val="37EB798A"/>
    <w:rsid w:val="385555E4"/>
    <w:rsid w:val="38591578"/>
    <w:rsid w:val="38C066BA"/>
    <w:rsid w:val="38DD3F57"/>
    <w:rsid w:val="39657AA9"/>
    <w:rsid w:val="399B34CA"/>
    <w:rsid w:val="3A004FB1"/>
    <w:rsid w:val="3A0D43C8"/>
    <w:rsid w:val="3A500759"/>
    <w:rsid w:val="3BC1546A"/>
    <w:rsid w:val="3BF84C04"/>
    <w:rsid w:val="3C2E5A2F"/>
    <w:rsid w:val="3CA37266"/>
    <w:rsid w:val="3CAD1E92"/>
    <w:rsid w:val="3CE07B72"/>
    <w:rsid w:val="3D2E2FD3"/>
    <w:rsid w:val="3D3305EA"/>
    <w:rsid w:val="3D4A76E1"/>
    <w:rsid w:val="3D4C5207"/>
    <w:rsid w:val="3D5E4F3B"/>
    <w:rsid w:val="3DD0408A"/>
    <w:rsid w:val="3DF31B27"/>
    <w:rsid w:val="3DF37D79"/>
    <w:rsid w:val="3E8B6203"/>
    <w:rsid w:val="3EC51715"/>
    <w:rsid w:val="3ECA0ADA"/>
    <w:rsid w:val="3F312907"/>
    <w:rsid w:val="3FD31C10"/>
    <w:rsid w:val="3FFF0C57"/>
    <w:rsid w:val="3FFF47B3"/>
    <w:rsid w:val="40023106"/>
    <w:rsid w:val="401A783F"/>
    <w:rsid w:val="40A84E4B"/>
    <w:rsid w:val="40B27A77"/>
    <w:rsid w:val="40E02836"/>
    <w:rsid w:val="40EA7AAF"/>
    <w:rsid w:val="412C5A7C"/>
    <w:rsid w:val="418F600A"/>
    <w:rsid w:val="41A970CC"/>
    <w:rsid w:val="41F36599"/>
    <w:rsid w:val="42995053"/>
    <w:rsid w:val="42B775C7"/>
    <w:rsid w:val="42D53EF1"/>
    <w:rsid w:val="430345BA"/>
    <w:rsid w:val="431B5DA8"/>
    <w:rsid w:val="438C45B0"/>
    <w:rsid w:val="43B77719"/>
    <w:rsid w:val="43BF2BD7"/>
    <w:rsid w:val="43D83C99"/>
    <w:rsid w:val="445873A3"/>
    <w:rsid w:val="448636F5"/>
    <w:rsid w:val="44AB4F09"/>
    <w:rsid w:val="44C71617"/>
    <w:rsid w:val="44D74953"/>
    <w:rsid w:val="44D77AAC"/>
    <w:rsid w:val="44E421C9"/>
    <w:rsid w:val="44FE5271"/>
    <w:rsid w:val="4508235C"/>
    <w:rsid w:val="45413CBB"/>
    <w:rsid w:val="458662BF"/>
    <w:rsid w:val="45A71B75"/>
    <w:rsid w:val="45AA1FB1"/>
    <w:rsid w:val="45C5002E"/>
    <w:rsid w:val="45FA7D5B"/>
    <w:rsid w:val="460D5750"/>
    <w:rsid w:val="46431172"/>
    <w:rsid w:val="464E1FF0"/>
    <w:rsid w:val="468E4AE3"/>
    <w:rsid w:val="469A68D7"/>
    <w:rsid w:val="46AF4534"/>
    <w:rsid w:val="46DA1AD6"/>
    <w:rsid w:val="46F34946"/>
    <w:rsid w:val="46FA5CD4"/>
    <w:rsid w:val="47266AC9"/>
    <w:rsid w:val="475A49C5"/>
    <w:rsid w:val="47857C94"/>
    <w:rsid w:val="4799373F"/>
    <w:rsid w:val="482C010F"/>
    <w:rsid w:val="486F26F2"/>
    <w:rsid w:val="488C6E00"/>
    <w:rsid w:val="48AC417A"/>
    <w:rsid w:val="48BD520B"/>
    <w:rsid w:val="49080B7C"/>
    <w:rsid w:val="49227202"/>
    <w:rsid w:val="49777AB0"/>
    <w:rsid w:val="498A77E3"/>
    <w:rsid w:val="498B355B"/>
    <w:rsid w:val="49AA56FB"/>
    <w:rsid w:val="49BE56DF"/>
    <w:rsid w:val="4A2F399F"/>
    <w:rsid w:val="4A407EA2"/>
    <w:rsid w:val="4A605AF9"/>
    <w:rsid w:val="4AC00FE3"/>
    <w:rsid w:val="4AE50A49"/>
    <w:rsid w:val="4AFD2237"/>
    <w:rsid w:val="4B1732F9"/>
    <w:rsid w:val="4BC92119"/>
    <w:rsid w:val="4BE07B8E"/>
    <w:rsid w:val="4BE8259F"/>
    <w:rsid w:val="4BED22AB"/>
    <w:rsid w:val="4C123AC0"/>
    <w:rsid w:val="4C1C493F"/>
    <w:rsid w:val="4C404189"/>
    <w:rsid w:val="4C4A325A"/>
    <w:rsid w:val="4CE03BBE"/>
    <w:rsid w:val="4CF66F3E"/>
    <w:rsid w:val="4CF82CB6"/>
    <w:rsid w:val="4D6E2F78"/>
    <w:rsid w:val="4D8602C2"/>
    <w:rsid w:val="4DEC3685"/>
    <w:rsid w:val="4E0B07C7"/>
    <w:rsid w:val="4E102281"/>
    <w:rsid w:val="4E593C28"/>
    <w:rsid w:val="4E5C4359"/>
    <w:rsid w:val="4E5C7274"/>
    <w:rsid w:val="4E6A1991"/>
    <w:rsid w:val="4EDE59FF"/>
    <w:rsid w:val="4EEA4880"/>
    <w:rsid w:val="4FA62E9D"/>
    <w:rsid w:val="4FB21842"/>
    <w:rsid w:val="502618E8"/>
    <w:rsid w:val="50267B3A"/>
    <w:rsid w:val="503C55AF"/>
    <w:rsid w:val="50724B2D"/>
    <w:rsid w:val="50770396"/>
    <w:rsid w:val="50854860"/>
    <w:rsid w:val="509251CF"/>
    <w:rsid w:val="50B9275C"/>
    <w:rsid w:val="50C51101"/>
    <w:rsid w:val="50E27F05"/>
    <w:rsid w:val="50E53551"/>
    <w:rsid w:val="514E559A"/>
    <w:rsid w:val="51764AF1"/>
    <w:rsid w:val="51861734"/>
    <w:rsid w:val="522B57B2"/>
    <w:rsid w:val="52740B3E"/>
    <w:rsid w:val="52E55A8A"/>
    <w:rsid w:val="530E3233"/>
    <w:rsid w:val="534053B7"/>
    <w:rsid w:val="535B3F9E"/>
    <w:rsid w:val="53684416"/>
    <w:rsid w:val="53784B50"/>
    <w:rsid w:val="537961D3"/>
    <w:rsid w:val="537F5EDF"/>
    <w:rsid w:val="53D02297"/>
    <w:rsid w:val="53DB0C3B"/>
    <w:rsid w:val="53EC4BF7"/>
    <w:rsid w:val="53F73CC7"/>
    <w:rsid w:val="54322F51"/>
    <w:rsid w:val="543A753C"/>
    <w:rsid w:val="546649A9"/>
    <w:rsid w:val="547462A6"/>
    <w:rsid w:val="55545149"/>
    <w:rsid w:val="555A2923"/>
    <w:rsid w:val="555D5DAC"/>
    <w:rsid w:val="556E2C73"/>
    <w:rsid w:val="557B0928"/>
    <w:rsid w:val="55801A9A"/>
    <w:rsid w:val="55A345CB"/>
    <w:rsid w:val="55B33C1E"/>
    <w:rsid w:val="561548D9"/>
    <w:rsid w:val="564E1B99"/>
    <w:rsid w:val="56680EAC"/>
    <w:rsid w:val="56C02A96"/>
    <w:rsid w:val="573174F0"/>
    <w:rsid w:val="573963A5"/>
    <w:rsid w:val="57580F21"/>
    <w:rsid w:val="57D367F9"/>
    <w:rsid w:val="57FB4891"/>
    <w:rsid w:val="580D7A8E"/>
    <w:rsid w:val="584274DB"/>
    <w:rsid w:val="58453680"/>
    <w:rsid w:val="589A2E73"/>
    <w:rsid w:val="58A27F7A"/>
    <w:rsid w:val="590429E2"/>
    <w:rsid w:val="59411541"/>
    <w:rsid w:val="59594ADC"/>
    <w:rsid w:val="59D625D1"/>
    <w:rsid w:val="5A225816"/>
    <w:rsid w:val="5A407A4A"/>
    <w:rsid w:val="5A551748"/>
    <w:rsid w:val="5A6E0A5B"/>
    <w:rsid w:val="5A920684"/>
    <w:rsid w:val="5B3C2907"/>
    <w:rsid w:val="5B4F263B"/>
    <w:rsid w:val="5B5E10B5"/>
    <w:rsid w:val="5B7756EE"/>
    <w:rsid w:val="5BA54009"/>
    <w:rsid w:val="5BA74225"/>
    <w:rsid w:val="5BE82147"/>
    <w:rsid w:val="5BF3746A"/>
    <w:rsid w:val="5BF705DC"/>
    <w:rsid w:val="5C182A2D"/>
    <w:rsid w:val="5C4E28F2"/>
    <w:rsid w:val="5C823EB4"/>
    <w:rsid w:val="5C9C18B0"/>
    <w:rsid w:val="5CE84AF5"/>
    <w:rsid w:val="5D0905C7"/>
    <w:rsid w:val="5D0B2591"/>
    <w:rsid w:val="5D6A375C"/>
    <w:rsid w:val="5DAF73C1"/>
    <w:rsid w:val="5DC866D4"/>
    <w:rsid w:val="5DD92690"/>
    <w:rsid w:val="5E127950"/>
    <w:rsid w:val="5E282CCF"/>
    <w:rsid w:val="5E4044BD"/>
    <w:rsid w:val="5EC073AC"/>
    <w:rsid w:val="5F015830"/>
    <w:rsid w:val="5F076D88"/>
    <w:rsid w:val="5F2142EE"/>
    <w:rsid w:val="5F223BC2"/>
    <w:rsid w:val="5F2771EF"/>
    <w:rsid w:val="5F8B1768"/>
    <w:rsid w:val="5F905CC3"/>
    <w:rsid w:val="5F990172"/>
    <w:rsid w:val="5FC05F61"/>
    <w:rsid w:val="5FE13A7D"/>
    <w:rsid w:val="5FEF619A"/>
    <w:rsid w:val="6008100A"/>
    <w:rsid w:val="600F4147"/>
    <w:rsid w:val="606E3563"/>
    <w:rsid w:val="6094289E"/>
    <w:rsid w:val="60AF1486"/>
    <w:rsid w:val="60BA67A8"/>
    <w:rsid w:val="60C679C7"/>
    <w:rsid w:val="60DF60FA"/>
    <w:rsid w:val="60F15F42"/>
    <w:rsid w:val="61047A23"/>
    <w:rsid w:val="611B6B1B"/>
    <w:rsid w:val="61333E65"/>
    <w:rsid w:val="615564D1"/>
    <w:rsid w:val="616109D2"/>
    <w:rsid w:val="61926DDD"/>
    <w:rsid w:val="61AB60F1"/>
    <w:rsid w:val="61D373F6"/>
    <w:rsid w:val="61E138C1"/>
    <w:rsid w:val="62037CDB"/>
    <w:rsid w:val="6220263B"/>
    <w:rsid w:val="62586279"/>
    <w:rsid w:val="626A5FAC"/>
    <w:rsid w:val="627961EF"/>
    <w:rsid w:val="62797F9D"/>
    <w:rsid w:val="628030DA"/>
    <w:rsid w:val="62E713AB"/>
    <w:rsid w:val="62F15D85"/>
    <w:rsid w:val="62F45876"/>
    <w:rsid w:val="63001AC7"/>
    <w:rsid w:val="639E415F"/>
    <w:rsid w:val="63A4104A"/>
    <w:rsid w:val="63F773CC"/>
    <w:rsid w:val="64216B3E"/>
    <w:rsid w:val="643979E4"/>
    <w:rsid w:val="64520AA6"/>
    <w:rsid w:val="645962D8"/>
    <w:rsid w:val="649574F8"/>
    <w:rsid w:val="6497295D"/>
    <w:rsid w:val="64976ABC"/>
    <w:rsid w:val="64A5151D"/>
    <w:rsid w:val="64A62BA0"/>
    <w:rsid w:val="64B21544"/>
    <w:rsid w:val="650A1380"/>
    <w:rsid w:val="651363E4"/>
    <w:rsid w:val="65674A25"/>
    <w:rsid w:val="65B35970"/>
    <w:rsid w:val="66044022"/>
    <w:rsid w:val="6672542F"/>
    <w:rsid w:val="66E63727"/>
    <w:rsid w:val="66EC3434"/>
    <w:rsid w:val="672D1356"/>
    <w:rsid w:val="674F751F"/>
    <w:rsid w:val="675D7E8D"/>
    <w:rsid w:val="67A1243C"/>
    <w:rsid w:val="67B81568"/>
    <w:rsid w:val="67C021CA"/>
    <w:rsid w:val="684921C0"/>
    <w:rsid w:val="685A261F"/>
    <w:rsid w:val="68992648"/>
    <w:rsid w:val="69006D22"/>
    <w:rsid w:val="69074555"/>
    <w:rsid w:val="69313380"/>
    <w:rsid w:val="693C3AD3"/>
    <w:rsid w:val="6945507D"/>
    <w:rsid w:val="694638A8"/>
    <w:rsid w:val="696D1EDE"/>
    <w:rsid w:val="696F20FA"/>
    <w:rsid w:val="69715E72"/>
    <w:rsid w:val="697D0373"/>
    <w:rsid w:val="69A47FF6"/>
    <w:rsid w:val="69D72179"/>
    <w:rsid w:val="6A175A16"/>
    <w:rsid w:val="6A3C72AF"/>
    <w:rsid w:val="6A5A6906"/>
    <w:rsid w:val="6A5D1F52"/>
    <w:rsid w:val="6B182A49"/>
    <w:rsid w:val="6B3453A9"/>
    <w:rsid w:val="6B361121"/>
    <w:rsid w:val="6B99520C"/>
    <w:rsid w:val="6BAC3191"/>
    <w:rsid w:val="6BCE135A"/>
    <w:rsid w:val="6BEF4971"/>
    <w:rsid w:val="6BF40694"/>
    <w:rsid w:val="6C5D448C"/>
    <w:rsid w:val="6C88775B"/>
    <w:rsid w:val="6CB93DB8"/>
    <w:rsid w:val="6CD26C28"/>
    <w:rsid w:val="6CF33408"/>
    <w:rsid w:val="6CF546C4"/>
    <w:rsid w:val="6D9B170F"/>
    <w:rsid w:val="6DA32372"/>
    <w:rsid w:val="6DB069FA"/>
    <w:rsid w:val="6DC07BF9"/>
    <w:rsid w:val="6DE46E15"/>
    <w:rsid w:val="6E076DA5"/>
    <w:rsid w:val="6E2C2368"/>
    <w:rsid w:val="6E453429"/>
    <w:rsid w:val="6E7602EE"/>
    <w:rsid w:val="6EFE694A"/>
    <w:rsid w:val="6F046E40"/>
    <w:rsid w:val="6F0B6421"/>
    <w:rsid w:val="6F4A519B"/>
    <w:rsid w:val="6F5222A2"/>
    <w:rsid w:val="6F653D83"/>
    <w:rsid w:val="6F6F075E"/>
    <w:rsid w:val="6FA10B33"/>
    <w:rsid w:val="6FCA62DC"/>
    <w:rsid w:val="6FD26F3F"/>
    <w:rsid w:val="70025A76"/>
    <w:rsid w:val="70227EC6"/>
    <w:rsid w:val="70251764"/>
    <w:rsid w:val="706E4EB9"/>
    <w:rsid w:val="707359D8"/>
    <w:rsid w:val="709050D6"/>
    <w:rsid w:val="70934920"/>
    <w:rsid w:val="70F353BF"/>
    <w:rsid w:val="712E63F7"/>
    <w:rsid w:val="715045BF"/>
    <w:rsid w:val="716167CC"/>
    <w:rsid w:val="7182184C"/>
    <w:rsid w:val="721C49B6"/>
    <w:rsid w:val="729624A5"/>
    <w:rsid w:val="72987FCC"/>
    <w:rsid w:val="729C3F60"/>
    <w:rsid w:val="72AD26DF"/>
    <w:rsid w:val="72B34E05"/>
    <w:rsid w:val="72C4676E"/>
    <w:rsid w:val="72DD1E82"/>
    <w:rsid w:val="73297C92"/>
    <w:rsid w:val="732E0930"/>
    <w:rsid w:val="73577E87"/>
    <w:rsid w:val="73B54BAD"/>
    <w:rsid w:val="73BE1CB4"/>
    <w:rsid w:val="73CF6D50"/>
    <w:rsid w:val="746A3BEA"/>
    <w:rsid w:val="750000AA"/>
    <w:rsid w:val="75183646"/>
    <w:rsid w:val="751C3136"/>
    <w:rsid w:val="752B3379"/>
    <w:rsid w:val="75322959"/>
    <w:rsid w:val="75422471"/>
    <w:rsid w:val="75703482"/>
    <w:rsid w:val="75720FA8"/>
    <w:rsid w:val="75840CDB"/>
    <w:rsid w:val="7589009F"/>
    <w:rsid w:val="75AB270C"/>
    <w:rsid w:val="75BF1D13"/>
    <w:rsid w:val="75E63744"/>
    <w:rsid w:val="76595CC4"/>
    <w:rsid w:val="76650B0D"/>
    <w:rsid w:val="767D7C04"/>
    <w:rsid w:val="7688142E"/>
    <w:rsid w:val="768C6099"/>
    <w:rsid w:val="76C84BF7"/>
    <w:rsid w:val="76D35A76"/>
    <w:rsid w:val="76DE3348"/>
    <w:rsid w:val="76F93003"/>
    <w:rsid w:val="773A5AF5"/>
    <w:rsid w:val="773D3837"/>
    <w:rsid w:val="77420E4E"/>
    <w:rsid w:val="77512E3F"/>
    <w:rsid w:val="775C1F10"/>
    <w:rsid w:val="77706ED2"/>
    <w:rsid w:val="7772528F"/>
    <w:rsid w:val="778D2E88"/>
    <w:rsid w:val="783B22E0"/>
    <w:rsid w:val="788F3C1F"/>
    <w:rsid w:val="789C4865"/>
    <w:rsid w:val="789E7920"/>
    <w:rsid w:val="78AA2807"/>
    <w:rsid w:val="78C7785D"/>
    <w:rsid w:val="78F341AE"/>
    <w:rsid w:val="798B088A"/>
    <w:rsid w:val="79B37DE1"/>
    <w:rsid w:val="79EA1A55"/>
    <w:rsid w:val="7A2F7467"/>
    <w:rsid w:val="7A396538"/>
    <w:rsid w:val="7A9B4AFD"/>
    <w:rsid w:val="7AA95200"/>
    <w:rsid w:val="7AAA4D40"/>
    <w:rsid w:val="7AB7745D"/>
    <w:rsid w:val="7ADC6EC3"/>
    <w:rsid w:val="7AE04C06"/>
    <w:rsid w:val="7AE23622"/>
    <w:rsid w:val="7AE446F6"/>
    <w:rsid w:val="7AFE508C"/>
    <w:rsid w:val="7B0A3A31"/>
    <w:rsid w:val="7B3B62E0"/>
    <w:rsid w:val="7B564EC8"/>
    <w:rsid w:val="7B7F441F"/>
    <w:rsid w:val="7B89758F"/>
    <w:rsid w:val="7BE20509"/>
    <w:rsid w:val="7BF2699E"/>
    <w:rsid w:val="7C480CB4"/>
    <w:rsid w:val="7C4D62CB"/>
    <w:rsid w:val="7C6B6751"/>
    <w:rsid w:val="7C8D2B6B"/>
    <w:rsid w:val="7CA0289E"/>
    <w:rsid w:val="7CB023B6"/>
    <w:rsid w:val="7D1D3EEF"/>
    <w:rsid w:val="7D260EA8"/>
    <w:rsid w:val="7D342FE7"/>
    <w:rsid w:val="7D40373A"/>
    <w:rsid w:val="7D567401"/>
    <w:rsid w:val="7D567A86"/>
    <w:rsid w:val="7D621902"/>
    <w:rsid w:val="7D6531A0"/>
    <w:rsid w:val="7DE642E1"/>
    <w:rsid w:val="7E0D3F64"/>
    <w:rsid w:val="7E12157A"/>
    <w:rsid w:val="7E1F5A45"/>
    <w:rsid w:val="7E2748F9"/>
    <w:rsid w:val="7E4159BB"/>
    <w:rsid w:val="7EA83C8C"/>
    <w:rsid w:val="7EC02D84"/>
    <w:rsid w:val="7EE30820"/>
    <w:rsid w:val="7F3D4D8D"/>
    <w:rsid w:val="7F427C3D"/>
    <w:rsid w:val="7F625BE9"/>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autoRedefine/>
    <w:qFormat/>
    <w:uiPriority w:val="0"/>
    <w:pPr>
      <w:keepNext/>
      <w:keepLines/>
      <w:spacing w:line="576" w:lineRule="auto"/>
      <w:outlineLvl w:val="0"/>
    </w:pPr>
    <w:rPr>
      <w:rFonts w:ascii="Calibri" w:hAnsi="Calibri" w:eastAsia="宋体" w:cs="Times New Roman"/>
      <w:b/>
      <w:kern w:val="44"/>
      <w:sz w:val="30"/>
    </w:rPr>
  </w:style>
  <w:style w:type="paragraph" w:styleId="4">
    <w:name w:val="heading 2"/>
    <w:basedOn w:val="1"/>
    <w:next w:val="1"/>
    <w:autoRedefine/>
    <w:qFormat/>
    <w:uiPriority w:val="0"/>
    <w:pPr>
      <w:keepNext/>
      <w:keepLines/>
      <w:jc w:val="center"/>
      <w:outlineLvl w:val="1"/>
    </w:pPr>
    <w:rPr>
      <w:rFonts w:eastAsia="宋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rPr>
      <w:rFonts w:ascii="Times New Roman" w:hAnsi="Times New Roman"/>
    </w:rPr>
  </w:style>
  <w:style w:type="paragraph" w:styleId="5">
    <w:name w:val="Body Text"/>
    <w:basedOn w:val="1"/>
    <w:autoRedefine/>
    <w:semiHidden/>
    <w:qFormat/>
    <w:uiPriority w:val="0"/>
  </w:style>
  <w:style w:type="paragraph" w:styleId="6">
    <w:name w:val="Body Text Indent"/>
    <w:basedOn w:val="1"/>
    <w:next w:val="1"/>
    <w:autoRedefine/>
    <w:qFormat/>
    <w:uiPriority w:val="0"/>
    <w:pPr>
      <w:ind w:left="420" w:leftChars="200"/>
    </w:pPr>
    <w:rPr>
      <w:rFonts w:ascii="Calibri" w:hAnsi="Calibri" w:eastAsia="宋体" w:cs="Times New Roman"/>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pPr>
    <w:rPr>
      <w:rFonts w:ascii="Calibri" w:hAnsi="Calibri" w:eastAsia="宋体" w:cs="Times New Roman"/>
      <w:sz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rPr>
  </w:style>
  <w:style w:type="paragraph" w:styleId="10">
    <w:name w:val="Normal (Web)"/>
    <w:basedOn w:val="1"/>
    <w:autoRedefine/>
    <w:qFormat/>
    <w:uiPriority w:val="0"/>
    <w:pPr>
      <w:spacing w:beforeAutospacing="1" w:afterAutospacing="1"/>
    </w:pPr>
    <w:rPr>
      <w:rFonts w:cs="Times New Roman"/>
      <w:sz w:val="24"/>
      <w:lang w:eastAsia="zh-CN"/>
    </w:rPr>
  </w:style>
  <w:style w:type="paragraph" w:styleId="11">
    <w:name w:val="Body Text First Indent"/>
    <w:basedOn w:val="5"/>
    <w:autoRedefine/>
    <w:qFormat/>
    <w:uiPriority w:val="99"/>
    <w:pPr>
      <w:ind w:firstLine="420" w:firstLineChars="100"/>
    </w:pPr>
    <w:rPr>
      <w:rFonts w:ascii="Times New Roman" w:hAnsi="Times New Roman"/>
      <w:sz w:val="20"/>
      <w:szCs w:val="20"/>
    </w:rPr>
  </w:style>
  <w:style w:type="paragraph" w:styleId="12">
    <w:name w:val="Body Text First Indent 2"/>
    <w:basedOn w:val="6"/>
    <w:next w:val="11"/>
    <w:autoRedefine/>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rPr>
      <w:rFonts w:ascii="Calibri" w:hAnsi="Calibri" w:eastAsia="宋体" w:cs="Times New Roman"/>
    </w:rPr>
  </w:style>
  <w:style w:type="character" w:styleId="17">
    <w:name w:val="Hyperlink"/>
    <w:basedOn w:val="15"/>
    <w:autoRedefine/>
    <w:qFormat/>
    <w:uiPriority w:val="0"/>
    <w:rPr>
      <w:color w:val="0000FF"/>
      <w:u w:val="single"/>
    </w:rPr>
  </w:style>
  <w:style w:type="paragraph" w:customStyle="1" w:styleId="18">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pPr>
      <w:spacing w:line="380" w:lineRule="exact"/>
    </w:pPr>
    <w:rPr>
      <w:rFonts w:ascii="宋体" w:hAnsi="宋体" w:eastAsia="宋体" w:cs="宋体"/>
      <w:sz w:val="24"/>
      <w:szCs w:val="24"/>
    </w:rPr>
  </w:style>
  <w:style w:type="paragraph" w:customStyle="1" w:styleId="22">
    <w:name w:val="样式 正文11 + 首行缩进:  2 字符"/>
    <w:basedOn w:val="1"/>
    <w:autoRedefine/>
    <w:qFormat/>
    <w:uiPriority w:val="0"/>
    <w:pPr>
      <w:ind w:firstLine="560"/>
    </w:pPr>
    <w:rPr>
      <w:rFonts w:ascii="宋体" w:hAnsi="宋体" w:cs="宋体"/>
      <w:color w:val="FF0000"/>
      <w:szCs w:val="20"/>
    </w:rPr>
  </w:style>
  <w:style w:type="character" w:customStyle="1" w:styleId="23">
    <w:name w:val="批注框文本 Char"/>
    <w:basedOn w:val="15"/>
    <w:link w:val="7"/>
    <w:autoRedefine/>
    <w:qFormat/>
    <w:uiPriority w:val="0"/>
    <w:rPr>
      <w:rFonts w:ascii="Arial" w:hAnsi="Arial" w:eastAsia="Arial" w:cs="Arial"/>
      <w:snapToGrid w:val="0"/>
      <w:color w:val="000000"/>
      <w:sz w:val="18"/>
      <w:szCs w:val="18"/>
      <w:lang w:eastAsia="en-US"/>
    </w:rPr>
  </w:style>
  <w:style w:type="paragraph" w:customStyle="1" w:styleId="2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28288</Words>
  <Characters>30621</Characters>
  <Lines>246</Lines>
  <Paragraphs>69</Paragraphs>
  <TotalTime>16</TotalTime>
  <ScaleCrop>false</ScaleCrop>
  <LinksUpToDate>false</LinksUpToDate>
  <CharactersWithSpaces>31624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2024-01-25T16:20:00Z</dcterms:created>
  <dc:creator>Kingsoft-PDF</dc:creator>
  <cp:lastModifiedBy>Administrator</cp:lastModifiedBy>
  <dcterms:modified xsi:type="dcterms:W3CDTF">2024-06-13T02:21:58Z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2024-01-25T16:20:29Z</vt:filetime>
  </property>
  <property fmtid="{D5CDD505-2E9C-101B-9397-08002B2CF9AE}" pid="4" name="UsrData">
    <vt:lpwstr>65b219bf80a245001f4e41c1wl</vt:lpwstr>
  </property>
  <property fmtid="{D5CDD505-2E9C-101B-9397-08002B2CF9AE}" pid="5" name="KSOProductBuildVer">
    <vt:lpwstr>2052-12.1.0.16929</vt:lpwstr>
  </property>
  <property fmtid="{D5CDD505-2E9C-101B-9397-08002B2CF9AE}" pid="6" name="ICV">
    <vt:lpwstr>F8BAE55714474E6291C76695358A795B_13</vt:lpwstr>
  </property>
</Properties>
</file>