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EF620">
      <w:pPr>
        <w:widowControl/>
        <w:shd w:val="clear" w:color="auto" w:fill="FFFFFF"/>
        <w:jc w:val="left"/>
        <w:rPr>
          <w:rFonts w:ascii="宋体" w:hAnsi="宋体" w:cs="宋体"/>
          <w:b/>
          <w:bCs/>
          <w:kern w:val="0"/>
          <w:sz w:val="48"/>
          <w:szCs w:val="48"/>
          <w:highlight w:val="none"/>
        </w:rPr>
      </w:pPr>
      <w:bookmarkStart w:id="0" w:name="_Toc119426860"/>
      <w:bookmarkStart w:id="1" w:name="_Toc32587"/>
      <w:bookmarkStart w:id="2" w:name="_Toc119439089"/>
      <w:bookmarkStart w:id="3" w:name="_Toc97561713"/>
      <w:bookmarkStart w:id="4" w:name="_Toc32574"/>
      <w:bookmarkStart w:id="5" w:name="_Toc183682338"/>
      <w:bookmarkStart w:id="6" w:name="_Toc217446030"/>
    </w:p>
    <w:p w14:paraId="72B18E48">
      <w:pPr>
        <w:widowControl/>
        <w:shd w:val="clear" w:color="auto" w:fill="FFFFFF"/>
        <w:jc w:val="center"/>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t>2025年-2027年和龙市发展和改革局项目综合评审封闭式框架协议采购项目</w:t>
      </w:r>
    </w:p>
    <w:p w14:paraId="4A207181">
      <w:pPr>
        <w:widowControl/>
        <w:shd w:val="clear" w:color="auto" w:fill="FFFFFF"/>
        <w:jc w:val="center"/>
        <w:rPr>
          <w:rFonts w:hint="eastAsia" w:ascii="宋体" w:hAnsi="宋体"/>
          <w:b/>
          <w:bCs/>
          <w:sz w:val="48"/>
          <w:szCs w:val="48"/>
          <w:highlight w:val="none"/>
        </w:rPr>
      </w:pPr>
    </w:p>
    <w:p w14:paraId="4AF1F530">
      <w:pPr>
        <w:widowControl/>
        <w:shd w:val="clear" w:color="auto" w:fill="FFFFFF"/>
        <w:jc w:val="center"/>
        <w:rPr>
          <w:rFonts w:ascii="宋体" w:hAnsi="宋体" w:cs="宋体"/>
          <w:b/>
          <w:bCs/>
          <w:kern w:val="0"/>
          <w:sz w:val="30"/>
          <w:szCs w:val="30"/>
          <w:highlight w:val="none"/>
        </w:rPr>
      </w:pPr>
    </w:p>
    <w:p w14:paraId="563664F5">
      <w:pPr>
        <w:widowControl/>
        <w:shd w:val="clear" w:color="auto" w:fill="FFFFFF"/>
        <w:jc w:val="center"/>
        <w:rPr>
          <w:rFonts w:ascii="宋体" w:hAnsi="宋体" w:cs="宋体"/>
          <w:b/>
          <w:bCs/>
          <w:kern w:val="0"/>
          <w:sz w:val="30"/>
          <w:szCs w:val="30"/>
          <w:highlight w:val="none"/>
        </w:rPr>
      </w:pPr>
    </w:p>
    <w:p w14:paraId="14F24E8F">
      <w:pPr>
        <w:widowControl/>
        <w:shd w:val="clear" w:color="auto" w:fill="FFFFFF"/>
        <w:jc w:val="center"/>
        <w:rPr>
          <w:rFonts w:ascii="宋体" w:hAnsi="宋体" w:cs="宋体"/>
          <w:b/>
          <w:bCs/>
          <w:kern w:val="0"/>
          <w:sz w:val="30"/>
          <w:szCs w:val="30"/>
          <w:highlight w:val="none"/>
        </w:rPr>
      </w:pPr>
    </w:p>
    <w:p w14:paraId="68B37517">
      <w:pPr>
        <w:widowControl/>
        <w:shd w:val="clear" w:color="auto" w:fill="FFFFFF"/>
        <w:jc w:val="center"/>
        <w:rPr>
          <w:rFonts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60721C72">
      <w:pPr>
        <w:widowControl/>
        <w:shd w:val="clear" w:color="auto" w:fill="FFFFFF"/>
        <w:jc w:val="center"/>
        <w:rPr>
          <w:rFonts w:ascii="黑体" w:hAnsi="黑体" w:eastAsia="黑体" w:cs="黑体"/>
          <w:bCs/>
          <w:kern w:val="0"/>
          <w:sz w:val="84"/>
          <w:szCs w:val="84"/>
          <w:highlight w:val="none"/>
        </w:rPr>
      </w:pPr>
    </w:p>
    <w:p w14:paraId="3C25ABA5">
      <w:pPr>
        <w:widowControl/>
        <w:shd w:val="clear" w:color="auto" w:fill="FFFFFF"/>
        <w:jc w:val="center"/>
        <w:rPr>
          <w:rFonts w:ascii="方正小标宋_GBK" w:hAnsi="黑体" w:eastAsia="方正小标宋_GBK" w:cs="宋体"/>
          <w:bCs/>
          <w:kern w:val="0"/>
          <w:sz w:val="84"/>
          <w:szCs w:val="84"/>
          <w:highlight w:val="none"/>
        </w:rPr>
      </w:pPr>
      <w:r>
        <w:rPr>
          <w:rFonts w:hint="eastAsia" w:ascii="黑体" w:hAnsi="黑体" w:eastAsia="黑体" w:cs="黑体"/>
          <w:bCs/>
          <w:kern w:val="0"/>
          <w:sz w:val="84"/>
          <w:szCs w:val="84"/>
          <w:highlight w:val="none"/>
        </w:rPr>
        <w:t>征 集 文 件</w:t>
      </w:r>
    </w:p>
    <w:p w14:paraId="7CC19F26">
      <w:pPr>
        <w:widowControl/>
        <w:shd w:val="clear" w:color="auto" w:fill="FFFFFF"/>
        <w:jc w:val="center"/>
        <w:rPr>
          <w:rFonts w:cs="宋体" w:asciiTheme="minorEastAsia" w:hAnsiTheme="minorEastAsia" w:eastAsiaTheme="minorEastAsia"/>
          <w:b/>
          <w:bCs/>
          <w:kern w:val="0"/>
          <w:sz w:val="32"/>
          <w:szCs w:val="32"/>
          <w:highlight w:val="none"/>
        </w:rPr>
      </w:pPr>
    </w:p>
    <w:p w14:paraId="7F603B53">
      <w:pPr>
        <w:widowControl/>
        <w:shd w:val="clear" w:color="auto" w:fill="FFFFFF"/>
        <w:jc w:val="center"/>
        <w:rPr>
          <w:rFonts w:hint="eastAsia" w:ascii="宋体" w:hAnsi="宋体" w:cs="宋体" w:eastAsiaTheme="minorEastAsia"/>
          <w:b/>
          <w:bCs/>
          <w:kern w:val="0"/>
          <w:sz w:val="30"/>
          <w:szCs w:val="30"/>
          <w:highlight w:val="none"/>
          <w:lang w:eastAsia="zh-CN"/>
        </w:rPr>
      </w:pPr>
      <w:r>
        <w:rPr>
          <w:rFonts w:hint="eastAsia" w:cs="宋体" w:asciiTheme="minorEastAsia" w:hAnsiTheme="minorEastAsia" w:eastAsiaTheme="minorEastAsia"/>
          <w:b/>
          <w:bCs/>
          <w:kern w:val="0"/>
          <w:sz w:val="32"/>
          <w:szCs w:val="32"/>
          <w:highlight w:val="none"/>
        </w:rPr>
        <w:t>项目编号：</w:t>
      </w:r>
      <w:r>
        <w:rPr>
          <w:rFonts w:hint="eastAsia" w:cs="宋体" w:asciiTheme="minorEastAsia" w:hAnsiTheme="minorEastAsia" w:eastAsiaTheme="minorEastAsia"/>
          <w:b/>
          <w:bCs/>
          <w:kern w:val="0"/>
          <w:sz w:val="32"/>
          <w:szCs w:val="32"/>
          <w:highlight w:val="none"/>
          <w:lang w:eastAsia="zh-CN"/>
        </w:rPr>
        <w:t>JLCX[2025]-02-CG01</w:t>
      </w:r>
    </w:p>
    <w:p w14:paraId="4B839E48">
      <w:pPr>
        <w:widowControl/>
        <w:shd w:val="clear" w:color="auto" w:fill="FFFFFF"/>
        <w:jc w:val="center"/>
        <w:rPr>
          <w:rFonts w:ascii="宋体" w:hAnsi="宋体" w:cs="宋体"/>
          <w:b/>
          <w:bCs/>
          <w:kern w:val="0"/>
          <w:sz w:val="30"/>
          <w:szCs w:val="30"/>
          <w:highlight w:val="none"/>
        </w:rPr>
      </w:pPr>
    </w:p>
    <w:p w14:paraId="55E4F2CD">
      <w:pPr>
        <w:widowControl/>
        <w:shd w:val="clear" w:color="auto" w:fill="FFFFFF"/>
        <w:jc w:val="center"/>
        <w:rPr>
          <w:rFonts w:ascii="宋体" w:hAnsi="宋体" w:cs="宋体"/>
          <w:b/>
          <w:bCs/>
          <w:kern w:val="0"/>
          <w:sz w:val="30"/>
          <w:szCs w:val="30"/>
          <w:highlight w:val="none"/>
        </w:rPr>
      </w:pPr>
    </w:p>
    <w:p w14:paraId="14D3AF09">
      <w:pPr>
        <w:spacing w:line="360" w:lineRule="auto"/>
        <w:rPr>
          <w:rFonts w:ascii="宋体" w:hAnsi="宋体"/>
          <w:b/>
          <w:sz w:val="32"/>
          <w:szCs w:val="84"/>
          <w:highlight w:val="none"/>
        </w:rPr>
      </w:pPr>
    </w:p>
    <w:p w14:paraId="2B285BF2">
      <w:pPr>
        <w:spacing w:line="360" w:lineRule="auto"/>
        <w:rPr>
          <w:rFonts w:ascii="宋体" w:hAnsi="宋体"/>
          <w:b/>
          <w:sz w:val="32"/>
          <w:szCs w:val="84"/>
          <w:highlight w:val="none"/>
        </w:rPr>
      </w:pPr>
    </w:p>
    <w:p w14:paraId="0E008EDD">
      <w:pPr>
        <w:spacing w:line="360" w:lineRule="auto"/>
        <w:rPr>
          <w:rFonts w:ascii="宋体" w:hAnsi="宋体"/>
          <w:b/>
          <w:sz w:val="32"/>
          <w:szCs w:val="84"/>
          <w:highlight w:val="none"/>
        </w:rPr>
      </w:pPr>
    </w:p>
    <w:p w14:paraId="38E4A83C">
      <w:pPr>
        <w:spacing w:line="360" w:lineRule="auto"/>
        <w:rPr>
          <w:rFonts w:hint="eastAsia" w:ascii="宋体" w:hAnsi="宋体"/>
          <w:b/>
          <w:sz w:val="30"/>
          <w:szCs w:val="30"/>
          <w:highlight w:val="none"/>
        </w:rPr>
      </w:pPr>
    </w:p>
    <w:p w14:paraId="131B2485">
      <w:pPr>
        <w:spacing w:line="360" w:lineRule="auto"/>
        <w:rPr>
          <w:rFonts w:hint="eastAsia" w:ascii="宋体" w:hAnsi="宋体"/>
          <w:b/>
          <w:sz w:val="30"/>
          <w:szCs w:val="30"/>
          <w:highlight w:val="none"/>
        </w:rPr>
      </w:pPr>
    </w:p>
    <w:p w14:paraId="51C089FC">
      <w:pPr>
        <w:spacing w:line="360" w:lineRule="auto"/>
        <w:rPr>
          <w:rFonts w:ascii="宋体" w:hAnsi="宋体"/>
          <w:b/>
          <w:sz w:val="30"/>
          <w:szCs w:val="30"/>
          <w:highlight w:val="none"/>
          <w:lang w:val="zh-CN"/>
        </w:rPr>
      </w:pPr>
      <w:r>
        <w:rPr>
          <w:rFonts w:hint="eastAsia" w:ascii="宋体" w:hAnsi="宋体"/>
          <w:b/>
          <w:sz w:val="30"/>
          <w:szCs w:val="30"/>
          <w:highlight w:val="none"/>
        </w:rPr>
        <w:t>征集人1（采</w:t>
      </w:r>
      <w:r>
        <w:rPr>
          <w:rFonts w:hint="eastAsia" w:ascii="宋体" w:hAnsi="宋体"/>
          <w:b/>
          <w:sz w:val="30"/>
          <w:szCs w:val="30"/>
          <w:highlight w:val="none"/>
          <w:lang w:val="en-US" w:eastAsia="zh-CN"/>
        </w:rPr>
        <w:t xml:space="preserve">   </w:t>
      </w:r>
      <w:r>
        <w:rPr>
          <w:rFonts w:hint="eastAsia" w:ascii="宋体" w:hAnsi="宋体"/>
          <w:b/>
          <w:sz w:val="30"/>
          <w:szCs w:val="30"/>
          <w:highlight w:val="none"/>
        </w:rPr>
        <w:t>购</w:t>
      </w:r>
      <w:r>
        <w:rPr>
          <w:rFonts w:hint="eastAsia" w:ascii="宋体" w:hAnsi="宋体"/>
          <w:b/>
          <w:sz w:val="30"/>
          <w:szCs w:val="30"/>
          <w:highlight w:val="none"/>
          <w:lang w:val="en-US" w:eastAsia="zh-CN"/>
        </w:rPr>
        <w:t xml:space="preserve">   </w:t>
      </w:r>
      <w:r>
        <w:rPr>
          <w:rFonts w:hint="eastAsia" w:ascii="宋体" w:hAnsi="宋体"/>
          <w:b/>
          <w:sz w:val="30"/>
          <w:szCs w:val="30"/>
          <w:highlight w:val="none"/>
        </w:rPr>
        <w:t>人）：</w:t>
      </w:r>
      <w:r>
        <w:rPr>
          <w:rFonts w:hint="eastAsia" w:ascii="宋体" w:hAnsi="宋体"/>
          <w:b/>
          <w:sz w:val="30"/>
          <w:szCs w:val="30"/>
          <w:highlight w:val="none"/>
          <w:lang w:val="zh-CN"/>
        </w:rPr>
        <w:t>和龙市发展和改革局</w:t>
      </w:r>
    </w:p>
    <w:p w14:paraId="7B1C505E">
      <w:pPr>
        <w:spacing w:line="360" w:lineRule="auto"/>
        <w:ind w:firstLine="900" w:firstLineChars="300"/>
        <w:rPr>
          <w:sz w:val="30"/>
          <w:szCs w:val="30"/>
          <w:highlight w:val="none"/>
          <w:lang w:val="zh-CN"/>
        </w:rPr>
      </w:pPr>
    </w:p>
    <w:p w14:paraId="5A0FDAFA">
      <w:pPr>
        <w:spacing w:line="360" w:lineRule="auto"/>
        <w:jc w:val="left"/>
        <w:rPr>
          <w:rFonts w:ascii="宋体" w:hAnsi="宋体"/>
          <w:b/>
          <w:sz w:val="30"/>
          <w:szCs w:val="30"/>
          <w:highlight w:val="none"/>
          <w:lang w:val="zh-CN"/>
        </w:rPr>
      </w:pPr>
      <w:r>
        <w:rPr>
          <w:rFonts w:hint="eastAsia" w:ascii="宋体" w:hAnsi="宋体"/>
          <w:b/>
          <w:sz w:val="30"/>
          <w:szCs w:val="30"/>
          <w:highlight w:val="none"/>
          <w:lang w:val="zh-CN"/>
        </w:rPr>
        <w:t>征集人2（采购代理机构）：吉林省创信建设项目管理有限公司</w:t>
      </w:r>
    </w:p>
    <w:p w14:paraId="02056BE2">
      <w:pPr>
        <w:widowControl/>
        <w:shd w:val="clear" w:color="auto" w:fill="FFFFFF"/>
        <w:jc w:val="left"/>
        <w:rPr>
          <w:rFonts w:ascii="宋体" w:hAnsi="宋体" w:cs="宋体"/>
          <w:b/>
          <w:bCs/>
          <w:kern w:val="0"/>
          <w:sz w:val="32"/>
          <w:szCs w:val="32"/>
          <w:highlight w:val="none"/>
        </w:rPr>
      </w:pPr>
    </w:p>
    <w:p w14:paraId="53B7CC26">
      <w:pPr>
        <w:jc w:val="center"/>
        <w:rPr>
          <w:rFonts w:ascii="宋体" w:hAnsi="宋体"/>
          <w:b/>
          <w:sz w:val="32"/>
          <w:szCs w:val="32"/>
          <w:highlight w:val="none"/>
          <w:lang w:val="zh-CN"/>
        </w:rPr>
      </w:pPr>
      <w:r>
        <w:rPr>
          <w:rFonts w:hint="eastAsia" w:ascii="宋体" w:hAnsi="宋体"/>
          <w:b/>
          <w:sz w:val="32"/>
          <w:szCs w:val="32"/>
          <w:highlight w:val="none"/>
          <w:lang w:val="zh-CN"/>
        </w:rPr>
        <w:t>二○二</w:t>
      </w:r>
      <w:r>
        <w:rPr>
          <w:rFonts w:hint="eastAsia" w:ascii="宋体" w:hAnsi="宋体"/>
          <w:b/>
          <w:sz w:val="32"/>
          <w:szCs w:val="32"/>
          <w:highlight w:val="none"/>
          <w:lang w:val="en-US" w:eastAsia="zh-CN"/>
        </w:rPr>
        <w:t>五</w:t>
      </w:r>
      <w:r>
        <w:rPr>
          <w:rFonts w:hint="eastAsia" w:ascii="宋体" w:hAnsi="宋体"/>
          <w:b/>
          <w:sz w:val="32"/>
          <w:szCs w:val="32"/>
          <w:highlight w:val="none"/>
          <w:lang w:val="zh-CN"/>
        </w:rPr>
        <w:t>年</w:t>
      </w:r>
      <w:r>
        <w:rPr>
          <w:rFonts w:hint="eastAsia" w:ascii="宋体" w:hAnsi="宋体"/>
          <w:b/>
          <w:sz w:val="32"/>
          <w:szCs w:val="32"/>
          <w:highlight w:val="none"/>
          <w:lang w:val="en-US" w:eastAsia="zh-CN"/>
        </w:rPr>
        <w:t>二</w:t>
      </w:r>
      <w:r>
        <w:rPr>
          <w:rFonts w:hint="eastAsia" w:ascii="宋体" w:hAnsi="宋体"/>
          <w:b/>
          <w:sz w:val="32"/>
          <w:szCs w:val="32"/>
          <w:highlight w:val="none"/>
          <w:lang w:val="zh-CN"/>
        </w:rPr>
        <w:t>月</w:t>
      </w:r>
    </w:p>
    <w:p w14:paraId="1AF6B9B0">
      <w:pPr>
        <w:pStyle w:val="27"/>
        <w:snapToGrid w:val="0"/>
        <w:spacing w:before="120" w:after="120" w:line="320" w:lineRule="exact"/>
        <w:jc w:val="center"/>
        <w:outlineLvl w:val="0"/>
        <w:rPr>
          <w:rFonts w:ascii="Times New Roman" w:hAnsi="Times New Roman" w:cs="Times New Roman"/>
          <w:b/>
          <w:color w:val="000000"/>
          <w:sz w:val="32"/>
          <w:szCs w:val="32"/>
          <w:highlight w:val="none"/>
        </w:rPr>
      </w:pPr>
    </w:p>
    <w:p w14:paraId="1DE54173">
      <w:pPr>
        <w:pStyle w:val="27"/>
        <w:snapToGrid w:val="0"/>
        <w:spacing w:before="120" w:after="120" w:line="320" w:lineRule="exact"/>
        <w:jc w:val="center"/>
        <w:outlineLvl w:val="0"/>
        <w:rPr>
          <w:rFonts w:ascii="Times New Roman" w:hAnsi="Times New Roman" w:cs="Times New Roman"/>
          <w:b/>
          <w:color w:val="000000"/>
          <w:sz w:val="32"/>
          <w:szCs w:val="32"/>
          <w:highlight w:val="none"/>
        </w:rPr>
      </w:pPr>
    </w:p>
    <w:p w14:paraId="2F8DC14D">
      <w:pPr>
        <w:bidi w:val="0"/>
        <w:jc w:val="center"/>
        <w:rPr>
          <w:b/>
          <w:bCs/>
          <w:sz w:val="32"/>
          <w:szCs w:val="32"/>
          <w:highlight w:val="none"/>
        </w:rPr>
      </w:pPr>
      <w:bookmarkStart w:id="7" w:name="_Toc27612"/>
      <w:bookmarkStart w:id="8" w:name="_Toc141960397"/>
      <w:bookmarkStart w:id="9" w:name="_Toc141813732"/>
      <w:r>
        <w:rPr>
          <w:b/>
          <w:bCs/>
          <w:sz w:val="32"/>
          <w:szCs w:val="32"/>
          <w:highlight w:val="none"/>
        </w:rPr>
        <w:t>目    录</w:t>
      </w:r>
      <w:bookmarkEnd w:id="0"/>
      <w:bookmarkEnd w:id="1"/>
      <w:bookmarkEnd w:id="2"/>
      <w:bookmarkEnd w:id="3"/>
      <w:bookmarkEnd w:id="4"/>
      <w:bookmarkEnd w:id="7"/>
      <w:bookmarkEnd w:id="8"/>
      <w:bookmarkEnd w:id="9"/>
    </w:p>
    <w:p w14:paraId="2434F605">
      <w:pPr>
        <w:rPr>
          <w:highlight w:val="none"/>
        </w:rPr>
      </w:pPr>
    </w:p>
    <w:p w14:paraId="38AEDBF7">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 w:val="21"/>
          <w:szCs w:val="22"/>
          <w:highlight w:val="none"/>
        </w:rPr>
        <w:fldChar w:fldCharType="begin"/>
      </w:r>
      <w:r>
        <w:rPr>
          <w:rFonts w:ascii="Calibri" w:hAnsi="Calibri"/>
          <w:bCs w:val="0"/>
          <w:caps w:val="0"/>
          <w:sz w:val="21"/>
          <w:szCs w:val="22"/>
          <w:highlight w:val="none"/>
        </w:rPr>
        <w:instrText xml:space="preserve"> TOC \o "1-1" \h \z \u </w:instrText>
      </w:r>
      <w:r>
        <w:rPr>
          <w:rFonts w:ascii="Calibri" w:hAnsi="Calibri"/>
          <w:bCs w:val="0"/>
          <w:caps w:val="0"/>
          <w:sz w:val="21"/>
          <w:szCs w:val="22"/>
          <w:highlight w:val="none"/>
        </w:rPr>
        <w:fldChar w:fldCharType="separate"/>
      </w: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_Toc20676 </w:instrText>
      </w:r>
      <w:r>
        <w:rPr>
          <w:rFonts w:ascii="Calibri" w:hAnsi="Calibri"/>
          <w:bCs w:val="0"/>
          <w:caps w:val="0"/>
          <w:szCs w:val="22"/>
          <w:highlight w:val="none"/>
        </w:rPr>
        <w:fldChar w:fldCharType="separate"/>
      </w:r>
      <w:r>
        <w:rPr>
          <w:rFonts w:hint="eastAsia"/>
          <w:szCs w:val="28"/>
          <w:highlight w:val="none"/>
        </w:rPr>
        <w:t>第一章 征集</w:t>
      </w:r>
      <w:r>
        <w:rPr>
          <w:szCs w:val="28"/>
          <w:highlight w:val="none"/>
        </w:rPr>
        <w:t>公告</w:t>
      </w:r>
      <w:r>
        <w:rPr>
          <w:highlight w:val="none"/>
        </w:rPr>
        <w:tab/>
      </w:r>
      <w:r>
        <w:rPr>
          <w:highlight w:val="none"/>
        </w:rPr>
        <w:fldChar w:fldCharType="begin"/>
      </w:r>
      <w:r>
        <w:rPr>
          <w:highlight w:val="none"/>
        </w:rPr>
        <w:instrText xml:space="preserve"> PAGEREF _Toc20676 \h </w:instrText>
      </w:r>
      <w:r>
        <w:rPr>
          <w:highlight w:val="none"/>
        </w:rPr>
        <w:fldChar w:fldCharType="separate"/>
      </w:r>
      <w:r>
        <w:rPr>
          <w:highlight w:val="none"/>
        </w:rPr>
        <w:t>1</w:t>
      </w:r>
      <w:r>
        <w:rPr>
          <w:highlight w:val="none"/>
        </w:rPr>
        <w:fldChar w:fldCharType="end"/>
      </w:r>
      <w:r>
        <w:rPr>
          <w:rFonts w:ascii="Calibri" w:hAnsi="Calibri"/>
          <w:bCs w:val="0"/>
          <w:caps w:val="0"/>
          <w:szCs w:val="22"/>
          <w:highlight w:val="none"/>
        </w:rPr>
        <w:fldChar w:fldCharType="end"/>
      </w:r>
    </w:p>
    <w:p w14:paraId="7E4448D2">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_Toc19637 </w:instrText>
      </w:r>
      <w:r>
        <w:rPr>
          <w:rFonts w:ascii="Calibri" w:hAnsi="Calibri"/>
          <w:bCs w:val="0"/>
          <w:caps w:val="0"/>
          <w:szCs w:val="22"/>
          <w:highlight w:val="none"/>
        </w:rPr>
        <w:fldChar w:fldCharType="separate"/>
      </w:r>
      <w:r>
        <w:rPr>
          <w:szCs w:val="28"/>
          <w:highlight w:val="none"/>
        </w:rPr>
        <w:t>第</w:t>
      </w:r>
      <w:r>
        <w:rPr>
          <w:rFonts w:hint="eastAsia"/>
          <w:szCs w:val="28"/>
          <w:highlight w:val="none"/>
          <w:lang w:val="en-US" w:eastAsia="zh-CN"/>
        </w:rPr>
        <w:t>二</w:t>
      </w:r>
      <w:r>
        <w:rPr>
          <w:szCs w:val="28"/>
          <w:highlight w:val="none"/>
        </w:rPr>
        <w:t>章 供应商须知</w:t>
      </w:r>
      <w:r>
        <w:rPr>
          <w:highlight w:val="none"/>
        </w:rPr>
        <w:tab/>
      </w:r>
      <w:r>
        <w:rPr>
          <w:highlight w:val="none"/>
        </w:rPr>
        <w:fldChar w:fldCharType="begin"/>
      </w:r>
      <w:r>
        <w:rPr>
          <w:highlight w:val="none"/>
        </w:rPr>
        <w:instrText xml:space="preserve"> PAGEREF _Toc19637 \h </w:instrText>
      </w:r>
      <w:r>
        <w:rPr>
          <w:highlight w:val="none"/>
        </w:rPr>
        <w:fldChar w:fldCharType="separate"/>
      </w:r>
      <w:r>
        <w:rPr>
          <w:highlight w:val="none"/>
        </w:rPr>
        <w:t>5</w:t>
      </w:r>
      <w:r>
        <w:rPr>
          <w:highlight w:val="none"/>
        </w:rPr>
        <w:fldChar w:fldCharType="end"/>
      </w:r>
      <w:r>
        <w:rPr>
          <w:rFonts w:ascii="Calibri" w:hAnsi="Calibri"/>
          <w:bCs w:val="0"/>
          <w:caps w:val="0"/>
          <w:szCs w:val="22"/>
          <w:highlight w:val="none"/>
        </w:rPr>
        <w:fldChar w:fldCharType="end"/>
      </w:r>
    </w:p>
    <w:p w14:paraId="1D3112B5">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_Toc31612 </w:instrText>
      </w:r>
      <w:r>
        <w:rPr>
          <w:rFonts w:ascii="Calibri" w:hAnsi="Calibri"/>
          <w:bCs w:val="0"/>
          <w:caps w:val="0"/>
          <w:szCs w:val="22"/>
          <w:highlight w:val="none"/>
        </w:rPr>
        <w:fldChar w:fldCharType="separate"/>
      </w:r>
      <w:r>
        <w:rPr>
          <w:szCs w:val="28"/>
          <w:highlight w:val="none"/>
        </w:rPr>
        <w:t>第</w:t>
      </w:r>
      <w:r>
        <w:rPr>
          <w:rFonts w:hint="eastAsia"/>
          <w:szCs w:val="28"/>
          <w:highlight w:val="none"/>
          <w:lang w:val="en-US" w:eastAsia="zh-CN"/>
        </w:rPr>
        <w:t>三</w:t>
      </w:r>
      <w:r>
        <w:rPr>
          <w:szCs w:val="28"/>
          <w:highlight w:val="none"/>
        </w:rPr>
        <w:t>章 采购需求</w:t>
      </w:r>
      <w:r>
        <w:rPr>
          <w:highlight w:val="none"/>
        </w:rPr>
        <w:tab/>
      </w:r>
      <w:r>
        <w:rPr>
          <w:highlight w:val="none"/>
        </w:rPr>
        <w:fldChar w:fldCharType="begin"/>
      </w:r>
      <w:r>
        <w:rPr>
          <w:highlight w:val="none"/>
        </w:rPr>
        <w:instrText xml:space="preserve"> PAGEREF _Toc31612 \h </w:instrText>
      </w:r>
      <w:r>
        <w:rPr>
          <w:highlight w:val="none"/>
        </w:rPr>
        <w:fldChar w:fldCharType="separate"/>
      </w:r>
      <w:r>
        <w:rPr>
          <w:highlight w:val="none"/>
        </w:rPr>
        <w:t>21</w:t>
      </w:r>
      <w:r>
        <w:rPr>
          <w:highlight w:val="none"/>
        </w:rPr>
        <w:fldChar w:fldCharType="end"/>
      </w:r>
      <w:r>
        <w:rPr>
          <w:rFonts w:ascii="Calibri" w:hAnsi="Calibri"/>
          <w:bCs w:val="0"/>
          <w:caps w:val="0"/>
          <w:szCs w:val="22"/>
          <w:highlight w:val="none"/>
        </w:rPr>
        <w:fldChar w:fldCharType="end"/>
      </w:r>
    </w:p>
    <w:p w14:paraId="6A8C9486">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_Toc13128 </w:instrText>
      </w:r>
      <w:r>
        <w:rPr>
          <w:rFonts w:ascii="Calibri" w:hAnsi="Calibri"/>
          <w:bCs w:val="0"/>
          <w:caps w:val="0"/>
          <w:szCs w:val="22"/>
          <w:highlight w:val="none"/>
        </w:rPr>
        <w:fldChar w:fldCharType="separate"/>
      </w:r>
      <w:r>
        <w:rPr>
          <w:szCs w:val="28"/>
          <w:highlight w:val="none"/>
        </w:rPr>
        <w:t>第四章 评审方法及标准</w:t>
      </w:r>
      <w:r>
        <w:rPr>
          <w:highlight w:val="none"/>
        </w:rPr>
        <w:tab/>
      </w:r>
      <w:r>
        <w:rPr>
          <w:highlight w:val="none"/>
        </w:rPr>
        <w:fldChar w:fldCharType="begin"/>
      </w:r>
      <w:r>
        <w:rPr>
          <w:highlight w:val="none"/>
        </w:rPr>
        <w:instrText xml:space="preserve"> PAGEREF _Toc13128 \h </w:instrText>
      </w:r>
      <w:r>
        <w:rPr>
          <w:highlight w:val="none"/>
        </w:rPr>
        <w:fldChar w:fldCharType="separate"/>
      </w:r>
      <w:r>
        <w:rPr>
          <w:highlight w:val="none"/>
        </w:rPr>
        <w:t>24</w:t>
      </w:r>
      <w:r>
        <w:rPr>
          <w:highlight w:val="none"/>
        </w:rPr>
        <w:fldChar w:fldCharType="end"/>
      </w:r>
      <w:r>
        <w:rPr>
          <w:rFonts w:ascii="Calibri" w:hAnsi="Calibri"/>
          <w:bCs w:val="0"/>
          <w:caps w:val="0"/>
          <w:szCs w:val="22"/>
          <w:highlight w:val="none"/>
        </w:rPr>
        <w:fldChar w:fldCharType="end"/>
      </w:r>
    </w:p>
    <w:p w14:paraId="299C8971">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_Toc31664 </w:instrText>
      </w:r>
      <w:r>
        <w:rPr>
          <w:rFonts w:ascii="Calibri" w:hAnsi="Calibri"/>
          <w:bCs w:val="0"/>
          <w:caps w:val="0"/>
          <w:szCs w:val="22"/>
          <w:highlight w:val="none"/>
        </w:rPr>
        <w:fldChar w:fldCharType="separate"/>
      </w:r>
      <w:r>
        <w:rPr>
          <w:szCs w:val="28"/>
          <w:highlight w:val="none"/>
        </w:rPr>
        <w:t xml:space="preserve">第五章 </w:t>
      </w:r>
      <w:r>
        <w:rPr>
          <w:rFonts w:hint="eastAsia"/>
          <w:szCs w:val="28"/>
          <w:highlight w:val="none"/>
        </w:rPr>
        <w:t>框架协议（格式）</w:t>
      </w:r>
      <w:r>
        <w:rPr>
          <w:highlight w:val="none"/>
        </w:rPr>
        <w:tab/>
      </w:r>
      <w:r>
        <w:rPr>
          <w:highlight w:val="none"/>
        </w:rPr>
        <w:fldChar w:fldCharType="begin"/>
      </w:r>
      <w:r>
        <w:rPr>
          <w:highlight w:val="none"/>
        </w:rPr>
        <w:instrText xml:space="preserve"> PAGEREF _Toc31664 \h </w:instrText>
      </w:r>
      <w:r>
        <w:rPr>
          <w:highlight w:val="none"/>
        </w:rPr>
        <w:fldChar w:fldCharType="separate"/>
      </w:r>
      <w:r>
        <w:rPr>
          <w:highlight w:val="none"/>
        </w:rPr>
        <w:t>30</w:t>
      </w:r>
      <w:r>
        <w:rPr>
          <w:highlight w:val="none"/>
        </w:rPr>
        <w:fldChar w:fldCharType="end"/>
      </w:r>
      <w:r>
        <w:rPr>
          <w:rFonts w:ascii="Calibri" w:hAnsi="Calibri"/>
          <w:bCs w:val="0"/>
          <w:caps w:val="0"/>
          <w:szCs w:val="22"/>
          <w:highlight w:val="none"/>
        </w:rPr>
        <w:fldChar w:fldCharType="end"/>
      </w:r>
    </w:p>
    <w:p w14:paraId="32328C74">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_Toc24195 </w:instrText>
      </w:r>
      <w:r>
        <w:rPr>
          <w:rFonts w:ascii="Calibri" w:hAnsi="Calibri"/>
          <w:bCs w:val="0"/>
          <w:caps w:val="0"/>
          <w:szCs w:val="22"/>
          <w:highlight w:val="none"/>
        </w:rPr>
        <w:fldChar w:fldCharType="separate"/>
      </w:r>
      <w:r>
        <w:rPr>
          <w:szCs w:val="28"/>
          <w:highlight w:val="none"/>
        </w:rPr>
        <w:t>第</w:t>
      </w:r>
      <w:r>
        <w:rPr>
          <w:rFonts w:hint="eastAsia"/>
          <w:szCs w:val="28"/>
          <w:highlight w:val="none"/>
        </w:rPr>
        <w:t>六</w:t>
      </w:r>
      <w:r>
        <w:rPr>
          <w:szCs w:val="28"/>
          <w:highlight w:val="none"/>
        </w:rPr>
        <w:t xml:space="preserve">章 </w:t>
      </w:r>
      <w:r>
        <w:rPr>
          <w:rFonts w:hint="eastAsia"/>
          <w:szCs w:val="28"/>
          <w:highlight w:val="none"/>
        </w:rPr>
        <w:t>采购合同（格式）</w:t>
      </w:r>
      <w:r>
        <w:rPr>
          <w:highlight w:val="none"/>
        </w:rPr>
        <w:tab/>
      </w:r>
      <w:r>
        <w:rPr>
          <w:highlight w:val="none"/>
        </w:rPr>
        <w:fldChar w:fldCharType="begin"/>
      </w:r>
      <w:r>
        <w:rPr>
          <w:highlight w:val="none"/>
        </w:rPr>
        <w:instrText xml:space="preserve"> PAGEREF _Toc24195 \h </w:instrText>
      </w:r>
      <w:r>
        <w:rPr>
          <w:highlight w:val="none"/>
        </w:rPr>
        <w:fldChar w:fldCharType="separate"/>
      </w:r>
      <w:r>
        <w:rPr>
          <w:highlight w:val="none"/>
        </w:rPr>
        <w:t>34</w:t>
      </w:r>
      <w:r>
        <w:rPr>
          <w:highlight w:val="none"/>
        </w:rPr>
        <w:fldChar w:fldCharType="end"/>
      </w:r>
      <w:r>
        <w:rPr>
          <w:rFonts w:ascii="Calibri" w:hAnsi="Calibri"/>
          <w:bCs w:val="0"/>
          <w:caps w:val="0"/>
          <w:szCs w:val="22"/>
          <w:highlight w:val="none"/>
        </w:rPr>
        <w:fldChar w:fldCharType="end"/>
      </w:r>
    </w:p>
    <w:p w14:paraId="36DF0A70">
      <w:pPr>
        <w:pStyle w:val="34"/>
        <w:keepNext w:val="0"/>
        <w:keepLines w:val="0"/>
        <w:pageBreakBefore w:val="0"/>
        <w:widowControl w:val="0"/>
        <w:tabs>
          <w:tab w:val="right" w:leader="dot" w:pos="9040"/>
          <w:tab w:val="clear" w:pos="8398"/>
        </w:tabs>
        <w:kinsoku/>
        <w:wordWrap/>
        <w:overflowPunct/>
        <w:topLinePunct w:val="0"/>
        <w:autoSpaceDE/>
        <w:autoSpaceDN/>
        <w:bidi w:val="0"/>
        <w:adjustRightInd/>
        <w:snapToGrid/>
        <w:spacing w:line="360" w:lineRule="auto"/>
        <w:textAlignment w:val="auto"/>
        <w:rPr>
          <w:highlight w:val="none"/>
        </w:rPr>
      </w:pPr>
      <w:r>
        <w:rPr>
          <w:rFonts w:ascii="Calibri" w:hAnsi="Calibri"/>
          <w:bCs w:val="0"/>
          <w:caps w:val="0"/>
          <w:szCs w:val="22"/>
          <w:highlight w:val="none"/>
        </w:rPr>
        <w:fldChar w:fldCharType="begin"/>
      </w:r>
      <w:r>
        <w:rPr>
          <w:rFonts w:ascii="Calibri" w:hAnsi="Calibri"/>
          <w:bCs w:val="0"/>
          <w:caps w:val="0"/>
          <w:szCs w:val="22"/>
          <w:highlight w:val="none"/>
        </w:rPr>
        <w:instrText xml:space="preserve"> HYPERLINK \l _Toc8088 </w:instrText>
      </w:r>
      <w:r>
        <w:rPr>
          <w:rFonts w:ascii="Calibri" w:hAnsi="Calibri"/>
          <w:bCs w:val="0"/>
          <w:caps w:val="0"/>
          <w:szCs w:val="22"/>
          <w:highlight w:val="none"/>
        </w:rPr>
        <w:fldChar w:fldCharType="separate"/>
      </w:r>
      <w:r>
        <w:rPr>
          <w:szCs w:val="28"/>
          <w:highlight w:val="none"/>
        </w:rPr>
        <w:t>第</w:t>
      </w:r>
      <w:r>
        <w:rPr>
          <w:rFonts w:hint="eastAsia"/>
          <w:szCs w:val="28"/>
          <w:highlight w:val="none"/>
        </w:rPr>
        <w:t>七</w:t>
      </w:r>
      <w:r>
        <w:rPr>
          <w:szCs w:val="28"/>
          <w:highlight w:val="none"/>
        </w:rPr>
        <w:t>章 响应文件格式</w:t>
      </w:r>
      <w:r>
        <w:rPr>
          <w:highlight w:val="none"/>
        </w:rPr>
        <w:tab/>
      </w:r>
      <w:r>
        <w:rPr>
          <w:highlight w:val="none"/>
        </w:rPr>
        <w:fldChar w:fldCharType="begin"/>
      </w:r>
      <w:r>
        <w:rPr>
          <w:highlight w:val="none"/>
        </w:rPr>
        <w:instrText xml:space="preserve"> PAGEREF _Toc8088 \h </w:instrText>
      </w:r>
      <w:r>
        <w:rPr>
          <w:highlight w:val="none"/>
        </w:rPr>
        <w:fldChar w:fldCharType="separate"/>
      </w:r>
      <w:r>
        <w:rPr>
          <w:highlight w:val="none"/>
        </w:rPr>
        <w:t>35</w:t>
      </w:r>
      <w:r>
        <w:rPr>
          <w:highlight w:val="none"/>
        </w:rPr>
        <w:fldChar w:fldCharType="end"/>
      </w:r>
      <w:r>
        <w:rPr>
          <w:rFonts w:ascii="Calibri" w:hAnsi="Calibri"/>
          <w:bCs w:val="0"/>
          <w:caps w:val="0"/>
          <w:szCs w:val="22"/>
          <w:highlight w:val="none"/>
        </w:rPr>
        <w:fldChar w:fldCharType="end"/>
      </w:r>
    </w:p>
    <w:p w14:paraId="7C08D579">
      <w:pPr>
        <w:pStyle w:val="34"/>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Calibri" w:hAnsi="Calibri"/>
          <w:bCs w:val="0"/>
          <w:caps w:val="0"/>
          <w:sz w:val="21"/>
          <w:szCs w:val="22"/>
          <w:highlight w:val="none"/>
        </w:rPr>
      </w:pPr>
      <w:r>
        <w:rPr>
          <w:rFonts w:ascii="Calibri" w:hAnsi="Calibri"/>
          <w:bCs w:val="0"/>
          <w:caps w:val="0"/>
          <w:szCs w:val="22"/>
          <w:highlight w:val="none"/>
        </w:rPr>
        <w:fldChar w:fldCharType="end"/>
      </w:r>
    </w:p>
    <w:p w14:paraId="63B116C4">
      <w:pPr>
        <w:keepNext w:val="0"/>
        <w:keepLines w:val="0"/>
        <w:pageBreakBefore w:val="0"/>
        <w:widowControl w:val="0"/>
        <w:kinsoku/>
        <w:wordWrap/>
        <w:overflowPunct/>
        <w:topLinePunct w:val="0"/>
        <w:autoSpaceDE/>
        <w:autoSpaceDN/>
        <w:bidi w:val="0"/>
        <w:adjustRightInd/>
        <w:snapToGrid/>
        <w:spacing w:before="120" w:beforeLines="50" w:line="360" w:lineRule="auto"/>
        <w:textAlignment w:val="auto"/>
        <w:rPr>
          <w:color w:val="000000"/>
          <w:sz w:val="28"/>
          <w:szCs w:val="28"/>
          <w:highlight w:val="none"/>
        </w:rPr>
        <w:sectPr>
          <w:pgSz w:w="11906" w:h="16838"/>
          <w:pgMar w:top="1418" w:right="1448" w:bottom="1418" w:left="1418" w:header="851" w:footer="992" w:gutter="0"/>
          <w:cols w:space="720" w:num="1"/>
          <w:docGrid w:linePitch="312" w:charSpace="0"/>
        </w:sectPr>
      </w:pPr>
    </w:p>
    <w:p w14:paraId="7493D08E">
      <w:pPr>
        <w:pStyle w:val="2"/>
        <w:numPr>
          <w:ilvl w:val="0"/>
          <w:numId w:val="1"/>
        </w:numPr>
        <w:spacing w:before="0" w:after="0" w:line="360" w:lineRule="auto"/>
        <w:jc w:val="center"/>
        <w:rPr>
          <w:sz w:val="28"/>
          <w:szCs w:val="28"/>
          <w:highlight w:val="none"/>
        </w:rPr>
      </w:pPr>
      <w:bookmarkStart w:id="10" w:name="_Toc141815788"/>
      <w:bookmarkStart w:id="11" w:name="_Toc97561714"/>
      <w:bookmarkStart w:id="12" w:name="_Toc20676"/>
      <w:bookmarkStart w:id="13" w:name="_Toc97561715"/>
      <w:r>
        <w:rPr>
          <w:rFonts w:hint="eastAsia"/>
          <w:sz w:val="28"/>
          <w:szCs w:val="28"/>
          <w:highlight w:val="none"/>
        </w:rPr>
        <w:t>征集</w:t>
      </w:r>
      <w:r>
        <w:rPr>
          <w:sz w:val="28"/>
          <w:szCs w:val="28"/>
          <w:highlight w:val="none"/>
        </w:rPr>
        <w:t>公告</w:t>
      </w:r>
      <w:bookmarkEnd w:id="10"/>
      <w:bookmarkEnd w:id="11"/>
      <w:bookmarkEnd w:id="12"/>
    </w:p>
    <w:p w14:paraId="5528B2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right="0" w:firstLine="482" w:firstLineChars="200"/>
        <w:jc w:val="left"/>
        <w:textAlignment w:val="auto"/>
        <w:rPr>
          <w:rFonts w:hint="eastAsia" w:ascii="宋体" w:hAnsi="宋体" w:eastAsia="宋体" w:cs="宋体"/>
          <w:color w:val="394351"/>
          <w:highlight w:val="none"/>
        </w:rPr>
      </w:pPr>
      <w:bookmarkStart w:id="14" w:name="_Hlk24379207"/>
      <w:r>
        <w:rPr>
          <w:rFonts w:hint="eastAsia" w:ascii="宋体" w:hAnsi="宋体" w:eastAsia="宋体" w:cs="宋体"/>
          <w:b/>
          <w:bCs/>
          <w:i w:val="0"/>
          <w:iCs w:val="0"/>
          <w:caps w:val="0"/>
          <w:color w:val="394351"/>
          <w:spacing w:val="0"/>
          <w:kern w:val="0"/>
          <w:sz w:val="24"/>
          <w:szCs w:val="24"/>
          <w:highlight w:val="none"/>
          <w:u w:val="none"/>
          <w:shd w:val="clear" w:color="auto" w:fill="FFFFFF"/>
          <w:lang w:val="en-US" w:eastAsia="zh-CN" w:bidi="ar"/>
        </w:rPr>
        <w:t>项目概况：</w:t>
      </w:r>
      <w:bookmarkEnd w:id="14"/>
    </w:p>
    <w:p w14:paraId="64D5C6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cs="宋体"/>
          <w:i w:val="0"/>
          <w:iCs w:val="0"/>
          <w:caps w:val="0"/>
          <w:color w:val="394351"/>
          <w:spacing w:val="0"/>
          <w:kern w:val="0"/>
          <w:sz w:val="24"/>
          <w:szCs w:val="24"/>
          <w:highlight w:val="none"/>
          <w:u w:val="none"/>
          <w:shd w:val="clear" w:color="auto" w:fill="FFFFFF"/>
          <w:lang w:val="en-US" w:eastAsia="zh-CN" w:bidi="ar"/>
        </w:rPr>
        <w:t>2025年-2027年和龙市发展和改革局项目综合评审封闭式框架协议采购项目</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的潜在供应商应在政府采购云平台获取征集文件，</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并于202</w:t>
      </w:r>
      <w:r>
        <w:rPr>
          <w:rFonts w:hint="eastAsia" w:ascii="宋体" w:hAnsi="宋体" w:cs="宋体"/>
          <w:i w:val="0"/>
          <w:iCs w:val="0"/>
          <w:caps w:val="0"/>
          <w:color w:val="394351"/>
          <w:spacing w:val="0"/>
          <w:kern w:val="0"/>
          <w:sz w:val="24"/>
          <w:szCs w:val="24"/>
          <w:highlight w:val="none"/>
          <w:u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年</w:t>
      </w:r>
      <w:r>
        <w:rPr>
          <w:rFonts w:hint="eastAsia" w:ascii="宋体" w:hAnsi="宋体" w:cs="宋体"/>
          <w:i w:val="0"/>
          <w:iCs w:val="0"/>
          <w:caps w:val="0"/>
          <w:color w:val="394351"/>
          <w:spacing w:val="0"/>
          <w:kern w:val="0"/>
          <w:sz w:val="24"/>
          <w:szCs w:val="24"/>
          <w:highlight w:val="none"/>
          <w:u w:val="none"/>
          <w:shd w:val="clear" w:color="auto" w:fill="FFFFFF"/>
          <w:lang w:val="en-US" w:eastAsia="zh-CN" w:bidi="ar"/>
        </w:rPr>
        <w:t>3</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月</w:t>
      </w:r>
      <w:r>
        <w:rPr>
          <w:rFonts w:hint="eastAsia" w:ascii="宋体" w:hAnsi="宋体" w:cs="宋体"/>
          <w:i w:val="0"/>
          <w:iCs w:val="0"/>
          <w:caps w:val="0"/>
          <w:color w:val="394351"/>
          <w:spacing w:val="0"/>
          <w:kern w:val="0"/>
          <w:sz w:val="24"/>
          <w:szCs w:val="24"/>
          <w:highlight w:val="none"/>
          <w:u w:val="none"/>
          <w:shd w:val="clear" w:color="auto" w:fill="FFFFFF"/>
          <w:lang w:val="en-US" w:eastAsia="zh-CN" w:bidi="ar"/>
        </w:rPr>
        <w:t>13</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日9点</w:t>
      </w:r>
      <w:r>
        <w:rPr>
          <w:rFonts w:hint="eastAsia" w:ascii="宋体" w:hAnsi="宋体" w:cs="宋体"/>
          <w:i w:val="0"/>
          <w:iCs w:val="0"/>
          <w:caps w:val="0"/>
          <w:color w:val="394351"/>
          <w:spacing w:val="0"/>
          <w:kern w:val="0"/>
          <w:sz w:val="24"/>
          <w:szCs w:val="24"/>
          <w:highlight w:val="none"/>
          <w:u w:val="none"/>
          <w:shd w:val="clear" w:color="auto" w:fill="FFFFFF"/>
          <w:lang w:val="en-US" w:eastAsia="zh-CN" w:bidi="ar"/>
        </w:rPr>
        <w:t>00</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分（北</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京</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时间）前递交响应文件。</w:t>
      </w:r>
    </w:p>
    <w:p w14:paraId="1F3C9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r>
        <w:rPr>
          <w:rFonts w:hint="eastAsia" w:ascii="宋体" w:hAnsi="宋体" w:eastAsia="宋体" w:cs="宋体"/>
          <w:b/>
          <w:bCs/>
          <w:i w:val="0"/>
          <w:iCs w:val="0"/>
          <w:caps w:val="0"/>
          <w:color w:val="394351"/>
          <w:spacing w:val="0"/>
          <w:kern w:val="0"/>
          <w:sz w:val="24"/>
          <w:szCs w:val="24"/>
          <w:highlight w:val="none"/>
          <w:shd w:val="clear" w:color="auto" w:fill="FFFFFF"/>
          <w:lang w:val="en-US" w:eastAsia="zh-CN" w:bidi="ar"/>
        </w:rPr>
        <w:t>1.项目基本情况</w:t>
      </w:r>
    </w:p>
    <w:p w14:paraId="4CC53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1.1项目编号：</w:t>
      </w:r>
      <w:r>
        <w:rPr>
          <w:rFonts w:hint="eastAsia" w:ascii="宋体" w:hAnsi="宋体" w:cs="宋体"/>
          <w:i w:val="0"/>
          <w:iCs w:val="0"/>
          <w:caps w:val="0"/>
          <w:color w:val="394351"/>
          <w:spacing w:val="0"/>
          <w:kern w:val="0"/>
          <w:sz w:val="24"/>
          <w:szCs w:val="24"/>
          <w:highlight w:val="none"/>
          <w:shd w:val="clear" w:color="auto" w:fill="FFFFFF"/>
          <w:lang w:val="en-US" w:eastAsia="zh-CN" w:bidi="ar"/>
        </w:rPr>
        <w:t>JLCX[2025]-02-CG01</w:t>
      </w:r>
    </w:p>
    <w:p w14:paraId="70789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2</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项目名称：</w:t>
      </w:r>
      <w:r>
        <w:rPr>
          <w:rFonts w:hint="eastAsia" w:ascii="宋体" w:hAnsi="宋体" w:cs="宋体"/>
          <w:i w:val="0"/>
          <w:iCs w:val="0"/>
          <w:caps w:val="0"/>
          <w:color w:val="394351"/>
          <w:spacing w:val="0"/>
          <w:kern w:val="0"/>
          <w:sz w:val="24"/>
          <w:szCs w:val="24"/>
          <w:highlight w:val="none"/>
          <w:shd w:val="clear" w:color="auto" w:fill="FFFFFF"/>
          <w:lang w:val="en-US" w:eastAsia="zh-CN" w:bidi="ar"/>
        </w:rPr>
        <w:t>2025年-2027年和龙市发展和改革局项目综合评审封闭式框架协议采购项目</w:t>
      </w:r>
    </w:p>
    <w:p w14:paraId="1201C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最高限制单价：本</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次采购不分标段，采用固定价格采购。项目综合评审，1万元/个；风险评审，1.5万元/个；规划、课题评审，2.5万元/个。</w:t>
      </w:r>
    </w:p>
    <w:p w14:paraId="6EAB81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4</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采购需求：</w:t>
      </w:r>
    </w:p>
    <w:p w14:paraId="08DDA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default" w:ascii="宋体" w:hAnsi="宋体" w:eastAsia="宋体" w:cs="宋体"/>
          <w:b w:val="0"/>
          <w:bCs w:val="0"/>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394351"/>
          <w:spacing w:val="0"/>
          <w:kern w:val="0"/>
          <w:sz w:val="24"/>
          <w:szCs w:val="24"/>
          <w:highlight w:val="none"/>
          <w:shd w:val="clear" w:color="auto" w:fill="FFFFFF"/>
          <w:lang w:val="en-US" w:eastAsia="zh-CN" w:bidi="ar"/>
        </w:rPr>
        <w:t>与建设项目前期工作有关的咨询服务</w:t>
      </w:r>
      <w:r>
        <w:rPr>
          <w:rFonts w:hint="eastAsia" w:ascii="宋体" w:hAnsi="宋体" w:cs="宋体"/>
          <w:b w:val="0"/>
          <w:bCs w:val="0"/>
          <w:i w:val="0"/>
          <w:iCs w:val="0"/>
          <w:caps w:val="0"/>
          <w:color w:val="394351"/>
          <w:spacing w:val="0"/>
          <w:kern w:val="0"/>
          <w:sz w:val="24"/>
          <w:szCs w:val="24"/>
          <w:highlight w:val="none"/>
          <w:shd w:val="clear" w:color="auto" w:fill="FFFFFF"/>
          <w:lang w:val="en-US" w:eastAsia="zh-CN" w:bidi="ar"/>
        </w:rPr>
        <w:t>，</w:t>
      </w:r>
      <w:r>
        <w:rPr>
          <w:rFonts w:hint="eastAsia" w:ascii="宋体" w:hAnsi="宋体" w:eastAsia="宋体" w:cs="宋体"/>
          <w:b w:val="0"/>
          <w:bCs w:val="0"/>
          <w:i w:val="0"/>
          <w:iCs w:val="0"/>
          <w:caps w:val="0"/>
          <w:color w:val="394351"/>
          <w:spacing w:val="0"/>
          <w:kern w:val="0"/>
          <w:sz w:val="24"/>
          <w:szCs w:val="24"/>
          <w:highlight w:val="none"/>
          <w:shd w:val="clear" w:color="auto" w:fill="FFFFFF"/>
          <w:lang w:val="en-US" w:eastAsia="zh-CN" w:bidi="ar"/>
        </w:rPr>
        <w:t>包括但不限于以下评审内容</w:t>
      </w:r>
      <w:r>
        <w:rPr>
          <w:rFonts w:hint="eastAsia" w:ascii="宋体" w:hAnsi="宋体" w:cs="宋体"/>
          <w:b w:val="0"/>
          <w:bCs w:val="0"/>
          <w:i w:val="0"/>
          <w:iCs w:val="0"/>
          <w:caps w:val="0"/>
          <w:color w:val="394351"/>
          <w:spacing w:val="0"/>
          <w:kern w:val="0"/>
          <w:sz w:val="24"/>
          <w:szCs w:val="24"/>
          <w:highlight w:val="none"/>
          <w:shd w:val="clear" w:color="auto" w:fill="FFFFFF"/>
          <w:lang w:val="en-US" w:eastAsia="zh-CN" w:bidi="ar"/>
        </w:rPr>
        <w:t>：</w:t>
      </w:r>
    </w:p>
    <w:p w14:paraId="2AB33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
        </w:rPr>
        <w:t>风险评审，对</w:t>
      </w:r>
      <w:r>
        <w:rPr>
          <w:rFonts w:hint="eastAsia" w:ascii="宋体" w:hAnsi="宋体" w:cs="宋体"/>
          <w:b w:val="0"/>
          <w:bCs w:val="0"/>
          <w:i w:val="0"/>
          <w:iCs w:val="0"/>
          <w:caps w:val="0"/>
          <w:color w:val="auto"/>
          <w:spacing w:val="0"/>
          <w:kern w:val="0"/>
          <w:sz w:val="24"/>
          <w:szCs w:val="24"/>
          <w:highlight w:val="none"/>
          <w:shd w:val="clear" w:color="auto" w:fill="FFFFFF"/>
          <w:lang w:val="en-US" w:eastAsia="zh-CN" w:bidi="ar"/>
        </w:rPr>
        <w:t>和龙市发改</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
        </w:rPr>
        <w:t>制定的拟出台的政策、意见、建议等重大事项在组织实施或审批审核前，进行有可能影响社会稳定的隐患和风险评估，包括合法性、合理性、可行性、可控性等方面开展调查、预测、分析和评审。通过对显性风险、潜在风险和可能诱发风险的因素进行综合研判，从高到低Ⅰ、Ⅱ、Ⅲ、Ⅳ四个风险等级中评定出相应等级标准，出具不实施、暂缓实施、部分实施或试行实施、实</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施的评审报告。</w:t>
      </w:r>
    </w:p>
    <w:p w14:paraId="39A19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auto"/>
          <w:spacing w:val="12"/>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项目综合评审，</w:t>
      </w:r>
      <w:r>
        <w:rPr>
          <w:rFonts w:hint="eastAsia" w:ascii="宋体" w:hAnsi="宋体" w:eastAsia="宋体" w:cs="宋体"/>
          <w:i w:val="0"/>
          <w:iCs w:val="0"/>
          <w:caps w:val="0"/>
          <w:color w:val="auto"/>
          <w:spacing w:val="12"/>
          <w:kern w:val="0"/>
          <w:sz w:val="24"/>
          <w:szCs w:val="24"/>
          <w:highlight w:val="none"/>
          <w:shd w:val="clear" w:color="auto" w:fill="FFFFFF"/>
          <w:vertAlign w:val="baseline"/>
          <w:lang w:val="en-US" w:eastAsia="zh-CN" w:bidi="ar"/>
        </w:rPr>
        <w:t>对</w:t>
      </w:r>
      <w:r>
        <w:rPr>
          <w:rFonts w:hint="eastAsia" w:ascii="宋体" w:hAnsi="宋体" w:cs="宋体"/>
          <w:i w:val="0"/>
          <w:iCs w:val="0"/>
          <w:caps w:val="0"/>
          <w:color w:val="auto"/>
          <w:spacing w:val="12"/>
          <w:kern w:val="0"/>
          <w:sz w:val="24"/>
          <w:szCs w:val="24"/>
          <w:highlight w:val="none"/>
          <w:shd w:val="clear" w:color="auto" w:fill="FFFFFF"/>
          <w:vertAlign w:val="baseline"/>
          <w:lang w:val="en-US" w:eastAsia="zh-CN" w:bidi="ar"/>
        </w:rPr>
        <w:t>和龙市发改</w:t>
      </w:r>
      <w:r>
        <w:rPr>
          <w:rFonts w:hint="eastAsia" w:ascii="宋体" w:hAnsi="宋体" w:eastAsia="宋体" w:cs="宋体"/>
          <w:i w:val="0"/>
          <w:iCs w:val="0"/>
          <w:caps w:val="0"/>
          <w:color w:val="auto"/>
          <w:spacing w:val="12"/>
          <w:kern w:val="0"/>
          <w:sz w:val="24"/>
          <w:szCs w:val="24"/>
          <w:highlight w:val="none"/>
          <w:shd w:val="clear" w:color="auto" w:fill="FFFFFF"/>
          <w:vertAlign w:val="baseline"/>
          <w:lang w:val="en-US" w:eastAsia="zh-CN" w:bidi="ar"/>
        </w:rPr>
        <w:t>组织的申请财政资金的项目开展批量评审、排序等工作。重点考查评审项目建设的必要性、是否符合有关文件要求，对报告编制的要求、方案的合理性、总投资及资金筹措等综合评审并出具评审报告。</w:t>
      </w:r>
    </w:p>
    <w:p w14:paraId="1C2777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sz w:val="24"/>
          <w:szCs w:val="24"/>
          <w:highlight w:val="none"/>
          <w:shd w:val="clear" w:color="auto" w:fill="FFFFFF"/>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规划、课题评审，</w:t>
      </w:r>
      <w:r>
        <w:rPr>
          <w:rFonts w:hint="eastAsia" w:ascii="宋体" w:hAnsi="宋体" w:eastAsia="宋体" w:cs="宋体"/>
          <w:i w:val="0"/>
          <w:iCs w:val="0"/>
          <w:caps w:val="0"/>
          <w:color w:val="auto"/>
          <w:spacing w:val="0"/>
          <w:sz w:val="24"/>
          <w:szCs w:val="24"/>
          <w:highlight w:val="none"/>
          <w:shd w:val="clear" w:color="auto" w:fill="FFFFFF"/>
        </w:rPr>
        <w:t>对</w:t>
      </w:r>
      <w:r>
        <w:rPr>
          <w:rFonts w:hint="eastAsia" w:ascii="宋体" w:hAnsi="宋体" w:cs="宋体"/>
          <w:i w:val="0"/>
          <w:iCs w:val="0"/>
          <w:caps w:val="0"/>
          <w:color w:val="auto"/>
          <w:spacing w:val="0"/>
          <w:sz w:val="24"/>
          <w:szCs w:val="24"/>
          <w:highlight w:val="none"/>
          <w:shd w:val="clear" w:color="auto" w:fill="FFFFFF"/>
          <w:lang w:eastAsia="zh-CN"/>
        </w:rPr>
        <w:t>和龙市发改</w:t>
      </w:r>
      <w:r>
        <w:rPr>
          <w:rFonts w:hint="eastAsia" w:ascii="宋体" w:hAnsi="宋体" w:eastAsia="宋体" w:cs="宋体"/>
          <w:i w:val="0"/>
          <w:iCs w:val="0"/>
          <w:caps w:val="0"/>
          <w:color w:val="auto"/>
          <w:spacing w:val="0"/>
          <w:sz w:val="24"/>
          <w:szCs w:val="24"/>
          <w:highlight w:val="none"/>
          <w:shd w:val="clear" w:color="auto" w:fill="FFFFFF"/>
        </w:rPr>
        <w:t>组织编制的规划、课题</w:t>
      </w:r>
      <w:r>
        <w:rPr>
          <w:rFonts w:hint="eastAsia" w:ascii="宋体" w:hAnsi="宋体" w:eastAsia="宋体" w:cs="宋体"/>
          <w:i w:val="0"/>
          <w:iCs w:val="0"/>
          <w:caps w:val="0"/>
          <w:color w:val="394351"/>
          <w:spacing w:val="0"/>
          <w:sz w:val="24"/>
          <w:szCs w:val="24"/>
          <w:highlight w:val="none"/>
          <w:shd w:val="clear" w:color="auto" w:fill="FFFFFF"/>
        </w:rPr>
        <w:t>进行评审，包括：总体规划、专项规划、课题评审。重点考查规划、课题是否合理有效、工作内容是否全面准确、工作过程是否规范扎实、工作成效是否突出显现，指出存在问题，给出评审结论，提出意见建议。</w:t>
      </w:r>
    </w:p>
    <w:p w14:paraId="07411250">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480" w:firstLineChars="200"/>
        <w:textAlignment w:val="auto"/>
        <w:rPr>
          <w:rFonts w:hint="eastAsia" w:ascii="宋体" w:hAnsi="宋体" w:eastAsia="宋体" w:cs="宋体"/>
          <w:color w:val="394351"/>
          <w:highlight w:val="none"/>
        </w:rPr>
      </w:pPr>
      <w:r>
        <w:rPr>
          <w:rFonts w:hint="eastAsia" w:ascii="宋体" w:hAnsi="宋体" w:cs="宋体"/>
          <w:i w:val="0"/>
          <w:iCs w:val="0"/>
          <w:caps w:val="0"/>
          <w:color w:val="394351"/>
          <w:spacing w:val="0"/>
          <w:kern w:val="0"/>
          <w:sz w:val="24"/>
          <w:szCs w:val="24"/>
          <w:highlight w:val="none"/>
          <w:shd w:val="clear" w:color="auto" w:fill="FFFFFF"/>
          <w:lang w:val="en-US" w:eastAsia="zh-CN" w:bidi="ar"/>
        </w:rPr>
        <w:t>详见征集文件第三章采购需求</w:t>
      </w:r>
      <w:r>
        <w:rPr>
          <w:rFonts w:hint="eastAsia" w:ascii="宋体" w:hAnsi="宋体" w:eastAsia="宋体" w:cs="宋体"/>
          <w:i w:val="0"/>
          <w:iCs w:val="0"/>
          <w:caps w:val="0"/>
          <w:color w:val="394351"/>
          <w:spacing w:val="0"/>
          <w:sz w:val="24"/>
          <w:szCs w:val="24"/>
          <w:highlight w:val="none"/>
          <w:shd w:val="clear" w:color="auto" w:fill="FFFFFF"/>
        </w:rPr>
        <w:t>。</w:t>
      </w:r>
    </w:p>
    <w:p w14:paraId="23C144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lang w:val="en-US"/>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框架协议期限：24个月</w:t>
      </w:r>
    </w:p>
    <w:p w14:paraId="51182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6</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入围供应商数量上限：</w:t>
      </w:r>
      <w:r>
        <w:rPr>
          <w:rFonts w:hint="eastAsia" w:ascii="宋体" w:hAnsi="宋体" w:cs="宋体"/>
          <w:i w:val="0"/>
          <w:iCs w:val="0"/>
          <w:caps w:val="0"/>
          <w:color w:val="394351"/>
          <w:spacing w:val="0"/>
          <w:kern w:val="0"/>
          <w:sz w:val="24"/>
          <w:szCs w:val="24"/>
          <w:highlight w:val="none"/>
          <w:shd w:val="clear" w:color="auto" w:fill="FFFFFF"/>
          <w:lang w:val="en-US" w:eastAsia="zh-CN" w:bidi="ar"/>
        </w:rPr>
        <w:t>7家</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，且淘汰率不低于20%。</w:t>
      </w:r>
    </w:p>
    <w:p w14:paraId="6FC84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7</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服务标准：符合国家</w:t>
      </w:r>
      <w:r>
        <w:rPr>
          <w:rFonts w:hint="eastAsia" w:ascii="宋体" w:hAnsi="宋体" w:cs="宋体"/>
          <w:i w:val="0"/>
          <w:iCs w:val="0"/>
          <w:caps w:val="0"/>
          <w:color w:val="394351"/>
          <w:spacing w:val="0"/>
          <w:kern w:val="0"/>
          <w:sz w:val="24"/>
          <w:szCs w:val="24"/>
          <w:highlight w:val="none"/>
          <w:shd w:val="clear" w:color="auto" w:fill="FFFFFF"/>
          <w:lang w:val="en-US" w:eastAsia="zh-CN" w:bidi="ar"/>
        </w:rPr>
        <w:t>及地方</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有关的建设标准和规范的规定。</w:t>
      </w:r>
      <w:r>
        <w:rPr>
          <w:rFonts w:hint="eastAsia" w:ascii="宋体" w:hAnsi="宋体" w:cs="宋体"/>
          <w:i w:val="0"/>
          <w:iCs w:val="0"/>
          <w:caps w:val="0"/>
          <w:color w:val="394351"/>
          <w:spacing w:val="0"/>
          <w:kern w:val="0"/>
          <w:sz w:val="24"/>
          <w:szCs w:val="24"/>
          <w:highlight w:val="none"/>
          <w:shd w:val="clear" w:color="auto" w:fill="FFFFFF"/>
          <w:lang w:val="en-US" w:eastAsia="zh-CN" w:bidi="ar"/>
        </w:rPr>
        <w:t>（详见征集文件第三章采购需求）</w:t>
      </w:r>
    </w:p>
    <w:p w14:paraId="5E7ED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8</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本项目不接受联合体投标</w:t>
      </w:r>
      <w:r>
        <w:rPr>
          <w:rFonts w:hint="eastAsia" w:ascii="宋体" w:hAnsi="宋体" w:cs="宋体"/>
          <w:i w:val="0"/>
          <w:iCs w:val="0"/>
          <w:caps w:val="0"/>
          <w:color w:val="394351"/>
          <w:spacing w:val="0"/>
          <w:kern w:val="0"/>
          <w:sz w:val="24"/>
          <w:szCs w:val="24"/>
          <w:highlight w:val="none"/>
          <w:shd w:val="clear" w:color="auto" w:fill="FFFFFF"/>
          <w:lang w:val="en-US" w:eastAsia="zh-CN" w:bidi="ar"/>
        </w:rPr>
        <w:t>。</w:t>
      </w:r>
    </w:p>
    <w:p w14:paraId="46959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1.</w:t>
      </w:r>
      <w:r>
        <w:rPr>
          <w:rFonts w:hint="eastAsia" w:ascii="宋体" w:hAnsi="宋体" w:cs="宋体"/>
          <w:i w:val="0"/>
          <w:iCs w:val="0"/>
          <w:caps w:val="0"/>
          <w:color w:val="394351"/>
          <w:spacing w:val="0"/>
          <w:kern w:val="0"/>
          <w:sz w:val="24"/>
          <w:szCs w:val="24"/>
          <w:highlight w:val="none"/>
          <w:shd w:val="clear" w:color="auto" w:fill="FFFFFF"/>
          <w:lang w:val="en-US" w:eastAsia="zh-CN" w:bidi="ar"/>
        </w:rPr>
        <w:t>9</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本项目为封闭式框架协议采购</w:t>
      </w:r>
      <w:r>
        <w:rPr>
          <w:rFonts w:hint="eastAsia" w:ascii="宋体" w:hAnsi="宋体" w:cs="宋体"/>
          <w:i w:val="0"/>
          <w:iCs w:val="0"/>
          <w:caps w:val="0"/>
          <w:color w:val="394351"/>
          <w:spacing w:val="0"/>
          <w:kern w:val="0"/>
          <w:sz w:val="24"/>
          <w:szCs w:val="24"/>
          <w:highlight w:val="none"/>
          <w:shd w:val="clear" w:color="auto" w:fill="FFFFFF"/>
          <w:lang w:val="en-US" w:eastAsia="zh-CN" w:bidi="ar"/>
        </w:rPr>
        <w:t>。</w:t>
      </w:r>
    </w:p>
    <w:p w14:paraId="587F6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bookmarkStart w:id="15" w:name="_Toc28359003"/>
      <w:bookmarkEnd w:id="15"/>
      <w:bookmarkStart w:id="16" w:name="_Toc28359080"/>
      <w:bookmarkEnd w:id="16"/>
      <w:bookmarkStart w:id="17" w:name="_Toc35393791"/>
      <w:bookmarkEnd w:id="17"/>
      <w:bookmarkStart w:id="18" w:name="_Toc35393622"/>
      <w:r>
        <w:rPr>
          <w:rFonts w:hint="eastAsia" w:ascii="宋体" w:hAnsi="宋体" w:eastAsia="宋体" w:cs="宋体"/>
          <w:b/>
          <w:bCs/>
          <w:i w:val="0"/>
          <w:iCs w:val="0"/>
          <w:caps w:val="0"/>
          <w:color w:val="394351"/>
          <w:spacing w:val="0"/>
          <w:kern w:val="0"/>
          <w:sz w:val="24"/>
          <w:szCs w:val="24"/>
          <w:highlight w:val="none"/>
          <w:u w:val="none"/>
          <w:shd w:val="clear" w:color="auto" w:fill="FFFFFF"/>
          <w:lang w:val="en-US" w:eastAsia="zh-CN" w:bidi="ar"/>
        </w:rPr>
        <w:t>2.申请人的资格要求：</w:t>
      </w:r>
      <w:bookmarkEnd w:id="18"/>
    </w:p>
    <w:p w14:paraId="4FA2E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2.1满足《中华人民共和国</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政府采购法》第二十二条规定；</w:t>
      </w:r>
    </w:p>
    <w:p w14:paraId="2AED6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bookmarkStart w:id="19" w:name="_Toc28359081"/>
      <w:bookmarkEnd w:id="19"/>
      <w:bookmarkStart w:id="20" w:name="_Toc28359004"/>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2.2</w:t>
      </w:r>
      <w:bookmarkEnd w:id="20"/>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落实政府采购政策需满足的资格要</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求：本项目非专门面向中小企业采购，</w:t>
      </w:r>
      <w:r>
        <w:rPr>
          <w:rFonts w:hint="eastAsia" w:ascii="宋体" w:hAnsi="宋体" w:cs="宋体"/>
          <w:i w:val="0"/>
          <w:iCs w:val="0"/>
          <w:caps w:val="0"/>
          <w:color w:val="394351"/>
          <w:spacing w:val="0"/>
          <w:kern w:val="0"/>
          <w:sz w:val="24"/>
          <w:szCs w:val="24"/>
          <w:highlight w:val="none"/>
          <w:shd w:val="clear" w:color="auto" w:fill="FFFFFF"/>
          <w:lang w:val="en-US" w:eastAsia="zh-CN" w:bidi="ar"/>
        </w:rPr>
        <w:t>落实</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文件要求；</w:t>
      </w:r>
    </w:p>
    <w:p w14:paraId="2D7F8D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2.3本项目</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的特定资格要求：依法登记设立，在全国投资项目在线审批监管平台上备案，从事工程咨询业务的供应商，</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并在中华人民共和国境内注册具有独立承担民事责任能力法人、其他组织或者自然人，具有工程咨询单位</w:t>
      </w:r>
      <w:r>
        <w:rPr>
          <w:rFonts w:hint="eastAsia" w:ascii="宋体" w:hAnsi="宋体" w:cs="宋体"/>
          <w:i w:val="0"/>
          <w:iCs w:val="0"/>
          <w:caps w:val="0"/>
          <w:color w:val="394351"/>
          <w:spacing w:val="0"/>
          <w:kern w:val="0"/>
          <w:sz w:val="24"/>
          <w:szCs w:val="24"/>
          <w:highlight w:val="none"/>
          <w:shd w:val="clear" w:color="auto" w:fill="FFFFFF"/>
          <w:lang w:val="en-US" w:eastAsia="zh-CN" w:bidi="ar"/>
        </w:rPr>
        <w:t>乙</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级资信证书，并在人员、设备、资金等方面具有相应的咨询服务能力。</w:t>
      </w:r>
    </w:p>
    <w:p w14:paraId="2B812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cs="宋体"/>
          <w:i w:val="0"/>
          <w:iCs w:val="0"/>
          <w:caps w:val="0"/>
          <w:color w:val="394351"/>
          <w:spacing w:val="0"/>
          <w:kern w:val="0"/>
          <w:sz w:val="24"/>
          <w:szCs w:val="24"/>
          <w:highlight w:val="none"/>
          <w:shd w:val="clear" w:color="auto" w:fill="FFFFFF"/>
          <w:lang w:val="en-US" w:eastAsia="zh-CN" w:bidi="ar"/>
        </w:rPr>
        <w:t>2.4</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近</w:t>
      </w:r>
      <w:r>
        <w:rPr>
          <w:rFonts w:hint="eastAsia" w:ascii="宋体" w:hAnsi="宋体" w:cs="宋体"/>
          <w:i w:val="0"/>
          <w:iCs w:val="0"/>
          <w:caps w:val="0"/>
          <w:color w:val="394351"/>
          <w:spacing w:val="0"/>
          <w:kern w:val="0"/>
          <w:sz w:val="24"/>
          <w:szCs w:val="24"/>
          <w:highlight w:val="none"/>
          <w:shd w:val="clear" w:color="auto" w:fill="FFFFFF"/>
          <w:lang w:val="en-US" w:eastAsia="zh-CN" w:bidi="ar"/>
        </w:rPr>
        <w:t>三</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年（20</w:t>
      </w:r>
      <w:r>
        <w:rPr>
          <w:rFonts w:hint="eastAsia" w:ascii="宋体" w:hAnsi="宋体" w:cs="宋体"/>
          <w:i w:val="0"/>
          <w:iCs w:val="0"/>
          <w:caps w:val="0"/>
          <w:color w:val="394351"/>
          <w:spacing w:val="0"/>
          <w:kern w:val="0"/>
          <w:sz w:val="24"/>
          <w:szCs w:val="24"/>
          <w:highlight w:val="none"/>
          <w:shd w:val="clear" w:color="auto" w:fill="FFFFFF"/>
          <w:lang w:val="en-US" w:eastAsia="zh-CN" w:bidi="ar"/>
        </w:rPr>
        <w:t>22</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年至今）具有至少</w:t>
      </w:r>
      <w:r>
        <w:rPr>
          <w:rFonts w:hint="eastAsia" w:ascii="宋体" w:hAnsi="宋体" w:cs="宋体"/>
          <w:i w:val="0"/>
          <w:iCs w:val="0"/>
          <w:caps w:val="0"/>
          <w:color w:val="394351"/>
          <w:spacing w:val="0"/>
          <w:kern w:val="0"/>
          <w:sz w:val="24"/>
          <w:szCs w:val="24"/>
          <w:highlight w:val="none"/>
          <w:shd w:val="clear" w:color="auto" w:fill="FFFFFF"/>
          <w:lang w:val="en-US" w:eastAsia="zh-CN" w:bidi="ar"/>
        </w:rPr>
        <w:t>五</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项类似项目的</w:t>
      </w:r>
      <w:r>
        <w:rPr>
          <w:rFonts w:hint="eastAsia" w:ascii="宋体" w:hAnsi="宋体" w:cs="宋体"/>
          <w:i w:val="0"/>
          <w:iCs w:val="0"/>
          <w:caps w:val="0"/>
          <w:color w:val="394351"/>
          <w:spacing w:val="0"/>
          <w:kern w:val="0"/>
          <w:sz w:val="24"/>
          <w:szCs w:val="24"/>
          <w:highlight w:val="none"/>
          <w:shd w:val="clear" w:color="auto" w:fill="FFFFFF"/>
          <w:lang w:val="en-US" w:eastAsia="zh-CN" w:bidi="ar"/>
        </w:rPr>
        <w:t>业绩</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。项目团队成员具备注册咨询工程师资格，不少于5人，其中项目负责人具有高级职称。</w:t>
      </w:r>
    </w:p>
    <w:p w14:paraId="1D4271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2.</w:t>
      </w:r>
      <w:r>
        <w:rPr>
          <w:rFonts w:hint="eastAsia" w:ascii="宋体" w:hAnsi="宋体" w:cs="宋体"/>
          <w:i w:val="0"/>
          <w:iCs w:val="0"/>
          <w:caps w:val="0"/>
          <w:color w:val="394351"/>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未被</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列入信用中国（www.creditchina.gov.cn）“失信被执行人”、“ 重大税收违法失信主体”、“政府采购严重违法失信行为记录名单” 及中国政府采购网（www.ccgp.gov.cn）“政府采购严重违法失信行为记录”。</w:t>
      </w:r>
    </w:p>
    <w:p w14:paraId="5E4D1B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bookmarkStart w:id="21" w:name="_Toc35393792"/>
      <w:bookmarkEnd w:id="21"/>
      <w:bookmarkStart w:id="22" w:name="_Toc35393623"/>
      <w:r>
        <w:rPr>
          <w:rFonts w:hint="eastAsia" w:ascii="宋体" w:hAnsi="宋体" w:eastAsia="宋体" w:cs="宋体"/>
          <w:b/>
          <w:bCs/>
          <w:i w:val="0"/>
          <w:iCs w:val="0"/>
          <w:caps w:val="0"/>
          <w:color w:val="394351"/>
          <w:spacing w:val="0"/>
          <w:kern w:val="0"/>
          <w:sz w:val="24"/>
          <w:szCs w:val="24"/>
          <w:highlight w:val="none"/>
          <w:u w:val="none"/>
          <w:shd w:val="clear" w:color="auto" w:fill="FFFFFF"/>
          <w:lang w:val="en-US" w:eastAsia="zh-CN" w:bidi="ar"/>
        </w:rPr>
        <w:t>3.获取</w:t>
      </w:r>
      <w:bookmarkEnd w:id="22"/>
      <w:r>
        <w:rPr>
          <w:rFonts w:hint="eastAsia" w:ascii="宋体" w:hAnsi="宋体" w:eastAsia="宋体" w:cs="宋体"/>
          <w:b/>
          <w:bCs/>
          <w:i w:val="0"/>
          <w:iCs w:val="0"/>
          <w:caps w:val="0"/>
          <w:color w:val="394351"/>
          <w:spacing w:val="0"/>
          <w:kern w:val="0"/>
          <w:sz w:val="24"/>
          <w:szCs w:val="24"/>
          <w:highlight w:val="none"/>
          <w:shd w:val="clear" w:color="auto" w:fill="FFFFFF"/>
          <w:lang w:val="en-US" w:eastAsia="zh-CN" w:bidi="ar"/>
        </w:rPr>
        <w:t>征集文件</w:t>
      </w:r>
    </w:p>
    <w:p w14:paraId="0AC44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bookmarkStart w:id="23" w:name="_Toc35393793"/>
      <w:bookmarkEnd w:id="23"/>
      <w:bookmarkStart w:id="24" w:name="_Toc28359005"/>
      <w:bookmarkEnd w:id="24"/>
      <w:bookmarkStart w:id="25" w:name="_Toc35393624"/>
      <w:bookmarkEnd w:id="25"/>
      <w:bookmarkStart w:id="26" w:name="_Toc28359082"/>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3.1</w:t>
      </w:r>
      <w:bookmarkEnd w:id="26"/>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时间：202</w:t>
      </w:r>
      <w:r>
        <w:rPr>
          <w:rFonts w:hint="eastAsia" w:ascii="宋体" w:hAnsi="宋体" w:cs="宋体"/>
          <w:i w:val="0"/>
          <w:iCs w:val="0"/>
          <w:caps w:val="0"/>
          <w:color w:val="394351"/>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年</w:t>
      </w:r>
      <w:r>
        <w:rPr>
          <w:rFonts w:hint="eastAsia" w:ascii="宋体" w:hAnsi="宋体" w:cs="宋体"/>
          <w:i w:val="0"/>
          <w:iCs w:val="0"/>
          <w:caps w:val="0"/>
          <w:color w:val="394351"/>
          <w:spacing w:val="0"/>
          <w:kern w:val="0"/>
          <w:sz w:val="24"/>
          <w:szCs w:val="24"/>
          <w:highlight w:val="none"/>
          <w:shd w:val="clear" w:color="auto" w:fill="FFFFFF"/>
          <w:lang w:val="en-US" w:eastAsia="zh-CN" w:bidi="ar"/>
        </w:rPr>
        <w:t>2</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月</w:t>
      </w:r>
      <w:r>
        <w:rPr>
          <w:rFonts w:hint="eastAsia" w:ascii="宋体" w:hAnsi="宋体" w:cs="宋体"/>
          <w:i w:val="0"/>
          <w:iCs w:val="0"/>
          <w:caps w:val="0"/>
          <w:color w:val="394351"/>
          <w:spacing w:val="0"/>
          <w:kern w:val="0"/>
          <w:sz w:val="24"/>
          <w:szCs w:val="24"/>
          <w:highlight w:val="none"/>
          <w:shd w:val="clear" w:color="auto" w:fill="FFFFFF"/>
          <w:lang w:val="en-US" w:eastAsia="zh-CN" w:bidi="ar"/>
        </w:rPr>
        <w:t>21</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日起至</w:t>
      </w:r>
      <w:bookmarkStart w:id="27" w:name="公告发布截止时间（精确到时分）"/>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202</w:t>
      </w:r>
      <w:r>
        <w:rPr>
          <w:rFonts w:hint="eastAsia" w:ascii="宋体" w:hAnsi="宋体" w:cs="宋体"/>
          <w:i w:val="0"/>
          <w:iCs w:val="0"/>
          <w:caps w:val="0"/>
          <w:color w:val="394351"/>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年</w:t>
      </w:r>
      <w:bookmarkEnd w:id="27"/>
      <w:r>
        <w:rPr>
          <w:rFonts w:hint="eastAsia" w:ascii="宋体" w:hAnsi="宋体" w:cs="宋体"/>
          <w:i w:val="0"/>
          <w:iCs w:val="0"/>
          <w:caps w:val="0"/>
          <w:color w:val="394351"/>
          <w:spacing w:val="0"/>
          <w:kern w:val="0"/>
          <w:sz w:val="24"/>
          <w:szCs w:val="24"/>
          <w:highlight w:val="none"/>
          <w:shd w:val="clear" w:color="auto" w:fill="FFFFFF"/>
          <w:lang w:val="en-US" w:eastAsia="zh-CN" w:bidi="ar"/>
        </w:rPr>
        <w:t>2</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月</w:t>
      </w:r>
      <w:r>
        <w:rPr>
          <w:rFonts w:hint="eastAsia" w:ascii="宋体" w:hAnsi="宋体" w:cs="宋体"/>
          <w:i w:val="0"/>
          <w:iCs w:val="0"/>
          <w:caps w:val="0"/>
          <w:color w:val="394351"/>
          <w:spacing w:val="0"/>
          <w:kern w:val="0"/>
          <w:sz w:val="24"/>
          <w:szCs w:val="24"/>
          <w:highlight w:val="none"/>
          <w:shd w:val="clear" w:color="auto" w:fill="FFFFFF"/>
          <w:lang w:val="en-US" w:eastAsia="zh-CN" w:bidi="ar"/>
        </w:rPr>
        <w:t>28</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日16点30分（北京时间，法定节假日除外）；</w:t>
      </w:r>
    </w:p>
    <w:p w14:paraId="6D8F0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3.2地点：政府采购云平台（http：//www.zcygov.cn）；</w:t>
      </w:r>
    </w:p>
    <w:p w14:paraId="7DEC7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3.3方式：框架协议采购实行电子化采购，供应商自行登录政府采购云平台，网上注册并下载征集文件（https://middle.zcygov.cn/v-settle-front/registry）。操作路径：登录政府采购云平台-项目采购-获取采购文件-本次框架协议采购项目-申请获取采购文件。电子响应文件制作应基于政府采购云平台获取的采购文件编制，其他途径获取的采购文件一律按无效处理。</w:t>
      </w:r>
    </w:p>
    <w:p w14:paraId="5435C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3.4售价：免费</w:t>
      </w:r>
      <w:r>
        <w:rPr>
          <w:rFonts w:hint="eastAsia" w:ascii="宋体" w:hAnsi="宋体" w:cs="宋体"/>
          <w:i w:val="0"/>
          <w:iCs w:val="0"/>
          <w:caps w:val="0"/>
          <w:color w:val="394351"/>
          <w:spacing w:val="0"/>
          <w:kern w:val="0"/>
          <w:sz w:val="24"/>
          <w:szCs w:val="24"/>
          <w:highlight w:val="none"/>
          <w:shd w:val="clear" w:color="auto" w:fill="FFFFFF"/>
          <w:lang w:val="en-US" w:eastAsia="zh-CN" w:bidi="ar"/>
        </w:rPr>
        <w:t>。</w:t>
      </w:r>
    </w:p>
    <w:p w14:paraId="0E3BA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r>
        <w:rPr>
          <w:rFonts w:hint="eastAsia" w:ascii="宋体" w:hAnsi="宋体" w:eastAsia="宋体" w:cs="宋体"/>
          <w:b/>
          <w:bCs/>
          <w:i w:val="0"/>
          <w:iCs w:val="0"/>
          <w:caps w:val="0"/>
          <w:color w:val="394351"/>
          <w:spacing w:val="0"/>
          <w:kern w:val="0"/>
          <w:sz w:val="24"/>
          <w:szCs w:val="24"/>
          <w:highlight w:val="none"/>
          <w:shd w:val="clear" w:color="auto" w:fill="FFFFFF"/>
          <w:lang w:val="en-US" w:eastAsia="zh-CN" w:bidi="ar"/>
        </w:rPr>
        <w:t>4.提交响应文件截止时间和方式、开启时间和地点</w:t>
      </w:r>
    </w:p>
    <w:p w14:paraId="1A6FD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bookmarkStart w:id="28" w:name="_Toc35393794"/>
      <w:bookmarkEnd w:id="28"/>
      <w:bookmarkStart w:id="29" w:name="_Toc35393625"/>
      <w:bookmarkEnd w:id="29"/>
      <w:bookmarkStart w:id="30" w:name="_Toc28359084"/>
      <w:bookmarkEnd w:id="30"/>
      <w:bookmarkStart w:id="31" w:name="_Toc28359007"/>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t>4.1</w:t>
      </w:r>
      <w:bookmarkEnd w:id="31"/>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响应文件</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提交截止时间：202</w:t>
      </w:r>
      <w:r>
        <w:rPr>
          <w:rFonts w:hint="eastAsia" w:ascii="宋体" w:hAnsi="宋体" w:cs="宋体"/>
          <w:i w:val="0"/>
          <w:iCs w:val="0"/>
          <w:caps w:val="0"/>
          <w:color w:val="394351"/>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年</w:t>
      </w:r>
      <w:r>
        <w:rPr>
          <w:rFonts w:hint="eastAsia" w:ascii="宋体" w:hAnsi="宋体" w:cs="宋体"/>
          <w:i w:val="0"/>
          <w:iCs w:val="0"/>
          <w:caps w:val="0"/>
          <w:color w:val="394351"/>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月</w:t>
      </w:r>
      <w:r>
        <w:rPr>
          <w:rFonts w:hint="eastAsia" w:ascii="宋体" w:hAnsi="宋体" w:cs="宋体"/>
          <w:i w:val="0"/>
          <w:iCs w:val="0"/>
          <w:caps w:val="0"/>
          <w:color w:val="394351"/>
          <w:spacing w:val="0"/>
          <w:kern w:val="0"/>
          <w:sz w:val="24"/>
          <w:szCs w:val="24"/>
          <w:highlight w:val="none"/>
          <w:shd w:val="clear" w:color="auto" w:fill="FFFFFF"/>
          <w:lang w:val="en-US" w:eastAsia="zh-CN" w:bidi="ar"/>
        </w:rPr>
        <w:t>13</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日9点</w:t>
      </w:r>
      <w:r>
        <w:rPr>
          <w:rFonts w:hint="eastAsia" w:ascii="宋体" w:hAnsi="宋体" w:cs="宋体"/>
          <w:i w:val="0"/>
          <w:iCs w:val="0"/>
          <w:caps w:val="0"/>
          <w:color w:val="394351"/>
          <w:spacing w:val="0"/>
          <w:kern w:val="0"/>
          <w:sz w:val="24"/>
          <w:szCs w:val="24"/>
          <w:highlight w:val="none"/>
          <w:shd w:val="clear" w:color="auto" w:fill="FFFFFF"/>
          <w:lang w:val="en-US" w:eastAsia="zh-CN" w:bidi="ar"/>
        </w:rPr>
        <w:t>0</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0分（北京时间）；</w:t>
      </w:r>
    </w:p>
    <w:p w14:paraId="51A78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4.2响应文件提交方式：响应文件应加密并在提交截止时间前通过政府采购云平台</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在线提交。</w:t>
      </w:r>
    </w:p>
    <w:p w14:paraId="755C7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操作步骤：</w:t>
      </w:r>
    </w:p>
    <w:p w14:paraId="1CDEB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4.2.1首先安装政采云电子交易客户端（政府采购云平台下载）并办理安信CA证书（已办理的无需重新办理）。</w:t>
      </w:r>
    </w:p>
    <w:p w14:paraId="5636A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4.2.2使用CA进入政采云登录界面，点击CA登录-CA驱动下载-下载并安装政采云投标客户端和安信CA驱动，账号绑定后才能进行响应文件编制。具体参照政府采购云平台《政府采购项目电子交易管理操作指南-供应商》，并按照征集文件和政府采购云平台的系统操作要求进行编制。加密后在响应文件提交截止时间前上传至政府采购云平台，未进行网上注册并办理CA认证将无法参与本次采购活动。数字证书办理时限为1-3个工作日，供应商应及时办理。</w:t>
      </w:r>
    </w:p>
    <w:p w14:paraId="32D5B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4.2.</w:t>
      </w:r>
      <w:r>
        <w:rPr>
          <w:rFonts w:hint="eastAsia" w:ascii="宋体" w:hAnsi="宋体" w:cs="宋体"/>
          <w:i w:val="0"/>
          <w:iCs w:val="0"/>
          <w:caps w:val="0"/>
          <w:color w:val="394351"/>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政采云投标客户端及CA驱动下载地址：</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fldChar w:fldCharType="begin"/>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instrText xml:space="preserve"> HYPERLINK "https://customer.zcygov.cn/CA-driver-download?utm=web-login-front.52cebfa2.0.0.04df4040034511edaac705fda12edb43" </w:instrTex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fldChar w:fldCharType="separate"/>
      </w:r>
      <w:r>
        <w:rPr>
          <w:rStyle w:val="58"/>
          <w:rFonts w:hint="eastAsia" w:ascii="宋体" w:hAnsi="宋体" w:eastAsia="宋体" w:cs="宋体"/>
          <w:i w:val="0"/>
          <w:iCs w:val="0"/>
          <w:caps w:val="0"/>
          <w:color w:val="auto"/>
          <w:spacing w:val="0"/>
          <w:sz w:val="24"/>
          <w:szCs w:val="24"/>
          <w:highlight w:val="none"/>
          <w:u w:val="none"/>
          <w:shd w:val="clear" w:color="auto" w:fill="FFFFFF"/>
          <w:lang w:val="en-US"/>
        </w:rPr>
        <w:t>https://customer.zcygov.cn/CA-driver-download?utm=web-login-front.52cebfa2.0.0.04df4040034511edaac705fda12edb43</w:t>
      </w:r>
      <w:r>
        <w:rPr>
          <w:rFonts w:hint="eastAsia" w:ascii="宋体" w:hAnsi="宋体" w:eastAsia="宋体" w:cs="宋体"/>
          <w:i w:val="0"/>
          <w:iCs w:val="0"/>
          <w:caps w:val="0"/>
          <w:color w:val="394351"/>
          <w:spacing w:val="0"/>
          <w:kern w:val="0"/>
          <w:sz w:val="24"/>
          <w:szCs w:val="24"/>
          <w:highlight w:val="none"/>
          <w:u w:val="none"/>
          <w:shd w:val="clear" w:color="auto" w:fill="FFFFFF"/>
          <w:lang w:val="en-US" w:eastAsia="zh-CN" w:bidi="ar"/>
        </w:rPr>
        <w:fldChar w:fldCharType="end"/>
      </w:r>
    </w:p>
    <w:p w14:paraId="77553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4.3响应文件开启（解密）时间：202</w:t>
      </w:r>
      <w:r>
        <w:rPr>
          <w:rFonts w:hint="eastAsia" w:ascii="宋体" w:hAnsi="宋体" w:cs="宋体"/>
          <w:i w:val="0"/>
          <w:iCs w:val="0"/>
          <w:caps w:val="0"/>
          <w:color w:val="394351"/>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年</w:t>
      </w:r>
      <w:r>
        <w:rPr>
          <w:rFonts w:hint="eastAsia" w:ascii="宋体" w:hAnsi="宋体" w:cs="宋体"/>
          <w:i w:val="0"/>
          <w:iCs w:val="0"/>
          <w:caps w:val="0"/>
          <w:color w:val="394351"/>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月</w:t>
      </w:r>
      <w:r>
        <w:rPr>
          <w:rFonts w:hint="eastAsia" w:ascii="宋体" w:hAnsi="宋体" w:cs="宋体"/>
          <w:i w:val="0"/>
          <w:iCs w:val="0"/>
          <w:caps w:val="0"/>
          <w:color w:val="394351"/>
          <w:spacing w:val="0"/>
          <w:kern w:val="0"/>
          <w:sz w:val="24"/>
          <w:szCs w:val="24"/>
          <w:highlight w:val="none"/>
          <w:shd w:val="clear" w:color="auto" w:fill="FFFFFF"/>
          <w:lang w:val="en-US" w:eastAsia="zh-CN" w:bidi="ar"/>
        </w:rPr>
        <w:t>13</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日9点</w:t>
      </w:r>
      <w:r>
        <w:rPr>
          <w:rFonts w:hint="eastAsia" w:ascii="宋体" w:hAnsi="宋体" w:cs="宋体"/>
          <w:i w:val="0"/>
          <w:iCs w:val="0"/>
          <w:caps w:val="0"/>
          <w:color w:val="394351"/>
          <w:spacing w:val="0"/>
          <w:kern w:val="0"/>
          <w:sz w:val="24"/>
          <w:szCs w:val="24"/>
          <w:highlight w:val="none"/>
          <w:shd w:val="clear" w:color="auto" w:fill="FFFFFF"/>
          <w:lang w:val="en-US" w:eastAsia="zh-CN" w:bidi="ar"/>
        </w:rPr>
        <w:t>0</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0分（北京时间）；</w:t>
      </w:r>
    </w:p>
    <w:p w14:paraId="372FC27A">
      <w:pPr>
        <w:snapToGrid w:val="0"/>
        <w:spacing w:line="360" w:lineRule="auto"/>
        <w:ind w:firstLine="480" w:firstLineChars="200"/>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4.4响应文件开启（解密）方式：远程</w:t>
      </w:r>
      <w:r>
        <w:rPr>
          <w:rFonts w:hint="eastAsia" w:ascii="宋体" w:hAnsi="宋体" w:cs="宋体"/>
          <w:i w:val="0"/>
          <w:iCs w:val="0"/>
          <w:caps w:val="0"/>
          <w:color w:val="394351"/>
          <w:spacing w:val="0"/>
          <w:kern w:val="0"/>
          <w:sz w:val="24"/>
          <w:szCs w:val="24"/>
          <w:highlight w:val="none"/>
          <w:shd w:val="clear" w:color="auto" w:fill="FFFFFF"/>
          <w:lang w:val="en-US" w:eastAsia="zh-CN" w:bidi="ar"/>
        </w:rPr>
        <w:t>线上</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解密。供应商应在开标时间前30分钟持制作该电子响应文件的同一数字证书（CA锁）及电脑</w:t>
      </w:r>
      <w:r>
        <w:rPr>
          <w:rFonts w:hint="eastAsia" w:ascii="宋体" w:hAnsi="宋体" w:cs="宋体"/>
          <w:i w:val="0"/>
          <w:iCs w:val="0"/>
          <w:caps w:val="0"/>
          <w:color w:val="394351"/>
          <w:spacing w:val="0"/>
          <w:kern w:val="0"/>
          <w:sz w:val="24"/>
          <w:szCs w:val="24"/>
          <w:highlight w:val="none"/>
          <w:shd w:val="clear" w:color="auto" w:fill="FFFFFF"/>
          <w:lang w:val="en-US" w:eastAsia="zh-CN" w:bidi="ar"/>
        </w:rPr>
        <w:t>，</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提前登录电子招投标平台，确保平台可以准确登录。截至响应文件递交的截止时间，供应商未使用企业CA锁登录电子招投标平台，或因企业CA锁原因未能依照采购代理机构提示进行远程解密的，其投标无效。解密时间系统默认为30分钟，30分钟内未进行解密的视为自动放弃投标。</w:t>
      </w:r>
    </w:p>
    <w:p w14:paraId="4AA4BEC9">
      <w:pPr>
        <w:snapToGrid w:val="0"/>
        <w:spacing w:line="360" w:lineRule="auto"/>
        <w:ind w:firstLine="480" w:firstLineChars="200"/>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4.5响应文件开启地点：</w:t>
      </w:r>
      <w:r>
        <w:rPr>
          <w:rFonts w:hint="eastAsia" w:ascii="宋体" w:hAnsi="宋体" w:cs="宋体"/>
          <w:i w:val="0"/>
          <w:iCs w:val="0"/>
          <w:caps w:val="0"/>
          <w:color w:val="394351"/>
          <w:spacing w:val="0"/>
          <w:kern w:val="0"/>
          <w:sz w:val="24"/>
          <w:szCs w:val="24"/>
          <w:highlight w:val="none"/>
          <w:shd w:val="clear" w:color="auto" w:fill="FFFFFF"/>
          <w:lang w:val="en-US" w:eastAsia="zh-CN" w:bidi="ar"/>
        </w:rPr>
        <w:t>和龙市公共资源交易服务中心（吉林省和龙市海兰路690号和龙市政务服务中心6楼）</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w:t>
      </w:r>
    </w:p>
    <w:p w14:paraId="2E51DD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r>
        <w:rPr>
          <w:rFonts w:hint="eastAsia" w:ascii="宋体" w:hAnsi="宋体" w:eastAsia="宋体" w:cs="宋体"/>
          <w:b/>
          <w:bCs/>
          <w:i w:val="0"/>
          <w:iCs w:val="0"/>
          <w:caps w:val="0"/>
          <w:color w:val="394351"/>
          <w:spacing w:val="0"/>
          <w:kern w:val="0"/>
          <w:sz w:val="24"/>
          <w:szCs w:val="24"/>
          <w:highlight w:val="none"/>
          <w:shd w:val="clear" w:color="auto" w:fill="FFFFFF"/>
          <w:lang w:val="en-US" w:eastAsia="zh-CN" w:bidi="ar"/>
        </w:rPr>
        <w:t>5.公告期限</w:t>
      </w:r>
    </w:p>
    <w:p w14:paraId="29F19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自本公告发布之日起5个工作日。</w:t>
      </w:r>
    </w:p>
    <w:p w14:paraId="58C6F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bookmarkStart w:id="32" w:name="_Toc35393795"/>
      <w:bookmarkEnd w:id="32"/>
      <w:bookmarkStart w:id="33" w:name="_Toc35393626"/>
      <w:r>
        <w:rPr>
          <w:rFonts w:hint="eastAsia" w:ascii="宋体" w:hAnsi="宋体" w:eastAsia="宋体" w:cs="宋体"/>
          <w:b/>
          <w:bCs/>
          <w:i w:val="0"/>
          <w:iCs w:val="0"/>
          <w:caps w:val="0"/>
          <w:color w:val="394351"/>
          <w:spacing w:val="0"/>
          <w:kern w:val="0"/>
          <w:sz w:val="24"/>
          <w:szCs w:val="24"/>
          <w:highlight w:val="none"/>
          <w:u w:val="none"/>
          <w:shd w:val="clear" w:color="auto" w:fill="FFFFFF"/>
          <w:lang w:val="en-US" w:eastAsia="zh-CN" w:bidi="ar"/>
        </w:rPr>
        <w:t>6.其他补充事宜</w:t>
      </w:r>
      <w:bookmarkEnd w:id="33"/>
    </w:p>
    <w:p w14:paraId="1BE471E9">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480" w:firstLineChars="200"/>
        <w:textAlignment w:val="auto"/>
        <w:rPr>
          <w:rFonts w:hint="default" w:ascii="宋体" w:hAnsi="宋体" w:eastAsia="宋体" w:cs="宋体"/>
          <w:i w:val="0"/>
          <w:iCs w:val="0"/>
          <w:caps w:val="0"/>
          <w:color w:val="394351"/>
          <w:spacing w:val="0"/>
          <w:sz w:val="24"/>
          <w:szCs w:val="24"/>
          <w:highlight w:val="none"/>
          <w:shd w:val="clear" w:color="auto" w:fill="FFFFFF"/>
          <w:lang w:val="en-US" w:eastAsia="zh-CN"/>
        </w:rPr>
      </w:pPr>
      <w:r>
        <w:rPr>
          <w:rFonts w:hint="eastAsia" w:ascii="宋体" w:hAnsi="宋体" w:eastAsia="宋体" w:cs="宋体"/>
          <w:i w:val="0"/>
          <w:iCs w:val="0"/>
          <w:caps w:val="0"/>
          <w:color w:val="394351"/>
          <w:spacing w:val="0"/>
          <w:sz w:val="24"/>
          <w:szCs w:val="24"/>
          <w:highlight w:val="none"/>
          <w:shd w:val="clear" w:color="auto" w:fill="FFFFFF"/>
          <w:lang w:val="en-US" w:eastAsia="zh-CN"/>
        </w:rPr>
        <w:t>6</w:t>
      </w:r>
      <w:r>
        <w:rPr>
          <w:rFonts w:hint="eastAsia" w:ascii="宋体" w:hAnsi="宋体" w:eastAsia="宋体" w:cs="宋体"/>
          <w:i w:val="0"/>
          <w:iCs w:val="0"/>
          <w:caps w:val="0"/>
          <w:color w:val="394351"/>
          <w:spacing w:val="0"/>
          <w:sz w:val="24"/>
          <w:szCs w:val="24"/>
          <w:highlight w:val="none"/>
          <w:shd w:val="clear" w:color="auto" w:fill="FFFFFF"/>
          <w:lang w:val="en-US"/>
        </w:rPr>
        <w:t>.1</w:t>
      </w:r>
      <w:r>
        <w:rPr>
          <w:rFonts w:hint="eastAsia" w:ascii="宋体" w:hAnsi="宋体" w:eastAsia="宋体" w:cs="宋体"/>
          <w:i w:val="0"/>
          <w:iCs w:val="0"/>
          <w:caps w:val="0"/>
          <w:color w:val="394351"/>
          <w:spacing w:val="0"/>
          <w:sz w:val="24"/>
          <w:szCs w:val="24"/>
          <w:highlight w:val="none"/>
          <w:shd w:val="clear" w:color="auto" w:fill="FFFFFF"/>
        </w:rPr>
        <w:t>公告媒介：本项目征集公告在“政采云”平台</w:t>
      </w:r>
      <w:r>
        <w:rPr>
          <w:rFonts w:hint="eastAsia" w:cs="宋体"/>
          <w:i w:val="0"/>
          <w:iCs w:val="0"/>
          <w:caps w:val="0"/>
          <w:color w:val="394351"/>
          <w:spacing w:val="0"/>
          <w:sz w:val="24"/>
          <w:szCs w:val="24"/>
          <w:highlight w:val="none"/>
          <w:shd w:val="clear" w:color="auto" w:fill="FFFFFF"/>
          <w:lang w:eastAsia="zh-CN"/>
        </w:rPr>
        <w:t>（</w:t>
      </w:r>
      <w:r>
        <w:rPr>
          <w:rFonts w:hint="eastAsia" w:ascii="宋体" w:hAnsi="宋体" w:eastAsia="宋体" w:cs="宋体"/>
          <w:i w:val="0"/>
          <w:iCs w:val="0"/>
          <w:caps w:val="0"/>
          <w:color w:val="394351"/>
          <w:spacing w:val="0"/>
          <w:sz w:val="24"/>
          <w:szCs w:val="24"/>
          <w:highlight w:val="none"/>
          <w:shd w:val="clear" w:color="auto" w:fill="FFFFFF"/>
        </w:rPr>
        <w:t>同步推送到吉林省政府采购网</w:t>
      </w:r>
      <w:r>
        <w:rPr>
          <w:rFonts w:hint="eastAsia" w:cs="宋体"/>
          <w:i w:val="0"/>
          <w:iCs w:val="0"/>
          <w:caps w:val="0"/>
          <w:color w:val="394351"/>
          <w:spacing w:val="0"/>
          <w:sz w:val="24"/>
          <w:szCs w:val="24"/>
          <w:highlight w:val="none"/>
          <w:shd w:val="clear" w:color="auto" w:fill="FFFFFF"/>
          <w:lang w:eastAsia="zh-CN"/>
        </w:rPr>
        <w:t>、</w:t>
      </w:r>
      <w:r>
        <w:rPr>
          <w:rFonts w:hint="eastAsia" w:ascii="宋体" w:hAnsi="宋体" w:eastAsia="宋体" w:cs="宋体"/>
          <w:i w:val="0"/>
          <w:iCs w:val="0"/>
          <w:caps w:val="0"/>
          <w:color w:val="394351"/>
          <w:spacing w:val="0"/>
          <w:sz w:val="24"/>
          <w:szCs w:val="24"/>
          <w:highlight w:val="none"/>
          <w:shd w:val="clear" w:color="auto" w:fill="FFFFFF"/>
        </w:rPr>
        <w:t>中国政府采购网</w:t>
      </w:r>
      <w:r>
        <w:rPr>
          <w:rFonts w:hint="eastAsia" w:cs="宋体"/>
          <w:i w:val="0"/>
          <w:iCs w:val="0"/>
          <w:caps w:val="0"/>
          <w:color w:val="394351"/>
          <w:spacing w:val="0"/>
          <w:sz w:val="24"/>
          <w:szCs w:val="24"/>
          <w:highlight w:val="none"/>
          <w:shd w:val="clear" w:color="auto" w:fill="FFFFFF"/>
          <w:lang w:eastAsia="zh-CN"/>
        </w:rPr>
        <w:t>）</w:t>
      </w:r>
      <w:r>
        <w:rPr>
          <w:rFonts w:hint="eastAsia" w:cs="宋体"/>
          <w:i w:val="0"/>
          <w:iCs w:val="0"/>
          <w:caps w:val="0"/>
          <w:color w:val="394351"/>
          <w:spacing w:val="0"/>
          <w:sz w:val="24"/>
          <w:szCs w:val="24"/>
          <w:highlight w:val="none"/>
          <w:shd w:val="clear" w:color="auto" w:fill="FFFFFF"/>
          <w:lang w:val="en-US" w:eastAsia="zh-CN"/>
        </w:rPr>
        <w:t>上发布。</w:t>
      </w:r>
    </w:p>
    <w:p w14:paraId="73A930D5">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right="0" w:firstLine="480" w:firstLineChars="200"/>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sz w:val="24"/>
          <w:szCs w:val="24"/>
          <w:highlight w:val="none"/>
          <w:shd w:val="clear" w:color="auto" w:fill="FFFFFF"/>
          <w:lang w:val="en-US" w:eastAsia="zh-CN"/>
        </w:rPr>
        <w:t>6</w:t>
      </w:r>
      <w:r>
        <w:rPr>
          <w:rFonts w:hint="eastAsia" w:ascii="宋体" w:hAnsi="宋体" w:eastAsia="宋体" w:cs="宋体"/>
          <w:i w:val="0"/>
          <w:iCs w:val="0"/>
          <w:caps w:val="0"/>
          <w:color w:val="394351"/>
          <w:spacing w:val="0"/>
          <w:sz w:val="24"/>
          <w:szCs w:val="24"/>
          <w:highlight w:val="none"/>
          <w:shd w:val="clear" w:color="auto" w:fill="FFFFFF"/>
          <w:lang w:val="en-US"/>
        </w:rPr>
        <w:t>.2</w:t>
      </w:r>
      <w:r>
        <w:rPr>
          <w:rFonts w:hint="eastAsia" w:ascii="宋体" w:hAnsi="宋体" w:eastAsia="宋体" w:cs="宋体"/>
          <w:i w:val="0"/>
          <w:iCs w:val="0"/>
          <w:caps w:val="0"/>
          <w:color w:val="394351"/>
          <w:spacing w:val="0"/>
          <w:sz w:val="24"/>
          <w:szCs w:val="24"/>
          <w:highlight w:val="none"/>
          <w:shd w:val="clear" w:color="auto" w:fill="FFFFFF"/>
        </w:rPr>
        <w:t>技术支持：政采云平台联系电话：</w:t>
      </w:r>
      <w:r>
        <w:rPr>
          <w:rFonts w:hint="eastAsia" w:ascii="宋体" w:hAnsi="宋体" w:eastAsia="宋体" w:cs="宋体"/>
          <w:i w:val="0"/>
          <w:iCs w:val="0"/>
          <w:caps w:val="0"/>
          <w:color w:val="394351"/>
          <w:spacing w:val="0"/>
          <w:sz w:val="24"/>
          <w:szCs w:val="24"/>
          <w:highlight w:val="none"/>
          <w:shd w:val="clear" w:color="auto" w:fill="FFFFFF"/>
          <w:lang w:val="en-US"/>
        </w:rPr>
        <w:t>95763</w:t>
      </w:r>
    </w:p>
    <w:p w14:paraId="184FDC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2" w:firstLineChars="200"/>
        <w:jc w:val="left"/>
        <w:textAlignment w:val="auto"/>
        <w:rPr>
          <w:rFonts w:hint="eastAsia" w:ascii="宋体" w:hAnsi="宋体" w:eastAsia="宋体" w:cs="宋体"/>
          <w:color w:val="394351"/>
          <w:highlight w:val="none"/>
        </w:rPr>
      </w:pPr>
      <w:r>
        <w:rPr>
          <w:rFonts w:hint="eastAsia" w:ascii="宋体" w:hAnsi="宋体" w:eastAsia="宋体" w:cs="宋体"/>
          <w:b/>
          <w:bCs/>
          <w:i w:val="0"/>
          <w:iCs w:val="0"/>
          <w:caps w:val="0"/>
          <w:color w:val="394351"/>
          <w:spacing w:val="0"/>
          <w:kern w:val="0"/>
          <w:sz w:val="24"/>
          <w:szCs w:val="24"/>
          <w:highlight w:val="none"/>
          <w:shd w:val="clear" w:color="auto" w:fill="FFFFFF"/>
          <w:lang w:val="en-US" w:eastAsia="zh-CN" w:bidi="ar"/>
        </w:rPr>
        <w:t>7.对本次征集提出询问，请按以下方式联系</w:t>
      </w:r>
    </w:p>
    <w:p w14:paraId="70F7C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7.1征集人1（采购人）信息</w:t>
      </w:r>
    </w:p>
    <w:p w14:paraId="4D777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color w:val="39435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名 称：</w:t>
      </w:r>
      <w:r>
        <w:rPr>
          <w:rFonts w:hint="eastAsia" w:ascii="宋体" w:hAnsi="宋体" w:cs="宋体"/>
          <w:i w:val="0"/>
          <w:iCs w:val="0"/>
          <w:caps w:val="0"/>
          <w:color w:val="394351"/>
          <w:spacing w:val="0"/>
          <w:kern w:val="0"/>
          <w:sz w:val="24"/>
          <w:szCs w:val="24"/>
          <w:highlight w:val="none"/>
          <w:shd w:val="clear" w:color="auto" w:fill="FFFFFF"/>
          <w:lang w:val="en-US" w:eastAsia="zh-CN" w:bidi="ar"/>
        </w:rPr>
        <w:t>和龙市发展和改革局</w:t>
      </w:r>
    </w:p>
    <w:p w14:paraId="2560E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地 址：</w:t>
      </w:r>
      <w:r>
        <w:rPr>
          <w:rFonts w:hint="eastAsia" w:ascii="宋体" w:hAnsi="宋体" w:cs="宋体"/>
          <w:i w:val="0"/>
          <w:iCs w:val="0"/>
          <w:caps w:val="0"/>
          <w:color w:val="394351"/>
          <w:spacing w:val="0"/>
          <w:kern w:val="0"/>
          <w:sz w:val="24"/>
          <w:szCs w:val="24"/>
          <w:highlight w:val="none"/>
          <w:shd w:val="clear" w:color="auto" w:fill="FFFFFF"/>
          <w:lang w:val="en-US" w:eastAsia="zh-CN" w:bidi="ar"/>
        </w:rPr>
        <w:t>和龙市文化路24号</w:t>
      </w:r>
    </w:p>
    <w:p w14:paraId="35C8B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cs="宋体"/>
          <w:i w:val="0"/>
          <w:iCs w:val="0"/>
          <w:caps w:val="0"/>
          <w:color w:val="394351"/>
          <w:spacing w:val="0"/>
          <w:kern w:val="0"/>
          <w:sz w:val="24"/>
          <w:szCs w:val="24"/>
          <w:highlight w:val="none"/>
          <w:shd w:val="clear" w:color="auto" w:fill="FFFFFF"/>
          <w:lang w:val="en-US" w:eastAsia="zh-CN" w:bidi="ar"/>
        </w:rPr>
        <w:t>联系人：蔡永辉</w:t>
      </w:r>
    </w:p>
    <w:p w14:paraId="060C8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default" w:ascii="宋体" w:hAnsi="宋体" w:eastAsia="宋体" w:cs="宋体"/>
          <w:color w:val="394351"/>
          <w:highlight w:val="none"/>
          <w:lang w:val="en-US"/>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联系方式：</w:t>
      </w:r>
      <w:bookmarkStart w:id="34" w:name="_Toc28359009"/>
      <w:bookmarkEnd w:id="34"/>
      <w:r>
        <w:rPr>
          <w:rFonts w:hint="eastAsia" w:ascii="宋体" w:hAnsi="宋体" w:cs="宋体"/>
          <w:i w:val="0"/>
          <w:iCs w:val="0"/>
          <w:caps w:val="0"/>
          <w:color w:val="394351"/>
          <w:spacing w:val="0"/>
          <w:kern w:val="0"/>
          <w:sz w:val="24"/>
          <w:szCs w:val="24"/>
          <w:highlight w:val="none"/>
          <w:u w:val="none"/>
          <w:shd w:val="clear" w:color="auto" w:fill="FFFFFF"/>
          <w:lang w:val="en-US" w:eastAsia="zh-CN" w:bidi="ar"/>
        </w:rPr>
        <w:t>0433-4234004</w:t>
      </w:r>
    </w:p>
    <w:p w14:paraId="23879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7.2征集人2（采购代理机构）信息</w:t>
      </w:r>
    </w:p>
    <w:p w14:paraId="45DD8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名称：</w:t>
      </w:r>
      <w:r>
        <w:rPr>
          <w:rFonts w:hint="eastAsia" w:ascii="宋体" w:hAnsi="宋体" w:cs="宋体"/>
          <w:i w:val="0"/>
          <w:iCs w:val="0"/>
          <w:caps w:val="0"/>
          <w:color w:val="394351"/>
          <w:spacing w:val="0"/>
          <w:kern w:val="0"/>
          <w:sz w:val="24"/>
          <w:szCs w:val="24"/>
          <w:highlight w:val="none"/>
          <w:shd w:val="clear" w:color="auto" w:fill="FFFFFF"/>
          <w:lang w:val="en-US" w:eastAsia="zh-CN" w:bidi="ar"/>
        </w:rPr>
        <w:t>吉林省创信建设项目管理有限公司</w:t>
      </w:r>
    </w:p>
    <w:p w14:paraId="7D75C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地址：</w:t>
      </w:r>
      <w:r>
        <w:rPr>
          <w:rFonts w:hint="eastAsia" w:ascii="宋体" w:hAnsi="宋体" w:cs="宋体"/>
          <w:i w:val="0"/>
          <w:iCs w:val="0"/>
          <w:caps w:val="0"/>
          <w:color w:val="394351"/>
          <w:spacing w:val="0"/>
          <w:kern w:val="0"/>
          <w:sz w:val="24"/>
          <w:szCs w:val="24"/>
          <w:highlight w:val="none"/>
          <w:shd w:val="clear" w:color="auto" w:fill="FFFFFF"/>
          <w:lang w:val="en-US" w:eastAsia="zh-CN" w:bidi="ar"/>
        </w:rPr>
        <w:t>延吉市长白山东路435号</w:t>
      </w:r>
    </w:p>
    <w:p w14:paraId="52CFF9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联系人：</w:t>
      </w:r>
      <w:r>
        <w:rPr>
          <w:rFonts w:hint="eastAsia" w:ascii="宋体" w:hAnsi="宋体" w:cs="宋体"/>
          <w:i w:val="0"/>
          <w:iCs w:val="0"/>
          <w:caps w:val="0"/>
          <w:color w:val="394351"/>
          <w:spacing w:val="0"/>
          <w:kern w:val="0"/>
          <w:sz w:val="24"/>
          <w:szCs w:val="24"/>
          <w:highlight w:val="none"/>
          <w:shd w:val="clear" w:color="auto" w:fill="FFFFFF"/>
          <w:lang w:val="en-US" w:eastAsia="zh-CN" w:bidi="ar"/>
        </w:rPr>
        <w:t>郭晓冬</w:t>
      </w:r>
    </w:p>
    <w:p w14:paraId="3F72E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94351"/>
          <w:spacing w:val="0"/>
          <w:kern w:val="0"/>
          <w:sz w:val="24"/>
          <w:szCs w:val="24"/>
          <w:highlight w:val="none"/>
          <w:shd w:val="clear" w:color="auto" w:fill="FFFFFF"/>
          <w:lang w:val="en-US" w:eastAsia="zh-CN" w:bidi="ar"/>
        </w:rPr>
        <w:t>0433-2613588</w:t>
      </w:r>
    </w:p>
    <w:p w14:paraId="2BF19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7.3项目联系方式</w:t>
      </w:r>
    </w:p>
    <w:p w14:paraId="0BF73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项目联系人：</w:t>
      </w:r>
      <w:r>
        <w:rPr>
          <w:rFonts w:hint="eastAsia" w:ascii="宋体" w:hAnsi="宋体" w:cs="宋体"/>
          <w:i w:val="0"/>
          <w:iCs w:val="0"/>
          <w:caps w:val="0"/>
          <w:color w:val="394351"/>
          <w:spacing w:val="0"/>
          <w:kern w:val="0"/>
          <w:sz w:val="24"/>
          <w:szCs w:val="24"/>
          <w:highlight w:val="none"/>
          <w:shd w:val="clear" w:color="auto" w:fill="FFFFFF"/>
          <w:lang w:val="en-US" w:eastAsia="zh-CN" w:bidi="ar"/>
        </w:rPr>
        <w:t>郭晓冬</w:t>
      </w:r>
    </w:p>
    <w:p w14:paraId="06355F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电话：</w:t>
      </w:r>
      <w:r>
        <w:rPr>
          <w:rFonts w:hint="eastAsia" w:ascii="宋体" w:hAnsi="宋体" w:cs="宋体"/>
          <w:i w:val="0"/>
          <w:iCs w:val="0"/>
          <w:caps w:val="0"/>
          <w:color w:val="394351"/>
          <w:spacing w:val="0"/>
          <w:kern w:val="0"/>
          <w:sz w:val="24"/>
          <w:szCs w:val="24"/>
          <w:highlight w:val="none"/>
          <w:shd w:val="clear" w:color="auto" w:fill="FFFFFF"/>
          <w:lang w:val="en-US" w:eastAsia="zh-CN" w:bidi="ar"/>
        </w:rPr>
        <w:t>0433-2613588</w:t>
      </w:r>
    </w:p>
    <w:p w14:paraId="29351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监督管理部门：</w:t>
      </w:r>
      <w:r>
        <w:rPr>
          <w:rFonts w:hint="eastAsia" w:ascii="宋体" w:hAnsi="宋体" w:cs="宋体"/>
          <w:i w:val="0"/>
          <w:iCs w:val="0"/>
          <w:caps w:val="0"/>
          <w:color w:val="394351"/>
          <w:spacing w:val="0"/>
          <w:kern w:val="0"/>
          <w:sz w:val="24"/>
          <w:szCs w:val="24"/>
          <w:highlight w:val="none"/>
          <w:shd w:val="clear" w:color="auto" w:fill="FFFFFF"/>
          <w:lang w:val="en-US" w:eastAsia="zh-CN" w:bidi="ar"/>
        </w:rPr>
        <w:t>和龙市财政局政府采购管理工作办公室</w:t>
      </w:r>
    </w:p>
    <w:bookmarkEnd w:id="13"/>
    <w:p w14:paraId="0597BF94">
      <w:pPr>
        <w:rPr>
          <w:sz w:val="28"/>
          <w:szCs w:val="28"/>
          <w:highlight w:val="none"/>
        </w:rPr>
      </w:pPr>
      <w:bookmarkStart w:id="35" w:name="_Toc97561716"/>
      <w:bookmarkStart w:id="36" w:name="_Toc19637"/>
      <w:r>
        <w:rPr>
          <w:sz w:val="28"/>
          <w:szCs w:val="28"/>
          <w:highlight w:val="none"/>
        </w:rPr>
        <w:br w:type="page"/>
      </w:r>
    </w:p>
    <w:p w14:paraId="23F1BE86">
      <w:pPr>
        <w:pStyle w:val="2"/>
        <w:spacing w:before="0" w:after="0" w:line="360" w:lineRule="auto"/>
        <w:jc w:val="center"/>
        <w:rPr>
          <w:color w:val="000000"/>
          <w:sz w:val="32"/>
          <w:szCs w:val="32"/>
          <w:highlight w:val="none"/>
        </w:rPr>
      </w:pPr>
      <w:r>
        <w:rPr>
          <w:sz w:val="28"/>
          <w:szCs w:val="28"/>
          <w:highlight w:val="none"/>
        </w:rPr>
        <w:t>第</w:t>
      </w:r>
      <w:r>
        <w:rPr>
          <w:rFonts w:hint="eastAsia"/>
          <w:sz w:val="28"/>
          <w:szCs w:val="28"/>
          <w:highlight w:val="none"/>
          <w:lang w:val="en-US" w:eastAsia="zh-CN"/>
        </w:rPr>
        <w:t>二</w:t>
      </w:r>
      <w:r>
        <w:rPr>
          <w:sz w:val="28"/>
          <w:szCs w:val="28"/>
          <w:highlight w:val="none"/>
        </w:rPr>
        <w:t>章 供应商须知</w:t>
      </w:r>
      <w:bookmarkEnd w:id="35"/>
      <w:bookmarkEnd w:id="36"/>
      <w:bookmarkStart w:id="37" w:name="_Toc254970526"/>
      <w:bookmarkStart w:id="38" w:name="_Toc254970667"/>
    </w:p>
    <w:p w14:paraId="20E0A516">
      <w:pPr>
        <w:pStyle w:val="3"/>
        <w:spacing w:before="40" w:after="40"/>
        <w:jc w:val="center"/>
        <w:rPr>
          <w:rFonts w:ascii="Times New Roman" w:hAnsi="Times New Roman" w:eastAsia="宋体"/>
          <w:color w:val="000000"/>
          <w:sz w:val="24"/>
          <w:szCs w:val="24"/>
          <w:highlight w:val="none"/>
        </w:rPr>
      </w:pPr>
      <w:bookmarkStart w:id="39" w:name="_投标人须知前附表"/>
      <w:bookmarkEnd w:id="39"/>
      <w:bookmarkStart w:id="40" w:name="_Hlk89163557"/>
      <w:r>
        <w:rPr>
          <w:rFonts w:ascii="Times New Roman" w:hAnsi="Times New Roman" w:eastAsia="宋体"/>
          <w:color w:val="000000"/>
          <w:sz w:val="24"/>
          <w:szCs w:val="24"/>
          <w:highlight w:val="none"/>
        </w:rPr>
        <w:t>供应商须知前附表</w:t>
      </w:r>
    </w:p>
    <w:tbl>
      <w:tblPr>
        <w:tblStyle w:val="52"/>
        <w:tblW w:w="92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
        <w:gridCol w:w="1217"/>
        <w:gridCol w:w="7073"/>
      </w:tblGrid>
      <w:tr w14:paraId="0A13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10" w:type="dxa"/>
            <w:tcBorders>
              <w:top w:val="single" w:color="auto" w:sz="4" w:space="0"/>
              <w:left w:val="single" w:color="auto" w:sz="4" w:space="0"/>
              <w:bottom w:val="single" w:color="auto" w:sz="4" w:space="0"/>
              <w:right w:val="single" w:color="auto" w:sz="4" w:space="0"/>
            </w:tcBorders>
            <w:vAlign w:val="center"/>
          </w:tcPr>
          <w:p w14:paraId="58B7F97C">
            <w:pPr>
              <w:jc w:val="center"/>
              <w:rPr>
                <w:b/>
                <w:color w:val="000000"/>
                <w:szCs w:val="21"/>
                <w:highlight w:val="none"/>
              </w:rPr>
            </w:pPr>
            <w:r>
              <w:rPr>
                <w:b/>
                <w:color w:val="000000"/>
                <w:szCs w:val="21"/>
                <w:highlight w:val="none"/>
              </w:rPr>
              <w:t>条款号</w:t>
            </w:r>
          </w:p>
        </w:tc>
        <w:tc>
          <w:tcPr>
            <w:tcW w:w="1217" w:type="dxa"/>
            <w:tcBorders>
              <w:top w:val="single" w:color="auto" w:sz="4" w:space="0"/>
              <w:left w:val="single" w:color="auto" w:sz="4" w:space="0"/>
              <w:bottom w:val="single" w:color="auto" w:sz="4" w:space="0"/>
              <w:right w:val="single" w:color="auto" w:sz="4" w:space="0"/>
            </w:tcBorders>
            <w:vAlign w:val="center"/>
          </w:tcPr>
          <w:p w14:paraId="4C900FE4">
            <w:pPr>
              <w:jc w:val="center"/>
              <w:rPr>
                <w:b/>
                <w:color w:val="000000"/>
                <w:szCs w:val="21"/>
                <w:highlight w:val="none"/>
              </w:rPr>
            </w:pPr>
            <w:r>
              <w:rPr>
                <w:b/>
                <w:color w:val="000000"/>
                <w:szCs w:val="21"/>
                <w:highlight w:val="none"/>
              </w:rPr>
              <w:t>要点</w:t>
            </w:r>
          </w:p>
        </w:tc>
        <w:tc>
          <w:tcPr>
            <w:tcW w:w="7073" w:type="dxa"/>
            <w:tcBorders>
              <w:top w:val="single" w:color="auto" w:sz="4" w:space="0"/>
              <w:left w:val="single" w:color="auto" w:sz="4" w:space="0"/>
              <w:bottom w:val="single" w:color="auto" w:sz="4" w:space="0"/>
              <w:right w:val="single" w:color="auto" w:sz="4" w:space="0"/>
            </w:tcBorders>
            <w:vAlign w:val="center"/>
          </w:tcPr>
          <w:p w14:paraId="5600E0DD">
            <w:pPr>
              <w:jc w:val="center"/>
              <w:rPr>
                <w:b/>
                <w:color w:val="000000"/>
                <w:szCs w:val="21"/>
                <w:highlight w:val="none"/>
              </w:rPr>
            </w:pPr>
            <w:r>
              <w:rPr>
                <w:b/>
                <w:color w:val="000000"/>
                <w:szCs w:val="21"/>
                <w:highlight w:val="none"/>
              </w:rPr>
              <w:t>内容、要求</w:t>
            </w:r>
          </w:p>
        </w:tc>
      </w:tr>
      <w:tr w14:paraId="7604A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10" w:type="dxa"/>
            <w:tcBorders>
              <w:top w:val="single" w:color="auto" w:sz="4" w:space="0"/>
              <w:left w:val="single" w:color="auto" w:sz="4" w:space="0"/>
              <w:bottom w:val="single" w:color="auto" w:sz="4" w:space="0"/>
              <w:right w:val="single" w:color="auto" w:sz="4" w:space="0"/>
            </w:tcBorders>
            <w:vAlign w:val="center"/>
          </w:tcPr>
          <w:p w14:paraId="22592EEF">
            <w:pPr>
              <w:spacing w:line="300" w:lineRule="exact"/>
              <w:jc w:val="center"/>
              <w:rPr>
                <w:rFonts w:hint="default" w:eastAsia="宋体"/>
                <w:b/>
                <w:color w:val="000000"/>
                <w:szCs w:val="21"/>
                <w:highlight w:val="none"/>
                <w:lang w:val="en-US" w:eastAsia="zh-CN"/>
              </w:rPr>
            </w:pPr>
            <w:r>
              <w:rPr>
                <w:b/>
                <w:color w:val="000000"/>
                <w:szCs w:val="21"/>
                <w:highlight w:val="none"/>
              </w:rPr>
              <w:t>1.3</w:t>
            </w:r>
            <w:r>
              <w:rPr>
                <w:rFonts w:hint="eastAsia"/>
                <w:b/>
                <w:color w:val="000000"/>
                <w:szCs w:val="21"/>
                <w:highlight w:val="none"/>
                <w:lang w:val="en-US" w:eastAsia="zh-CN"/>
              </w:rPr>
              <w:t>.1</w:t>
            </w:r>
          </w:p>
        </w:tc>
        <w:tc>
          <w:tcPr>
            <w:tcW w:w="1217" w:type="dxa"/>
            <w:tcBorders>
              <w:top w:val="single" w:color="auto" w:sz="4" w:space="0"/>
              <w:left w:val="single" w:color="auto" w:sz="4" w:space="0"/>
              <w:bottom w:val="single" w:color="auto" w:sz="4" w:space="0"/>
              <w:right w:val="single" w:color="auto" w:sz="4" w:space="0"/>
            </w:tcBorders>
            <w:vAlign w:val="center"/>
          </w:tcPr>
          <w:p w14:paraId="65B76B25">
            <w:pPr>
              <w:spacing w:line="300" w:lineRule="exact"/>
              <w:jc w:val="center"/>
              <w:rPr>
                <w:color w:val="000000"/>
                <w:szCs w:val="21"/>
                <w:highlight w:val="none"/>
              </w:rPr>
            </w:pPr>
            <w:r>
              <w:rPr>
                <w:rFonts w:hint="eastAsia"/>
                <w:color w:val="000000"/>
                <w:szCs w:val="21"/>
                <w:highlight w:val="none"/>
              </w:rPr>
              <w:t>项目名称及编号</w:t>
            </w:r>
          </w:p>
        </w:tc>
        <w:tc>
          <w:tcPr>
            <w:tcW w:w="7073" w:type="dxa"/>
            <w:tcBorders>
              <w:top w:val="single" w:color="auto" w:sz="4" w:space="0"/>
              <w:left w:val="single" w:color="auto" w:sz="4" w:space="0"/>
              <w:bottom w:val="single" w:color="auto" w:sz="4" w:space="0"/>
              <w:right w:val="single" w:color="auto" w:sz="4" w:space="0"/>
            </w:tcBorders>
            <w:vAlign w:val="center"/>
          </w:tcPr>
          <w:p w14:paraId="4A86E337">
            <w:pPr>
              <w:spacing w:line="300" w:lineRule="exact"/>
              <w:jc w:val="left"/>
              <w:rPr>
                <w:rFonts w:hint="eastAsia" w:eastAsia="宋体"/>
                <w:color w:val="000000"/>
                <w:szCs w:val="21"/>
                <w:highlight w:val="none"/>
                <w:lang w:eastAsia="zh-CN"/>
              </w:rPr>
            </w:pPr>
            <w:r>
              <w:rPr>
                <w:color w:val="000000"/>
                <w:szCs w:val="21"/>
                <w:highlight w:val="none"/>
              </w:rPr>
              <w:t>项目名称：</w:t>
            </w:r>
            <w:r>
              <w:rPr>
                <w:rFonts w:hint="eastAsia"/>
                <w:color w:val="000000"/>
                <w:szCs w:val="21"/>
                <w:highlight w:val="none"/>
                <w:lang w:eastAsia="zh-CN"/>
              </w:rPr>
              <w:t>2025年-2027年和龙市发展和改革局项目综合评审封闭式框架协议采购项目</w:t>
            </w:r>
          </w:p>
          <w:p w14:paraId="3D034E62">
            <w:pPr>
              <w:spacing w:line="300" w:lineRule="exact"/>
              <w:jc w:val="left"/>
              <w:rPr>
                <w:rFonts w:hint="eastAsia" w:eastAsia="宋体"/>
                <w:color w:val="000000"/>
                <w:szCs w:val="21"/>
                <w:highlight w:val="none"/>
                <w:lang w:eastAsia="zh-CN"/>
              </w:rPr>
            </w:pPr>
            <w:r>
              <w:rPr>
                <w:color w:val="000000"/>
                <w:szCs w:val="21"/>
                <w:highlight w:val="none"/>
              </w:rPr>
              <w:t>项目编号：</w:t>
            </w:r>
            <w:r>
              <w:rPr>
                <w:rFonts w:hint="eastAsia"/>
                <w:color w:val="000000"/>
                <w:szCs w:val="21"/>
                <w:highlight w:val="none"/>
                <w:lang w:eastAsia="zh-CN"/>
              </w:rPr>
              <w:t>JLCX[2025]-02-CG01</w:t>
            </w:r>
          </w:p>
        </w:tc>
      </w:tr>
      <w:tr w14:paraId="0CF60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10" w:type="dxa"/>
            <w:tcBorders>
              <w:top w:val="single" w:color="auto" w:sz="4" w:space="0"/>
              <w:left w:val="single" w:color="auto" w:sz="4" w:space="0"/>
              <w:bottom w:val="single" w:color="auto" w:sz="4" w:space="0"/>
              <w:right w:val="single" w:color="auto" w:sz="4" w:space="0"/>
            </w:tcBorders>
            <w:vAlign w:val="center"/>
          </w:tcPr>
          <w:p w14:paraId="5CB1E0E7">
            <w:pPr>
              <w:spacing w:line="300" w:lineRule="exact"/>
              <w:jc w:val="center"/>
              <w:rPr>
                <w:b/>
                <w:color w:val="000000"/>
                <w:szCs w:val="21"/>
                <w:highlight w:val="none"/>
              </w:rPr>
            </w:pPr>
            <w:r>
              <w:rPr>
                <w:b/>
                <w:color w:val="000000"/>
                <w:szCs w:val="21"/>
                <w:highlight w:val="none"/>
              </w:rPr>
              <w:t>1.3.2</w:t>
            </w:r>
          </w:p>
        </w:tc>
        <w:tc>
          <w:tcPr>
            <w:tcW w:w="1217" w:type="dxa"/>
            <w:tcBorders>
              <w:top w:val="single" w:color="auto" w:sz="4" w:space="0"/>
              <w:left w:val="single" w:color="auto" w:sz="4" w:space="0"/>
              <w:bottom w:val="single" w:color="auto" w:sz="4" w:space="0"/>
              <w:right w:val="single" w:color="auto" w:sz="4" w:space="0"/>
            </w:tcBorders>
            <w:vAlign w:val="center"/>
          </w:tcPr>
          <w:p w14:paraId="19558EA7">
            <w:pPr>
              <w:spacing w:line="300" w:lineRule="exact"/>
              <w:jc w:val="center"/>
              <w:rPr>
                <w:color w:val="000000"/>
                <w:szCs w:val="21"/>
                <w:highlight w:val="none"/>
                <w:lang w:val="zh-CN"/>
              </w:rPr>
            </w:pPr>
            <w:r>
              <w:rPr>
                <w:rFonts w:hint="eastAsia"/>
                <w:color w:val="000000"/>
                <w:szCs w:val="21"/>
                <w:highlight w:val="none"/>
                <w:lang w:val="zh-CN"/>
              </w:rPr>
              <w:t>采购方式</w:t>
            </w:r>
          </w:p>
        </w:tc>
        <w:tc>
          <w:tcPr>
            <w:tcW w:w="7073" w:type="dxa"/>
            <w:tcBorders>
              <w:top w:val="single" w:color="auto" w:sz="4" w:space="0"/>
              <w:left w:val="single" w:color="auto" w:sz="4" w:space="0"/>
              <w:bottom w:val="single" w:color="auto" w:sz="4" w:space="0"/>
              <w:right w:val="single" w:color="auto" w:sz="4" w:space="0"/>
            </w:tcBorders>
            <w:vAlign w:val="center"/>
          </w:tcPr>
          <w:p w14:paraId="17633319">
            <w:pPr>
              <w:spacing w:line="300" w:lineRule="exact"/>
              <w:jc w:val="left"/>
              <w:rPr>
                <w:color w:val="000000"/>
                <w:szCs w:val="21"/>
                <w:highlight w:val="none"/>
              </w:rPr>
            </w:pPr>
            <w:r>
              <w:rPr>
                <w:rFonts w:hint="eastAsia"/>
                <w:color w:val="000000"/>
                <w:szCs w:val="21"/>
                <w:highlight w:val="none"/>
              </w:rPr>
              <w:t>封闭式框架协议采购</w:t>
            </w:r>
          </w:p>
        </w:tc>
      </w:tr>
      <w:tr w14:paraId="0BDD0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10" w:type="dxa"/>
            <w:tcBorders>
              <w:top w:val="single" w:color="auto" w:sz="4" w:space="0"/>
              <w:left w:val="single" w:color="auto" w:sz="4" w:space="0"/>
              <w:bottom w:val="single" w:color="auto" w:sz="4" w:space="0"/>
              <w:right w:val="single" w:color="auto" w:sz="4" w:space="0"/>
            </w:tcBorders>
            <w:vAlign w:val="center"/>
          </w:tcPr>
          <w:p w14:paraId="6E102CFF">
            <w:pPr>
              <w:spacing w:line="300" w:lineRule="exact"/>
              <w:jc w:val="center"/>
              <w:rPr>
                <w:rFonts w:hint="eastAsia" w:eastAsia="宋体"/>
                <w:b/>
                <w:color w:val="000000"/>
                <w:szCs w:val="21"/>
                <w:highlight w:val="none"/>
                <w:lang w:val="en-US" w:eastAsia="zh-CN"/>
              </w:rPr>
            </w:pPr>
            <w:r>
              <w:rPr>
                <w:b/>
                <w:color w:val="000000"/>
                <w:szCs w:val="21"/>
                <w:highlight w:val="none"/>
              </w:rPr>
              <w:t>1.3.</w:t>
            </w:r>
            <w:r>
              <w:rPr>
                <w:rFonts w:hint="eastAsia"/>
                <w:b/>
                <w:color w:val="000000"/>
                <w:szCs w:val="21"/>
                <w:highlight w:val="none"/>
                <w:lang w:val="en-US" w:eastAsia="zh-CN"/>
              </w:rPr>
              <w:t>3</w:t>
            </w:r>
          </w:p>
        </w:tc>
        <w:tc>
          <w:tcPr>
            <w:tcW w:w="1217" w:type="dxa"/>
            <w:tcBorders>
              <w:top w:val="single" w:color="auto" w:sz="4" w:space="0"/>
              <w:left w:val="single" w:color="auto" w:sz="4" w:space="0"/>
              <w:bottom w:val="single" w:color="auto" w:sz="4" w:space="0"/>
              <w:right w:val="single" w:color="auto" w:sz="4" w:space="0"/>
            </w:tcBorders>
            <w:vAlign w:val="center"/>
          </w:tcPr>
          <w:p w14:paraId="00F45F77">
            <w:pPr>
              <w:spacing w:line="300" w:lineRule="exact"/>
              <w:jc w:val="center"/>
              <w:rPr>
                <w:rFonts w:hint="eastAsia"/>
                <w:color w:val="000000"/>
                <w:szCs w:val="21"/>
                <w:highlight w:val="none"/>
                <w:lang w:val="zh-CN"/>
              </w:rPr>
            </w:pPr>
            <w:r>
              <w:rPr>
                <w:rFonts w:hint="eastAsia"/>
                <w:color w:val="000000"/>
                <w:szCs w:val="21"/>
                <w:highlight w:val="none"/>
              </w:rPr>
              <w:t>框架协议期限</w:t>
            </w:r>
          </w:p>
        </w:tc>
        <w:tc>
          <w:tcPr>
            <w:tcW w:w="7073" w:type="dxa"/>
            <w:tcBorders>
              <w:top w:val="single" w:color="auto" w:sz="4" w:space="0"/>
              <w:left w:val="single" w:color="auto" w:sz="4" w:space="0"/>
              <w:bottom w:val="single" w:color="auto" w:sz="4" w:space="0"/>
              <w:right w:val="single" w:color="auto" w:sz="4" w:space="0"/>
            </w:tcBorders>
            <w:vAlign w:val="center"/>
          </w:tcPr>
          <w:p w14:paraId="774126D4">
            <w:pPr>
              <w:spacing w:line="300" w:lineRule="exact"/>
              <w:jc w:val="left"/>
              <w:rPr>
                <w:rFonts w:hint="eastAsia"/>
                <w:color w:val="000000"/>
                <w:szCs w:val="21"/>
                <w:highlight w:val="none"/>
              </w:rPr>
            </w:pPr>
            <w:r>
              <w:rPr>
                <w:rFonts w:hint="eastAsia"/>
                <w:color w:val="000000"/>
                <w:szCs w:val="21"/>
                <w:highlight w:val="none"/>
              </w:rPr>
              <w:t>24个月</w:t>
            </w:r>
          </w:p>
        </w:tc>
      </w:tr>
      <w:tr w14:paraId="6E936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0" w:type="dxa"/>
            <w:tcBorders>
              <w:top w:val="single" w:color="auto" w:sz="4" w:space="0"/>
              <w:left w:val="single" w:color="auto" w:sz="4" w:space="0"/>
              <w:bottom w:val="single" w:color="auto" w:sz="4" w:space="0"/>
              <w:right w:val="single" w:color="auto" w:sz="4" w:space="0"/>
            </w:tcBorders>
            <w:vAlign w:val="center"/>
          </w:tcPr>
          <w:p w14:paraId="5EA5BFE3">
            <w:pPr>
              <w:spacing w:line="300" w:lineRule="exact"/>
              <w:jc w:val="center"/>
              <w:rPr>
                <w:b/>
                <w:color w:val="000000"/>
                <w:szCs w:val="21"/>
                <w:highlight w:val="none"/>
              </w:rPr>
            </w:pPr>
            <w:r>
              <w:rPr>
                <w:b/>
                <w:color w:val="000000"/>
                <w:szCs w:val="21"/>
                <w:highlight w:val="none"/>
              </w:rPr>
              <w:t>1.4.1</w:t>
            </w:r>
          </w:p>
        </w:tc>
        <w:tc>
          <w:tcPr>
            <w:tcW w:w="1217" w:type="dxa"/>
            <w:tcBorders>
              <w:top w:val="single" w:color="auto" w:sz="4" w:space="0"/>
              <w:left w:val="single" w:color="auto" w:sz="4" w:space="0"/>
              <w:bottom w:val="single" w:color="auto" w:sz="4" w:space="0"/>
              <w:right w:val="single" w:color="auto" w:sz="4" w:space="0"/>
            </w:tcBorders>
            <w:vAlign w:val="center"/>
          </w:tcPr>
          <w:p w14:paraId="24C0AB4F">
            <w:pPr>
              <w:spacing w:line="300" w:lineRule="exact"/>
              <w:jc w:val="center"/>
              <w:rPr>
                <w:color w:val="000000"/>
                <w:szCs w:val="21"/>
                <w:highlight w:val="none"/>
              </w:rPr>
            </w:pPr>
            <w:r>
              <w:rPr>
                <w:color w:val="000000"/>
                <w:szCs w:val="21"/>
                <w:highlight w:val="none"/>
                <w:lang w:val="zh-CN"/>
              </w:rPr>
              <w:t>供应商资格条件</w:t>
            </w:r>
          </w:p>
        </w:tc>
        <w:tc>
          <w:tcPr>
            <w:tcW w:w="7073" w:type="dxa"/>
            <w:tcBorders>
              <w:top w:val="single" w:color="auto" w:sz="4" w:space="0"/>
              <w:left w:val="single" w:color="auto" w:sz="4" w:space="0"/>
              <w:bottom w:val="single" w:color="auto" w:sz="4" w:space="0"/>
              <w:right w:val="single" w:color="auto" w:sz="4" w:space="0"/>
            </w:tcBorders>
            <w:vAlign w:val="center"/>
          </w:tcPr>
          <w:p w14:paraId="6ECC3338">
            <w:pPr>
              <w:spacing w:line="300" w:lineRule="exact"/>
              <w:jc w:val="left"/>
              <w:rPr>
                <w:color w:val="000000"/>
                <w:szCs w:val="21"/>
                <w:highlight w:val="none"/>
              </w:rPr>
            </w:pPr>
            <w:r>
              <w:rPr>
                <w:rFonts w:hint="eastAsia"/>
                <w:color w:val="000000"/>
                <w:szCs w:val="21"/>
                <w:highlight w:val="none"/>
              </w:rPr>
              <w:t>详</w:t>
            </w:r>
            <w:r>
              <w:rPr>
                <w:color w:val="000000"/>
                <w:szCs w:val="21"/>
                <w:highlight w:val="none"/>
              </w:rPr>
              <w:t>见</w:t>
            </w:r>
            <w:r>
              <w:rPr>
                <w:rFonts w:hint="eastAsia"/>
                <w:color w:val="000000"/>
                <w:szCs w:val="21"/>
                <w:highlight w:val="none"/>
              </w:rPr>
              <w:t>征集</w:t>
            </w:r>
            <w:r>
              <w:rPr>
                <w:color w:val="000000"/>
                <w:szCs w:val="21"/>
                <w:highlight w:val="none"/>
              </w:rPr>
              <w:t>公告</w:t>
            </w:r>
            <w:r>
              <w:rPr>
                <w:rFonts w:hint="eastAsia"/>
                <w:color w:val="000000"/>
                <w:szCs w:val="21"/>
                <w:highlight w:val="none"/>
              </w:rPr>
              <w:t>。</w:t>
            </w:r>
          </w:p>
        </w:tc>
      </w:tr>
      <w:tr w14:paraId="0921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10" w:type="dxa"/>
            <w:tcBorders>
              <w:top w:val="single" w:color="auto" w:sz="4" w:space="0"/>
              <w:left w:val="single" w:color="auto" w:sz="4" w:space="0"/>
              <w:right w:val="single" w:color="auto" w:sz="4" w:space="0"/>
            </w:tcBorders>
            <w:vAlign w:val="center"/>
          </w:tcPr>
          <w:p w14:paraId="7BAD2CCE">
            <w:pPr>
              <w:spacing w:line="300" w:lineRule="exact"/>
              <w:jc w:val="center"/>
              <w:rPr>
                <w:b/>
                <w:color w:val="000000"/>
                <w:szCs w:val="21"/>
                <w:highlight w:val="none"/>
              </w:rPr>
            </w:pPr>
            <w:r>
              <w:rPr>
                <w:b/>
                <w:color w:val="000000"/>
                <w:szCs w:val="21"/>
                <w:highlight w:val="none"/>
              </w:rPr>
              <w:t>1.4.3</w:t>
            </w:r>
          </w:p>
        </w:tc>
        <w:tc>
          <w:tcPr>
            <w:tcW w:w="1217" w:type="dxa"/>
            <w:tcBorders>
              <w:top w:val="single" w:color="auto" w:sz="4" w:space="0"/>
              <w:left w:val="single" w:color="auto" w:sz="4" w:space="0"/>
              <w:right w:val="single" w:color="auto" w:sz="4" w:space="0"/>
            </w:tcBorders>
            <w:vAlign w:val="center"/>
          </w:tcPr>
          <w:p w14:paraId="3D9265EC">
            <w:pPr>
              <w:spacing w:line="300" w:lineRule="exact"/>
              <w:jc w:val="center"/>
              <w:rPr>
                <w:color w:val="000000"/>
                <w:szCs w:val="21"/>
                <w:highlight w:val="none"/>
              </w:rPr>
            </w:pPr>
            <w:r>
              <w:rPr>
                <w:rFonts w:hint="eastAsia"/>
                <w:color w:val="000000"/>
                <w:szCs w:val="21"/>
                <w:highlight w:val="none"/>
              </w:rPr>
              <w:t>联合体</w:t>
            </w:r>
          </w:p>
        </w:tc>
        <w:tc>
          <w:tcPr>
            <w:tcW w:w="7073" w:type="dxa"/>
            <w:tcBorders>
              <w:top w:val="single" w:color="auto" w:sz="4" w:space="0"/>
              <w:left w:val="single" w:color="auto" w:sz="4" w:space="0"/>
              <w:right w:val="single" w:color="auto" w:sz="4" w:space="0"/>
            </w:tcBorders>
            <w:vAlign w:val="center"/>
          </w:tcPr>
          <w:p w14:paraId="66198ADF">
            <w:pPr>
              <w:spacing w:line="300" w:lineRule="exact"/>
              <w:jc w:val="left"/>
              <w:rPr>
                <w:color w:val="000000"/>
                <w:szCs w:val="21"/>
                <w:highlight w:val="none"/>
              </w:rPr>
            </w:pPr>
            <w:r>
              <w:rPr>
                <w:rFonts w:hint="eastAsia"/>
                <w:color w:val="000000"/>
                <w:szCs w:val="21"/>
                <w:highlight w:val="none"/>
              </w:rPr>
              <w:t>不接受。</w:t>
            </w:r>
          </w:p>
        </w:tc>
      </w:tr>
      <w:tr w14:paraId="1E8FE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10" w:type="dxa"/>
            <w:tcBorders>
              <w:top w:val="single" w:color="auto" w:sz="4" w:space="0"/>
              <w:left w:val="single" w:color="auto" w:sz="4" w:space="0"/>
              <w:bottom w:val="single" w:color="auto" w:sz="4" w:space="0"/>
              <w:right w:val="single" w:color="auto" w:sz="4" w:space="0"/>
            </w:tcBorders>
            <w:vAlign w:val="center"/>
          </w:tcPr>
          <w:p w14:paraId="22968B31">
            <w:pPr>
              <w:spacing w:line="300" w:lineRule="exact"/>
              <w:jc w:val="center"/>
              <w:rPr>
                <w:b/>
                <w:color w:val="000000"/>
                <w:szCs w:val="21"/>
                <w:highlight w:val="none"/>
              </w:rPr>
            </w:pPr>
            <w:r>
              <w:rPr>
                <w:b/>
                <w:color w:val="000000"/>
                <w:szCs w:val="21"/>
                <w:highlight w:val="none"/>
              </w:rPr>
              <w:t>1.5</w:t>
            </w:r>
          </w:p>
        </w:tc>
        <w:tc>
          <w:tcPr>
            <w:tcW w:w="1217" w:type="dxa"/>
            <w:tcBorders>
              <w:top w:val="single" w:color="auto" w:sz="4" w:space="0"/>
              <w:left w:val="single" w:color="auto" w:sz="4" w:space="0"/>
              <w:bottom w:val="single" w:color="auto" w:sz="4" w:space="0"/>
              <w:right w:val="single" w:color="auto" w:sz="4" w:space="0"/>
            </w:tcBorders>
            <w:vAlign w:val="center"/>
          </w:tcPr>
          <w:p w14:paraId="6F6A59E6">
            <w:pPr>
              <w:spacing w:line="300" w:lineRule="exact"/>
              <w:jc w:val="center"/>
              <w:rPr>
                <w:color w:val="000000"/>
                <w:szCs w:val="21"/>
                <w:highlight w:val="none"/>
              </w:rPr>
            </w:pPr>
            <w:r>
              <w:rPr>
                <w:rFonts w:hint="eastAsia"/>
                <w:color w:val="000000"/>
                <w:szCs w:val="21"/>
                <w:highlight w:val="none"/>
              </w:rPr>
              <w:t>踏勘</w:t>
            </w:r>
          </w:p>
        </w:tc>
        <w:tc>
          <w:tcPr>
            <w:tcW w:w="7073" w:type="dxa"/>
            <w:tcBorders>
              <w:top w:val="single" w:color="auto" w:sz="4" w:space="0"/>
              <w:left w:val="single" w:color="auto" w:sz="4" w:space="0"/>
              <w:bottom w:val="single" w:color="auto" w:sz="4" w:space="0"/>
              <w:right w:val="single" w:color="auto" w:sz="4" w:space="0"/>
            </w:tcBorders>
            <w:vAlign w:val="center"/>
          </w:tcPr>
          <w:p w14:paraId="311935D6">
            <w:pPr>
              <w:spacing w:line="300" w:lineRule="exact"/>
              <w:jc w:val="left"/>
              <w:rPr>
                <w:color w:val="000000"/>
                <w:szCs w:val="21"/>
                <w:highlight w:val="none"/>
              </w:rPr>
            </w:pPr>
            <w:r>
              <w:rPr>
                <w:rFonts w:hint="eastAsia"/>
                <w:color w:val="000000"/>
                <w:szCs w:val="21"/>
                <w:highlight w:val="none"/>
              </w:rPr>
              <w:t xml:space="preserve">无。 </w:t>
            </w:r>
          </w:p>
        </w:tc>
      </w:tr>
      <w:tr w14:paraId="0E18D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0" w:type="dxa"/>
            <w:tcBorders>
              <w:top w:val="single" w:color="auto" w:sz="4" w:space="0"/>
              <w:left w:val="single" w:color="auto" w:sz="4" w:space="0"/>
              <w:bottom w:val="single" w:color="auto" w:sz="4" w:space="0"/>
              <w:right w:val="single" w:color="auto" w:sz="4" w:space="0"/>
            </w:tcBorders>
            <w:vAlign w:val="center"/>
          </w:tcPr>
          <w:p w14:paraId="65FF9D60">
            <w:pPr>
              <w:spacing w:line="300" w:lineRule="exact"/>
              <w:jc w:val="center"/>
              <w:rPr>
                <w:b/>
                <w:color w:val="000000"/>
                <w:szCs w:val="21"/>
                <w:highlight w:val="none"/>
              </w:rPr>
            </w:pPr>
            <w:r>
              <w:rPr>
                <w:b/>
                <w:color w:val="000000"/>
                <w:szCs w:val="21"/>
                <w:highlight w:val="none"/>
              </w:rPr>
              <w:t>1.6.1</w:t>
            </w:r>
          </w:p>
        </w:tc>
        <w:tc>
          <w:tcPr>
            <w:tcW w:w="1217" w:type="dxa"/>
            <w:tcBorders>
              <w:top w:val="single" w:color="auto" w:sz="4" w:space="0"/>
              <w:left w:val="single" w:color="auto" w:sz="4" w:space="0"/>
              <w:bottom w:val="single" w:color="auto" w:sz="4" w:space="0"/>
              <w:right w:val="single" w:color="auto" w:sz="4" w:space="0"/>
            </w:tcBorders>
            <w:vAlign w:val="center"/>
          </w:tcPr>
          <w:p w14:paraId="0B8A07E6">
            <w:pPr>
              <w:spacing w:line="300" w:lineRule="exact"/>
              <w:jc w:val="center"/>
              <w:rPr>
                <w:color w:val="000000"/>
                <w:szCs w:val="21"/>
                <w:highlight w:val="none"/>
              </w:rPr>
            </w:pPr>
            <w:r>
              <w:rPr>
                <w:color w:val="000000"/>
                <w:szCs w:val="21"/>
                <w:highlight w:val="none"/>
              </w:rPr>
              <w:t>转包</w:t>
            </w:r>
          </w:p>
        </w:tc>
        <w:tc>
          <w:tcPr>
            <w:tcW w:w="7073" w:type="dxa"/>
            <w:tcBorders>
              <w:top w:val="single" w:color="auto" w:sz="4" w:space="0"/>
              <w:left w:val="single" w:color="auto" w:sz="4" w:space="0"/>
              <w:bottom w:val="single" w:color="auto" w:sz="4" w:space="0"/>
              <w:right w:val="single" w:color="auto" w:sz="4" w:space="0"/>
            </w:tcBorders>
            <w:vAlign w:val="center"/>
          </w:tcPr>
          <w:p w14:paraId="2979163A">
            <w:pPr>
              <w:spacing w:line="300" w:lineRule="exact"/>
              <w:jc w:val="left"/>
              <w:rPr>
                <w:color w:val="000000"/>
                <w:szCs w:val="21"/>
                <w:highlight w:val="none"/>
              </w:rPr>
            </w:pPr>
            <w:r>
              <w:rPr>
                <w:color w:val="000000"/>
                <w:szCs w:val="21"/>
                <w:highlight w:val="none"/>
              </w:rPr>
              <w:t>本项目不允许转包</w:t>
            </w:r>
            <w:r>
              <w:rPr>
                <w:rFonts w:hint="eastAsia"/>
                <w:color w:val="000000"/>
                <w:szCs w:val="21"/>
                <w:highlight w:val="none"/>
              </w:rPr>
              <w:t>。</w:t>
            </w:r>
          </w:p>
        </w:tc>
      </w:tr>
      <w:tr w14:paraId="70F90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10" w:type="dxa"/>
            <w:tcBorders>
              <w:top w:val="single" w:color="auto" w:sz="4" w:space="0"/>
              <w:left w:val="single" w:color="auto" w:sz="4" w:space="0"/>
              <w:bottom w:val="single" w:color="auto" w:sz="4" w:space="0"/>
              <w:right w:val="single" w:color="auto" w:sz="4" w:space="0"/>
            </w:tcBorders>
            <w:vAlign w:val="center"/>
          </w:tcPr>
          <w:p w14:paraId="7DF3ADA2">
            <w:pPr>
              <w:spacing w:line="300" w:lineRule="exact"/>
              <w:jc w:val="center"/>
              <w:rPr>
                <w:b/>
                <w:color w:val="000000"/>
                <w:szCs w:val="21"/>
                <w:highlight w:val="none"/>
              </w:rPr>
            </w:pPr>
            <w:r>
              <w:rPr>
                <w:b/>
                <w:color w:val="000000"/>
                <w:szCs w:val="21"/>
                <w:highlight w:val="none"/>
              </w:rPr>
              <w:t>1.6.2</w:t>
            </w:r>
          </w:p>
        </w:tc>
        <w:tc>
          <w:tcPr>
            <w:tcW w:w="1217" w:type="dxa"/>
            <w:tcBorders>
              <w:top w:val="single" w:color="auto" w:sz="4" w:space="0"/>
              <w:left w:val="single" w:color="auto" w:sz="4" w:space="0"/>
              <w:bottom w:val="single" w:color="auto" w:sz="4" w:space="0"/>
              <w:right w:val="single" w:color="auto" w:sz="4" w:space="0"/>
            </w:tcBorders>
            <w:vAlign w:val="center"/>
          </w:tcPr>
          <w:p w14:paraId="7C4C5CE9">
            <w:pPr>
              <w:spacing w:line="300" w:lineRule="exact"/>
              <w:jc w:val="center"/>
              <w:rPr>
                <w:color w:val="000000"/>
                <w:szCs w:val="21"/>
                <w:highlight w:val="none"/>
              </w:rPr>
            </w:pPr>
            <w:r>
              <w:rPr>
                <w:color w:val="000000"/>
                <w:szCs w:val="21"/>
                <w:highlight w:val="none"/>
              </w:rPr>
              <w:t>分包</w:t>
            </w:r>
          </w:p>
        </w:tc>
        <w:tc>
          <w:tcPr>
            <w:tcW w:w="7073" w:type="dxa"/>
            <w:tcBorders>
              <w:top w:val="single" w:color="auto" w:sz="4" w:space="0"/>
              <w:left w:val="single" w:color="auto" w:sz="4" w:space="0"/>
              <w:bottom w:val="single" w:color="auto" w:sz="4" w:space="0"/>
              <w:right w:val="single" w:color="auto" w:sz="4" w:space="0"/>
            </w:tcBorders>
            <w:vAlign w:val="center"/>
          </w:tcPr>
          <w:p w14:paraId="02C74FF6">
            <w:pPr>
              <w:spacing w:line="300" w:lineRule="exact"/>
              <w:jc w:val="left"/>
              <w:rPr>
                <w:color w:val="000000"/>
                <w:kern w:val="0"/>
                <w:szCs w:val="21"/>
                <w:highlight w:val="none"/>
              </w:rPr>
            </w:pPr>
            <w:r>
              <w:rPr>
                <w:rFonts w:hint="eastAsia"/>
                <w:color w:val="000000"/>
                <w:kern w:val="0"/>
                <w:szCs w:val="21"/>
                <w:highlight w:val="none"/>
              </w:rPr>
              <w:t>不允许</w:t>
            </w:r>
            <w:r>
              <w:rPr>
                <w:rFonts w:hint="eastAsia"/>
                <w:color w:val="000000"/>
                <w:szCs w:val="21"/>
                <w:highlight w:val="none"/>
              </w:rPr>
              <w:t>。</w:t>
            </w:r>
          </w:p>
        </w:tc>
      </w:tr>
      <w:tr w14:paraId="4CD10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0" w:type="dxa"/>
            <w:tcBorders>
              <w:top w:val="single" w:color="auto" w:sz="4" w:space="0"/>
              <w:left w:val="single" w:color="auto" w:sz="4" w:space="0"/>
              <w:bottom w:val="single" w:color="auto" w:sz="4" w:space="0"/>
              <w:right w:val="single" w:color="auto" w:sz="4" w:space="0"/>
            </w:tcBorders>
            <w:vAlign w:val="center"/>
          </w:tcPr>
          <w:p w14:paraId="4C6332F8">
            <w:pPr>
              <w:spacing w:line="300" w:lineRule="exact"/>
              <w:jc w:val="center"/>
              <w:rPr>
                <w:b/>
                <w:color w:val="000000"/>
                <w:szCs w:val="21"/>
                <w:highlight w:val="none"/>
              </w:rPr>
            </w:pPr>
            <w:r>
              <w:rPr>
                <w:b/>
                <w:color w:val="000000"/>
                <w:szCs w:val="21"/>
                <w:highlight w:val="none"/>
              </w:rPr>
              <w:t>2.1.3</w:t>
            </w:r>
          </w:p>
        </w:tc>
        <w:tc>
          <w:tcPr>
            <w:tcW w:w="1217" w:type="dxa"/>
            <w:tcBorders>
              <w:top w:val="single" w:color="auto" w:sz="4" w:space="0"/>
              <w:left w:val="single" w:color="auto" w:sz="4" w:space="0"/>
              <w:bottom w:val="single" w:color="auto" w:sz="4" w:space="0"/>
              <w:right w:val="single" w:color="auto" w:sz="4" w:space="0"/>
            </w:tcBorders>
            <w:vAlign w:val="center"/>
          </w:tcPr>
          <w:p w14:paraId="23DA3C10">
            <w:pPr>
              <w:spacing w:line="300" w:lineRule="exact"/>
              <w:jc w:val="center"/>
              <w:rPr>
                <w:color w:val="000000"/>
                <w:szCs w:val="21"/>
                <w:highlight w:val="none"/>
              </w:rPr>
            </w:pPr>
            <w:r>
              <w:rPr>
                <w:color w:val="000000"/>
                <w:szCs w:val="21"/>
                <w:highlight w:val="none"/>
              </w:rPr>
              <w:t>征集文件澄清、修改</w:t>
            </w:r>
          </w:p>
        </w:tc>
        <w:tc>
          <w:tcPr>
            <w:tcW w:w="7073" w:type="dxa"/>
            <w:tcBorders>
              <w:top w:val="single" w:color="auto" w:sz="4" w:space="0"/>
              <w:left w:val="single" w:color="auto" w:sz="4" w:space="0"/>
              <w:bottom w:val="single" w:color="auto" w:sz="4" w:space="0"/>
              <w:right w:val="single" w:color="auto" w:sz="4" w:space="0"/>
            </w:tcBorders>
            <w:vAlign w:val="center"/>
          </w:tcPr>
          <w:p w14:paraId="760DF5EB">
            <w:pPr>
              <w:spacing w:line="300" w:lineRule="exact"/>
              <w:jc w:val="left"/>
              <w:rPr>
                <w:color w:val="000000"/>
                <w:szCs w:val="21"/>
                <w:highlight w:val="none"/>
              </w:rPr>
            </w:pPr>
            <w:r>
              <w:rPr>
                <w:color w:val="000000"/>
                <w:szCs w:val="21"/>
                <w:highlight w:val="none"/>
              </w:rPr>
              <w:t>在征集公告发布媒介发布</w:t>
            </w:r>
            <w:r>
              <w:rPr>
                <w:rFonts w:hint="eastAsia"/>
                <w:color w:val="000000"/>
                <w:szCs w:val="21"/>
                <w:highlight w:val="none"/>
              </w:rPr>
              <w:t>。</w:t>
            </w:r>
          </w:p>
        </w:tc>
      </w:tr>
      <w:tr w14:paraId="2F6F2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10" w:type="dxa"/>
            <w:tcBorders>
              <w:top w:val="single" w:color="auto" w:sz="4" w:space="0"/>
              <w:left w:val="single" w:color="auto" w:sz="4" w:space="0"/>
              <w:bottom w:val="single" w:color="auto" w:sz="4" w:space="0"/>
              <w:right w:val="single" w:color="auto" w:sz="4" w:space="0"/>
            </w:tcBorders>
            <w:vAlign w:val="center"/>
          </w:tcPr>
          <w:p w14:paraId="51BB75D2">
            <w:pPr>
              <w:spacing w:line="300" w:lineRule="exact"/>
              <w:jc w:val="center"/>
              <w:rPr>
                <w:b/>
                <w:color w:val="000000"/>
                <w:szCs w:val="21"/>
                <w:highlight w:val="none"/>
              </w:rPr>
            </w:pPr>
            <w:r>
              <w:rPr>
                <w:b/>
                <w:color w:val="000000"/>
                <w:szCs w:val="21"/>
                <w:highlight w:val="none"/>
              </w:rPr>
              <w:t>2.1.3</w:t>
            </w:r>
          </w:p>
        </w:tc>
        <w:tc>
          <w:tcPr>
            <w:tcW w:w="1217" w:type="dxa"/>
            <w:tcBorders>
              <w:top w:val="single" w:color="auto" w:sz="4" w:space="0"/>
              <w:left w:val="single" w:color="auto" w:sz="4" w:space="0"/>
              <w:bottom w:val="single" w:color="auto" w:sz="4" w:space="0"/>
              <w:right w:val="single" w:color="auto" w:sz="4" w:space="0"/>
            </w:tcBorders>
            <w:vAlign w:val="center"/>
          </w:tcPr>
          <w:p w14:paraId="27A159C7">
            <w:pPr>
              <w:spacing w:line="300" w:lineRule="exact"/>
              <w:jc w:val="center"/>
              <w:rPr>
                <w:color w:val="000000"/>
                <w:szCs w:val="21"/>
                <w:highlight w:val="none"/>
              </w:rPr>
            </w:pPr>
            <w:r>
              <w:rPr>
                <w:color w:val="000000"/>
                <w:szCs w:val="21"/>
                <w:highlight w:val="none"/>
              </w:rPr>
              <w:t>确认收到澄清、修改发布的方式</w:t>
            </w:r>
          </w:p>
        </w:tc>
        <w:tc>
          <w:tcPr>
            <w:tcW w:w="7073" w:type="dxa"/>
            <w:tcBorders>
              <w:top w:val="single" w:color="auto" w:sz="4" w:space="0"/>
              <w:left w:val="single" w:color="auto" w:sz="4" w:space="0"/>
              <w:bottom w:val="single" w:color="auto" w:sz="4" w:space="0"/>
              <w:right w:val="single" w:color="auto" w:sz="4" w:space="0"/>
            </w:tcBorders>
            <w:vAlign w:val="center"/>
          </w:tcPr>
          <w:p w14:paraId="431C2188">
            <w:pPr>
              <w:spacing w:line="300" w:lineRule="exact"/>
              <w:jc w:val="left"/>
              <w:rPr>
                <w:color w:val="000000"/>
                <w:szCs w:val="21"/>
                <w:highlight w:val="none"/>
              </w:rPr>
            </w:pPr>
            <w:r>
              <w:rPr>
                <w:color w:val="000000"/>
                <w:szCs w:val="21"/>
                <w:highlight w:val="none"/>
              </w:rPr>
              <w:t>澄清、修改文件</w:t>
            </w:r>
            <w:r>
              <w:rPr>
                <w:rFonts w:hint="eastAsia"/>
                <w:color w:val="000000"/>
                <w:szCs w:val="21"/>
                <w:highlight w:val="none"/>
              </w:rPr>
              <w:t>自征集公告</w:t>
            </w:r>
            <w:r>
              <w:rPr>
                <w:color w:val="000000"/>
                <w:szCs w:val="21"/>
                <w:highlight w:val="none"/>
              </w:rPr>
              <w:t>发布媒</w:t>
            </w:r>
            <w:r>
              <w:rPr>
                <w:rFonts w:hint="eastAsia"/>
                <w:color w:val="000000"/>
                <w:szCs w:val="21"/>
                <w:highlight w:val="none"/>
              </w:rPr>
              <w:t>体</w:t>
            </w:r>
            <w:r>
              <w:rPr>
                <w:color w:val="000000"/>
                <w:szCs w:val="21"/>
                <w:highlight w:val="none"/>
              </w:rPr>
              <w:t>发布之日起，视为供应商已收到该澄清、修改。供应商未及时关注</w:t>
            </w:r>
            <w:r>
              <w:rPr>
                <w:rFonts w:hint="eastAsia"/>
                <w:color w:val="000000"/>
                <w:szCs w:val="21"/>
                <w:highlight w:val="none"/>
              </w:rPr>
              <w:t>征集公告</w:t>
            </w:r>
            <w:r>
              <w:rPr>
                <w:color w:val="000000"/>
                <w:szCs w:val="21"/>
                <w:highlight w:val="none"/>
              </w:rPr>
              <w:t>发布媒</w:t>
            </w:r>
            <w:r>
              <w:rPr>
                <w:rFonts w:hint="eastAsia"/>
                <w:color w:val="000000"/>
                <w:szCs w:val="21"/>
                <w:highlight w:val="none"/>
              </w:rPr>
              <w:t>体</w:t>
            </w:r>
            <w:r>
              <w:rPr>
                <w:color w:val="000000"/>
                <w:szCs w:val="21"/>
                <w:highlight w:val="none"/>
              </w:rPr>
              <w:t>造成的损失，由供应商自行负责。</w:t>
            </w:r>
          </w:p>
        </w:tc>
      </w:tr>
      <w:tr w14:paraId="405CE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10" w:type="dxa"/>
            <w:tcBorders>
              <w:top w:val="single" w:color="auto" w:sz="4" w:space="0"/>
              <w:left w:val="single" w:color="auto" w:sz="4" w:space="0"/>
              <w:bottom w:val="single" w:color="auto" w:sz="4" w:space="0"/>
              <w:right w:val="single" w:color="auto" w:sz="4" w:space="0"/>
            </w:tcBorders>
            <w:vAlign w:val="center"/>
          </w:tcPr>
          <w:p w14:paraId="6FE5C849">
            <w:pPr>
              <w:spacing w:line="300" w:lineRule="exact"/>
              <w:jc w:val="center"/>
              <w:rPr>
                <w:b/>
                <w:color w:val="000000"/>
                <w:szCs w:val="21"/>
                <w:highlight w:val="none"/>
              </w:rPr>
            </w:pPr>
            <w:r>
              <w:rPr>
                <w:b/>
                <w:color w:val="000000"/>
                <w:szCs w:val="21"/>
                <w:highlight w:val="none"/>
              </w:rPr>
              <w:t>2.2.4</w:t>
            </w:r>
          </w:p>
        </w:tc>
        <w:tc>
          <w:tcPr>
            <w:tcW w:w="1217" w:type="dxa"/>
            <w:tcBorders>
              <w:top w:val="single" w:color="auto" w:sz="4" w:space="0"/>
              <w:left w:val="single" w:color="auto" w:sz="4" w:space="0"/>
              <w:bottom w:val="single" w:color="auto" w:sz="4" w:space="0"/>
              <w:right w:val="single" w:color="auto" w:sz="4" w:space="0"/>
            </w:tcBorders>
            <w:vAlign w:val="center"/>
          </w:tcPr>
          <w:p w14:paraId="601C287D">
            <w:pPr>
              <w:spacing w:line="300" w:lineRule="exact"/>
              <w:jc w:val="center"/>
              <w:rPr>
                <w:color w:val="000000"/>
                <w:szCs w:val="21"/>
                <w:highlight w:val="none"/>
              </w:rPr>
            </w:pPr>
            <w:r>
              <w:rPr>
                <w:color w:val="000000"/>
                <w:szCs w:val="21"/>
                <w:highlight w:val="none"/>
              </w:rPr>
              <w:t>响应有效期</w:t>
            </w:r>
          </w:p>
        </w:tc>
        <w:tc>
          <w:tcPr>
            <w:tcW w:w="7073" w:type="dxa"/>
            <w:tcBorders>
              <w:top w:val="single" w:color="auto" w:sz="4" w:space="0"/>
              <w:left w:val="single" w:color="auto" w:sz="4" w:space="0"/>
              <w:bottom w:val="single" w:color="auto" w:sz="4" w:space="0"/>
              <w:right w:val="single" w:color="auto" w:sz="4" w:space="0"/>
            </w:tcBorders>
            <w:vAlign w:val="center"/>
          </w:tcPr>
          <w:p w14:paraId="6433F496">
            <w:pPr>
              <w:spacing w:line="300" w:lineRule="exact"/>
              <w:jc w:val="left"/>
              <w:rPr>
                <w:color w:val="000000"/>
                <w:szCs w:val="21"/>
                <w:highlight w:val="none"/>
              </w:rPr>
            </w:pPr>
            <w:r>
              <w:rPr>
                <w:color w:val="000000"/>
                <w:szCs w:val="21"/>
                <w:highlight w:val="none"/>
              </w:rPr>
              <w:t>响应截止之日起90天。</w:t>
            </w:r>
          </w:p>
        </w:tc>
      </w:tr>
      <w:tr w14:paraId="05A7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0" w:type="dxa"/>
            <w:tcBorders>
              <w:top w:val="single" w:color="auto" w:sz="4" w:space="0"/>
              <w:left w:val="single" w:color="auto" w:sz="4" w:space="0"/>
              <w:bottom w:val="single" w:color="auto" w:sz="4" w:space="0"/>
              <w:right w:val="single" w:color="auto" w:sz="4" w:space="0"/>
            </w:tcBorders>
            <w:vAlign w:val="center"/>
          </w:tcPr>
          <w:p w14:paraId="3D44B14D">
            <w:pPr>
              <w:spacing w:line="300" w:lineRule="exact"/>
              <w:jc w:val="center"/>
              <w:rPr>
                <w:b/>
                <w:szCs w:val="21"/>
                <w:highlight w:val="none"/>
              </w:rPr>
            </w:pPr>
            <w:r>
              <w:rPr>
                <w:b/>
                <w:szCs w:val="21"/>
                <w:highlight w:val="none"/>
              </w:rPr>
              <w:t>2.2.5</w:t>
            </w:r>
          </w:p>
        </w:tc>
        <w:tc>
          <w:tcPr>
            <w:tcW w:w="1217" w:type="dxa"/>
            <w:tcBorders>
              <w:top w:val="single" w:color="auto" w:sz="4" w:space="0"/>
              <w:left w:val="single" w:color="auto" w:sz="4" w:space="0"/>
              <w:bottom w:val="single" w:color="auto" w:sz="4" w:space="0"/>
              <w:right w:val="single" w:color="auto" w:sz="4" w:space="0"/>
            </w:tcBorders>
            <w:vAlign w:val="center"/>
          </w:tcPr>
          <w:p w14:paraId="01C1C32F">
            <w:pPr>
              <w:spacing w:line="300" w:lineRule="exact"/>
              <w:jc w:val="center"/>
              <w:rPr>
                <w:szCs w:val="21"/>
                <w:highlight w:val="none"/>
              </w:rPr>
            </w:pPr>
            <w:r>
              <w:rPr>
                <w:rFonts w:hint="eastAsia"/>
                <w:szCs w:val="21"/>
                <w:highlight w:val="none"/>
              </w:rPr>
              <w:t>响应</w:t>
            </w:r>
            <w:r>
              <w:rPr>
                <w:szCs w:val="21"/>
                <w:highlight w:val="none"/>
              </w:rPr>
              <w:t>保证金</w:t>
            </w:r>
          </w:p>
        </w:tc>
        <w:tc>
          <w:tcPr>
            <w:tcW w:w="7073" w:type="dxa"/>
            <w:tcBorders>
              <w:top w:val="single" w:color="auto" w:sz="4" w:space="0"/>
              <w:left w:val="single" w:color="auto" w:sz="4" w:space="0"/>
              <w:bottom w:val="single" w:color="auto" w:sz="4" w:space="0"/>
              <w:right w:val="single" w:color="auto" w:sz="4" w:space="0"/>
            </w:tcBorders>
            <w:vAlign w:val="center"/>
          </w:tcPr>
          <w:p w14:paraId="1C923769">
            <w:pPr>
              <w:pStyle w:val="27"/>
              <w:jc w:val="left"/>
              <w:rPr>
                <w:rFonts w:hint="eastAsia" w:hAnsi="宋体"/>
                <w:color w:val="000000"/>
                <w:highlight w:val="none"/>
              </w:rPr>
            </w:pPr>
            <w:r>
              <w:rPr>
                <w:rFonts w:hint="eastAsia" w:hAnsi="宋体"/>
                <w:color w:val="000000"/>
                <w:highlight w:val="none"/>
              </w:rPr>
              <w:t>☑ 不要求递交报价保证金</w:t>
            </w:r>
          </w:p>
          <w:p w14:paraId="516641DB">
            <w:pPr>
              <w:pStyle w:val="27"/>
              <w:jc w:val="left"/>
              <w:rPr>
                <w:b/>
                <w:bCs/>
                <w:color w:val="FF0000"/>
                <w:szCs w:val="21"/>
                <w:highlight w:val="none"/>
              </w:rPr>
            </w:pPr>
            <w:r>
              <w:rPr>
                <w:rFonts w:hint="eastAsia" w:hAnsi="宋体"/>
                <w:color w:val="000000"/>
                <w:highlight w:val="none"/>
              </w:rPr>
              <w:t>□ 要求递交报价保证金</w:t>
            </w:r>
          </w:p>
        </w:tc>
      </w:tr>
      <w:tr w14:paraId="2FCE7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910" w:type="dxa"/>
            <w:tcBorders>
              <w:left w:val="single" w:color="auto" w:sz="4" w:space="0"/>
              <w:right w:val="single" w:color="auto" w:sz="4" w:space="0"/>
            </w:tcBorders>
            <w:vAlign w:val="center"/>
          </w:tcPr>
          <w:p w14:paraId="31B8FA07">
            <w:pPr>
              <w:spacing w:line="300" w:lineRule="exact"/>
              <w:jc w:val="center"/>
              <w:rPr>
                <w:b/>
                <w:color w:val="000000"/>
                <w:szCs w:val="21"/>
                <w:highlight w:val="none"/>
              </w:rPr>
            </w:pPr>
            <w:r>
              <w:rPr>
                <w:b/>
                <w:color w:val="000000"/>
                <w:szCs w:val="21"/>
                <w:highlight w:val="none"/>
              </w:rPr>
              <w:t>2.2.6</w:t>
            </w:r>
          </w:p>
        </w:tc>
        <w:tc>
          <w:tcPr>
            <w:tcW w:w="1217" w:type="dxa"/>
            <w:tcBorders>
              <w:top w:val="single" w:color="auto" w:sz="4" w:space="0"/>
              <w:left w:val="single" w:color="auto" w:sz="4" w:space="0"/>
              <w:right w:val="single" w:color="auto" w:sz="4" w:space="0"/>
            </w:tcBorders>
            <w:vAlign w:val="center"/>
          </w:tcPr>
          <w:p w14:paraId="4616B9BF">
            <w:pPr>
              <w:spacing w:line="300" w:lineRule="exact"/>
              <w:jc w:val="center"/>
              <w:rPr>
                <w:color w:val="000000"/>
                <w:szCs w:val="21"/>
                <w:highlight w:val="none"/>
              </w:rPr>
            </w:pPr>
            <w:r>
              <w:rPr>
                <w:rFonts w:hint="eastAsia"/>
                <w:color w:val="000000"/>
                <w:szCs w:val="21"/>
                <w:highlight w:val="none"/>
              </w:rPr>
              <w:t>响应文件的编制</w:t>
            </w:r>
          </w:p>
        </w:tc>
        <w:tc>
          <w:tcPr>
            <w:tcW w:w="7073" w:type="dxa"/>
            <w:tcBorders>
              <w:top w:val="single" w:color="auto" w:sz="4" w:space="0"/>
              <w:left w:val="single" w:color="auto" w:sz="4" w:space="0"/>
              <w:right w:val="single" w:color="auto" w:sz="4" w:space="0"/>
            </w:tcBorders>
            <w:vAlign w:val="center"/>
          </w:tcPr>
          <w:p w14:paraId="170C9B36">
            <w:pPr>
              <w:spacing w:line="300" w:lineRule="exact"/>
              <w:jc w:val="left"/>
              <w:rPr>
                <w:color w:val="000000"/>
                <w:szCs w:val="21"/>
                <w:highlight w:val="none"/>
              </w:rPr>
            </w:pPr>
            <w:r>
              <w:rPr>
                <w:rFonts w:hint="eastAsia" w:hAnsi="宋体"/>
                <w:color w:val="000000"/>
                <w:szCs w:val="21"/>
                <w:highlight w:val="none"/>
              </w:rPr>
              <w:t>响应文件应按第七章响应文件格式分别编制并使用下载的政采云响应客户端制作并上传。</w:t>
            </w:r>
          </w:p>
        </w:tc>
      </w:tr>
      <w:tr w14:paraId="7C5CA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10" w:type="dxa"/>
            <w:tcBorders>
              <w:top w:val="single" w:color="auto" w:sz="4" w:space="0"/>
              <w:left w:val="single" w:color="auto" w:sz="4" w:space="0"/>
              <w:bottom w:val="single" w:color="auto" w:sz="4" w:space="0"/>
              <w:right w:val="single" w:color="auto" w:sz="4" w:space="0"/>
            </w:tcBorders>
            <w:vAlign w:val="center"/>
          </w:tcPr>
          <w:p w14:paraId="38B943A4">
            <w:pPr>
              <w:spacing w:line="300" w:lineRule="exact"/>
              <w:jc w:val="center"/>
              <w:rPr>
                <w:b/>
                <w:color w:val="000000"/>
                <w:szCs w:val="21"/>
                <w:highlight w:val="none"/>
              </w:rPr>
            </w:pPr>
            <w:r>
              <w:rPr>
                <w:b/>
                <w:color w:val="000000"/>
                <w:szCs w:val="21"/>
                <w:highlight w:val="none"/>
              </w:rPr>
              <w:t>2.2.7</w:t>
            </w:r>
          </w:p>
        </w:tc>
        <w:tc>
          <w:tcPr>
            <w:tcW w:w="1217" w:type="dxa"/>
            <w:tcBorders>
              <w:top w:val="single" w:color="auto" w:sz="4" w:space="0"/>
              <w:left w:val="single" w:color="auto" w:sz="4" w:space="0"/>
              <w:bottom w:val="single" w:color="auto" w:sz="4" w:space="0"/>
              <w:right w:val="single" w:color="auto" w:sz="4" w:space="0"/>
            </w:tcBorders>
            <w:vAlign w:val="center"/>
          </w:tcPr>
          <w:p w14:paraId="4249AB52">
            <w:pPr>
              <w:spacing w:line="300" w:lineRule="exact"/>
              <w:jc w:val="center"/>
              <w:rPr>
                <w:color w:val="000000"/>
                <w:szCs w:val="21"/>
                <w:highlight w:val="none"/>
              </w:rPr>
            </w:pPr>
            <w:r>
              <w:rPr>
                <w:color w:val="000000"/>
                <w:szCs w:val="21"/>
                <w:highlight w:val="none"/>
              </w:rPr>
              <w:t>响应文件递交</w:t>
            </w:r>
            <w:r>
              <w:rPr>
                <w:rFonts w:hint="eastAsia"/>
                <w:color w:val="000000"/>
                <w:szCs w:val="21"/>
                <w:highlight w:val="none"/>
              </w:rPr>
              <w:t>截止时间及截标时间</w:t>
            </w:r>
          </w:p>
        </w:tc>
        <w:tc>
          <w:tcPr>
            <w:tcW w:w="7073" w:type="dxa"/>
            <w:tcBorders>
              <w:top w:val="single" w:color="auto" w:sz="4" w:space="0"/>
              <w:left w:val="single" w:color="auto" w:sz="4" w:space="0"/>
              <w:bottom w:val="single" w:color="auto" w:sz="4" w:space="0"/>
              <w:right w:val="single" w:color="auto" w:sz="4" w:space="0"/>
            </w:tcBorders>
            <w:vAlign w:val="center"/>
          </w:tcPr>
          <w:p w14:paraId="4E6856A6">
            <w:pPr>
              <w:spacing w:line="300" w:lineRule="exact"/>
              <w:jc w:val="left"/>
              <w:rPr>
                <w:color w:val="000000"/>
                <w:szCs w:val="21"/>
                <w:highlight w:val="none"/>
              </w:rPr>
            </w:pPr>
            <w:r>
              <w:rPr>
                <w:rFonts w:hint="eastAsia"/>
                <w:color w:val="000000"/>
                <w:kern w:val="0"/>
                <w:szCs w:val="21"/>
                <w:highlight w:val="none"/>
              </w:rPr>
              <w:t>见征集公告要求</w:t>
            </w:r>
            <w:r>
              <w:rPr>
                <w:rFonts w:hint="eastAsia"/>
                <w:color w:val="000000"/>
                <w:szCs w:val="21"/>
                <w:highlight w:val="none"/>
              </w:rPr>
              <w:t>。</w:t>
            </w:r>
          </w:p>
        </w:tc>
      </w:tr>
      <w:tr w14:paraId="7F5FE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10" w:type="dxa"/>
            <w:tcBorders>
              <w:top w:val="single" w:color="auto" w:sz="4" w:space="0"/>
              <w:left w:val="single" w:color="auto" w:sz="4" w:space="0"/>
              <w:bottom w:val="single" w:color="auto" w:sz="4" w:space="0"/>
              <w:right w:val="single" w:color="auto" w:sz="4" w:space="0"/>
            </w:tcBorders>
            <w:vAlign w:val="center"/>
          </w:tcPr>
          <w:p w14:paraId="1D9FBA5A">
            <w:pPr>
              <w:spacing w:line="300" w:lineRule="exact"/>
              <w:jc w:val="center"/>
              <w:rPr>
                <w:b/>
                <w:color w:val="000000"/>
                <w:szCs w:val="21"/>
                <w:highlight w:val="none"/>
              </w:rPr>
            </w:pPr>
            <w:r>
              <w:rPr>
                <w:rFonts w:hint="eastAsia"/>
                <w:b/>
                <w:color w:val="000000"/>
                <w:szCs w:val="21"/>
                <w:highlight w:val="none"/>
              </w:rPr>
              <w:t>2.2.7.4</w:t>
            </w:r>
          </w:p>
        </w:tc>
        <w:tc>
          <w:tcPr>
            <w:tcW w:w="1217" w:type="dxa"/>
            <w:tcBorders>
              <w:top w:val="single" w:color="auto" w:sz="4" w:space="0"/>
              <w:left w:val="single" w:color="auto" w:sz="4" w:space="0"/>
              <w:bottom w:val="single" w:color="auto" w:sz="4" w:space="0"/>
              <w:right w:val="single" w:color="auto" w:sz="4" w:space="0"/>
            </w:tcBorders>
            <w:vAlign w:val="center"/>
          </w:tcPr>
          <w:p w14:paraId="487DE338">
            <w:pPr>
              <w:pStyle w:val="27"/>
              <w:jc w:val="left"/>
              <w:rPr>
                <w:color w:val="000000"/>
                <w:szCs w:val="21"/>
                <w:highlight w:val="none"/>
              </w:rPr>
            </w:pPr>
            <w:r>
              <w:rPr>
                <w:rFonts w:hint="eastAsia" w:hAnsi="宋体"/>
                <w:color w:val="000000"/>
                <w:highlight w:val="none"/>
              </w:rPr>
              <w:t>响应文件副本份数及其他要求</w:t>
            </w:r>
          </w:p>
        </w:tc>
        <w:tc>
          <w:tcPr>
            <w:tcW w:w="7073" w:type="dxa"/>
            <w:tcBorders>
              <w:top w:val="single" w:color="auto" w:sz="4" w:space="0"/>
              <w:left w:val="single" w:color="auto" w:sz="4" w:space="0"/>
              <w:bottom w:val="single" w:color="auto" w:sz="4" w:space="0"/>
              <w:right w:val="single" w:color="auto" w:sz="4" w:space="0"/>
            </w:tcBorders>
            <w:vAlign w:val="center"/>
          </w:tcPr>
          <w:p w14:paraId="48258EBF">
            <w:pPr>
              <w:autoSpaceDE w:val="0"/>
              <w:autoSpaceDN w:val="0"/>
              <w:adjustRightInd w:val="0"/>
              <w:spacing w:line="300" w:lineRule="exact"/>
              <w:rPr>
                <w:rFonts w:hint="eastAsia" w:ascii="宋体" w:hAnsi="宋体" w:cs="宋体"/>
                <w:color w:val="000000"/>
                <w:highlight w:val="none"/>
                <w:lang w:val="zh-CN"/>
              </w:rPr>
            </w:pPr>
            <w:r>
              <w:rPr>
                <w:rFonts w:hint="eastAsia" w:ascii="宋体" w:hAnsi="宋体" w:cs="宋体"/>
                <w:color w:val="000000"/>
                <w:highlight w:val="none"/>
              </w:rPr>
              <w:t>供应商</w:t>
            </w:r>
            <w:r>
              <w:rPr>
                <w:rFonts w:hint="eastAsia" w:ascii="宋体" w:hAnsi="宋体" w:cs="宋体"/>
                <w:color w:val="000000"/>
                <w:highlight w:val="none"/>
                <w:lang w:val="zh-CN"/>
              </w:rPr>
              <w:t>在</w:t>
            </w:r>
            <w:r>
              <w:rPr>
                <w:rFonts w:hint="eastAsia" w:ascii="宋体" w:hAnsi="宋体" w:cs="宋体"/>
                <w:color w:val="000000"/>
                <w:highlight w:val="none"/>
              </w:rPr>
              <w:t>接到入围通知</w:t>
            </w:r>
            <w:r>
              <w:rPr>
                <w:rFonts w:hint="eastAsia" w:ascii="宋体" w:hAnsi="宋体" w:cs="宋体"/>
                <w:color w:val="000000"/>
                <w:highlight w:val="none"/>
                <w:lang w:val="zh-CN"/>
              </w:rPr>
              <w:t>后，须按</w:t>
            </w:r>
            <w:r>
              <w:rPr>
                <w:rFonts w:hint="eastAsia" w:ascii="宋体" w:hAnsi="宋体" w:cs="宋体"/>
                <w:color w:val="000000"/>
                <w:highlight w:val="none"/>
              </w:rPr>
              <w:t>文件</w:t>
            </w:r>
            <w:r>
              <w:rPr>
                <w:rFonts w:hint="eastAsia" w:ascii="宋体" w:hAnsi="宋体" w:cs="宋体"/>
                <w:color w:val="000000"/>
                <w:highlight w:val="none"/>
                <w:lang w:val="zh-CN"/>
              </w:rPr>
              <w:t>要求提供正本1份、副本2份（</w:t>
            </w:r>
            <w:r>
              <w:rPr>
                <w:rFonts w:hint="eastAsia" w:ascii="宋体" w:hAnsi="宋体" w:cs="宋体"/>
                <w:b/>
                <w:bCs/>
                <w:color w:val="000000"/>
                <w:highlight w:val="none"/>
                <w:lang w:val="zh-CN"/>
              </w:rPr>
              <w:t>双面打印</w:t>
            </w:r>
            <w:r>
              <w:rPr>
                <w:rFonts w:hint="eastAsia" w:ascii="宋体" w:hAnsi="宋体" w:cs="宋体"/>
                <w:color w:val="000000"/>
                <w:highlight w:val="none"/>
                <w:lang w:val="zh-CN"/>
              </w:rPr>
              <w:t>）纸质版</w:t>
            </w:r>
            <w:r>
              <w:rPr>
                <w:rFonts w:hint="eastAsia" w:ascii="宋体" w:hAnsi="宋体" w:cs="宋体"/>
                <w:color w:val="000000"/>
                <w:highlight w:val="none"/>
              </w:rPr>
              <w:t>响应</w:t>
            </w:r>
            <w:r>
              <w:rPr>
                <w:rFonts w:hint="eastAsia" w:ascii="宋体" w:hAnsi="宋体" w:cs="宋体"/>
                <w:color w:val="000000"/>
                <w:highlight w:val="none"/>
                <w:lang w:val="zh-CN"/>
              </w:rPr>
              <w:t>文件。</w:t>
            </w:r>
          </w:p>
          <w:p w14:paraId="6E794FBA">
            <w:pPr>
              <w:pStyle w:val="27"/>
              <w:jc w:val="left"/>
              <w:rPr>
                <w:rFonts w:hint="eastAsia"/>
                <w:color w:val="000000"/>
                <w:kern w:val="0"/>
                <w:szCs w:val="21"/>
                <w:highlight w:val="none"/>
              </w:rPr>
            </w:pPr>
            <w:r>
              <w:rPr>
                <w:rFonts w:hint="eastAsia" w:hAnsi="宋体"/>
                <w:color w:val="000000"/>
                <w:highlight w:val="none"/>
                <w:lang w:val="zh-CN"/>
              </w:rPr>
              <w:t>纸质版</w:t>
            </w:r>
            <w:r>
              <w:rPr>
                <w:rFonts w:hint="eastAsia" w:hAnsi="宋体"/>
                <w:color w:val="000000"/>
                <w:highlight w:val="none"/>
              </w:rPr>
              <w:t>响应</w:t>
            </w:r>
            <w:r>
              <w:rPr>
                <w:rFonts w:hint="eastAsia" w:hAnsi="宋体"/>
                <w:color w:val="000000"/>
                <w:highlight w:val="none"/>
                <w:lang w:val="zh-CN"/>
              </w:rPr>
              <w:t>文件应与</w:t>
            </w:r>
            <w:r>
              <w:rPr>
                <w:rFonts w:hint="eastAsia" w:hAnsi="宋体"/>
                <w:color w:val="000000"/>
                <w:highlight w:val="none"/>
                <w:lang w:val="zh-CN" w:bidi="ar"/>
              </w:rPr>
              <w:t>“政采云”平台（http：//www.zcygov.cn）</w:t>
            </w:r>
            <w:r>
              <w:rPr>
                <w:rFonts w:hint="eastAsia" w:hAnsi="宋体"/>
                <w:color w:val="000000"/>
                <w:highlight w:val="none"/>
                <w:lang w:val="zh-CN"/>
              </w:rPr>
              <w:t>上传电子响应文件内容一致，是电子响应文件的打印件。</w:t>
            </w:r>
          </w:p>
        </w:tc>
      </w:tr>
      <w:tr w14:paraId="4FB5F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vAlign w:val="center"/>
          </w:tcPr>
          <w:p w14:paraId="080C7C5C">
            <w:pPr>
              <w:spacing w:line="300" w:lineRule="exact"/>
              <w:jc w:val="center"/>
              <w:rPr>
                <w:b/>
                <w:szCs w:val="21"/>
                <w:highlight w:val="none"/>
              </w:rPr>
            </w:pPr>
            <w:r>
              <w:rPr>
                <w:b/>
                <w:szCs w:val="21"/>
                <w:highlight w:val="none"/>
              </w:rPr>
              <w:t>2.3.2.3</w:t>
            </w:r>
          </w:p>
        </w:tc>
        <w:tc>
          <w:tcPr>
            <w:tcW w:w="1217" w:type="dxa"/>
            <w:tcBorders>
              <w:top w:val="single" w:color="auto" w:sz="4" w:space="0"/>
              <w:left w:val="single" w:color="auto" w:sz="4" w:space="0"/>
              <w:bottom w:val="single" w:color="auto" w:sz="4" w:space="0"/>
              <w:right w:val="single" w:color="auto" w:sz="4" w:space="0"/>
            </w:tcBorders>
            <w:vAlign w:val="center"/>
          </w:tcPr>
          <w:p w14:paraId="2A6AAF28">
            <w:pPr>
              <w:spacing w:line="300" w:lineRule="exact"/>
              <w:jc w:val="center"/>
              <w:rPr>
                <w:szCs w:val="21"/>
                <w:highlight w:val="none"/>
              </w:rPr>
            </w:pPr>
            <w:r>
              <w:rPr>
                <w:rFonts w:hint="eastAsia"/>
                <w:szCs w:val="21"/>
                <w:highlight w:val="none"/>
              </w:rPr>
              <w:t>备份响应</w:t>
            </w:r>
          </w:p>
          <w:p w14:paraId="1AB505FA">
            <w:pPr>
              <w:spacing w:line="300" w:lineRule="exact"/>
              <w:jc w:val="center"/>
              <w:rPr>
                <w:szCs w:val="20"/>
                <w:highlight w:val="none"/>
              </w:rPr>
            </w:pPr>
            <w:r>
              <w:rPr>
                <w:rFonts w:hint="eastAsia"/>
                <w:szCs w:val="21"/>
                <w:highlight w:val="none"/>
              </w:rPr>
              <w:t>文件</w:t>
            </w:r>
          </w:p>
        </w:tc>
        <w:tc>
          <w:tcPr>
            <w:tcW w:w="7073" w:type="dxa"/>
            <w:tcBorders>
              <w:top w:val="single" w:color="auto" w:sz="4" w:space="0"/>
              <w:left w:val="single" w:color="auto" w:sz="4" w:space="0"/>
              <w:bottom w:val="single" w:color="auto" w:sz="4" w:space="0"/>
              <w:right w:val="single" w:color="auto" w:sz="4" w:space="0"/>
            </w:tcBorders>
            <w:vAlign w:val="center"/>
          </w:tcPr>
          <w:p w14:paraId="16CAC6F4">
            <w:pPr>
              <w:spacing w:line="276" w:lineRule="auto"/>
              <w:rPr>
                <w:sz w:val="22"/>
                <w:szCs w:val="22"/>
                <w:highlight w:val="none"/>
              </w:rPr>
            </w:pPr>
            <w:r>
              <w:rPr>
                <w:rFonts w:hint="eastAsia" w:ascii="宋体" w:hAnsi="宋体"/>
                <w:szCs w:val="21"/>
                <w:highlight w:val="none"/>
              </w:rPr>
              <w:t>本项目</w:t>
            </w:r>
            <w:r>
              <w:rPr>
                <w:rFonts w:hint="eastAsia"/>
                <w:szCs w:val="21"/>
                <w:highlight w:val="none"/>
              </w:rPr>
              <w:t>不接受</w:t>
            </w:r>
            <w:r>
              <w:rPr>
                <w:rFonts w:hint="eastAsia" w:ascii="宋体" w:hAnsi="宋体"/>
                <w:szCs w:val="21"/>
                <w:highlight w:val="none"/>
              </w:rPr>
              <w:t>备份响应文件</w:t>
            </w:r>
          </w:p>
        </w:tc>
      </w:tr>
      <w:tr w14:paraId="0F68E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vAlign w:val="center"/>
          </w:tcPr>
          <w:p w14:paraId="0DA07F6A">
            <w:pPr>
              <w:spacing w:line="300" w:lineRule="exact"/>
              <w:jc w:val="center"/>
              <w:rPr>
                <w:b/>
                <w:color w:val="000000"/>
                <w:szCs w:val="21"/>
                <w:highlight w:val="none"/>
              </w:rPr>
            </w:pPr>
            <w:r>
              <w:rPr>
                <w:b/>
                <w:color w:val="000000"/>
                <w:szCs w:val="21"/>
                <w:highlight w:val="none"/>
              </w:rPr>
              <w:t>2.3.3</w:t>
            </w:r>
          </w:p>
        </w:tc>
        <w:tc>
          <w:tcPr>
            <w:tcW w:w="1217" w:type="dxa"/>
            <w:tcBorders>
              <w:top w:val="single" w:color="auto" w:sz="4" w:space="0"/>
              <w:left w:val="single" w:color="auto" w:sz="4" w:space="0"/>
              <w:bottom w:val="single" w:color="auto" w:sz="4" w:space="0"/>
              <w:right w:val="single" w:color="auto" w:sz="4" w:space="0"/>
            </w:tcBorders>
            <w:vAlign w:val="center"/>
          </w:tcPr>
          <w:p w14:paraId="1259182B">
            <w:pPr>
              <w:spacing w:line="300" w:lineRule="exact"/>
              <w:jc w:val="center"/>
              <w:rPr>
                <w:color w:val="000000"/>
                <w:szCs w:val="21"/>
                <w:highlight w:val="none"/>
              </w:rPr>
            </w:pPr>
            <w:r>
              <w:rPr>
                <w:rFonts w:hint="eastAsia"/>
                <w:color w:val="000000"/>
                <w:szCs w:val="20"/>
                <w:highlight w:val="none"/>
              </w:rPr>
              <w:t>演示</w:t>
            </w:r>
          </w:p>
        </w:tc>
        <w:tc>
          <w:tcPr>
            <w:tcW w:w="7073" w:type="dxa"/>
            <w:tcBorders>
              <w:top w:val="single" w:color="auto" w:sz="4" w:space="0"/>
              <w:left w:val="single" w:color="auto" w:sz="4" w:space="0"/>
              <w:bottom w:val="single" w:color="auto" w:sz="4" w:space="0"/>
              <w:right w:val="single" w:color="auto" w:sz="4" w:space="0"/>
            </w:tcBorders>
            <w:vAlign w:val="center"/>
          </w:tcPr>
          <w:p w14:paraId="556A3297">
            <w:pPr>
              <w:spacing w:line="276" w:lineRule="auto"/>
              <w:rPr>
                <w:color w:val="000000"/>
                <w:szCs w:val="21"/>
                <w:highlight w:val="none"/>
              </w:rPr>
            </w:pPr>
            <w:r>
              <w:rPr>
                <w:rFonts w:hint="eastAsia"/>
                <w:color w:val="000000"/>
                <w:sz w:val="22"/>
                <w:szCs w:val="22"/>
                <w:highlight w:val="none"/>
              </w:rPr>
              <w:t>无。</w:t>
            </w:r>
          </w:p>
        </w:tc>
      </w:tr>
      <w:tr w14:paraId="6D8D0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vAlign w:val="center"/>
          </w:tcPr>
          <w:p w14:paraId="54BD30D1">
            <w:pPr>
              <w:spacing w:line="300" w:lineRule="exact"/>
              <w:jc w:val="center"/>
              <w:rPr>
                <w:b/>
                <w:color w:val="000000"/>
                <w:szCs w:val="21"/>
                <w:highlight w:val="none"/>
              </w:rPr>
            </w:pPr>
            <w:r>
              <w:rPr>
                <w:b/>
                <w:color w:val="000000"/>
                <w:szCs w:val="21"/>
                <w:highlight w:val="none"/>
              </w:rPr>
              <w:t>2.5.5</w:t>
            </w:r>
          </w:p>
        </w:tc>
        <w:tc>
          <w:tcPr>
            <w:tcW w:w="1217" w:type="dxa"/>
            <w:tcBorders>
              <w:top w:val="single" w:color="auto" w:sz="4" w:space="0"/>
              <w:left w:val="single" w:color="auto" w:sz="4" w:space="0"/>
              <w:bottom w:val="single" w:color="auto" w:sz="4" w:space="0"/>
              <w:right w:val="single" w:color="auto" w:sz="4" w:space="0"/>
            </w:tcBorders>
            <w:vAlign w:val="center"/>
          </w:tcPr>
          <w:p w14:paraId="7CAC8018">
            <w:pPr>
              <w:spacing w:line="300" w:lineRule="exact"/>
              <w:jc w:val="center"/>
              <w:rPr>
                <w:color w:val="000000"/>
                <w:szCs w:val="21"/>
                <w:highlight w:val="none"/>
              </w:rPr>
            </w:pPr>
            <w:r>
              <w:rPr>
                <w:rFonts w:hint="eastAsia"/>
                <w:color w:val="000000"/>
                <w:szCs w:val="21"/>
                <w:highlight w:val="none"/>
              </w:rPr>
              <w:t>入围结果</w:t>
            </w:r>
          </w:p>
          <w:p w14:paraId="6BBAC611">
            <w:pPr>
              <w:spacing w:line="300" w:lineRule="exact"/>
              <w:jc w:val="center"/>
              <w:rPr>
                <w:color w:val="000000"/>
                <w:szCs w:val="21"/>
                <w:highlight w:val="none"/>
              </w:rPr>
            </w:pPr>
            <w:r>
              <w:rPr>
                <w:color w:val="000000"/>
                <w:szCs w:val="21"/>
                <w:highlight w:val="none"/>
              </w:rPr>
              <w:t>公告</w:t>
            </w:r>
          </w:p>
        </w:tc>
        <w:tc>
          <w:tcPr>
            <w:tcW w:w="7073" w:type="dxa"/>
            <w:tcBorders>
              <w:top w:val="single" w:color="auto" w:sz="4" w:space="0"/>
              <w:left w:val="single" w:color="auto" w:sz="4" w:space="0"/>
              <w:bottom w:val="single" w:color="auto" w:sz="4" w:space="0"/>
              <w:right w:val="single" w:color="auto" w:sz="4" w:space="0"/>
            </w:tcBorders>
            <w:vAlign w:val="center"/>
          </w:tcPr>
          <w:p w14:paraId="61580096">
            <w:pPr>
              <w:spacing w:line="300" w:lineRule="exact"/>
              <w:jc w:val="left"/>
              <w:rPr>
                <w:color w:val="000000"/>
                <w:szCs w:val="21"/>
                <w:highlight w:val="none"/>
              </w:rPr>
            </w:pPr>
            <w:r>
              <w:rPr>
                <w:rFonts w:hint="eastAsia"/>
                <w:color w:val="000000"/>
                <w:szCs w:val="21"/>
                <w:highlight w:val="none"/>
              </w:rPr>
              <w:t>征集人在采购人</w:t>
            </w:r>
            <w:r>
              <w:rPr>
                <w:color w:val="000000"/>
                <w:szCs w:val="21"/>
                <w:highlight w:val="none"/>
              </w:rPr>
              <w:t>依法确认</w:t>
            </w:r>
            <w:r>
              <w:rPr>
                <w:rFonts w:hint="eastAsia"/>
                <w:color w:val="000000"/>
                <w:szCs w:val="21"/>
                <w:highlight w:val="none"/>
              </w:rPr>
              <w:t>入围供应商</w:t>
            </w:r>
            <w:r>
              <w:rPr>
                <w:color w:val="000000"/>
                <w:szCs w:val="21"/>
                <w:highlight w:val="none"/>
              </w:rPr>
              <w:t>后2个工作日内在征集公告发布的媒体上发布</w:t>
            </w:r>
            <w:r>
              <w:rPr>
                <w:rFonts w:hint="eastAsia"/>
                <w:color w:val="000000"/>
                <w:szCs w:val="21"/>
                <w:highlight w:val="none"/>
              </w:rPr>
              <w:t>入围结果</w:t>
            </w:r>
            <w:r>
              <w:rPr>
                <w:color w:val="000000"/>
                <w:szCs w:val="21"/>
                <w:highlight w:val="none"/>
              </w:rPr>
              <w:t>公告</w:t>
            </w:r>
            <w:r>
              <w:rPr>
                <w:rFonts w:hint="eastAsia"/>
                <w:color w:val="000000"/>
                <w:szCs w:val="21"/>
                <w:highlight w:val="none"/>
              </w:rPr>
              <w:t>。</w:t>
            </w:r>
          </w:p>
        </w:tc>
      </w:tr>
      <w:tr w14:paraId="0EDB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0" w:type="dxa"/>
            <w:tcBorders>
              <w:top w:val="single" w:color="auto" w:sz="4" w:space="0"/>
              <w:left w:val="single" w:color="auto" w:sz="4" w:space="0"/>
              <w:bottom w:val="single" w:color="auto" w:sz="4" w:space="0"/>
              <w:right w:val="single" w:color="auto" w:sz="4" w:space="0"/>
            </w:tcBorders>
            <w:vAlign w:val="center"/>
          </w:tcPr>
          <w:p w14:paraId="15FD9C8F">
            <w:pPr>
              <w:spacing w:line="300" w:lineRule="exact"/>
              <w:jc w:val="center"/>
              <w:rPr>
                <w:b/>
                <w:color w:val="000000"/>
                <w:szCs w:val="21"/>
                <w:highlight w:val="none"/>
              </w:rPr>
            </w:pPr>
            <w:r>
              <w:rPr>
                <w:b/>
                <w:color w:val="000000"/>
                <w:szCs w:val="21"/>
                <w:highlight w:val="none"/>
              </w:rPr>
              <w:t>2.9</w:t>
            </w:r>
          </w:p>
        </w:tc>
        <w:tc>
          <w:tcPr>
            <w:tcW w:w="1217" w:type="dxa"/>
            <w:tcBorders>
              <w:top w:val="single" w:color="auto" w:sz="4" w:space="0"/>
              <w:left w:val="single" w:color="auto" w:sz="4" w:space="0"/>
              <w:bottom w:val="single" w:color="auto" w:sz="4" w:space="0"/>
              <w:right w:val="single" w:color="auto" w:sz="4" w:space="0"/>
            </w:tcBorders>
            <w:vAlign w:val="center"/>
          </w:tcPr>
          <w:p w14:paraId="0E5F2F51">
            <w:pPr>
              <w:spacing w:line="300" w:lineRule="exact"/>
              <w:jc w:val="center"/>
              <w:rPr>
                <w:color w:val="000000"/>
                <w:szCs w:val="21"/>
                <w:highlight w:val="none"/>
              </w:rPr>
            </w:pPr>
            <w:r>
              <w:rPr>
                <w:rFonts w:hint="eastAsia"/>
                <w:color w:val="000000"/>
                <w:szCs w:val="21"/>
                <w:highlight w:val="none"/>
              </w:rPr>
              <w:t>征集阶段</w:t>
            </w:r>
          </w:p>
          <w:p w14:paraId="0CEF8397">
            <w:pPr>
              <w:spacing w:line="300" w:lineRule="exact"/>
              <w:jc w:val="center"/>
              <w:rPr>
                <w:color w:val="000000"/>
                <w:szCs w:val="21"/>
                <w:highlight w:val="none"/>
              </w:rPr>
            </w:pPr>
            <w:r>
              <w:rPr>
                <w:rFonts w:hint="eastAsia"/>
                <w:color w:val="000000"/>
                <w:szCs w:val="21"/>
                <w:highlight w:val="none"/>
              </w:rPr>
              <w:t>质疑</w:t>
            </w:r>
          </w:p>
        </w:tc>
        <w:tc>
          <w:tcPr>
            <w:tcW w:w="7073" w:type="dxa"/>
            <w:tcBorders>
              <w:top w:val="single" w:color="auto" w:sz="4" w:space="0"/>
              <w:left w:val="single" w:color="auto" w:sz="4" w:space="0"/>
              <w:bottom w:val="single" w:color="auto" w:sz="4" w:space="0"/>
              <w:right w:val="single" w:color="auto" w:sz="4" w:space="0"/>
            </w:tcBorders>
            <w:vAlign w:val="center"/>
          </w:tcPr>
          <w:p w14:paraId="4128F7F9">
            <w:pPr>
              <w:spacing w:line="300" w:lineRule="exact"/>
              <w:jc w:val="left"/>
              <w:rPr>
                <w:color w:val="000000"/>
                <w:szCs w:val="21"/>
                <w:highlight w:val="none"/>
              </w:rPr>
            </w:pPr>
            <w:r>
              <w:rPr>
                <w:rFonts w:hint="eastAsia"/>
                <w:color w:val="000000"/>
                <w:szCs w:val="21"/>
                <w:highlight w:val="none"/>
              </w:rPr>
              <w:t>（1）供应商</w:t>
            </w:r>
            <w:r>
              <w:rPr>
                <w:color w:val="000000"/>
                <w:szCs w:val="21"/>
                <w:highlight w:val="none"/>
              </w:rPr>
              <w:t>认为</w:t>
            </w:r>
            <w:r>
              <w:rPr>
                <w:rFonts w:hint="eastAsia"/>
                <w:color w:val="000000"/>
                <w:szCs w:val="21"/>
                <w:highlight w:val="none"/>
              </w:rPr>
              <w:t>征集文件</w:t>
            </w:r>
            <w:r>
              <w:rPr>
                <w:color w:val="000000"/>
                <w:szCs w:val="21"/>
                <w:highlight w:val="none"/>
              </w:rPr>
              <w:t>、</w:t>
            </w:r>
            <w:r>
              <w:rPr>
                <w:rFonts w:hint="eastAsia"/>
                <w:color w:val="000000"/>
                <w:szCs w:val="21"/>
                <w:highlight w:val="none"/>
              </w:rPr>
              <w:t>征集</w:t>
            </w:r>
            <w:r>
              <w:rPr>
                <w:color w:val="000000"/>
                <w:szCs w:val="21"/>
                <w:highlight w:val="none"/>
              </w:rPr>
              <w:t>过程、</w:t>
            </w:r>
            <w:r>
              <w:rPr>
                <w:rFonts w:hint="eastAsia"/>
                <w:color w:val="000000"/>
                <w:szCs w:val="21"/>
                <w:highlight w:val="none"/>
              </w:rPr>
              <w:t>入围</w:t>
            </w:r>
            <w:r>
              <w:rPr>
                <w:color w:val="000000"/>
                <w:szCs w:val="21"/>
                <w:highlight w:val="none"/>
              </w:rPr>
              <w:t>结果使自己的权益受到损害的，可以在知道或者应知其权益受到损害之日起7个工作日内，</w:t>
            </w:r>
            <w:r>
              <w:rPr>
                <w:rFonts w:hint="eastAsia"/>
                <w:color w:val="000000"/>
                <w:szCs w:val="21"/>
                <w:highlight w:val="none"/>
              </w:rPr>
              <w:t>通过以下方式</w:t>
            </w:r>
            <w:r>
              <w:rPr>
                <w:color w:val="000000"/>
                <w:szCs w:val="21"/>
                <w:highlight w:val="none"/>
              </w:rPr>
              <w:t>向</w:t>
            </w:r>
            <w:r>
              <w:rPr>
                <w:rFonts w:hint="eastAsia"/>
                <w:color w:val="000000"/>
                <w:szCs w:val="21"/>
                <w:highlight w:val="none"/>
              </w:rPr>
              <w:t>采购代理机构</w:t>
            </w:r>
            <w:r>
              <w:rPr>
                <w:color w:val="000000"/>
                <w:szCs w:val="21"/>
                <w:highlight w:val="none"/>
              </w:rPr>
              <w:t>提出质疑。提出质疑的</w:t>
            </w:r>
            <w:r>
              <w:rPr>
                <w:rFonts w:hint="eastAsia"/>
                <w:color w:val="000000"/>
                <w:szCs w:val="21"/>
                <w:highlight w:val="none"/>
              </w:rPr>
              <w:t>供应商</w:t>
            </w:r>
            <w:r>
              <w:rPr>
                <w:color w:val="000000"/>
                <w:szCs w:val="21"/>
                <w:highlight w:val="none"/>
              </w:rPr>
              <w:t>必须是参与本项目采购活动的供应商</w:t>
            </w:r>
            <w:r>
              <w:rPr>
                <w:rFonts w:hint="eastAsia"/>
                <w:color w:val="000000"/>
                <w:szCs w:val="21"/>
                <w:highlight w:val="none"/>
              </w:rPr>
              <w:t>，并须在</w:t>
            </w:r>
            <w:r>
              <w:rPr>
                <w:color w:val="000000"/>
                <w:szCs w:val="21"/>
                <w:highlight w:val="none"/>
              </w:rPr>
              <w:t>法定质疑期内一次性提出针对同一采购程序环节的质疑。质疑函应使用财政部发布的</w:t>
            </w:r>
            <w:r>
              <w:rPr>
                <w:rFonts w:hint="eastAsia"/>
                <w:color w:val="000000"/>
                <w:szCs w:val="21"/>
                <w:highlight w:val="none"/>
              </w:rPr>
              <w:t>政府采购供应商质疑函范本，并应按照“质疑函制作说明”进行制作。</w:t>
            </w:r>
          </w:p>
          <w:p w14:paraId="29D3F504">
            <w:pPr>
              <w:spacing w:line="300" w:lineRule="exact"/>
              <w:jc w:val="left"/>
              <w:rPr>
                <w:color w:val="000000"/>
                <w:szCs w:val="21"/>
                <w:highlight w:val="none"/>
              </w:rPr>
            </w:pPr>
            <w:r>
              <w:rPr>
                <w:rFonts w:hint="eastAsia"/>
                <w:color w:val="000000"/>
                <w:szCs w:val="21"/>
                <w:highlight w:val="none"/>
              </w:rPr>
              <w:t>（2）</w:t>
            </w:r>
            <w:r>
              <w:rPr>
                <w:color w:val="000000"/>
                <w:szCs w:val="21"/>
                <w:highlight w:val="none"/>
              </w:rPr>
              <w:t>本项目不接受传真、移动通信</w:t>
            </w:r>
            <w:r>
              <w:rPr>
                <w:rFonts w:hint="eastAsia"/>
                <w:color w:val="000000"/>
                <w:szCs w:val="21"/>
                <w:highlight w:val="none"/>
              </w:rPr>
              <w:t>、政采云平台</w:t>
            </w:r>
            <w:r>
              <w:rPr>
                <w:color w:val="000000"/>
                <w:szCs w:val="21"/>
                <w:highlight w:val="none"/>
              </w:rPr>
              <w:t>等</w:t>
            </w:r>
            <w:r>
              <w:rPr>
                <w:rFonts w:hint="eastAsia"/>
                <w:color w:val="000000"/>
                <w:szCs w:val="21"/>
                <w:highlight w:val="none"/>
              </w:rPr>
              <w:t>方式</w:t>
            </w:r>
            <w:r>
              <w:rPr>
                <w:color w:val="000000"/>
                <w:szCs w:val="21"/>
                <w:highlight w:val="none"/>
              </w:rPr>
              <w:t>送达的质疑材料</w:t>
            </w:r>
            <w:r>
              <w:rPr>
                <w:rFonts w:hint="eastAsia"/>
                <w:color w:val="000000"/>
                <w:szCs w:val="21"/>
                <w:highlight w:val="none"/>
              </w:rPr>
              <w:t>，供应商可通过现场或邮寄方式递交书面质疑材料。供应商应于质疑有效期内将质疑函原件递交至征集公告中采购代理机构信息中的联系人。</w:t>
            </w:r>
          </w:p>
        </w:tc>
      </w:tr>
      <w:tr w14:paraId="62650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910" w:type="dxa"/>
            <w:tcBorders>
              <w:top w:val="single" w:color="auto" w:sz="4" w:space="0"/>
              <w:left w:val="single" w:color="auto" w:sz="4" w:space="0"/>
              <w:bottom w:val="single" w:color="auto" w:sz="4" w:space="0"/>
              <w:right w:val="single" w:color="auto" w:sz="4" w:space="0"/>
            </w:tcBorders>
            <w:vAlign w:val="center"/>
          </w:tcPr>
          <w:p w14:paraId="634FD0C7">
            <w:pPr>
              <w:spacing w:line="300" w:lineRule="exact"/>
              <w:jc w:val="center"/>
              <w:rPr>
                <w:b/>
                <w:color w:val="000000"/>
                <w:szCs w:val="21"/>
                <w:highlight w:val="none"/>
              </w:rPr>
            </w:pPr>
            <w:r>
              <w:rPr>
                <w:b/>
                <w:color w:val="000000"/>
                <w:szCs w:val="21"/>
                <w:highlight w:val="none"/>
              </w:rPr>
              <w:t>2.10</w:t>
            </w:r>
          </w:p>
        </w:tc>
        <w:tc>
          <w:tcPr>
            <w:tcW w:w="1217" w:type="dxa"/>
            <w:tcBorders>
              <w:top w:val="single" w:color="auto" w:sz="4" w:space="0"/>
              <w:left w:val="single" w:color="auto" w:sz="4" w:space="0"/>
              <w:bottom w:val="single" w:color="auto" w:sz="4" w:space="0"/>
              <w:right w:val="single" w:color="auto" w:sz="4" w:space="0"/>
            </w:tcBorders>
            <w:vAlign w:val="center"/>
          </w:tcPr>
          <w:p w14:paraId="5906EE4D">
            <w:pPr>
              <w:spacing w:line="300" w:lineRule="exact"/>
              <w:jc w:val="center"/>
              <w:rPr>
                <w:szCs w:val="20"/>
                <w:highlight w:val="none"/>
              </w:rPr>
            </w:pPr>
            <w:r>
              <w:rPr>
                <w:rFonts w:hint="eastAsia"/>
                <w:szCs w:val="20"/>
                <w:highlight w:val="none"/>
              </w:rPr>
              <w:t>中小企业</w:t>
            </w:r>
          </w:p>
          <w:p w14:paraId="4C95959C">
            <w:pPr>
              <w:spacing w:line="300" w:lineRule="exact"/>
              <w:jc w:val="center"/>
              <w:rPr>
                <w:szCs w:val="20"/>
                <w:highlight w:val="none"/>
              </w:rPr>
            </w:pPr>
            <w:r>
              <w:rPr>
                <w:rFonts w:hint="eastAsia"/>
                <w:szCs w:val="20"/>
                <w:highlight w:val="none"/>
              </w:rPr>
              <w:t>政策措施</w:t>
            </w:r>
          </w:p>
        </w:tc>
        <w:tc>
          <w:tcPr>
            <w:tcW w:w="7073" w:type="dxa"/>
            <w:tcBorders>
              <w:top w:val="single" w:color="auto" w:sz="4" w:space="0"/>
              <w:left w:val="single" w:color="auto" w:sz="4" w:space="0"/>
              <w:bottom w:val="single" w:color="auto" w:sz="4" w:space="0"/>
              <w:right w:val="single" w:color="auto" w:sz="4" w:space="0"/>
            </w:tcBorders>
            <w:vAlign w:val="center"/>
          </w:tcPr>
          <w:p w14:paraId="1EE52A58">
            <w:pPr>
              <w:spacing w:line="276" w:lineRule="auto"/>
              <w:rPr>
                <w:szCs w:val="21"/>
                <w:highlight w:val="none"/>
              </w:rPr>
            </w:pPr>
            <w:r>
              <w:rPr>
                <w:rFonts w:hint="eastAsia"/>
                <w:szCs w:val="21"/>
                <w:highlight w:val="none"/>
                <w:lang w:eastAsia="zh-CN"/>
              </w:rPr>
              <w:t>☑</w:t>
            </w:r>
            <w:r>
              <w:rPr>
                <w:rFonts w:hint="eastAsia"/>
                <w:szCs w:val="21"/>
                <w:highlight w:val="none"/>
              </w:rPr>
              <w:t>本项目为非专门面向中小企业采购项目。</w:t>
            </w:r>
          </w:p>
          <w:p w14:paraId="33CD9746">
            <w:pPr>
              <w:rPr>
                <w:szCs w:val="21"/>
                <w:highlight w:val="none"/>
              </w:rPr>
            </w:pPr>
            <w:r>
              <w:rPr>
                <w:rFonts w:hint="eastAsia" w:ascii="Segoe UI Symbol" w:hAnsi="Segoe UI Symbol"/>
                <w:sz w:val="24"/>
                <w:highlight w:val="none"/>
                <w:lang w:eastAsia="zh-CN"/>
              </w:rPr>
              <w:t>□</w:t>
            </w:r>
            <w:r>
              <w:rPr>
                <w:rFonts w:hint="eastAsia"/>
                <w:szCs w:val="21"/>
                <w:highlight w:val="none"/>
              </w:rPr>
              <w:t>本项目为专门面向中小企业采购项目。</w:t>
            </w:r>
          </w:p>
        </w:tc>
      </w:tr>
      <w:tr w14:paraId="5B290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910" w:type="dxa"/>
            <w:tcBorders>
              <w:top w:val="single" w:color="auto" w:sz="4" w:space="0"/>
              <w:left w:val="single" w:color="auto" w:sz="4" w:space="0"/>
              <w:bottom w:val="single" w:color="auto" w:sz="4" w:space="0"/>
              <w:right w:val="single" w:color="auto" w:sz="4" w:space="0"/>
            </w:tcBorders>
            <w:vAlign w:val="center"/>
          </w:tcPr>
          <w:p w14:paraId="7E60859E">
            <w:pPr>
              <w:spacing w:line="300" w:lineRule="exact"/>
              <w:jc w:val="center"/>
              <w:rPr>
                <w:b/>
                <w:color w:val="000000"/>
                <w:szCs w:val="21"/>
                <w:highlight w:val="none"/>
              </w:rPr>
            </w:pPr>
            <w:r>
              <w:rPr>
                <w:b/>
                <w:color w:val="000000"/>
                <w:szCs w:val="21"/>
                <w:highlight w:val="none"/>
              </w:rPr>
              <w:t>4.1</w:t>
            </w:r>
          </w:p>
        </w:tc>
        <w:tc>
          <w:tcPr>
            <w:tcW w:w="1217" w:type="dxa"/>
            <w:tcBorders>
              <w:top w:val="single" w:color="auto" w:sz="4" w:space="0"/>
              <w:left w:val="single" w:color="auto" w:sz="4" w:space="0"/>
              <w:bottom w:val="single" w:color="auto" w:sz="4" w:space="0"/>
              <w:right w:val="single" w:color="auto" w:sz="4" w:space="0"/>
            </w:tcBorders>
            <w:vAlign w:val="center"/>
          </w:tcPr>
          <w:p w14:paraId="7E2A7A19">
            <w:pPr>
              <w:spacing w:line="300" w:lineRule="exact"/>
              <w:jc w:val="center"/>
              <w:rPr>
                <w:szCs w:val="21"/>
                <w:highlight w:val="none"/>
              </w:rPr>
            </w:pPr>
            <w:r>
              <w:rPr>
                <w:szCs w:val="20"/>
                <w:highlight w:val="none"/>
              </w:rPr>
              <w:t>代理服务费</w:t>
            </w:r>
          </w:p>
        </w:tc>
        <w:tc>
          <w:tcPr>
            <w:tcW w:w="7073" w:type="dxa"/>
            <w:tcBorders>
              <w:top w:val="single" w:color="auto" w:sz="4" w:space="0"/>
              <w:left w:val="single" w:color="auto" w:sz="4" w:space="0"/>
              <w:bottom w:val="single" w:color="auto" w:sz="4" w:space="0"/>
              <w:right w:val="single" w:color="auto" w:sz="4" w:space="0"/>
            </w:tcBorders>
            <w:vAlign w:val="center"/>
          </w:tcPr>
          <w:p w14:paraId="2E4D9989">
            <w:pPr>
              <w:spacing w:line="300" w:lineRule="exact"/>
              <w:jc w:val="left"/>
              <w:rPr>
                <w:kern w:val="0"/>
                <w:szCs w:val="21"/>
                <w:highlight w:val="none"/>
              </w:rPr>
            </w:pPr>
            <w:r>
              <w:rPr>
                <w:rFonts w:hint="eastAsia"/>
                <w:szCs w:val="21"/>
                <w:highlight w:val="none"/>
              </w:rPr>
              <w:t>代理服务费参照原国家计委颁布的《招标代理服务收费管理暂行办法》（计价格[2002]</w:t>
            </w:r>
            <w:r>
              <w:rPr>
                <w:rFonts w:hint="eastAsia"/>
                <w:szCs w:val="21"/>
                <w:highlight w:val="none"/>
              </w:rPr>
              <w:t>1980号文件）及国家发改委办公厅颁布的《国家发改委办公厅关于招标代理服务收费有关问题的通知》（发改办价格[2003]857号文件）。执行国家发改委办公厅颁布的《关于进一步放开建设项目专业服务价格的通知》（发改办价格[2015]299号文件）规定的标准收取招标代理服务费，由每家入围供应商在入围通知书下发后2日内支付</w:t>
            </w:r>
            <w:r>
              <w:rPr>
                <w:rFonts w:hint="eastAsia"/>
                <w:szCs w:val="21"/>
                <w:highlight w:val="none"/>
                <w:lang w:val="en-US" w:eastAsia="zh-CN"/>
              </w:rPr>
              <w:t xml:space="preserve"> 0.6万元</w:t>
            </w:r>
            <w:r>
              <w:rPr>
                <w:rFonts w:hint="eastAsia"/>
                <w:szCs w:val="21"/>
                <w:highlight w:val="none"/>
              </w:rPr>
              <w:t>至代理机构。</w:t>
            </w:r>
          </w:p>
        </w:tc>
      </w:tr>
      <w:tr w14:paraId="28FE1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0" w:type="dxa"/>
            <w:tcBorders>
              <w:top w:val="single" w:color="auto" w:sz="4" w:space="0"/>
              <w:left w:val="single" w:color="auto" w:sz="4" w:space="0"/>
              <w:bottom w:val="single" w:color="auto" w:sz="4" w:space="0"/>
              <w:right w:val="single" w:color="auto" w:sz="4" w:space="0"/>
            </w:tcBorders>
            <w:vAlign w:val="center"/>
          </w:tcPr>
          <w:p w14:paraId="3546B03F">
            <w:pPr>
              <w:spacing w:line="300" w:lineRule="exact"/>
              <w:jc w:val="center"/>
              <w:rPr>
                <w:b/>
                <w:color w:val="000000"/>
                <w:szCs w:val="21"/>
                <w:highlight w:val="none"/>
              </w:rPr>
            </w:pPr>
            <w:r>
              <w:rPr>
                <w:b/>
                <w:color w:val="000000"/>
                <w:szCs w:val="21"/>
                <w:highlight w:val="none"/>
              </w:rPr>
              <w:t>4.3</w:t>
            </w:r>
          </w:p>
        </w:tc>
        <w:tc>
          <w:tcPr>
            <w:tcW w:w="1217" w:type="dxa"/>
            <w:tcBorders>
              <w:top w:val="single" w:color="auto" w:sz="4" w:space="0"/>
              <w:left w:val="single" w:color="auto" w:sz="4" w:space="0"/>
              <w:bottom w:val="single" w:color="auto" w:sz="4" w:space="0"/>
              <w:right w:val="single" w:color="auto" w:sz="4" w:space="0"/>
            </w:tcBorders>
            <w:vAlign w:val="center"/>
          </w:tcPr>
          <w:p w14:paraId="5951A5E1">
            <w:pPr>
              <w:spacing w:line="300" w:lineRule="exact"/>
              <w:jc w:val="center"/>
              <w:rPr>
                <w:color w:val="000000"/>
                <w:szCs w:val="20"/>
                <w:highlight w:val="none"/>
              </w:rPr>
            </w:pPr>
            <w:r>
              <w:rPr>
                <w:rFonts w:hint="eastAsia"/>
                <w:color w:val="000000"/>
                <w:szCs w:val="20"/>
                <w:highlight w:val="none"/>
              </w:rPr>
              <w:t>附件</w:t>
            </w:r>
          </w:p>
        </w:tc>
        <w:tc>
          <w:tcPr>
            <w:tcW w:w="7073" w:type="dxa"/>
            <w:tcBorders>
              <w:top w:val="single" w:color="auto" w:sz="4" w:space="0"/>
              <w:left w:val="single" w:color="auto" w:sz="4" w:space="0"/>
              <w:bottom w:val="single" w:color="auto" w:sz="4" w:space="0"/>
              <w:right w:val="single" w:color="auto" w:sz="4" w:space="0"/>
            </w:tcBorders>
            <w:vAlign w:val="center"/>
          </w:tcPr>
          <w:p w14:paraId="04561388">
            <w:pPr>
              <w:spacing w:line="276" w:lineRule="auto"/>
              <w:rPr>
                <w:color w:val="000000"/>
                <w:szCs w:val="21"/>
                <w:highlight w:val="none"/>
              </w:rPr>
            </w:pPr>
            <w:r>
              <w:rPr>
                <w:rFonts w:hint="eastAsia"/>
                <w:color w:val="000000"/>
                <w:szCs w:val="21"/>
                <w:highlight w:val="none"/>
              </w:rPr>
              <w:t>无。</w:t>
            </w:r>
          </w:p>
        </w:tc>
      </w:tr>
      <w:tr w14:paraId="24F0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0" w:type="dxa"/>
            <w:tcBorders>
              <w:top w:val="single" w:color="auto" w:sz="4" w:space="0"/>
              <w:left w:val="single" w:color="auto" w:sz="4" w:space="0"/>
              <w:bottom w:val="single" w:color="auto" w:sz="4" w:space="0"/>
              <w:right w:val="single" w:color="auto" w:sz="4" w:space="0"/>
            </w:tcBorders>
            <w:vAlign w:val="center"/>
          </w:tcPr>
          <w:p w14:paraId="0738DF39">
            <w:pPr>
              <w:spacing w:line="300" w:lineRule="exact"/>
              <w:jc w:val="center"/>
              <w:rPr>
                <w:b/>
                <w:color w:val="000000"/>
                <w:szCs w:val="21"/>
                <w:highlight w:val="none"/>
              </w:rPr>
            </w:pPr>
            <w:r>
              <w:rPr>
                <w:b/>
                <w:color w:val="000000"/>
                <w:szCs w:val="21"/>
                <w:highlight w:val="none"/>
              </w:rPr>
              <w:t>4.3</w:t>
            </w:r>
          </w:p>
        </w:tc>
        <w:tc>
          <w:tcPr>
            <w:tcW w:w="1217" w:type="dxa"/>
            <w:tcBorders>
              <w:top w:val="single" w:color="auto" w:sz="4" w:space="0"/>
              <w:left w:val="single" w:color="auto" w:sz="4" w:space="0"/>
              <w:bottom w:val="single" w:color="auto" w:sz="4" w:space="0"/>
              <w:right w:val="single" w:color="auto" w:sz="4" w:space="0"/>
            </w:tcBorders>
            <w:vAlign w:val="center"/>
          </w:tcPr>
          <w:p w14:paraId="2479C4DC">
            <w:pPr>
              <w:spacing w:line="300" w:lineRule="exact"/>
              <w:jc w:val="center"/>
              <w:rPr>
                <w:color w:val="000000"/>
                <w:szCs w:val="20"/>
                <w:highlight w:val="none"/>
              </w:rPr>
            </w:pPr>
            <w:r>
              <w:rPr>
                <w:rFonts w:hint="eastAsia"/>
                <w:color w:val="000000"/>
                <w:szCs w:val="20"/>
                <w:highlight w:val="none"/>
              </w:rPr>
              <w:t>图纸</w:t>
            </w:r>
          </w:p>
        </w:tc>
        <w:tc>
          <w:tcPr>
            <w:tcW w:w="7073" w:type="dxa"/>
            <w:tcBorders>
              <w:top w:val="single" w:color="auto" w:sz="4" w:space="0"/>
              <w:left w:val="single" w:color="auto" w:sz="4" w:space="0"/>
              <w:bottom w:val="single" w:color="auto" w:sz="4" w:space="0"/>
              <w:right w:val="single" w:color="auto" w:sz="4" w:space="0"/>
            </w:tcBorders>
            <w:vAlign w:val="center"/>
          </w:tcPr>
          <w:p w14:paraId="2DA2B83C">
            <w:pPr>
              <w:spacing w:line="276" w:lineRule="auto"/>
              <w:rPr>
                <w:color w:val="000000"/>
                <w:szCs w:val="21"/>
                <w:highlight w:val="none"/>
              </w:rPr>
            </w:pPr>
            <w:r>
              <w:rPr>
                <w:rFonts w:hint="eastAsia"/>
                <w:color w:val="000000"/>
                <w:szCs w:val="21"/>
                <w:highlight w:val="none"/>
              </w:rPr>
              <w:t>无。</w:t>
            </w:r>
          </w:p>
        </w:tc>
      </w:tr>
      <w:tr w14:paraId="2A9D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0" w:type="dxa"/>
            <w:vMerge w:val="restart"/>
            <w:tcBorders>
              <w:top w:val="single" w:color="auto" w:sz="4" w:space="0"/>
              <w:left w:val="single" w:color="auto" w:sz="4" w:space="0"/>
              <w:right w:val="single" w:color="auto" w:sz="4" w:space="0"/>
            </w:tcBorders>
            <w:vAlign w:val="center"/>
          </w:tcPr>
          <w:p w14:paraId="17EE6040">
            <w:pPr>
              <w:spacing w:line="300" w:lineRule="exact"/>
              <w:jc w:val="center"/>
              <w:rPr>
                <w:b/>
                <w:color w:val="000000"/>
                <w:szCs w:val="21"/>
                <w:highlight w:val="none"/>
              </w:rPr>
            </w:pPr>
            <w:r>
              <w:rPr>
                <w:b/>
                <w:color w:val="000000"/>
                <w:szCs w:val="21"/>
                <w:highlight w:val="none"/>
              </w:rPr>
              <w:t>4.4</w:t>
            </w:r>
          </w:p>
        </w:tc>
        <w:tc>
          <w:tcPr>
            <w:tcW w:w="1217" w:type="dxa"/>
            <w:vMerge w:val="restart"/>
            <w:tcBorders>
              <w:top w:val="single" w:color="auto" w:sz="4" w:space="0"/>
              <w:left w:val="single" w:color="auto" w:sz="4" w:space="0"/>
              <w:right w:val="single" w:color="auto" w:sz="4" w:space="0"/>
            </w:tcBorders>
            <w:vAlign w:val="center"/>
          </w:tcPr>
          <w:p w14:paraId="707BDEAE">
            <w:pPr>
              <w:spacing w:line="300" w:lineRule="exact"/>
              <w:jc w:val="center"/>
              <w:rPr>
                <w:color w:val="000000"/>
                <w:szCs w:val="20"/>
                <w:highlight w:val="none"/>
              </w:rPr>
            </w:pPr>
            <w:r>
              <w:rPr>
                <w:rFonts w:hint="eastAsia"/>
                <w:color w:val="000000"/>
                <w:szCs w:val="20"/>
                <w:highlight w:val="none"/>
              </w:rPr>
              <w:t>其他事项</w:t>
            </w:r>
          </w:p>
        </w:tc>
        <w:tc>
          <w:tcPr>
            <w:tcW w:w="7073" w:type="dxa"/>
            <w:tcBorders>
              <w:top w:val="single" w:color="auto" w:sz="4" w:space="0"/>
              <w:left w:val="single" w:color="auto" w:sz="4" w:space="0"/>
              <w:bottom w:val="single" w:color="auto" w:sz="4" w:space="0"/>
              <w:right w:val="single" w:color="auto" w:sz="4" w:space="0"/>
            </w:tcBorders>
            <w:vAlign w:val="center"/>
          </w:tcPr>
          <w:p w14:paraId="15C27B0B">
            <w:pPr>
              <w:spacing w:line="300" w:lineRule="exact"/>
              <w:rPr>
                <w:color w:val="000000"/>
                <w:sz w:val="24"/>
                <w:highlight w:val="none"/>
              </w:rPr>
            </w:pPr>
            <w:r>
              <w:rPr>
                <w:rFonts w:hint="eastAsia"/>
                <w:color w:val="000000"/>
                <w:szCs w:val="20"/>
                <w:highlight w:val="none"/>
              </w:rPr>
              <w:t>本文件中内容如有前后不一致，以在征集文件先出现的为准。</w:t>
            </w:r>
          </w:p>
        </w:tc>
      </w:tr>
      <w:tr w14:paraId="64EED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0" w:type="dxa"/>
            <w:vMerge w:val="continue"/>
            <w:tcBorders>
              <w:left w:val="single" w:color="auto" w:sz="4" w:space="0"/>
              <w:bottom w:val="single" w:color="auto" w:sz="4" w:space="0"/>
              <w:right w:val="single" w:color="auto" w:sz="4" w:space="0"/>
            </w:tcBorders>
            <w:vAlign w:val="center"/>
          </w:tcPr>
          <w:p w14:paraId="661F8DF4">
            <w:pPr>
              <w:spacing w:line="300" w:lineRule="exact"/>
              <w:jc w:val="center"/>
              <w:rPr>
                <w:b/>
                <w:color w:val="000000"/>
                <w:szCs w:val="21"/>
                <w:highlight w:val="none"/>
              </w:rPr>
            </w:pPr>
          </w:p>
        </w:tc>
        <w:tc>
          <w:tcPr>
            <w:tcW w:w="1217" w:type="dxa"/>
            <w:vMerge w:val="continue"/>
            <w:tcBorders>
              <w:left w:val="single" w:color="auto" w:sz="4" w:space="0"/>
              <w:bottom w:val="single" w:color="auto" w:sz="4" w:space="0"/>
              <w:right w:val="single" w:color="auto" w:sz="4" w:space="0"/>
            </w:tcBorders>
            <w:vAlign w:val="center"/>
          </w:tcPr>
          <w:p w14:paraId="6CEC19B4">
            <w:pPr>
              <w:spacing w:line="300" w:lineRule="exact"/>
              <w:jc w:val="center"/>
              <w:rPr>
                <w:rFonts w:hint="eastAsia"/>
                <w:color w:val="000000"/>
                <w:szCs w:val="20"/>
                <w:highlight w:val="none"/>
              </w:rPr>
            </w:pPr>
          </w:p>
        </w:tc>
        <w:tc>
          <w:tcPr>
            <w:tcW w:w="7073" w:type="dxa"/>
            <w:tcBorders>
              <w:top w:val="single" w:color="auto" w:sz="4" w:space="0"/>
              <w:left w:val="single" w:color="auto" w:sz="4" w:space="0"/>
              <w:bottom w:val="single" w:color="auto" w:sz="4" w:space="0"/>
              <w:right w:val="single" w:color="auto" w:sz="4" w:space="0"/>
            </w:tcBorders>
            <w:vAlign w:val="center"/>
          </w:tcPr>
          <w:p w14:paraId="4B5178C7">
            <w:pPr>
              <w:autoSpaceDE w:val="0"/>
              <w:autoSpaceDN w:val="0"/>
              <w:adjustRightInd w:val="0"/>
              <w:spacing w:line="300" w:lineRule="exact"/>
              <w:rPr>
                <w:rFonts w:hint="eastAsia" w:ascii="宋体" w:hAnsi="宋体" w:cs="宋体"/>
                <w:color w:val="000000"/>
                <w:highlight w:val="none"/>
                <w:lang w:val="zh-CN"/>
              </w:rPr>
            </w:pPr>
            <w:r>
              <w:rPr>
                <w:rFonts w:hint="eastAsia" w:ascii="宋体" w:hAnsi="宋体" w:cs="宋体"/>
                <w:color w:val="000000"/>
                <w:highlight w:val="none"/>
                <w:lang w:val="zh-CN"/>
              </w:rPr>
              <w:t>开</w:t>
            </w:r>
            <w:r>
              <w:rPr>
                <w:rFonts w:hint="eastAsia" w:ascii="宋体" w:hAnsi="宋体" w:cs="宋体"/>
                <w:color w:val="000000"/>
                <w:highlight w:val="none"/>
              </w:rPr>
              <w:t>启</w:t>
            </w:r>
            <w:r>
              <w:rPr>
                <w:rFonts w:hint="eastAsia" w:ascii="宋体" w:hAnsi="宋体" w:cs="宋体"/>
                <w:color w:val="000000"/>
                <w:highlight w:val="none"/>
                <w:lang w:val="zh-CN"/>
              </w:rPr>
              <w:t>方式：本项目采用腾讯会议直播形式进行开标活动，请投标人自行下载、安装腾讯会议软件。腾讯会议号为</w:t>
            </w:r>
            <w:r>
              <w:rPr>
                <w:rFonts w:hint="eastAsia" w:ascii="宋体" w:hAnsi="宋体" w:cs="宋体"/>
                <w:color w:val="auto"/>
                <w:highlight w:val="none"/>
                <w:lang w:val="zh-CN"/>
              </w:rPr>
              <w:t>：</w:t>
            </w:r>
            <w:r>
              <w:rPr>
                <w:rFonts w:hint="eastAsia" w:ascii="宋体" w:hAnsi="宋体" w:cs="宋体"/>
                <w:b/>
                <w:bCs/>
                <w:color w:val="1F497D"/>
                <w:sz w:val="24"/>
                <w:highlight w:val="none"/>
                <w:lang w:val="en-US" w:eastAsia="zh-CN"/>
              </w:rPr>
              <w:t>227202256</w:t>
            </w:r>
            <w:r>
              <w:rPr>
                <w:rFonts w:hint="eastAsia" w:ascii="宋体" w:hAnsi="宋体" w:cs="宋体"/>
                <w:color w:val="auto"/>
                <w:highlight w:val="none"/>
                <w:lang w:val="zh-CN"/>
              </w:rPr>
              <w:t>，</w:t>
            </w:r>
            <w:r>
              <w:rPr>
                <w:rFonts w:hint="eastAsia" w:ascii="宋体" w:hAnsi="宋体" w:cs="宋体"/>
                <w:color w:val="000000"/>
                <w:highlight w:val="none"/>
                <w:lang w:val="zh-CN"/>
              </w:rPr>
              <w:t>投标人开</w:t>
            </w:r>
            <w:r>
              <w:rPr>
                <w:rFonts w:hint="eastAsia" w:ascii="宋体" w:hAnsi="宋体" w:cs="宋体"/>
                <w:color w:val="000000"/>
                <w:highlight w:val="none"/>
                <w:lang w:val="zh-CN"/>
              </w:rPr>
              <w:t>标前30分钟进入本项目视频会议直播，进入视频会议人员应为本投标人法定代表人（或其委托代理人），并将进入会议人员姓名修改为“投标人</w:t>
            </w:r>
            <w:r>
              <w:rPr>
                <w:rFonts w:hint="eastAsia" w:ascii="宋体" w:hAnsi="宋体" w:cs="宋体"/>
                <w:color w:val="000000"/>
                <w:highlight w:val="none"/>
                <w:lang w:val="en-US" w:eastAsia="zh-CN"/>
              </w:rPr>
              <w:t>名称</w:t>
            </w:r>
            <w:r>
              <w:rPr>
                <w:rFonts w:hint="eastAsia" w:ascii="宋体" w:hAnsi="宋体" w:cs="宋体"/>
                <w:color w:val="000000"/>
                <w:highlight w:val="none"/>
                <w:lang w:val="zh-CN"/>
              </w:rPr>
              <w:t>+</w:t>
            </w:r>
            <w:r>
              <w:rPr>
                <w:rFonts w:hint="eastAsia" w:ascii="宋体" w:hAnsi="宋体" w:cs="宋体"/>
                <w:color w:val="000000"/>
                <w:highlight w:val="none"/>
                <w:lang w:val="en-US" w:eastAsia="zh-CN"/>
              </w:rPr>
              <w:t>联系电话</w:t>
            </w:r>
            <w:r>
              <w:rPr>
                <w:rFonts w:hint="eastAsia" w:ascii="宋体" w:hAnsi="宋体" w:cs="宋体"/>
                <w:color w:val="000000"/>
                <w:highlight w:val="none"/>
                <w:lang w:val="zh-CN"/>
              </w:rPr>
              <w:t>”。投标人未参加视频开标会议的，或未完全参加视频开标会议全过程的，视为认同开标会议结果。</w:t>
            </w:r>
          </w:p>
          <w:p w14:paraId="36887C04">
            <w:pPr>
              <w:spacing w:line="300" w:lineRule="exact"/>
              <w:rPr>
                <w:rFonts w:hint="eastAsia"/>
                <w:color w:val="000000"/>
                <w:szCs w:val="20"/>
                <w:highlight w:val="none"/>
              </w:rPr>
            </w:pPr>
            <w:r>
              <w:rPr>
                <w:rFonts w:hint="eastAsia" w:hAnsi="宋体"/>
                <w:color w:val="000000"/>
                <w:highlight w:val="none"/>
                <w:lang w:val="zh-CN"/>
              </w:rPr>
              <w:t>远程解密：本项目实施网上远程开标，投标人</w:t>
            </w:r>
            <w:r>
              <w:rPr>
                <w:rFonts w:hint="eastAsia" w:hAnsi="宋体"/>
                <w:color w:val="000000"/>
                <w:highlight w:val="none"/>
                <w:lang w:val="zh-CN" w:bidi="ar"/>
              </w:rPr>
              <w:t>持制作该电子响应文件的同一数字证书（CA锁）及电脑进行远程解密</w:t>
            </w:r>
            <w:r>
              <w:rPr>
                <w:rFonts w:hint="eastAsia" w:hAnsi="宋体"/>
                <w:color w:val="000000"/>
                <w:highlight w:val="none"/>
                <w:lang w:val="zh-CN"/>
              </w:rPr>
              <w:t>。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 投标人由于数字证书遗失、损坏、更换、续期等自身原因情况导致投标文件无法解密，由投标人自行承担责任。</w:t>
            </w:r>
          </w:p>
        </w:tc>
      </w:tr>
    </w:tbl>
    <w:p w14:paraId="7CBC8258">
      <w:pPr>
        <w:rPr>
          <w:highlight w:val="none"/>
        </w:rPr>
      </w:pPr>
    </w:p>
    <w:p w14:paraId="61577FB4">
      <w:pPr>
        <w:widowControl/>
        <w:jc w:val="left"/>
        <w:rPr>
          <w:bCs/>
          <w:color w:val="000000"/>
          <w:kern w:val="0"/>
          <w:sz w:val="28"/>
          <w:szCs w:val="28"/>
          <w:highlight w:val="none"/>
        </w:rPr>
      </w:pPr>
      <w:r>
        <w:rPr>
          <w:bCs/>
          <w:color w:val="000000"/>
          <w:kern w:val="0"/>
          <w:sz w:val="28"/>
          <w:szCs w:val="28"/>
          <w:highlight w:val="none"/>
        </w:rPr>
        <w:br w:type="page"/>
      </w:r>
    </w:p>
    <w:p w14:paraId="5B368660">
      <w:pPr>
        <w:spacing w:before="120" w:line="320" w:lineRule="atLeast"/>
        <w:outlineLvl w:val="1"/>
        <w:rPr>
          <w:b/>
          <w:bCs/>
          <w:color w:val="000000"/>
          <w:kern w:val="0"/>
          <w:szCs w:val="21"/>
          <w:highlight w:val="none"/>
        </w:rPr>
      </w:pPr>
      <w:r>
        <w:rPr>
          <w:color w:val="000000"/>
          <w:sz w:val="32"/>
          <w:szCs w:val="32"/>
          <w:highlight w:val="none"/>
        </w:rPr>
        <w:tab/>
      </w:r>
      <w:r>
        <w:rPr>
          <w:b/>
          <w:bCs/>
          <w:color w:val="000000"/>
          <w:kern w:val="0"/>
          <w:szCs w:val="21"/>
          <w:highlight w:val="none"/>
        </w:rPr>
        <w:t>1．总则</w:t>
      </w:r>
    </w:p>
    <w:p w14:paraId="6DB6E5F8">
      <w:pPr>
        <w:spacing w:before="120" w:line="320" w:lineRule="atLeast"/>
        <w:ind w:firstLine="422" w:firstLineChars="200"/>
        <w:outlineLvl w:val="2"/>
        <w:rPr>
          <w:b/>
          <w:bCs/>
          <w:color w:val="000000"/>
          <w:kern w:val="0"/>
          <w:szCs w:val="21"/>
          <w:highlight w:val="none"/>
        </w:rPr>
      </w:pPr>
      <w:r>
        <w:rPr>
          <w:b/>
          <w:bCs/>
          <w:color w:val="000000"/>
          <w:kern w:val="0"/>
          <w:szCs w:val="21"/>
          <w:highlight w:val="none"/>
        </w:rPr>
        <w:t>1.1适用范围</w:t>
      </w:r>
    </w:p>
    <w:p w14:paraId="29E65CE7">
      <w:pPr>
        <w:spacing w:before="120" w:line="320" w:lineRule="atLeast"/>
        <w:ind w:firstLine="420" w:firstLineChars="200"/>
        <w:rPr>
          <w:color w:val="000000"/>
          <w:szCs w:val="21"/>
          <w:highlight w:val="none"/>
        </w:rPr>
      </w:pPr>
      <w:r>
        <w:rPr>
          <w:rFonts w:hint="eastAsia"/>
          <w:color w:val="000000"/>
          <w:szCs w:val="21"/>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5EB3EBCC">
      <w:pPr>
        <w:spacing w:before="120" w:line="320" w:lineRule="atLeast"/>
        <w:ind w:firstLine="420" w:firstLineChars="200"/>
        <w:rPr>
          <w:color w:val="000000"/>
          <w:szCs w:val="21"/>
          <w:highlight w:val="none"/>
        </w:rPr>
      </w:pPr>
      <w:r>
        <w:rPr>
          <w:rFonts w:hint="eastAsia"/>
          <w:color w:val="000000"/>
          <w:szCs w:val="21"/>
          <w:highlight w:val="none"/>
        </w:rPr>
        <w:t>本文如无特别说明，文件中第一阶段即指征集阶段，第二阶段即指确定成交阶段。</w:t>
      </w:r>
      <w:r>
        <w:rPr>
          <w:color w:val="000000"/>
          <w:szCs w:val="21"/>
          <w:highlight w:val="none"/>
        </w:rPr>
        <w:t>本征集文件适用于</w:t>
      </w:r>
      <w:r>
        <w:rPr>
          <w:rFonts w:hint="eastAsia"/>
          <w:color w:val="000000"/>
          <w:szCs w:val="21"/>
          <w:highlight w:val="none"/>
        </w:rPr>
        <w:t>第一阶段的征集活动。</w:t>
      </w:r>
    </w:p>
    <w:p w14:paraId="20FC6532">
      <w:pPr>
        <w:spacing w:before="120" w:line="320" w:lineRule="atLeast"/>
        <w:ind w:firstLine="422" w:firstLineChars="200"/>
        <w:outlineLvl w:val="2"/>
        <w:rPr>
          <w:b/>
          <w:bCs/>
          <w:color w:val="000000"/>
          <w:kern w:val="0"/>
          <w:szCs w:val="21"/>
          <w:highlight w:val="none"/>
        </w:rPr>
      </w:pPr>
      <w:r>
        <w:rPr>
          <w:b/>
          <w:bCs/>
          <w:color w:val="000000"/>
          <w:kern w:val="0"/>
          <w:szCs w:val="21"/>
          <w:highlight w:val="none"/>
        </w:rPr>
        <w:t>1.2定义</w:t>
      </w:r>
    </w:p>
    <w:p w14:paraId="141301A2">
      <w:pPr>
        <w:spacing w:before="120" w:line="320" w:lineRule="atLeast"/>
        <w:ind w:firstLine="420" w:firstLineChars="200"/>
        <w:rPr>
          <w:color w:val="000000"/>
          <w:szCs w:val="21"/>
          <w:highlight w:val="none"/>
        </w:rPr>
      </w:pPr>
      <w:r>
        <w:rPr>
          <w:color w:val="000000"/>
          <w:szCs w:val="21"/>
          <w:highlight w:val="none"/>
        </w:rPr>
        <w:t>1.2.1</w:t>
      </w:r>
      <w:r>
        <w:rPr>
          <w:rFonts w:hint="eastAsia"/>
          <w:color w:val="000000"/>
          <w:szCs w:val="21"/>
          <w:highlight w:val="none"/>
        </w:rPr>
        <w:t>“征集人”系指第一阶段主管预算单位及其委托的采购代理机构、集中采购机构的统称。</w:t>
      </w:r>
    </w:p>
    <w:p w14:paraId="6ED1CE1F">
      <w:pPr>
        <w:spacing w:before="120" w:line="320" w:lineRule="atLeast"/>
        <w:ind w:firstLine="420" w:firstLineChars="200"/>
        <w:rPr>
          <w:color w:val="000000"/>
          <w:szCs w:val="21"/>
          <w:highlight w:val="none"/>
        </w:rPr>
      </w:pPr>
      <w:r>
        <w:rPr>
          <w:color w:val="000000"/>
          <w:szCs w:val="21"/>
          <w:highlight w:val="none"/>
        </w:rPr>
        <w:t>1.2.2</w:t>
      </w:r>
      <w:r>
        <w:rPr>
          <w:rFonts w:hint="eastAsia"/>
          <w:color w:val="000000"/>
          <w:szCs w:val="21"/>
          <w:highlight w:val="none"/>
        </w:rPr>
        <w:t>“采购人”</w:t>
      </w:r>
      <w:r>
        <w:rPr>
          <w:color w:val="000000"/>
          <w:szCs w:val="21"/>
          <w:highlight w:val="none"/>
        </w:rPr>
        <w:t>系指</w:t>
      </w:r>
      <w:r>
        <w:rPr>
          <w:rFonts w:hint="eastAsia"/>
          <w:color w:val="000000"/>
          <w:szCs w:val="21"/>
          <w:highlight w:val="none"/>
        </w:rPr>
        <w:t>第二阶段实际需要采购服务或货物的单位。</w:t>
      </w:r>
    </w:p>
    <w:p w14:paraId="5F97242F">
      <w:pPr>
        <w:spacing w:before="120" w:line="320" w:lineRule="atLeast"/>
        <w:ind w:firstLine="420" w:firstLineChars="200"/>
        <w:rPr>
          <w:color w:val="000000"/>
          <w:szCs w:val="21"/>
          <w:highlight w:val="none"/>
        </w:rPr>
      </w:pPr>
      <w:r>
        <w:rPr>
          <w:color w:val="000000"/>
          <w:szCs w:val="21"/>
          <w:highlight w:val="none"/>
        </w:rPr>
        <w:t>1.2.3</w:t>
      </w:r>
      <w:r>
        <w:rPr>
          <w:rFonts w:hint="eastAsia"/>
          <w:color w:val="000000"/>
          <w:szCs w:val="21"/>
          <w:highlight w:val="none"/>
        </w:rPr>
        <w:t>“入围</w:t>
      </w:r>
      <w:r>
        <w:rPr>
          <w:color w:val="000000"/>
          <w:szCs w:val="21"/>
          <w:highlight w:val="none"/>
        </w:rPr>
        <w:t>供应商</w:t>
      </w:r>
      <w:r>
        <w:rPr>
          <w:rFonts w:hint="eastAsia"/>
          <w:color w:val="000000"/>
          <w:szCs w:val="21"/>
          <w:highlight w:val="none"/>
        </w:rPr>
        <w:t>”</w:t>
      </w:r>
      <w:r>
        <w:rPr>
          <w:color w:val="000000"/>
          <w:szCs w:val="21"/>
          <w:highlight w:val="none"/>
        </w:rPr>
        <w:t>系</w:t>
      </w:r>
      <w:r>
        <w:rPr>
          <w:color w:val="000000"/>
          <w:highlight w:val="none"/>
        </w:rPr>
        <w:t>指</w:t>
      </w:r>
      <w:r>
        <w:rPr>
          <w:rFonts w:hint="eastAsia"/>
          <w:color w:val="000000"/>
          <w:highlight w:val="none"/>
        </w:rPr>
        <w:t>参与第一阶段征集活动并入围</w:t>
      </w:r>
      <w:r>
        <w:rPr>
          <w:color w:val="000000"/>
          <w:highlight w:val="none"/>
        </w:rPr>
        <w:t>的法人、其他组织或者自然人</w:t>
      </w:r>
      <w:r>
        <w:rPr>
          <w:color w:val="000000"/>
          <w:szCs w:val="21"/>
          <w:highlight w:val="none"/>
        </w:rPr>
        <w:t>。</w:t>
      </w:r>
      <w:r>
        <w:rPr>
          <w:rFonts w:hint="eastAsia"/>
          <w:color w:val="000000"/>
          <w:szCs w:val="21"/>
          <w:highlight w:val="none"/>
        </w:rPr>
        <w:t>“成交供应商”系指在第一阶段入围并在第二阶段选定与采购人签订合同的入围供应商。</w:t>
      </w:r>
    </w:p>
    <w:p w14:paraId="22B0AC93">
      <w:pPr>
        <w:spacing w:before="120" w:line="360" w:lineRule="auto"/>
        <w:ind w:firstLine="420" w:firstLineChars="200"/>
        <w:rPr>
          <w:color w:val="000000"/>
          <w:highlight w:val="none"/>
        </w:rPr>
      </w:pPr>
      <w:r>
        <w:rPr>
          <w:rFonts w:hint="eastAsia"/>
          <w:color w:val="000000"/>
          <w:highlight w:val="none"/>
        </w:rPr>
        <w:t>1.2.</w:t>
      </w:r>
      <w:r>
        <w:rPr>
          <w:color w:val="000000"/>
          <w:highlight w:val="none"/>
        </w:rPr>
        <w:t>4本</w:t>
      </w:r>
      <w:r>
        <w:rPr>
          <w:rFonts w:hint="eastAsia"/>
          <w:color w:val="000000"/>
          <w:highlight w:val="none"/>
        </w:rPr>
        <w:t>文件</w:t>
      </w:r>
      <w:r>
        <w:rPr>
          <w:color w:val="000000"/>
          <w:highlight w:val="none"/>
        </w:rPr>
        <w:t>中的</w:t>
      </w:r>
      <w:r>
        <w:rPr>
          <w:rFonts w:hint="eastAsia"/>
          <w:color w:val="000000"/>
          <w:highlight w:val="none"/>
        </w:rPr>
        <w:t>“法定代表人”若无特别说明，当</w:t>
      </w:r>
      <w:r>
        <w:rPr>
          <w:color w:val="000000"/>
          <w:highlight w:val="none"/>
        </w:rPr>
        <w:t>供应商是</w:t>
      </w:r>
      <w:r>
        <w:rPr>
          <w:rFonts w:hint="eastAsia"/>
          <w:color w:val="000000"/>
          <w:highlight w:val="none"/>
        </w:rPr>
        <w:t>企业的，是指企业法人营业执照上的法定代表人；当</w:t>
      </w:r>
      <w:r>
        <w:rPr>
          <w:color w:val="000000"/>
          <w:highlight w:val="none"/>
        </w:rPr>
        <w:t>供应商是</w:t>
      </w:r>
      <w:r>
        <w:rPr>
          <w:rFonts w:hint="eastAsia"/>
          <w:color w:val="000000"/>
          <w:highlight w:val="none"/>
        </w:rPr>
        <w:t>事业单位的，是指事业单位法人证书上的法定代表人；当</w:t>
      </w:r>
      <w:r>
        <w:rPr>
          <w:color w:val="000000"/>
          <w:highlight w:val="none"/>
        </w:rPr>
        <w:t>供应商是</w:t>
      </w:r>
      <w:r>
        <w:rPr>
          <w:rFonts w:hint="eastAsia"/>
          <w:color w:val="000000"/>
          <w:highlight w:val="none"/>
        </w:rPr>
        <w:t>社会团体、民办非企业的，是指法人登记证书中的法定代表人；当</w:t>
      </w:r>
      <w:r>
        <w:rPr>
          <w:color w:val="000000"/>
          <w:highlight w:val="none"/>
        </w:rPr>
        <w:t>供应商是</w:t>
      </w:r>
      <w:r>
        <w:rPr>
          <w:rFonts w:hint="eastAsia"/>
          <w:color w:val="000000"/>
          <w:highlight w:val="none"/>
        </w:rPr>
        <w:t>个体工商户的，是指个体工商户营业执照上的经营者；</w:t>
      </w:r>
      <w:r>
        <w:rPr>
          <w:color w:val="000000"/>
          <w:highlight w:val="none"/>
        </w:rPr>
        <w:t>当供应商是自然人</w:t>
      </w:r>
      <w:r>
        <w:rPr>
          <w:rFonts w:hint="eastAsia"/>
          <w:color w:val="000000"/>
          <w:highlight w:val="none"/>
        </w:rPr>
        <w:t>的，是指参与本项目响应的自然人本人。</w:t>
      </w:r>
      <w:r>
        <w:rPr>
          <w:color w:val="000000"/>
          <w:highlight w:val="none"/>
        </w:rPr>
        <w:br w:type="textWrapping"/>
      </w:r>
      <w:r>
        <w:rPr>
          <w:color w:val="000000"/>
          <w:highlight w:val="none"/>
        </w:rPr>
        <w:t xml:space="preserve">    </w:t>
      </w:r>
      <w:r>
        <w:rPr>
          <w:rFonts w:hint="eastAsia"/>
          <w:color w:val="000000"/>
          <w:highlight w:val="none"/>
        </w:rPr>
        <w:t>1.2.</w:t>
      </w:r>
      <w:r>
        <w:rPr>
          <w:color w:val="000000"/>
          <w:highlight w:val="none"/>
        </w:rPr>
        <w:t>5</w:t>
      </w:r>
      <w:r>
        <w:rPr>
          <w:rFonts w:hint="eastAsia"/>
          <w:color w:val="000000"/>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7339A9B">
      <w:pPr>
        <w:widowControl/>
        <w:spacing w:line="360" w:lineRule="auto"/>
        <w:ind w:firstLine="420" w:firstLineChars="200"/>
        <w:jc w:val="left"/>
        <w:rPr>
          <w:color w:val="000000"/>
          <w:szCs w:val="21"/>
          <w:highlight w:val="none"/>
        </w:rPr>
      </w:pPr>
      <w:r>
        <w:rPr>
          <w:color w:val="000000"/>
          <w:szCs w:val="21"/>
          <w:highlight w:val="none"/>
        </w:rPr>
        <w:t>1.2.6</w:t>
      </w:r>
      <w:r>
        <w:rPr>
          <w:rFonts w:hint="eastAsia"/>
          <w:color w:val="000000"/>
          <w:szCs w:val="21"/>
          <w:highlight w:val="none"/>
        </w:rPr>
        <w:t>“</w:t>
      </w:r>
      <w:r>
        <w:rPr>
          <w:color w:val="000000"/>
          <w:szCs w:val="21"/>
          <w:highlight w:val="none"/>
        </w:rPr>
        <w:t>书面形式</w:t>
      </w:r>
      <w:r>
        <w:rPr>
          <w:rFonts w:hint="eastAsia"/>
          <w:color w:val="000000"/>
          <w:szCs w:val="21"/>
          <w:highlight w:val="none"/>
        </w:rPr>
        <w:t>”</w:t>
      </w:r>
      <w:r>
        <w:rPr>
          <w:color w:val="000000"/>
          <w:szCs w:val="21"/>
          <w:highlight w:val="none"/>
        </w:rPr>
        <w:t>如无特殊规定，</w:t>
      </w:r>
      <w:r>
        <w:rPr>
          <w:rFonts w:hint="eastAsia"/>
          <w:color w:val="000000"/>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000000"/>
          <w:szCs w:val="21"/>
          <w:highlight w:val="none"/>
        </w:rPr>
        <w:t xml:space="preserve">征集文件如有特殊规定，以征集文件规定为准。 </w:t>
      </w:r>
    </w:p>
    <w:p w14:paraId="4C387C29">
      <w:pPr>
        <w:spacing w:before="120" w:line="360" w:lineRule="auto"/>
        <w:ind w:firstLine="420" w:firstLineChars="200"/>
        <w:rPr>
          <w:szCs w:val="21"/>
          <w:highlight w:val="none"/>
        </w:rPr>
      </w:pPr>
      <w:r>
        <w:rPr>
          <w:szCs w:val="21"/>
          <w:highlight w:val="none"/>
        </w:rPr>
        <w:t>1.2.7</w:t>
      </w:r>
      <w:r>
        <w:rPr>
          <w:rFonts w:hint="eastAsia"/>
          <w:szCs w:val="21"/>
          <w:highlight w:val="none"/>
        </w:rPr>
        <w:t xml:space="preserve"> 本</w:t>
      </w:r>
      <w:r>
        <w:rPr>
          <w:szCs w:val="21"/>
          <w:highlight w:val="none"/>
        </w:rPr>
        <w:t>征集文件</w:t>
      </w:r>
      <w:r>
        <w:rPr>
          <w:rFonts w:hint="eastAsia"/>
          <w:szCs w:val="21"/>
          <w:highlight w:val="none"/>
        </w:rPr>
        <w:t>出现多种选项的条款，以“</w:t>
      </w:r>
      <w:r>
        <w:rPr>
          <w:rFonts w:ascii="Segoe UI Symbol" w:hAnsi="Segoe UI Symbol"/>
          <w:szCs w:val="21"/>
          <w:highlight w:val="none"/>
        </w:rPr>
        <w:t>☑</w:t>
      </w:r>
      <w:r>
        <w:rPr>
          <w:rFonts w:hint="eastAsia"/>
          <w:szCs w:val="21"/>
          <w:highlight w:val="none"/>
        </w:rPr>
        <w:t>”表示本条款所选择的方式。</w:t>
      </w:r>
    </w:p>
    <w:p w14:paraId="12EF70C1">
      <w:pPr>
        <w:spacing w:before="120" w:line="360" w:lineRule="auto"/>
        <w:ind w:firstLine="420" w:firstLineChars="200"/>
        <w:rPr>
          <w:color w:val="000000"/>
          <w:szCs w:val="21"/>
          <w:highlight w:val="none"/>
        </w:rPr>
      </w:pPr>
      <w:r>
        <w:rPr>
          <w:rFonts w:hint="eastAsia"/>
          <w:color w:val="000000"/>
          <w:szCs w:val="21"/>
          <w:highlight w:val="none"/>
        </w:rPr>
        <w:t>1.</w:t>
      </w:r>
      <w:r>
        <w:rPr>
          <w:color w:val="000000"/>
          <w:szCs w:val="21"/>
          <w:highlight w:val="none"/>
        </w:rPr>
        <w:t>2</w:t>
      </w:r>
      <w:r>
        <w:rPr>
          <w:rFonts w:hint="eastAsia"/>
          <w:color w:val="000000"/>
          <w:szCs w:val="21"/>
          <w:highlight w:val="none"/>
        </w:rPr>
        <w:t>.</w:t>
      </w:r>
      <w:r>
        <w:rPr>
          <w:color w:val="000000"/>
          <w:szCs w:val="21"/>
          <w:highlight w:val="none"/>
        </w:rPr>
        <w:t xml:space="preserve">8 </w:t>
      </w:r>
      <w:r>
        <w:rPr>
          <w:rFonts w:hint="eastAsia"/>
          <w:color w:val="000000"/>
          <w:szCs w:val="21"/>
          <w:highlight w:val="none"/>
        </w:rPr>
        <w:t>“电子交易平台”是指以数据电文形式在线完成采购活动的信息平台，本征集文件中也称“政采云平台”。</w:t>
      </w:r>
    </w:p>
    <w:p w14:paraId="10D9379E">
      <w:pPr>
        <w:spacing w:before="120" w:line="320" w:lineRule="atLeast"/>
        <w:ind w:firstLine="422" w:firstLineChars="200"/>
        <w:outlineLvl w:val="2"/>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.3</w:t>
      </w:r>
      <w:r>
        <w:rPr>
          <w:rFonts w:hint="eastAsia"/>
          <w:b/>
          <w:bCs/>
          <w:color w:val="000000"/>
          <w:kern w:val="0"/>
          <w:szCs w:val="21"/>
          <w:highlight w:val="none"/>
        </w:rPr>
        <w:t>项目信息</w:t>
      </w:r>
    </w:p>
    <w:p w14:paraId="0B2937EC">
      <w:pPr>
        <w:spacing w:before="120" w:line="320" w:lineRule="atLeast"/>
        <w:ind w:firstLine="420" w:firstLineChars="200"/>
        <w:rPr>
          <w:color w:val="000000"/>
          <w:szCs w:val="21"/>
          <w:highlight w:val="none"/>
        </w:rPr>
      </w:pPr>
      <w:r>
        <w:rPr>
          <w:rFonts w:hint="eastAsia"/>
          <w:color w:val="000000"/>
          <w:szCs w:val="21"/>
          <w:highlight w:val="none"/>
        </w:rPr>
        <w:t>1</w:t>
      </w:r>
      <w:r>
        <w:rPr>
          <w:color w:val="000000"/>
          <w:szCs w:val="21"/>
          <w:highlight w:val="none"/>
        </w:rPr>
        <w:t>.3.1</w:t>
      </w:r>
      <w:r>
        <w:rPr>
          <w:rFonts w:hint="eastAsia"/>
          <w:color w:val="000000"/>
          <w:szCs w:val="21"/>
          <w:highlight w:val="none"/>
        </w:rPr>
        <w:t>项目名称及编号：详见供应商须知前附表</w:t>
      </w:r>
    </w:p>
    <w:p w14:paraId="3E5D8D75">
      <w:pPr>
        <w:spacing w:before="120" w:line="320" w:lineRule="atLeast"/>
        <w:ind w:firstLine="420" w:firstLineChars="200"/>
        <w:rPr>
          <w:rFonts w:hint="eastAsia"/>
          <w:color w:val="000000"/>
          <w:szCs w:val="21"/>
          <w:highlight w:val="none"/>
        </w:rPr>
      </w:pPr>
      <w:r>
        <w:rPr>
          <w:rFonts w:hint="eastAsia"/>
          <w:color w:val="000000"/>
          <w:szCs w:val="21"/>
          <w:highlight w:val="none"/>
        </w:rPr>
        <w:t>1</w:t>
      </w:r>
      <w:r>
        <w:rPr>
          <w:color w:val="000000"/>
          <w:szCs w:val="21"/>
          <w:highlight w:val="none"/>
        </w:rPr>
        <w:t>.3.2</w:t>
      </w:r>
      <w:r>
        <w:rPr>
          <w:rFonts w:hint="eastAsia"/>
          <w:color w:val="000000"/>
          <w:szCs w:val="21"/>
          <w:highlight w:val="none"/>
        </w:rPr>
        <w:t>采购方式：详见供应商须知前附表</w:t>
      </w:r>
    </w:p>
    <w:p w14:paraId="0275A7B4">
      <w:pPr>
        <w:spacing w:before="120" w:line="320" w:lineRule="atLeast"/>
        <w:ind w:firstLine="420" w:firstLineChars="200"/>
        <w:rPr>
          <w:rFonts w:hint="default" w:eastAsia="宋体"/>
          <w:color w:val="000000"/>
          <w:szCs w:val="21"/>
          <w:highlight w:val="none"/>
          <w:lang w:val="en-US" w:eastAsia="zh-CN"/>
        </w:rPr>
      </w:pPr>
      <w:r>
        <w:rPr>
          <w:rFonts w:hint="eastAsia"/>
          <w:color w:val="000000"/>
          <w:szCs w:val="21"/>
          <w:highlight w:val="none"/>
          <w:lang w:val="en-US" w:eastAsia="zh-CN"/>
        </w:rPr>
        <w:t>1.3.3框架协议期限：</w:t>
      </w:r>
      <w:r>
        <w:rPr>
          <w:rFonts w:hint="eastAsia"/>
          <w:color w:val="000000"/>
          <w:szCs w:val="21"/>
          <w:highlight w:val="none"/>
        </w:rPr>
        <w:t>详见供应商须知前附表</w:t>
      </w:r>
    </w:p>
    <w:p w14:paraId="356F4B61">
      <w:pPr>
        <w:spacing w:before="120" w:line="320" w:lineRule="atLeast"/>
        <w:ind w:firstLine="422" w:firstLineChars="200"/>
        <w:outlineLvl w:val="2"/>
        <w:rPr>
          <w:b/>
          <w:bCs/>
          <w:color w:val="000000"/>
          <w:kern w:val="0"/>
          <w:szCs w:val="21"/>
          <w:highlight w:val="none"/>
        </w:rPr>
      </w:pPr>
      <w:r>
        <w:rPr>
          <w:b/>
          <w:bCs/>
          <w:color w:val="000000"/>
          <w:kern w:val="0"/>
          <w:szCs w:val="21"/>
          <w:highlight w:val="none"/>
        </w:rPr>
        <w:t>1.4供应商资格</w:t>
      </w:r>
      <w:r>
        <w:rPr>
          <w:rFonts w:hint="eastAsia"/>
          <w:b/>
          <w:bCs/>
          <w:color w:val="000000"/>
          <w:kern w:val="0"/>
          <w:szCs w:val="21"/>
          <w:highlight w:val="none"/>
        </w:rPr>
        <w:t>要求</w:t>
      </w:r>
    </w:p>
    <w:p w14:paraId="27CD809E">
      <w:pPr>
        <w:spacing w:before="120" w:line="320" w:lineRule="atLeast"/>
        <w:ind w:firstLine="420" w:firstLineChars="200"/>
        <w:rPr>
          <w:color w:val="000000"/>
          <w:szCs w:val="21"/>
          <w:highlight w:val="none"/>
        </w:rPr>
      </w:pPr>
      <w:r>
        <w:rPr>
          <w:color w:val="000000"/>
          <w:szCs w:val="21"/>
          <w:highlight w:val="none"/>
        </w:rPr>
        <w:t>1.4.1</w:t>
      </w:r>
      <w:r>
        <w:rPr>
          <w:rFonts w:hint="eastAsia"/>
          <w:color w:val="000000"/>
          <w:szCs w:val="21"/>
          <w:highlight w:val="none"/>
        </w:rPr>
        <w:t>供应商资格要求：详见供应商须知前附表</w:t>
      </w:r>
    </w:p>
    <w:p w14:paraId="6AEC2167">
      <w:pPr>
        <w:spacing w:before="120" w:line="320" w:lineRule="atLeast"/>
        <w:ind w:firstLine="420" w:firstLineChars="200"/>
        <w:rPr>
          <w:color w:val="000000"/>
          <w:szCs w:val="21"/>
          <w:highlight w:val="none"/>
        </w:rPr>
      </w:pPr>
      <w:r>
        <w:rPr>
          <w:color w:val="000000"/>
          <w:szCs w:val="21"/>
          <w:highlight w:val="none"/>
        </w:rPr>
        <w:t>1.4.2按照征集公告的规定获得征集文件。</w:t>
      </w:r>
    </w:p>
    <w:p w14:paraId="463007ED">
      <w:pPr>
        <w:spacing w:before="120" w:line="320" w:lineRule="atLeast"/>
        <w:ind w:firstLine="420" w:firstLineChars="200"/>
        <w:rPr>
          <w:color w:val="000000"/>
          <w:szCs w:val="21"/>
          <w:highlight w:val="none"/>
        </w:rPr>
      </w:pPr>
      <w:r>
        <w:rPr>
          <w:color w:val="000000"/>
          <w:szCs w:val="21"/>
          <w:highlight w:val="none"/>
        </w:rPr>
        <w:t>1.4.3本项目是否接受联合体响应，见供应商须知前附表规定。</w:t>
      </w:r>
    </w:p>
    <w:p w14:paraId="21BF3717">
      <w:pPr>
        <w:spacing w:before="120" w:line="320" w:lineRule="atLeast"/>
        <w:ind w:firstLine="420" w:firstLineChars="200"/>
        <w:rPr>
          <w:color w:val="000000"/>
          <w:szCs w:val="21"/>
          <w:highlight w:val="none"/>
        </w:rPr>
      </w:pPr>
      <w:r>
        <w:rPr>
          <w:rFonts w:hint="eastAsia"/>
          <w:color w:val="000000"/>
          <w:szCs w:val="21"/>
          <w:highlight w:val="none"/>
        </w:rPr>
        <w:t xml:space="preserve">如接受联合体响应，联合体响应要求如下： </w:t>
      </w:r>
    </w:p>
    <w:p w14:paraId="4556127E">
      <w:pPr>
        <w:spacing w:before="120" w:line="320" w:lineRule="atLeast"/>
        <w:ind w:firstLine="420" w:firstLineChars="200"/>
        <w:rPr>
          <w:color w:val="000000"/>
          <w:szCs w:val="21"/>
          <w:highlight w:val="none"/>
        </w:rPr>
      </w:pPr>
      <w:r>
        <w:rPr>
          <w:rFonts w:hint="eastAsia"/>
          <w:color w:val="000000"/>
          <w:szCs w:val="21"/>
          <w:highlight w:val="none"/>
        </w:rPr>
        <w:t>（</w:t>
      </w:r>
      <w:r>
        <w:rPr>
          <w:color w:val="000000"/>
          <w:szCs w:val="21"/>
          <w:highlight w:val="none"/>
        </w:rPr>
        <w:t>1</w:t>
      </w:r>
      <w:r>
        <w:rPr>
          <w:rFonts w:hint="eastAsia"/>
          <w:color w:val="000000"/>
          <w:szCs w:val="21"/>
          <w:highlight w:val="none"/>
        </w:rPr>
        <w:t>）供应商可以组成一个响应联合体，以一个供应商的身份共同参加响应。联合体响应的，须提供《联合体协议书》（格式后附）</w:t>
      </w:r>
    </w:p>
    <w:p w14:paraId="10AAA67D">
      <w:pPr>
        <w:spacing w:before="120" w:line="320" w:lineRule="atLeast"/>
        <w:ind w:firstLine="420" w:firstLineChars="200"/>
        <w:rPr>
          <w:color w:val="000000"/>
          <w:szCs w:val="21"/>
          <w:highlight w:val="none"/>
        </w:rPr>
      </w:pPr>
      <w:r>
        <w:rPr>
          <w:rFonts w:hint="eastAsia"/>
          <w:color w:val="000000"/>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4EE2C161">
      <w:pPr>
        <w:spacing w:before="120" w:line="320" w:lineRule="atLeast"/>
        <w:ind w:firstLine="420" w:firstLineChars="200"/>
        <w:rPr>
          <w:color w:val="000000"/>
          <w:szCs w:val="21"/>
          <w:highlight w:val="none"/>
        </w:rPr>
      </w:pPr>
      <w:r>
        <w:rPr>
          <w:rFonts w:hint="eastAsia"/>
          <w:color w:val="000000"/>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4C35DBE4">
      <w:pPr>
        <w:spacing w:before="120" w:line="320" w:lineRule="atLeast"/>
        <w:ind w:firstLine="420" w:firstLineChars="200"/>
        <w:rPr>
          <w:color w:val="000000"/>
          <w:szCs w:val="21"/>
          <w:highlight w:val="none"/>
        </w:rPr>
      </w:pPr>
      <w:r>
        <w:rPr>
          <w:rFonts w:hint="eastAsia"/>
          <w:color w:val="000000"/>
          <w:szCs w:val="21"/>
          <w:highlight w:val="none"/>
        </w:rPr>
        <w:t>（4）以联合体形式参加政府采购活动的，联合体各方不得再单独参加或者与其他供应商另外组成联合体参加同一合同项下的政府采购活动。</w:t>
      </w:r>
    </w:p>
    <w:p w14:paraId="195AED6B">
      <w:pPr>
        <w:spacing w:before="120" w:line="320" w:lineRule="atLeast"/>
        <w:ind w:firstLine="420" w:firstLineChars="200"/>
        <w:rPr>
          <w:color w:val="000000"/>
          <w:szCs w:val="21"/>
          <w:highlight w:val="none"/>
        </w:rPr>
      </w:pPr>
      <w:r>
        <w:rPr>
          <w:rFonts w:hint="eastAsia"/>
          <w:color w:val="000000"/>
          <w:szCs w:val="21"/>
          <w:highlight w:val="none"/>
        </w:rPr>
        <w:t>（5）联合体中有同类资质的供应商按照联合体分工承担相同工作的，应当按照资质等级较低的供应商确定资质等级。</w:t>
      </w:r>
    </w:p>
    <w:p w14:paraId="4411C170">
      <w:pPr>
        <w:spacing w:before="120" w:line="320" w:lineRule="atLeast"/>
        <w:ind w:firstLine="420" w:firstLineChars="200"/>
        <w:rPr>
          <w:color w:val="000000"/>
          <w:szCs w:val="21"/>
          <w:highlight w:val="none"/>
        </w:rPr>
      </w:pPr>
      <w:r>
        <w:rPr>
          <w:rFonts w:hint="eastAsia"/>
          <w:color w:val="000000"/>
          <w:szCs w:val="21"/>
          <w:highlight w:val="none"/>
        </w:rPr>
        <w:t>（6）联合体响应业绩、履约能力按照联合体各方其中较高的一方认定并计算（征集文件其他章节另有规定的除外）。</w:t>
      </w:r>
    </w:p>
    <w:p w14:paraId="10927AFC">
      <w:pPr>
        <w:spacing w:before="120" w:line="320" w:lineRule="atLeast"/>
        <w:ind w:firstLine="420" w:firstLineChars="200"/>
        <w:rPr>
          <w:color w:val="000000"/>
          <w:szCs w:val="21"/>
          <w:highlight w:val="none"/>
        </w:rPr>
      </w:pPr>
      <w:r>
        <w:rPr>
          <w:rFonts w:hint="eastAsia"/>
          <w:color w:val="000000"/>
          <w:szCs w:val="21"/>
          <w:highlight w:val="none"/>
        </w:rPr>
        <w:t>（7）供应商为联合体的，可以由联合体中的一方或者多方共同交纳响应保证金，其交纳的保证金对联合体各方均具有约束力。</w:t>
      </w:r>
    </w:p>
    <w:p w14:paraId="66752A95">
      <w:pPr>
        <w:spacing w:before="120" w:line="320" w:lineRule="atLeast"/>
        <w:ind w:firstLine="420" w:firstLineChars="200"/>
        <w:rPr>
          <w:color w:val="000000"/>
          <w:szCs w:val="21"/>
          <w:highlight w:val="none"/>
        </w:rPr>
      </w:pPr>
      <w:r>
        <w:rPr>
          <w:rFonts w:hint="eastAsia"/>
          <w:color w:val="000000"/>
          <w:szCs w:val="21"/>
          <w:highlight w:val="none"/>
        </w:rPr>
        <w:t>（8）联合体各方均应按照征集文件的规定提交资格证明文件。</w:t>
      </w:r>
    </w:p>
    <w:p w14:paraId="49101D9B">
      <w:pPr>
        <w:spacing w:before="120" w:line="320" w:lineRule="atLeast"/>
        <w:ind w:firstLine="422" w:firstLineChars="200"/>
        <w:outlineLvl w:val="2"/>
        <w:rPr>
          <w:b/>
          <w:bCs/>
          <w:color w:val="000000"/>
          <w:kern w:val="0"/>
          <w:szCs w:val="21"/>
          <w:highlight w:val="none"/>
        </w:rPr>
      </w:pPr>
      <w:r>
        <w:rPr>
          <w:b/>
          <w:bCs/>
          <w:color w:val="000000"/>
          <w:kern w:val="0"/>
          <w:szCs w:val="21"/>
          <w:highlight w:val="none"/>
        </w:rPr>
        <w:t>1.5现场踏勘及响应费用</w:t>
      </w:r>
    </w:p>
    <w:p w14:paraId="77F01777">
      <w:pPr>
        <w:spacing w:before="120" w:line="320" w:lineRule="atLeast"/>
        <w:ind w:firstLine="420" w:firstLineChars="200"/>
        <w:rPr>
          <w:color w:val="000000"/>
          <w:szCs w:val="21"/>
          <w:highlight w:val="none"/>
        </w:rPr>
      </w:pPr>
      <w:r>
        <w:rPr>
          <w:color w:val="000000"/>
          <w:szCs w:val="21"/>
          <w:highlight w:val="none"/>
        </w:rPr>
        <w:t>1.5.1前附表如规定现场踏勘的，供应商应按规定时间地点参加踏勘。</w:t>
      </w:r>
    </w:p>
    <w:p w14:paraId="2C5DA606">
      <w:pPr>
        <w:spacing w:before="120" w:line="320" w:lineRule="atLeast"/>
        <w:ind w:firstLine="420" w:firstLineChars="200"/>
        <w:rPr>
          <w:color w:val="000000"/>
          <w:szCs w:val="21"/>
          <w:highlight w:val="none"/>
        </w:rPr>
      </w:pPr>
      <w:r>
        <w:rPr>
          <w:color w:val="000000"/>
          <w:szCs w:val="21"/>
          <w:highlight w:val="none"/>
        </w:rPr>
        <w:t>1.5.2供应商均应自行承担所有与响应有关的全部费用（征集文件有相关的规定除外）。</w:t>
      </w:r>
    </w:p>
    <w:p w14:paraId="76C4E5B3">
      <w:pPr>
        <w:spacing w:before="120" w:line="320" w:lineRule="atLeast"/>
        <w:ind w:firstLine="422" w:firstLineChars="200"/>
        <w:outlineLvl w:val="2"/>
        <w:rPr>
          <w:b/>
          <w:bCs/>
          <w:color w:val="000000"/>
          <w:kern w:val="0"/>
          <w:szCs w:val="21"/>
          <w:highlight w:val="none"/>
        </w:rPr>
      </w:pPr>
      <w:r>
        <w:rPr>
          <w:b/>
          <w:bCs/>
          <w:color w:val="000000"/>
          <w:kern w:val="0"/>
          <w:szCs w:val="21"/>
          <w:highlight w:val="none"/>
        </w:rPr>
        <w:t>1.6转包与分包</w:t>
      </w:r>
    </w:p>
    <w:p w14:paraId="2806FC12">
      <w:pPr>
        <w:spacing w:before="120" w:line="320" w:lineRule="atLeast"/>
        <w:ind w:firstLine="420" w:firstLineChars="200"/>
        <w:rPr>
          <w:color w:val="000000"/>
          <w:szCs w:val="21"/>
          <w:highlight w:val="none"/>
        </w:rPr>
      </w:pPr>
      <w:r>
        <w:rPr>
          <w:color w:val="000000"/>
          <w:szCs w:val="21"/>
          <w:highlight w:val="none"/>
        </w:rPr>
        <w:t>1.6.1如</w:t>
      </w:r>
      <w:r>
        <w:rPr>
          <w:rFonts w:hint="eastAsia"/>
          <w:color w:val="000000"/>
          <w:szCs w:val="21"/>
          <w:highlight w:val="none"/>
        </w:rPr>
        <w:t>征集文件</w:t>
      </w:r>
      <w:r>
        <w:rPr>
          <w:color w:val="000000"/>
          <w:szCs w:val="21"/>
          <w:highlight w:val="none"/>
        </w:rPr>
        <w:t>其他地方无特别规定</w:t>
      </w:r>
      <w:r>
        <w:rPr>
          <w:rFonts w:hint="eastAsia"/>
          <w:color w:val="000000"/>
          <w:szCs w:val="21"/>
          <w:highlight w:val="none"/>
        </w:rPr>
        <w:t>，</w:t>
      </w:r>
      <w:r>
        <w:rPr>
          <w:color w:val="000000"/>
          <w:szCs w:val="21"/>
          <w:highlight w:val="none"/>
        </w:rPr>
        <w:t>本项目不允许转包。</w:t>
      </w:r>
    </w:p>
    <w:p w14:paraId="0E2D0066">
      <w:pPr>
        <w:spacing w:before="120" w:line="320" w:lineRule="atLeast"/>
        <w:ind w:firstLine="420" w:firstLineChars="200"/>
        <w:rPr>
          <w:color w:val="000000"/>
          <w:szCs w:val="21"/>
          <w:highlight w:val="none"/>
        </w:rPr>
      </w:pPr>
      <w:r>
        <w:rPr>
          <w:color w:val="000000"/>
          <w:szCs w:val="21"/>
          <w:highlight w:val="none"/>
        </w:rPr>
        <w:t>1.6.2</w:t>
      </w:r>
      <w:r>
        <w:rPr>
          <w:rFonts w:hint="eastAsia"/>
          <w:color w:val="000000"/>
          <w:szCs w:val="21"/>
          <w:highlight w:val="none"/>
        </w:rPr>
        <w:t>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资质条件且不得再次分包。</w:t>
      </w:r>
    </w:p>
    <w:p w14:paraId="37255B0F">
      <w:pPr>
        <w:spacing w:before="120" w:line="276" w:lineRule="auto"/>
        <w:ind w:firstLine="422" w:firstLineChars="200"/>
        <w:outlineLvl w:val="2"/>
        <w:rPr>
          <w:b/>
          <w:bCs/>
          <w:color w:val="000000"/>
          <w:kern w:val="0"/>
          <w:szCs w:val="21"/>
          <w:highlight w:val="none"/>
        </w:rPr>
      </w:pPr>
      <w:r>
        <w:rPr>
          <w:b/>
          <w:bCs/>
          <w:color w:val="000000"/>
          <w:kern w:val="0"/>
          <w:szCs w:val="21"/>
          <w:highlight w:val="none"/>
        </w:rPr>
        <w:t>1.7特别说明</w:t>
      </w:r>
    </w:p>
    <w:p w14:paraId="6370DE35">
      <w:pPr>
        <w:spacing w:line="276" w:lineRule="auto"/>
        <w:ind w:firstLine="420" w:firstLineChars="200"/>
        <w:rPr>
          <w:color w:val="000000"/>
          <w:szCs w:val="21"/>
          <w:highlight w:val="none"/>
        </w:rPr>
      </w:pPr>
      <w:r>
        <w:rPr>
          <w:color w:val="000000"/>
          <w:szCs w:val="21"/>
          <w:highlight w:val="none"/>
        </w:rPr>
        <w:t>1.7.1 供应商应保证其提供的联系方式（电话、传真、电子邮件）有效，以保证往来函件（澄清、修改等）能及时通知供应商，并能及时反馈，否则</w:t>
      </w:r>
      <w:r>
        <w:rPr>
          <w:rFonts w:hint="eastAsia"/>
          <w:color w:val="000000"/>
          <w:szCs w:val="21"/>
          <w:highlight w:val="none"/>
        </w:rPr>
        <w:t>征集人</w:t>
      </w:r>
      <w:r>
        <w:rPr>
          <w:color w:val="000000"/>
          <w:szCs w:val="21"/>
          <w:highlight w:val="none"/>
        </w:rPr>
        <w:t>不承担由此</w:t>
      </w:r>
      <w:r>
        <w:rPr>
          <w:color w:val="000000"/>
          <w:szCs w:val="21"/>
          <w:highlight w:val="none"/>
        </w:rPr>
        <w:t>引起的一切后果。</w:t>
      </w:r>
    </w:p>
    <w:p w14:paraId="5755B155">
      <w:pPr>
        <w:spacing w:before="120" w:line="320" w:lineRule="atLeast"/>
        <w:ind w:firstLine="420" w:firstLineChars="200"/>
        <w:rPr>
          <w:color w:val="000000"/>
          <w:szCs w:val="21"/>
          <w:highlight w:val="none"/>
        </w:rPr>
      </w:pPr>
      <w:r>
        <w:rPr>
          <w:color w:val="000000"/>
          <w:szCs w:val="21"/>
          <w:highlight w:val="none"/>
        </w:rPr>
        <w:t>1.7.2供应商应仔细阅读征集文件的所有内容，按照征集文件的要求提交响应文件，并对所提供的全部资料的真实性承担法律责任。</w:t>
      </w:r>
    </w:p>
    <w:p w14:paraId="4A158E1F">
      <w:pPr>
        <w:spacing w:before="120" w:line="360" w:lineRule="auto"/>
        <w:ind w:firstLine="420" w:firstLineChars="200"/>
        <w:rPr>
          <w:color w:val="000000"/>
          <w:szCs w:val="21"/>
          <w:highlight w:val="none"/>
        </w:rPr>
      </w:pPr>
      <w:r>
        <w:rPr>
          <w:color w:val="000000"/>
          <w:szCs w:val="21"/>
          <w:highlight w:val="none"/>
        </w:rPr>
        <w:t>1.7.3供应商在响应活动中提供任何虚假材料，</w:t>
      </w:r>
      <w:r>
        <w:rPr>
          <w:rFonts w:hint="eastAsia"/>
          <w:color w:val="000000"/>
          <w:szCs w:val="21"/>
          <w:highlight w:val="none"/>
        </w:rPr>
        <w:t>将</w:t>
      </w:r>
      <w:r>
        <w:rPr>
          <w:color w:val="000000"/>
          <w:szCs w:val="21"/>
          <w:highlight w:val="none"/>
        </w:rPr>
        <w:t xml:space="preserve">报监管部门查处； </w:t>
      </w:r>
    </w:p>
    <w:p w14:paraId="1907FCE8">
      <w:pPr>
        <w:spacing w:before="120" w:line="320" w:lineRule="atLeast"/>
        <w:ind w:left="2" w:leftChars="1" w:firstLine="422" w:firstLineChars="200"/>
        <w:outlineLvl w:val="1"/>
        <w:rPr>
          <w:b/>
          <w:bCs/>
          <w:color w:val="000000"/>
          <w:kern w:val="0"/>
          <w:szCs w:val="21"/>
          <w:highlight w:val="none"/>
        </w:rPr>
      </w:pPr>
      <w:r>
        <w:rPr>
          <w:rFonts w:hint="eastAsia"/>
          <w:b/>
          <w:bCs/>
          <w:color w:val="000000"/>
          <w:kern w:val="0"/>
          <w:szCs w:val="21"/>
          <w:highlight w:val="none"/>
        </w:rPr>
        <w:t>2．第一阶段（征集阶段）</w:t>
      </w:r>
    </w:p>
    <w:p w14:paraId="59A5AF09">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2.1</w:t>
      </w:r>
      <w:r>
        <w:rPr>
          <w:b/>
          <w:bCs/>
          <w:color w:val="000000"/>
          <w:kern w:val="0"/>
          <w:szCs w:val="21"/>
          <w:highlight w:val="none"/>
        </w:rPr>
        <w:t>征集文件</w:t>
      </w:r>
    </w:p>
    <w:p w14:paraId="64403A60">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2.1</w:t>
      </w:r>
      <w:r>
        <w:rPr>
          <w:rFonts w:hint="eastAsia"/>
          <w:b/>
          <w:bCs/>
          <w:color w:val="000000"/>
          <w:kern w:val="0"/>
          <w:szCs w:val="21"/>
          <w:highlight w:val="none"/>
        </w:rPr>
        <w:t>.1</w:t>
      </w:r>
      <w:r>
        <w:rPr>
          <w:b/>
          <w:bCs/>
          <w:color w:val="000000"/>
          <w:kern w:val="0"/>
          <w:szCs w:val="21"/>
          <w:highlight w:val="none"/>
        </w:rPr>
        <w:t>征集文件的构成</w:t>
      </w:r>
    </w:p>
    <w:p w14:paraId="7DF14230">
      <w:pPr>
        <w:spacing w:before="120" w:line="320" w:lineRule="atLeast"/>
        <w:ind w:firstLine="420" w:firstLineChars="200"/>
        <w:rPr>
          <w:color w:val="000000"/>
          <w:szCs w:val="21"/>
          <w:highlight w:val="none"/>
        </w:rPr>
      </w:pPr>
      <w:r>
        <w:rPr>
          <w:color w:val="000000"/>
          <w:szCs w:val="21"/>
          <w:highlight w:val="none"/>
        </w:rPr>
        <w:t>第一章 征集公告</w:t>
      </w:r>
    </w:p>
    <w:p w14:paraId="3C35C786">
      <w:pPr>
        <w:spacing w:before="120" w:line="320" w:lineRule="atLeast"/>
        <w:ind w:firstLine="420" w:firstLineChars="200"/>
        <w:rPr>
          <w:color w:val="000000"/>
          <w:szCs w:val="21"/>
          <w:highlight w:val="none"/>
        </w:rPr>
      </w:pPr>
      <w:r>
        <w:rPr>
          <w:color w:val="000000"/>
          <w:szCs w:val="21"/>
          <w:highlight w:val="none"/>
        </w:rPr>
        <w:t>第二章 供应商须知</w:t>
      </w:r>
    </w:p>
    <w:p w14:paraId="7FEADD7D">
      <w:pPr>
        <w:spacing w:before="120" w:line="320" w:lineRule="atLeast"/>
        <w:ind w:firstLine="420" w:firstLineChars="200"/>
        <w:rPr>
          <w:color w:val="000000"/>
          <w:szCs w:val="21"/>
          <w:highlight w:val="none"/>
        </w:rPr>
      </w:pPr>
      <w:r>
        <w:rPr>
          <w:color w:val="000000"/>
          <w:szCs w:val="21"/>
          <w:highlight w:val="none"/>
        </w:rPr>
        <w:t>第三章 采购需求</w:t>
      </w:r>
    </w:p>
    <w:p w14:paraId="186003B5">
      <w:pPr>
        <w:spacing w:before="120" w:line="320" w:lineRule="atLeast"/>
        <w:ind w:firstLine="420" w:firstLineChars="200"/>
        <w:rPr>
          <w:color w:val="000000"/>
          <w:szCs w:val="21"/>
          <w:highlight w:val="none"/>
        </w:rPr>
      </w:pPr>
      <w:r>
        <w:rPr>
          <w:color w:val="000000"/>
          <w:szCs w:val="21"/>
          <w:highlight w:val="none"/>
        </w:rPr>
        <w:t>第四章 评审方法及标准</w:t>
      </w:r>
    </w:p>
    <w:p w14:paraId="75B15014">
      <w:pPr>
        <w:spacing w:before="120" w:line="320" w:lineRule="atLeast"/>
        <w:ind w:firstLine="420" w:firstLineChars="200"/>
        <w:rPr>
          <w:color w:val="000000"/>
          <w:szCs w:val="21"/>
          <w:highlight w:val="none"/>
        </w:rPr>
      </w:pPr>
      <w:r>
        <w:rPr>
          <w:rFonts w:hint="eastAsia"/>
          <w:color w:val="000000"/>
          <w:szCs w:val="21"/>
          <w:highlight w:val="none"/>
        </w:rPr>
        <w:t>第五章 框架协议格式</w:t>
      </w:r>
    </w:p>
    <w:p w14:paraId="64585F1F">
      <w:pPr>
        <w:spacing w:before="120" w:line="320" w:lineRule="atLeast"/>
        <w:ind w:firstLine="420" w:firstLineChars="200"/>
        <w:rPr>
          <w:color w:val="000000"/>
          <w:szCs w:val="21"/>
          <w:highlight w:val="none"/>
        </w:rPr>
      </w:pPr>
      <w:r>
        <w:rPr>
          <w:color w:val="000000"/>
          <w:szCs w:val="21"/>
          <w:highlight w:val="none"/>
        </w:rPr>
        <w:t>第</w:t>
      </w:r>
      <w:r>
        <w:rPr>
          <w:rFonts w:hint="eastAsia"/>
          <w:color w:val="000000"/>
          <w:szCs w:val="21"/>
          <w:highlight w:val="none"/>
        </w:rPr>
        <w:t>六</w:t>
      </w:r>
      <w:r>
        <w:rPr>
          <w:color w:val="000000"/>
          <w:szCs w:val="21"/>
          <w:highlight w:val="none"/>
        </w:rPr>
        <w:t>章 合同主要条款格式</w:t>
      </w:r>
    </w:p>
    <w:p w14:paraId="71C636A6">
      <w:pPr>
        <w:spacing w:before="120" w:line="320" w:lineRule="atLeast"/>
        <w:ind w:firstLine="420" w:firstLineChars="200"/>
        <w:rPr>
          <w:color w:val="000000"/>
          <w:szCs w:val="21"/>
          <w:highlight w:val="none"/>
        </w:rPr>
      </w:pPr>
      <w:r>
        <w:rPr>
          <w:color w:val="000000"/>
          <w:szCs w:val="21"/>
          <w:highlight w:val="none"/>
        </w:rPr>
        <w:t>第</w:t>
      </w:r>
      <w:r>
        <w:rPr>
          <w:rFonts w:hint="eastAsia"/>
          <w:color w:val="000000"/>
          <w:szCs w:val="21"/>
          <w:highlight w:val="none"/>
        </w:rPr>
        <w:t>七</w:t>
      </w:r>
      <w:r>
        <w:rPr>
          <w:color w:val="000000"/>
          <w:szCs w:val="21"/>
          <w:highlight w:val="none"/>
        </w:rPr>
        <w:t>章 响应文件格式</w:t>
      </w:r>
    </w:p>
    <w:p w14:paraId="34DF1AC5">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w:t>
      </w:r>
      <w:r>
        <w:rPr>
          <w:rFonts w:hint="eastAsia"/>
          <w:b/>
          <w:bCs/>
          <w:color w:val="000000"/>
          <w:kern w:val="0"/>
          <w:szCs w:val="21"/>
          <w:highlight w:val="none"/>
        </w:rPr>
        <w:t>1.2</w:t>
      </w:r>
      <w:r>
        <w:rPr>
          <w:b/>
          <w:bCs/>
          <w:color w:val="000000"/>
          <w:kern w:val="0"/>
          <w:szCs w:val="21"/>
          <w:highlight w:val="none"/>
        </w:rPr>
        <w:t>供应商的风险</w:t>
      </w:r>
    </w:p>
    <w:p w14:paraId="5A3723F0">
      <w:pPr>
        <w:spacing w:before="120" w:line="360" w:lineRule="auto"/>
        <w:ind w:firstLine="420" w:firstLineChars="200"/>
        <w:rPr>
          <w:color w:val="000000"/>
          <w:szCs w:val="21"/>
          <w:highlight w:val="none"/>
        </w:rPr>
      </w:pPr>
      <w:r>
        <w:rPr>
          <w:color w:val="000000"/>
          <w:szCs w:val="21"/>
          <w:highlight w:val="none"/>
        </w:rPr>
        <w:t>供应商没有按照征集文件要求提供全部资料，或者供应商没有对征集文件在各方面作出实质性响应是供应商的风险，并可能导致其响应被否决。</w:t>
      </w:r>
    </w:p>
    <w:p w14:paraId="27C96B1C">
      <w:pPr>
        <w:spacing w:before="120" w:line="320" w:lineRule="atLeast"/>
        <w:ind w:firstLine="422" w:firstLineChars="200"/>
        <w:outlineLvl w:val="3"/>
        <w:rPr>
          <w:b/>
          <w:color w:val="000000"/>
          <w:szCs w:val="21"/>
          <w:highlight w:val="none"/>
        </w:rPr>
      </w:pPr>
      <w:r>
        <w:rPr>
          <w:b/>
          <w:bCs/>
          <w:color w:val="000000"/>
          <w:kern w:val="0"/>
          <w:szCs w:val="21"/>
          <w:highlight w:val="none"/>
        </w:rPr>
        <w:t>2.</w:t>
      </w:r>
      <w:r>
        <w:rPr>
          <w:rFonts w:hint="eastAsia"/>
          <w:b/>
          <w:bCs/>
          <w:color w:val="000000"/>
          <w:kern w:val="0"/>
          <w:szCs w:val="21"/>
          <w:highlight w:val="none"/>
        </w:rPr>
        <w:t>1.3</w:t>
      </w:r>
      <w:r>
        <w:rPr>
          <w:b/>
          <w:bCs/>
          <w:color w:val="000000"/>
          <w:kern w:val="0"/>
          <w:szCs w:val="21"/>
          <w:highlight w:val="none"/>
        </w:rPr>
        <w:t>征集文件的澄清与修改</w:t>
      </w:r>
    </w:p>
    <w:p w14:paraId="35164642">
      <w:pPr>
        <w:spacing w:before="120" w:line="320" w:lineRule="atLeast"/>
        <w:ind w:firstLine="420" w:firstLineChars="200"/>
        <w:rPr>
          <w:color w:val="000000"/>
          <w:szCs w:val="21"/>
          <w:highlight w:val="none"/>
        </w:rPr>
      </w:pPr>
      <w:r>
        <w:rPr>
          <w:color w:val="000000"/>
          <w:szCs w:val="21"/>
          <w:highlight w:val="none"/>
        </w:rPr>
        <w:t>2.1.3.1</w:t>
      </w:r>
      <w:r>
        <w:rPr>
          <w:rFonts w:hint="eastAsia"/>
          <w:color w:val="000000"/>
          <w:szCs w:val="21"/>
          <w:highlight w:val="none"/>
        </w:rPr>
        <w:t>任何已获得征集文件的潜在供应商，均可</w:t>
      </w:r>
      <w:r>
        <w:rPr>
          <w:color w:val="000000"/>
          <w:szCs w:val="21"/>
          <w:highlight w:val="none"/>
        </w:rPr>
        <w:t>以书面形式要求</w:t>
      </w:r>
      <w:r>
        <w:rPr>
          <w:rFonts w:hint="eastAsia"/>
          <w:color w:val="000000"/>
          <w:szCs w:val="21"/>
          <w:highlight w:val="none"/>
        </w:rPr>
        <w:t>征集人</w:t>
      </w:r>
      <w:r>
        <w:rPr>
          <w:color w:val="000000"/>
          <w:szCs w:val="21"/>
          <w:highlight w:val="none"/>
        </w:rPr>
        <w:t>作出书面解释、澄清</w:t>
      </w:r>
      <w:r>
        <w:rPr>
          <w:rFonts w:hint="eastAsia"/>
          <w:color w:val="000000"/>
          <w:szCs w:val="21"/>
          <w:highlight w:val="none"/>
        </w:rPr>
        <w:t>。</w:t>
      </w:r>
    </w:p>
    <w:p w14:paraId="7E644BCF">
      <w:pPr>
        <w:spacing w:before="120" w:line="320" w:lineRule="atLeast"/>
        <w:ind w:firstLine="420" w:firstLineChars="200"/>
        <w:rPr>
          <w:color w:val="000000"/>
          <w:szCs w:val="21"/>
          <w:highlight w:val="none"/>
        </w:rPr>
      </w:pPr>
      <w:r>
        <w:rPr>
          <w:color w:val="000000"/>
          <w:szCs w:val="21"/>
          <w:highlight w:val="none"/>
        </w:rPr>
        <w:t>2.1.3.2</w:t>
      </w:r>
      <w:r>
        <w:rPr>
          <w:rFonts w:hint="eastAsia"/>
          <w:color w:val="000000"/>
          <w:szCs w:val="21"/>
          <w:highlight w:val="none"/>
        </w:rPr>
        <w:t>征集人对已发出的征集文件进行必要澄清或者修改的，按供应商须知前附表规定发布。</w:t>
      </w:r>
    </w:p>
    <w:p w14:paraId="12769764">
      <w:pPr>
        <w:spacing w:before="120" w:line="320" w:lineRule="atLeast"/>
        <w:ind w:firstLine="420" w:firstLineChars="200"/>
        <w:rPr>
          <w:color w:val="000000"/>
          <w:szCs w:val="21"/>
          <w:highlight w:val="none"/>
        </w:rPr>
      </w:pPr>
      <w:r>
        <w:rPr>
          <w:color w:val="000000"/>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764DEB8F">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2.2</w:t>
      </w:r>
      <w:r>
        <w:rPr>
          <w:b/>
          <w:bCs/>
          <w:color w:val="000000"/>
          <w:kern w:val="0"/>
          <w:szCs w:val="21"/>
          <w:highlight w:val="none"/>
        </w:rPr>
        <w:t>响应文件</w:t>
      </w:r>
    </w:p>
    <w:p w14:paraId="73290969">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2.2.1</w:t>
      </w:r>
      <w:r>
        <w:rPr>
          <w:b/>
          <w:bCs/>
          <w:color w:val="000000"/>
          <w:kern w:val="0"/>
          <w:szCs w:val="21"/>
          <w:highlight w:val="none"/>
        </w:rPr>
        <w:t>响应文件的组成</w:t>
      </w:r>
    </w:p>
    <w:p w14:paraId="1C3A322C">
      <w:pPr>
        <w:spacing w:before="120" w:line="320" w:lineRule="atLeast"/>
        <w:ind w:firstLine="420" w:firstLineChars="200"/>
        <w:rPr>
          <w:color w:val="000000"/>
          <w:szCs w:val="21"/>
          <w:highlight w:val="none"/>
        </w:rPr>
      </w:pPr>
      <w:r>
        <w:rPr>
          <w:color w:val="000000"/>
          <w:szCs w:val="21"/>
          <w:highlight w:val="none"/>
        </w:rPr>
        <w:t>响应文件由</w:t>
      </w:r>
      <w:r>
        <w:rPr>
          <w:color w:val="000000"/>
          <w:szCs w:val="21"/>
          <w:highlight w:val="none"/>
        </w:rPr>
        <w:t>第</w:t>
      </w:r>
      <w:r>
        <w:rPr>
          <w:rFonts w:hint="eastAsia"/>
          <w:color w:val="000000"/>
          <w:szCs w:val="21"/>
          <w:highlight w:val="none"/>
        </w:rPr>
        <w:t>七</w:t>
      </w:r>
      <w:r>
        <w:rPr>
          <w:color w:val="000000"/>
          <w:szCs w:val="21"/>
          <w:highlight w:val="none"/>
        </w:rPr>
        <w:t>章</w:t>
      </w:r>
      <w:r>
        <w:rPr>
          <w:rFonts w:hint="eastAsia"/>
          <w:color w:val="000000"/>
          <w:szCs w:val="21"/>
          <w:highlight w:val="none"/>
        </w:rPr>
        <w:t>“</w:t>
      </w:r>
      <w:r>
        <w:rPr>
          <w:color w:val="000000"/>
          <w:szCs w:val="21"/>
          <w:highlight w:val="none"/>
        </w:rPr>
        <w:t>响应文件格式</w:t>
      </w:r>
      <w:r>
        <w:rPr>
          <w:rFonts w:hint="eastAsia"/>
          <w:color w:val="000000"/>
          <w:szCs w:val="21"/>
          <w:highlight w:val="none"/>
        </w:rPr>
        <w:t>”</w:t>
      </w:r>
      <w:r>
        <w:rPr>
          <w:color w:val="000000"/>
          <w:szCs w:val="21"/>
          <w:highlight w:val="none"/>
        </w:rPr>
        <w:t>规定的</w:t>
      </w:r>
      <w:r>
        <w:rPr>
          <w:rFonts w:hint="eastAsia"/>
          <w:color w:val="000000"/>
          <w:szCs w:val="21"/>
          <w:highlight w:val="none"/>
        </w:rPr>
        <w:t>内容</w:t>
      </w:r>
      <w:r>
        <w:rPr>
          <w:color w:val="000000"/>
          <w:szCs w:val="21"/>
          <w:highlight w:val="none"/>
        </w:rPr>
        <w:t>和供应商所作的一切有效补充、修改和承诺等文件组成</w:t>
      </w:r>
      <w:r>
        <w:rPr>
          <w:rFonts w:hint="eastAsia"/>
          <w:color w:val="000000"/>
          <w:szCs w:val="21"/>
          <w:highlight w:val="none"/>
        </w:rPr>
        <w:t>。</w:t>
      </w:r>
    </w:p>
    <w:p w14:paraId="28F560B0">
      <w:pPr>
        <w:spacing w:before="120" w:line="320" w:lineRule="atLeast"/>
        <w:ind w:firstLine="422" w:firstLineChars="200"/>
        <w:outlineLvl w:val="3"/>
        <w:rPr>
          <w:b/>
          <w:bCs/>
          <w:color w:val="000000"/>
          <w:kern w:val="0"/>
          <w:szCs w:val="21"/>
          <w:highlight w:val="none"/>
        </w:rPr>
      </w:pPr>
      <w:r>
        <w:rPr>
          <w:rFonts w:hint="eastAsia"/>
          <w:b/>
          <w:color w:val="000000"/>
          <w:szCs w:val="21"/>
          <w:highlight w:val="none"/>
        </w:rPr>
        <w:t>2.2.2</w:t>
      </w:r>
      <w:r>
        <w:rPr>
          <w:b/>
          <w:bCs/>
          <w:color w:val="000000"/>
          <w:kern w:val="0"/>
          <w:szCs w:val="21"/>
          <w:highlight w:val="none"/>
        </w:rPr>
        <w:t>响应文件的语言及计量</w:t>
      </w:r>
    </w:p>
    <w:p w14:paraId="17C7D995">
      <w:pPr>
        <w:spacing w:before="120" w:line="320" w:lineRule="atLeast"/>
        <w:ind w:firstLine="420" w:firstLineChars="200"/>
        <w:rPr>
          <w:color w:val="000000"/>
          <w:szCs w:val="21"/>
          <w:highlight w:val="none"/>
        </w:rPr>
      </w:pPr>
      <w:r>
        <w:rPr>
          <w:rFonts w:hint="eastAsia"/>
          <w:color w:val="000000"/>
          <w:szCs w:val="21"/>
          <w:highlight w:val="none"/>
        </w:rPr>
        <w:t>2.2.2.1响应文件以及供应商与征集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4C484D04">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.2.2</w:t>
      </w:r>
      <w:r>
        <w:rPr>
          <w:rFonts w:hint="eastAsia"/>
          <w:color w:val="000000"/>
          <w:szCs w:val="21"/>
          <w:highlight w:val="none"/>
        </w:rPr>
        <w:t>.2</w:t>
      </w:r>
      <w:r>
        <w:rPr>
          <w:color w:val="000000"/>
          <w:szCs w:val="21"/>
          <w:highlight w:val="none"/>
        </w:rPr>
        <w:t>计量单位征集文件已有明确规定的，响应使用征集文件规定的计量单位；征集文件没有规定的，应采用中华人民共和国法定计量单位。</w:t>
      </w:r>
    </w:p>
    <w:p w14:paraId="78DD339C">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w:t>
      </w:r>
      <w:r>
        <w:rPr>
          <w:rFonts w:hint="eastAsia"/>
          <w:b/>
          <w:bCs/>
          <w:color w:val="000000"/>
          <w:kern w:val="0"/>
          <w:szCs w:val="21"/>
          <w:highlight w:val="none"/>
        </w:rPr>
        <w:t>2.</w:t>
      </w:r>
      <w:r>
        <w:rPr>
          <w:b/>
          <w:bCs/>
          <w:color w:val="000000"/>
          <w:kern w:val="0"/>
          <w:szCs w:val="21"/>
          <w:highlight w:val="none"/>
        </w:rPr>
        <w:t>3</w:t>
      </w:r>
      <w:r>
        <w:rPr>
          <w:rFonts w:hint="eastAsia"/>
          <w:b/>
          <w:bCs/>
          <w:color w:val="000000"/>
          <w:kern w:val="0"/>
          <w:szCs w:val="21"/>
          <w:highlight w:val="none"/>
        </w:rPr>
        <w:t>响应</w:t>
      </w:r>
      <w:r>
        <w:rPr>
          <w:b/>
          <w:bCs/>
          <w:color w:val="000000"/>
          <w:kern w:val="0"/>
          <w:szCs w:val="21"/>
          <w:highlight w:val="none"/>
        </w:rPr>
        <w:t>报价</w:t>
      </w:r>
    </w:p>
    <w:p w14:paraId="2BED76D8">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2.</w:t>
      </w:r>
      <w:r>
        <w:rPr>
          <w:color w:val="000000"/>
          <w:szCs w:val="21"/>
          <w:highlight w:val="none"/>
        </w:rPr>
        <w:t>3.1</w:t>
      </w:r>
      <w:r>
        <w:rPr>
          <w:rFonts w:hint="eastAsia"/>
          <w:color w:val="000000"/>
          <w:szCs w:val="21"/>
          <w:highlight w:val="none"/>
        </w:rPr>
        <w:t>响应</w:t>
      </w:r>
      <w:r>
        <w:rPr>
          <w:color w:val="000000"/>
          <w:szCs w:val="21"/>
          <w:highlight w:val="none"/>
        </w:rPr>
        <w:t>报价应按征集文件中相关附表格式填写。</w:t>
      </w:r>
    </w:p>
    <w:p w14:paraId="5D31C703">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2.</w:t>
      </w:r>
      <w:r>
        <w:rPr>
          <w:color w:val="000000"/>
          <w:szCs w:val="21"/>
          <w:highlight w:val="none"/>
        </w:rPr>
        <w:t>3.2响应文件只允许有一个报价，有选择的或有条件的报价将不予接受。</w:t>
      </w:r>
    </w:p>
    <w:p w14:paraId="221EF682">
      <w:pPr>
        <w:suppressAutoHyphens/>
        <w:spacing w:before="120" w:line="320" w:lineRule="atLeast"/>
        <w:ind w:firstLine="420" w:firstLineChars="200"/>
        <w:rPr>
          <w:color w:val="000000"/>
          <w:kern w:val="1"/>
          <w:szCs w:val="21"/>
          <w:highlight w:val="none"/>
        </w:rPr>
      </w:pPr>
      <w:r>
        <w:rPr>
          <w:rFonts w:hint="eastAsia"/>
          <w:color w:val="000000"/>
          <w:kern w:val="1"/>
          <w:szCs w:val="21"/>
          <w:highlight w:val="none"/>
        </w:rPr>
        <w:t>2.2.</w:t>
      </w:r>
      <w:r>
        <w:rPr>
          <w:color w:val="000000"/>
          <w:kern w:val="1"/>
          <w:szCs w:val="21"/>
          <w:highlight w:val="none"/>
        </w:rPr>
        <w:t>3.3对于本文件中未列明，而供应商认为必需的费用也需列入</w:t>
      </w:r>
      <w:r>
        <w:rPr>
          <w:rFonts w:hint="eastAsia"/>
          <w:color w:val="000000"/>
          <w:kern w:val="1"/>
          <w:szCs w:val="21"/>
          <w:highlight w:val="none"/>
        </w:rPr>
        <w:t>响应报价</w:t>
      </w:r>
      <w:r>
        <w:rPr>
          <w:color w:val="000000"/>
          <w:kern w:val="1"/>
          <w:szCs w:val="21"/>
          <w:highlight w:val="none"/>
        </w:rPr>
        <w:t>。在合同实施时，采购人将不予支付供应商没有列入的项目费用，并认为此项目的费用已包括在</w:t>
      </w:r>
      <w:r>
        <w:rPr>
          <w:rFonts w:hint="eastAsia"/>
          <w:color w:val="000000"/>
          <w:kern w:val="1"/>
          <w:szCs w:val="21"/>
          <w:highlight w:val="none"/>
        </w:rPr>
        <w:t>响应报价</w:t>
      </w:r>
      <w:r>
        <w:rPr>
          <w:color w:val="000000"/>
          <w:kern w:val="1"/>
          <w:szCs w:val="21"/>
          <w:highlight w:val="none"/>
        </w:rPr>
        <w:t>中。</w:t>
      </w:r>
    </w:p>
    <w:p w14:paraId="0E992604">
      <w:pPr>
        <w:suppressAutoHyphens/>
        <w:spacing w:before="120" w:line="320" w:lineRule="atLeast"/>
        <w:ind w:firstLine="420" w:firstLineChars="200"/>
        <w:rPr>
          <w:b/>
          <w:bCs/>
          <w:color w:val="000000"/>
          <w:kern w:val="1"/>
          <w:szCs w:val="21"/>
          <w:highlight w:val="none"/>
        </w:rPr>
      </w:pPr>
      <w:r>
        <w:rPr>
          <w:rFonts w:hint="eastAsia"/>
          <w:color w:val="000000"/>
          <w:kern w:val="1"/>
          <w:szCs w:val="21"/>
          <w:highlight w:val="none"/>
        </w:rPr>
        <w:t>2</w:t>
      </w:r>
      <w:r>
        <w:rPr>
          <w:color w:val="000000"/>
          <w:kern w:val="1"/>
          <w:szCs w:val="21"/>
          <w:highlight w:val="none"/>
        </w:rPr>
        <w:t>.</w:t>
      </w:r>
      <w:r>
        <w:rPr>
          <w:rFonts w:hint="eastAsia"/>
          <w:color w:val="000000"/>
          <w:kern w:val="1"/>
          <w:szCs w:val="21"/>
          <w:highlight w:val="none"/>
        </w:rPr>
        <w:t>2.</w:t>
      </w:r>
      <w:r>
        <w:rPr>
          <w:color w:val="000000"/>
          <w:kern w:val="1"/>
          <w:szCs w:val="21"/>
          <w:highlight w:val="none"/>
        </w:rPr>
        <w:t>3.4</w:t>
      </w:r>
      <w:r>
        <w:rPr>
          <w:rFonts w:hint="eastAsia"/>
          <w:color w:val="000000"/>
          <w:kern w:val="1"/>
          <w:szCs w:val="21"/>
          <w:highlight w:val="none"/>
        </w:rPr>
        <w:t>采购人不接受供应商给予的赠品、回扣或者与采购无关的其他商品、服务。</w:t>
      </w:r>
    </w:p>
    <w:p w14:paraId="2B52E965">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w:t>
      </w:r>
      <w:r>
        <w:rPr>
          <w:rFonts w:hint="eastAsia"/>
          <w:b/>
          <w:bCs/>
          <w:color w:val="000000"/>
          <w:kern w:val="0"/>
          <w:szCs w:val="21"/>
          <w:highlight w:val="none"/>
        </w:rPr>
        <w:t>2.</w:t>
      </w:r>
      <w:r>
        <w:rPr>
          <w:b/>
          <w:bCs/>
          <w:color w:val="000000"/>
          <w:kern w:val="0"/>
          <w:szCs w:val="21"/>
          <w:highlight w:val="none"/>
        </w:rPr>
        <w:t>4</w:t>
      </w:r>
      <w:r>
        <w:rPr>
          <w:rFonts w:hint="eastAsia"/>
          <w:b/>
          <w:bCs/>
          <w:color w:val="000000"/>
          <w:kern w:val="0"/>
          <w:szCs w:val="21"/>
          <w:highlight w:val="none"/>
        </w:rPr>
        <w:t>响应</w:t>
      </w:r>
      <w:r>
        <w:rPr>
          <w:b/>
          <w:bCs/>
          <w:color w:val="000000"/>
          <w:kern w:val="0"/>
          <w:szCs w:val="21"/>
          <w:highlight w:val="none"/>
        </w:rPr>
        <w:t>有效期</w:t>
      </w:r>
    </w:p>
    <w:p w14:paraId="578A1A03">
      <w:pPr>
        <w:spacing w:before="120" w:line="360" w:lineRule="auto"/>
        <w:ind w:firstLine="420" w:firstLineChars="200"/>
        <w:rPr>
          <w:color w:val="000000"/>
          <w:szCs w:val="21"/>
          <w:highlight w:val="none"/>
        </w:rPr>
      </w:pPr>
      <w:r>
        <w:rPr>
          <w:rFonts w:hint="eastAsia"/>
          <w:color w:val="000000"/>
          <w:szCs w:val="21"/>
          <w:highlight w:val="none"/>
        </w:rPr>
        <w:t>2</w:t>
      </w:r>
      <w:r>
        <w:rPr>
          <w:color w:val="000000"/>
          <w:szCs w:val="21"/>
          <w:highlight w:val="none"/>
        </w:rPr>
        <w:t>.2.4.1如征集文件其他地方无特别规定</w:t>
      </w:r>
      <w:r>
        <w:rPr>
          <w:rFonts w:hint="eastAsia"/>
          <w:color w:val="000000"/>
          <w:szCs w:val="21"/>
          <w:highlight w:val="none"/>
        </w:rPr>
        <w:t>，响应</w:t>
      </w:r>
      <w:r>
        <w:rPr>
          <w:color w:val="000000"/>
          <w:szCs w:val="21"/>
          <w:highlight w:val="none"/>
        </w:rPr>
        <w:t>有效期则为响应截止之日起90天</w:t>
      </w:r>
      <w:r>
        <w:rPr>
          <w:rFonts w:hint="eastAsia"/>
          <w:color w:val="000000"/>
          <w:szCs w:val="21"/>
          <w:highlight w:val="none"/>
        </w:rPr>
        <w:t>。</w:t>
      </w:r>
      <w:r>
        <w:rPr>
          <w:color w:val="000000"/>
          <w:szCs w:val="21"/>
          <w:highlight w:val="none"/>
        </w:rPr>
        <w:t>在</w:t>
      </w:r>
      <w:r>
        <w:rPr>
          <w:rFonts w:hint="eastAsia"/>
          <w:color w:val="000000"/>
          <w:szCs w:val="21"/>
          <w:highlight w:val="none"/>
        </w:rPr>
        <w:t>响应</w:t>
      </w:r>
      <w:r>
        <w:rPr>
          <w:color w:val="000000"/>
          <w:szCs w:val="21"/>
          <w:highlight w:val="none"/>
        </w:rPr>
        <w:t>有</w:t>
      </w:r>
      <w:r>
        <w:rPr>
          <w:color w:val="000000"/>
          <w:szCs w:val="21"/>
          <w:highlight w:val="none"/>
        </w:rPr>
        <w:t>效期内响应文件应保持有效。有效期不足的响应文件将被否决。</w:t>
      </w:r>
    </w:p>
    <w:p w14:paraId="50A55B13">
      <w:pPr>
        <w:spacing w:before="120" w:line="360" w:lineRule="auto"/>
        <w:ind w:firstLine="420" w:firstLineChars="200"/>
        <w:rPr>
          <w:color w:val="000000"/>
          <w:szCs w:val="21"/>
          <w:highlight w:val="none"/>
        </w:rPr>
      </w:pPr>
      <w:r>
        <w:rPr>
          <w:rFonts w:hint="eastAsia"/>
          <w:color w:val="000000"/>
          <w:szCs w:val="21"/>
          <w:highlight w:val="none"/>
        </w:rPr>
        <w:t>2</w:t>
      </w:r>
      <w:r>
        <w:rPr>
          <w:color w:val="000000"/>
          <w:szCs w:val="21"/>
          <w:highlight w:val="none"/>
        </w:rPr>
        <w:t>.2.4.2在特殊情况下，</w:t>
      </w:r>
      <w:r>
        <w:rPr>
          <w:rFonts w:hint="eastAsia"/>
          <w:color w:val="000000"/>
          <w:szCs w:val="21"/>
          <w:highlight w:val="none"/>
        </w:rPr>
        <w:t>征集人</w:t>
      </w:r>
      <w:r>
        <w:rPr>
          <w:color w:val="000000"/>
          <w:szCs w:val="21"/>
          <w:highlight w:val="none"/>
        </w:rPr>
        <w:t>可与供应商协商延长响应文件的有效期，这种要求和答复均以书面形式进行。</w:t>
      </w:r>
      <w:r>
        <w:rPr>
          <w:rFonts w:hint="eastAsia"/>
          <w:color w:val="000000"/>
          <w:szCs w:val="21"/>
          <w:highlight w:val="none"/>
        </w:rPr>
        <w:t>供应商应对此作出承诺，承诺书内容需加盖公章，且有法定代表人签字或盖章。</w:t>
      </w:r>
    </w:p>
    <w:p w14:paraId="436E1DC9">
      <w:pPr>
        <w:spacing w:before="120" w:line="360" w:lineRule="auto"/>
        <w:ind w:firstLine="420" w:firstLineChars="200"/>
        <w:rPr>
          <w:color w:val="000000"/>
          <w:szCs w:val="21"/>
          <w:highlight w:val="none"/>
        </w:rPr>
      </w:pPr>
      <w:r>
        <w:rPr>
          <w:rFonts w:hint="eastAsia"/>
          <w:color w:val="000000"/>
          <w:szCs w:val="21"/>
          <w:highlight w:val="none"/>
        </w:rPr>
        <w:t>2</w:t>
      </w:r>
      <w:r>
        <w:rPr>
          <w:color w:val="000000"/>
          <w:szCs w:val="21"/>
          <w:highlight w:val="none"/>
        </w:rPr>
        <w:t>.2.4.3</w:t>
      </w:r>
      <w:r>
        <w:rPr>
          <w:rFonts w:hint="eastAsia"/>
          <w:color w:val="000000"/>
          <w:szCs w:val="21"/>
          <w:highlight w:val="none"/>
        </w:rPr>
        <w:t>供应商同意延长的响应有效期的，但不得要求或被允许修改或撤销其响应文件；供应商拒绝延长的，其响应无效。</w:t>
      </w:r>
    </w:p>
    <w:p w14:paraId="1A0EF1B5">
      <w:pPr>
        <w:spacing w:before="120" w:line="320" w:lineRule="atLeast"/>
        <w:ind w:firstLine="422" w:firstLineChars="200"/>
        <w:outlineLvl w:val="3"/>
        <w:rPr>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.2.5</w:t>
      </w:r>
      <w:r>
        <w:rPr>
          <w:rFonts w:hint="eastAsia"/>
          <w:b/>
          <w:bCs/>
          <w:color w:val="000000"/>
          <w:kern w:val="0"/>
          <w:szCs w:val="21"/>
          <w:highlight w:val="none"/>
        </w:rPr>
        <w:t>响应保证金：</w:t>
      </w:r>
      <w:r>
        <w:rPr>
          <w:rFonts w:hint="eastAsia"/>
          <w:bCs/>
          <w:color w:val="000000"/>
          <w:kern w:val="0"/>
          <w:szCs w:val="21"/>
          <w:highlight w:val="none"/>
        </w:rPr>
        <w:t>详见供应商须知前附表。</w:t>
      </w:r>
    </w:p>
    <w:p w14:paraId="161A5E64">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.2.6响应文件的编制要求</w:t>
      </w:r>
    </w:p>
    <w:p w14:paraId="1BCBB7A2">
      <w:pPr>
        <w:spacing w:before="120" w:line="320" w:lineRule="atLeast"/>
        <w:ind w:firstLine="420" w:firstLineChars="200"/>
        <w:rPr>
          <w:b/>
          <w:bCs/>
          <w:color w:val="000000"/>
          <w:kern w:val="0"/>
          <w:szCs w:val="21"/>
          <w:highlight w:val="none"/>
        </w:rPr>
      </w:pPr>
      <w:r>
        <w:rPr>
          <w:rFonts w:hint="eastAsia"/>
          <w:color w:val="000000"/>
          <w:kern w:val="0"/>
          <w:szCs w:val="21"/>
          <w:highlight w:val="none"/>
        </w:rPr>
        <w:t>2</w:t>
      </w:r>
      <w:r>
        <w:rPr>
          <w:color w:val="000000"/>
          <w:kern w:val="0"/>
          <w:szCs w:val="21"/>
          <w:highlight w:val="none"/>
        </w:rPr>
        <w:t>.2.6.1</w:t>
      </w:r>
      <w:r>
        <w:rPr>
          <w:rFonts w:hint="eastAsia"/>
          <w:color w:val="000000"/>
          <w:szCs w:val="21"/>
          <w:highlight w:val="none"/>
        </w:rPr>
        <w:t>供应商应先安装“政采云电子投标客户端” （请自行前往“政采云”平台进行下载），通过C</w:t>
      </w:r>
      <w:r>
        <w:rPr>
          <w:color w:val="000000"/>
          <w:szCs w:val="21"/>
          <w:highlight w:val="none"/>
        </w:rPr>
        <w:t>A</w:t>
      </w:r>
      <w:r>
        <w:rPr>
          <w:rFonts w:hint="eastAsia"/>
          <w:color w:val="000000"/>
          <w:szCs w:val="21"/>
          <w:highlight w:val="none"/>
        </w:rPr>
        <w:t>登录客户端制作响应文件。</w:t>
      </w:r>
    </w:p>
    <w:p w14:paraId="789B6046">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.2.6.2供应商应按本征集文件规定的格式和顺序编制、装订响应文件并编制完整的页码、目录，响应文件内容不完整、编排混乱导致响应文件被误读、漏读或者查找不到相关内容</w:t>
      </w:r>
      <w:r>
        <w:rPr>
          <w:rFonts w:hint="eastAsia"/>
          <w:color w:val="000000"/>
          <w:szCs w:val="21"/>
          <w:highlight w:val="none"/>
        </w:rPr>
        <w:t>的，</w:t>
      </w:r>
      <w:r>
        <w:rPr>
          <w:color w:val="000000"/>
          <w:szCs w:val="21"/>
          <w:highlight w:val="none"/>
        </w:rPr>
        <w:t>由供应商自行负责。</w:t>
      </w:r>
    </w:p>
    <w:p w14:paraId="6EF9CD38">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.2.6.3</w:t>
      </w:r>
      <w:r>
        <w:rPr>
          <w:rFonts w:hint="eastAsia"/>
          <w:color w:val="000000"/>
          <w:szCs w:val="21"/>
          <w:highlight w:val="none"/>
        </w:rPr>
        <w:t>响应文件按照征集文件第七章格式要求在规定位置进行签署、盖章。供应商的响应文件未按照征集文件要求签署、盖章的，其响应无效。</w:t>
      </w:r>
    </w:p>
    <w:p w14:paraId="39A7372B">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.2.6.4</w:t>
      </w:r>
      <w:r>
        <w:rPr>
          <w:rFonts w:hint="eastAsia"/>
          <w:color w:val="000000"/>
          <w:szCs w:val="21"/>
          <w:highlight w:val="none"/>
        </w:rPr>
        <w:t>为确保网上操作合法、有效和安全，供应商应当在响应文件递交截止时间前完成在“政采云”平台的身份认证，确保在电子响应过程中能够对相关数据电文进行加密和使用电子签名。</w:t>
      </w:r>
    </w:p>
    <w:p w14:paraId="31FC563C">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.2.6.5</w:t>
      </w:r>
      <w:r>
        <w:rPr>
          <w:rFonts w:hint="eastAsia"/>
          <w:color w:val="000000"/>
          <w:szCs w:val="21"/>
          <w:highlight w:val="none"/>
        </w:rPr>
        <w:t>响应文件中标注的供应商名称应与主体资格证明（如营业执照、事业单位法人证书、执业许可证、个体工商户营业执照、自然人身份证等）和公章/电子签章一致，否则作无效响应处理。</w:t>
      </w:r>
    </w:p>
    <w:p w14:paraId="0E5A9AA0">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.2.7响应文件的递交、修改和撤回</w:t>
      </w:r>
    </w:p>
    <w:p w14:paraId="2A0ECCC8">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.2.7.1</w:t>
      </w:r>
      <w:r>
        <w:rPr>
          <w:rFonts w:hint="eastAsia"/>
          <w:color w:val="000000"/>
          <w:szCs w:val="21"/>
          <w:highlight w:val="none"/>
        </w:rPr>
        <w:t xml:space="preserve">供应商必须在供应商须知前附表规定的响应文件截标时间前提交电子版响应文件。电子响应文件应在制作完成后，在响应文件提交截止时间前通过有效数字证书（CA认证锁）进行电子签章、加密，然后通过网络将加密的电子响应文件递交至“政采云平台”。 </w:t>
      </w:r>
    </w:p>
    <w:p w14:paraId="7AFFA72C">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.2.7.2</w:t>
      </w:r>
      <w:r>
        <w:rPr>
          <w:rFonts w:hint="eastAsia"/>
          <w:color w:val="000000"/>
          <w:szCs w:val="21"/>
          <w:highlight w:val="none"/>
        </w:rPr>
        <w:t xml:space="preserve">未在规定时间内提交或者未按照征集文件要求签章、加密的电子响应文件，“政采云”平台将拒收。 </w:t>
      </w:r>
    </w:p>
    <w:p w14:paraId="2030B23E">
      <w:pPr>
        <w:spacing w:before="120" w:line="320" w:lineRule="atLeast"/>
        <w:ind w:left="2" w:leftChars="1" w:firstLine="420" w:firstLineChars="200"/>
        <w:rPr>
          <w:color w:val="000000"/>
          <w:szCs w:val="21"/>
          <w:highlight w:val="none"/>
        </w:rPr>
      </w:pPr>
      <w:r>
        <w:rPr>
          <w:color w:val="000000"/>
          <w:szCs w:val="21"/>
          <w:highlight w:val="none"/>
        </w:rPr>
        <w:t>2.2.7.3</w:t>
      </w:r>
      <w:r>
        <w:rPr>
          <w:rFonts w:hint="eastAsia"/>
          <w:color w:val="000000"/>
          <w:szCs w:val="21"/>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6C4F2831">
      <w:pPr>
        <w:spacing w:before="120" w:line="320" w:lineRule="atLeast"/>
        <w:ind w:left="2" w:leftChars="1" w:firstLine="420" w:firstLineChars="200"/>
        <w:rPr>
          <w:color w:val="000000"/>
          <w:szCs w:val="21"/>
          <w:highlight w:val="none"/>
        </w:rPr>
      </w:pPr>
      <w:r>
        <w:rPr>
          <w:color w:val="000000"/>
          <w:szCs w:val="21"/>
          <w:highlight w:val="none"/>
        </w:rPr>
        <w:t>2.2.7.</w:t>
      </w:r>
      <w:r>
        <w:rPr>
          <w:rFonts w:hint="eastAsia"/>
          <w:color w:val="000000"/>
          <w:szCs w:val="21"/>
          <w:highlight w:val="none"/>
          <w:lang w:val="en-US" w:eastAsia="zh-CN"/>
        </w:rPr>
        <w:t>4</w:t>
      </w:r>
      <w:r>
        <w:rPr>
          <w:rFonts w:hint="eastAsia"/>
          <w:color w:val="000000"/>
          <w:szCs w:val="21"/>
          <w:highlight w:val="none"/>
        </w:rPr>
        <w:t>在响应文件提交截止时间前，除供应商补充、修改或者撤回响应文件外，任何单位和个人不得解密或提取响应文件。</w:t>
      </w:r>
    </w:p>
    <w:p w14:paraId="0AF00ACD">
      <w:pPr>
        <w:spacing w:before="120" w:line="320" w:lineRule="atLeast"/>
        <w:ind w:left="2" w:leftChars="1" w:firstLine="420" w:firstLineChars="200"/>
        <w:rPr>
          <w:color w:val="000000"/>
          <w:szCs w:val="21"/>
          <w:highlight w:val="none"/>
        </w:rPr>
      </w:pPr>
      <w:r>
        <w:rPr>
          <w:color w:val="000000"/>
          <w:szCs w:val="21"/>
          <w:highlight w:val="none"/>
        </w:rPr>
        <w:t>2.2.7.</w:t>
      </w:r>
      <w:r>
        <w:rPr>
          <w:rFonts w:hint="eastAsia"/>
          <w:color w:val="000000"/>
          <w:szCs w:val="21"/>
          <w:highlight w:val="none"/>
          <w:lang w:val="en-US" w:eastAsia="zh-CN"/>
        </w:rPr>
        <w:t>5</w:t>
      </w:r>
      <w:r>
        <w:rPr>
          <w:rFonts w:hint="eastAsia"/>
          <w:color w:val="000000"/>
          <w:szCs w:val="21"/>
          <w:highlight w:val="none"/>
        </w:rPr>
        <w:t>在响应文件提交截止时间止提交电子版响应文件的供应商不足</w:t>
      </w:r>
      <w:r>
        <w:rPr>
          <w:color w:val="000000"/>
          <w:szCs w:val="21"/>
          <w:highlight w:val="none"/>
        </w:rPr>
        <w:t>2</w:t>
      </w:r>
      <w:r>
        <w:rPr>
          <w:rFonts w:hint="eastAsia"/>
          <w:color w:val="000000"/>
          <w:szCs w:val="21"/>
          <w:highlight w:val="none"/>
        </w:rPr>
        <w:t>家时，电子版响应文件由征集人在“政采云”平台操作退回，除此之外征集人对已提交的响应文件概不退回。</w:t>
      </w:r>
    </w:p>
    <w:p w14:paraId="3D1F1B75">
      <w:pPr>
        <w:spacing w:before="120" w:line="320" w:lineRule="atLeast"/>
        <w:ind w:left="2" w:leftChars="1" w:firstLine="420" w:firstLineChars="200"/>
        <w:rPr>
          <w:color w:val="000000"/>
          <w:szCs w:val="21"/>
          <w:highlight w:val="none"/>
        </w:rPr>
      </w:pPr>
      <w:r>
        <w:rPr>
          <w:color w:val="000000"/>
          <w:szCs w:val="21"/>
          <w:highlight w:val="none"/>
        </w:rPr>
        <w:t>2.2.7.</w:t>
      </w:r>
      <w:r>
        <w:rPr>
          <w:rFonts w:hint="eastAsia"/>
          <w:color w:val="000000"/>
          <w:szCs w:val="21"/>
          <w:highlight w:val="none"/>
          <w:lang w:val="en-US" w:eastAsia="zh-CN"/>
        </w:rPr>
        <w:t>6</w:t>
      </w:r>
      <w:r>
        <w:rPr>
          <w:rFonts w:hint="eastAsia"/>
          <w:color w:val="000000"/>
          <w:szCs w:val="21"/>
          <w:highlight w:val="none"/>
        </w:rPr>
        <w:t>征集文件未允许提供备选文件，但存在</w:t>
      </w:r>
      <w:r>
        <w:rPr>
          <w:rFonts w:hint="eastAsia"/>
          <w:color w:val="000000"/>
          <w:highlight w:val="none"/>
        </w:rPr>
        <w:t>同</w:t>
      </w:r>
      <w:r>
        <w:rPr>
          <w:rFonts w:hint="eastAsia"/>
          <w:color w:val="000000"/>
          <w:szCs w:val="21"/>
          <w:highlight w:val="none"/>
        </w:rPr>
        <w:t>一供应商提交两个或以上不同的响应文件，</w:t>
      </w:r>
      <w:r>
        <w:rPr>
          <w:rFonts w:hint="eastAsia"/>
          <w:b/>
          <w:bCs/>
          <w:color w:val="000000"/>
          <w:szCs w:val="21"/>
          <w:highlight w:val="none"/>
        </w:rPr>
        <w:t>其响应无效。</w:t>
      </w:r>
      <w:r>
        <w:rPr>
          <w:rFonts w:hint="eastAsia"/>
          <w:color w:val="000000"/>
          <w:szCs w:val="21"/>
          <w:highlight w:val="none"/>
        </w:rPr>
        <w:t>供应商在同一响应文件中对某项技术、商务要求提供有选择性的响应参数或方案等同于提交两个或以上不同的响应文件。</w:t>
      </w:r>
    </w:p>
    <w:p w14:paraId="50DCC1EE">
      <w:pPr>
        <w:spacing w:before="120" w:line="320" w:lineRule="atLeast"/>
        <w:ind w:left="2" w:leftChars="1" w:firstLine="422" w:firstLineChars="200"/>
        <w:outlineLvl w:val="2"/>
        <w:rPr>
          <w:b/>
          <w:bCs/>
          <w:color w:val="000000"/>
          <w:kern w:val="0"/>
          <w:szCs w:val="21"/>
          <w:highlight w:val="none"/>
        </w:rPr>
      </w:pPr>
      <w:r>
        <w:rPr>
          <w:b/>
          <w:bCs/>
          <w:color w:val="000000"/>
          <w:kern w:val="0"/>
          <w:szCs w:val="21"/>
          <w:highlight w:val="none"/>
        </w:rPr>
        <w:t>2.3</w:t>
      </w:r>
      <w:r>
        <w:rPr>
          <w:rFonts w:hint="eastAsia"/>
          <w:b/>
          <w:bCs/>
          <w:color w:val="000000"/>
          <w:kern w:val="0"/>
          <w:szCs w:val="21"/>
          <w:highlight w:val="none"/>
        </w:rPr>
        <w:t>开标</w:t>
      </w:r>
    </w:p>
    <w:p w14:paraId="3360B674">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2.3.1</w:t>
      </w:r>
      <w:r>
        <w:rPr>
          <w:rFonts w:hint="eastAsia"/>
          <w:b/>
          <w:bCs/>
          <w:color w:val="000000"/>
          <w:kern w:val="0"/>
          <w:szCs w:val="21"/>
          <w:highlight w:val="none"/>
        </w:rPr>
        <w:t>开标</w:t>
      </w:r>
      <w:r>
        <w:rPr>
          <w:b/>
          <w:bCs/>
          <w:color w:val="000000"/>
          <w:kern w:val="0"/>
          <w:szCs w:val="21"/>
          <w:highlight w:val="none"/>
        </w:rPr>
        <w:t>准备</w:t>
      </w:r>
    </w:p>
    <w:p w14:paraId="58BE0840">
      <w:pPr>
        <w:spacing w:before="120" w:line="276" w:lineRule="auto"/>
        <w:ind w:firstLine="420" w:firstLineChars="200"/>
        <w:rPr>
          <w:color w:val="000000"/>
          <w:szCs w:val="21"/>
          <w:highlight w:val="none"/>
        </w:rPr>
      </w:pPr>
      <w:r>
        <w:rPr>
          <w:color w:val="000000"/>
          <w:szCs w:val="21"/>
          <w:highlight w:val="none"/>
        </w:rPr>
        <w:t>本项目</w:t>
      </w:r>
      <w:r>
        <w:rPr>
          <w:rFonts w:hint="eastAsia"/>
          <w:color w:val="000000"/>
          <w:szCs w:val="21"/>
          <w:highlight w:val="none"/>
        </w:rPr>
        <w:t>响应文件提交</w:t>
      </w:r>
      <w:r>
        <w:rPr>
          <w:color w:val="000000"/>
          <w:szCs w:val="21"/>
          <w:highlight w:val="none"/>
        </w:rPr>
        <w:t>截止时间及地点见供应商须知前附表规定。</w:t>
      </w:r>
    </w:p>
    <w:p w14:paraId="4B9D0A39">
      <w:pPr>
        <w:autoSpaceDE w:val="0"/>
        <w:autoSpaceDN w:val="0"/>
        <w:adjustRightInd w:val="0"/>
        <w:spacing w:line="276" w:lineRule="auto"/>
        <w:ind w:firstLine="420" w:firstLineChars="200"/>
        <w:rPr>
          <w:rFonts w:hint="eastAsia"/>
          <w:color w:val="000000"/>
          <w:szCs w:val="21"/>
          <w:highlight w:val="none"/>
        </w:rPr>
      </w:pPr>
      <w:r>
        <w:rPr>
          <w:rFonts w:hint="eastAsia"/>
          <w:color w:val="000000"/>
          <w:szCs w:val="21"/>
          <w:highlight w:val="none"/>
        </w:rPr>
        <w:t>响应文件应加密并在提交截止时间前通过政府采购云平台在线提交。</w:t>
      </w:r>
    </w:p>
    <w:p w14:paraId="57D1DAE2">
      <w:pPr>
        <w:autoSpaceDE w:val="0"/>
        <w:autoSpaceDN w:val="0"/>
        <w:adjustRightInd w:val="0"/>
        <w:spacing w:line="276" w:lineRule="auto"/>
        <w:ind w:firstLine="420" w:firstLineChars="200"/>
        <w:rPr>
          <w:color w:val="000000"/>
          <w:szCs w:val="21"/>
          <w:highlight w:val="none"/>
        </w:rPr>
      </w:pPr>
      <w:r>
        <w:rPr>
          <w:rFonts w:hint="eastAsia"/>
          <w:color w:val="000000"/>
          <w:szCs w:val="21"/>
          <w:highlight w:val="none"/>
        </w:rPr>
        <w:t>征集人将按照征集文件规定的时间通过“政采云”平台组织线上开标活动、开启响应文件，所有供应商均应当准时在线参加。供应商</w:t>
      </w:r>
      <w:r>
        <w:rPr>
          <w:color w:val="000000"/>
          <w:szCs w:val="21"/>
          <w:highlight w:val="none"/>
        </w:rPr>
        <w:t>如不</w:t>
      </w:r>
      <w:r>
        <w:rPr>
          <w:rFonts w:hint="eastAsia"/>
          <w:color w:val="000000"/>
          <w:szCs w:val="21"/>
          <w:highlight w:val="none"/>
        </w:rPr>
        <w:t>参加开</w:t>
      </w:r>
      <w:r>
        <w:rPr>
          <w:color w:val="000000"/>
          <w:szCs w:val="21"/>
          <w:highlight w:val="none"/>
        </w:rPr>
        <w:t>标大会的，</w:t>
      </w:r>
      <w:r>
        <w:rPr>
          <w:rFonts w:hint="eastAsia"/>
          <w:color w:val="000000"/>
          <w:szCs w:val="21"/>
          <w:highlight w:val="none"/>
        </w:rPr>
        <w:t>视同认可开标结果，</w:t>
      </w:r>
      <w:r>
        <w:rPr>
          <w:color w:val="000000"/>
          <w:szCs w:val="21"/>
          <w:highlight w:val="none"/>
        </w:rPr>
        <w:t>事后不得对采购相关人员、</w:t>
      </w:r>
      <w:r>
        <w:rPr>
          <w:rFonts w:hint="eastAsia"/>
          <w:color w:val="000000"/>
          <w:szCs w:val="21"/>
          <w:highlight w:val="none"/>
        </w:rPr>
        <w:t>开</w:t>
      </w:r>
      <w:r>
        <w:rPr>
          <w:color w:val="000000"/>
          <w:szCs w:val="21"/>
          <w:highlight w:val="none"/>
        </w:rPr>
        <w:t>标过程和</w:t>
      </w:r>
      <w:r>
        <w:rPr>
          <w:rFonts w:hint="eastAsia"/>
          <w:color w:val="000000"/>
          <w:szCs w:val="21"/>
          <w:highlight w:val="none"/>
        </w:rPr>
        <w:t>开</w:t>
      </w:r>
      <w:r>
        <w:rPr>
          <w:color w:val="000000"/>
          <w:szCs w:val="21"/>
          <w:highlight w:val="none"/>
        </w:rPr>
        <w:t>标结果提出异议</w:t>
      </w:r>
      <w:r>
        <w:rPr>
          <w:rFonts w:hint="eastAsia"/>
          <w:color w:val="000000"/>
          <w:szCs w:val="21"/>
          <w:highlight w:val="none"/>
        </w:rPr>
        <w:t>，同时供应商因未在线参加开标而导致响应文件无法按时解密等一切后果由供应商自己承担。</w:t>
      </w:r>
    </w:p>
    <w:p w14:paraId="1DCA6B2F">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2.3.2</w:t>
      </w:r>
      <w:r>
        <w:rPr>
          <w:rFonts w:hint="eastAsia"/>
          <w:b/>
          <w:bCs/>
          <w:color w:val="000000"/>
          <w:kern w:val="0"/>
          <w:szCs w:val="21"/>
          <w:highlight w:val="none"/>
        </w:rPr>
        <w:t>开</w:t>
      </w:r>
      <w:r>
        <w:rPr>
          <w:b/>
          <w:bCs/>
          <w:color w:val="000000"/>
          <w:kern w:val="0"/>
          <w:szCs w:val="21"/>
          <w:highlight w:val="none"/>
        </w:rPr>
        <w:t>标程序</w:t>
      </w:r>
    </w:p>
    <w:p w14:paraId="79A1451E">
      <w:pPr>
        <w:spacing w:before="120" w:line="320" w:lineRule="atLeast"/>
        <w:ind w:firstLine="420" w:firstLineChars="200"/>
        <w:rPr>
          <w:color w:val="000000"/>
          <w:szCs w:val="21"/>
          <w:highlight w:val="none"/>
        </w:rPr>
      </w:pPr>
      <w:r>
        <w:rPr>
          <w:color w:val="000000"/>
          <w:szCs w:val="21"/>
          <w:highlight w:val="none"/>
        </w:rPr>
        <w:t>2.3.2.1</w:t>
      </w:r>
      <w:r>
        <w:rPr>
          <w:rFonts w:hint="eastAsia"/>
          <w:color w:val="000000"/>
          <w:szCs w:val="21"/>
          <w:highlight w:val="none"/>
          <w:lang w:val="en-US" w:eastAsia="zh-CN"/>
        </w:rPr>
        <w:t>建议</w:t>
      </w:r>
      <w:r>
        <w:rPr>
          <w:rFonts w:hint="eastAsia"/>
          <w:color w:val="000000"/>
          <w:szCs w:val="21"/>
          <w:highlight w:val="none"/>
        </w:rPr>
        <w:t>供应商应提前</w:t>
      </w:r>
      <w:r>
        <w:rPr>
          <w:rFonts w:hint="eastAsia"/>
          <w:color w:val="000000"/>
          <w:szCs w:val="21"/>
          <w:highlight w:val="none"/>
        </w:rPr>
        <w:t>30分钟登录</w:t>
      </w:r>
      <w:r>
        <w:rPr>
          <w:rFonts w:hint="eastAsia"/>
          <w:color w:val="000000"/>
          <w:szCs w:val="21"/>
          <w:highlight w:val="none"/>
        </w:rPr>
        <w:t>政采云平台。</w:t>
      </w:r>
    </w:p>
    <w:p w14:paraId="4DD39872">
      <w:pPr>
        <w:spacing w:before="120" w:line="320" w:lineRule="atLeast"/>
        <w:ind w:firstLine="420" w:firstLineChars="200"/>
        <w:rPr>
          <w:color w:val="000000"/>
          <w:szCs w:val="21"/>
          <w:highlight w:val="none"/>
        </w:rPr>
      </w:pPr>
      <w:r>
        <w:rPr>
          <w:color w:val="000000"/>
          <w:szCs w:val="21"/>
          <w:highlight w:val="none"/>
        </w:rPr>
        <w:t>2.3.2.2</w:t>
      </w:r>
      <w:r>
        <w:rPr>
          <w:rFonts w:hint="eastAsia"/>
          <w:color w:val="000000"/>
          <w:szCs w:val="21"/>
          <w:highlight w:val="none"/>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CA锁准时登录到“政采云”平台电子开标大厅签到并对电子响应文件解密。开标后供应商未及时进行解密的，征集人可通知供应商。通知后，响应文件仍未在上述规定时间内解密，或者供应</w:t>
      </w:r>
      <w:r>
        <w:rPr>
          <w:rFonts w:hint="eastAsia"/>
          <w:color w:val="000000"/>
          <w:szCs w:val="21"/>
          <w:highlight w:val="none"/>
        </w:rPr>
        <w:t>商没预留联系方式或预留联系方式无效导致征集人无法联系到供应商进行解密的，均视为无效响应。解密时间系统默认为</w:t>
      </w:r>
      <w:r>
        <w:rPr>
          <w:rFonts w:hint="eastAsia"/>
          <w:color w:val="000000"/>
          <w:szCs w:val="21"/>
          <w:highlight w:val="none"/>
          <w:lang w:val="en-US" w:eastAsia="zh-CN"/>
        </w:rPr>
        <w:t>30</w:t>
      </w:r>
      <w:r>
        <w:rPr>
          <w:rFonts w:hint="eastAsia"/>
          <w:color w:val="000000"/>
          <w:szCs w:val="21"/>
          <w:highlight w:val="none"/>
        </w:rPr>
        <w:t>分钟，</w:t>
      </w:r>
      <w:r>
        <w:rPr>
          <w:rFonts w:hint="eastAsia"/>
          <w:color w:val="000000"/>
          <w:szCs w:val="21"/>
          <w:highlight w:val="none"/>
          <w:lang w:val="en-US" w:eastAsia="zh-CN"/>
        </w:rPr>
        <w:t>30</w:t>
      </w:r>
      <w:r>
        <w:rPr>
          <w:rFonts w:hint="eastAsia"/>
          <w:color w:val="000000"/>
          <w:szCs w:val="21"/>
          <w:highlight w:val="none"/>
        </w:rPr>
        <w:t>分钟内未进行解密的视为自动放弃投标。</w:t>
      </w:r>
    </w:p>
    <w:p w14:paraId="35572650">
      <w:pPr>
        <w:spacing w:before="120" w:line="320" w:lineRule="atLeast"/>
        <w:ind w:firstLine="420" w:firstLineChars="200"/>
        <w:rPr>
          <w:color w:val="000000"/>
          <w:szCs w:val="21"/>
          <w:highlight w:val="none"/>
        </w:rPr>
      </w:pPr>
      <w:r>
        <w:rPr>
          <w:rFonts w:hint="eastAsia"/>
          <w:color w:val="000000"/>
          <w:szCs w:val="21"/>
          <w:highlight w:val="none"/>
        </w:rPr>
        <w:t>（解密异常情况处理：详见本章</w:t>
      </w:r>
      <w:r>
        <w:rPr>
          <w:color w:val="000000"/>
          <w:szCs w:val="21"/>
          <w:highlight w:val="none"/>
        </w:rPr>
        <w:t>4.2</w:t>
      </w:r>
      <w:r>
        <w:rPr>
          <w:rFonts w:hint="eastAsia"/>
          <w:color w:val="000000"/>
          <w:szCs w:val="21"/>
          <w:highlight w:val="none"/>
        </w:rPr>
        <w:t>电子交易活动的中止。）</w:t>
      </w:r>
    </w:p>
    <w:p w14:paraId="291ACAF2">
      <w:pPr>
        <w:spacing w:before="120" w:line="320" w:lineRule="atLeast"/>
        <w:ind w:firstLine="420" w:firstLineChars="200"/>
        <w:rPr>
          <w:color w:val="000000"/>
          <w:szCs w:val="21"/>
          <w:highlight w:val="none"/>
        </w:rPr>
      </w:pPr>
      <w:r>
        <w:rPr>
          <w:color w:val="000000"/>
          <w:szCs w:val="21"/>
          <w:highlight w:val="none"/>
        </w:rPr>
        <w:t>2.3.2.4</w:t>
      </w:r>
      <w:r>
        <w:rPr>
          <w:rFonts w:hint="eastAsia"/>
          <w:color w:val="000000"/>
          <w:szCs w:val="21"/>
          <w:highlight w:val="none"/>
        </w:rPr>
        <w:t>供应商对报价进行确认（如有）。</w:t>
      </w:r>
    </w:p>
    <w:p w14:paraId="014D0672">
      <w:pPr>
        <w:spacing w:before="120" w:line="320" w:lineRule="atLeast"/>
        <w:ind w:firstLine="420" w:firstLineChars="200"/>
        <w:rPr>
          <w:color w:val="000000"/>
          <w:szCs w:val="21"/>
          <w:highlight w:val="none"/>
        </w:rPr>
      </w:pPr>
      <w:r>
        <w:rPr>
          <w:color w:val="000000"/>
          <w:szCs w:val="21"/>
          <w:highlight w:val="none"/>
        </w:rPr>
        <w:t>2.3.2.5</w:t>
      </w:r>
      <w:r>
        <w:rPr>
          <w:rFonts w:hint="eastAsia"/>
          <w:color w:val="000000"/>
          <w:szCs w:val="21"/>
          <w:highlight w:val="none"/>
        </w:rPr>
        <w:t>开</w:t>
      </w:r>
      <w:r>
        <w:rPr>
          <w:color w:val="000000"/>
          <w:szCs w:val="21"/>
          <w:highlight w:val="none"/>
        </w:rPr>
        <w:t>标结束。</w:t>
      </w:r>
    </w:p>
    <w:p w14:paraId="4ED397CC">
      <w:pPr>
        <w:pStyle w:val="27"/>
        <w:snapToGrid w:val="0"/>
        <w:spacing w:line="440" w:lineRule="exact"/>
        <w:ind w:firstLine="422" w:firstLineChars="200"/>
        <w:rPr>
          <w:rFonts w:hAnsi="宋体"/>
          <w:color w:val="000000"/>
          <w:highlight w:val="none"/>
        </w:rPr>
      </w:pPr>
      <w:r>
        <w:rPr>
          <w:rFonts w:hint="eastAsia" w:hAnsi="宋体"/>
          <w:b/>
          <w:bCs/>
          <w:color w:val="000000"/>
          <w:highlight w:val="none"/>
        </w:rPr>
        <w:t>特别说明：</w:t>
      </w:r>
      <w:r>
        <w:rPr>
          <w:rFonts w:hint="eastAsia" w:hAnsi="宋体"/>
          <w:color w:val="000000"/>
          <w:highlight w:val="none"/>
        </w:rPr>
        <w:t>如遇“政采云”平台相关程序调整的，按调整后的程序执行。</w:t>
      </w:r>
    </w:p>
    <w:p w14:paraId="761CD849">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2.3.3演示</w:t>
      </w:r>
    </w:p>
    <w:p w14:paraId="5C1C3D70">
      <w:pPr>
        <w:spacing w:before="120" w:line="320" w:lineRule="atLeast"/>
        <w:ind w:firstLine="420" w:firstLineChars="200"/>
        <w:rPr>
          <w:color w:val="000000"/>
          <w:szCs w:val="21"/>
          <w:highlight w:val="none"/>
        </w:rPr>
      </w:pPr>
      <w:r>
        <w:rPr>
          <w:color w:val="000000"/>
          <w:szCs w:val="21"/>
          <w:highlight w:val="none"/>
        </w:rPr>
        <w:t>2.3.3.1供应商须知前附表规定在截标会议结束后进行演示的，供应商应按规定进行演示。</w:t>
      </w:r>
    </w:p>
    <w:p w14:paraId="3AFDEE89">
      <w:pPr>
        <w:spacing w:before="120" w:line="320" w:lineRule="atLeast"/>
        <w:ind w:firstLine="420" w:firstLineChars="200"/>
        <w:rPr>
          <w:color w:val="000000"/>
          <w:szCs w:val="21"/>
          <w:highlight w:val="none"/>
        </w:rPr>
      </w:pPr>
      <w:r>
        <w:rPr>
          <w:color w:val="000000"/>
          <w:szCs w:val="21"/>
          <w:highlight w:val="none"/>
        </w:rPr>
        <w:t>2.3.3.2未按规定时间进行演示可能引起的演示分数被计为0分或响应无效等后果由供应商自行承担。</w:t>
      </w:r>
    </w:p>
    <w:p w14:paraId="5A432491">
      <w:pPr>
        <w:spacing w:before="120" w:line="320" w:lineRule="atLeast"/>
        <w:ind w:left="2" w:leftChars="1" w:firstLine="422" w:firstLineChars="200"/>
        <w:outlineLvl w:val="2"/>
        <w:rPr>
          <w:b/>
          <w:bCs/>
          <w:color w:val="000000"/>
          <w:kern w:val="0"/>
          <w:szCs w:val="21"/>
          <w:highlight w:val="none"/>
        </w:rPr>
      </w:pPr>
      <w:r>
        <w:rPr>
          <w:b/>
          <w:bCs/>
          <w:color w:val="000000"/>
          <w:kern w:val="0"/>
          <w:szCs w:val="21"/>
          <w:highlight w:val="none"/>
        </w:rPr>
        <w:t>2.4</w:t>
      </w:r>
      <w:r>
        <w:rPr>
          <w:rFonts w:hint="eastAsia"/>
          <w:b/>
          <w:bCs/>
          <w:color w:val="000000"/>
          <w:kern w:val="0"/>
          <w:szCs w:val="21"/>
          <w:highlight w:val="none"/>
        </w:rPr>
        <w:t>资格审查</w:t>
      </w:r>
    </w:p>
    <w:p w14:paraId="0BA745AC">
      <w:pPr>
        <w:spacing w:before="120" w:line="320" w:lineRule="atLeast"/>
        <w:ind w:firstLine="420" w:firstLineChars="200"/>
        <w:outlineLvl w:val="3"/>
        <w:rPr>
          <w:bCs/>
          <w:color w:val="000000"/>
          <w:kern w:val="0"/>
          <w:szCs w:val="21"/>
          <w:highlight w:val="none"/>
        </w:rPr>
      </w:pPr>
      <w:r>
        <w:rPr>
          <w:bCs/>
          <w:color w:val="000000"/>
          <w:kern w:val="0"/>
          <w:szCs w:val="21"/>
          <w:highlight w:val="none"/>
        </w:rPr>
        <w:t>2.4.1</w:t>
      </w:r>
      <w:r>
        <w:rPr>
          <w:rFonts w:hint="eastAsia"/>
          <w:bCs/>
          <w:color w:val="000000"/>
          <w:kern w:val="0"/>
          <w:szCs w:val="21"/>
          <w:highlight w:val="none"/>
        </w:rPr>
        <w:t>本项目采用资格后审方法。</w:t>
      </w:r>
      <w:r>
        <w:rPr>
          <w:color w:val="000000"/>
          <w:kern w:val="0"/>
          <w:szCs w:val="21"/>
          <w:highlight w:val="none"/>
        </w:rPr>
        <w:t>截标</w:t>
      </w:r>
      <w:r>
        <w:rPr>
          <w:rFonts w:ascii="宋体" w:hAnsi="宋体"/>
          <w:bCs/>
          <w:color w:val="000000"/>
          <w:szCs w:val="21"/>
          <w:highlight w:val="none"/>
        </w:rPr>
        <w:t>结束后，</w:t>
      </w:r>
      <w:r>
        <w:rPr>
          <w:rFonts w:hint="eastAsia" w:ascii="宋体" w:hAnsi="宋体"/>
          <w:bCs/>
          <w:color w:val="000000"/>
          <w:szCs w:val="21"/>
          <w:highlight w:val="none"/>
        </w:rPr>
        <w:t>征集人通过电子交易平台</w:t>
      </w:r>
      <w:r>
        <w:rPr>
          <w:rFonts w:ascii="宋体" w:hAnsi="宋体"/>
          <w:bCs/>
          <w:color w:val="000000"/>
          <w:szCs w:val="21"/>
          <w:highlight w:val="none"/>
        </w:rPr>
        <w:t>对供应商的资格进行</w:t>
      </w:r>
      <w:r>
        <w:rPr>
          <w:rFonts w:hint="eastAsia" w:ascii="宋体" w:hAnsi="宋体"/>
          <w:bCs/>
          <w:color w:val="000000"/>
          <w:szCs w:val="21"/>
          <w:highlight w:val="none"/>
        </w:rPr>
        <w:t>线上</w:t>
      </w:r>
      <w:r>
        <w:rPr>
          <w:rFonts w:ascii="宋体" w:hAnsi="宋体"/>
          <w:bCs/>
          <w:color w:val="000000"/>
          <w:szCs w:val="21"/>
          <w:highlight w:val="none"/>
        </w:rPr>
        <w:t>审查。</w:t>
      </w:r>
      <w:r>
        <w:rPr>
          <w:rFonts w:hint="eastAsia" w:ascii="宋体" w:hAnsi="宋体"/>
          <w:bCs/>
          <w:color w:val="000000"/>
          <w:szCs w:val="21"/>
          <w:highlight w:val="none"/>
        </w:rPr>
        <w:t>资格审查</w:t>
      </w:r>
      <w:r>
        <w:rPr>
          <w:rFonts w:hint="eastAsia"/>
          <w:bCs/>
          <w:color w:val="000000"/>
          <w:kern w:val="0"/>
          <w:szCs w:val="21"/>
          <w:highlight w:val="none"/>
        </w:rPr>
        <w:t>是根据法律法规和征集文件的规定，对供应商的基本资格条件、特定资格条件进行审查。</w:t>
      </w:r>
    </w:p>
    <w:p w14:paraId="327F5B57">
      <w:pPr>
        <w:spacing w:before="120" w:line="320" w:lineRule="atLeast"/>
        <w:ind w:firstLine="420" w:firstLineChars="200"/>
        <w:outlineLvl w:val="3"/>
        <w:rPr>
          <w:bCs/>
          <w:color w:val="000000"/>
          <w:kern w:val="0"/>
          <w:szCs w:val="21"/>
          <w:highlight w:val="none"/>
        </w:rPr>
      </w:pPr>
      <w:r>
        <w:rPr>
          <w:bCs/>
          <w:color w:val="000000"/>
          <w:kern w:val="0"/>
          <w:szCs w:val="21"/>
          <w:highlight w:val="none"/>
        </w:rPr>
        <w:t>2.4</w:t>
      </w:r>
      <w:r>
        <w:rPr>
          <w:rFonts w:hint="eastAsia"/>
          <w:bCs/>
          <w:color w:val="000000"/>
          <w:kern w:val="0"/>
          <w:szCs w:val="21"/>
          <w:highlight w:val="none"/>
        </w:rPr>
        <w:t>.</w:t>
      </w:r>
      <w:r>
        <w:rPr>
          <w:bCs/>
          <w:color w:val="000000"/>
          <w:kern w:val="0"/>
          <w:szCs w:val="21"/>
          <w:highlight w:val="none"/>
        </w:rPr>
        <w:t>2</w:t>
      </w:r>
      <w:r>
        <w:rPr>
          <w:rFonts w:hint="eastAsia"/>
          <w:bCs/>
          <w:color w:val="000000"/>
          <w:kern w:val="0"/>
          <w:szCs w:val="21"/>
          <w:highlight w:val="none"/>
        </w:rPr>
        <w:t>资格审查标准在</w:t>
      </w:r>
      <w:r>
        <w:rPr>
          <w:rFonts w:hint="eastAsia"/>
          <w:bCs/>
          <w:color w:val="000000"/>
          <w:kern w:val="0"/>
          <w:szCs w:val="21"/>
          <w:highlight w:val="none"/>
        </w:rPr>
        <w:t>第四章评审方法及标准中</w:t>
      </w:r>
      <w:r>
        <w:rPr>
          <w:rFonts w:hint="eastAsia"/>
          <w:bCs/>
          <w:color w:val="000000"/>
          <w:kern w:val="0"/>
          <w:szCs w:val="21"/>
          <w:highlight w:val="none"/>
        </w:rPr>
        <w:t>规定，符合资格审查标准要求的供应商即为资格审查合格。</w:t>
      </w:r>
    </w:p>
    <w:p w14:paraId="7ED3310C">
      <w:pPr>
        <w:spacing w:before="120" w:line="320" w:lineRule="atLeast"/>
        <w:ind w:firstLine="420" w:firstLineChars="200"/>
        <w:outlineLvl w:val="3"/>
        <w:rPr>
          <w:rFonts w:hAnsi="宋体"/>
          <w:color w:val="000000"/>
          <w:highlight w:val="none"/>
        </w:rPr>
      </w:pPr>
      <w:r>
        <w:rPr>
          <w:bCs/>
          <w:color w:val="000000"/>
          <w:kern w:val="0"/>
          <w:szCs w:val="21"/>
          <w:highlight w:val="none"/>
        </w:rPr>
        <w:t>2.</w:t>
      </w:r>
      <w:r>
        <w:rPr>
          <w:bCs/>
          <w:color w:val="000000"/>
          <w:kern w:val="0"/>
          <w:szCs w:val="21"/>
          <w:highlight w:val="none"/>
        </w:rPr>
        <w:t>4.3</w:t>
      </w:r>
      <w:r>
        <w:rPr>
          <w:rFonts w:hint="eastAsia"/>
          <w:color w:val="000000"/>
          <w:kern w:val="0"/>
          <w:szCs w:val="21"/>
          <w:highlight w:val="none"/>
        </w:rPr>
        <w:t>信用</w:t>
      </w:r>
      <w:r>
        <w:rPr>
          <w:rFonts w:hint="eastAsia"/>
          <w:color w:val="000000"/>
          <w:szCs w:val="21"/>
          <w:highlight w:val="none"/>
        </w:rPr>
        <w:t>查询要求如下</w:t>
      </w:r>
      <w:r>
        <w:rPr>
          <w:rFonts w:hint="eastAsia" w:hAnsi="宋体"/>
          <w:color w:val="000000"/>
          <w:highlight w:val="none"/>
        </w:rPr>
        <w:t>：</w:t>
      </w:r>
    </w:p>
    <w:p w14:paraId="7127B356">
      <w:pPr>
        <w:spacing w:line="276" w:lineRule="auto"/>
        <w:ind w:firstLine="420" w:firstLineChars="200"/>
        <w:rPr>
          <w:color w:val="000000"/>
          <w:szCs w:val="21"/>
          <w:highlight w:val="none"/>
        </w:rPr>
      </w:pPr>
      <w:r>
        <w:rPr>
          <w:rFonts w:hint="eastAsia"/>
          <w:color w:val="000000"/>
          <w:szCs w:val="21"/>
          <w:highlight w:val="none"/>
        </w:rPr>
        <w:t>①审核要求：供应商未被列入失信被执行人、重大税收违法失信主体、政府采购严重违法失信行为记录名单。</w:t>
      </w:r>
    </w:p>
    <w:p w14:paraId="02746401">
      <w:pPr>
        <w:spacing w:line="276" w:lineRule="auto"/>
        <w:ind w:firstLine="420" w:firstLineChars="200"/>
        <w:rPr>
          <w:color w:val="000000"/>
          <w:szCs w:val="21"/>
          <w:highlight w:val="none"/>
        </w:rPr>
      </w:pPr>
      <w:r>
        <w:rPr>
          <w:rFonts w:hint="eastAsia"/>
          <w:color w:val="000000"/>
          <w:szCs w:val="21"/>
          <w:highlight w:val="none"/>
        </w:rPr>
        <w:t>②审核内容：信用中国“失信被执行人”、“ 重大税收违法失信主体”、“政府采购严重违法失信行为记录名单” 及中国政府采购网“政府采购严重违法失信行为记录”查询网页打印件并加盖公章。</w:t>
      </w:r>
    </w:p>
    <w:p w14:paraId="06D26519">
      <w:pPr>
        <w:spacing w:line="276" w:lineRule="auto"/>
        <w:ind w:firstLine="420" w:firstLineChars="200"/>
        <w:rPr>
          <w:color w:val="000000"/>
          <w:szCs w:val="21"/>
          <w:highlight w:val="none"/>
        </w:rPr>
      </w:pPr>
      <w:r>
        <w:rPr>
          <w:rFonts w:hint="eastAsia"/>
          <w:color w:val="000000"/>
          <w:szCs w:val="21"/>
          <w:highlight w:val="none"/>
        </w:rPr>
        <w:t>1）信用信息查询渠道：“信用中国”、“中国政府采购网”网站</w:t>
      </w:r>
    </w:p>
    <w:p w14:paraId="6F2CAA21">
      <w:pPr>
        <w:spacing w:line="276" w:lineRule="auto"/>
        <w:ind w:firstLine="420" w:firstLineChars="200"/>
        <w:rPr>
          <w:color w:val="000000"/>
          <w:szCs w:val="21"/>
          <w:highlight w:val="none"/>
        </w:rPr>
      </w:pPr>
      <w:r>
        <w:rPr>
          <w:rFonts w:hint="eastAsia"/>
          <w:color w:val="000000"/>
          <w:szCs w:val="21"/>
          <w:highlight w:val="none"/>
        </w:rPr>
        <w:t>2）信用信息查询或打印截止时点：招标公</w:t>
      </w:r>
      <w:r>
        <w:rPr>
          <w:rFonts w:hint="eastAsia"/>
          <w:color w:val="000000"/>
          <w:szCs w:val="21"/>
          <w:highlight w:val="none"/>
        </w:rPr>
        <w:t>告发布后至投标截止时间前。</w:t>
      </w:r>
    </w:p>
    <w:p w14:paraId="3F96C804">
      <w:pPr>
        <w:spacing w:line="276" w:lineRule="auto"/>
        <w:ind w:firstLine="420" w:firstLineChars="200"/>
        <w:rPr>
          <w:color w:val="000000"/>
          <w:szCs w:val="21"/>
          <w:highlight w:val="none"/>
        </w:rPr>
      </w:pPr>
      <w:r>
        <w:rPr>
          <w:color w:val="000000"/>
          <w:szCs w:val="21"/>
          <w:highlight w:val="none"/>
        </w:rPr>
        <w:t>3</w:t>
      </w:r>
      <w:r>
        <w:rPr>
          <w:rFonts w:hint="eastAsia"/>
          <w:color w:val="000000"/>
          <w:szCs w:val="21"/>
          <w:highlight w:val="none"/>
        </w:rPr>
        <w:t>）信用信息查询记录和证据留存的具体方式：在响应文件中提供上述查询渠道查询网页打印件，查询结果将作为政府采购活动档案留存。）</w:t>
      </w:r>
    </w:p>
    <w:p w14:paraId="646F5F0B">
      <w:pPr>
        <w:spacing w:line="276" w:lineRule="auto"/>
        <w:ind w:firstLine="420" w:firstLineChars="200"/>
        <w:rPr>
          <w:color w:val="000000"/>
          <w:szCs w:val="21"/>
          <w:highlight w:val="none"/>
        </w:rPr>
      </w:pPr>
      <w:r>
        <w:rPr>
          <w:rFonts w:hint="eastAsia"/>
          <w:color w:val="000000"/>
          <w:szCs w:val="21"/>
          <w:highlight w:val="none"/>
        </w:rPr>
        <w:t>4）信用信息的使用规则：供应商如被列入失信被执行人、重大税收违法失信主体、政府采购严重</w:t>
      </w:r>
      <w:r>
        <w:rPr>
          <w:rFonts w:hint="eastAsia"/>
          <w:color w:val="000000"/>
          <w:szCs w:val="21"/>
          <w:highlight w:val="none"/>
        </w:rPr>
        <w:t>违法失信行为记录名单则资格审查不予通过，响应被否决。</w:t>
      </w:r>
      <w:r>
        <w:rPr>
          <w:color w:val="000000"/>
          <w:szCs w:val="21"/>
          <w:highlight w:val="none"/>
        </w:rPr>
        <w:t xml:space="preserve"> </w:t>
      </w:r>
    </w:p>
    <w:p w14:paraId="701C6F62">
      <w:pPr>
        <w:spacing w:before="120" w:line="276" w:lineRule="auto"/>
        <w:ind w:firstLine="420" w:firstLineChars="200"/>
        <w:outlineLvl w:val="3"/>
        <w:rPr>
          <w:bCs/>
          <w:color w:val="000000"/>
          <w:kern w:val="0"/>
          <w:szCs w:val="21"/>
          <w:highlight w:val="none"/>
        </w:rPr>
      </w:pPr>
      <w:r>
        <w:rPr>
          <w:bCs/>
          <w:color w:val="000000"/>
          <w:kern w:val="0"/>
          <w:szCs w:val="21"/>
          <w:highlight w:val="none"/>
        </w:rPr>
        <w:t>2.4.4</w:t>
      </w:r>
      <w:r>
        <w:rPr>
          <w:rFonts w:hint="eastAsia"/>
          <w:bCs/>
          <w:color w:val="000000"/>
          <w:kern w:val="0"/>
          <w:szCs w:val="21"/>
          <w:highlight w:val="none"/>
        </w:rPr>
        <w:t>供应商有下列情形之一的，资格审查不合格，作无效响应处理：</w:t>
      </w:r>
    </w:p>
    <w:p w14:paraId="5E0C47A3">
      <w:pPr>
        <w:ind w:firstLine="420" w:firstLineChars="200"/>
        <w:rPr>
          <w:color w:val="000000"/>
          <w:szCs w:val="21"/>
          <w:highlight w:val="none"/>
        </w:rPr>
      </w:pPr>
      <w:r>
        <w:rPr>
          <w:color w:val="000000"/>
          <w:szCs w:val="21"/>
          <w:highlight w:val="none"/>
        </w:rPr>
        <w:t>(1)</w:t>
      </w:r>
      <w:r>
        <w:rPr>
          <w:rFonts w:hint="eastAsia"/>
          <w:color w:val="000000"/>
          <w:szCs w:val="21"/>
          <w:highlight w:val="none"/>
        </w:rPr>
        <w:t>不具备征集文件中规定的资格要求或资格条件的；</w:t>
      </w:r>
    </w:p>
    <w:p w14:paraId="42DEA232">
      <w:pPr>
        <w:spacing w:before="120"/>
        <w:ind w:firstLine="420" w:firstLineChars="200"/>
        <w:rPr>
          <w:color w:val="000000"/>
          <w:szCs w:val="21"/>
          <w:highlight w:val="none"/>
        </w:rPr>
      </w:pPr>
      <w:r>
        <w:rPr>
          <w:color w:val="000000"/>
          <w:szCs w:val="21"/>
          <w:highlight w:val="none"/>
        </w:rPr>
        <w:t>(2)</w:t>
      </w:r>
      <w:r>
        <w:rPr>
          <w:rFonts w:hint="eastAsia"/>
          <w:color w:val="000000"/>
          <w:szCs w:val="21"/>
          <w:highlight w:val="none"/>
        </w:rPr>
        <w:t>响应文件缺少任何一项资格证明文件或不符合第四章评审方法及标准中资格审查标准规定的评审内容的；</w:t>
      </w:r>
    </w:p>
    <w:p w14:paraId="2DABA74E">
      <w:pPr>
        <w:spacing w:before="120"/>
        <w:ind w:left="2" w:leftChars="1" w:firstLine="420" w:firstLineChars="200"/>
        <w:rPr>
          <w:bCs/>
          <w:color w:val="000000"/>
          <w:kern w:val="0"/>
          <w:szCs w:val="21"/>
          <w:highlight w:val="none"/>
        </w:rPr>
      </w:pPr>
      <w:r>
        <w:rPr>
          <w:bCs/>
          <w:color w:val="000000"/>
          <w:kern w:val="0"/>
          <w:szCs w:val="21"/>
          <w:highlight w:val="none"/>
        </w:rPr>
        <w:t>(3)</w:t>
      </w:r>
      <w:r>
        <w:rPr>
          <w:rFonts w:hint="eastAsia"/>
          <w:b/>
          <w:bCs/>
          <w:color w:val="000000"/>
          <w:kern w:val="0"/>
          <w:szCs w:val="21"/>
          <w:highlight w:val="none"/>
        </w:rPr>
        <w:t>资格审查合格的供应商不足</w:t>
      </w:r>
      <w:r>
        <w:rPr>
          <w:b/>
          <w:bCs/>
          <w:color w:val="000000"/>
          <w:kern w:val="0"/>
          <w:szCs w:val="21"/>
          <w:highlight w:val="none"/>
        </w:rPr>
        <w:t>2</w:t>
      </w:r>
      <w:r>
        <w:rPr>
          <w:rFonts w:hint="eastAsia"/>
          <w:b/>
          <w:bCs/>
          <w:color w:val="000000"/>
          <w:kern w:val="0"/>
          <w:szCs w:val="21"/>
          <w:highlight w:val="none"/>
        </w:rPr>
        <w:t>家的，不得评审</w:t>
      </w:r>
      <w:r>
        <w:rPr>
          <w:rFonts w:hint="eastAsia"/>
          <w:bCs/>
          <w:color w:val="000000"/>
          <w:kern w:val="0"/>
          <w:szCs w:val="21"/>
          <w:highlight w:val="none"/>
        </w:rPr>
        <w:t>。</w:t>
      </w:r>
    </w:p>
    <w:p w14:paraId="0EBAFB70">
      <w:pPr>
        <w:spacing w:before="120" w:line="320" w:lineRule="atLeast"/>
        <w:ind w:left="2" w:leftChars="1" w:firstLine="422" w:firstLineChars="200"/>
        <w:outlineLvl w:val="2"/>
        <w:rPr>
          <w:b/>
          <w:bCs/>
          <w:color w:val="000000"/>
          <w:kern w:val="0"/>
          <w:szCs w:val="21"/>
          <w:highlight w:val="none"/>
        </w:rPr>
      </w:pPr>
      <w:r>
        <w:rPr>
          <w:b/>
          <w:bCs/>
          <w:color w:val="000000"/>
          <w:kern w:val="0"/>
          <w:szCs w:val="21"/>
          <w:highlight w:val="none"/>
        </w:rPr>
        <w:t>2.5评审</w:t>
      </w:r>
    </w:p>
    <w:p w14:paraId="0DE42B13">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2.5.1</w:t>
      </w:r>
      <w:r>
        <w:rPr>
          <w:b/>
          <w:bCs/>
          <w:color w:val="000000"/>
          <w:kern w:val="0"/>
          <w:szCs w:val="21"/>
          <w:highlight w:val="none"/>
        </w:rPr>
        <w:t>评审委员会</w:t>
      </w:r>
      <w:r>
        <w:rPr>
          <w:rFonts w:hint="eastAsia"/>
          <w:b/>
          <w:bCs/>
          <w:color w:val="000000"/>
          <w:kern w:val="0"/>
          <w:szCs w:val="21"/>
          <w:highlight w:val="none"/>
        </w:rPr>
        <w:t>及评审原则</w:t>
      </w:r>
    </w:p>
    <w:p w14:paraId="24180BE9">
      <w:pPr>
        <w:spacing w:before="120" w:line="320" w:lineRule="atLeast"/>
        <w:ind w:firstLine="420" w:firstLineChars="200"/>
        <w:rPr>
          <w:color w:val="000000"/>
          <w:szCs w:val="21"/>
          <w:highlight w:val="none"/>
        </w:rPr>
      </w:pPr>
      <w:r>
        <w:rPr>
          <w:color w:val="000000"/>
          <w:szCs w:val="21"/>
          <w:highlight w:val="none"/>
        </w:rPr>
        <w:t>2.5</w:t>
      </w:r>
      <w:r>
        <w:rPr>
          <w:rFonts w:hint="eastAsia"/>
          <w:color w:val="000000"/>
          <w:szCs w:val="21"/>
          <w:highlight w:val="none"/>
        </w:rPr>
        <w:t>.1.1</w:t>
      </w:r>
      <w:r>
        <w:rPr>
          <w:color w:val="000000"/>
          <w:szCs w:val="21"/>
          <w:highlight w:val="none"/>
        </w:rPr>
        <w:t>本项目</w:t>
      </w:r>
      <w:r>
        <w:rPr>
          <w:rFonts w:hint="eastAsia"/>
          <w:color w:val="000000"/>
          <w:szCs w:val="21"/>
          <w:highlight w:val="none"/>
        </w:rPr>
        <w:t>评审工作由</w:t>
      </w:r>
      <w:r>
        <w:rPr>
          <w:color w:val="000000"/>
          <w:szCs w:val="21"/>
          <w:highlight w:val="none"/>
        </w:rPr>
        <w:t>评审委员会</w:t>
      </w:r>
      <w:r>
        <w:rPr>
          <w:rFonts w:hint="eastAsia"/>
          <w:color w:val="000000"/>
          <w:szCs w:val="21"/>
          <w:highlight w:val="none"/>
        </w:rPr>
        <w:t>负</w:t>
      </w:r>
      <w:r>
        <w:rPr>
          <w:rFonts w:hint="eastAsia"/>
          <w:color w:val="000000"/>
          <w:szCs w:val="21"/>
          <w:highlight w:val="none"/>
        </w:rPr>
        <w:t>责，</w:t>
      </w:r>
      <w:r>
        <w:rPr>
          <w:rFonts w:hint="eastAsia"/>
          <w:b/>
          <w:color w:val="000000"/>
          <w:szCs w:val="21"/>
          <w:highlight w:val="none"/>
          <w:u w:val="single"/>
        </w:rPr>
        <w:t>评审委员会由</w:t>
      </w:r>
      <w:r>
        <w:rPr>
          <w:b/>
          <w:color w:val="000000"/>
          <w:szCs w:val="21"/>
          <w:highlight w:val="none"/>
          <w:u w:val="single"/>
        </w:rPr>
        <w:t>采购人代表</w:t>
      </w:r>
      <w:r>
        <w:rPr>
          <w:rFonts w:hint="eastAsia"/>
          <w:b/>
          <w:color w:val="000000"/>
          <w:szCs w:val="21"/>
          <w:highlight w:val="none"/>
          <w:u w:val="single"/>
        </w:rPr>
        <w:t>1人、政采云平台随机抽取的评审专家4人</w:t>
      </w:r>
      <w:r>
        <w:rPr>
          <w:b/>
          <w:color w:val="000000"/>
          <w:szCs w:val="21"/>
          <w:highlight w:val="none"/>
          <w:u w:val="single"/>
        </w:rPr>
        <w:t>组成。</w:t>
      </w:r>
      <w:r>
        <w:rPr>
          <w:rFonts w:hint="eastAsia"/>
          <w:color w:val="000000"/>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供应商接触，不得收受利害</w:t>
      </w:r>
      <w:r>
        <w:rPr>
          <w:rFonts w:hint="eastAsia"/>
          <w:color w:val="000000"/>
          <w:szCs w:val="21"/>
          <w:highlight w:val="none"/>
        </w:rPr>
        <w:t>关系人的财物或者其他好处；</w:t>
      </w:r>
      <w:r>
        <w:rPr>
          <w:color w:val="000000"/>
          <w:szCs w:val="21"/>
          <w:highlight w:val="none"/>
        </w:rPr>
        <w:t>评审专家发现本人与参加采购活动的供应商有利害关系的，应当主动提出回避</w:t>
      </w:r>
      <w:r>
        <w:rPr>
          <w:rFonts w:hint="eastAsia"/>
          <w:color w:val="000000"/>
          <w:szCs w:val="21"/>
          <w:highlight w:val="none"/>
        </w:rPr>
        <w:t>。</w:t>
      </w:r>
    </w:p>
    <w:p w14:paraId="247446C0">
      <w:pPr>
        <w:spacing w:before="120" w:line="320" w:lineRule="atLeast"/>
        <w:ind w:firstLine="420" w:firstLineChars="200"/>
        <w:rPr>
          <w:color w:val="000000"/>
          <w:szCs w:val="21"/>
          <w:highlight w:val="none"/>
        </w:rPr>
      </w:pPr>
      <w:r>
        <w:rPr>
          <w:color w:val="000000"/>
          <w:szCs w:val="21"/>
          <w:highlight w:val="none"/>
        </w:rPr>
        <w:t>2.5</w:t>
      </w:r>
      <w:r>
        <w:rPr>
          <w:rFonts w:hint="eastAsia"/>
          <w:color w:val="000000"/>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0277C84F">
      <w:pPr>
        <w:spacing w:before="120" w:line="320" w:lineRule="atLeast"/>
        <w:ind w:firstLine="420" w:firstLineChars="200"/>
        <w:rPr>
          <w:color w:val="000000"/>
          <w:szCs w:val="21"/>
          <w:highlight w:val="none"/>
        </w:rPr>
      </w:pPr>
      <w:r>
        <w:rPr>
          <w:color w:val="000000"/>
          <w:szCs w:val="21"/>
          <w:highlight w:val="none"/>
        </w:rPr>
        <w:t>2.5</w:t>
      </w:r>
      <w:r>
        <w:rPr>
          <w:rFonts w:hint="eastAsia"/>
          <w:color w:val="000000"/>
          <w:szCs w:val="21"/>
          <w:highlight w:val="none"/>
        </w:rPr>
        <w:t>.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1A545A7">
      <w:pPr>
        <w:spacing w:before="120" w:line="320" w:lineRule="atLeast"/>
        <w:ind w:firstLine="420" w:firstLineChars="200"/>
        <w:rPr>
          <w:color w:val="000000"/>
          <w:szCs w:val="21"/>
          <w:highlight w:val="none"/>
        </w:rPr>
      </w:pPr>
      <w:r>
        <w:rPr>
          <w:color w:val="000000"/>
          <w:szCs w:val="21"/>
          <w:highlight w:val="none"/>
        </w:rPr>
        <w:t>2.5</w:t>
      </w:r>
      <w:r>
        <w:rPr>
          <w:rFonts w:hint="eastAsia"/>
          <w:color w:val="000000"/>
          <w:szCs w:val="21"/>
          <w:highlight w:val="none"/>
        </w:rPr>
        <w:t>.1.4本项目评审过程实行全程网上留痕及录音、录像监控，供应商在评审过程中所进行的试图影响评审结果的不公正活动，可能导致其响应按无效处理。</w:t>
      </w:r>
    </w:p>
    <w:p w14:paraId="347494E9">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2.5.2</w:t>
      </w:r>
      <w:r>
        <w:rPr>
          <w:rFonts w:hint="eastAsia"/>
          <w:b/>
          <w:bCs/>
          <w:color w:val="000000"/>
          <w:kern w:val="0"/>
          <w:szCs w:val="21"/>
          <w:highlight w:val="none"/>
        </w:rPr>
        <w:t>评审方法及依据</w:t>
      </w:r>
    </w:p>
    <w:p w14:paraId="2C352D09">
      <w:pPr>
        <w:spacing w:before="120" w:line="320" w:lineRule="atLeast"/>
        <w:ind w:firstLine="420" w:firstLineChars="200"/>
        <w:rPr>
          <w:bCs/>
          <w:color w:val="000000"/>
          <w:kern w:val="0"/>
          <w:szCs w:val="21"/>
          <w:highlight w:val="none"/>
        </w:rPr>
      </w:pPr>
      <w:r>
        <w:rPr>
          <w:bCs/>
          <w:color w:val="000000"/>
          <w:kern w:val="0"/>
          <w:szCs w:val="21"/>
          <w:highlight w:val="none"/>
        </w:rPr>
        <w:t>2.5.2.1</w:t>
      </w:r>
      <w:r>
        <w:rPr>
          <w:rFonts w:hint="eastAsia"/>
          <w:bCs/>
          <w:color w:val="000000"/>
          <w:kern w:val="0"/>
          <w:szCs w:val="21"/>
          <w:highlight w:val="none"/>
        </w:rPr>
        <w:t>本项目采用第四章评审方法及标准规定的方法进行评审。</w:t>
      </w:r>
    </w:p>
    <w:p w14:paraId="641FE80F">
      <w:pPr>
        <w:suppressAutoHyphens/>
        <w:spacing w:before="120" w:line="320" w:lineRule="atLeast"/>
        <w:ind w:firstLine="420" w:firstLineChars="200"/>
        <w:rPr>
          <w:bCs/>
          <w:color w:val="000000"/>
          <w:kern w:val="0"/>
          <w:szCs w:val="21"/>
          <w:highlight w:val="none"/>
        </w:rPr>
      </w:pPr>
      <w:r>
        <w:rPr>
          <w:bCs/>
          <w:color w:val="000000"/>
          <w:kern w:val="0"/>
          <w:szCs w:val="21"/>
          <w:highlight w:val="none"/>
        </w:rPr>
        <w:t>2.5.2.2</w:t>
      </w:r>
      <w:r>
        <w:rPr>
          <w:rFonts w:hint="eastAsia"/>
          <w:color w:val="000000"/>
          <w:highlight w:val="none"/>
        </w:rPr>
        <w:t>评审委员会</w:t>
      </w:r>
      <w:r>
        <w:rPr>
          <w:color w:val="000000"/>
          <w:highlight w:val="none"/>
        </w:rPr>
        <w:t>以</w:t>
      </w:r>
      <w:r>
        <w:rPr>
          <w:rFonts w:hint="eastAsia"/>
          <w:color w:val="000000"/>
          <w:highlight w:val="none"/>
        </w:rPr>
        <w:t>征集文件</w:t>
      </w:r>
      <w:r>
        <w:rPr>
          <w:color w:val="000000"/>
          <w:highlight w:val="none"/>
        </w:rPr>
        <w:t>、补充文件、</w:t>
      </w:r>
      <w:r>
        <w:rPr>
          <w:rFonts w:hint="eastAsia"/>
          <w:color w:val="000000"/>
          <w:highlight w:val="none"/>
        </w:rPr>
        <w:t>响应文件</w:t>
      </w:r>
      <w:r>
        <w:rPr>
          <w:color w:val="000000"/>
          <w:highlight w:val="none"/>
        </w:rPr>
        <w:t>、澄清及答复为评审依据</w:t>
      </w:r>
      <w:r>
        <w:rPr>
          <w:rFonts w:hint="eastAsia"/>
          <w:color w:val="000000"/>
          <w:highlight w:val="none"/>
        </w:rPr>
        <w:t>，</w:t>
      </w:r>
      <w:r>
        <w:rPr>
          <w:rFonts w:hint="eastAsia"/>
          <w:bCs/>
          <w:color w:val="000000"/>
          <w:kern w:val="0"/>
          <w:szCs w:val="21"/>
          <w:highlight w:val="none"/>
        </w:rPr>
        <w:t>第四章评审方法及标准没有规定的评审方法、标准及因素，不得作为评审依据。</w:t>
      </w:r>
    </w:p>
    <w:p w14:paraId="19F6467C">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2.5.3评审</w:t>
      </w:r>
      <w:r>
        <w:rPr>
          <w:rFonts w:hint="eastAsia"/>
          <w:b/>
          <w:bCs/>
          <w:color w:val="000000"/>
          <w:kern w:val="0"/>
          <w:szCs w:val="21"/>
          <w:highlight w:val="none"/>
        </w:rPr>
        <w:t>程序</w:t>
      </w:r>
    </w:p>
    <w:p w14:paraId="1CD9110B">
      <w:pPr>
        <w:spacing w:before="120" w:line="320" w:lineRule="atLeast"/>
        <w:ind w:firstLine="420" w:firstLineChars="200"/>
        <w:rPr>
          <w:color w:val="000000"/>
          <w:highlight w:val="none"/>
        </w:rPr>
      </w:pPr>
      <w:r>
        <w:rPr>
          <w:color w:val="000000"/>
          <w:highlight w:val="none"/>
        </w:rPr>
        <w:t>2.5.3.1</w:t>
      </w:r>
      <w:r>
        <w:rPr>
          <w:rFonts w:hint="eastAsia"/>
          <w:color w:val="000000"/>
          <w:highlight w:val="none"/>
        </w:rPr>
        <w:t>符合性审查</w:t>
      </w:r>
    </w:p>
    <w:p w14:paraId="030EC9A2">
      <w:pPr>
        <w:spacing w:before="120" w:line="320" w:lineRule="atLeast"/>
        <w:ind w:firstLine="420" w:firstLineChars="200"/>
        <w:rPr>
          <w:color w:val="000000"/>
          <w:szCs w:val="21"/>
          <w:highlight w:val="none"/>
        </w:rPr>
      </w:pPr>
      <w:r>
        <w:rPr>
          <w:bCs/>
          <w:color w:val="000000"/>
          <w:kern w:val="1"/>
          <w:szCs w:val="21"/>
          <w:highlight w:val="none"/>
        </w:rPr>
        <w:t>资格审查结束后，</w:t>
      </w:r>
      <w:r>
        <w:rPr>
          <w:rFonts w:hint="eastAsia" w:hAnsi="宋体"/>
          <w:color w:val="000000"/>
          <w:highlight w:val="none"/>
        </w:rPr>
        <w:t>评审委员会对</w:t>
      </w:r>
      <w:r>
        <w:rPr>
          <w:color w:val="000000"/>
          <w:highlight w:val="none"/>
        </w:rPr>
        <w:t>通过资格审查的供应商</w:t>
      </w:r>
      <w:r>
        <w:rPr>
          <w:rFonts w:hint="eastAsia" w:hAnsi="宋体"/>
          <w:color w:val="000000"/>
          <w:highlight w:val="none"/>
        </w:rPr>
        <w:t>的响应文件进行报价、商务资信、技术等方面实质性内容进行符合性审查，</w:t>
      </w:r>
      <w:r>
        <w:rPr>
          <w:rFonts w:hint="eastAsia"/>
          <w:color w:val="000000"/>
          <w:szCs w:val="21"/>
          <w:highlight w:val="none"/>
        </w:rPr>
        <w:t>符合性审查标准</w:t>
      </w:r>
      <w:r>
        <w:rPr>
          <w:color w:val="000000"/>
          <w:szCs w:val="21"/>
          <w:highlight w:val="none"/>
        </w:rPr>
        <w:t>详见第四章评审方法及标准。</w:t>
      </w:r>
    </w:p>
    <w:p w14:paraId="2D8B2FC6">
      <w:pPr>
        <w:spacing w:before="120" w:line="320" w:lineRule="atLeast"/>
        <w:ind w:firstLine="420" w:firstLineChars="200"/>
        <w:rPr>
          <w:color w:val="000000"/>
          <w:highlight w:val="none"/>
        </w:rPr>
      </w:pPr>
      <w:r>
        <w:rPr>
          <w:color w:val="000000"/>
          <w:highlight w:val="none"/>
        </w:rPr>
        <w:t>2.5.3.2澄清、说明或补正</w:t>
      </w:r>
    </w:p>
    <w:p w14:paraId="1747D6CD">
      <w:pPr>
        <w:spacing w:before="120" w:line="320" w:lineRule="atLeast"/>
        <w:ind w:firstLine="420" w:firstLineChars="200"/>
        <w:rPr>
          <w:color w:val="000000"/>
          <w:highlight w:val="none"/>
        </w:rPr>
      </w:pPr>
      <w:r>
        <w:rPr>
          <w:rFonts w:hint="eastAsia"/>
          <w:color w:val="000000"/>
          <w:highlight w:val="none"/>
        </w:rPr>
        <w:t>（1）对响应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7E405AD8">
      <w:pPr>
        <w:spacing w:before="120" w:line="320" w:lineRule="atLeast"/>
        <w:ind w:firstLine="420" w:firstLineChars="200"/>
        <w:rPr>
          <w:color w:val="000000"/>
          <w:highlight w:val="none"/>
        </w:rPr>
      </w:pPr>
      <w:r>
        <w:rPr>
          <w:rFonts w:hint="eastAsia"/>
          <w:color w:val="000000"/>
          <w:highlight w:val="none"/>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3E2A7BE7">
      <w:pPr>
        <w:spacing w:before="120" w:line="320" w:lineRule="atLeast"/>
        <w:ind w:firstLine="420" w:firstLineChars="200"/>
        <w:rPr>
          <w:color w:val="000000"/>
          <w:highlight w:val="none"/>
        </w:rPr>
      </w:pPr>
      <w:r>
        <w:rPr>
          <w:color w:val="000000"/>
          <w:highlight w:val="none"/>
        </w:rPr>
        <w:t>2.5.3.3</w:t>
      </w:r>
      <w:r>
        <w:rPr>
          <w:rFonts w:hint="eastAsia"/>
          <w:color w:val="000000"/>
          <w:highlight w:val="none"/>
        </w:rPr>
        <w:t>报价</w:t>
      </w:r>
      <w:r>
        <w:rPr>
          <w:color w:val="000000"/>
          <w:highlight w:val="none"/>
        </w:rPr>
        <w:t>修正</w:t>
      </w:r>
    </w:p>
    <w:p w14:paraId="7E5BCBC3">
      <w:pPr>
        <w:spacing w:before="120" w:line="320" w:lineRule="atLeast"/>
        <w:ind w:firstLine="420" w:firstLineChars="200"/>
        <w:rPr>
          <w:color w:val="000000"/>
          <w:highlight w:val="none"/>
        </w:rPr>
      </w:pPr>
      <w:r>
        <w:rPr>
          <w:rFonts w:hint="eastAsia"/>
          <w:color w:val="000000"/>
          <w:highlight w:val="none"/>
        </w:rPr>
        <w:t>（1）报价出现前后不一致的，按照下列规定修正：</w:t>
      </w:r>
    </w:p>
    <w:p w14:paraId="52245FD9">
      <w:pPr>
        <w:spacing w:before="120" w:line="320" w:lineRule="atLeast"/>
        <w:ind w:firstLine="420" w:firstLineChars="200"/>
        <w:rPr>
          <w:color w:val="000000"/>
          <w:szCs w:val="21"/>
          <w:highlight w:val="none"/>
        </w:rPr>
      </w:pPr>
      <w:r>
        <w:rPr>
          <w:rFonts w:hint="eastAsia" w:ascii="宋体" w:hAnsi="宋体"/>
          <w:color w:val="000000"/>
          <w:szCs w:val="21"/>
          <w:highlight w:val="none"/>
        </w:rPr>
        <w:t>①</w:t>
      </w:r>
      <w:r>
        <w:rPr>
          <w:color w:val="000000"/>
          <w:szCs w:val="21"/>
          <w:highlight w:val="none"/>
        </w:rPr>
        <w:t>响应文件中截标一览表（报价表）内容与响应文件中相应内容不一致的，以截标一览表（报价表）为准；</w:t>
      </w:r>
    </w:p>
    <w:p w14:paraId="3DAB8D1B">
      <w:pPr>
        <w:spacing w:before="120" w:line="320" w:lineRule="atLeast"/>
        <w:ind w:firstLine="420" w:firstLineChars="200"/>
        <w:rPr>
          <w:color w:val="000000"/>
          <w:szCs w:val="21"/>
          <w:highlight w:val="none"/>
        </w:rPr>
      </w:pPr>
      <w:r>
        <w:rPr>
          <w:rFonts w:ascii="宋体" w:hAnsi="宋体"/>
          <w:color w:val="000000"/>
          <w:szCs w:val="21"/>
          <w:highlight w:val="none"/>
        </w:rPr>
        <w:t>②</w:t>
      </w:r>
      <w:r>
        <w:rPr>
          <w:color w:val="000000"/>
          <w:szCs w:val="21"/>
          <w:highlight w:val="none"/>
        </w:rPr>
        <w:t>大写金额和小写金额不一致的，以大写金额为准；</w:t>
      </w:r>
    </w:p>
    <w:p w14:paraId="7566D9FF">
      <w:pPr>
        <w:spacing w:before="120" w:line="320" w:lineRule="atLeast"/>
        <w:ind w:firstLine="420" w:firstLineChars="200"/>
        <w:rPr>
          <w:color w:val="000000"/>
          <w:szCs w:val="21"/>
          <w:highlight w:val="none"/>
        </w:rPr>
      </w:pPr>
      <w:r>
        <w:rPr>
          <w:rFonts w:hint="eastAsia"/>
          <w:color w:val="000000"/>
          <w:szCs w:val="21"/>
          <w:highlight w:val="none"/>
        </w:rPr>
        <w:t>③</w:t>
      </w:r>
      <w:r>
        <w:rPr>
          <w:color w:val="000000"/>
          <w:szCs w:val="21"/>
          <w:highlight w:val="none"/>
        </w:rPr>
        <w:t>单价金额小数点或者百分比有明显错位的，以截标一览表的总价为准，并修改单价；</w:t>
      </w:r>
    </w:p>
    <w:p w14:paraId="66FB843A">
      <w:pPr>
        <w:spacing w:before="120" w:line="320" w:lineRule="atLeast"/>
        <w:ind w:firstLine="420" w:firstLineChars="200"/>
        <w:rPr>
          <w:color w:val="000000"/>
          <w:szCs w:val="21"/>
          <w:highlight w:val="none"/>
        </w:rPr>
      </w:pPr>
      <w:r>
        <w:rPr>
          <w:rFonts w:hint="eastAsia"/>
          <w:color w:val="000000"/>
          <w:szCs w:val="21"/>
          <w:highlight w:val="none"/>
        </w:rPr>
        <w:t>④</w:t>
      </w:r>
      <w:r>
        <w:rPr>
          <w:color w:val="000000"/>
          <w:szCs w:val="21"/>
          <w:highlight w:val="none"/>
        </w:rPr>
        <w:t>总价金额与按单价汇总金额不一致的，以单价金额计算结果为准</w:t>
      </w:r>
      <w:r>
        <w:rPr>
          <w:rFonts w:hint="eastAsia"/>
          <w:color w:val="000000"/>
          <w:szCs w:val="21"/>
          <w:highlight w:val="none"/>
        </w:rPr>
        <w:t>。</w:t>
      </w:r>
    </w:p>
    <w:p w14:paraId="168DD10E">
      <w:pPr>
        <w:spacing w:before="120" w:line="320" w:lineRule="atLeast"/>
        <w:ind w:firstLine="420" w:firstLineChars="200"/>
        <w:rPr>
          <w:color w:val="000000"/>
          <w:szCs w:val="21"/>
          <w:highlight w:val="none"/>
        </w:rPr>
      </w:pPr>
      <w:r>
        <w:rPr>
          <w:rFonts w:hint="eastAsia"/>
          <w:color w:val="000000"/>
          <w:szCs w:val="21"/>
          <w:highlight w:val="none"/>
        </w:rPr>
        <w:t>同时出现两种以上不一致的，按照上述</w:t>
      </w:r>
      <w:r>
        <w:rPr>
          <w:rFonts w:hint="eastAsia" w:ascii="宋体" w:hAnsi="宋体"/>
          <w:color w:val="000000"/>
          <w:szCs w:val="21"/>
          <w:highlight w:val="none"/>
        </w:rPr>
        <w:t>①-</w:t>
      </w:r>
      <w:r>
        <w:rPr>
          <w:rFonts w:hint="eastAsia"/>
          <w:color w:val="000000"/>
          <w:szCs w:val="21"/>
          <w:highlight w:val="none"/>
        </w:rPr>
        <w:t>④顺序修正。修正后的报价按照上述“</w:t>
      </w:r>
      <w:r>
        <w:rPr>
          <w:color w:val="000000"/>
          <w:szCs w:val="21"/>
          <w:highlight w:val="none"/>
        </w:rPr>
        <w:t>2.5.3.3</w:t>
      </w:r>
      <w:r>
        <w:rPr>
          <w:rFonts w:hint="eastAsia"/>
          <w:color w:val="000000"/>
          <w:szCs w:val="21"/>
          <w:highlight w:val="none"/>
        </w:rPr>
        <w:t>澄清、说明或补正”的规定经供应商确认后产生约束力，供应商不确认的，其响应无效。</w:t>
      </w:r>
    </w:p>
    <w:p w14:paraId="75BDD335">
      <w:pPr>
        <w:spacing w:before="120" w:line="320" w:lineRule="atLeast"/>
        <w:ind w:firstLine="420" w:firstLineChars="200"/>
        <w:rPr>
          <w:color w:val="000000"/>
          <w:szCs w:val="21"/>
          <w:highlight w:val="none"/>
        </w:rPr>
      </w:pPr>
      <w:r>
        <w:rPr>
          <w:rFonts w:hint="eastAsia"/>
          <w:color w:val="000000"/>
          <w:szCs w:val="21"/>
          <w:highlight w:val="none"/>
        </w:rPr>
        <w:t>（</w:t>
      </w:r>
      <w:r>
        <w:rPr>
          <w:color w:val="000000"/>
          <w:szCs w:val="21"/>
          <w:highlight w:val="none"/>
        </w:rPr>
        <w:t>2</w:t>
      </w:r>
      <w:r>
        <w:rPr>
          <w:rFonts w:hint="eastAsia"/>
          <w:color w:val="000000"/>
          <w:szCs w:val="21"/>
          <w:highlight w:val="none"/>
        </w:rPr>
        <w:t>）评审委员会认为供应商的报价明显低于其他通过符合性审查供应商的报价，有可能影响产品质量或者不能诚信履约的，应当要求其在合理的时间内提交相关书面证明材料；书面证明应当按照上述“</w:t>
      </w:r>
      <w:r>
        <w:rPr>
          <w:color w:val="000000"/>
          <w:szCs w:val="21"/>
          <w:highlight w:val="none"/>
        </w:rPr>
        <w:t>2.5.3.3</w:t>
      </w:r>
      <w:r>
        <w:rPr>
          <w:rFonts w:hint="eastAsia"/>
          <w:color w:val="000000"/>
          <w:szCs w:val="21"/>
          <w:highlight w:val="none"/>
        </w:rPr>
        <w:t>澄清、说明或补正”的规定提交。供应商未按规定提交或不能证明其报价合理性的，评审委员会应当将其作为无效响应处理。</w:t>
      </w:r>
    </w:p>
    <w:p w14:paraId="4F7BD688">
      <w:pPr>
        <w:spacing w:before="120" w:line="320" w:lineRule="atLeast"/>
        <w:ind w:firstLine="420" w:firstLineChars="200"/>
        <w:rPr>
          <w:color w:val="000000"/>
          <w:szCs w:val="21"/>
          <w:highlight w:val="none"/>
        </w:rPr>
      </w:pPr>
      <w:r>
        <w:rPr>
          <w:rFonts w:hint="eastAsia"/>
          <w:color w:val="000000"/>
          <w:szCs w:val="21"/>
          <w:highlight w:val="none"/>
        </w:rPr>
        <w:t>（</w:t>
      </w:r>
      <w:r>
        <w:rPr>
          <w:color w:val="000000"/>
          <w:szCs w:val="21"/>
          <w:highlight w:val="none"/>
        </w:rPr>
        <w:t>3</w:t>
      </w:r>
      <w:r>
        <w:rPr>
          <w:rFonts w:hint="eastAsia"/>
          <w:color w:val="000000"/>
          <w:szCs w:val="21"/>
          <w:highlight w:val="none"/>
        </w:rPr>
        <w:t>）经供应商确认修正后的报价若超过采购预算金额或者最高限价，其响应文件作无效响应处理。</w:t>
      </w:r>
    </w:p>
    <w:p w14:paraId="0856F8E8">
      <w:pPr>
        <w:spacing w:before="120" w:line="320" w:lineRule="atLeast"/>
        <w:ind w:firstLine="420" w:firstLineChars="200"/>
        <w:rPr>
          <w:color w:val="000000"/>
          <w:szCs w:val="21"/>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）经供应商确认修正后的报价作为签订合同的依据，并以此报价计算价格分。</w:t>
      </w:r>
    </w:p>
    <w:p w14:paraId="19883086">
      <w:pPr>
        <w:spacing w:before="120" w:line="320" w:lineRule="atLeast"/>
        <w:ind w:firstLine="420" w:firstLineChars="200"/>
        <w:rPr>
          <w:color w:val="000000"/>
          <w:szCs w:val="21"/>
          <w:highlight w:val="none"/>
        </w:rPr>
      </w:pPr>
      <w:r>
        <w:rPr>
          <w:color w:val="000000"/>
          <w:szCs w:val="21"/>
          <w:highlight w:val="none"/>
        </w:rPr>
        <w:t>2.5.3.4串通响应认定</w:t>
      </w:r>
    </w:p>
    <w:p w14:paraId="02254B7C">
      <w:pPr>
        <w:spacing w:before="120" w:line="320" w:lineRule="atLeast"/>
        <w:ind w:firstLine="420" w:firstLineChars="200"/>
        <w:rPr>
          <w:color w:val="000000"/>
          <w:szCs w:val="21"/>
          <w:highlight w:val="none"/>
        </w:rPr>
      </w:pPr>
      <w:r>
        <w:rPr>
          <w:rFonts w:hint="eastAsia"/>
          <w:color w:val="000000"/>
          <w:szCs w:val="21"/>
          <w:highlight w:val="none"/>
        </w:rPr>
        <w:t>评审委员会须根据以下规定认定供应商是否有串通投标的行为。</w:t>
      </w:r>
    </w:p>
    <w:p w14:paraId="352E32DB">
      <w:pPr>
        <w:spacing w:before="120" w:line="320" w:lineRule="atLeast"/>
        <w:ind w:firstLine="420" w:firstLineChars="200"/>
        <w:rPr>
          <w:color w:val="000000"/>
          <w:szCs w:val="21"/>
          <w:highlight w:val="none"/>
        </w:rPr>
      </w:pPr>
      <w:r>
        <w:rPr>
          <w:rFonts w:hint="eastAsia"/>
          <w:color w:val="000000"/>
          <w:szCs w:val="21"/>
          <w:highlight w:val="none"/>
        </w:rPr>
        <w:t>（1）出现下述情况的，相关供应商的投标作无效投标处理。</w:t>
      </w:r>
    </w:p>
    <w:p w14:paraId="6E33C736">
      <w:pPr>
        <w:spacing w:before="120" w:line="320" w:lineRule="atLeast"/>
        <w:ind w:firstLine="420" w:firstLineChars="200"/>
        <w:rPr>
          <w:color w:val="000000"/>
          <w:szCs w:val="21"/>
          <w:highlight w:val="none"/>
        </w:rPr>
      </w:pPr>
      <w:r>
        <w:rPr>
          <w:rFonts w:hint="eastAsia"/>
          <w:color w:val="000000"/>
          <w:szCs w:val="21"/>
          <w:highlight w:val="none"/>
        </w:rPr>
        <w:t>①单位负责人为同一人或者存在直接控股、管理关系，参加同一合同项下政府采购活动的不同供应商。</w:t>
      </w:r>
    </w:p>
    <w:p w14:paraId="500A7F7D">
      <w:pPr>
        <w:spacing w:before="120" w:line="320" w:lineRule="atLeast"/>
        <w:ind w:firstLine="420" w:firstLineChars="200"/>
        <w:rPr>
          <w:color w:val="000000"/>
          <w:szCs w:val="21"/>
          <w:highlight w:val="none"/>
        </w:rPr>
      </w:pPr>
      <w:r>
        <w:rPr>
          <w:rFonts w:hint="eastAsia"/>
          <w:color w:val="000000"/>
          <w:szCs w:val="21"/>
          <w:highlight w:val="none"/>
        </w:rPr>
        <w:t>②视为或被认定为串通投标的相关供应商。</w:t>
      </w:r>
    </w:p>
    <w:p w14:paraId="19FADFE2">
      <w:pPr>
        <w:spacing w:before="120" w:line="320" w:lineRule="atLeast"/>
        <w:ind w:firstLine="420" w:firstLineChars="200"/>
        <w:rPr>
          <w:color w:val="000000"/>
          <w:szCs w:val="21"/>
          <w:highlight w:val="none"/>
        </w:rPr>
      </w:pPr>
      <w:r>
        <w:rPr>
          <w:rFonts w:hint="eastAsia"/>
          <w:color w:val="000000"/>
          <w:szCs w:val="21"/>
          <w:highlight w:val="none"/>
        </w:rPr>
        <w:t>（2）有下列情形之一的视为供应商相互串通投标，投标文件将被视为无效。</w:t>
      </w:r>
    </w:p>
    <w:p w14:paraId="2C34D028">
      <w:pPr>
        <w:spacing w:before="120" w:line="320" w:lineRule="atLeast"/>
        <w:ind w:firstLine="420" w:firstLineChars="200"/>
        <w:rPr>
          <w:color w:val="000000"/>
          <w:szCs w:val="21"/>
          <w:highlight w:val="none"/>
        </w:rPr>
      </w:pPr>
      <w:r>
        <w:rPr>
          <w:rFonts w:hint="eastAsia"/>
          <w:color w:val="000000"/>
          <w:szCs w:val="21"/>
          <w:highlight w:val="none"/>
        </w:rPr>
        <w:t>①不同供应商的投标文件由同一单位或者个人编制；</w:t>
      </w:r>
    </w:p>
    <w:p w14:paraId="1C39E2B0">
      <w:pPr>
        <w:spacing w:before="120" w:line="320" w:lineRule="atLeast"/>
        <w:ind w:firstLine="420" w:firstLineChars="200"/>
        <w:rPr>
          <w:color w:val="000000"/>
          <w:szCs w:val="21"/>
          <w:highlight w:val="none"/>
        </w:rPr>
      </w:pPr>
      <w:r>
        <w:rPr>
          <w:rFonts w:hint="eastAsia"/>
          <w:color w:val="000000"/>
          <w:szCs w:val="21"/>
          <w:highlight w:val="none"/>
        </w:rPr>
        <w:t>②不同供应商委托同一单位或者个人办理投标事宜；</w:t>
      </w:r>
    </w:p>
    <w:p w14:paraId="6E830765">
      <w:pPr>
        <w:spacing w:before="120" w:line="320" w:lineRule="atLeast"/>
        <w:ind w:firstLine="420" w:firstLineChars="200"/>
        <w:rPr>
          <w:color w:val="000000"/>
          <w:szCs w:val="21"/>
          <w:highlight w:val="none"/>
        </w:rPr>
      </w:pPr>
      <w:r>
        <w:rPr>
          <w:rFonts w:hint="eastAsia"/>
          <w:color w:val="000000"/>
          <w:szCs w:val="21"/>
          <w:highlight w:val="none"/>
        </w:rPr>
        <w:t>③不同的供应商的投标文件载明的项目管理员为同一个人；</w:t>
      </w:r>
    </w:p>
    <w:p w14:paraId="0DFC4F1F">
      <w:pPr>
        <w:spacing w:before="120" w:line="320" w:lineRule="atLeast"/>
        <w:ind w:firstLine="420" w:firstLineChars="200"/>
        <w:rPr>
          <w:color w:val="000000"/>
          <w:szCs w:val="21"/>
          <w:highlight w:val="none"/>
        </w:rPr>
      </w:pPr>
      <w:r>
        <w:rPr>
          <w:rFonts w:hint="eastAsia"/>
          <w:color w:val="000000"/>
          <w:szCs w:val="21"/>
          <w:highlight w:val="none"/>
        </w:rPr>
        <w:t>④不同供应商的投标文件异常一致或投标报价呈规律性差异；</w:t>
      </w:r>
    </w:p>
    <w:p w14:paraId="1FABA5A8">
      <w:pPr>
        <w:spacing w:before="120" w:line="320" w:lineRule="atLeast"/>
        <w:ind w:firstLine="420" w:firstLineChars="200"/>
        <w:rPr>
          <w:color w:val="000000"/>
          <w:szCs w:val="21"/>
          <w:highlight w:val="none"/>
        </w:rPr>
      </w:pPr>
      <w:r>
        <w:rPr>
          <w:rFonts w:hint="eastAsia"/>
          <w:color w:val="000000"/>
          <w:szCs w:val="21"/>
          <w:highlight w:val="none"/>
        </w:rPr>
        <w:t>⑤不同供应商的投标文件相互混装；</w:t>
      </w:r>
    </w:p>
    <w:p w14:paraId="1F018B06">
      <w:pPr>
        <w:spacing w:before="120" w:line="320" w:lineRule="atLeast"/>
        <w:ind w:firstLine="420" w:firstLineChars="200"/>
        <w:rPr>
          <w:color w:val="000000"/>
          <w:szCs w:val="21"/>
          <w:highlight w:val="none"/>
        </w:rPr>
      </w:pPr>
      <w:r>
        <w:rPr>
          <w:rFonts w:hint="eastAsia"/>
          <w:color w:val="000000"/>
          <w:szCs w:val="21"/>
          <w:highlight w:val="none"/>
        </w:rPr>
        <w:t>⑥不同供应商的保证金从同一单位或者个人账户转出。</w:t>
      </w:r>
    </w:p>
    <w:p w14:paraId="17F2FD74">
      <w:pPr>
        <w:spacing w:before="120" w:line="320" w:lineRule="atLeast"/>
        <w:ind w:firstLine="420" w:firstLineChars="200"/>
        <w:rPr>
          <w:color w:val="000000"/>
          <w:szCs w:val="21"/>
          <w:highlight w:val="none"/>
        </w:rPr>
      </w:pPr>
      <w:r>
        <w:rPr>
          <w:rFonts w:hint="eastAsia"/>
          <w:color w:val="000000"/>
          <w:szCs w:val="21"/>
          <w:highlight w:val="none"/>
        </w:rPr>
        <w:t>（3）供应商有下列情形之一的，属于恶意串通行为，投标文件将被视为无效。</w:t>
      </w:r>
    </w:p>
    <w:p w14:paraId="0EBC562A">
      <w:pPr>
        <w:spacing w:before="120" w:line="320" w:lineRule="atLeast"/>
        <w:ind w:firstLine="420" w:firstLineChars="200"/>
        <w:rPr>
          <w:color w:val="000000"/>
          <w:szCs w:val="21"/>
          <w:highlight w:val="none"/>
        </w:rPr>
      </w:pPr>
      <w:r>
        <w:rPr>
          <w:rFonts w:hint="eastAsia"/>
          <w:color w:val="000000"/>
          <w:szCs w:val="21"/>
          <w:highlight w:val="none"/>
        </w:rPr>
        <w:t>①供应商直接或者间接从采购人或者采购代理机构处获得其他供应商的相关信息并修改其投标文件或者响应文件；</w:t>
      </w:r>
    </w:p>
    <w:p w14:paraId="629B41F1">
      <w:pPr>
        <w:spacing w:before="120" w:line="320" w:lineRule="atLeast"/>
        <w:ind w:firstLine="420" w:firstLineChars="200"/>
        <w:rPr>
          <w:color w:val="000000"/>
          <w:szCs w:val="21"/>
          <w:highlight w:val="none"/>
        </w:rPr>
      </w:pPr>
      <w:r>
        <w:rPr>
          <w:rFonts w:hint="eastAsia"/>
          <w:color w:val="000000"/>
          <w:szCs w:val="21"/>
          <w:highlight w:val="none"/>
        </w:rPr>
        <w:t>②供应商按照采购人或者采购代理机构的授意撤换、修改投标文件或者响应文件;；</w:t>
      </w:r>
    </w:p>
    <w:p w14:paraId="50897873">
      <w:pPr>
        <w:spacing w:before="120" w:line="320" w:lineRule="atLeast"/>
        <w:ind w:firstLine="420" w:firstLineChars="200"/>
        <w:rPr>
          <w:color w:val="000000"/>
          <w:szCs w:val="21"/>
          <w:highlight w:val="none"/>
        </w:rPr>
      </w:pPr>
      <w:r>
        <w:rPr>
          <w:rFonts w:hint="eastAsia"/>
          <w:color w:val="000000"/>
          <w:szCs w:val="21"/>
          <w:highlight w:val="none"/>
        </w:rPr>
        <w:t>③供应商之间协商报价、技术方案等投标文件或者响应文件的实质性内容；</w:t>
      </w:r>
    </w:p>
    <w:p w14:paraId="19A23683">
      <w:pPr>
        <w:spacing w:before="120" w:line="320" w:lineRule="atLeast"/>
        <w:ind w:firstLine="420" w:firstLineChars="200"/>
        <w:rPr>
          <w:color w:val="000000"/>
          <w:szCs w:val="21"/>
          <w:highlight w:val="none"/>
        </w:rPr>
      </w:pPr>
      <w:r>
        <w:rPr>
          <w:rFonts w:hint="eastAsia"/>
          <w:color w:val="000000"/>
          <w:szCs w:val="21"/>
          <w:highlight w:val="none"/>
        </w:rPr>
        <w:t>④属于同一集团、协会、商会等组织成员的供应商按照该组织要求协同参加政府采购活动；</w:t>
      </w:r>
    </w:p>
    <w:p w14:paraId="138327C6">
      <w:pPr>
        <w:spacing w:before="120" w:line="320" w:lineRule="atLeast"/>
        <w:ind w:firstLine="420" w:firstLineChars="200"/>
        <w:rPr>
          <w:color w:val="000000"/>
          <w:szCs w:val="21"/>
          <w:highlight w:val="none"/>
        </w:rPr>
      </w:pPr>
      <w:r>
        <w:rPr>
          <w:rFonts w:hint="eastAsia"/>
          <w:color w:val="000000"/>
          <w:szCs w:val="21"/>
          <w:highlight w:val="none"/>
        </w:rPr>
        <w:t>⑤供应商之间事先约定一致抬高或者压低投标报价，或者在招标项目中事先约定轮流以高价位或者低价位中标，或者事先约定由某一特定供应商中标，然后再参加投标；</w:t>
      </w:r>
    </w:p>
    <w:p w14:paraId="4F407C96">
      <w:pPr>
        <w:spacing w:before="120" w:line="320" w:lineRule="atLeast"/>
        <w:ind w:firstLine="420" w:firstLineChars="200"/>
        <w:rPr>
          <w:color w:val="000000"/>
          <w:szCs w:val="21"/>
          <w:highlight w:val="none"/>
        </w:rPr>
      </w:pPr>
      <w:r>
        <w:rPr>
          <w:rFonts w:hint="eastAsia"/>
          <w:color w:val="000000"/>
          <w:szCs w:val="21"/>
          <w:highlight w:val="none"/>
        </w:rPr>
        <w:t>⑥供应商之间商定部分供应商放弃参加政府采购活动或者放弃中标；</w:t>
      </w:r>
    </w:p>
    <w:p w14:paraId="10A670FB">
      <w:pPr>
        <w:spacing w:before="120" w:line="320" w:lineRule="atLeast"/>
        <w:ind w:firstLine="420" w:firstLineChars="200"/>
        <w:rPr>
          <w:color w:val="000000"/>
          <w:szCs w:val="21"/>
          <w:highlight w:val="none"/>
        </w:rPr>
      </w:pPr>
      <w:r>
        <w:rPr>
          <w:rFonts w:hint="eastAsia"/>
          <w:color w:val="000000"/>
          <w:szCs w:val="21"/>
          <w:highlight w:val="none"/>
        </w:rPr>
        <w:t>⑦供应商与采购人或者采购代理机构之间、供应商相互之间，为谋求特定供应商中标或者排斥其他供应商的其他串通行为。</w:t>
      </w:r>
    </w:p>
    <w:p w14:paraId="63C85F05">
      <w:pPr>
        <w:spacing w:before="120" w:line="320" w:lineRule="atLeast"/>
        <w:ind w:firstLine="420" w:firstLineChars="200"/>
        <w:rPr>
          <w:color w:val="000000"/>
          <w:szCs w:val="21"/>
          <w:highlight w:val="none"/>
        </w:rPr>
      </w:pPr>
      <w:r>
        <w:rPr>
          <w:rFonts w:hint="eastAsia"/>
          <w:color w:val="000000"/>
          <w:szCs w:val="21"/>
          <w:highlight w:val="none"/>
        </w:rPr>
        <w:t>注：本款所述“投标”即为“响应”，“中标”即为“入围”。</w:t>
      </w:r>
    </w:p>
    <w:p w14:paraId="274E2673">
      <w:pPr>
        <w:spacing w:before="120" w:line="320" w:lineRule="atLeast"/>
        <w:ind w:firstLine="420" w:firstLineChars="200"/>
        <w:rPr>
          <w:color w:val="000000"/>
          <w:szCs w:val="21"/>
          <w:highlight w:val="none"/>
        </w:rPr>
      </w:pPr>
      <w:r>
        <w:rPr>
          <w:color w:val="000000"/>
          <w:szCs w:val="21"/>
          <w:highlight w:val="none"/>
        </w:rPr>
        <w:t>2.5.3.5响应</w:t>
      </w:r>
      <w:r>
        <w:rPr>
          <w:rFonts w:hint="eastAsia"/>
          <w:color w:val="000000"/>
          <w:szCs w:val="21"/>
          <w:highlight w:val="none"/>
        </w:rPr>
        <w:t>无效</w:t>
      </w:r>
      <w:r>
        <w:rPr>
          <w:color w:val="000000"/>
          <w:szCs w:val="21"/>
          <w:highlight w:val="none"/>
        </w:rPr>
        <w:t>认定</w:t>
      </w:r>
    </w:p>
    <w:p w14:paraId="64057BFF">
      <w:pPr>
        <w:spacing w:before="120" w:line="320" w:lineRule="atLeast"/>
        <w:ind w:firstLine="420" w:firstLineChars="200"/>
        <w:rPr>
          <w:color w:val="000000"/>
          <w:szCs w:val="21"/>
          <w:highlight w:val="none"/>
        </w:rPr>
      </w:pPr>
      <w:r>
        <w:rPr>
          <w:rFonts w:hint="eastAsia"/>
          <w:color w:val="000000"/>
          <w:szCs w:val="21"/>
          <w:highlight w:val="none"/>
        </w:rPr>
        <w:t>（</w:t>
      </w:r>
      <w:r>
        <w:rPr>
          <w:color w:val="000000"/>
          <w:szCs w:val="21"/>
          <w:highlight w:val="none"/>
        </w:rPr>
        <w:t>1）在</w:t>
      </w:r>
      <w:r>
        <w:rPr>
          <w:rFonts w:hint="eastAsia"/>
          <w:color w:val="000000"/>
          <w:szCs w:val="21"/>
          <w:highlight w:val="none"/>
        </w:rPr>
        <w:t>评审过程中</w:t>
      </w:r>
      <w:r>
        <w:rPr>
          <w:color w:val="000000"/>
          <w:szCs w:val="21"/>
          <w:highlight w:val="none"/>
        </w:rPr>
        <w:t>如发现下列情形之一的，响应文件将被视为无效：</w:t>
      </w:r>
    </w:p>
    <w:p w14:paraId="0EC6E3C3">
      <w:pPr>
        <w:spacing w:before="120" w:line="320" w:lineRule="atLeast"/>
        <w:ind w:firstLine="420" w:firstLineChars="200"/>
        <w:rPr>
          <w:color w:val="000000"/>
          <w:highlight w:val="none"/>
        </w:rPr>
      </w:pPr>
      <w:r>
        <w:rPr>
          <w:rFonts w:hint="eastAsia"/>
          <w:color w:val="000000"/>
          <w:szCs w:val="21"/>
          <w:highlight w:val="none"/>
        </w:rPr>
        <w:t>①</w:t>
      </w:r>
      <w:r>
        <w:rPr>
          <w:color w:val="000000"/>
          <w:szCs w:val="21"/>
          <w:highlight w:val="none"/>
        </w:rPr>
        <w:t>响应文件</w:t>
      </w:r>
      <w:r>
        <w:rPr>
          <w:rFonts w:hint="eastAsia"/>
          <w:color w:val="000000"/>
          <w:szCs w:val="21"/>
          <w:highlight w:val="none"/>
        </w:rPr>
        <w:t>存在法律、法规及监督部门有关文件规定的无效情形</w:t>
      </w:r>
      <w:r>
        <w:rPr>
          <w:color w:val="000000"/>
          <w:szCs w:val="21"/>
          <w:highlight w:val="none"/>
        </w:rPr>
        <w:t>。</w:t>
      </w:r>
    </w:p>
    <w:p w14:paraId="3595D84C">
      <w:pPr>
        <w:spacing w:before="120" w:line="320" w:lineRule="atLeast"/>
        <w:ind w:firstLine="420" w:firstLineChars="200"/>
        <w:rPr>
          <w:color w:val="000000"/>
          <w:szCs w:val="21"/>
          <w:highlight w:val="none"/>
        </w:rPr>
      </w:pPr>
      <w:r>
        <w:rPr>
          <w:rFonts w:hint="eastAsia"/>
          <w:color w:val="000000"/>
          <w:szCs w:val="21"/>
          <w:highlight w:val="none"/>
        </w:rPr>
        <w:t>②</w:t>
      </w:r>
      <w:r>
        <w:rPr>
          <w:color w:val="000000"/>
          <w:szCs w:val="21"/>
          <w:highlight w:val="none"/>
        </w:rPr>
        <w:t>响应文件</w:t>
      </w:r>
      <w:r>
        <w:rPr>
          <w:rFonts w:hint="eastAsia"/>
          <w:color w:val="000000"/>
          <w:szCs w:val="21"/>
          <w:highlight w:val="none"/>
        </w:rPr>
        <w:t>存在征集文件规定的无效情形。</w:t>
      </w:r>
    </w:p>
    <w:p w14:paraId="3887236D">
      <w:pPr>
        <w:spacing w:before="120" w:line="320" w:lineRule="atLeast"/>
        <w:ind w:firstLine="420" w:firstLineChars="200"/>
        <w:rPr>
          <w:color w:val="000000"/>
          <w:szCs w:val="21"/>
          <w:highlight w:val="none"/>
        </w:rPr>
      </w:pPr>
      <w:r>
        <w:rPr>
          <w:rFonts w:hint="eastAsia"/>
          <w:color w:val="000000"/>
          <w:szCs w:val="21"/>
          <w:highlight w:val="none"/>
        </w:rPr>
        <w:t>（2）根据</w:t>
      </w:r>
      <w:r>
        <w:rPr>
          <w:color w:val="000000"/>
          <w:szCs w:val="21"/>
          <w:highlight w:val="none"/>
        </w:rPr>
        <w:t>财库</w:t>
      </w:r>
      <w:r>
        <w:rPr>
          <w:rFonts w:hint="eastAsia"/>
          <w:color w:val="000000"/>
          <w:szCs w:val="21"/>
          <w:highlight w:val="none"/>
        </w:rPr>
        <w:t>《</w:t>
      </w:r>
      <w:r>
        <w:rPr>
          <w:color w:val="000000"/>
          <w:szCs w:val="21"/>
          <w:highlight w:val="none"/>
        </w:rPr>
        <w:t>关于促进政府采购公平竞争优化营商环境的通知</w:t>
      </w:r>
      <w:r>
        <w:rPr>
          <w:rFonts w:hint="eastAsia"/>
          <w:color w:val="000000"/>
          <w:szCs w:val="21"/>
          <w:highlight w:val="none"/>
        </w:rPr>
        <w:t>》（</w:t>
      </w:r>
      <w:r>
        <w:rPr>
          <w:color w:val="000000"/>
          <w:szCs w:val="21"/>
          <w:highlight w:val="none"/>
        </w:rPr>
        <w:t>〔2019〕38号</w:t>
      </w:r>
      <w:r>
        <w:rPr>
          <w:rFonts w:hint="eastAsia"/>
          <w:color w:val="000000"/>
          <w:szCs w:val="21"/>
          <w:highlight w:val="none"/>
        </w:rPr>
        <w:t>），评审委员会不得因装订、纸张、文件排序等非实质性的格式、形式问题认定响应无效或否决响应，从而限制和影响供应商响应（响应）。</w:t>
      </w:r>
    </w:p>
    <w:p w14:paraId="124E2352">
      <w:pPr>
        <w:spacing w:before="120" w:line="320" w:lineRule="atLeast"/>
        <w:ind w:firstLine="420" w:firstLineChars="200"/>
        <w:rPr>
          <w:color w:val="000000"/>
          <w:szCs w:val="21"/>
          <w:highlight w:val="none"/>
        </w:rPr>
      </w:pPr>
      <w:r>
        <w:rPr>
          <w:color w:val="000000"/>
          <w:szCs w:val="21"/>
          <w:highlight w:val="none"/>
        </w:rPr>
        <w:t>2.5.3.6比较与评价</w:t>
      </w:r>
    </w:p>
    <w:p w14:paraId="01F2B096">
      <w:pPr>
        <w:spacing w:before="120" w:line="320" w:lineRule="atLeast"/>
        <w:ind w:firstLine="420" w:firstLineChars="200"/>
        <w:rPr>
          <w:color w:val="000000"/>
          <w:szCs w:val="21"/>
          <w:highlight w:val="none"/>
        </w:rPr>
      </w:pPr>
      <w:r>
        <w:rPr>
          <w:rFonts w:hint="eastAsia"/>
          <w:color w:val="000000"/>
          <w:szCs w:val="21"/>
          <w:highlight w:val="none"/>
        </w:rPr>
        <w:t>（1）评审委员会</w:t>
      </w:r>
      <w:r>
        <w:rPr>
          <w:color w:val="000000"/>
          <w:szCs w:val="21"/>
          <w:highlight w:val="none"/>
        </w:rPr>
        <w:t>按征集文件中规定的评审方法和标准，对符合性审查合格的响应文件进行综合比较与评价。</w:t>
      </w:r>
    </w:p>
    <w:p w14:paraId="1A9BEA96">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评审委员会各成员独立对每个有效供应商的响应文件进行评价</w:t>
      </w:r>
      <w:r>
        <w:rPr>
          <w:rFonts w:hint="eastAsia"/>
          <w:color w:val="000000"/>
          <w:szCs w:val="21"/>
          <w:highlight w:val="none"/>
        </w:rPr>
        <w:t>。评价</w:t>
      </w:r>
      <w:r>
        <w:rPr>
          <w:color w:val="000000"/>
          <w:szCs w:val="21"/>
          <w:highlight w:val="none"/>
        </w:rPr>
        <w:t>有误的应及时进行修正。</w:t>
      </w:r>
      <w:r>
        <w:rPr>
          <w:rFonts w:hint="eastAsia"/>
          <w:color w:val="000000"/>
          <w:szCs w:val="21"/>
          <w:highlight w:val="none"/>
        </w:rPr>
        <w:t>评分</w:t>
      </w:r>
      <w:r>
        <w:rPr>
          <w:color w:val="000000"/>
          <w:szCs w:val="21"/>
          <w:highlight w:val="none"/>
        </w:rPr>
        <w:t>标准如有客观分定义，评审委员会所有成员的客观分</w:t>
      </w:r>
      <w:r>
        <w:rPr>
          <w:rFonts w:hint="eastAsia"/>
          <w:color w:val="000000"/>
          <w:szCs w:val="21"/>
          <w:highlight w:val="none"/>
        </w:rPr>
        <w:t>评分分值</w:t>
      </w:r>
      <w:r>
        <w:rPr>
          <w:color w:val="000000"/>
          <w:szCs w:val="21"/>
          <w:highlight w:val="none"/>
        </w:rPr>
        <w:t>应当一致。</w:t>
      </w:r>
    </w:p>
    <w:p w14:paraId="0B9E8555">
      <w:pPr>
        <w:spacing w:before="120" w:line="320" w:lineRule="atLeast"/>
        <w:ind w:firstLine="420" w:firstLineChars="200"/>
        <w:rPr>
          <w:color w:val="000000"/>
          <w:szCs w:val="21"/>
          <w:highlight w:val="none"/>
        </w:rPr>
      </w:pPr>
      <w:r>
        <w:rPr>
          <w:rFonts w:hint="eastAsia"/>
          <w:color w:val="000000"/>
          <w:szCs w:val="21"/>
          <w:highlight w:val="none"/>
        </w:rPr>
        <w:t>（3）评审委员会</w:t>
      </w:r>
      <w:r>
        <w:rPr>
          <w:color w:val="000000"/>
          <w:szCs w:val="21"/>
          <w:highlight w:val="none"/>
        </w:rPr>
        <w:t>按</w:t>
      </w:r>
      <w:r>
        <w:rPr>
          <w:rFonts w:hint="eastAsia"/>
          <w:color w:val="000000"/>
          <w:szCs w:val="21"/>
          <w:highlight w:val="none"/>
        </w:rPr>
        <w:t>质量综合评</w:t>
      </w:r>
      <w:r>
        <w:rPr>
          <w:color w:val="000000"/>
          <w:szCs w:val="21"/>
          <w:highlight w:val="none"/>
        </w:rPr>
        <w:t>分由高到低的排列顺序</w:t>
      </w:r>
      <w:r>
        <w:rPr>
          <w:rFonts w:hint="eastAsia"/>
          <w:color w:val="000000"/>
          <w:szCs w:val="21"/>
          <w:highlight w:val="none"/>
        </w:rPr>
        <w:t>以及评审方法及标准规定的入围供应商数量上限及淘汰率</w:t>
      </w:r>
      <w:r>
        <w:rPr>
          <w:color w:val="000000"/>
          <w:szCs w:val="21"/>
          <w:highlight w:val="none"/>
        </w:rPr>
        <w:t>推荐</w:t>
      </w:r>
      <w:r>
        <w:rPr>
          <w:rFonts w:hint="eastAsia"/>
          <w:color w:val="000000"/>
          <w:szCs w:val="21"/>
          <w:highlight w:val="none"/>
        </w:rPr>
        <w:t>入围供应商</w:t>
      </w:r>
      <w:r>
        <w:rPr>
          <w:color w:val="000000"/>
          <w:szCs w:val="21"/>
          <w:highlight w:val="none"/>
        </w:rPr>
        <w:t>。</w:t>
      </w:r>
    </w:p>
    <w:p w14:paraId="52CB05FE">
      <w:pPr>
        <w:spacing w:before="120" w:line="320" w:lineRule="atLeast"/>
        <w:ind w:firstLine="420" w:firstLineChars="200"/>
        <w:rPr>
          <w:color w:val="000000"/>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）评审委员会根据评审记录及评审结果编写评审报告，评审委员会成员均应当在评审报告上签字，对自己的评审意见承担法律责任。</w:t>
      </w:r>
      <w:r>
        <w:rPr>
          <w:color w:val="000000"/>
          <w:highlight w:val="none"/>
        </w:rPr>
        <w:t>评审报告签署前，经复核发现存在以</w:t>
      </w:r>
      <w:r>
        <w:rPr>
          <w:rFonts w:hint="eastAsia"/>
          <w:color w:val="000000"/>
          <w:highlight w:val="none"/>
        </w:rPr>
        <w:t>下</w:t>
      </w:r>
      <w:r>
        <w:rPr>
          <w:color w:val="000000"/>
          <w:highlight w:val="none"/>
        </w:rPr>
        <w:t>情形之一的，评审委员会应当当场修改评审结果，并在评审报告中记载；评审报告签署后，</w:t>
      </w:r>
      <w:r>
        <w:rPr>
          <w:rFonts w:hint="eastAsia"/>
          <w:color w:val="000000"/>
          <w:highlight w:val="none"/>
        </w:rPr>
        <w:t>征集人</w:t>
      </w:r>
      <w:r>
        <w:rPr>
          <w:color w:val="000000"/>
          <w:highlight w:val="none"/>
        </w:rPr>
        <w:t>发现存在以</w:t>
      </w:r>
      <w:r>
        <w:rPr>
          <w:rFonts w:hint="eastAsia"/>
          <w:color w:val="000000"/>
          <w:highlight w:val="none"/>
        </w:rPr>
        <w:t>下</w:t>
      </w:r>
      <w:r>
        <w:rPr>
          <w:color w:val="000000"/>
          <w:highlight w:val="none"/>
        </w:rPr>
        <w:t>情形之一的，应当组织原评审委员会进行重新评审。</w:t>
      </w:r>
    </w:p>
    <w:p w14:paraId="65CC0930">
      <w:pPr>
        <w:spacing w:before="120" w:line="320" w:lineRule="atLeast"/>
        <w:ind w:firstLine="420" w:firstLineChars="200"/>
        <w:rPr>
          <w:color w:val="000000"/>
          <w:highlight w:val="none"/>
        </w:rPr>
      </w:pPr>
      <w:r>
        <w:rPr>
          <w:color w:val="000000"/>
          <w:highlight w:val="none"/>
        </w:rPr>
        <w:t>分值汇总计算错误的；分项评分超出评分标准范围的；评审委员会成员对客观评审因素评分不一致的；经评审委员会认定评分畸高、畸低的。</w:t>
      </w:r>
    </w:p>
    <w:p w14:paraId="114DE37F">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2.5.4确定入围供应商</w:t>
      </w:r>
    </w:p>
    <w:p w14:paraId="4903CFF8">
      <w:pPr>
        <w:spacing w:before="120" w:line="276" w:lineRule="auto"/>
        <w:ind w:firstLine="420" w:firstLineChars="200"/>
        <w:rPr>
          <w:color w:val="000000"/>
          <w:szCs w:val="21"/>
          <w:highlight w:val="none"/>
        </w:rPr>
      </w:pPr>
      <w:r>
        <w:rPr>
          <w:color w:val="000000"/>
          <w:szCs w:val="21"/>
          <w:highlight w:val="none"/>
        </w:rPr>
        <w:t>2.5</w:t>
      </w:r>
      <w:r>
        <w:rPr>
          <w:rFonts w:hint="eastAsia"/>
          <w:color w:val="000000"/>
          <w:szCs w:val="21"/>
          <w:highlight w:val="none"/>
        </w:rPr>
        <w:t>.</w:t>
      </w:r>
      <w:r>
        <w:rPr>
          <w:color w:val="000000"/>
          <w:szCs w:val="21"/>
          <w:highlight w:val="none"/>
        </w:rPr>
        <w:t>4.1采购代理机构将在评审结束后2个工作日内将评审报告送</w:t>
      </w:r>
      <w:r>
        <w:rPr>
          <w:rFonts w:hint="eastAsia"/>
          <w:color w:val="000000"/>
          <w:szCs w:val="21"/>
          <w:highlight w:val="none"/>
        </w:rPr>
        <w:t>征集人</w:t>
      </w:r>
      <w:r>
        <w:rPr>
          <w:color w:val="000000"/>
          <w:szCs w:val="21"/>
          <w:highlight w:val="none"/>
        </w:rPr>
        <w:t>，</w:t>
      </w:r>
      <w:r>
        <w:rPr>
          <w:rFonts w:hint="eastAsia"/>
          <w:color w:val="000000"/>
          <w:szCs w:val="21"/>
          <w:highlight w:val="none"/>
        </w:rPr>
        <w:t>征集人</w:t>
      </w:r>
      <w:r>
        <w:rPr>
          <w:color w:val="000000"/>
          <w:szCs w:val="21"/>
          <w:highlight w:val="none"/>
        </w:rPr>
        <w:t>在5个工作日内按照评审报告中推荐的</w:t>
      </w:r>
      <w:r>
        <w:rPr>
          <w:rFonts w:hint="eastAsia"/>
          <w:color w:val="000000"/>
          <w:szCs w:val="21"/>
          <w:highlight w:val="none"/>
        </w:rPr>
        <w:t>入围</w:t>
      </w:r>
      <w:r>
        <w:rPr>
          <w:color w:val="000000"/>
          <w:szCs w:val="21"/>
          <w:highlight w:val="none"/>
        </w:rPr>
        <w:t>候选供应商顺序确定入围供应商。</w:t>
      </w:r>
    </w:p>
    <w:p w14:paraId="74A3752B">
      <w:pPr>
        <w:spacing w:before="120" w:line="276" w:lineRule="auto"/>
        <w:ind w:firstLine="420" w:firstLineChars="200"/>
        <w:rPr>
          <w:color w:val="000000"/>
          <w:szCs w:val="21"/>
          <w:highlight w:val="none"/>
        </w:rPr>
      </w:pPr>
      <w:r>
        <w:rPr>
          <w:rFonts w:hint="eastAsia"/>
          <w:color w:val="000000"/>
          <w:szCs w:val="21"/>
          <w:highlight w:val="none"/>
        </w:rPr>
        <w:t>2.5.4.2已确定入围供应商但尚未签订框架协议前，如发现入围供应商存在本章2.8.2的六种情形之一，认定其入围资格无效的，造成入围供应商不足入围供应商最大数量时，征集人可以从合格的入围候选供应商中依次另行确定入围供应商。</w:t>
      </w:r>
    </w:p>
    <w:p w14:paraId="4A42D98C">
      <w:pPr>
        <w:spacing w:before="120" w:line="276" w:lineRule="auto"/>
        <w:ind w:firstLine="420" w:firstLineChars="200"/>
        <w:rPr>
          <w:color w:val="000000"/>
          <w:szCs w:val="21"/>
          <w:highlight w:val="none"/>
        </w:rPr>
      </w:pPr>
      <w:r>
        <w:rPr>
          <w:color w:val="000000"/>
          <w:szCs w:val="21"/>
          <w:highlight w:val="none"/>
        </w:rPr>
        <w:t>2.5.4.</w:t>
      </w:r>
      <w:r>
        <w:rPr>
          <w:rFonts w:hint="eastAsia"/>
          <w:color w:val="000000"/>
          <w:szCs w:val="21"/>
          <w:highlight w:val="none"/>
        </w:rPr>
        <w:t>3征集人认为供应商对征集过程、成交结果提出的质疑成立且影响或者可能影响成交结果的，合格供应商符合法定数量时，可以从合格的入围候选供应商中另行确定入围供应商的，应当依法另行确定入围供应商；否则应当重新开展征集活动。</w:t>
      </w:r>
    </w:p>
    <w:p w14:paraId="458D3315">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2.5.5</w:t>
      </w:r>
      <w:r>
        <w:rPr>
          <w:rFonts w:hint="eastAsia"/>
          <w:b/>
          <w:bCs/>
          <w:color w:val="000000"/>
          <w:kern w:val="0"/>
          <w:szCs w:val="21"/>
          <w:highlight w:val="none"/>
        </w:rPr>
        <w:t>入围结果公告</w:t>
      </w:r>
    </w:p>
    <w:p w14:paraId="46EC9562">
      <w:pPr>
        <w:spacing w:before="120" w:line="320" w:lineRule="atLeast"/>
        <w:ind w:firstLine="420" w:firstLineChars="200"/>
        <w:rPr>
          <w:color w:val="000000"/>
          <w:szCs w:val="21"/>
          <w:highlight w:val="none"/>
        </w:rPr>
      </w:pPr>
      <w:r>
        <w:rPr>
          <w:color w:val="000000"/>
          <w:szCs w:val="21"/>
          <w:highlight w:val="none"/>
        </w:rPr>
        <w:t>2.5.5.1自入围供应商确定后2个工作日内，</w:t>
      </w:r>
      <w:r>
        <w:rPr>
          <w:rFonts w:hint="eastAsia"/>
          <w:color w:val="000000"/>
          <w:szCs w:val="21"/>
          <w:highlight w:val="none"/>
        </w:rPr>
        <w:t>采购代理机构按照供应商须知</w:t>
      </w:r>
      <w:r>
        <w:rPr>
          <w:rFonts w:hint="eastAsia"/>
          <w:color w:val="000000"/>
          <w:kern w:val="0"/>
          <w:szCs w:val="21"/>
          <w:highlight w:val="none"/>
        </w:rPr>
        <w:t>前附表的规定</w:t>
      </w:r>
      <w:r>
        <w:rPr>
          <w:color w:val="000000"/>
          <w:kern w:val="0"/>
          <w:szCs w:val="21"/>
          <w:highlight w:val="none"/>
        </w:rPr>
        <w:t>公告</w:t>
      </w:r>
      <w:r>
        <w:rPr>
          <w:rFonts w:hint="eastAsia"/>
          <w:color w:val="000000"/>
          <w:kern w:val="0"/>
          <w:szCs w:val="21"/>
          <w:highlight w:val="none"/>
        </w:rPr>
        <w:t>入围</w:t>
      </w:r>
      <w:r>
        <w:rPr>
          <w:color w:val="000000"/>
          <w:szCs w:val="21"/>
          <w:highlight w:val="none"/>
        </w:rPr>
        <w:t>结果。</w:t>
      </w:r>
    </w:p>
    <w:p w14:paraId="211515F6">
      <w:pPr>
        <w:spacing w:before="120" w:line="320" w:lineRule="atLeast"/>
        <w:ind w:firstLine="420" w:firstLineChars="200"/>
        <w:rPr>
          <w:color w:val="000000"/>
          <w:szCs w:val="21"/>
          <w:highlight w:val="none"/>
        </w:rPr>
      </w:pPr>
      <w:r>
        <w:rPr>
          <w:color w:val="000000"/>
          <w:szCs w:val="21"/>
          <w:highlight w:val="none"/>
        </w:rPr>
        <w:t>2.5.5.2在发布</w:t>
      </w:r>
      <w:r>
        <w:rPr>
          <w:rFonts w:hint="eastAsia"/>
          <w:color w:val="000000"/>
          <w:szCs w:val="21"/>
          <w:highlight w:val="none"/>
        </w:rPr>
        <w:t>入围结果</w:t>
      </w:r>
      <w:r>
        <w:rPr>
          <w:color w:val="000000"/>
          <w:szCs w:val="21"/>
          <w:highlight w:val="none"/>
        </w:rPr>
        <w:t>公告的同时，</w:t>
      </w:r>
      <w:r>
        <w:rPr>
          <w:rFonts w:hint="eastAsia"/>
          <w:color w:val="000000"/>
          <w:szCs w:val="21"/>
          <w:highlight w:val="none"/>
        </w:rPr>
        <w:t>采购代理机构</w:t>
      </w:r>
      <w:r>
        <w:rPr>
          <w:color w:val="000000"/>
          <w:szCs w:val="21"/>
          <w:highlight w:val="none"/>
        </w:rPr>
        <w:t>以供应商须知前附表规定的形式向入围供应商发出</w:t>
      </w:r>
      <w:r>
        <w:rPr>
          <w:rFonts w:hint="eastAsia"/>
          <w:color w:val="000000"/>
          <w:szCs w:val="21"/>
          <w:highlight w:val="none"/>
        </w:rPr>
        <w:t>入围</w:t>
      </w:r>
      <w:r>
        <w:rPr>
          <w:color w:val="000000"/>
          <w:szCs w:val="21"/>
          <w:highlight w:val="none"/>
        </w:rPr>
        <w:t>通知书。</w:t>
      </w:r>
      <w:r>
        <w:rPr>
          <w:rFonts w:hint="eastAsia"/>
          <w:color w:val="000000"/>
          <w:szCs w:val="21"/>
          <w:highlight w:val="none"/>
        </w:rPr>
        <w:t>入围</w:t>
      </w:r>
      <w:r>
        <w:rPr>
          <w:color w:val="000000"/>
          <w:szCs w:val="21"/>
          <w:highlight w:val="none"/>
        </w:rPr>
        <w:t>通知书发出后，</w:t>
      </w:r>
      <w:r>
        <w:rPr>
          <w:rFonts w:hint="eastAsia"/>
          <w:color w:val="000000"/>
          <w:szCs w:val="21"/>
          <w:highlight w:val="none"/>
        </w:rPr>
        <w:t>征集人</w:t>
      </w:r>
      <w:r>
        <w:rPr>
          <w:color w:val="000000"/>
          <w:szCs w:val="21"/>
          <w:highlight w:val="none"/>
        </w:rPr>
        <w:t>改变</w:t>
      </w:r>
      <w:r>
        <w:rPr>
          <w:rFonts w:hint="eastAsia"/>
          <w:color w:val="000000"/>
          <w:szCs w:val="21"/>
          <w:highlight w:val="none"/>
        </w:rPr>
        <w:t>入围</w:t>
      </w:r>
      <w:r>
        <w:rPr>
          <w:color w:val="000000"/>
          <w:szCs w:val="21"/>
          <w:highlight w:val="none"/>
        </w:rPr>
        <w:t>结果，或者入围供应商放弃</w:t>
      </w:r>
      <w:r>
        <w:rPr>
          <w:rFonts w:hint="eastAsia"/>
          <w:color w:val="000000"/>
          <w:szCs w:val="21"/>
          <w:highlight w:val="none"/>
        </w:rPr>
        <w:t>入围资格</w:t>
      </w:r>
      <w:r>
        <w:rPr>
          <w:color w:val="000000"/>
          <w:szCs w:val="21"/>
          <w:highlight w:val="none"/>
        </w:rPr>
        <w:t>，应当承担相应的法律责任。</w:t>
      </w:r>
    </w:p>
    <w:p w14:paraId="298654CA">
      <w:pPr>
        <w:spacing w:before="120" w:line="320" w:lineRule="atLeast"/>
        <w:ind w:firstLine="422" w:firstLineChars="200"/>
        <w:outlineLvl w:val="3"/>
        <w:rPr>
          <w:b/>
          <w:bCs/>
          <w:color w:val="000000"/>
          <w:kern w:val="0"/>
          <w:szCs w:val="21"/>
          <w:highlight w:val="none"/>
        </w:rPr>
      </w:pPr>
      <w:r>
        <w:rPr>
          <w:b/>
          <w:bCs/>
          <w:color w:val="000000"/>
          <w:kern w:val="0"/>
          <w:szCs w:val="21"/>
          <w:highlight w:val="none"/>
        </w:rPr>
        <w:t>2.5.6</w:t>
      </w:r>
      <w:r>
        <w:rPr>
          <w:rFonts w:hint="eastAsia"/>
          <w:b/>
          <w:bCs/>
          <w:color w:val="000000"/>
          <w:kern w:val="0"/>
          <w:szCs w:val="21"/>
          <w:highlight w:val="none"/>
        </w:rPr>
        <w:t>废标</w:t>
      </w:r>
    </w:p>
    <w:p w14:paraId="6C621252">
      <w:pPr>
        <w:spacing w:before="120" w:line="320" w:lineRule="atLeast"/>
        <w:ind w:firstLine="420" w:firstLineChars="200"/>
        <w:rPr>
          <w:color w:val="000000"/>
          <w:kern w:val="1"/>
          <w:szCs w:val="21"/>
          <w:highlight w:val="none"/>
        </w:rPr>
      </w:pPr>
      <w:r>
        <w:rPr>
          <w:color w:val="000000"/>
          <w:kern w:val="1"/>
          <w:szCs w:val="21"/>
          <w:highlight w:val="none"/>
        </w:rPr>
        <w:t>2.5.6.1</w:t>
      </w:r>
      <w:r>
        <w:rPr>
          <w:rFonts w:hint="eastAsia"/>
          <w:color w:val="000000"/>
          <w:kern w:val="1"/>
          <w:szCs w:val="21"/>
          <w:highlight w:val="none"/>
        </w:rPr>
        <w:t xml:space="preserve">出现下列情形之一，将导致项目废标： </w:t>
      </w:r>
    </w:p>
    <w:p w14:paraId="412F814E">
      <w:pPr>
        <w:spacing w:before="120" w:line="320" w:lineRule="atLeast"/>
        <w:ind w:firstLine="420" w:firstLineChars="200"/>
        <w:rPr>
          <w:color w:val="000000"/>
          <w:szCs w:val="21"/>
          <w:highlight w:val="none"/>
        </w:rPr>
      </w:pPr>
      <w:r>
        <w:rPr>
          <w:rFonts w:hint="eastAsia"/>
          <w:color w:val="000000"/>
          <w:kern w:val="1"/>
          <w:szCs w:val="21"/>
          <w:highlight w:val="none"/>
        </w:rPr>
        <w:t>（1</w:t>
      </w:r>
      <w:r>
        <w:rPr>
          <w:rFonts w:hint="eastAsia"/>
          <w:color w:val="000000"/>
          <w:szCs w:val="21"/>
          <w:highlight w:val="none"/>
        </w:rPr>
        <w:t>）符合专业条件的供应商或者对征集文件做实质</w:t>
      </w:r>
      <w:r>
        <w:rPr>
          <w:rFonts w:hint="eastAsia"/>
          <w:color w:val="000000"/>
          <w:szCs w:val="21"/>
          <w:highlight w:val="none"/>
        </w:rPr>
        <w:t>性响应的供应商不足两家；</w:t>
      </w:r>
    </w:p>
    <w:p w14:paraId="26D60E0C">
      <w:pPr>
        <w:spacing w:before="120" w:line="320" w:lineRule="atLeast"/>
        <w:ind w:firstLine="420" w:firstLineChars="200"/>
        <w:rPr>
          <w:color w:val="000000"/>
          <w:szCs w:val="21"/>
          <w:highlight w:val="none"/>
        </w:rPr>
      </w:pPr>
      <w:r>
        <w:rPr>
          <w:rFonts w:hint="eastAsia"/>
          <w:color w:val="000000"/>
          <w:szCs w:val="21"/>
          <w:highlight w:val="none"/>
        </w:rPr>
        <w:t>（2）出现影响采购公正的违法、违规行为的；</w:t>
      </w:r>
    </w:p>
    <w:p w14:paraId="1F87338F">
      <w:pPr>
        <w:spacing w:before="120" w:line="320" w:lineRule="atLeast"/>
        <w:ind w:firstLine="420" w:firstLineChars="200"/>
        <w:rPr>
          <w:color w:val="000000"/>
          <w:szCs w:val="21"/>
          <w:highlight w:val="none"/>
        </w:rPr>
      </w:pPr>
      <w:r>
        <w:rPr>
          <w:rFonts w:hint="eastAsia"/>
          <w:color w:val="000000"/>
          <w:szCs w:val="21"/>
          <w:highlight w:val="none"/>
        </w:rPr>
        <w:t>（3）供应商的报价均超过了</w:t>
      </w:r>
      <w:r>
        <w:rPr>
          <w:rFonts w:hint="eastAsia"/>
          <w:color w:val="000000"/>
          <w:highlight w:val="none"/>
        </w:rPr>
        <w:t>最高限制单价</w:t>
      </w:r>
      <w:r>
        <w:rPr>
          <w:rFonts w:hint="eastAsia"/>
          <w:color w:val="000000"/>
          <w:szCs w:val="21"/>
          <w:highlight w:val="none"/>
        </w:rPr>
        <w:t>，采购人不能支付的；</w:t>
      </w:r>
    </w:p>
    <w:p w14:paraId="7D90D9AF">
      <w:pPr>
        <w:spacing w:before="120" w:line="320" w:lineRule="atLeast"/>
        <w:ind w:firstLine="420" w:firstLineChars="200"/>
        <w:rPr>
          <w:color w:val="000000"/>
          <w:highlight w:val="none"/>
        </w:rPr>
      </w:pPr>
      <w:r>
        <w:rPr>
          <w:rFonts w:hint="eastAsia"/>
          <w:color w:val="000000"/>
          <w:szCs w:val="21"/>
          <w:highlight w:val="none"/>
        </w:rPr>
        <w:t>（4）</w:t>
      </w:r>
      <w:r>
        <w:rPr>
          <w:rFonts w:hint="eastAsia"/>
          <w:color w:val="000000"/>
          <w:highlight w:val="none"/>
        </w:rPr>
        <w:t>因发生重大变故或采购任务取消的。</w:t>
      </w:r>
    </w:p>
    <w:p w14:paraId="7ACCDCCD">
      <w:pPr>
        <w:spacing w:before="120" w:line="320" w:lineRule="atLeast"/>
        <w:ind w:firstLine="420" w:firstLineChars="200"/>
        <w:rPr>
          <w:color w:val="000000"/>
          <w:kern w:val="1"/>
          <w:szCs w:val="21"/>
          <w:highlight w:val="none"/>
        </w:rPr>
      </w:pPr>
      <w:r>
        <w:rPr>
          <w:color w:val="000000"/>
          <w:kern w:val="1"/>
          <w:szCs w:val="21"/>
          <w:highlight w:val="none"/>
        </w:rPr>
        <w:t>2.5.6.2</w:t>
      </w:r>
      <w:r>
        <w:rPr>
          <w:rFonts w:hint="eastAsia"/>
          <w:color w:val="000000"/>
          <w:kern w:val="1"/>
          <w:szCs w:val="21"/>
          <w:highlight w:val="none"/>
        </w:rPr>
        <w:t>废标后</w:t>
      </w:r>
      <w:r>
        <w:rPr>
          <w:rFonts w:hint="eastAsia"/>
          <w:color w:val="000000"/>
          <w:szCs w:val="21"/>
          <w:highlight w:val="none"/>
        </w:rPr>
        <w:t>征集人</w:t>
      </w:r>
      <w:r>
        <w:rPr>
          <w:rFonts w:hint="eastAsia"/>
          <w:color w:val="000000"/>
          <w:kern w:val="1"/>
          <w:szCs w:val="21"/>
          <w:highlight w:val="none"/>
        </w:rPr>
        <w:t>将发布废标公告通知供应商。</w:t>
      </w:r>
    </w:p>
    <w:p w14:paraId="77B77F28">
      <w:pPr>
        <w:spacing w:before="120" w:line="320" w:lineRule="atLeast"/>
        <w:ind w:left="2" w:leftChars="1" w:firstLine="422" w:firstLineChars="200"/>
        <w:outlineLvl w:val="2"/>
        <w:rPr>
          <w:b/>
          <w:bCs/>
          <w:color w:val="000000"/>
          <w:kern w:val="0"/>
          <w:szCs w:val="21"/>
          <w:highlight w:val="none"/>
        </w:rPr>
      </w:pPr>
      <w:r>
        <w:rPr>
          <w:b/>
          <w:bCs/>
          <w:color w:val="000000"/>
          <w:kern w:val="0"/>
          <w:szCs w:val="21"/>
          <w:highlight w:val="none"/>
        </w:rPr>
        <w:t>2.6</w:t>
      </w:r>
      <w:r>
        <w:rPr>
          <w:rFonts w:hint="eastAsia"/>
          <w:b/>
          <w:bCs/>
          <w:color w:val="000000"/>
          <w:kern w:val="0"/>
          <w:szCs w:val="21"/>
          <w:highlight w:val="none"/>
        </w:rPr>
        <w:t>签订框架协议</w:t>
      </w:r>
    </w:p>
    <w:p w14:paraId="40D5B2B0">
      <w:pPr>
        <w:spacing w:before="120" w:line="360" w:lineRule="auto"/>
        <w:ind w:left="2" w:leftChars="1" w:firstLine="420" w:firstLineChars="200"/>
        <w:rPr>
          <w:color w:val="000000"/>
          <w:kern w:val="0"/>
          <w:szCs w:val="21"/>
          <w:highlight w:val="none"/>
        </w:rPr>
      </w:pPr>
      <w:r>
        <w:rPr>
          <w:color w:val="000000"/>
          <w:kern w:val="0"/>
          <w:szCs w:val="21"/>
          <w:highlight w:val="none"/>
        </w:rPr>
        <w:t>2.6.1</w:t>
      </w:r>
      <w:r>
        <w:rPr>
          <w:rFonts w:hint="eastAsia"/>
          <w:color w:val="000000"/>
          <w:kern w:val="0"/>
          <w:szCs w:val="21"/>
          <w:highlight w:val="none"/>
        </w:rPr>
        <w:t>征集人在征集文件规定的时间内与入围供应商签订框架协议，如无特别规定，签订时间应不晚于入围通知书发出之日起3</w:t>
      </w:r>
      <w:r>
        <w:rPr>
          <w:color w:val="000000"/>
          <w:kern w:val="0"/>
          <w:szCs w:val="21"/>
          <w:highlight w:val="none"/>
        </w:rPr>
        <w:t>0</w:t>
      </w:r>
      <w:r>
        <w:rPr>
          <w:rFonts w:hint="eastAsia"/>
          <w:color w:val="000000"/>
          <w:kern w:val="0"/>
          <w:szCs w:val="21"/>
          <w:highlight w:val="none"/>
        </w:rPr>
        <w:t>日内。供应商需在响应文件中附合同承诺书，承诺在与征集人签订合同时绝不推诿，应承担相应责任，对完全响应合同作出承诺，并加盖公章及法定代表人或被授权人签字、盖章。</w:t>
      </w:r>
    </w:p>
    <w:p w14:paraId="4CBF764F">
      <w:pPr>
        <w:spacing w:before="120" w:line="360" w:lineRule="auto"/>
        <w:ind w:left="2" w:leftChars="1" w:firstLine="420" w:firstLineChars="200"/>
        <w:rPr>
          <w:color w:val="000000"/>
          <w:kern w:val="0"/>
          <w:szCs w:val="21"/>
          <w:highlight w:val="none"/>
        </w:rPr>
      </w:pPr>
      <w:r>
        <w:rPr>
          <w:color w:val="000000"/>
          <w:kern w:val="0"/>
          <w:szCs w:val="21"/>
          <w:highlight w:val="none"/>
        </w:rPr>
        <w:t>2.6.2</w:t>
      </w:r>
      <w:r>
        <w:rPr>
          <w:rFonts w:hint="eastAsia"/>
          <w:color w:val="000000"/>
          <w:kern w:val="0"/>
          <w:szCs w:val="21"/>
          <w:highlight w:val="none"/>
        </w:rPr>
        <w:t>征集人在框架协议签订后7个工作日内，将框架协议副本报本级财政部门备案。</w:t>
      </w:r>
    </w:p>
    <w:p w14:paraId="36C4B0F3">
      <w:pPr>
        <w:spacing w:before="120" w:line="360" w:lineRule="auto"/>
        <w:ind w:left="2" w:leftChars="1" w:firstLine="420" w:firstLineChars="200"/>
        <w:rPr>
          <w:color w:val="000000"/>
          <w:kern w:val="0"/>
          <w:szCs w:val="21"/>
          <w:highlight w:val="none"/>
        </w:rPr>
      </w:pPr>
      <w:r>
        <w:rPr>
          <w:color w:val="000000"/>
          <w:kern w:val="0"/>
          <w:szCs w:val="21"/>
          <w:highlight w:val="none"/>
        </w:rPr>
        <w:t>2.6.3</w:t>
      </w:r>
      <w:r>
        <w:rPr>
          <w:rFonts w:hint="eastAsia"/>
          <w:color w:val="000000"/>
          <w:kern w:val="0"/>
          <w:szCs w:val="21"/>
          <w:highlight w:val="none"/>
        </w:rPr>
        <w:t>框架协议不得对征集文件确定的事项以及入围供应商的响应文件作实质性修改。</w:t>
      </w:r>
    </w:p>
    <w:p w14:paraId="50D4AEC7">
      <w:pPr>
        <w:spacing w:before="120" w:line="320" w:lineRule="atLeast"/>
        <w:ind w:left="2" w:leftChars="1" w:firstLine="422" w:firstLineChars="200"/>
        <w:outlineLvl w:val="2"/>
        <w:rPr>
          <w:b/>
          <w:bCs/>
          <w:color w:val="000000"/>
          <w:kern w:val="0"/>
          <w:szCs w:val="21"/>
          <w:highlight w:val="none"/>
        </w:rPr>
      </w:pPr>
      <w:r>
        <w:rPr>
          <w:b/>
          <w:bCs/>
          <w:color w:val="000000"/>
          <w:kern w:val="0"/>
          <w:szCs w:val="21"/>
          <w:highlight w:val="none"/>
        </w:rPr>
        <w:t>2.7</w:t>
      </w:r>
      <w:r>
        <w:rPr>
          <w:rFonts w:hint="eastAsia"/>
          <w:b/>
          <w:bCs/>
          <w:color w:val="000000"/>
          <w:kern w:val="0"/>
          <w:szCs w:val="21"/>
          <w:highlight w:val="none"/>
        </w:rPr>
        <w:t>告知入围信息</w:t>
      </w:r>
    </w:p>
    <w:p w14:paraId="56E7A839">
      <w:pPr>
        <w:spacing w:before="120" w:line="320" w:lineRule="atLeast"/>
        <w:ind w:left="2" w:leftChars="1" w:firstLine="420" w:firstLineChars="200"/>
        <w:rPr>
          <w:color w:val="000000"/>
          <w:kern w:val="0"/>
          <w:szCs w:val="21"/>
          <w:highlight w:val="none"/>
        </w:rPr>
      </w:pPr>
      <w:r>
        <w:rPr>
          <w:color w:val="000000"/>
          <w:kern w:val="0"/>
          <w:szCs w:val="21"/>
          <w:highlight w:val="none"/>
        </w:rPr>
        <w:t>2.7.1</w:t>
      </w:r>
      <w:r>
        <w:rPr>
          <w:rFonts w:hint="eastAsia"/>
          <w:color w:val="000000"/>
          <w:kern w:val="0"/>
          <w:szCs w:val="21"/>
          <w:highlight w:val="none"/>
        </w:rPr>
        <w:t>征集人在框架协议签订后3个工作日内将入围信息告知适用框架协议的所有采购人。</w:t>
      </w:r>
    </w:p>
    <w:p w14:paraId="3605DCDF">
      <w:pPr>
        <w:spacing w:before="120" w:line="320" w:lineRule="atLeast"/>
        <w:ind w:left="2" w:leftChars="1" w:firstLine="422" w:firstLineChars="200"/>
        <w:outlineLvl w:val="2"/>
        <w:rPr>
          <w:b/>
          <w:bCs/>
          <w:color w:val="000000"/>
          <w:kern w:val="0"/>
          <w:szCs w:val="21"/>
          <w:highlight w:val="none"/>
        </w:rPr>
      </w:pPr>
      <w:r>
        <w:rPr>
          <w:b/>
          <w:bCs/>
          <w:color w:val="000000"/>
          <w:kern w:val="0"/>
          <w:szCs w:val="21"/>
          <w:highlight w:val="none"/>
        </w:rPr>
        <w:t>2.8.</w:t>
      </w:r>
      <w:r>
        <w:rPr>
          <w:rFonts w:hint="eastAsia"/>
          <w:b/>
          <w:bCs/>
          <w:color w:val="000000"/>
          <w:kern w:val="0"/>
          <w:szCs w:val="21"/>
          <w:highlight w:val="none"/>
        </w:rPr>
        <w:t>入围供应商的清退和补充</w:t>
      </w:r>
    </w:p>
    <w:p w14:paraId="1A0ECBE8">
      <w:pPr>
        <w:spacing w:before="120" w:line="320" w:lineRule="atLeast"/>
        <w:ind w:left="2" w:leftChars="1" w:firstLine="420" w:firstLineChars="200"/>
        <w:outlineLvl w:val="2"/>
        <w:rPr>
          <w:color w:val="000000"/>
          <w:kern w:val="0"/>
          <w:szCs w:val="21"/>
          <w:highlight w:val="none"/>
        </w:rPr>
      </w:pPr>
      <w:r>
        <w:rPr>
          <w:rFonts w:hint="eastAsia"/>
          <w:color w:val="000000"/>
          <w:kern w:val="0"/>
          <w:szCs w:val="21"/>
          <w:highlight w:val="none"/>
        </w:rPr>
        <w:t>2</w:t>
      </w:r>
      <w:r>
        <w:rPr>
          <w:color w:val="000000"/>
          <w:kern w:val="0"/>
          <w:szCs w:val="21"/>
          <w:highlight w:val="none"/>
        </w:rPr>
        <w:t>.8.1</w:t>
      </w:r>
      <w:r>
        <w:rPr>
          <w:rFonts w:hint="eastAsia"/>
          <w:color w:val="000000"/>
          <w:kern w:val="0"/>
          <w:szCs w:val="21"/>
          <w:highlight w:val="none"/>
        </w:rPr>
        <w:t xml:space="preserve">封闭式框架协议入围供应商无正当理由，不得主动放弃入围资格或者退出框架协议。 </w:t>
      </w:r>
    </w:p>
    <w:p w14:paraId="19F19F96">
      <w:pPr>
        <w:spacing w:before="120" w:line="320" w:lineRule="atLeast"/>
        <w:ind w:left="2" w:leftChars="1" w:firstLine="420" w:firstLineChars="200"/>
        <w:rPr>
          <w:color w:val="000000"/>
          <w:kern w:val="0"/>
          <w:szCs w:val="21"/>
          <w:highlight w:val="none"/>
        </w:rPr>
      </w:pPr>
      <w:r>
        <w:rPr>
          <w:color w:val="000000"/>
          <w:kern w:val="0"/>
          <w:szCs w:val="21"/>
          <w:highlight w:val="none"/>
        </w:rPr>
        <w:t>2.8</w:t>
      </w:r>
      <w:r>
        <w:rPr>
          <w:rFonts w:hint="eastAsia"/>
          <w:color w:val="000000"/>
          <w:kern w:val="0"/>
          <w:szCs w:val="21"/>
          <w:highlight w:val="none"/>
        </w:rPr>
        <w:t>.</w:t>
      </w:r>
      <w:r>
        <w:rPr>
          <w:color w:val="000000"/>
          <w:kern w:val="0"/>
          <w:szCs w:val="21"/>
          <w:highlight w:val="none"/>
        </w:rPr>
        <w:t xml:space="preserve">2 </w:t>
      </w:r>
      <w:r>
        <w:rPr>
          <w:rFonts w:hint="eastAsia"/>
          <w:color w:val="000000"/>
          <w:kern w:val="0"/>
          <w:szCs w:val="21"/>
          <w:highlight w:val="none"/>
        </w:rPr>
        <w:t xml:space="preserve">入围供应商有下列情形之一，尚未签订框架协议的，取消其入围资格；已经签订框架协议的，解除与其签订的框架协议： </w:t>
      </w:r>
    </w:p>
    <w:p w14:paraId="5742FE1D">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 xml:space="preserve">（1）恶意串通谋取入围或者合同成交的； </w:t>
      </w:r>
    </w:p>
    <w:p w14:paraId="770AB895">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 xml:space="preserve">（2）提供虚假材料谋取入围或者合同成交的； </w:t>
      </w:r>
    </w:p>
    <w:p w14:paraId="1C205048">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 xml:space="preserve">（3）无正当理由拒不接受合同授予的； </w:t>
      </w:r>
    </w:p>
    <w:p w14:paraId="7F1BBF0F">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 xml:space="preserve">（4）不履行合同义务或者履行合同义务不符合约定，经采购人请求履行后仍不履行或者仍未按约定履行的； </w:t>
      </w:r>
    </w:p>
    <w:p w14:paraId="73CE2B5B">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 xml:space="preserve">（5）框架协议有效期内，因违法行为被禁止或限制参加政府采购活动的； </w:t>
      </w:r>
    </w:p>
    <w:p w14:paraId="76BD30FE">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（6）框架协议约定的其他情形。</w:t>
      </w:r>
    </w:p>
    <w:p w14:paraId="15F3C03F">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 xml:space="preserve">被取消入围资格或者被解除框架协议的供应商不得参加同一封闭式框架协议补充征集。 </w:t>
      </w:r>
    </w:p>
    <w:p w14:paraId="2E426596">
      <w:pPr>
        <w:spacing w:before="120" w:line="320" w:lineRule="atLeast"/>
        <w:ind w:left="2" w:leftChars="1" w:firstLine="420" w:firstLineChars="200"/>
        <w:rPr>
          <w:color w:val="000000"/>
          <w:kern w:val="0"/>
          <w:szCs w:val="21"/>
          <w:highlight w:val="none"/>
        </w:rPr>
      </w:pPr>
      <w:r>
        <w:rPr>
          <w:color w:val="000000"/>
          <w:kern w:val="0"/>
          <w:szCs w:val="21"/>
          <w:highlight w:val="none"/>
        </w:rPr>
        <w:t>2.8</w:t>
      </w:r>
      <w:r>
        <w:rPr>
          <w:rFonts w:hint="eastAsia"/>
          <w:color w:val="000000"/>
          <w:kern w:val="0"/>
          <w:szCs w:val="21"/>
          <w:highlight w:val="none"/>
        </w:rPr>
        <w:t>.3除剩余入围供应商不足入围供应商总数70%且影响框架协议执行的情形外，框架协议有效期内，征集人不得补充征集供应商。征集人补充征集供应商的，补充征集规则应当在框架协议中约定，补充征集的条件、程序、评审方法和淘汰比例应当与初次征集相同。补充征集应当遵守原框架协议的有效期。补充征集期间，原框架协议继续履行。</w:t>
      </w:r>
    </w:p>
    <w:p w14:paraId="2A10C1AE">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质疑和投诉</w:t>
      </w:r>
    </w:p>
    <w:p w14:paraId="44009357">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.1质疑</w:t>
      </w:r>
    </w:p>
    <w:p w14:paraId="73E6BBE9">
      <w:pPr>
        <w:spacing w:before="120" w:line="320" w:lineRule="atLeast"/>
        <w:ind w:firstLine="420" w:firstLineChars="200"/>
        <w:rPr>
          <w:color w:val="000000"/>
          <w:szCs w:val="21"/>
          <w:highlight w:val="none"/>
        </w:rPr>
      </w:pPr>
      <w:r>
        <w:rPr>
          <w:rFonts w:hint="eastAsia"/>
          <w:color w:val="000000"/>
          <w:szCs w:val="21"/>
          <w:highlight w:val="none"/>
        </w:rPr>
        <w:t>2.9</w:t>
      </w:r>
      <w:r>
        <w:rPr>
          <w:color w:val="000000"/>
          <w:szCs w:val="21"/>
          <w:highlight w:val="none"/>
        </w:rPr>
        <w:t>.1.1质疑内容、时限</w:t>
      </w:r>
    </w:p>
    <w:p w14:paraId="17D42240">
      <w:pPr>
        <w:spacing w:before="120" w:line="320" w:lineRule="atLeast"/>
        <w:ind w:firstLine="420" w:firstLineChars="200"/>
        <w:rPr>
          <w:color w:val="000000"/>
          <w:szCs w:val="21"/>
          <w:highlight w:val="none"/>
        </w:rPr>
      </w:pPr>
      <w:r>
        <w:rPr>
          <w:rFonts w:hint="eastAsia"/>
          <w:color w:val="000000"/>
          <w:szCs w:val="21"/>
          <w:highlight w:val="none"/>
        </w:rPr>
        <w:t>（1）供应商对征集活动有疑问的，可以向采购代理机构提出询问。采购代理机构应当在3个工作日内对供应商依法提出的询问作出答复。</w:t>
      </w:r>
    </w:p>
    <w:p w14:paraId="341810CB">
      <w:pPr>
        <w:tabs>
          <w:tab w:val="left" w:pos="5670"/>
        </w:tabs>
        <w:spacing w:before="120" w:line="320" w:lineRule="atLeast"/>
        <w:ind w:firstLine="420" w:firstLineChars="200"/>
        <w:rPr>
          <w:color w:val="000000"/>
          <w:szCs w:val="21"/>
          <w:highlight w:val="none"/>
        </w:rPr>
      </w:pPr>
      <w:r>
        <w:rPr>
          <w:rFonts w:hint="eastAsia"/>
          <w:color w:val="000000"/>
          <w:szCs w:val="21"/>
          <w:highlight w:val="none"/>
        </w:rPr>
        <w:t>（2）供应商为认为征集文件、征集过程、入围结果使自己的权益受到损害的，可以在知道或者应知其权益受到损害之日起7个工作日内向采购代理机构提出质疑。采购代理机构</w:t>
      </w:r>
      <w:r>
        <w:rPr>
          <w:color w:val="000000"/>
          <w:szCs w:val="21"/>
          <w:highlight w:val="none"/>
        </w:rPr>
        <w:t>在收到供应商书面质疑后7个工作日内，对质疑内容作出答复。</w:t>
      </w:r>
    </w:p>
    <w:p w14:paraId="19E0E4E7">
      <w:pPr>
        <w:spacing w:before="120" w:line="320" w:lineRule="atLeast"/>
        <w:ind w:firstLine="420" w:firstLineChars="200"/>
        <w:rPr>
          <w:color w:val="000000"/>
          <w:szCs w:val="21"/>
          <w:highlight w:val="none"/>
        </w:rPr>
      </w:pPr>
      <w:r>
        <w:rPr>
          <w:rFonts w:hint="eastAsia"/>
          <w:color w:val="000000"/>
          <w:szCs w:val="21"/>
          <w:highlight w:val="none"/>
        </w:rPr>
        <w:t>2.9</w:t>
      </w:r>
      <w:r>
        <w:rPr>
          <w:color w:val="000000"/>
          <w:szCs w:val="21"/>
          <w:highlight w:val="none"/>
        </w:rPr>
        <w:t>.1.2质疑形式</w:t>
      </w:r>
    </w:p>
    <w:p w14:paraId="5FB084EE">
      <w:pPr>
        <w:spacing w:before="120" w:line="320" w:lineRule="atLeast"/>
        <w:ind w:firstLine="420" w:firstLineChars="200"/>
        <w:rPr>
          <w:color w:val="000000"/>
          <w:szCs w:val="21"/>
          <w:highlight w:val="none"/>
        </w:rPr>
      </w:pPr>
      <w:r>
        <w:rPr>
          <w:color w:val="000000"/>
          <w:szCs w:val="21"/>
          <w:highlight w:val="none"/>
        </w:rPr>
        <w:t>质疑应当采用</w:t>
      </w:r>
      <w:r>
        <w:rPr>
          <w:rFonts w:hint="eastAsia"/>
          <w:color w:val="000000"/>
          <w:szCs w:val="21"/>
          <w:highlight w:val="none"/>
        </w:rPr>
        <w:t>供应商</w:t>
      </w:r>
      <w:r>
        <w:rPr>
          <w:color w:val="000000"/>
          <w:szCs w:val="21"/>
          <w:highlight w:val="none"/>
        </w:rPr>
        <w:t>须知前附表所规定的形式，质疑书应明确阐述</w:t>
      </w:r>
      <w:r>
        <w:rPr>
          <w:rFonts w:hint="eastAsia"/>
          <w:color w:val="000000"/>
          <w:szCs w:val="21"/>
          <w:highlight w:val="none"/>
        </w:rPr>
        <w:t>征集文件</w:t>
      </w:r>
      <w:r>
        <w:rPr>
          <w:color w:val="000000"/>
          <w:szCs w:val="21"/>
          <w:highlight w:val="none"/>
        </w:rPr>
        <w:t>、</w:t>
      </w:r>
      <w:r>
        <w:rPr>
          <w:rFonts w:hint="eastAsia"/>
          <w:color w:val="000000"/>
          <w:szCs w:val="21"/>
          <w:highlight w:val="none"/>
        </w:rPr>
        <w:t>征集</w:t>
      </w:r>
      <w:r>
        <w:rPr>
          <w:color w:val="000000"/>
          <w:szCs w:val="21"/>
          <w:highlight w:val="none"/>
        </w:rPr>
        <w:t>过程或</w:t>
      </w:r>
      <w:r>
        <w:rPr>
          <w:rFonts w:hint="eastAsia"/>
          <w:color w:val="000000"/>
          <w:szCs w:val="21"/>
          <w:highlight w:val="none"/>
        </w:rPr>
        <w:t>成交</w:t>
      </w:r>
      <w:r>
        <w:rPr>
          <w:color w:val="000000"/>
          <w:szCs w:val="21"/>
          <w:highlight w:val="none"/>
        </w:rPr>
        <w:t>结果中使自己合法权益受到损害的实质性内容，提供相关事实、依据和证据及其来源或线索，便于有关单位调查、答复和处理。</w:t>
      </w:r>
    </w:p>
    <w:p w14:paraId="4516B60F">
      <w:pPr>
        <w:spacing w:before="120" w:line="320" w:lineRule="atLeast"/>
        <w:ind w:firstLine="420" w:firstLineChars="200"/>
        <w:rPr>
          <w:color w:val="000000"/>
          <w:szCs w:val="21"/>
          <w:highlight w:val="none"/>
        </w:rPr>
      </w:pPr>
      <w:r>
        <w:rPr>
          <w:rFonts w:hint="eastAsia"/>
          <w:color w:val="000000"/>
          <w:szCs w:val="21"/>
          <w:highlight w:val="none"/>
        </w:rPr>
        <w:t>2.9</w:t>
      </w:r>
      <w:r>
        <w:rPr>
          <w:color w:val="000000"/>
          <w:szCs w:val="21"/>
          <w:highlight w:val="none"/>
        </w:rPr>
        <w:t>.1.3</w:t>
      </w:r>
      <w:r>
        <w:rPr>
          <w:rFonts w:hint="eastAsia"/>
          <w:color w:val="000000"/>
          <w:highlight w:val="none"/>
        </w:rPr>
        <w:t xml:space="preserve"> </w:t>
      </w:r>
      <w:r>
        <w:rPr>
          <w:rFonts w:hint="eastAsia"/>
          <w:color w:val="000000"/>
          <w:szCs w:val="21"/>
          <w:highlight w:val="none"/>
        </w:rPr>
        <w:t>供应商提出质疑应当提交质疑函和必要的证明材料。质疑函应当包括下列内容：</w:t>
      </w:r>
    </w:p>
    <w:p w14:paraId="15E0A3CF">
      <w:pPr>
        <w:spacing w:before="120" w:line="320" w:lineRule="atLeast"/>
        <w:ind w:firstLine="420" w:firstLineChars="200"/>
        <w:rPr>
          <w:color w:val="000000"/>
          <w:szCs w:val="21"/>
          <w:highlight w:val="none"/>
        </w:rPr>
      </w:pPr>
      <w:r>
        <w:rPr>
          <w:rFonts w:hint="eastAsia"/>
          <w:color w:val="000000"/>
          <w:szCs w:val="21"/>
          <w:highlight w:val="none"/>
        </w:rPr>
        <w:t>（1）</w:t>
      </w:r>
      <w:r>
        <w:rPr>
          <w:rFonts w:hint="eastAsia"/>
          <w:color w:val="000000"/>
          <w:szCs w:val="21"/>
          <w:highlight w:val="none"/>
        </w:rPr>
        <w:tab/>
      </w:r>
      <w:r>
        <w:rPr>
          <w:rFonts w:hint="eastAsia"/>
          <w:color w:val="000000"/>
          <w:szCs w:val="21"/>
          <w:highlight w:val="none"/>
        </w:rPr>
        <w:t>供应商的姓名或者名称、地址、邮编、联系人及联系电话；</w:t>
      </w:r>
    </w:p>
    <w:p w14:paraId="5B7D157F">
      <w:pPr>
        <w:spacing w:before="120" w:line="320" w:lineRule="atLeast"/>
        <w:ind w:firstLine="420" w:firstLineChars="200"/>
        <w:rPr>
          <w:color w:val="000000"/>
          <w:szCs w:val="21"/>
          <w:highlight w:val="none"/>
        </w:rPr>
      </w:pPr>
      <w:r>
        <w:rPr>
          <w:rFonts w:hint="eastAsia"/>
          <w:color w:val="000000"/>
          <w:szCs w:val="21"/>
          <w:highlight w:val="none"/>
        </w:rPr>
        <w:t>（2）</w:t>
      </w:r>
      <w:r>
        <w:rPr>
          <w:rFonts w:hint="eastAsia"/>
          <w:color w:val="000000"/>
          <w:szCs w:val="21"/>
          <w:highlight w:val="none"/>
        </w:rPr>
        <w:tab/>
      </w:r>
      <w:r>
        <w:rPr>
          <w:rFonts w:hint="eastAsia"/>
          <w:color w:val="000000"/>
          <w:szCs w:val="21"/>
          <w:highlight w:val="none"/>
        </w:rPr>
        <w:t>质疑项目的名称、编号；</w:t>
      </w:r>
    </w:p>
    <w:p w14:paraId="75316A53">
      <w:pPr>
        <w:spacing w:before="120" w:line="320" w:lineRule="atLeast"/>
        <w:ind w:firstLine="420" w:firstLineChars="200"/>
        <w:rPr>
          <w:color w:val="000000"/>
          <w:szCs w:val="21"/>
          <w:highlight w:val="none"/>
        </w:rPr>
      </w:pPr>
      <w:r>
        <w:rPr>
          <w:rFonts w:hint="eastAsia"/>
          <w:color w:val="000000"/>
          <w:szCs w:val="21"/>
          <w:highlight w:val="none"/>
        </w:rPr>
        <w:t>（3）</w:t>
      </w:r>
      <w:r>
        <w:rPr>
          <w:rFonts w:hint="eastAsia"/>
          <w:color w:val="000000"/>
          <w:szCs w:val="21"/>
          <w:highlight w:val="none"/>
        </w:rPr>
        <w:tab/>
      </w:r>
      <w:r>
        <w:rPr>
          <w:rFonts w:hint="eastAsia"/>
          <w:color w:val="000000"/>
          <w:szCs w:val="21"/>
          <w:highlight w:val="none"/>
        </w:rPr>
        <w:t>具体、明确的质疑事项和与质疑事项相关的请求；</w:t>
      </w:r>
    </w:p>
    <w:p w14:paraId="23418E2B">
      <w:pPr>
        <w:spacing w:before="120" w:line="320" w:lineRule="atLeast"/>
        <w:ind w:firstLine="420" w:firstLineChars="200"/>
        <w:rPr>
          <w:color w:val="000000"/>
          <w:szCs w:val="21"/>
          <w:highlight w:val="none"/>
        </w:rPr>
      </w:pPr>
      <w:r>
        <w:rPr>
          <w:rFonts w:hint="eastAsia"/>
          <w:color w:val="000000"/>
          <w:szCs w:val="21"/>
          <w:highlight w:val="none"/>
        </w:rPr>
        <w:t>（4）</w:t>
      </w:r>
      <w:r>
        <w:rPr>
          <w:rFonts w:hint="eastAsia"/>
          <w:color w:val="000000"/>
          <w:szCs w:val="21"/>
          <w:highlight w:val="none"/>
        </w:rPr>
        <w:tab/>
      </w:r>
      <w:r>
        <w:rPr>
          <w:rFonts w:hint="eastAsia"/>
          <w:color w:val="000000"/>
          <w:szCs w:val="21"/>
          <w:highlight w:val="none"/>
        </w:rPr>
        <w:t>事实依据；</w:t>
      </w:r>
    </w:p>
    <w:p w14:paraId="7AC1E918">
      <w:pPr>
        <w:spacing w:before="120" w:line="320" w:lineRule="atLeast"/>
        <w:ind w:firstLine="420" w:firstLineChars="200"/>
        <w:rPr>
          <w:color w:val="000000"/>
          <w:szCs w:val="21"/>
          <w:highlight w:val="none"/>
        </w:rPr>
      </w:pPr>
      <w:r>
        <w:rPr>
          <w:rFonts w:hint="eastAsia"/>
          <w:color w:val="000000"/>
          <w:szCs w:val="21"/>
          <w:highlight w:val="none"/>
        </w:rPr>
        <w:t>（5）</w:t>
      </w:r>
      <w:r>
        <w:rPr>
          <w:rFonts w:hint="eastAsia"/>
          <w:color w:val="000000"/>
          <w:szCs w:val="21"/>
          <w:highlight w:val="none"/>
        </w:rPr>
        <w:tab/>
      </w:r>
      <w:r>
        <w:rPr>
          <w:rFonts w:hint="eastAsia"/>
          <w:color w:val="000000"/>
          <w:szCs w:val="21"/>
          <w:highlight w:val="none"/>
        </w:rPr>
        <w:t>必要的法律依据；</w:t>
      </w:r>
    </w:p>
    <w:p w14:paraId="12D2F234">
      <w:pPr>
        <w:spacing w:before="120" w:line="320" w:lineRule="atLeast"/>
        <w:ind w:firstLine="420" w:firstLineChars="200"/>
        <w:rPr>
          <w:color w:val="000000"/>
          <w:szCs w:val="21"/>
          <w:highlight w:val="none"/>
        </w:rPr>
      </w:pPr>
      <w:r>
        <w:rPr>
          <w:rFonts w:hint="eastAsia"/>
          <w:color w:val="000000"/>
          <w:szCs w:val="21"/>
          <w:highlight w:val="none"/>
        </w:rPr>
        <w:t>（6）</w:t>
      </w:r>
      <w:r>
        <w:rPr>
          <w:rFonts w:hint="eastAsia"/>
          <w:color w:val="000000"/>
          <w:szCs w:val="21"/>
          <w:highlight w:val="none"/>
        </w:rPr>
        <w:tab/>
      </w:r>
      <w:r>
        <w:rPr>
          <w:rFonts w:hint="eastAsia"/>
          <w:color w:val="000000"/>
          <w:szCs w:val="21"/>
          <w:highlight w:val="none"/>
        </w:rPr>
        <w:t>提出质疑的日期。</w:t>
      </w:r>
    </w:p>
    <w:p w14:paraId="37AAA215">
      <w:pPr>
        <w:spacing w:before="120" w:line="320" w:lineRule="atLeast"/>
        <w:ind w:firstLine="420" w:firstLineChars="200"/>
        <w:rPr>
          <w:color w:val="000000"/>
          <w:szCs w:val="21"/>
          <w:highlight w:val="none"/>
        </w:rPr>
      </w:pPr>
      <w:r>
        <w:rPr>
          <w:rFonts w:hint="eastAsia"/>
          <w:color w:val="000000"/>
          <w:szCs w:val="21"/>
          <w:highlight w:val="none"/>
        </w:rPr>
        <w:t>供应商为自然人的，应当由本人签字；供应商为法人或者其他组织的，应当由法定代表人、主要负责人，或者其授权代表签字或者盖章，并加盖公章。</w:t>
      </w:r>
      <w:r>
        <w:rPr>
          <w:color w:val="000000"/>
          <w:szCs w:val="21"/>
          <w:highlight w:val="none"/>
        </w:rPr>
        <w:t xml:space="preserve"> </w:t>
      </w:r>
    </w:p>
    <w:p w14:paraId="1832E86A">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.2投诉</w:t>
      </w:r>
    </w:p>
    <w:p w14:paraId="281DC3D2">
      <w:pPr>
        <w:spacing w:before="120" w:line="320" w:lineRule="atLeast"/>
        <w:ind w:firstLine="420" w:firstLineChars="200"/>
        <w:rPr>
          <w:color w:val="000000"/>
          <w:szCs w:val="21"/>
          <w:highlight w:val="none"/>
        </w:rPr>
      </w:pPr>
      <w:r>
        <w:rPr>
          <w:rFonts w:hint="eastAsia"/>
          <w:color w:val="000000"/>
          <w:szCs w:val="21"/>
          <w:highlight w:val="none"/>
        </w:rPr>
        <w:t>2.9</w:t>
      </w:r>
      <w:r>
        <w:rPr>
          <w:color w:val="000000"/>
          <w:szCs w:val="21"/>
          <w:highlight w:val="none"/>
        </w:rPr>
        <w:t>.2.1供应商对</w:t>
      </w:r>
      <w:r>
        <w:rPr>
          <w:rFonts w:hint="eastAsia"/>
          <w:color w:val="000000"/>
          <w:szCs w:val="21"/>
          <w:highlight w:val="none"/>
        </w:rPr>
        <w:t>采购代理机构</w:t>
      </w:r>
      <w:r>
        <w:rPr>
          <w:color w:val="000000"/>
          <w:szCs w:val="21"/>
          <w:highlight w:val="none"/>
        </w:rPr>
        <w:t>的答复不满意，或者</w:t>
      </w:r>
      <w:r>
        <w:rPr>
          <w:rFonts w:hint="eastAsia"/>
          <w:color w:val="000000"/>
          <w:szCs w:val="21"/>
          <w:highlight w:val="none"/>
        </w:rPr>
        <w:t>采购代理机构</w:t>
      </w:r>
      <w:r>
        <w:rPr>
          <w:color w:val="000000"/>
          <w:szCs w:val="21"/>
          <w:highlight w:val="none"/>
        </w:rPr>
        <w:t>未在规定时间内答复的，可在答复期满后15个工作日内按有关规定，向同级财政部门投诉。</w:t>
      </w:r>
    </w:p>
    <w:p w14:paraId="53A57785">
      <w:pPr>
        <w:spacing w:before="120" w:line="320" w:lineRule="atLeast"/>
        <w:ind w:firstLine="420" w:firstLineChars="200"/>
        <w:rPr>
          <w:color w:val="000000"/>
          <w:szCs w:val="21"/>
          <w:highlight w:val="none"/>
        </w:rPr>
      </w:pPr>
      <w:r>
        <w:rPr>
          <w:rFonts w:hint="eastAsia"/>
          <w:color w:val="000000"/>
          <w:szCs w:val="21"/>
          <w:highlight w:val="none"/>
        </w:rPr>
        <w:t>2.9</w:t>
      </w:r>
      <w:r>
        <w:rPr>
          <w:color w:val="000000"/>
          <w:szCs w:val="21"/>
          <w:highlight w:val="none"/>
        </w:rPr>
        <w:t>.2.</w:t>
      </w:r>
      <w:r>
        <w:rPr>
          <w:rFonts w:hint="eastAsia"/>
          <w:color w:val="000000"/>
          <w:szCs w:val="21"/>
          <w:highlight w:val="none"/>
        </w:rPr>
        <w:t>2投诉</w:t>
      </w:r>
      <w:r>
        <w:rPr>
          <w:color w:val="000000"/>
          <w:szCs w:val="21"/>
          <w:highlight w:val="none"/>
        </w:rPr>
        <w:t>书应使用财政部发布的</w:t>
      </w:r>
      <w:r>
        <w:rPr>
          <w:rFonts w:hint="eastAsia"/>
          <w:color w:val="000000"/>
          <w:szCs w:val="21"/>
          <w:highlight w:val="none"/>
        </w:rPr>
        <w:t>政府采购供应投诉书范本，并应按照“投诉书制作说明”进行编写。</w:t>
      </w:r>
    </w:p>
    <w:p w14:paraId="5057A606">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2.10促进中小企业发展政策</w:t>
      </w:r>
    </w:p>
    <w:p w14:paraId="31C1E5FF">
      <w:pPr>
        <w:spacing w:before="120" w:line="320" w:lineRule="atLeast"/>
        <w:ind w:left="2" w:leftChars="1" w:firstLine="420" w:firstLineChars="200"/>
        <w:rPr>
          <w:color w:val="000000"/>
          <w:szCs w:val="21"/>
          <w:highlight w:val="none"/>
        </w:rPr>
      </w:pPr>
      <w:r>
        <w:rPr>
          <w:rFonts w:hint="eastAsia"/>
          <w:color w:val="000000"/>
          <w:szCs w:val="21"/>
          <w:highlight w:val="none"/>
        </w:rPr>
        <w:t>2.10</w:t>
      </w:r>
      <w:r>
        <w:rPr>
          <w:color w:val="000000"/>
          <w:szCs w:val="21"/>
          <w:highlight w:val="none"/>
        </w:rPr>
        <w:t>.1</w:t>
      </w:r>
      <w:r>
        <w:rPr>
          <w:rFonts w:hint="eastAsia"/>
          <w:color w:val="000000"/>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09D45BD">
      <w:pPr>
        <w:spacing w:before="120" w:line="320" w:lineRule="atLeast"/>
        <w:ind w:left="2" w:leftChars="1" w:firstLine="420" w:firstLineChars="200"/>
        <w:rPr>
          <w:color w:val="000000"/>
          <w:szCs w:val="21"/>
          <w:highlight w:val="none"/>
        </w:rPr>
      </w:pPr>
      <w:r>
        <w:rPr>
          <w:rFonts w:hint="eastAsia"/>
          <w:color w:val="000000"/>
          <w:szCs w:val="21"/>
          <w:highlight w:val="none"/>
        </w:rPr>
        <w:t>2.10.</w:t>
      </w:r>
      <w:r>
        <w:rPr>
          <w:color w:val="000000"/>
          <w:szCs w:val="21"/>
          <w:highlight w:val="none"/>
        </w:rPr>
        <w:t>2</w:t>
      </w:r>
      <w:r>
        <w:rPr>
          <w:rFonts w:hint="eastAsia"/>
          <w:color w:val="000000"/>
          <w:szCs w:val="21"/>
          <w:highlight w:val="none"/>
        </w:rPr>
        <w:t>本项目如为专门面向中小企业预留采购份额采购项目，供应商必须满足征集文件资格要求中的落实政府采购政策需满足的资格要求。</w:t>
      </w:r>
    </w:p>
    <w:p w14:paraId="5CAECB5D">
      <w:pPr>
        <w:spacing w:before="120" w:line="320" w:lineRule="atLeast"/>
        <w:ind w:left="2" w:leftChars="1" w:firstLine="420" w:firstLineChars="200"/>
        <w:rPr>
          <w:color w:val="000000"/>
          <w:szCs w:val="21"/>
          <w:highlight w:val="none"/>
        </w:rPr>
      </w:pPr>
      <w:r>
        <w:rPr>
          <w:rFonts w:hint="eastAsia"/>
          <w:color w:val="000000"/>
          <w:szCs w:val="21"/>
          <w:highlight w:val="none"/>
        </w:rPr>
        <w:t>征集文件中如接受联合体，供应商以联合体形式参加采购活动，联合体协议中约定中小企业承担的部分达到3</w:t>
      </w:r>
      <w:r>
        <w:rPr>
          <w:color w:val="000000"/>
          <w:szCs w:val="21"/>
          <w:highlight w:val="none"/>
        </w:rPr>
        <w:t>0%</w:t>
      </w:r>
      <w:r>
        <w:rPr>
          <w:rFonts w:hint="eastAsia"/>
          <w:color w:val="000000"/>
          <w:szCs w:val="21"/>
          <w:highlight w:val="none"/>
        </w:rPr>
        <w:t>以上，其中预留给小微企业的比例不低于6</w:t>
      </w:r>
      <w:r>
        <w:rPr>
          <w:color w:val="000000"/>
          <w:szCs w:val="21"/>
          <w:highlight w:val="none"/>
        </w:rPr>
        <w:t>0%</w:t>
      </w:r>
      <w:r>
        <w:rPr>
          <w:rFonts w:hint="eastAsia"/>
          <w:color w:val="000000"/>
          <w:szCs w:val="21"/>
          <w:highlight w:val="none"/>
        </w:rPr>
        <w:t>。</w:t>
      </w:r>
    </w:p>
    <w:p w14:paraId="6449A71D">
      <w:pPr>
        <w:spacing w:before="120" w:line="320" w:lineRule="atLeast"/>
        <w:ind w:left="2" w:leftChars="1" w:firstLine="420" w:firstLineChars="200"/>
        <w:rPr>
          <w:color w:val="000000"/>
          <w:szCs w:val="21"/>
          <w:highlight w:val="none"/>
        </w:rPr>
      </w:pPr>
      <w:r>
        <w:rPr>
          <w:rFonts w:hint="eastAsia"/>
          <w:color w:val="000000"/>
          <w:szCs w:val="21"/>
          <w:highlight w:val="none"/>
        </w:rPr>
        <w:t>征集文件中如接受分包，供应商将采购项目分包给一家或者多家中小企业的比例达到3</w:t>
      </w:r>
      <w:r>
        <w:rPr>
          <w:color w:val="000000"/>
          <w:szCs w:val="21"/>
          <w:highlight w:val="none"/>
        </w:rPr>
        <w:t>0%</w:t>
      </w:r>
      <w:r>
        <w:rPr>
          <w:rFonts w:hint="eastAsia"/>
          <w:color w:val="000000"/>
          <w:szCs w:val="21"/>
          <w:highlight w:val="none"/>
        </w:rPr>
        <w:t>以上，其中预留给小微企业的比例不低于6</w:t>
      </w:r>
      <w:r>
        <w:rPr>
          <w:color w:val="000000"/>
          <w:szCs w:val="21"/>
          <w:highlight w:val="none"/>
        </w:rPr>
        <w:t>0%</w:t>
      </w:r>
      <w:r>
        <w:rPr>
          <w:rFonts w:hint="eastAsia"/>
          <w:color w:val="000000"/>
          <w:szCs w:val="21"/>
          <w:highlight w:val="none"/>
        </w:rPr>
        <w:t>。</w:t>
      </w:r>
    </w:p>
    <w:p w14:paraId="14FBDCE9">
      <w:pPr>
        <w:spacing w:before="120" w:line="320" w:lineRule="atLeast"/>
        <w:ind w:left="2" w:leftChars="1" w:firstLine="420" w:firstLineChars="200"/>
        <w:rPr>
          <w:color w:val="000000"/>
          <w:szCs w:val="21"/>
          <w:highlight w:val="none"/>
        </w:rPr>
      </w:pPr>
      <w:r>
        <w:rPr>
          <w:rFonts w:hint="eastAsia"/>
          <w:color w:val="000000"/>
          <w:szCs w:val="21"/>
          <w:highlight w:val="none"/>
        </w:rPr>
        <w:t>注：专门面向中小企业预留采购份额采购项目不享受价格扣除政策。</w:t>
      </w:r>
    </w:p>
    <w:p w14:paraId="410FD691">
      <w:pPr>
        <w:spacing w:before="120" w:line="320" w:lineRule="atLeast"/>
        <w:ind w:left="2" w:leftChars="1" w:firstLine="420" w:firstLineChars="200"/>
        <w:rPr>
          <w:color w:val="000000"/>
          <w:szCs w:val="21"/>
          <w:highlight w:val="none"/>
        </w:rPr>
      </w:pPr>
      <w:r>
        <w:rPr>
          <w:rFonts w:hint="eastAsia"/>
          <w:color w:val="000000"/>
          <w:szCs w:val="21"/>
          <w:highlight w:val="none"/>
        </w:rPr>
        <w:t>2.10.</w:t>
      </w:r>
      <w:r>
        <w:rPr>
          <w:color w:val="000000"/>
          <w:szCs w:val="21"/>
          <w:highlight w:val="none"/>
        </w:rPr>
        <w:t>3</w:t>
      </w:r>
      <w:r>
        <w:rPr>
          <w:rFonts w:hint="eastAsia"/>
          <w:color w:val="000000"/>
          <w:szCs w:val="21"/>
          <w:highlight w:val="none"/>
        </w:rPr>
        <w:t>本项目如为非专门面向中小企业预留采购份额采购项目，评审委员会应当对小微企业报价给予价格扣除，用扣除后的价格参加评审。</w:t>
      </w:r>
    </w:p>
    <w:p w14:paraId="4AA24A81">
      <w:pPr>
        <w:spacing w:before="120" w:line="320" w:lineRule="atLeast"/>
        <w:ind w:left="2" w:leftChars="1" w:firstLine="420" w:firstLineChars="200"/>
        <w:rPr>
          <w:color w:val="000000"/>
          <w:szCs w:val="21"/>
          <w:highlight w:val="none"/>
        </w:rPr>
      </w:pPr>
      <w:r>
        <w:rPr>
          <w:rFonts w:hint="eastAsia"/>
          <w:color w:val="000000"/>
          <w:szCs w:val="21"/>
          <w:highlight w:val="none"/>
        </w:rPr>
        <w:t>征集文件接受大中型企业与小微企业组成联合体或者允许大中型企业向一家或者多家小微企业分包时，对于联合协议或者分包意向协议约定小微企业的合同份额占合同总金额比例达到3</w:t>
      </w:r>
      <w:r>
        <w:rPr>
          <w:color w:val="000000"/>
          <w:szCs w:val="21"/>
          <w:highlight w:val="none"/>
        </w:rPr>
        <w:t>0%</w:t>
      </w:r>
      <w:r>
        <w:rPr>
          <w:rFonts w:hint="eastAsia"/>
          <w:color w:val="000000"/>
          <w:szCs w:val="21"/>
          <w:highlight w:val="none"/>
        </w:rPr>
        <w:t>以上的，评审委员会员应当对联合体或者大中型企业的报价给予价格扣除，用扣除后的价格参加评审。</w:t>
      </w:r>
    </w:p>
    <w:p w14:paraId="31F1557B">
      <w:pPr>
        <w:spacing w:before="120" w:line="320" w:lineRule="atLeast"/>
        <w:ind w:left="2" w:leftChars="1" w:firstLine="420" w:firstLineChars="200"/>
        <w:rPr>
          <w:color w:val="000000"/>
          <w:szCs w:val="21"/>
          <w:highlight w:val="none"/>
        </w:rPr>
      </w:pPr>
      <w:r>
        <w:rPr>
          <w:rFonts w:hint="eastAsia"/>
          <w:color w:val="000000"/>
          <w:szCs w:val="21"/>
          <w:highlight w:val="none"/>
        </w:rPr>
        <w:t>组成联合体或者接受分包的小微企业与联合体内其他企业、分包企业之间存在直接控股、管理关系的，不享受价格扣除优惠政策。</w:t>
      </w:r>
    </w:p>
    <w:p w14:paraId="4C06AA12">
      <w:pPr>
        <w:spacing w:before="120" w:line="320" w:lineRule="atLeast"/>
        <w:ind w:left="2" w:leftChars="1" w:firstLine="420" w:firstLineChars="200"/>
        <w:rPr>
          <w:color w:val="000000"/>
          <w:szCs w:val="21"/>
          <w:highlight w:val="none"/>
        </w:rPr>
      </w:pPr>
      <w:r>
        <w:rPr>
          <w:rFonts w:hint="eastAsia"/>
          <w:color w:val="000000"/>
          <w:szCs w:val="21"/>
          <w:highlight w:val="none"/>
        </w:rPr>
        <w:t>价格扣除比例在第四章评审方法及标准中规定，对小型企业和微型企业同等对待，不作区分。</w:t>
      </w:r>
    </w:p>
    <w:p w14:paraId="1EDF94BE">
      <w:pPr>
        <w:spacing w:before="120" w:line="320" w:lineRule="atLeast"/>
        <w:ind w:left="2" w:leftChars="1" w:firstLine="420" w:firstLineChars="200"/>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中小企业定义</w:t>
      </w:r>
    </w:p>
    <w:p w14:paraId="1A3474F3">
      <w:pPr>
        <w:spacing w:before="120" w:line="320" w:lineRule="atLeast"/>
        <w:ind w:firstLine="420" w:firstLineChars="200"/>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1</w:t>
      </w:r>
      <w:r>
        <w:rPr>
          <w:rFonts w:hint="eastAsia"/>
          <w:color w:val="00000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F66FEEE">
      <w:pPr>
        <w:spacing w:before="120" w:line="320" w:lineRule="atLeast"/>
        <w:ind w:left="2" w:leftChars="1" w:firstLine="420" w:firstLineChars="200"/>
        <w:rPr>
          <w:color w:val="000000"/>
          <w:szCs w:val="21"/>
          <w:highlight w:val="none"/>
        </w:rPr>
      </w:pPr>
      <w:r>
        <w:rPr>
          <w:rFonts w:hint="eastAsia"/>
          <w:color w:val="000000"/>
          <w:szCs w:val="21"/>
          <w:highlight w:val="none"/>
        </w:rPr>
        <w:t>2.10</w:t>
      </w:r>
      <w:r>
        <w:rPr>
          <w:color w:val="000000"/>
          <w:szCs w:val="21"/>
          <w:highlight w:val="none"/>
        </w:rPr>
        <w:t>.4.2</w:t>
      </w:r>
      <w:r>
        <w:rPr>
          <w:rFonts w:hint="eastAsia"/>
          <w:color w:val="000000"/>
          <w:szCs w:val="21"/>
          <w:highlight w:val="none"/>
        </w:rPr>
        <w:t>供应商提供的货物、工程或者服务符合下列情形的，享受本款规定的促进中小企业发展政策：</w:t>
      </w:r>
    </w:p>
    <w:p w14:paraId="7FF77B2F">
      <w:pPr>
        <w:spacing w:before="120" w:line="320" w:lineRule="atLeast"/>
        <w:ind w:left="2" w:leftChars="1" w:firstLine="420" w:firstLineChars="200"/>
        <w:rPr>
          <w:color w:val="000000"/>
          <w:szCs w:val="21"/>
          <w:highlight w:val="none"/>
        </w:rPr>
      </w:pPr>
      <w:r>
        <w:rPr>
          <w:rFonts w:hint="eastAsia"/>
          <w:color w:val="000000"/>
          <w:szCs w:val="21"/>
          <w:highlight w:val="none"/>
        </w:rPr>
        <w:t>在货物采购项目中，货物由中小企业制造，即货物由中小企业生产且使用该中小企业商号或者注册商标；</w:t>
      </w:r>
    </w:p>
    <w:p w14:paraId="4170A3D5">
      <w:pPr>
        <w:spacing w:before="120" w:line="320" w:lineRule="atLeast"/>
        <w:ind w:left="2" w:leftChars="1" w:firstLine="420" w:firstLineChars="200"/>
        <w:rPr>
          <w:color w:val="000000"/>
          <w:szCs w:val="21"/>
          <w:highlight w:val="none"/>
        </w:rPr>
      </w:pPr>
      <w:r>
        <w:rPr>
          <w:rFonts w:hint="eastAsia"/>
          <w:color w:val="000000"/>
          <w:szCs w:val="21"/>
          <w:highlight w:val="none"/>
        </w:rPr>
        <w:t>在工程采购项目中，工程由中小企业承建，即工程施工单位为中小企业；</w:t>
      </w:r>
    </w:p>
    <w:p w14:paraId="2DBF12FE">
      <w:pPr>
        <w:spacing w:before="120" w:line="320" w:lineRule="atLeast"/>
        <w:ind w:left="2" w:leftChars="1" w:firstLine="420" w:firstLineChars="200"/>
        <w:rPr>
          <w:rFonts w:hint="eastAsia"/>
          <w:color w:val="000000"/>
          <w:szCs w:val="21"/>
          <w:highlight w:val="none"/>
        </w:rPr>
      </w:pPr>
      <w:r>
        <w:rPr>
          <w:rFonts w:hint="eastAsia"/>
          <w:color w:val="000000"/>
          <w:szCs w:val="21"/>
          <w:highlight w:val="none"/>
        </w:rPr>
        <w:t>在服务采购项目中，服务由中小企业承接，即提供服务的人员为中小企业依照</w:t>
      </w:r>
      <w:r>
        <w:rPr>
          <w:rFonts w:hint="eastAsia"/>
          <w:color w:val="000000"/>
          <w:szCs w:val="21"/>
          <w:highlight w:val="none"/>
          <w:lang w:val="en-US" w:eastAsia="zh-CN"/>
        </w:rPr>
        <w:t>相关法律法规</w:t>
      </w:r>
      <w:r>
        <w:rPr>
          <w:rFonts w:hint="eastAsia"/>
          <w:color w:val="000000"/>
          <w:szCs w:val="21"/>
          <w:highlight w:val="none"/>
        </w:rPr>
        <w:t>订立劳动合同的从业人员。</w:t>
      </w:r>
    </w:p>
    <w:p w14:paraId="588ED562">
      <w:pPr>
        <w:spacing w:before="120" w:line="320" w:lineRule="atLeast"/>
        <w:ind w:left="2" w:leftChars="1" w:firstLine="420" w:firstLineChars="200"/>
        <w:rPr>
          <w:color w:val="000000"/>
          <w:szCs w:val="21"/>
          <w:highlight w:val="none"/>
        </w:rPr>
      </w:pPr>
      <w:r>
        <w:rPr>
          <w:rFonts w:hint="eastAsia"/>
          <w:color w:val="000000"/>
          <w:szCs w:val="21"/>
          <w:highlight w:val="none"/>
        </w:rPr>
        <w:t>在货物采购项目中，供应商提供的货物既有中小企业制造货物，也有大型企业制造货物的，不享受本款规定的促进中小企业发展政策。</w:t>
      </w:r>
    </w:p>
    <w:p w14:paraId="0A8749CB">
      <w:pPr>
        <w:spacing w:before="120" w:line="320" w:lineRule="atLeast"/>
        <w:ind w:left="2" w:leftChars="1" w:firstLine="420" w:firstLineChars="200"/>
        <w:rPr>
          <w:color w:val="000000"/>
          <w:szCs w:val="21"/>
          <w:highlight w:val="none"/>
        </w:rPr>
      </w:pPr>
      <w:r>
        <w:rPr>
          <w:rFonts w:hint="eastAsia"/>
          <w:color w:val="000000"/>
          <w:szCs w:val="21"/>
          <w:highlight w:val="none"/>
        </w:rPr>
        <w:t>以联合体形式参加政府采购活动，联合体各方均为中小企业的，联合体视同中小企业。其中，联合体各方均为小微企业的，联合体视同小微企业。</w:t>
      </w:r>
    </w:p>
    <w:p w14:paraId="6465D95B">
      <w:pPr>
        <w:spacing w:before="120" w:line="320" w:lineRule="atLeast"/>
        <w:ind w:firstLine="420" w:firstLineChars="200"/>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3</w:t>
      </w:r>
      <w:r>
        <w:rPr>
          <w:rFonts w:hint="eastAsia"/>
          <w:color w:val="000000"/>
          <w:szCs w:val="21"/>
          <w:highlight w:val="none"/>
        </w:rPr>
        <w:t>供应商根据中小企业划分标准（《关于印发中小企业划型标准规定的通知》（工信部联企业〔2011〕300号）判断是否为中小企业。</w:t>
      </w:r>
    </w:p>
    <w:p w14:paraId="01A7117A">
      <w:pPr>
        <w:spacing w:before="120" w:line="320" w:lineRule="atLeast"/>
        <w:ind w:firstLine="420" w:firstLineChars="200"/>
        <w:rPr>
          <w:color w:val="000000"/>
          <w:szCs w:val="21"/>
          <w:highlight w:val="none"/>
        </w:rPr>
      </w:pPr>
      <w:r>
        <w:rPr>
          <w:rFonts w:hint="eastAsia"/>
          <w:color w:val="000000"/>
          <w:szCs w:val="21"/>
          <w:highlight w:val="none"/>
        </w:rPr>
        <w:t>符合条件的货物制造商、工程施工单位、服务承接单位为中小企业的，应按征集文件规定在响应文件中提供声明函。</w:t>
      </w:r>
    </w:p>
    <w:p w14:paraId="6D0B2DCF">
      <w:pPr>
        <w:spacing w:before="120" w:line="320" w:lineRule="atLeast"/>
        <w:ind w:firstLine="420" w:firstLineChars="200"/>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4</w:t>
      </w:r>
      <w:r>
        <w:rPr>
          <w:rFonts w:hint="eastAsia"/>
          <w:color w:val="000000"/>
          <w:szCs w:val="21"/>
          <w:highlight w:val="none"/>
        </w:rPr>
        <w:t>视同中小企业情形</w:t>
      </w:r>
    </w:p>
    <w:p w14:paraId="5DC602EC">
      <w:pPr>
        <w:spacing w:before="120" w:line="320" w:lineRule="atLeast"/>
        <w:ind w:firstLine="420" w:firstLineChars="200"/>
        <w:rPr>
          <w:color w:val="000000"/>
          <w:szCs w:val="21"/>
          <w:highlight w:val="none"/>
        </w:rPr>
      </w:pPr>
      <w:r>
        <w:rPr>
          <w:rFonts w:hint="eastAsia"/>
          <w:color w:val="000000"/>
          <w:szCs w:val="21"/>
          <w:highlight w:val="none"/>
        </w:rPr>
        <w:t>（1）符合中小企业划分标准的个体工商户，视同中小企业。</w:t>
      </w:r>
    </w:p>
    <w:p w14:paraId="7597B68E">
      <w:pPr>
        <w:spacing w:before="120" w:line="320" w:lineRule="atLeast"/>
        <w:ind w:firstLine="420" w:firstLineChars="200"/>
        <w:rPr>
          <w:color w:val="000000"/>
          <w:szCs w:val="21"/>
          <w:highlight w:val="none"/>
        </w:rPr>
      </w:pPr>
      <w:r>
        <w:rPr>
          <w:rFonts w:hint="eastAsia"/>
          <w:color w:val="000000"/>
          <w:szCs w:val="21"/>
          <w:highlight w:val="none"/>
        </w:rPr>
        <w:t>（2）以联合体形式参加政府采购活动，联合体各方均为中小企业的，联合体视同中小企业。其中，联合体各方均为小微企业的，联合体视同小微企业。</w:t>
      </w:r>
    </w:p>
    <w:p w14:paraId="57A3BF87">
      <w:pPr>
        <w:spacing w:before="120" w:line="320" w:lineRule="atLeast"/>
        <w:ind w:firstLine="420" w:firstLineChars="200"/>
        <w:rPr>
          <w:color w:val="000000"/>
          <w:szCs w:val="21"/>
          <w:highlight w:val="none"/>
        </w:rPr>
      </w:pPr>
      <w:r>
        <w:rPr>
          <w:rFonts w:hint="eastAsia"/>
          <w:color w:val="000000"/>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E09DB19">
      <w:pPr>
        <w:spacing w:before="120" w:line="320" w:lineRule="atLeast"/>
        <w:ind w:left="2" w:leftChars="1" w:firstLine="420" w:firstLineChars="200"/>
        <w:rPr>
          <w:color w:val="000000"/>
          <w:szCs w:val="21"/>
          <w:highlight w:val="none"/>
        </w:rPr>
      </w:pPr>
      <w:r>
        <w:rPr>
          <w:rFonts w:hint="eastAsia"/>
          <w:color w:val="000000"/>
          <w:szCs w:val="21"/>
          <w:highlight w:val="none"/>
        </w:rPr>
        <w:t>符合条件的货物制造商、工程施工单位、服务承接单位为监狱企业或残疾人福利性单位的，应按征集文件规定在响应文件中提供相关证明文件。</w:t>
      </w:r>
    </w:p>
    <w:p w14:paraId="3EC3FC72">
      <w:pPr>
        <w:spacing w:before="120" w:line="320" w:lineRule="atLeast"/>
        <w:ind w:left="2" w:leftChars="1" w:firstLine="422" w:firstLineChars="200"/>
        <w:outlineLvl w:val="1"/>
        <w:rPr>
          <w:b/>
          <w:bCs/>
          <w:color w:val="000000"/>
          <w:kern w:val="0"/>
          <w:szCs w:val="21"/>
          <w:highlight w:val="none"/>
        </w:rPr>
      </w:pPr>
      <w:r>
        <w:rPr>
          <w:b/>
          <w:bCs/>
          <w:color w:val="000000"/>
          <w:kern w:val="0"/>
          <w:szCs w:val="21"/>
          <w:highlight w:val="none"/>
        </w:rPr>
        <w:t>3</w:t>
      </w:r>
      <w:r>
        <w:rPr>
          <w:rFonts w:hint="eastAsia"/>
          <w:b/>
          <w:bCs/>
          <w:color w:val="000000"/>
          <w:kern w:val="0"/>
          <w:szCs w:val="21"/>
          <w:highlight w:val="none"/>
        </w:rPr>
        <w:t>．第二阶段（确定成交阶段）</w:t>
      </w:r>
    </w:p>
    <w:p w14:paraId="5DE315E2">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3.1确定成交供应商</w:t>
      </w:r>
    </w:p>
    <w:p w14:paraId="121DADCD">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3.1</w:t>
      </w:r>
      <w:r>
        <w:rPr>
          <w:color w:val="000000"/>
          <w:kern w:val="0"/>
          <w:szCs w:val="21"/>
          <w:highlight w:val="none"/>
        </w:rPr>
        <w:t>.1</w:t>
      </w:r>
      <w:r>
        <w:rPr>
          <w:rFonts w:hint="eastAsia"/>
          <w:color w:val="000000"/>
          <w:kern w:val="0"/>
          <w:szCs w:val="21"/>
          <w:highlight w:val="none"/>
        </w:rPr>
        <w:t>采购人按照征集文件或框架协议中规定的方式从入围供应商中直接选定成交供应商签订合同。</w:t>
      </w:r>
    </w:p>
    <w:p w14:paraId="352788A1">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3.2成交结果公告</w:t>
      </w:r>
    </w:p>
    <w:p w14:paraId="192544C4">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3.2</w:t>
      </w:r>
      <w:r>
        <w:rPr>
          <w:color w:val="000000"/>
          <w:kern w:val="0"/>
          <w:szCs w:val="21"/>
          <w:highlight w:val="none"/>
        </w:rPr>
        <w:t>.1</w:t>
      </w:r>
      <w:r>
        <w:rPr>
          <w:rFonts w:hint="eastAsia"/>
          <w:color w:val="000000"/>
          <w:kern w:val="0"/>
          <w:szCs w:val="21"/>
          <w:highlight w:val="none"/>
        </w:rPr>
        <w:t>如征集文件或框架协议中规定确定成交供应商的方式为二次竞价或顺序轮候方式，或者采购人在满足规定的前提下将合同授予非入围供应商，征集人在确定成交供应商后2个工作日内发布单笔成交结果公告，单笔成交公告在征集公告发布媒体上发布。</w:t>
      </w:r>
    </w:p>
    <w:p w14:paraId="5278A13C">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合同</w:t>
      </w:r>
    </w:p>
    <w:p w14:paraId="501D778B">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.1合同授予标准</w:t>
      </w:r>
    </w:p>
    <w:p w14:paraId="03967DD8">
      <w:pPr>
        <w:spacing w:before="120" w:line="320" w:lineRule="atLeast"/>
        <w:ind w:firstLine="420" w:firstLineChars="200"/>
        <w:rPr>
          <w:color w:val="000000"/>
          <w:szCs w:val="21"/>
          <w:highlight w:val="none"/>
        </w:rPr>
      </w:pPr>
      <w:r>
        <w:rPr>
          <w:rFonts w:hint="eastAsia"/>
          <w:color w:val="000000"/>
          <w:szCs w:val="21"/>
          <w:highlight w:val="none"/>
        </w:rPr>
        <w:t>除框架协议另有规定外，采购人采购框架协议约定的货物、服务，应当将采购合同授予入围供应商，成交供应商选定方式在框架协议中规定。</w:t>
      </w:r>
    </w:p>
    <w:p w14:paraId="1A094704">
      <w:pPr>
        <w:spacing w:before="120" w:line="320" w:lineRule="atLeast"/>
        <w:ind w:firstLine="420" w:firstLineChars="200"/>
        <w:rPr>
          <w:color w:val="000000"/>
          <w:szCs w:val="21"/>
          <w:highlight w:val="none"/>
        </w:rPr>
      </w:pPr>
      <w:r>
        <w:rPr>
          <w:rFonts w:hint="eastAsia"/>
          <w:color w:val="000000"/>
          <w:szCs w:val="21"/>
          <w:highlight w:val="none"/>
        </w:rPr>
        <w:t>合同</w:t>
      </w:r>
      <w:r>
        <w:rPr>
          <w:color w:val="000000"/>
          <w:szCs w:val="21"/>
          <w:highlight w:val="none"/>
        </w:rPr>
        <w:t>在签订合同前，如果</w:t>
      </w:r>
      <w:r>
        <w:rPr>
          <w:rFonts w:hint="eastAsia"/>
          <w:color w:val="000000"/>
          <w:szCs w:val="21"/>
          <w:highlight w:val="none"/>
        </w:rPr>
        <w:t>入围供应商</w:t>
      </w:r>
      <w:r>
        <w:rPr>
          <w:color w:val="000000"/>
          <w:szCs w:val="21"/>
          <w:highlight w:val="none"/>
        </w:rPr>
        <w:t>的组织机构</w:t>
      </w:r>
      <w:r>
        <w:rPr>
          <w:rFonts w:hint="eastAsia"/>
          <w:color w:val="000000"/>
          <w:szCs w:val="21"/>
          <w:highlight w:val="none"/>
        </w:rPr>
        <w:t>、</w:t>
      </w:r>
      <w:r>
        <w:rPr>
          <w:color w:val="000000"/>
          <w:szCs w:val="21"/>
          <w:highlight w:val="none"/>
        </w:rPr>
        <w:t>经营、财务状况发生较大变化，可能造成不能履行</w:t>
      </w:r>
      <w:r>
        <w:rPr>
          <w:rFonts w:hint="eastAsia"/>
          <w:color w:val="000000"/>
          <w:highlight w:val="none"/>
        </w:rPr>
        <w:t>框架协议或合同</w:t>
      </w:r>
      <w:r>
        <w:rPr>
          <w:color w:val="000000"/>
          <w:szCs w:val="21"/>
          <w:highlight w:val="none"/>
        </w:rPr>
        <w:t>、无法按照</w:t>
      </w:r>
      <w:r>
        <w:rPr>
          <w:rFonts w:hint="eastAsia"/>
          <w:color w:val="000000"/>
          <w:szCs w:val="21"/>
          <w:highlight w:val="none"/>
        </w:rPr>
        <w:t>征集文件</w:t>
      </w:r>
      <w:r>
        <w:rPr>
          <w:color w:val="000000"/>
          <w:szCs w:val="21"/>
          <w:highlight w:val="none"/>
        </w:rPr>
        <w:t>要求提交履约保证金等情形，不符合入围条件或不满足供应商资格条件要求 ，应在签订合同前及时书面告知采购人</w:t>
      </w:r>
      <w:r>
        <w:rPr>
          <w:rFonts w:hint="eastAsia"/>
          <w:color w:val="000000"/>
          <w:szCs w:val="21"/>
          <w:highlight w:val="none"/>
        </w:rPr>
        <w:t>，</w:t>
      </w:r>
      <w:r>
        <w:rPr>
          <w:color w:val="000000"/>
          <w:szCs w:val="21"/>
          <w:highlight w:val="none"/>
        </w:rPr>
        <w:t>未主动告知</w:t>
      </w:r>
      <w:r>
        <w:rPr>
          <w:rFonts w:hint="eastAsia"/>
          <w:color w:val="000000"/>
          <w:szCs w:val="21"/>
          <w:highlight w:val="none"/>
        </w:rPr>
        <w:t>，</w:t>
      </w:r>
      <w:r>
        <w:rPr>
          <w:color w:val="000000"/>
          <w:szCs w:val="21"/>
          <w:highlight w:val="none"/>
        </w:rPr>
        <w:t>给采购人造成损失的</w:t>
      </w:r>
      <w:r>
        <w:rPr>
          <w:rFonts w:hint="eastAsia"/>
          <w:color w:val="000000"/>
          <w:szCs w:val="21"/>
          <w:highlight w:val="none"/>
        </w:rPr>
        <w:t>，</w:t>
      </w:r>
      <w:r>
        <w:rPr>
          <w:color w:val="000000"/>
          <w:szCs w:val="21"/>
          <w:highlight w:val="none"/>
        </w:rPr>
        <w:t>采购人有权</w:t>
      </w:r>
      <w:r>
        <w:rPr>
          <w:rFonts w:hint="eastAsia"/>
          <w:color w:val="000000"/>
          <w:szCs w:val="21"/>
          <w:highlight w:val="none"/>
        </w:rPr>
        <w:t>要求其赔偿损失。</w:t>
      </w:r>
    </w:p>
    <w:p w14:paraId="3F099A79">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.2签订合同</w:t>
      </w:r>
    </w:p>
    <w:p w14:paraId="155B122C">
      <w:pPr>
        <w:spacing w:before="118" w:line="321" w:lineRule="auto"/>
        <w:ind w:left="5" w:right="83" w:firstLine="485"/>
        <w:rPr>
          <w:color w:val="000000"/>
          <w:szCs w:val="21"/>
          <w:highlight w:val="none"/>
        </w:rPr>
      </w:pPr>
      <w:r>
        <w:rPr>
          <w:rFonts w:hint="eastAsia"/>
          <w:color w:val="000000"/>
          <w:szCs w:val="21"/>
          <w:highlight w:val="none"/>
        </w:rPr>
        <w:t>3.3</w:t>
      </w:r>
      <w:r>
        <w:rPr>
          <w:color w:val="000000"/>
          <w:szCs w:val="21"/>
          <w:highlight w:val="none"/>
        </w:rPr>
        <w:t>.2.1如</w:t>
      </w:r>
      <w:r>
        <w:rPr>
          <w:rFonts w:hint="eastAsia"/>
          <w:color w:val="000000"/>
          <w:szCs w:val="21"/>
          <w:highlight w:val="none"/>
        </w:rPr>
        <w:t>征集文件</w:t>
      </w:r>
      <w:r>
        <w:rPr>
          <w:color w:val="000000"/>
          <w:szCs w:val="21"/>
          <w:highlight w:val="none"/>
        </w:rPr>
        <w:t>无</w:t>
      </w:r>
      <w:r>
        <w:rPr>
          <w:rFonts w:hint="eastAsia"/>
          <w:color w:val="000000"/>
          <w:szCs w:val="21"/>
          <w:highlight w:val="none"/>
        </w:rPr>
        <w:t>特别</w:t>
      </w:r>
      <w:r>
        <w:rPr>
          <w:color w:val="000000"/>
          <w:szCs w:val="21"/>
          <w:highlight w:val="none"/>
        </w:rPr>
        <w:t>规定，</w:t>
      </w:r>
      <w:r>
        <w:rPr>
          <w:rFonts w:hint="eastAsia"/>
          <w:color w:val="000000"/>
          <w:szCs w:val="21"/>
          <w:highlight w:val="none"/>
        </w:rPr>
        <w:t>成交供应商按征集文件及框架协议确定的事项签订政府采购合同。供应商</w:t>
      </w:r>
      <w:r>
        <w:rPr>
          <w:color w:val="000000"/>
          <w:szCs w:val="21"/>
          <w:highlight w:val="none"/>
        </w:rPr>
        <w:t>在收到</w:t>
      </w:r>
      <w:r>
        <w:rPr>
          <w:rFonts w:hint="eastAsia"/>
          <w:color w:val="000000"/>
          <w:szCs w:val="21"/>
          <w:highlight w:val="none"/>
        </w:rPr>
        <w:t>入围</w:t>
      </w:r>
      <w:r>
        <w:rPr>
          <w:color w:val="000000"/>
          <w:szCs w:val="21"/>
          <w:highlight w:val="none"/>
        </w:rPr>
        <w:t>通知书后，无正当理由拒签合同协议书</w:t>
      </w:r>
      <w:r>
        <w:rPr>
          <w:rFonts w:hint="eastAsia"/>
          <w:color w:val="000000"/>
          <w:szCs w:val="21"/>
          <w:highlight w:val="none"/>
        </w:rPr>
        <w:t>，保证金不予退还；供应商需要对以上内容作出承诺，承诺书须加盖公章且法定代表人或被授权人签字、盖章。</w:t>
      </w:r>
    </w:p>
    <w:p w14:paraId="65552261">
      <w:pPr>
        <w:spacing w:before="120" w:line="320" w:lineRule="atLeast"/>
        <w:ind w:firstLine="420" w:firstLineChars="200"/>
        <w:rPr>
          <w:color w:val="000000"/>
          <w:szCs w:val="21"/>
          <w:highlight w:val="none"/>
        </w:rPr>
      </w:pPr>
      <w:r>
        <w:rPr>
          <w:rFonts w:hint="eastAsia"/>
          <w:color w:val="000000"/>
          <w:szCs w:val="21"/>
          <w:highlight w:val="none"/>
        </w:rPr>
        <w:t>3.3</w:t>
      </w:r>
      <w:r>
        <w:rPr>
          <w:color w:val="000000"/>
          <w:szCs w:val="21"/>
          <w:highlight w:val="none"/>
        </w:rPr>
        <w:t>.2.2</w:t>
      </w:r>
      <w:r>
        <w:rPr>
          <w:rFonts w:hint="eastAsia"/>
          <w:color w:val="000000"/>
          <w:szCs w:val="21"/>
          <w:highlight w:val="none"/>
        </w:rPr>
        <w:t>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14:paraId="2685114D">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.3履行合同</w:t>
      </w:r>
    </w:p>
    <w:p w14:paraId="499E3491">
      <w:pPr>
        <w:spacing w:before="120" w:line="320" w:lineRule="atLeast"/>
        <w:ind w:firstLine="420" w:firstLineChars="200"/>
        <w:rPr>
          <w:color w:val="000000"/>
          <w:szCs w:val="21"/>
          <w:highlight w:val="none"/>
        </w:rPr>
      </w:pPr>
      <w:r>
        <w:rPr>
          <w:rFonts w:hint="eastAsia"/>
          <w:color w:val="000000"/>
          <w:szCs w:val="21"/>
          <w:highlight w:val="none"/>
        </w:rPr>
        <w:t>3.3</w:t>
      </w:r>
      <w:r>
        <w:rPr>
          <w:color w:val="000000"/>
          <w:szCs w:val="21"/>
          <w:highlight w:val="none"/>
        </w:rPr>
        <w:t>.3.1</w:t>
      </w:r>
      <w:r>
        <w:rPr>
          <w:rFonts w:hint="eastAsia"/>
          <w:color w:val="000000"/>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2D20091B">
      <w:pPr>
        <w:spacing w:before="120" w:line="320" w:lineRule="atLeast"/>
        <w:ind w:firstLine="420" w:firstLineChars="200"/>
        <w:rPr>
          <w:color w:val="000000"/>
          <w:szCs w:val="21"/>
          <w:highlight w:val="none"/>
        </w:rPr>
      </w:pPr>
      <w:r>
        <w:rPr>
          <w:rFonts w:hint="eastAsia"/>
          <w:color w:val="000000"/>
          <w:szCs w:val="21"/>
          <w:highlight w:val="none"/>
        </w:rPr>
        <w:t>3.3</w:t>
      </w:r>
      <w:r>
        <w:rPr>
          <w:color w:val="000000"/>
          <w:szCs w:val="21"/>
          <w:highlight w:val="none"/>
        </w:rPr>
        <w:t>.3.2</w:t>
      </w:r>
      <w:r>
        <w:rPr>
          <w:rFonts w:hint="eastAsia"/>
          <w:color w:val="000000"/>
          <w:szCs w:val="21"/>
          <w:highlight w:val="none"/>
        </w:rPr>
        <w:t>对于双方解除合同的情况，应当按照民法典合同编有关规定或者合同约定执行。</w:t>
      </w:r>
    </w:p>
    <w:p w14:paraId="6D9AD333">
      <w:pPr>
        <w:spacing w:before="120" w:line="320" w:lineRule="atLeast"/>
        <w:ind w:firstLine="422" w:firstLineChars="200"/>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.4履约验收</w:t>
      </w:r>
    </w:p>
    <w:p w14:paraId="428A21CF">
      <w:pPr>
        <w:spacing w:before="120" w:line="320" w:lineRule="atLeast"/>
        <w:ind w:firstLine="420" w:firstLineChars="200"/>
        <w:rPr>
          <w:color w:val="000000"/>
          <w:szCs w:val="21"/>
          <w:highlight w:val="none"/>
        </w:rPr>
      </w:pPr>
      <w:r>
        <w:rPr>
          <w:rFonts w:hint="eastAsia"/>
          <w:color w:val="000000"/>
          <w:szCs w:val="21"/>
          <w:highlight w:val="none"/>
        </w:rPr>
        <w:t>3.3</w:t>
      </w:r>
      <w:r>
        <w:rPr>
          <w:color w:val="000000"/>
          <w:szCs w:val="21"/>
          <w:highlight w:val="none"/>
        </w:rPr>
        <w:t>.4.1采购人可以根据政府采购项目具体情况自行组织验收，或者委托政府采购代理机构、国家认可的质量检测机构开展采购项目履约验收工作。</w:t>
      </w:r>
    </w:p>
    <w:p w14:paraId="79C04527">
      <w:pPr>
        <w:spacing w:before="120" w:line="320" w:lineRule="atLeast"/>
        <w:ind w:firstLine="420" w:firstLineChars="200"/>
        <w:rPr>
          <w:color w:val="000000"/>
          <w:szCs w:val="21"/>
          <w:highlight w:val="none"/>
        </w:rPr>
      </w:pPr>
      <w:r>
        <w:rPr>
          <w:rFonts w:hint="eastAsia"/>
          <w:color w:val="000000"/>
          <w:szCs w:val="21"/>
          <w:highlight w:val="none"/>
        </w:rPr>
        <w:t>3.3</w:t>
      </w:r>
      <w:r>
        <w:rPr>
          <w:color w:val="000000"/>
          <w:szCs w:val="21"/>
          <w:highlight w:val="none"/>
        </w:rPr>
        <w:t>.4.2验收结果合格的，</w:t>
      </w:r>
      <w:r>
        <w:rPr>
          <w:rFonts w:hint="eastAsia"/>
          <w:color w:val="000000"/>
          <w:szCs w:val="21"/>
          <w:highlight w:val="none"/>
        </w:rPr>
        <w:t>成交</w:t>
      </w:r>
      <w:r>
        <w:rPr>
          <w:color w:val="000000"/>
          <w:szCs w:val="21"/>
          <w:highlight w:val="none"/>
        </w:rPr>
        <w:t>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55653D1">
      <w:pPr>
        <w:spacing w:before="120" w:line="320" w:lineRule="atLeast"/>
        <w:ind w:firstLine="420" w:firstLineChars="200"/>
        <w:rPr>
          <w:color w:val="000000"/>
          <w:szCs w:val="21"/>
          <w:highlight w:val="none"/>
        </w:rPr>
      </w:pPr>
      <w:r>
        <w:rPr>
          <w:rFonts w:hint="eastAsia"/>
          <w:color w:val="000000"/>
          <w:szCs w:val="21"/>
          <w:highlight w:val="none"/>
        </w:rPr>
        <w:t>3.3</w:t>
      </w:r>
      <w:r>
        <w:rPr>
          <w:color w:val="000000"/>
          <w:szCs w:val="21"/>
          <w:highlight w:val="none"/>
        </w:rPr>
        <w:t>.4.3采购合同项目完成验收后，采购人应当将验收原始记录、验收书</w:t>
      </w:r>
      <w:r>
        <w:rPr>
          <w:rFonts w:hint="eastAsia"/>
          <w:color w:val="000000"/>
          <w:szCs w:val="21"/>
          <w:highlight w:val="none"/>
        </w:rPr>
        <w:t>、成交供应商按合同数量或工作量清单履约的记录或凭证</w:t>
      </w:r>
      <w:r>
        <w:rPr>
          <w:color w:val="000000"/>
          <w:szCs w:val="21"/>
          <w:highlight w:val="none"/>
        </w:rPr>
        <w:t>等资料作为该采购项目档案妥善保管，不得伪造、变造、隐匿或者销毁，</w:t>
      </w:r>
    </w:p>
    <w:p w14:paraId="273AF2B9">
      <w:pPr>
        <w:spacing w:before="120" w:line="320" w:lineRule="atLeast"/>
        <w:ind w:firstLine="420" w:firstLineChars="200"/>
        <w:rPr>
          <w:color w:val="000000"/>
          <w:szCs w:val="21"/>
          <w:highlight w:val="none"/>
        </w:rPr>
      </w:pPr>
      <w:r>
        <w:rPr>
          <w:rFonts w:hint="eastAsia"/>
          <w:color w:val="000000"/>
          <w:szCs w:val="21"/>
          <w:highlight w:val="none"/>
        </w:rPr>
        <w:t xml:space="preserve"> 3.3</w:t>
      </w:r>
      <w:r>
        <w:rPr>
          <w:color w:val="000000"/>
          <w:szCs w:val="21"/>
          <w:highlight w:val="none"/>
        </w:rPr>
        <w:t>.4.4本项目将严格按照本征集文件及合同有关规定进行合同履约验收。征集文件或合同</w:t>
      </w:r>
      <w:r>
        <w:rPr>
          <w:rFonts w:hint="eastAsia"/>
          <w:color w:val="000000"/>
          <w:szCs w:val="21"/>
          <w:highlight w:val="none"/>
        </w:rPr>
        <w:t>应根据</w:t>
      </w:r>
      <w:r>
        <w:rPr>
          <w:color w:val="000000"/>
          <w:szCs w:val="21"/>
          <w:highlight w:val="none"/>
        </w:rPr>
        <w:t>财政部关于进一步加强政府采购需求和履约验收管理的指导意见（财库〔2016〕205号）的规定执行。</w:t>
      </w:r>
    </w:p>
    <w:p w14:paraId="7217D92A">
      <w:pPr>
        <w:spacing w:before="120" w:line="320" w:lineRule="atLeast"/>
        <w:ind w:left="2" w:leftChars="1" w:firstLine="422" w:firstLineChars="200"/>
        <w:outlineLvl w:val="2"/>
        <w:rPr>
          <w:b/>
          <w:bCs/>
          <w:color w:val="000000"/>
          <w:kern w:val="0"/>
          <w:szCs w:val="21"/>
          <w:highlight w:val="none"/>
        </w:rPr>
      </w:pPr>
      <w:r>
        <w:rPr>
          <w:rFonts w:hint="eastAsia"/>
          <w:b/>
          <w:bCs/>
          <w:color w:val="000000"/>
          <w:kern w:val="0"/>
          <w:szCs w:val="21"/>
          <w:highlight w:val="none"/>
        </w:rPr>
        <w:t>3.4</w:t>
      </w:r>
      <w:r>
        <w:rPr>
          <w:b/>
          <w:bCs/>
          <w:color w:val="000000"/>
          <w:kern w:val="0"/>
          <w:szCs w:val="21"/>
          <w:highlight w:val="none"/>
        </w:rPr>
        <w:t>.</w:t>
      </w:r>
      <w:r>
        <w:rPr>
          <w:rFonts w:hint="eastAsia"/>
          <w:b/>
          <w:bCs/>
          <w:color w:val="000000"/>
          <w:kern w:val="0"/>
          <w:szCs w:val="21"/>
          <w:highlight w:val="none"/>
        </w:rPr>
        <w:t>用户反馈及评价机制</w:t>
      </w:r>
    </w:p>
    <w:p w14:paraId="6F9978C4">
      <w:pPr>
        <w:spacing w:before="120" w:line="320" w:lineRule="atLeast"/>
        <w:ind w:left="2" w:leftChars="1" w:firstLine="420" w:firstLineChars="200"/>
        <w:rPr>
          <w:color w:val="000000"/>
          <w:kern w:val="0"/>
          <w:szCs w:val="21"/>
          <w:highlight w:val="none"/>
        </w:rPr>
      </w:pPr>
      <w:r>
        <w:rPr>
          <w:rFonts w:hint="eastAsia"/>
          <w:color w:val="000000"/>
          <w:kern w:val="0"/>
          <w:szCs w:val="21"/>
          <w:highlight w:val="none"/>
        </w:rPr>
        <w:t>3.4</w:t>
      </w:r>
      <w:r>
        <w:rPr>
          <w:color w:val="000000"/>
          <w:kern w:val="0"/>
          <w:szCs w:val="21"/>
          <w:highlight w:val="none"/>
        </w:rPr>
        <w:t>.1</w:t>
      </w:r>
      <w:r>
        <w:rPr>
          <w:rFonts w:hint="eastAsia"/>
          <w:color w:val="000000"/>
          <w:kern w:val="0"/>
          <w:szCs w:val="21"/>
          <w:highlight w:val="none"/>
        </w:rPr>
        <w:t>征集人将收集采购人对入围供应商履行框架协议和采购合同的情况的反馈与评价，并向所有采购人公开，作为第二阶段直接选定成交供应商的参考。</w:t>
      </w:r>
    </w:p>
    <w:p w14:paraId="7A735835">
      <w:pPr>
        <w:spacing w:before="120" w:line="320" w:lineRule="atLeast"/>
        <w:ind w:left="2" w:leftChars="1" w:firstLine="422" w:firstLineChars="200"/>
        <w:outlineLvl w:val="1"/>
        <w:rPr>
          <w:b/>
          <w:bCs/>
          <w:color w:val="000000"/>
          <w:kern w:val="0"/>
          <w:szCs w:val="21"/>
          <w:highlight w:val="none"/>
        </w:rPr>
      </w:pPr>
      <w:r>
        <w:rPr>
          <w:rFonts w:hint="eastAsia"/>
          <w:b/>
          <w:bCs/>
          <w:color w:val="000000"/>
          <w:kern w:val="0"/>
          <w:szCs w:val="21"/>
          <w:highlight w:val="none"/>
        </w:rPr>
        <w:t>4</w:t>
      </w:r>
      <w:r>
        <w:rPr>
          <w:b/>
          <w:bCs/>
          <w:color w:val="000000"/>
          <w:kern w:val="0"/>
          <w:szCs w:val="21"/>
          <w:highlight w:val="none"/>
        </w:rPr>
        <w:t>．其他事项</w:t>
      </w:r>
    </w:p>
    <w:p w14:paraId="02E1443A">
      <w:pPr>
        <w:spacing w:before="120" w:line="320" w:lineRule="atLeast"/>
        <w:ind w:firstLine="420" w:firstLineChars="200"/>
        <w:rPr>
          <w:color w:val="000000"/>
          <w:szCs w:val="21"/>
          <w:highlight w:val="none"/>
        </w:rPr>
      </w:pPr>
      <w:r>
        <w:rPr>
          <w:rFonts w:hint="eastAsia"/>
          <w:color w:val="000000"/>
          <w:szCs w:val="21"/>
          <w:highlight w:val="none"/>
        </w:rPr>
        <w:t>4</w:t>
      </w:r>
      <w:r>
        <w:rPr>
          <w:color w:val="000000"/>
          <w:szCs w:val="21"/>
          <w:highlight w:val="none"/>
        </w:rPr>
        <w:t>.1代理服务收费由采购代理机构向入围供应商收取。</w:t>
      </w:r>
      <w:r>
        <w:rPr>
          <w:rFonts w:hint="eastAsia"/>
          <w:color w:val="000000"/>
          <w:szCs w:val="21"/>
          <w:highlight w:val="none"/>
        </w:rPr>
        <w:t>发布入围公告5个工作日内，</w:t>
      </w:r>
      <w:r>
        <w:rPr>
          <w:color w:val="000000"/>
          <w:szCs w:val="21"/>
          <w:highlight w:val="none"/>
        </w:rPr>
        <w:t>入围供应商应向采购代理机构一次付清代理服务费。</w:t>
      </w:r>
    </w:p>
    <w:p w14:paraId="0C66053C">
      <w:pPr>
        <w:spacing w:before="120" w:line="276" w:lineRule="auto"/>
        <w:ind w:firstLine="420" w:firstLineChars="200"/>
        <w:rPr>
          <w:color w:val="000000"/>
          <w:szCs w:val="21"/>
          <w:highlight w:val="none"/>
        </w:rPr>
      </w:pPr>
      <w:r>
        <w:rPr>
          <w:rFonts w:hint="eastAsia"/>
          <w:color w:val="000000"/>
          <w:szCs w:val="21"/>
          <w:highlight w:val="none"/>
        </w:rPr>
        <w:t>4</w:t>
      </w:r>
      <w:r>
        <w:rPr>
          <w:color w:val="000000"/>
          <w:szCs w:val="21"/>
          <w:highlight w:val="none"/>
        </w:rPr>
        <w:t>.2</w:t>
      </w:r>
      <w:r>
        <w:rPr>
          <w:rFonts w:hint="eastAsia"/>
          <w:color w:val="000000"/>
          <w:szCs w:val="21"/>
          <w:highlight w:val="none"/>
        </w:rPr>
        <w:t>电子交易活动的中止。征集过程中出现以下情形，导致电子交易平台无法正常运行，或者无法保证电子交易的公平、公正和安全时，征集人可中止电子交易活动：</w:t>
      </w:r>
    </w:p>
    <w:p w14:paraId="71E3077B">
      <w:pPr>
        <w:spacing w:before="120" w:line="276" w:lineRule="auto"/>
        <w:ind w:firstLine="420" w:firstLineChars="200"/>
        <w:rPr>
          <w:color w:val="000000"/>
          <w:szCs w:val="21"/>
          <w:highlight w:val="none"/>
        </w:rPr>
      </w:pPr>
      <w:r>
        <w:rPr>
          <w:rFonts w:hint="eastAsia"/>
          <w:color w:val="000000"/>
          <w:szCs w:val="21"/>
          <w:highlight w:val="none"/>
        </w:rPr>
        <w:t xml:space="preserve">（1）电子交易平台发生故障而无法登录访问的； </w:t>
      </w:r>
    </w:p>
    <w:p w14:paraId="53135D3E">
      <w:pPr>
        <w:spacing w:before="120" w:line="276" w:lineRule="auto"/>
        <w:ind w:firstLine="420" w:firstLineChars="200"/>
        <w:rPr>
          <w:color w:val="000000"/>
          <w:szCs w:val="21"/>
          <w:highlight w:val="none"/>
        </w:rPr>
      </w:pPr>
      <w:r>
        <w:rPr>
          <w:rFonts w:hint="eastAsia"/>
          <w:color w:val="000000"/>
          <w:szCs w:val="21"/>
          <w:highlight w:val="none"/>
        </w:rPr>
        <w:t>（2）电子交易平台应用或数据库出现错误，不能进行正常操作的；</w:t>
      </w:r>
    </w:p>
    <w:p w14:paraId="498463B4">
      <w:pPr>
        <w:spacing w:before="120" w:line="276" w:lineRule="auto"/>
        <w:ind w:firstLine="420" w:firstLineChars="200"/>
        <w:rPr>
          <w:color w:val="000000"/>
          <w:szCs w:val="21"/>
          <w:highlight w:val="none"/>
        </w:rPr>
      </w:pPr>
      <w:r>
        <w:rPr>
          <w:rFonts w:hint="eastAsia"/>
          <w:color w:val="000000"/>
          <w:szCs w:val="21"/>
          <w:highlight w:val="none"/>
        </w:rPr>
        <w:t>（3）电子交易平台发现严重安全漏洞，有潜在泄密危险的；</w:t>
      </w:r>
    </w:p>
    <w:p w14:paraId="7D1A1030">
      <w:pPr>
        <w:spacing w:before="120" w:line="276" w:lineRule="auto"/>
        <w:ind w:firstLine="420" w:firstLineChars="200"/>
        <w:rPr>
          <w:color w:val="000000"/>
          <w:szCs w:val="21"/>
          <w:highlight w:val="none"/>
        </w:rPr>
      </w:pPr>
      <w:r>
        <w:rPr>
          <w:rFonts w:hint="eastAsia"/>
          <w:color w:val="000000"/>
          <w:szCs w:val="21"/>
          <w:highlight w:val="none"/>
        </w:rPr>
        <w:t xml:space="preserve">（4）病毒发作导致不能进行正常操作的； </w:t>
      </w:r>
    </w:p>
    <w:p w14:paraId="09AB8A40">
      <w:pPr>
        <w:spacing w:before="120" w:line="276" w:lineRule="auto"/>
        <w:ind w:firstLine="420" w:firstLineChars="200"/>
        <w:rPr>
          <w:color w:val="000000"/>
          <w:szCs w:val="21"/>
          <w:highlight w:val="none"/>
        </w:rPr>
      </w:pPr>
      <w:r>
        <w:rPr>
          <w:rFonts w:hint="eastAsia"/>
          <w:color w:val="000000"/>
          <w:szCs w:val="21"/>
          <w:highlight w:val="none"/>
        </w:rPr>
        <w:t>（4）其他无法保证电子交易的公平、公正和安全的情况。</w:t>
      </w:r>
    </w:p>
    <w:p w14:paraId="5DD6ADFB">
      <w:pPr>
        <w:tabs>
          <w:tab w:val="left" w:pos="4820"/>
        </w:tabs>
        <w:spacing w:before="120" w:line="360" w:lineRule="auto"/>
        <w:ind w:firstLine="420" w:firstLineChars="200"/>
        <w:rPr>
          <w:color w:val="000000"/>
          <w:szCs w:val="21"/>
          <w:highlight w:val="none"/>
        </w:rPr>
      </w:pPr>
      <w:r>
        <w:rPr>
          <w:rFonts w:hint="eastAsia"/>
          <w:color w:val="000000"/>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color w:val="000000"/>
          <w:szCs w:val="21"/>
          <w:highlight w:val="none"/>
        </w:rPr>
        <w:t xml:space="preserve"> </w:t>
      </w:r>
    </w:p>
    <w:p w14:paraId="23823DE8">
      <w:pPr>
        <w:spacing w:line="360" w:lineRule="auto"/>
        <w:ind w:firstLine="420"/>
        <w:rPr>
          <w:color w:val="000000"/>
          <w:szCs w:val="21"/>
          <w:highlight w:val="none"/>
        </w:rPr>
      </w:pPr>
      <w:r>
        <w:rPr>
          <w:rFonts w:hint="eastAsia"/>
          <w:color w:val="000000"/>
          <w:szCs w:val="21"/>
          <w:highlight w:val="none"/>
        </w:rPr>
        <w:t>4</w:t>
      </w:r>
      <w:r>
        <w:rPr>
          <w:color w:val="000000"/>
          <w:szCs w:val="21"/>
          <w:highlight w:val="none"/>
        </w:rPr>
        <w:t>.3</w:t>
      </w:r>
      <w:r>
        <w:rPr>
          <w:rFonts w:hint="eastAsia"/>
          <w:color w:val="000000"/>
          <w:szCs w:val="21"/>
          <w:highlight w:val="none"/>
        </w:rPr>
        <w:t>本项目的附件及图纸</w:t>
      </w:r>
      <w:r>
        <w:rPr>
          <w:color w:val="000000"/>
          <w:szCs w:val="21"/>
          <w:highlight w:val="none"/>
        </w:rPr>
        <w:t>详见供应商须知前附表</w:t>
      </w:r>
      <w:r>
        <w:rPr>
          <w:rFonts w:hint="eastAsia"/>
          <w:color w:val="000000"/>
          <w:szCs w:val="21"/>
          <w:highlight w:val="none"/>
        </w:rPr>
        <w:t>。</w:t>
      </w:r>
    </w:p>
    <w:p w14:paraId="0014F45E">
      <w:pPr>
        <w:spacing w:line="360" w:lineRule="auto"/>
        <w:ind w:firstLine="420"/>
        <w:rPr>
          <w:color w:val="000000"/>
          <w:szCs w:val="21"/>
          <w:highlight w:val="none"/>
        </w:rPr>
      </w:pPr>
      <w:r>
        <w:rPr>
          <w:rFonts w:hint="eastAsia"/>
          <w:color w:val="000000"/>
          <w:szCs w:val="21"/>
          <w:highlight w:val="none"/>
        </w:rPr>
        <w:t>4</w:t>
      </w:r>
      <w:r>
        <w:rPr>
          <w:color w:val="000000"/>
          <w:szCs w:val="21"/>
          <w:highlight w:val="none"/>
        </w:rPr>
        <w:t>.4</w:t>
      </w:r>
      <w:r>
        <w:rPr>
          <w:rFonts w:hint="eastAsia"/>
          <w:color w:val="000000"/>
          <w:szCs w:val="21"/>
          <w:highlight w:val="none"/>
        </w:rPr>
        <w:t>本项目的其他事项</w:t>
      </w:r>
      <w:r>
        <w:rPr>
          <w:color w:val="000000"/>
          <w:szCs w:val="21"/>
          <w:highlight w:val="none"/>
        </w:rPr>
        <w:t>详见供应商须知前附表</w:t>
      </w:r>
      <w:r>
        <w:rPr>
          <w:rFonts w:hint="eastAsia"/>
          <w:color w:val="000000"/>
          <w:szCs w:val="21"/>
          <w:highlight w:val="none"/>
        </w:rPr>
        <w:t>。</w:t>
      </w:r>
    </w:p>
    <w:p w14:paraId="629F64F7">
      <w:pPr>
        <w:spacing w:before="120" w:line="320" w:lineRule="atLeast"/>
        <w:ind w:left="2" w:leftChars="1" w:firstLine="422" w:firstLineChars="200"/>
        <w:outlineLvl w:val="1"/>
        <w:rPr>
          <w:b/>
          <w:bCs/>
          <w:color w:val="000000"/>
          <w:kern w:val="0"/>
          <w:szCs w:val="21"/>
          <w:highlight w:val="none"/>
        </w:rPr>
      </w:pPr>
      <w:r>
        <w:rPr>
          <w:rFonts w:hint="eastAsia"/>
          <w:b/>
          <w:bCs/>
          <w:color w:val="000000"/>
          <w:kern w:val="0"/>
          <w:szCs w:val="21"/>
          <w:highlight w:val="none"/>
        </w:rPr>
        <w:t>5</w:t>
      </w:r>
      <w:r>
        <w:rPr>
          <w:b/>
          <w:bCs/>
          <w:color w:val="000000"/>
          <w:kern w:val="0"/>
          <w:szCs w:val="21"/>
          <w:highlight w:val="none"/>
        </w:rPr>
        <w:t>．</w:t>
      </w:r>
      <w:r>
        <w:rPr>
          <w:rFonts w:hint="eastAsia"/>
          <w:b/>
          <w:bCs/>
          <w:color w:val="000000"/>
          <w:kern w:val="0"/>
          <w:szCs w:val="21"/>
          <w:highlight w:val="none"/>
        </w:rPr>
        <w:t>其他说明</w:t>
      </w:r>
    </w:p>
    <w:p w14:paraId="147A1CE6">
      <w:pPr>
        <w:spacing w:line="360" w:lineRule="auto"/>
        <w:ind w:firstLine="420"/>
        <w:rPr>
          <w:color w:val="000000"/>
          <w:szCs w:val="21"/>
          <w:highlight w:val="none"/>
        </w:rPr>
      </w:pPr>
      <w:r>
        <w:rPr>
          <w:rFonts w:hint="eastAsia"/>
          <w:color w:val="000000"/>
          <w:szCs w:val="21"/>
          <w:highlight w:val="none"/>
        </w:rPr>
        <w:t>5</w:t>
      </w:r>
      <w:r>
        <w:rPr>
          <w:color w:val="000000"/>
          <w:szCs w:val="21"/>
          <w:highlight w:val="none"/>
        </w:rPr>
        <w:t>.1</w:t>
      </w:r>
      <w:r>
        <w:rPr>
          <w:rFonts w:hint="eastAsia"/>
          <w:color w:val="000000"/>
          <w:szCs w:val="21"/>
          <w:highlight w:val="none"/>
        </w:rPr>
        <w:t>其余未尽事宜按</w:t>
      </w:r>
      <w:r>
        <w:rPr>
          <w:color w:val="000000"/>
          <w:szCs w:val="21"/>
          <w:highlight w:val="none"/>
        </w:rPr>
        <w:t>《中华人民共和国政府采购法》、《中华人民共和国政府采购法实施条例》</w:t>
      </w:r>
      <w:r>
        <w:rPr>
          <w:rFonts w:hint="eastAsia"/>
          <w:color w:val="000000"/>
          <w:szCs w:val="21"/>
          <w:highlight w:val="none"/>
        </w:rPr>
        <w:t>、《政府采购框架协议采购方式管理暂行办法》的相关规定执行。</w:t>
      </w:r>
    </w:p>
    <w:p w14:paraId="7D0AC44C">
      <w:pPr>
        <w:spacing w:line="360" w:lineRule="auto"/>
        <w:ind w:firstLine="420"/>
        <w:rPr>
          <w:color w:val="000000"/>
          <w:sz w:val="32"/>
          <w:szCs w:val="32"/>
          <w:highlight w:val="none"/>
        </w:rPr>
      </w:pPr>
      <w:r>
        <w:rPr>
          <w:rFonts w:hint="eastAsia"/>
          <w:color w:val="000000"/>
          <w:szCs w:val="21"/>
          <w:highlight w:val="none"/>
        </w:rPr>
        <w:t>5</w:t>
      </w:r>
      <w:r>
        <w:rPr>
          <w:color w:val="000000"/>
          <w:szCs w:val="21"/>
          <w:highlight w:val="none"/>
        </w:rPr>
        <w:t>.2</w:t>
      </w:r>
      <w:r>
        <w:rPr>
          <w:rFonts w:hint="eastAsia"/>
          <w:color w:val="000000"/>
          <w:szCs w:val="21"/>
          <w:highlight w:val="none"/>
        </w:rPr>
        <w:t>本</w:t>
      </w:r>
      <w:r>
        <w:rPr>
          <w:color w:val="000000"/>
          <w:szCs w:val="21"/>
          <w:highlight w:val="none"/>
        </w:rPr>
        <w:t>征集文件是根据国家有关法律及有关政策、法规和参照国际惯例编制，解释权属采购代理机构。</w:t>
      </w:r>
      <w:bookmarkEnd w:id="37"/>
      <w:bookmarkEnd w:id="38"/>
      <w:bookmarkEnd w:id="40"/>
      <w:bookmarkStart w:id="41" w:name="_Toc254970690"/>
      <w:bookmarkStart w:id="42" w:name="_Toc254970549"/>
    </w:p>
    <w:p w14:paraId="7B4A5AB2">
      <w:pPr>
        <w:pStyle w:val="27"/>
        <w:snapToGrid w:val="0"/>
        <w:spacing w:before="120" w:after="120" w:line="320" w:lineRule="exact"/>
        <w:jc w:val="center"/>
        <w:outlineLvl w:val="0"/>
        <w:rPr>
          <w:color w:val="000000"/>
          <w:highlight w:val="none"/>
        </w:rPr>
      </w:pPr>
      <w:r>
        <w:rPr>
          <w:color w:val="000000"/>
          <w:highlight w:val="none"/>
        </w:rPr>
        <w:br w:type="page"/>
      </w:r>
      <w:bookmarkStart w:id="43" w:name="_Toc97561717"/>
    </w:p>
    <w:p w14:paraId="11A7D829">
      <w:pPr>
        <w:pStyle w:val="2"/>
        <w:spacing w:before="0" w:after="0" w:line="360" w:lineRule="auto"/>
        <w:jc w:val="center"/>
        <w:rPr>
          <w:sz w:val="28"/>
          <w:szCs w:val="28"/>
          <w:highlight w:val="none"/>
        </w:rPr>
      </w:pPr>
      <w:bookmarkStart w:id="44" w:name="_Toc31612"/>
      <w:r>
        <w:rPr>
          <w:sz w:val="28"/>
          <w:szCs w:val="28"/>
          <w:highlight w:val="none"/>
        </w:rPr>
        <w:t>第</w:t>
      </w:r>
      <w:r>
        <w:rPr>
          <w:rFonts w:hint="eastAsia"/>
          <w:sz w:val="28"/>
          <w:szCs w:val="28"/>
          <w:highlight w:val="none"/>
          <w:lang w:val="en-US" w:eastAsia="zh-CN"/>
        </w:rPr>
        <w:t>三</w:t>
      </w:r>
      <w:r>
        <w:rPr>
          <w:sz w:val="28"/>
          <w:szCs w:val="28"/>
          <w:highlight w:val="none"/>
        </w:rPr>
        <w:t>章</w:t>
      </w:r>
      <w:bookmarkStart w:id="45" w:name="_Hlk101537833"/>
      <w:r>
        <w:rPr>
          <w:sz w:val="28"/>
          <w:szCs w:val="28"/>
          <w:highlight w:val="none"/>
        </w:rPr>
        <w:t xml:space="preserve"> 采购需求</w:t>
      </w:r>
      <w:bookmarkEnd w:id="44"/>
    </w:p>
    <w:p w14:paraId="45A085DE">
      <w:pPr>
        <w:spacing w:line="360" w:lineRule="auto"/>
        <w:jc w:val="left"/>
        <w:rPr>
          <w:rFonts w:hint="eastAsia" w:ascii="宋体" w:hAnsi="宋体" w:eastAsia="宋体" w:cs="宋体"/>
          <w:kern w:val="0"/>
          <w:sz w:val="21"/>
          <w:szCs w:val="21"/>
          <w:highlight w:val="none"/>
        </w:rPr>
      </w:pPr>
      <w:bookmarkStart w:id="46" w:name="_Toc9006482"/>
      <w:bookmarkStart w:id="47" w:name="_Hlk98854135"/>
      <w:r>
        <w:rPr>
          <w:rFonts w:hint="eastAsia" w:ascii="宋体" w:hAnsi="宋体" w:eastAsia="宋体" w:cs="宋体"/>
          <w:kern w:val="0"/>
          <w:sz w:val="21"/>
          <w:szCs w:val="21"/>
          <w:highlight w:val="none"/>
        </w:rPr>
        <w:t>一、采购需求基本信息</w:t>
      </w:r>
    </w:p>
    <w:tbl>
      <w:tblPr>
        <w:tblStyle w:val="52"/>
        <w:tblW w:w="906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300"/>
        <w:gridCol w:w="2400"/>
        <w:gridCol w:w="2550"/>
        <w:gridCol w:w="1266"/>
        <w:gridCol w:w="1150"/>
      </w:tblGrid>
      <w:tr w14:paraId="6514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00" w:type="dxa"/>
            <w:vAlign w:val="center"/>
          </w:tcPr>
          <w:p w14:paraId="3460ACD8">
            <w:pPr>
              <w:tabs>
                <w:tab w:val="left" w:pos="3570"/>
              </w:tabs>
              <w:adjustRightInd w:val="0"/>
              <w:snapToGrid w:val="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序</w:t>
            </w:r>
            <w:r>
              <w:rPr>
                <w:rFonts w:hint="eastAsia" w:ascii="宋体" w:hAnsi="宋体" w:eastAsia="宋体" w:cs="宋体"/>
                <w:bCs/>
                <w:sz w:val="21"/>
                <w:szCs w:val="21"/>
                <w:highlight w:val="none"/>
              </w:rPr>
              <w:t>号</w:t>
            </w:r>
          </w:p>
        </w:tc>
        <w:tc>
          <w:tcPr>
            <w:tcW w:w="1300" w:type="dxa"/>
            <w:vAlign w:val="center"/>
          </w:tcPr>
          <w:p w14:paraId="639810ED">
            <w:pPr>
              <w:tabs>
                <w:tab w:val="left" w:pos="3570"/>
              </w:tabs>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名称</w:t>
            </w:r>
          </w:p>
        </w:tc>
        <w:tc>
          <w:tcPr>
            <w:tcW w:w="2400" w:type="dxa"/>
            <w:vAlign w:val="center"/>
          </w:tcPr>
          <w:p w14:paraId="35755113">
            <w:pPr>
              <w:tabs>
                <w:tab w:val="left" w:pos="3570"/>
              </w:tabs>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采购需求简述</w:t>
            </w:r>
          </w:p>
        </w:tc>
        <w:tc>
          <w:tcPr>
            <w:tcW w:w="2550" w:type="dxa"/>
            <w:vAlign w:val="center"/>
          </w:tcPr>
          <w:p w14:paraId="658D0C56">
            <w:pPr>
              <w:tabs>
                <w:tab w:val="left" w:pos="3570"/>
              </w:tabs>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最高限制单价</w:t>
            </w:r>
          </w:p>
        </w:tc>
        <w:tc>
          <w:tcPr>
            <w:tcW w:w="1266" w:type="dxa"/>
            <w:vAlign w:val="center"/>
          </w:tcPr>
          <w:p w14:paraId="0C89DFFE">
            <w:pPr>
              <w:tabs>
                <w:tab w:val="left" w:pos="3570"/>
              </w:tabs>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入围供应商数量上限</w:t>
            </w:r>
          </w:p>
        </w:tc>
        <w:tc>
          <w:tcPr>
            <w:tcW w:w="1150" w:type="dxa"/>
            <w:vAlign w:val="center"/>
          </w:tcPr>
          <w:p w14:paraId="20722672">
            <w:pPr>
              <w:tabs>
                <w:tab w:val="left" w:pos="3570"/>
              </w:tabs>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中小企业划分标准所属行业</w:t>
            </w:r>
          </w:p>
        </w:tc>
      </w:tr>
      <w:tr w14:paraId="3DA9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00" w:type="dxa"/>
            <w:vAlign w:val="center"/>
          </w:tcPr>
          <w:p w14:paraId="6D0D102F">
            <w:pPr>
              <w:tabs>
                <w:tab w:val="left" w:pos="3570"/>
              </w:tabs>
              <w:adjustRightInd w:val="0"/>
              <w:snapToGrid w:val="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300" w:type="dxa"/>
            <w:vAlign w:val="center"/>
          </w:tcPr>
          <w:p w14:paraId="3D8AC84F">
            <w:pPr>
              <w:tabs>
                <w:tab w:val="left" w:pos="3570"/>
              </w:tabs>
              <w:adjustRightInd w:val="0"/>
              <w:snapToGrid w:val="0"/>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2025年-2027年和龙市发展和改革局项目综合评审封闭式框架协议采购项目</w:t>
            </w:r>
          </w:p>
        </w:tc>
        <w:tc>
          <w:tcPr>
            <w:tcW w:w="2400" w:type="dxa"/>
            <w:vAlign w:val="center"/>
          </w:tcPr>
          <w:p w14:paraId="4C927734">
            <w:pPr>
              <w:tabs>
                <w:tab w:val="left" w:pos="3570"/>
              </w:tabs>
              <w:adjustRightInd w:val="0"/>
              <w:snapToGrid w:val="0"/>
              <w:jc w:val="center"/>
              <w:rPr>
                <w:rFonts w:hint="eastAsia" w:ascii="宋体" w:hAnsi="宋体" w:eastAsia="宋体" w:cs="宋体"/>
                <w:b/>
                <w:sz w:val="21"/>
                <w:szCs w:val="21"/>
                <w:highlight w:val="none"/>
              </w:rPr>
            </w:pPr>
            <w:r>
              <w:rPr>
                <w:rFonts w:hint="eastAsia" w:ascii="宋体" w:hAnsi="宋体" w:eastAsia="宋体" w:cs="宋体"/>
                <w:bCs/>
                <w:sz w:val="21"/>
                <w:szCs w:val="21"/>
                <w:highlight w:val="none"/>
              </w:rPr>
              <w:t>按国家及省有关规定，对</w:t>
            </w:r>
            <w:r>
              <w:rPr>
                <w:rFonts w:hint="eastAsia" w:ascii="宋体" w:hAnsi="宋体" w:cs="宋体"/>
                <w:bCs/>
                <w:sz w:val="21"/>
                <w:szCs w:val="21"/>
                <w:highlight w:val="none"/>
                <w:lang w:val="en-US" w:eastAsia="zh-CN"/>
              </w:rPr>
              <w:t>和龙市</w:t>
            </w:r>
            <w:r>
              <w:rPr>
                <w:rFonts w:hint="eastAsia" w:ascii="宋体" w:hAnsi="宋体" w:eastAsia="宋体" w:cs="宋体"/>
                <w:bCs/>
                <w:sz w:val="21"/>
                <w:szCs w:val="21"/>
                <w:highlight w:val="none"/>
              </w:rPr>
              <w:t>发展</w:t>
            </w:r>
            <w:r>
              <w:rPr>
                <w:rFonts w:hint="eastAsia" w:ascii="宋体" w:hAnsi="宋体" w:cs="宋体"/>
                <w:bCs/>
                <w:sz w:val="21"/>
                <w:szCs w:val="21"/>
                <w:highlight w:val="none"/>
                <w:lang w:val="en-US" w:eastAsia="zh-CN"/>
              </w:rPr>
              <w:t>和改革局</w:t>
            </w:r>
            <w:r>
              <w:rPr>
                <w:rFonts w:hint="eastAsia" w:ascii="宋体" w:hAnsi="宋体" w:eastAsia="宋体" w:cs="宋体"/>
                <w:bCs/>
                <w:sz w:val="21"/>
                <w:szCs w:val="21"/>
                <w:highlight w:val="none"/>
              </w:rPr>
              <w:t>委托的咨询评估事项开展评估论证，为</w:t>
            </w:r>
            <w:r>
              <w:rPr>
                <w:rFonts w:hint="eastAsia" w:ascii="宋体" w:hAnsi="宋体" w:cs="宋体"/>
                <w:bCs/>
                <w:sz w:val="21"/>
                <w:szCs w:val="21"/>
                <w:highlight w:val="none"/>
                <w:lang w:val="en-US" w:eastAsia="zh-CN"/>
              </w:rPr>
              <w:t>和龙市发展和改革局</w:t>
            </w:r>
            <w:r>
              <w:rPr>
                <w:rFonts w:hint="eastAsia" w:ascii="宋体" w:hAnsi="宋体" w:eastAsia="宋体" w:cs="宋体"/>
                <w:bCs/>
                <w:sz w:val="21"/>
                <w:szCs w:val="21"/>
                <w:highlight w:val="none"/>
              </w:rPr>
              <w:t>决策事项进行风险评估、对投资项目进行社会稳定风险评估、规划评估、研究课题等评估，提供技术咨询服务。</w:t>
            </w:r>
          </w:p>
        </w:tc>
        <w:tc>
          <w:tcPr>
            <w:tcW w:w="2550" w:type="dxa"/>
            <w:vAlign w:val="center"/>
          </w:tcPr>
          <w:p w14:paraId="59E73C92">
            <w:pPr>
              <w:tabs>
                <w:tab w:val="left" w:pos="3570"/>
              </w:tabs>
              <w:adjustRightInd w:val="0"/>
              <w:snapToGrid w:val="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本次采购不分标段，采用</w:t>
            </w:r>
            <w:r>
              <w:rPr>
                <w:rFonts w:hint="eastAsia" w:ascii="宋体" w:hAnsi="宋体" w:eastAsia="宋体" w:cs="宋体"/>
                <w:bCs/>
                <w:sz w:val="21"/>
                <w:szCs w:val="21"/>
                <w:highlight w:val="none"/>
              </w:rPr>
              <w:t>固定价格采购</w:t>
            </w:r>
            <w:r>
              <w:rPr>
                <w:rFonts w:hint="eastAsia" w:ascii="宋体" w:hAnsi="宋体" w:eastAsia="宋体" w:cs="宋体"/>
                <w:bCs/>
                <w:sz w:val="21"/>
                <w:szCs w:val="21"/>
                <w:highlight w:val="none"/>
              </w:rPr>
              <w:t>。风险评审，1.</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万元/个；项目综合评审，1万元/个；规划、课题评审，2.</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万元/个。</w:t>
            </w:r>
          </w:p>
        </w:tc>
        <w:tc>
          <w:tcPr>
            <w:tcW w:w="1266" w:type="dxa"/>
            <w:vAlign w:val="center"/>
          </w:tcPr>
          <w:p w14:paraId="30F72B64">
            <w:pPr>
              <w:tabs>
                <w:tab w:val="left" w:pos="3570"/>
              </w:tabs>
              <w:adjustRightInd w:val="0"/>
              <w:snapToGrid w:val="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7家</w:t>
            </w:r>
            <w:r>
              <w:rPr>
                <w:rFonts w:hint="eastAsia" w:ascii="宋体" w:hAnsi="宋体" w:eastAsia="宋体" w:cs="宋体"/>
                <w:sz w:val="21"/>
                <w:szCs w:val="21"/>
                <w:highlight w:val="none"/>
              </w:rPr>
              <w:t>，且淘汰率不低于20%。</w:t>
            </w:r>
          </w:p>
        </w:tc>
        <w:tc>
          <w:tcPr>
            <w:tcW w:w="1150" w:type="dxa"/>
            <w:vAlign w:val="center"/>
          </w:tcPr>
          <w:p w14:paraId="5AAC3D53">
            <w:pPr>
              <w:tabs>
                <w:tab w:val="left" w:pos="3570"/>
              </w:tabs>
              <w:adjustRightInd w:val="0"/>
              <w:snapToGrid w:val="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其他未列明行业</w:t>
            </w:r>
          </w:p>
        </w:tc>
      </w:tr>
    </w:tbl>
    <w:p w14:paraId="08962C08">
      <w:pPr>
        <w:rPr>
          <w:rFonts w:hint="eastAsia" w:ascii="宋体" w:hAnsi="宋体" w:eastAsia="宋体" w:cs="宋体"/>
          <w:kern w:val="0"/>
          <w:sz w:val="21"/>
          <w:szCs w:val="21"/>
          <w:highlight w:val="none"/>
        </w:rPr>
      </w:pPr>
    </w:p>
    <w:bookmarkEnd w:id="45"/>
    <w:bookmarkEnd w:id="46"/>
    <w:bookmarkEnd w:id="47"/>
    <w:p w14:paraId="4233CDD6">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bookmarkStart w:id="48" w:name="_Toc29075"/>
      <w:r>
        <w:rPr>
          <w:rFonts w:hint="eastAsia" w:ascii="宋体" w:hAnsi="宋体" w:eastAsia="宋体" w:cs="宋体"/>
          <w:color w:val="auto"/>
          <w:sz w:val="21"/>
          <w:szCs w:val="21"/>
          <w:highlight w:val="none"/>
          <w:u w:val="none"/>
          <w:shd w:val="clear" w:color="auto" w:fill="auto"/>
          <w:lang w:val="en-US" w:eastAsia="zh-CN"/>
        </w:rPr>
        <w:t>与建设项目前期工作有关的咨询服务，包括但不限于以下评审内容：</w:t>
      </w:r>
    </w:p>
    <w:p w14:paraId="50C53AD4">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项目综合评审，采购预算：1万元/个</w:t>
      </w:r>
    </w:p>
    <w:p w14:paraId="304B40B9">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对</w:t>
      </w:r>
      <w:r>
        <w:rPr>
          <w:rFonts w:hint="eastAsia" w:ascii="宋体" w:hAnsi="宋体" w:cs="宋体"/>
          <w:color w:val="auto"/>
          <w:sz w:val="21"/>
          <w:szCs w:val="21"/>
          <w:highlight w:val="none"/>
          <w:u w:val="none"/>
          <w:shd w:val="clear" w:color="auto" w:fill="auto"/>
          <w:lang w:val="en-US" w:eastAsia="zh-CN"/>
        </w:rPr>
        <w:t>和龙市发改</w:t>
      </w:r>
      <w:r>
        <w:rPr>
          <w:rFonts w:hint="eastAsia" w:ascii="宋体" w:hAnsi="宋体" w:eastAsia="宋体" w:cs="宋体"/>
          <w:color w:val="auto"/>
          <w:sz w:val="21"/>
          <w:szCs w:val="21"/>
          <w:highlight w:val="none"/>
          <w:u w:val="none"/>
          <w:shd w:val="clear" w:color="auto" w:fill="auto"/>
          <w:lang w:val="en-US" w:eastAsia="zh-CN"/>
        </w:rPr>
        <w:t>组织的申请财政资金的项目开展批量评审、排序等工作。重点考查评审项目建设的必要性、是否符合有关文件要求，对报告编制的要求、方案的合理性、总投资及资金筹措等综合评审并出具评审报告。</w:t>
      </w:r>
    </w:p>
    <w:p w14:paraId="5648090B">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规划、课题评审，采购预算：2.5万元/个。</w:t>
      </w:r>
    </w:p>
    <w:p w14:paraId="4BE50FE8">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对</w:t>
      </w:r>
      <w:r>
        <w:rPr>
          <w:rFonts w:hint="eastAsia" w:ascii="宋体" w:hAnsi="宋体" w:cs="宋体"/>
          <w:color w:val="auto"/>
          <w:sz w:val="21"/>
          <w:szCs w:val="21"/>
          <w:highlight w:val="none"/>
          <w:u w:val="none"/>
          <w:shd w:val="clear" w:color="auto" w:fill="auto"/>
          <w:lang w:val="en-US" w:eastAsia="zh-CN"/>
        </w:rPr>
        <w:t>和龙市发改</w:t>
      </w:r>
      <w:r>
        <w:rPr>
          <w:rFonts w:hint="eastAsia" w:ascii="宋体" w:hAnsi="宋体" w:eastAsia="宋体" w:cs="宋体"/>
          <w:color w:val="auto"/>
          <w:sz w:val="21"/>
          <w:szCs w:val="21"/>
          <w:highlight w:val="none"/>
          <w:u w:val="none"/>
          <w:shd w:val="clear" w:color="auto" w:fill="auto"/>
          <w:lang w:val="en-US" w:eastAsia="zh-CN"/>
        </w:rPr>
        <w:t>组织编制的规划、课题进行评审，包括：总体规划、专项规划、课题评审。重点考查规划、课题是否合理有效、工作内容是否全面准确、工作过程是否规范扎实、工作成效是否突出显现，指出存在问题，给出评审结论，提出意见建议。</w:t>
      </w:r>
    </w:p>
    <w:p w14:paraId="4C08FEC0">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风险评审，采购预算：1.5万元/个。</w:t>
      </w:r>
    </w:p>
    <w:p w14:paraId="77B803C2">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对</w:t>
      </w:r>
      <w:r>
        <w:rPr>
          <w:rFonts w:hint="eastAsia" w:ascii="宋体" w:hAnsi="宋体" w:cs="宋体"/>
          <w:color w:val="auto"/>
          <w:sz w:val="21"/>
          <w:szCs w:val="21"/>
          <w:highlight w:val="none"/>
          <w:u w:val="none"/>
          <w:shd w:val="clear" w:color="auto" w:fill="auto"/>
          <w:lang w:val="en-US" w:eastAsia="zh-CN"/>
        </w:rPr>
        <w:t>和龙市发改</w:t>
      </w:r>
      <w:r>
        <w:rPr>
          <w:rFonts w:hint="eastAsia" w:ascii="宋体" w:hAnsi="宋体" w:eastAsia="宋体" w:cs="宋体"/>
          <w:color w:val="auto"/>
          <w:sz w:val="21"/>
          <w:szCs w:val="21"/>
          <w:highlight w:val="none"/>
          <w:u w:val="none"/>
          <w:shd w:val="clear" w:color="auto" w:fill="auto"/>
          <w:lang w:val="en-US" w:eastAsia="zh-CN"/>
        </w:rPr>
        <w:t>制定的拟出台的政策、意见、建议等重大事项在组织实施或审批审核前，进行有可能影响社会稳定的隐患和风险评估，包括合法性、合理性、可行性、可控性等方面开展调查、预测、分析和评审。通过对显性风险、潜在风险和可能诱发风险的因素进行综合研判，从高到低Ⅰ、Ⅱ、Ⅲ、Ⅳ四个风险等级中评定出相应等级标准，出具不实施、暂缓实施、部分实施或试行实施、实施的评审报告。</w:t>
      </w:r>
    </w:p>
    <w:p w14:paraId="21F9C3CD">
      <w:pPr>
        <w:rPr>
          <w:rFonts w:hint="eastAsia"/>
          <w:highlight w:val="none"/>
          <w:lang w:val="en-US" w:eastAsia="zh-CN"/>
        </w:rPr>
      </w:pPr>
    </w:p>
    <w:p w14:paraId="7C2E001F">
      <w:pPr>
        <w:spacing w:line="48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二</w:t>
      </w:r>
      <w:r>
        <w:rPr>
          <w:rFonts w:hint="eastAsia" w:ascii="宋体" w:hAnsi="宋体" w:eastAsia="宋体" w:cs="宋体"/>
          <w:kern w:val="0"/>
          <w:sz w:val="21"/>
          <w:szCs w:val="21"/>
          <w:highlight w:val="none"/>
        </w:rPr>
        <w:t>、服务要求</w:t>
      </w:r>
      <w:bookmarkEnd w:id="48"/>
    </w:p>
    <w:p w14:paraId="1C4BE216">
      <w:pPr>
        <w:pStyle w:val="51"/>
        <w:keepNext w:val="0"/>
        <w:keepLines w:val="0"/>
        <w:pageBreakBefore w:val="0"/>
        <w:kinsoku/>
        <w:wordWrap/>
        <w:topLinePunct w:val="0"/>
        <w:bidi w:val="0"/>
        <w:snapToGrid w:val="0"/>
        <w:spacing w:after="0" w:line="480" w:lineRule="auto"/>
        <w:ind w:left="0" w:leftChars="0" w:firstLine="0" w:firstLineChars="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1.服务标准：</w:t>
      </w:r>
    </w:p>
    <w:p w14:paraId="684F59F8">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符合《国家发展改革委关于印发国家发展改革委重大固定资产投资项目社会稳定风险评估暂行办法的通知》（发改投资【2012】2492号）、《国家发展改革委办公厅关于印发重大固定资产投资项目社会稳定风险分析篇章和评估报告编制大纲（试行）的通知》（发改办投资【2013】428号）、《吉林省发展改革委关于转发国家发展改革委重大固定资产投资项目社会稳定风险评估有关规定的通知》（吉发改投资【2013】328号）等国家及省有关规定。</w:t>
      </w:r>
    </w:p>
    <w:p w14:paraId="111ABE9D">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规划评估的主要内容包括分析论证规划基础、发展环境、发展思路和规划目标，评估规划方案，评估规划的比较优势和制约因素，评估规划实施的资源要素需求，评估规划实施保障措施，提出评估意见和建议等，并对规划报告质量提出评价意见。</w:t>
      </w:r>
    </w:p>
    <w:p w14:paraId="44D4F816">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（3）咨询评估涉及到的技术标准，应当符合国家有关的建设标准和规范的规定。咨询评估成果能够客观、真实反映项目的实际内容。</w:t>
      </w:r>
    </w:p>
    <w:p w14:paraId="0E7E781B">
      <w:pPr>
        <w:pStyle w:val="51"/>
        <w:keepNext w:val="0"/>
        <w:keepLines w:val="0"/>
        <w:pageBreakBefore w:val="0"/>
        <w:kinsoku/>
        <w:wordWrap/>
        <w:topLinePunct w:val="0"/>
        <w:bidi w:val="0"/>
        <w:snapToGrid w:val="0"/>
        <w:spacing w:after="0" w:line="480" w:lineRule="auto"/>
        <w:ind w:left="0" w:leftChars="0" w:firstLine="0" w:firstLineChars="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2.其他要求：</w:t>
      </w:r>
    </w:p>
    <w:p w14:paraId="6E139D3C">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接受咨询评估任务后，确定项目负责人，成立评审专家组，制定评估工作计划。项目负责人必须是经执业登记的咨询工程师（投资），评审专家组应当由具有一定数量高级技术职称的相关技术专家组成，人数应当根据项目建设规模、技术复杂程度及实际需要确定，原则上评估专家组人数不少于5人，主导专业专家不少于2人，重大项目应适应增加主导专业评审专家人数。参加评估的专家应当熟悉国家和行业发展有关政策法规规划、技术标准规范。</w:t>
      </w:r>
    </w:p>
    <w:p w14:paraId="5F1A1270">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（2）摸清项目基本情况，掌握评估重点和难点，并与省发展改革委充分沟通评审会议安排、专家组构成等情况。</w:t>
      </w:r>
    </w:p>
    <w:p w14:paraId="23097BBC">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（3）组织专家召开评审会议，邀请省发展改革委、有关主管部门、评估文件编制单位等相关人员参加，广泛听取多方意见，形成修改意见，修改意见要有专家组全体人员及提出意见的相关人员签字确认。</w:t>
      </w:r>
    </w:p>
    <w:p w14:paraId="75DB1D1F">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（4）按照评审会议达成的一致意见，要求项目编制单位修改评估文件和出具书面修改说明，并督促项目编制单位尽量缩短评估文件修改时间。</w:t>
      </w:r>
    </w:p>
    <w:p w14:paraId="478DFE39">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（5）形成评估报告报送省发展改革委，评估报告内容及报送时限要符合《吉林省发展改革委建设项目咨询评估管理办法》有关要求。</w:t>
      </w:r>
    </w:p>
    <w:p w14:paraId="69B61565">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（6）建立和完善评估专家库，开展咨询评估时应在专家库中随机抽取专家，保证独立、公正、客观、科学地开展评估工作，提高评估工作水平和质量。</w:t>
      </w:r>
    </w:p>
    <w:p w14:paraId="450A6117">
      <w:pPr>
        <w:pStyle w:val="51"/>
        <w:keepNext w:val="0"/>
        <w:keepLines w:val="0"/>
        <w:pageBreakBefore w:val="0"/>
        <w:kinsoku/>
        <w:wordWrap/>
        <w:topLinePunct w:val="0"/>
        <w:bidi w:val="0"/>
        <w:snapToGrid w:val="0"/>
        <w:spacing w:after="0" w:line="480" w:lineRule="auto"/>
        <w:ind w:left="0" w:leftChars="0" w:firstLine="0" w:firstLineChars="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3.技术保障：</w:t>
      </w:r>
    </w:p>
    <w:p w14:paraId="59F362B6">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（1）供应商承揽的委托项目，必须安排本单位的人员完成，不得将受托项目转包或分包给其他咨询机构或个人。否则，委托方有权取消受托方的资格并拒绝支付委托项目的费用。</w:t>
      </w:r>
    </w:p>
    <w:p w14:paraId="4DACBE18">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（2）供应商接收委托项目后，应根据项目特点及专业情况，配置专业胜任、能力胜任的相关人员进行工作。</w:t>
      </w:r>
    </w:p>
    <w:p w14:paraId="76C061D4">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snapToGrid w:val="0"/>
          <w:color w:val="000000"/>
          <w:kern w:val="0"/>
          <w:sz w:val="21"/>
          <w:szCs w:val="21"/>
          <w:highlight w:val="none"/>
        </w:rPr>
      </w:pPr>
      <w:r>
        <w:rPr>
          <w:rFonts w:hint="eastAsia" w:ascii="宋体" w:hAnsi="宋体" w:eastAsia="宋体" w:cs="宋体"/>
          <w:color w:val="auto"/>
          <w:sz w:val="21"/>
          <w:szCs w:val="21"/>
          <w:highlight w:val="none"/>
          <w:u w:val="none"/>
          <w:shd w:val="clear" w:color="auto" w:fill="auto"/>
          <w:lang w:val="en-US" w:eastAsia="zh-CN"/>
        </w:rPr>
        <w:t>（3）在项目进行过程中，供应商如需更换相关人员需向委托单位提出书面申请并得到批准后方可更换。</w:t>
      </w:r>
    </w:p>
    <w:p w14:paraId="35D210CF">
      <w:pPr>
        <w:pStyle w:val="51"/>
        <w:keepNext w:val="0"/>
        <w:keepLines w:val="0"/>
        <w:pageBreakBefore w:val="0"/>
        <w:kinsoku/>
        <w:wordWrap/>
        <w:topLinePunct w:val="0"/>
        <w:bidi w:val="0"/>
        <w:snapToGrid w:val="0"/>
        <w:spacing w:after="0" w:line="480" w:lineRule="auto"/>
        <w:ind w:left="0" w:leftChars="0" w:firstLine="420" w:firstLineChars="200"/>
        <w:rPr>
          <w:rFonts w:hint="eastAsia" w:ascii="宋体" w:hAnsi="宋体" w:eastAsia="宋体" w:cs="宋体"/>
          <w:snapToGrid w:val="0"/>
          <w:color w:val="000000"/>
          <w:kern w:val="0"/>
          <w:sz w:val="21"/>
          <w:szCs w:val="21"/>
          <w:highlight w:val="none"/>
        </w:rPr>
      </w:pPr>
    </w:p>
    <w:p w14:paraId="3D851DF9">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7D93D21E">
      <w:pPr>
        <w:pStyle w:val="2"/>
        <w:spacing w:before="0" w:after="0" w:line="360" w:lineRule="auto"/>
        <w:jc w:val="center"/>
        <w:rPr>
          <w:sz w:val="28"/>
          <w:szCs w:val="28"/>
          <w:highlight w:val="none"/>
        </w:rPr>
      </w:pPr>
      <w:bookmarkStart w:id="49" w:name="_Toc13128"/>
      <w:r>
        <w:rPr>
          <w:sz w:val="28"/>
          <w:szCs w:val="28"/>
          <w:highlight w:val="none"/>
        </w:rPr>
        <w:t>第四章 评审方法及标准</w:t>
      </w:r>
      <w:bookmarkEnd w:id="43"/>
      <w:bookmarkEnd w:id="49"/>
    </w:p>
    <w:p w14:paraId="4BD4037E">
      <w:pPr>
        <w:spacing w:before="120" w:line="320" w:lineRule="atLeast"/>
        <w:ind w:firstLine="413" w:firstLineChars="196"/>
        <w:outlineLvl w:val="1"/>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评审方法</w:t>
      </w:r>
    </w:p>
    <w:p w14:paraId="7ECEDA55">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1本项目采用</w:t>
      </w:r>
      <w:r>
        <w:rPr>
          <w:rFonts w:hint="eastAsia"/>
          <w:color w:val="000000"/>
          <w:highlight w:val="none"/>
        </w:rPr>
        <w:t>质量优先法</w:t>
      </w:r>
      <w:r>
        <w:rPr>
          <w:color w:val="000000"/>
          <w:highlight w:val="none"/>
        </w:rPr>
        <w:t>进行评审。</w:t>
      </w:r>
    </w:p>
    <w:p w14:paraId="6F345506">
      <w:pPr>
        <w:suppressAutoHyphens/>
        <w:spacing w:before="120" w:line="320" w:lineRule="atLeast"/>
        <w:ind w:firstLine="420" w:firstLineChars="200"/>
        <w:rPr>
          <w:rFonts w:hint="eastAsia" w:eastAsia="宋体"/>
          <w:color w:val="000000"/>
          <w:highlight w:val="none"/>
          <w:lang w:val="en-US" w:eastAsia="zh-CN"/>
        </w:rPr>
      </w:pPr>
      <w:r>
        <w:rPr>
          <w:rFonts w:hint="eastAsia"/>
          <w:color w:val="000000"/>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r>
        <w:rPr>
          <w:rFonts w:hint="eastAsia"/>
          <w:color w:val="000000"/>
          <w:highlight w:val="none"/>
          <w:lang w:eastAsia="zh-CN"/>
        </w:rPr>
        <w:t>。</w:t>
      </w:r>
    </w:p>
    <w:tbl>
      <w:tblPr>
        <w:tblStyle w:val="52"/>
        <w:tblW w:w="5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2384"/>
      </w:tblGrid>
      <w:tr w14:paraId="2353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00" w:type="dxa"/>
            <w:tcBorders>
              <w:top w:val="single" w:color="auto" w:sz="4" w:space="0"/>
              <w:left w:val="single" w:color="auto" w:sz="4" w:space="0"/>
              <w:bottom w:val="single" w:color="auto" w:sz="4" w:space="0"/>
              <w:right w:val="single" w:color="auto" w:sz="4" w:space="0"/>
            </w:tcBorders>
            <w:vAlign w:val="center"/>
          </w:tcPr>
          <w:p w14:paraId="0D7F7B69">
            <w:pPr>
              <w:jc w:val="center"/>
              <w:rPr>
                <w:b/>
                <w:bCs/>
                <w:color w:val="000000"/>
                <w:highlight w:val="none"/>
              </w:rPr>
            </w:pPr>
            <w:r>
              <w:rPr>
                <w:rFonts w:hint="eastAsia"/>
                <w:b/>
                <w:bCs/>
                <w:color w:val="000000"/>
                <w:highlight w:val="none"/>
              </w:rPr>
              <w:t>入围供应商最大数量</w:t>
            </w:r>
          </w:p>
        </w:tc>
        <w:tc>
          <w:tcPr>
            <w:tcW w:w="2384" w:type="dxa"/>
            <w:tcBorders>
              <w:top w:val="single" w:color="auto" w:sz="4" w:space="0"/>
              <w:left w:val="single" w:color="auto" w:sz="4" w:space="0"/>
              <w:bottom w:val="single" w:color="auto" w:sz="4" w:space="0"/>
              <w:right w:val="single" w:color="auto" w:sz="4" w:space="0"/>
            </w:tcBorders>
            <w:vAlign w:val="center"/>
          </w:tcPr>
          <w:p w14:paraId="1DA8ADD2">
            <w:pPr>
              <w:jc w:val="center"/>
              <w:rPr>
                <w:b/>
                <w:bCs/>
                <w:color w:val="000000"/>
                <w:highlight w:val="none"/>
              </w:rPr>
            </w:pPr>
            <w:r>
              <w:rPr>
                <w:rFonts w:hint="eastAsia"/>
                <w:b/>
                <w:bCs/>
                <w:color w:val="000000"/>
                <w:highlight w:val="none"/>
              </w:rPr>
              <w:t>淘汰率</w:t>
            </w:r>
          </w:p>
        </w:tc>
      </w:tr>
      <w:tr w14:paraId="3773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00" w:type="dxa"/>
            <w:tcBorders>
              <w:top w:val="single" w:color="auto" w:sz="4" w:space="0"/>
              <w:left w:val="single" w:color="auto" w:sz="4" w:space="0"/>
              <w:bottom w:val="single" w:color="auto" w:sz="4" w:space="0"/>
              <w:right w:val="single" w:color="auto" w:sz="4" w:space="0"/>
            </w:tcBorders>
            <w:vAlign w:val="center"/>
          </w:tcPr>
          <w:p w14:paraId="6300694F">
            <w:pPr>
              <w:jc w:val="center"/>
              <w:rPr>
                <w:bCs/>
                <w:color w:val="000000"/>
                <w:highlight w:val="none"/>
              </w:rPr>
            </w:pPr>
            <w:r>
              <w:rPr>
                <w:rFonts w:hint="eastAsia"/>
                <w:bCs/>
                <w:color w:val="000000"/>
                <w:highlight w:val="none"/>
                <w:lang w:val="en-US" w:eastAsia="zh-CN"/>
              </w:rPr>
              <w:t>7家</w:t>
            </w:r>
          </w:p>
        </w:tc>
        <w:tc>
          <w:tcPr>
            <w:tcW w:w="2384" w:type="dxa"/>
            <w:tcBorders>
              <w:top w:val="single" w:color="auto" w:sz="4" w:space="0"/>
              <w:left w:val="single" w:color="auto" w:sz="4" w:space="0"/>
              <w:bottom w:val="single" w:color="auto" w:sz="4" w:space="0"/>
              <w:right w:val="single" w:color="auto" w:sz="4" w:space="0"/>
            </w:tcBorders>
            <w:vAlign w:val="center"/>
          </w:tcPr>
          <w:p w14:paraId="63B7E673">
            <w:pPr>
              <w:jc w:val="center"/>
              <w:rPr>
                <w:bCs/>
                <w:color w:val="000000"/>
                <w:highlight w:val="none"/>
              </w:rPr>
            </w:pPr>
            <w:r>
              <w:rPr>
                <w:bCs/>
                <w:color w:val="000000"/>
                <w:highlight w:val="none"/>
              </w:rPr>
              <w:t>20</w:t>
            </w:r>
            <w:r>
              <w:rPr>
                <w:rFonts w:hint="eastAsia"/>
                <w:bCs/>
                <w:color w:val="000000"/>
                <w:highlight w:val="none"/>
              </w:rPr>
              <w:t>%</w:t>
            </w:r>
          </w:p>
        </w:tc>
      </w:tr>
    </w:tbl>
    <w:p w14:paraId="37ED7490">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2</w:t>
      </w:r>
      <w:r>
        <w:rPr>
          <w:rFonts w:hint="eastAsia"/>
          <w:color w:val="000000"/>
          <w:highlight w:val="none"/>
        </w:rPr>
        <w:t>确定入围供应商步骤：</w:t>
      </w:r>
    </w:p>
    <w:p w14:paraId="6F54EBF1">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2</w:t>
      </w:r>
      <w:r>
        <w:rPr>
          <w:rFonts w:hint="eastAsia"/>
          <w:color w:val="000000"/>
          <w:highlight w:val="none"/>
        </w:rPr>
        <w:t>.</w:t>
      </w:r>
      <w:r>
        <w:rPr>
          <w:color w:val="000000"/>
          <w:highlight w:val="none"/>
        </w:rPr>
        <w:t>1</w:t>
      </w:r>
      <w:r>
        <w:rPr>
          <w:rFonts w:hint="eastAsia"/>
          <w:color w:val="000000"/>
          <w:highlight w:val="none"/>
        </w:rPr>
        <w:t>计算淘汰供应商数量：</w:t>
      </w:r>
    </w:p>
    <w:p w14:paraId="23E6CA0A">
      <w:pPr>
        <w:suppressAutoHyphens/>
        <w:spacing w:before="120" w:line="320" w:lineRule="atLeast"/>
        <w:ind w:firstLine="422" w:firstLineChars="200"/>
        <w:rPr>
          <w:b/>
          <w:color w:val="000000"/>
          <w:highlight w:val="none"/>
        </w:rPr>
      </w:pPr>
      <w:r>
        <w:rPr>
          <w:rFonts w:hint="eastAsia"/>
          <w:b/>
          <w:color w:val="000000"/>
          <w:highlight w:val="none"/>
        </w:rPr>
        <w:t>入围供应商数量应优先满足淘汰率，其次满足能入围供应商的最多数量。</w:t>
      </w:r>
      <w:r>
        <w:rPr>
          <w:b/>
          <w:color w:val="000000"/>
          <w:highlight w:val="none"/>
        </w:rPr>
        <w:t xml:space="preserve"> </w:t>
      </w:r>
    </w:p>
    <w:p w14:paraId="52877F9D">
      <w:pPr>
        <w:suppressAutoHyphens/>
        <w:spacing w:before="120" w:line="320" w:lineRule="atLeast"/>
        <w:ind w:firstLine="420" w:firstLineChars="200"/>
        <w:rPr>
          <w:color w:val="000000"/>
          <w:highlight w:val="none"/>
        </w:rPr>
      </w:pPr>
      <w:r>
        <w:rPr>
          <w:rFonts w:hint="eastAsia"/>
          <w:color w:val="000000"/>
          <w:highlight w:val="none"/>
        </w:rPr>
        <w:t>例1：实际报名数量远远大于入围供应商数量的情况</w:t>
      </w:r>
    </w:p>
    <w:p w14:paraId="33D1F42E">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实际报名数量：</w:t>
      </w:r>
      <w:r>
        <w:rPr>
          <w:rFonts w:hint="eastAsia" w:asciiTheme="minorEastAsia" w:hAnsiTheme="minorEastAsia" w:eastAsiaTheme="minorEastAsia"/>
          <w:color w:val="000000"/>
          <w:highlight w:val="none"/>
          <w:lang w:val="en-US" w:eastAsia="zh-CN"/>
        </w:rPr>
        <w:t>80</w:t>
      </w:r>
      <w:r>
        <w:rPr>
          <w:rFonts w:hint="eastAsia" w:asciiTheme="minorEastAsia" w:hAnsiTheme="minorEastAsia" w:eastAsiaTheme="minorEastAsia"/>
          <w:color w:val="000000"/>
          <w:highlight w:val="none"/>
        </w:rPr>
        <w:t>家</w:t>
      </w:r>
    </w:p>
    <w:p w14:paraId="67CC77E1">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满足淘汰率的淘汰家数：</w:t>
      </w:r>
      <w:r>
        <w:rPr>
          <w:rFonts w:hint="eastAsia" w:asciiTheme="minorEastAsia" w:hAnsiTheme="minorEastAsia" w:eastAsiaTheme="minorEastAsia"/>
          <w:color w:val="000000"/>
          <w:highlight w:val="none"/>
          <w:lang w:val="en-US" w:eastAsia="zh-CN"/>
        </w:rPr>
        <w:t>8</w:t>
      </w:r>
      <w:r>
        <w:rPr>
          <w:rFonts w:hint="eastAsia" w:asciiTheme="minorEastAsia" w:hAnsiTheme="minorEastAsia" w:eastAsiaTheme="minorEastAsia"/>
          <w:color w:val="000000"/>
          <w:highlight w:val="none"/>
        </w:rPr>
        <w:t>0×20%=</w:t>
      </w:r>
      <w:r>
        <w:rPr>
          <w:rFonts w:hint="eastAsia" w:asciiTheme="minorEastAsia" w:hAnsiTheme="minorEastAsia" w:eastAsiaTheme="minorEastAsia"/>
          <w:color w:val="000000"/>
          <w:highlight w:val="none"/>
          <w:lang w:val="en-US" w:eastAsia="zh-CN"/>
        </w:rPr>
        <w:t>16</w:t>
      </w:r>
      <w:r>
        <w:rPr>
          <w:rFonts w:hint="eastAsia" w:asciiTheme="minorEastAsia" w:hAnsiTheme="minorEastAsia" w:eastAsiaTheme="minorEastAsia"/>
          <w:color w:val="000000"/>
          <w:highlight w:val="none"/>
        </w:rPr>
        <w:t>家</w:t>
      </w:r>
    </w:p>
    <w:p w14:paraId="2E097E7A">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经淘汰后的剩余供应商：</w:t>
      </w:r>
      <w:r>
        <w:rPr>
          <w:rFonts w:hint="eastAsia" w:asciiTheme="minorEastAsia" w:hAnsiTheme="minorEastAsia" w:eastAsiaTheme="minorEastAsia"/>
          <w:color w:val="000000"/>
          <w:highlight w:val="none"/>
          <w:lang w:val="en-US" w:eastAsia="zh-CN"/>
        </w:rPr>
        <w:t>80</w:t>
      </w:r>
      <w:r>
        <w:rPr>
          <w:rFonts w:hint="eastAsia" w:asciiTheme="minorEastAsia" w:hAnsiTheme="minorEastAsia" w:eastAsiaTheme="minorEastAsia"/>
          <w:color w:val="000000"/>
          <w:highlight w:val="none"/>
        </w:rPr>
        <w:t>-</w:t>
      </w:r>
      <w:r>
        <w:rPr>
          <w:rFonts w:hint="eastAsia" w:asciiTheme="minorEastAsia" w:hAnsiTheme="minorEastAsia" w:eastAsiaTheme="minorEastAsia"/>
          <w:color w:val="000000"/>
          <w:highlight w:val="none"/>
          <w:lang w:val="en-US" w:eastAsia="zh-CN"/>
        </w:rPr>
        <w:t>16</w:t>
      </w:r>
      <w:r>
        <w:rPr>
          <w:rFonts w:hint="eastAsia" w:asciiTheme="minorEastAsia" w:hAnsiTheme="minorEastAsia" w:eastAsiaTheme="minorEastAsia"/>
          <w:color w:val="000000"/>
          <w:highlight w:val="none"/>
        </w:rPr>
        <w:t>=</w:t>
      </w:r>
      <w:r>
        <w:rPr>
          <w:rFonts w:hint="eastAsia" w:asciiTheme="minorEastAsia" w:hAnsiTheme="minorEastAsia" w:eastAsiaTheme="minorEastAsia"/>
          <w:color w:val="000000"/>
          <w:highlight w:val="none"/>
          <w:lang w:val="en-US" w:eastAsia="zh-CN"/>
        </w:rPr>
        <w:t>64</w:t>
      </w:r>
      <w:r>
        <w:rPr>
          <w:rFonts w:hint="eastAsia" w:asciiTheme="minorEastAsia" w:hAnsiTheme="minorEastAsia" w:eastAsiaTheme="minorEastAsia"/>
          <w:color w:val="000000"/>
          <w:highlight w:val="none"/>
        </w:rPr>
        <w:t>家</w:t>
      </w:r>
    </w:p>
    <w:p w14:paraId="21B8D10A">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剩余</w:t>
      </w:r>
      <w:r>
        <w:rPr>
          <w:rFonts w:hint="eastAsia" w:asciiTheme="minorEastAsia" w:hAnsiTheme="minorEastAsia" w:eastAsiaTheme="minorEastAsia"/>
          <w:color w:val="000000"/>
          <w:highlight w:val="none"/>
          <w:lang w:val="en-US" w:eastAsia="zh-CN"/>
        </w:rPr>
        <w:t>64</w:t>
      </w:r>
      <w:r>
        <w:rPr>
          <w:rFonts w:hint="eastAsia" w:asciiTheme="minorEastAsia" w:hAnsiTheme="minorEastAsia" w:eastAsiaTheme="minorEastAsia"/>
          <w:color w:val="000000"/>
          <w:highlight w:val="none"/>
        </w:rPr>
        <w:t>家供应商按照综合评分由高至低的顺序入围，入围至最大</w:t>
      </w:r>
      <w:r>
        <w:rPr>
          <w:rFonts w:hint="eastAsia" w:asciiTheme="minorEastAsia" w:hAnsiTheme="minorEastAsia" w:eastAsiaTheme="minorEastAsia"/>
          <w:color w:val="000000"/>
          <w:highlight w:val="none"/>
        </w:rPr>
        <w:t>数量</w:t>
      </w:r>
      <w:r>
        <w:rPr>
          <w:rFonts w:hint="eastAsia" w:asciiTheme="minorEastAsia" w:hAnsiTheme="minorEastAsia" w:eastAsiaTheme="minorEastAsia"/>
          <w:color w:val="000000"/>
          <w:highlight w:val="none"/>
          <w:lang w:val="en-US" w:eastAsia="zh-CN"/>
        </w:rPr>
        <w:t>7家</w:t>
      </w:r>
      <w:r>
        <w:rPr>
          <w:rFonts w:hint="eastAsia" w:asciiTheme="minorEastAsia" w:hAnsiTheme="minorEastAsia" w:eastAsiaTheme="minorEastAsia"/>
          <w:color w:val="000000"/>
          <w:highlight w:val="none"/>
        </w:rPr>
        <w:t>。</w:t>
      </w:r>
    </w:p>
    <w:p w14:paraId="23339FD9">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例2：实际报名数量远远小于入围供应商数量的情况</w:t>
      </w:r>
    </w:p>
    <w:p w14:paraId="4E19B62E">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实际报名数量：</w:t>
      </w:r>
      <w:r>
        <w:rPr>
          <w:rFonts w:hint="eastAsia" w:asciiTheme="minorEastAsia" w:hAnsiTheme="minorEastAsia" w:eastAsiaTheme="minorEastAsia"/>
          <w:color w:val="000000"/>
          <w:highlight w:val="none"/>
          <w:lang w:val="en-US" w:eastAsia="zh-CN"/>
        </w:rPr>
        <w:t>7家</w:t>
      </w:r>
    </w:p>
    <w:p w14:paraId="5DC6FC25">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满足淘汰率的淘汰家数：</w:t>
      </w:r>
      <w:r>
        <w:rPr>
          <w:rFonts w:hint="eastAsia" w:asciiTheme="minorEastAsia" w:hAnsiTheme="minorEastAsia" w:eastAsiaTheme="minorEastAsia"/>
          <w:color w:val="000000"/>
          <w:highlight w:val="none"/>
          <w:lang w:val="en-US" w:eastAsia="zh-CN"/>
        </w:rPr>
        <w:t>7</w:t>
      </w:r>
      <w:r>
        <w:rPr>
          <w:rFonts w:hint="eastAsia" w:asciiTheme="minorEastAsia" w:hAnsiTheme="minorEastAsia" w:eastAsiaTheme="minorEastAsia"/>
          <w:color w:val="000000"/>
          <w:highlight w:val="none"/>
        </w:rPr>
        <w:t>×20%=</w:t>
      </w:r>
      <w:r>
        <w:rPr>
          <w:rFonts w:hint="eastAsia" w:asciiTheme="minorEastAsia" w:hAnsiTheme="minorEastAsia" w:eastAsiaTheme="minorEastAsia"/>
          <w:color w:val="000000"/>
          <w:highlight w:val="none"/>
          <w:lang w:val="en-US" w:eastAsia="zh-CN"/>
        </w:rPr>
        <w:t>2</w:t>
      </w:r>
      <w:r>
        <w:rPr>
          <w:rFonts w:hint="eastAsia" w:asciiTheme="minorEastAsia" w:hAnsiTheme="minorEastAsia" w:eastAsiaTheme="minorEastAsia"/>
          <w:color w:val="000000"/>
          <w:highlight w:val="none"/>
        </w:rPr>
        <w:t>家</w:t>
      </w:r>
    </w:p>
    <w:p w14:paraId="02355EA4">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经淘汰后的剩余供应商：</w:t>
      </w:r>
      <w:r>
        <w:rPr>
          <w:rFonts w:hint="eastAsia" w:asciiTheme="minorEastAsia" w:hAnsiTheme="minorEastAsia" w:eastAsiaTheme="minorEastAsia"/>
          <w:color w:val="000000"/>
          <w:highlight w:val="none"/>
          <w:lang w:val="en-US" w:eastAsia="zh-CN"/>
        </w:rPr>
        <w:t>7</w:t>
      </w:r>
      <w:r>
        <w:rPr>
          <w:rFonts w:hint="eastAsia" w:asciiTheme="minorEastAsia" w:hAnsiTheme="minorEastAsia" w:eastAsiaTheme="minorEastAsia"/>
          <w:color w:val="000000"/>
          <w:highlight w:val="none"/>
        </w:rPr>
        <w:t>-</w:t>
      </w:r>
      <w:r>
        <w:rPr>
          <w:rFonts w:hint="eastAsia" w:asciiTheme="minorEastAsia" w:hAnsiTheme="minorEastAsia" w:eastAsiaTheme="minorEastAsia"/>
          <w:color w:val="000000"/>
          <w:highlight w:val="none"/>
          <w:lang w:val="en-US" w:eastAsia="zh-CN"/>
        </w:rPr>
        <w:t>2</w:t>
      </w:r>
      <w:r>
        <w:rPr>
          <w:rFonts w:hint="eastAsia" w:asciiTheme="minorEastAsia" w:hAnsiTheme="minorEastAsia" w:eastAsiaTheme="minorEastAsia"/>
          <w:color w:val="000000"/>
          <w:highlight w:val="none"/>
        </w:rPr>
        <w:t>=</w:t>
      </w:r>
      <w:r>
        <w:rPr>
          <w:rFonts w:hint="eastAsia" w:asciiTheme="minorEastAsia" w:hAnsiTheme="minorEastAsia" w:eastAsiaTheme="minorEastAsia"/>
          <w:color w:val="000000"/>
          <w:highlight w:val="none"/>
          <w:lang w:val="en-US" w:eastAsia="zh-CN"/>
        </w:rPr>
        <w:t>5</w:t>
      </w:r>
      <w:r>
        <w:rPr>
          <w:rFonts w:hint="eastAsia" w:asciiTheme="minorEastAsia" w:hAnsiTheme="minorEastAsia" w:eastAsiaTheme="minorEastAsia"/>
          <w:color w:val="000000"/>
          <w:highlight w:val="none"/>
        </w:rPr>
        <w:t>家</w:t>
      </w:r>
    </w:p>
    <w:p w14:paraId="60B140BB">
      <w:pPr>
        <w:suppressAutoHyphens/>
        <w:spacing w:before="120" w:line="320" w:lineRule="atLeast"/>
        <w:ind w:firstLine="420" w:firstLineChars="200"/>
        <w:rPr>
          <w:rFonts w:ascii="宋体" w:hAnsi="宋体"/>
          <w:color w:val="000000"/>
          <w:highlight w:val="none"/>
        </w:rPr>
      </w:pPr>
      <w:r>
        <w:rPr>
          <w:rFonts w:hint="eastAsia" w:asciiTheme="minorEastAsia" w:hAnsiTheme="minorEastAsia" w:eastAsiaTheme="minorEastAsia"/>
          <w:color w:val="000000"/>
          <w:highlight w:val="none"/>
        </w:rPr>
        <w:t>剩余</w:t>
      </w:r>
      <w:r>
        <w:rPr>
          <w:rFonts w:hint="eastAsia" w:asciiTheme="minorEastAsia" w:hAnsiTheme="minorEastAsia" w:eastAsiaTheme="minorEastAsia"/>
          <w:color w:val="000000"/>
          <w:highlight w:val="none"/>
          <w:lang w:val="en-US" w:eastAsia="zh-CN"/>
        </w:rPr>
        <w:t>5</w:t>
      </w:r>
      <w:r>
        <w:rPr>
          <w:rFonts w:hint="eastAsia" w:asciiTheme="minorEastAsia" w:hAnsiTheme="minorEastAsia" w:eastAsiaTheme="minorEastAsia"/>
          <w:color w:val="000000"/>
          <w:highlight w:val="none"/>
        </w:rPr>
        <w:t>家供应商为入围供应商最大数</w:t>
      </w:r>
      <w:r>
        <w:rPr>
          <w:rFonts w:hint="eastAsia" w:ascii="宋体" w:hAnsi="宋体"/>
          <w:color w:val="000000"/>
          <w:highlight w:val="none"/>
        </w:rPr>
        <w:t>量</w:t>
      </w:r>
      <w:r>
        <w:rPr>
          <w:rFonts w:hint="eastAsia" w:asciiTheme="minorEastAsia" w:hAnsiTheme="minorEastAsia" w:eastAsiaTheme="minorEastAsia"/>
          <w:color w:val="000000"/>
          <w:highlight w:val="none"/>
        </w:rPr>
        <w:t>，则剩余供应商按照综合评分由高至低的顺序入围，入围至最大数量</w:t>
      </w:r>
      <w:r>
        <w:rPr>
          <w:rFonts w:hint="eastAsia" w:asciiTheme="minorEastAsia" w:hAnsiTheme="minorEastAsia" w:eastAsiaTheme="minorEastAsia"/>
          <w:color w:val="000000"/>
          <w:highlight w:val="none"/>
          <w:lang w:val="en-US" w:eastAsia="zh-CN"/>
        </w:rPr>
        <w:t>5</w:t>
      </w:r>
      <w:r>
        <w:rPr>
          <w:rFonts w:hint="eastAsia" w:asciiTheme="minorEastAsia" w:hAnsiTheme="minorEastAsia" w:eastAsiaTheme="minorEastAsia"/>
          <w:color w:val="000000"/>
          <w:highlight w:val="none"/>
        </w:rPr>
        <w:t>家。</w:t>
      </w:r>
    </w:p>
    <w:p w14:paraId="4D5CD96B">
      <w:pPr>
        <w:suppressAutoHyphens/>
        <w:spacing w:before="120" w:line="320" w:lineRule="atLeast"/>
        <w:ind w:firstLine="420" w:firstLineChars="200"/>
        <w:rPr>
          <w:rFonts w:ascii="宋体" w:hAnsi="宋体"/>
          <w:color w:val="000000"/>
          <w:highlight w:val="none"/>
        </w:rPr>
      </w:pPr>
      <w:r>
        <w:rPr>
          <w:rFonts w:hint="eastAsia" w:ascii="宋体" w:hAnsi="宋体"/>
          <w:color w:val="000000"/>
          <w:highlight w:val="none"/>
        </w:rPr>
        <w:t>1.2.2计算初步入围供应商质量综合评分，</w:t>
      </w:r>
      <w:r>
        <w:rPr>
          <w:rFonts w:hint="eastAsia"/>
          <w:color w:val="000000"/>
          <w:highlight w:val="none"/>
        </w:rPr>
        <w:t>将供应商按质量综合评分由高到低排序，按照淘汰数量进行淘汰后，确定入围供应商。</w:t>
      </w:r>
    </w:p>
    <w:p w14:paraId="33434E15">
      <w:pPr>
        <w:suppressAutoHyphens/>
        <w:spacing w:before="120" w:line="360" w:lineRule="auto"/>
        <w:ind w:firstLine="420" w:firstLineChars="200"/>
        <w:rPr>
          <w:color w:val="000000"/>
          <w:highlight w:val="none"/>
        </w:rPr>
      </w:pPr>
      <w:r>
        <w:rPr>
          <w:color w:val="000000"/>
          <w:highlight w:val="none"/>
        </w:rPr>
        <w:t>1</w:t>
      </w:r>
      <w:r>
        <w:rPr>
          <w:rFonts w:hint="eastAsia"/>
          <w:color w:val="000000"/>
          <w:highlight w:val="none"/>
        </w:rPr>
        <w:t>.</w:t>
      </w:r>
      <w:r>
        <w:rPr>
          <w:color w:val="000000"/>
          <w:highlight w:val="none"/>
        </w:rPr>
        <w:t>2</w:t>
      </w:r>
      <w:r>
        <w:rPr>
          <w:rFonts w:hint="eastAsia"/>
          <w:color w:val="000000"/>
          <w:highlight w:val="none"/>
        </w:rPr>
        <w:t>.</w:t>
      </w:r>
      <w:r>
        <w:rPr>
          <w:color w:val="000000"/>
          <w:highlight w:val="none"/>
        </w:rPr>
        <w:t>3</w:t>
      </w:r>
      <w:r>
        <w:rPr>
          <w:rFonts w:hint="eastAsia"/>
          <w:color w:val="000000"/>
          <w:highlight w:val="none"/>
        </w:rPr>
        <w:t>并列分数处理：在淘汰过程中如果出现供应商综合评分（精确到小数点后2位）的情况，相同分数的供应商则按照详细评审内容依次进行比较，分值低的则被淘汰，如所有比较分值全部相同，则按照随机抽签决定。</w:t>
      </w:r>
    </w:p>
    <w:p w14:paraId="5F47A563">
      <w:pPr>
        <w:suppressAutoHyphens/>
        <w:spacing w:before="120" w:line="360" w:lineRule="auto"/>
        <w:ind w:firstLine="420" w:firstLineChars="200"/>
        <w:rPr>
          <w:color w:val="000000"/>
          <w:highlight w:val="none"/>
        </w:rPr>
      </w:pPr>
      <w:r>
        <w:rPr>
          <w:rFonts w:hint="eastAsia"/>
          <w:color w:val="000000"/>
          <w:highlight w:val="none"/>
        </w:rPr>
        <w:t>1.</w:t>
      </w:r>
      <w:r>
        <w:rPr>
          <w:color w:val="000000"/>
          <w:highlight w:val="none"/>
        </w:rPr>
        <w:t>3</w:t>
      </w:r>
      <w:r>
        <w:rPr>
          <w:rFonts w:hint="eastAsia"/>
          <w:color w:val="000000"/>
          <w:highlight w:val="none"/>
        </w:rPr>
        <w:t>本项目评审的其他详细规定在第</w:t>
      </w:r>
      <w:r>
        <w:rPr>
          <w:rFonts w:hint="eastAsia"/>
          <w:color w:val="000000"/>
          <w:highlight w:val="none"/>
          <w:lang w:val="en-US" w:eastAsia="zh-CN"/>
        </w:rPr>
        <w:t>二</w:t>
      </w:r>
      <w:r>
        <w:rPr>
          <w:rFonts w:hint="eastAsia"/>
          <w:color w:val="000000"/>
          <w:highlight w:val="none"/>
        </w:rPr>
        <w:t>章供应商须知中规定。</w:t>
      </w:r>
    </w:p>
    <w:p w14:paraId="2F0EC285">
      <w:pPr>
        <w:widowControl/>
        <w:jc w:val="left"/>
        <w:rPr>
          <w:color w:val="000000"/>
          <w:highlight w:val="none"/>
        </w:rPr>
      </w:pPr>
      <w:r>
        <w:rPr>
          <w:color w:val="000000"/>
          <w:highlight w:val="none"/>
        </w:rPr>
        <w:br w:type="page"/>
      </w:r>
    </w:p>
    <w:p w14:paraId="0C23DE2C">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2</w:t>
      </w:r>
      <w:r>
        <w:rPr>
          <w:rFonts w:hint="eastAsia"/>
          <w:b/>
          <w:bCs/>
          <w:color w:val="000000"/>
          <w:kern w:val="0"/>
          <w:szCs w:val="21"/>
          <w:highlight w:val="none"/>
        </w:rPr>
        <w:t>.资格审查标准（不</w:t>
      </w:r>
      <w:r>
        <w:rPr>
          <w:rFonts w:hint="eastAsia"/>
          <w:b/>
          <w:bCs/>
          <w:color w:val="000000"/>
          <w:kern w:val="0"/>
          <w:szCs w:val="21"/>
          <w:highlight w:val="none"/>
        </w:rPr>
        <w:t>满足任何一项审查内容要求，资格审查即为不合格）</w:t>
      </w:r>
    </w:p>
    <w:p w14:paraId="6D3DBDFC">
      <w:pPr>
        <w:rPr>
          <w:b/>
          <w:color w:val="000000"/>
          <w:kern w:val="0"/>
          <w:szCs w:val="21"/>
          <w:highlight w:val="none"/>
        </w:rPr>
      </w:pPr>
    </w:p>
    <w:tbl>
      <w:tblPr>
        <w:tblStyle w:val="52"/>
        <w:tblW w:w="87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4"/>
        <w:gridCol w:w="5534"/>
      </w:tblGrid>
      <w:tr w14:paraId="476C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6" w:type="dxa"/>
            <w:vAlign w:val="center"/>
          </w:tcPr>
          <w:p w14:paraId="19629740">
            <w:pPr>
              <w:spacing w:line="240" w:lineRule="exact"/>
              <w:jc w:val="center"/>
              <w:rPr>
                <w:b/>
                <w:color w:val="000000"/>
                <w:kern w:val="0"/>
                <w:szCs w:val="21"/>
                <w:highlight w:val="none"/>
              </w:rPr>
            </w:pPr>
            <w:r>
              <w:rPr>
                <w:rFonts w:hint="eastAsia"/>
                <w:b/>
                <w:color w:val="000000"/>
                <w:kern w:val="0"/>
                <w:szCs w:val="21"/>
                <w:highlight w:val="none"/>
              </w:rPr>
              <w:t>审查</w:t>
            </w:r>
            <w:r>
              <w:rPr>
                <w:b/>
                <w:color w:val="000000"/>
                <w:kern w:val="0"/>
                <w:szCs w:val="21"/>
                <w:highlight w:val="none"/>
              </w:rPr>
              <w:t>因素</w:t>
            </w:r>
          </w:p>
        </w:tc>
        <w:tc>
          <w:tcPr>
            <w:tcW w:w="1984" w:type="dxa"/>
            <w:vAlign w:val="center"/>
          </w:tcPr>
          <w:p w14:paraId="2BCAE3F7">
            <w:pPr>
              <w:spacing w:line="240" w:lineRule="exact"/>
              <w:jc w:val="center"/>
              <w:rPr>
                <w:b/>
                <w:color w:val="000000"/>
                <w:kern w:val="0"/>
                <w:szCs w:val="21"/>
                <w:highlight w:val="none"/>
              </w:rPr>
            </w:pPr>
            <w:r>
              <w:rPr>
                <w:rFonts w:hint="eastAsia"/>
                <w:b/>
                <w:color w:val="000000"/>
                <w:kern w:val="0"/>
                <w:szCs w:val="21"/>
                <w:highlight w:val="none"/>
              </w:rPr>
              <w:t>审查</w:t>
            </w:r>
            <w:r>
              <w:rPr>
                <w:b/>
                <w:color w:val="000000"/>
                <w:kern w:val="0"/>
                <w:szCs w:val="21"/>
                <w:highlight w:val="none"/>
              </w:rPr>
              <w:t>内容</w:t>
            </w:r>
          </w:p>
        </w:tc>
        <w:tc>
          <w:tcPr>
            <w:tcW w:w="5534" w:type="dxa"/>
            <w:vAlign w:val="center"/>
          </w:tcPr>
          <w:p w14:paraId="6C9E11A7">
            <w:pPr>
              <w:spacing w:line="240" w:lineRule="exact"/>
              <w:jc w:val="center"/>
              <w:rPr>
                <w:b/>
                <w:color w:val="000000"/>
                <w:kern w:val="0"/>
                <w:szCs w:val="21"/>
                <w:highlight w:val="none"/>
              </w:rPr>
            </w:pPr>
            <w:r>
              <w:rPr>
                <w:rFonts w:hint="eastAsia"/>
                <w:b/>
                <w:color w:val="000000"/>
                <w:kern w:val="0"/>
                <w:szCs w:val="21"/>
                <w:highlight w:val="none"/>
              </w:rPr>
              <w:t>说明</w:t>
            </w:r>
          </w:p>
        </w:tc>
      </w:tr>
      <w:tr w14:paraId="2221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76" w:type="dxa"/>
            <w:vMerge w:val="restart"/>
            <w:vAlign w:val="center"/>
          </w:tcPr>
          <w:p w14:paraId="64E70353">
            <w:pPr>
              <w:spacing w:line="240" w:lineRule="exact"/>
              <w:jc w:val="center"/>
              <w:rPr>
                <w:color w:val="000000"/>
                <w:szCs w:val="21"/>
                <w:highlight w:val="none"/>
              </w:rPr>
            </w:pPr>
            <w:r>
              <w:rPr>
                <w:color w:val="000000"/>
                <w:szCs w:val="21"/>
                <w:highlight w:val="none"/>
                <w:lang w:val="zh-CN"/>
              </w:rPr>
              <w:t>供应商应符合的</w:t>
            </w:r>
            <w:r>
              <w:rPr>
                <w:color w:val="000000"/>
                <w:szCs w:val="21"/>
                <w:highlight w:val="none"/>
              </w:rPr>
              <w:t>特定资格</w:t>
            </w:r>
            <w:r>
              <w:rPr>
                <w:rFonts w:hint="eastAsia"/>
                <w:color w:val="000000"/>
                <w:szCs w:val="21"/>
                <w:highlight w:val="none"/>
              </w:rPr>
              <w:t>要求</w:t>
            </w:r>
          </w:p>
        </w:tc>
        <w:tc>
          <w:tcPr>
            <w:tcW w:w="1984" w:type="dxa"/>
            <w:vAlign w:val="center"/>
          </w:tcPr>
          <w:p w14:paraId="4AC3DA74">
            <w:pPr>
              <w:spacing w:line="240" w:lineRule="exact"/>
              <w:jc w:val="left"/>
              <w:rPr>
                <w:color w:val="000000"/>
                <w:szCs w:val="21"/>
                <w:highlight w:val="none"/>
              </w:rPr>
            </w:pPr>
            <w:r>
              <w:rPr>
                <w:color w:val="000000"/>
                <w:szCs w:val="21"/>
                <w:highlight w:val="none"/>
              </w:rPr>
              <w:t>（1）</w:t>
            </w:r>
            <w:r>
              <w:rPr>
                <w:rFonts w:hint="eastAsia"/>
                <w:color w:val="000000"/>
                <w:szCs w:val="21"/>
                <w:highlight w:val="none"/>
              </w:rPr>
              <w:t>营业执照</w:t>
            </w:r>
          </w:p>
        </w:tc>
        <w:tc>
          <w:tcPr>
            <w:tcW w:w="5534" w:type="dxa"/>
            <w:vAlign w:val="center"/>
          </w:tcPr>
          <w:p w14:paraId="58AF13B4">
            <w:pPr>
              <w:spacing w:line="240" w:lineRule="exact"/>
              <w:jc w:val="left"/>
              <w:rPr>
                <w:rFonts w:hint="eastAsia"/>
                <w:color w:val="000000"/>
                <w:szCs w:val="21"/>
                <w:highlight w:val="none"/>
              </w:rPr>
            </w:pPr>
            <w:r>
              <w:rPr>
                <w:rFonts w:hint="eastAsia"/>
                <w:color w:val="000000"/>
                <w:szCs w:val="21"/>
                <w:highlight w:val="none"/>
              </w:rPr>
              <w:t>须符合</w:t>
            </w:r>
            <w:r>
              <w:rPr>
                <w:rFonts w:hint="eastAsia"/>
                <w:color w:val="000000"/>
                <w:szCs w:val="21"/>
                <w:highlight w:val="none"/>
              </w:rPr>
              <w:t>“征集公告”的要求</w:t>
            </w:r>
            <w:r>
              <w:rPr>
                <w:rFonts w:hint="eastAsia"/>
                <w:color w:val="000000"/>
                <w:szCs w:val="21"/>
                <w:highlight w:val="none"/>
              </w:rPr>
              <w:t>。</w:t>
            </w:r>
          </w:p>
          <w:p w14:paraId="611D4E87">
            <w:pPr>
              <w:spacing w:line="240" w:lineRule="exact"/>
              <w:jc w:val="left"/>
              <w:rPr>
                <w:rFonts w:hint="eastAsia"/>
                <w:color w:val="000000"/>
                <w:szCs w:val="21"/>
                <w:highlight w:val="none"/>
              </w:rPr>
            </w:pPr>
            <w:r>
              <w:rPr>
                <w:rFonts w:hint="eastAsia"/>
                <w:color w:val="000000"/>
                <w:szCs w:val="21"/>
                <w:highlight w:val="none"/>
              </w:rPr>
              <w:t>具有有效的营业执照，</w:t>
            </w:r>
            <w:r>
              <w:rPr>
                <w:rFonts w:hint="eastAsia"/>
                <w:color w:val="000000"/>
                <w:szCs w:val="21"/>
                <w:highlight w:val="none"/>
                <w:lang w:val="en-US" w:eastAsia="zh-CN"/>
              </w:rPr>
              <w:t>响应文件</w:t>
            </w:r>
            <w:r>
              <w:rPr>
                <w:rFonts w:hint="eastAsia"/>
                <w:color w:val="000000"/>
                <w:szCs w:val="21"/>
                <w:highlight w:val="none"/>
              </w:rPr>
              <w:t>内附复印件并加盖公章。</w:t>
            </w:r>
          </w:p>
        </w:tc>
      </w:tr>
      <w:tr w14:paraId="1A8E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76" w:type="dxa"/>
            <w:vMerge w:val="continue"/>
            <w:vAlign w:val="center"/>
          </w:tcPr>
          <w:p w14:paraId="6A8A675A">
            <w:pPr>
              <w:spacing w:line="240" w:lineRule="exact"/>
              <w:jc w:val="center"/>
              <w:rPr>
                <w:color w:val="000000"/>
                <w:szCs w:val="21"/>
                <w:highlight w:val="none"/>
                <w:lang w:val="zh-CN"/>
              </w:rPr>
            </w:pPr>
          </w:p>
        </w:tc>
        <w:tc>
          <w:tcPr>
            <w:tcW w:w="1984" w:type="dxa"/>
            <w:vAlign w:val="center"/>
          </w:tcPr>
          <w:p w14:paraId="3E7EBAED">
            <w:pPr>
              <w:spacing w:line="240" w:lineRule="exact"/>
              <w:jc w:val="left"/>
              <w:rPr>
                <w:rFonts w:hint="default" w:eastAsia="宋体"/>
                <w:color w:val="000000"/>
                <w:szCs w:val="21"/>
                <w:highlight w:val="none"/>
                <w:lang w:val="en-US" w:eastAsia="zh-CN"/>
              </w:rPr>
            </w:pPr>
            <w:r>
              <w:rPr>
                <w:rFonts w:hint="eastAsia"/>
                <w:color w:val="000000"/>
                <w:szCs w:val="21"/>
                <w:highlight w:val="none"/>
                <w:lang w:eastAsia="zh-CN"/>
              </w:rPr>
              <w:t>（</w:t>
            </w:r>
            <w:r>
              <w:rPr>
                <w:rFonts w:hint="eastAsia"/>
                <w:color w:val="000000"/>
                <w:szCs w:val="21"/>
                <w:highlight w:val="none"/>
                <w:lang w:val="en-US" w:eastAsia="zh-CN"/>
              </w:rPr>
              <w:t>2</w:t>
            </w:r>
            <w:r>
              <w:rPr>
                <w:rFonts w:hint="eastAsia"/>
                <w:color w:val="000000"/>
                <w:szCs w:val="21"/>
                <w:highlight w:val="none"/>
                <w:lang w:eastAsia="zh-CN"/>
              </w:rPr>
              <w:t>）</w:t>
            </w:r>
            <w:r>
              <w:rPr>
                <w:rFonts w:hint="eastAsia"/>
                <w:color w:val="000000"/>
                <w:szCs w:val="21"/>
                <w:highlight w:val="none"/>
                <w:lang w:val="en-US" w:eastAsia="zh-CN"/>
              </w:rPr>
              <w:t>资格要求</w:t>
            </w:r>
          </w:p>
        </w:tc>
        <w:tc>
          <w:tcPr>
            <w:tcW w:w="5534" w:type="dxa"/>
            <w:vAlign w:val="center"/>
          </w:tcPr>
          <w:p w14:paraId="06144A7F">
            <w:pPr>
              <w:spacing w:line="240" w:lineRule="exact"/>
              <w:jc w:val="left"/>
              <w:rPr>
                <w:rFonts w:hint="eastAsia"/>
                <w:color w:val="000000"/>
                <w:szCs w:val="21"/>
                <w:highlight w:val="none"/>
              </w:rPr>
            </w:pPr>
            <w:r>
              <w:rPr>
                <w:rFonts w:hint="eastAsia"/>
                <w:color w:val="000000"/>
                <w:szCs w:val="21"/>
                <w:highlight w:val="none"/>
              </w:rPr>
              <w:t>须符合“征集公告”的要求。</w:t>
            </w:r>
          </w:p>
          <w:p w14:paraId="03BA4C90">
            <w:pPr>
              <w:spacing w:line="240" w:lineRule="exact"/>
              <w:jc w:val="left"/>
              <w:rPr>
                <w:rFonts w:hint="eastAsia"/>
                <w:color w:val="000000"/>
                <w:szCs w:val="21"/>
                <w:highlight w:val="none"/>
              </w:rPr>
            </w:pP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依法登记设立，在全国投资项目在线审批监管平台上备案，从事工程咨询业务的供应商，并在中华人民共和国境内注册具有独立承担民事责任能力法人、其他组织或者自然人，具有工程咨询单位</w:t>
            </w:r>
            <w:r>
              <w:rPr>
                <w:rFonts w:hint="eastAsia" w:ascii="宋体" w:hAnsi="宋体" w:cs="宋体"/>
                <w:i w:val="0"/>
                <w:iCs w:val="0"/>
                <w:caps w:val="0"/>
                <w:color w:val="394351"/>
                <w:spacing w:val="0"/>
                <w:kern w:val="0"/>
                <w:sz w:val="24"/>
                <w:szCs w:val="24"/>
                <w:highlight w:val="none"/>
                <w:shd w:val="clear" w:color="auto" w:fill="FFFFFF"/>
                <w:lang w:val="en-US" w:eastAsia="zh-CN" w:bidi="ar"/>
              </w:rPr>
              <w:t>乙</w:t>
            </w:r>
            <w:r>
              <w:rPr>
                <w:rFonts w:hint="eastAsia" w:ascii="宋体" w:hAnsi="宋体" w:eastAsia="宋体" w:cs="宋体"/>
                <w:i w:val="0"/>
                <w:iCs w:val="0"/>
                <w:caps w:val="0"/>
                <w:color w:val="394351"/>
                <w:spacing w:val="0"/>
                <w:kern w:val="0"/>
                <w:sz w:val="24"/>
                <w:szCs w:val="24"/>
                <w:highlight w:val="none"/>
                <w:shd w:val="clear" w:color="auto" w:fill="FFFFFF"/>
                <w:lang w:val="en-US" w:eastAsia="zh-CN" w:bidi="ar"/>
              </w:rPr>
              <w:t>级资信证书，并在人员、设备、资金等方面具有相应的咨询服务能力。</w:t>
            </w:r>
          </w:p>
        </w:tc>
      </w:tr>
      <w:tr w14:paraId="5D37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276" w:type="dxa"/>
            <w:vMerge w:val="continue"/>
            <w:vAlign w:val="center"/>
          </w:tcPr>
          <w:p w14:paraId="07637DF5">
            <w:pPr>
              <w:spacing w:line="240" w:lineRule="exact"/>
              <w:jc w:val="center"/>
              <w:rPr>
                <w:color w:val="000000"/>
                <w:szCs w:val="21"/>
                <w:highlight w:val="none"/>
                <w:lang w:val="zh-CN"/>
              </w:rPr>
            </w:pPr>
          </w:p>
        </w:tc>
        <w:tc>
          <w:tcPr>
            <w:tcW w:w="1984" w:type="dxa"/>
            <w:vAlign w:val="center"/>
          </w:tcPr>
          <w:p w14:paraId="66E18D3B">
            <w:pPr>
              <w:spacing w:line="240" w:lineRule="exact"/>
              <w:jc w:val="left"/>
              <w:rPr>
                <w:color w:val="000000"/>
                <w:szCs w:val="21"/>
                <w:highlight w:val="none"/>
              </w:rPr>
            </w:pPr>
            <w:r>
              <w:rPr>
                <w:color w:val="000000"/>
                <w:szCs w:val="21"/>
                <w:highlight w:val="none"/>
              </w:rPr>
              <w:t>（</w:t>
            </w:r>
            <w:r>
              <w:rPr>
                <w:rFonts w:hint="eastAsia"/>
                <w:color w:val="000000"/>
                <w:szCs w:val="21"/>
                <w:highlight w:val="none"/>
                <w:lang w:val="en-US" w:eastAsia="zh-CN"/>
              </w:rPr>
              <w:t>3</w:t>
            </w:r>
            <w:r>
              <w:rPr>
                <w:color w:val="000000"/>
                <w:szCs w:val="21"/>
                <w:highlight w:val="none"/>
              </w:rPr>
              <w:t>）</w:t>
            </w:r>
            <w:r>
              <w:rPr>
                <w:rFonts w:hint="eastAsia"/>
                <w:color w:val="000000"/>
                <w:kern w:val="0"/>
                <w:szCs w:val="21"/>
                <w:highlight w:val="none"/>
              </w:rPr>
              <w:t>财务要求</w:t>
            </w:r>
          </w:p>
        </w:tc>
        <w:tc>
          <w:tcPr>
            <w:tcW w:w="5534" w:type="dxa"/>
            <w:vAlign w:val="center"/>
          </w:tcPr>
          <w:p w14:paraId="76EC76B0">
            <w:pPr>
              <w:spacing w:line="240" w:lineRule="exact"/>
              <w:jc w:val="left"/>
              <w:rPr>
                <w:rFonts w:hint="eastAsia"/>
                <w:color w:val="000000"/>
                <w:kern w:val="0"/>
                <w:szCs w:val="21"/>
                <w:highlight w:val="none"/>
              </w:rPr>
            </w:pPr>
            <w:r>
              <w:rPr>
                <w:rFonts w:hint="eastAsia"/>
                <w:color w:val="000000"/>
                <w:kern w:val="0"/>
                <w:szCs w:val="21"/>
                <w:highlight w:val="none"/>
                <w:lang w:val="en-US" w:eastAsia="zh-CN"/>
              </w:rPr>
              <w:t>提供上一</w:t>
            </w:r>
            <w:r>
              <w:rPr>
                <w:rFonts w:hint="eastAsia"/>
                <w:color w:val="000000"/>
                <w:kern w:val="0"/>
                <w:szCs w:val="21"/>
                <w:highlight w:val="none"/>
              </w:rPr>
              <w:t>年度（2023年度）财务审计报告（含资产负债表、现金流量表、利润表）</w:t>
            </w:r>
            <w:r>
              <w:rPr>
                <w:rFonts w:hint="eastAsia" w:cs="Tahoma" w:asciiTheme="minorEastAsia" w:hAnsiTheme="minorEastAsia" w:eastAsiaTheme="minorEastAsia"/>
                <w:kern w:val="0"/>
                <w:sz w:val="21"/>
                <w:szCs w:val="21"/>
                <w:highlight w:val="none"/>
              </w:rPr>
              <w:t>，</w:t>
            </w:r>
            <w:r>
              <w:rPr>
                <w:rFonts w:hint="eastAsia" w:cs="Tahoma" w:asciiTheme="minorEastAsia" w:hAnsiTheme="minorEastAsia" w:eastAsiaTheme="minorEastAsia"/>
                <w:kern w:val="0"/>
                <w:sz w:val="21"/>
                <w:szCs w:val="21"/>
                <w:highlight w:val="none"/>
                <w:lang w:eastAsia="zh-CN"/>
              </w:rPr>
              <w:t>供应商</w:t>
            </w:r>
            <w:r>
              <w:rPr>
                <w:rFonts w:hint="eastAsia" w:cs="Tahoma" w:asciiTheme="minorEastAsia" w:hAnsiTheme="minorEastAsia" w:eastAsiaTheme="minorEastAsia"/>
                <w:kern w:val="0"/>
                <w:sz w:val="21"/>
                <w:szCs w:val="21"/>
                <w:highlight w:val="none"/>
              </w:rPr>
              <w:t>在202</w:t>
            </w:r>
            <w:r>
              <w:rPr>
                <w:rFonts w:hint="eastAsia" w:cs="Tahoma" w:asciiTheme="minorEastAsia" w:hAnsiTheme="minorEastAsia" w:eastAsiaTheme="minorEastAsia"/>
                <w:kern w:val="0"/>
                <w:sz w:val="21"/>
                <w:szCs w:val="21"/>
                <w:highlight w:val="none"/>
                <w:lang w:val="en-US" w:eastAsia="zh-CN"/>
              </w:rPr>
              <w:t>3</w:t>
            </w:r>
            <w:r>
              <w:rPr>
                <w:rFonts w:hint="eastAsia" w:cs="Tahoma" w:asciiTheme="minorEastAsia" w:hAnsiTheme="minorEastAsia" w:eastAsiaTheme="minorEastAsia"/>
                <w:kern w:val="0"/>
                <w:sz w:val="21"/>
                <w:szCs w:val="21"/>
                <w:highlight w:val="none"/>
              </w:rPr>
              <w:t>年之后成立的，无财务报告的，可以提供基本账户开户银行的资信证明</w:t>
            </w:r>
            <w:r>
              <w:rPr>
                <w:rFonts w:hint="eastAsia"/>
                <w:color w:val="000000"/>
                <w:kern w:val="0"/>
                <w:szCs w:val="21"/>
                <w:highlight w:val="none"/>
              </w:rPr>
              <w:t>。</w:t>
            </w:r>
          </w:p>
          <w:p w14:paraId="4A05AAB6">
            <w:pPr>
              <w:spacing w:line="240" w:lineRule="exact"/>
              <w:jc w:val="left"/>
              <w:rPr>
                <w:color w:val="000000"/>
                <w:szCs w:val="21"/>
                <w:highlight w:val="none"/>
              </w:rPr>
            </w:pPr>
            <w:r>
              <w:rPr>
                <w:rFonts w:hint="eastAsia"/>
                <w:color w:val="000000"/>
                <w:kern w:val="0"/>
                <w:szCs w:val="21"/>
                <w:highlight w:val="none"/>
              </w:rPr>
              <w:t>（响应文件内附财务审计报告</w:t>
            </w:r>
            <w:r>
              <w:rPr>
                <w:rFonts w:hint="eastAsia"/>
                <w:color w:val="000000"/>
                <w:kern w:val="0"/>
                <w:szCs w:val="21"/>
                <w:highlight w:val="none"/>
                <w:lang w:val="en-US" w:eastAsia="zh-CN"/>
              </w:rPr>
              <w:t>等相关证明文件</w:t>
            </w:r>
            <w:r>
              <w:rPr>
                <w:rFonts w:hint="eastAsia"/>
                <w:color w:val="000000"/>
                <w:kern w:val="0"/>
                <w:szCs w:val="21"/>
                <w:highlight w:val="none"/>
              </w:rPr>
              <w:t>复印件加盖公章）</w:t>
            </w:r>
          </w:p>
        </w:tc>
      </w:tr>
      <w:tr w14:paraId="109F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76" w:type="dxa"/>
            <w:vMerge w:val="continue"/>
            <w:vAlign w:val="center"/>
          </w:tcPr>
          <w:p w14:paraId="4F84A73B">
            <w:pPr>
              <w:spacing w:line="240" w:lineRule="exact"/>
              <w:jc w:val="center"/>
              <w:rPr>
                <w:color w:val="000000"/>
                <w:szCs w:val="21"/>
                <w:highlight w:val="none"/>
                <w:lang w:val="zh-CN"/>
              </w:rPr>
            </w:pPr>
          </w:p>
        </w:tc>
        <w:tc>
          <w:tcPr>
            <w:tcW w:w="1984" w:type="dxa"/>
            <w:vAlign w:val="center"/>
          </w:tcPr>
          <w:p w14:paraId="1DAEF0BF">
            <w:pPr>
              <w:spacing w:line="240" w:lineRule="exact"/>
              <w:jc w:val="left"/>
              <w:rPr>
                <w:color w:val="000000"/>
                <w:szCs w:val="21"/>
                <w:highlight w:val="none"/>
              </w:rPr>
            </w:pPr>
            <w:r>
              <w:rPr>
                <w:color w:val="000000"/>
                <w:szCs w:val="21"/>
                <w:highlight w:val="none"/>
              </w:rPr>
              <w:t>（</w:t>
            </w:r>
            <w:r>
              <w:rPr>
                <w:rFonts w:hint="eastAsia"/>
                <w:color w:val="000000"/>
                <w:szCs w:val="21"/>
                <w:highlight w:val="none"/>
                <w:lang w:val="en-US" w:eastAsia="zh-CN"/>
              </w:rPr>
              <w:t>4</w:t>
            </w:r>
            <w:r>
              <w:rPr>
                <w:color w:val="000000"/>
                <w:szCs w:val="21"/>
                <w:highlight w:val="none"/>
              </w:rPr>
              <w:t>）业绩要求</w:t>
            </w:r>
          </w:p>
        </w:tc>
        <w:tc>
          <w:tcPr>
            <w:tcW w:w="5534" w:type="dxa"/>
            <w:vAlign w:val="center"/>
          </w:tcPr>
          <w:p w14:paraId="3979B852">
            <w:pPr>
              <w:spacing w:line="240" w:lineRule="exact"/>
              <w:jc w:val="left"/>
              <w:rPr>
                <w:rFonts w:hint="eastAsia"/>
                <w:color w:val="000000"/>
                <w:szCs w:val="21"/>
                <w:highlight w:val="none"/>
              </w:rPr>
            </w:pPr>
            <w:r>
              <w:rPr>
                <w:rFonts w:hint="eastAsia"/>
                <w:color w:val="000000"/>
                <w:szCs w:val="21"/>
                <w:highlight w:val="none"/>
              </w:rPr>
              <w:t>近</w:t>
            </w:r>
            <w:r>
              <w:rPr>
                <w:rFonts w:hint="eastAsia"/>
                <w:color w:val="000000"/>
                <w:szCs w:val="21"/>
                <w:highlight w:val="none"/>
                <w:lang w:val="en-US" w:eastAsia="zh-CN"/>
              </w:rPr>
              <w:t>三</w:t>
            </w:r>
            <w:r>
              <w:rPr>
                <w:rFonts w:hint="eastAsia"/>
                <w:color w:val="000000"/>
                <w:szCs w:val="21"/>
                <w:highlight w:val="none"/>
              </w:rPr>
              <w:t>年（20</w:t>
            </w:r>
            <w:r>
              <w:rPr>
                <w:rFonts w:hint="eastAsia"/>
                <w:color w:val="000000"/>
                <w:szCs w:val="21"/>
                <w:highlight w:val="none"/>
                <w:lang w:val="en-US" w:eastAsia="zh-CN"/>
              </w:rPr>
              <w:t>22</w:t>
            </w:r>
            <w:r>
              <w:rPr>
                <w:rFonts w:hint="eastAsia"/>
                <w:color w:val="000000"/>
                <w:szCs w:val="21"/>
                <w:highlight w:val="none"/>
              </w:rPr>
              <w:t>年至今）具有至少</w:t>
            </w:r>
            <w:r>
              <w:rPr>
                <w:rFonts w:hint="eastAsia"/>
                <w:color w:val="000000"/>
                <w:szCs w:val="21"/>
                <w:highlight w:val="none"/>
                <w:lang w:val="en-US" w:eastAsia="zh-CN"/>
              </w:rPr>
              <w:t>五</w:t>
            </w:r>
            <w:r>
              <w:rPr>
                <w:rFonts w:hint="eastAsia"/>
                <w:color w:val="000000"/>
                <w:szCs w:val="21"/>
                <w:highlight w:val="none"/>
              </w:rPr>
              <w:t>项类似项目的业绩</w:t>
            </w:r>
            <w:r>
              <w:rPr>
                <w:rFonts w:hint="eastAsia"/>
                <w:color w:val="000000"/>
                <w:szCs w:val="21"/>
                <w:highlight w:val="none"/>
              </w:rPr>
              <w:t>。</w:t>
            </w:r>
          </w:p>
          <w:p w14:paraId="58EF4950">
            <w:pPr>
              <w:spacing w:line="240" w:lineRule="exact"/>
              <w:jc w:val="left"/>
              <w:rPr>
                <w:color w:val="000000"/>
                <w:szCs w:val="21"/>
                <w:highlight w:val="none"/>
              </w:rPr>
            </w:pPr>
            <w:r>
              <w:rPr>
                <w:rFonts w:hint="eastAsia"/>
                <w:color w:val="000000"/>
                <w:szCs w:val="21"/>
                <w:highlight w:val="none"/>
                <w:lang w:eastAsia="zh-CN"/>
              </w:rPr>
              <w:t>（</w:t>
            </w:r>
            <w:r>
              <w:rPr>
                <w:rFonts w:hint="eastAsia"/>
                <w:color w:val="000000"/>
                <w:szCs w:val="21"/>
                <w:highlight w:val="none"/>
                <w:lang w:val="en-US" w:eastAsia="zh-CN"/>
              </w:rPr>
              <w:t>类似项目业绩指</w:t>
            </w:r>
            <w:r>
              <w:rPr>
                <w:rFonts w:hint="eastAsia" w:ascii="Times New Roman" w:hAnsi="Times New Roman" w:cs="Times New Roman"/>
                <w:color w:val="000000"/>
                <w:szCs w:val="21"/>
                <w:highlight w:val="none"/>
                <w:lang w:val="en-US" w:eastAsia="zh-CN"/>
              </w:rPr>
              <w:t>风险评审</w:t>
            </w:r>
            <w:r>
              <w:rPr>
                <w:rFonts w:hint="eastAsia" w:ascii="Times New Roman" w:hAnsi="Times New Roman" w:cs="Times New Roman"/>
                <w:color w:val="000000"/>
                <w:szCs w:val="21"/>
                <w:highlight w:val="none"/>
                <w:lang w:val="en-US" w:eastAsia="zh-CN"/>
              </w:rPr>
              <w:t>，项目综合评审，规划、课题评审相关评审项目</w:t>
            </w:r>
            <w:r>
              <w:rPr>
                <w:rFonts w:hint="eastAsia" w:ascii="Times New Roman" w:hAnsi="Times New Roman" w:cs="Times New Roman"/>
                <w:color w:val="000000"/>
                <w:szCs w:val="21"/>
                <w:highlight w:val="none"/>
                <w:lang w:val="en-US" w:eastAsia="zh-CN"/>
              </w:rPr>
              <w:t>，</w:t>
            </w:r>
            <w:r>
              <w:rPr>
                <w:rFonts w:hint="eastAsia" w:ascii="Times New Roman" w:hAnsi="Times New Roman" w:cs="Times New Roman"/>
                <w:color w:val="000000"/>
                <w:szCs w:val="21"/>
                <w:highlight w:val="none"/>
                <w:lang w:eastAsia="zh-CN"/>
              </w:rPr>
              <w:t>响应文件内附</w:t>
            </w:r>
            <w:r>
              <w:rPr>
                <w:rFonts w:hint="eastAsia" w:cs="Times New Roman"/>
                <w:color w:val="000000"/>
                <w:szCs w:val="21"/>
                <w:highlight w:val="none"/>
                <w:lang w:val="en-US" w:eastAsia="zh-CN"/>
              </w:rPr>
              <w:t>中标通知书</w:t>
            </w:r>
            <w:r>
              <w:rPr>
                <w:rFonts w:hint="eastAsia" w:ascii="Times New Roman" w:hAnsi="Times New Roman" w:cs="Times New Roman"/>
                <w:color w:val="000000"/>
                <w:szCs w:val="21"/>
                <w:highlight w:val="none"/>
                <w:lang w:eastAsia="zh-CN"/>
              </w:rPr>
              <w:t>或合同</w:t>
            </w:r>
            <w:r>
              <w:rPr>
                <w:rFonts w:hint="eastAsia" w:cs="Times New Roman"/>
                <w:color w:val="000000"/>
                <w:szCs w:val="21"/>
                <w:highlight w:val="none"/>
                <w:lang w:val="en-US" w:eastAsia="zh-CN"/>
              </w:rPr>
              <w:t>协议书</w:t>
            </w:r>
            <w:r>
              <w:rPr>
                <w:rFonts w:hint="eastAsia" w:ascii="Times New Roman" w:hAnsi="Times New Roman" w:cs="Times New Roman"/>
                <w:color w:val="000000"/>
                <w:szCs w:val="21"/>
                <w:highlight w:val="none"/>
                <w:lang w:eastAsia="zh-CN"/>
              </w:rPr>
              <w:t>等证明材料</w:t>
            </w:r>
            <w:r>
              <w:rPr>
                <w:rFonts w:hint="eastAsia" w:ascii="Times New Roman" w:hAnsi="Times New Roman" w:cs="Times New Roman"/>
                <w:color w:val="000000"/>
                <w:szCs w:val="21"/>
                <w:highlight w:val="none"/>
                <w:lang w:eastAsia="zh-CN"/>
              </w:rPr>
              <w:t>复印件加盖公</w:t>
            </w:r>
            <w:r>
              <w:rPr>
                <w:rFonts w:hint="eastAsia"/>
                <w:color w:val="000000"/>
                <w:szCs w:val="21"/>
                <w:highlight w:val="none"/>
                <w:lang w:eastAsia="zh-CN"/>
              </w:rPr>
              <w:t>章</w:t>
            </w:r>
            <w:r>
              <w:rPr>
                <w:rFonts w:hint="eastAsia"/>
                <w:color w:val="000000"/>
                <w:szCs w:val="21"/>
                <w:highlight w:val="none"/>
                <w:lang w:eastAsia="zh-CN"/>
              </w:rPr>
              <w:t>）</w:t>
            </w:r>
          </w:p>
        </w:tc>
      </w:tr>
      <w:tr w14:paraId="111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276" w:type="dxa"/>
            <w:vMerge w:val="continue"/>
            <w:vAlign w:val="center"/>
          </w:tcPr>
          <w:p w14:paraId="25E0DEF8">
            <w:pPr>
              <w:spacing w:line="240" w:lineRule="exact"/>
              <w:jc w:val="center"/>
              <w:rPr>
                <w:color w:val="000000"/>
                <w:szCs w:val="21"/>
                <w:highlight w:val="none"/>
                <w:lang w:val="zh-CN"/>
              </w:rPr>
            </w:pPr>
          </w:p>
        </w:tc>
        <w:tc>
          <w:tcPr>
            <w:tcW w:w="1984" w:type="dxa"/>
            <w:vAlign w:val="center"/>
          </w:tcPr>
          <w:p w14:paraId="19790C24">
            <w:pPr>
              <w:spacing w:line="240" w:lineRule="exact"/>
              <w:jc w:val="left"/>
              <w:rPr>
                <w:rFonts w:hint="default" w:eastAsia="宋体"/>
                <w:color w:val="000000"/>
                <w:szCs w:val="21"/>
                <w:highlight w:val="none"/>
                <w:lang w:val="en-US" w:eastAsia="zh-CN"/>
              </w:rPr>
            </w:pPr>
            <w:r>
              <w:rPr>
                <w:color w:val="000000"/>
                <w:szCs w:val="21"/>
                <w:highlight w:val="none"/>
              </w:rPr>
              <w:t>（</w:t>
            </w:r>
            <w:r>
              <w:rPr>
                <w:rFonts w:hint="eastAsia"/>
                <w:color w:val="000000"/>
                <w:szCs w:val="21"/>
                <w:highlight w:val="none"/>
                <w:lang w:val="en-US" w:eastAsia="zh-CN"/>
              </w:rPr>
              <w:t>5</w:t>
            </w:r>
            <w:r>
              <w:rPr>
                <w:color w:val="000000"/>
                <w:szCs w:val="21"/>
                <w:highlight w:val="none"/>
              </w:rPr>
              <w:t>）</w:t>
            </w:r>
            <w:r>
              <w:rPr>
                <w:rFonts w:hint="eastAsia"/>
                <w:color w:val="000000"/>
                <w:szCs w:val="21"/>
                <w:highlight w:val="none"/>
                <w:lang w:val="en-US" w:eastAsia="zh-CN"/>
              </w:rPr>
              <w:t>项目团队要求</w:t>
            </w:r>
          </w:p>
        </w:tc>
        <w:tc>
          <w:tcPr>
            <w:tcW w:w="5534" w:type="dxa"/>
            <w:vAlign w:val="center"/>
          </w:tcPr>
          <w:p w14:paraId="734999E0">
            <w:pPr>
              <w:spacing w:line="240" w:lineRule="exact"/>
              <w:jc w:val="left"/>
              <w:rPr>
                <w:rFonts w:hint="eastAsia"/>
                <w:color w:val="000000"/>
                <w:szCs w:val="21"/>
                <w:highlight w:val="none"/>
              </w:rPr>
            </w:pPr>
            <w:r>
              <w:rPr>
                <w:rFonts w:hint="eastAsia"/>
                <w:color w:val="000000"/>
                <w:szCs w:val="21"/>
                <w:highlight w:val="none"/>
              </w:rPr>
              <w:t>项目团队成员具备注册咨询工程师资格不少于5人，其中项目负责人具有高级职称。</w:t>
            </w:r>
          </w:p>
          <w:p w14:paraId="0A3A739C">
            <w:pPr>
              <w:spacing w:line="240" w:lineRule="exact"/>
              <w:jc w:val="left"/>
              <w:rPr>
                <w:rFonts w:hint="eastAsia"/>
                <w:color w:val="000000"/>
                <w:szCs w:val="21"/>
                <w:highlight w:val="none"/>
              </w:rPr>
            </w:pPr>
            <w:r>
              <w:rPr>
                <w:rFonts w:hint="eastAsia" w:ascii="宋体" w:hAnsi="宋体" w:cs="宋体"/>
                <w:snapToGrid w:val="0"/>
                <w:color w:val="000000"/>
                <w:kern w:val="0"/>
                <w:szCs w:val="21"/>
                <w:highlight w:val="none"/>
              </w:rPr>
              <w:t>(响应文件内提供相关注册证</w:t>
            </w:r>
            <w:r>
              <w:rPr>
                <w:rFonts w:hint="eastAsia" w:ascii="宋体" w:hAnsi="宋体" w:cs="宋体"/>
                <w:snapToGrid w:val="0"/>
                <w:color w:val="000000"/>
                <w:kern w:val="0"/>
                <w:szCs w:val="21"/>
                <w:highlight w:val="none"/>
                <w:lang w:eastAsia="zh-CN"/>
              </w:rPr>
              <w:t>、</w:t>
            </w:r>
            <w:r>
              <w:rPr>
                <w:rFonts w:hint="eastAsia" w:ascii="宋体" w:hAnsi="宋体" w:cs="宋体"/>
                <w:snapToGrid w:val="0"/>
                <w:color w:val="000000"/>
                <w:kern w:val="0"/>
                <w:szCs w:val="21"/>
                <w:highlight w:val="none"/>
                <w:lang w:val="en-US" w:eastAsia="zh-CN"/>
              </w:rPr>
              <w:t>高级职称证书</w:t>
            </w:r>
            <w:r>
              <w:rPr>
                <w:rFonts w:hint="eastAsia" w:ascii="宋体" w:hAnsi="宋体" w:cs="宋体"/>
                <w:snapToGrid w:val="0"/>
                <w:color w:val="000000"/>
                <w:kern w:val="0"/>
                <w:szCs w:val="21"/>
                <w:highlight w:val="none"/>
              </w:rPr>
              <w:t>及供应商为其缴纳社会保险证明或退休证和返聘协议的复印件加盖公章)</w:t>
            </w:r>
          </w:p>
        </w:tc>
      </w:tr>
      <w:tr w14:paraId="5392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76" w:type="dxa"/>
            <w:vMerge w:val="continue"/>
            <w:vAlign w:val="center"/>
          </w:tcPr>
          <w:p w14:paraId="42986318">
            <w:pPr>
              <w:spacing w:line="240" w:lineRule="exact"/>
              <w:jc w:val="center"/>
              <w:rPr>
                <w:color w:val="000000"/>
                <w:szCs w:val="21"/>
                <w:highlight w:val="none"/>
                <w:lang w:val="zh-CN"/>
              </w:rPr>
            </w:pPr>
          </w:p>
        </w:tc>
        <w:tc>
          <w:tcPr>
            <w:tcW w:w="1984" w:type="dxa"/>
            <w:shd w:val="clear" w:color="auto" w:fill="auto"/>
            <w:vAlign w:val="center"/>
          </w:tcPr>
          <w:p w14:paraId="4C36976B">
            <w:pPr>
              <w:spacing w:line="240" w:lineRule="exact"/>
              <w:jc w:val="left"/>
              <w:rPr>
                <w:rFonts w:hint="eastAsia" w:ascii="Times New Roman" w:hAnsi="Times New Roman" w:cs="Times New Roman"/>
                <w:color w:val="000000"/>
                <w:szCs w:val="21"/>
                <w:highlight w:val="none"/>
                <w:lang w:val="en-US" w:eastAsia="zh-CN"/>
              </w:rPr>
            </w:pPr>
            <w:r>
              <w:rPr>
                <w:rFonts w:hint="eastAsia"/>
                <w:color w:val="000000"/>
                <w:szCs w:val="21"/>
                <w:highlight w:val="none"/>
              </w:rPr>
              <w:t>（</w:t>
            </w:r>
            <w:r>
              <w:rPr>
                <w:rFonts w:hint="eastAsia"/>
                <w:color w:val="000000"/>
                <w:szCs w:val="21"/>
                <w:highlight w:val="none"/>
                <w:lang w:val="en-US" w:eastAsia="zh-CN"/>
              </w:rPr>
              <w:t>6</w:t>
            </w:r>
            <w:r>
              <w:rPr>
                <w:rFonts w:hint="eastAsia"/>
                <w:color w:val="000000"/>
                <w:szCs w:val="21"/>
                <w:highlight w:val="none"/>
              </w:rPr>
              <w:t>）</w:t>
            </w:r>
            <w:r>
              <w:rPr>
                <w:rFonts w:hint="eastAsia" w:ascii="Times New Roman" w:hAnsi="Times New Roman" w:cs="Times New Roman"/>
                <w:color w:val="000000"/>
                <w:szCs w:val="21"/>
                <w:highlight w:val="none"/>
              </w:rPr>
              <w:t>依法税收和缴纳社会保险的证明</w:t>
            </w:r>
          </w:p>
        </w:tc>
        <w:tc>
          <w:tcPr>
            <w:tcW w:w="5534" w:type="dxa"/>
            <w:shd w:val="clear" w:color="auto" w:fill="auto"/>
            <w:vAlign w:val="center"/>
          </w:tcPr>
          <w:p w14:paraId="0C10D97A">
            <w:pPr>
              <w:spacing w:line="240" w:lineRule="exact"/>
              <w:jc w:val="left"/>
              <w:rPr>
                <w:rFonts w:hint="eastAsia" w:ascii="Times New Roman" w:hAnsi="Times New Roman" w:cs="Times New Roman"/>
                <w:color w:val="000000"/>
                <w:szCs w:val="21"/>
                <w:highlight w:val="none"/>
              </w:rPr>
            </w:pPr>
            <w:r>
              <w:rPr>
                <w:rFonts w:hint="eastAsia" w:ascii="Times New Roman" w:hAnsi="Times New Roman" w:cs="Times New Roman"/>
                <w:color w:val="000000"/>
                <w:szCs w:val="21"/>
                <w:highlight w:val="none"/>
              </w:rPr>
              <w:t>提供近半年内任意</w:t>
            </w:r>
            <w:r>
              <w:rPr>
                <w:rFonts w:hint="eastAsia" w:ascii="Times New Roman" w:hAnsi="Times New Roman" w:cs="Times New Roman"/>
                <w:color w:val="000000"/>
                <w:szCs w:val="21"/>
                <w:highlight w:val="none"/>
                <w:lang w:eastAsia="zh-CN"/>
              </w:rPr>
              <w:t>三</w:t>
            </w:r>
            <w:r>
              <w:rPr>
                <w:rFonts w:hint="eastAsia" w:ascii="Times New Roman" w:hAnsi="Times New Roman" w:cs="Times New Roman"/>
                <w:color w:val="000000"/>
                <w:szCs w:val="21"/>
                <w:highlight w:val="none"/>
              </w:rPr>
              <w:t>个月依法缴纳税收和依法缴纳社会保险的证明材料</w:t>
            </w:r>
            <w:r>
              <w:rPr>
                <w:rFonts w:hint="eastAsia" w:ascii="Times New Roman" w:hAnsi="Times New Roman" w:cs="Times New Roman"/>
                <w:color w:val="000000"/>
                <w:szCs w:val="21"/>
                <w:highlight w:val="none"/>
                <w:lang w:eastAsia="zh-CN"/>
              </w:rPr>
              <w:t>。</w:t>
            </w:r>
          </w:p>
          <w:p w14:paraId="22BF65CA">
            <w:pPr>
              <w:spacing w:line="240" w:lineRule="exact"/>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rPr>
              <w:t>（响应文件内附</w:t>
            </w:r>
            <w:r>
              <w:rPr>
                <w:rFonts w:hint="eastAsia" w:ascii="Times New Roman" w:hAnsi="Times New Roman" w:cs="Times New Roman"/>
                <w:color w:val="000000"/>
                <w:szCs w:val="21"/>
                <w:highlight w:val="none"/>
                <w:lang w:val="zh-CN"/>
              </w:rPr>
              <w:t>证明材料</w:t>
            </w:r>
            <w:r>
              <w:rPr>
                <w:rFonts w:hint="eastAsia" w:ascii="Times New Roman" w:hAnsi="Times New Roman" w:cs="Times New Roman"/>
                <w:color w:val="000000"/>
                <w:szCs w:val="21"/>
                <w:highlight w:val="none"/>
              </w:rPr>
              <w:t>复印件加盖公章）</w:t>
            </w:r>
          </w:p>
        </w:tc>
      </w:tr>
      <w:tr w14:paraId="0103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276" w:type="dxa"/>
            <w:vMerge w:val="continue"/>
            <w:vAlign w:val="center"/>
          </w:tcPr>
          <w:p w14:paraId="332228C3">
            <w:pPr>
              <w:spacing w:line="240" w:lineRule="exact"/>
              <w:jc w:val="center"/>
              <w:rPr>
                <w:color w:val="000000"/>
                <w:szCs w:val="21"/>
                <w:highlight w:val="none"/>
              </w:rPr>
            </w:pPr>
          </w:p>
        </w:tc>
        <w:tc>
          <w:tcPr>
            <w:tcW w:w="1984" w:type="dxa"/>
            <w:vAlign w:val="center"/>
          </w:tcPr>
          <w:p w14:paraId="0653F598">
            <w:pPr>
              <w:spacing w:line="240" w:lineRule="exact"/>
              <w:jc w:val="left"/>
              <w:rPr>
                <w:color w:val="000000"/>
                <w:szCs w:val="21"/>
                <w:highlight w:val="none"/>
              </w:rPr>
            </w:pPr>
            <w:r>
              <w:rPr>
                <w:rFonts w:hint="eastAsia"/>
                <w:color w:val="000000"/>
                <w:szCs w:val="21"/>
                <w:highlight w:val="none"/>
              </w:rPr>
              <w:t>（</w:t>
            </w:r>
            <w:r>
              <w:rPr>
                <w:rFonts w:hint="eastAsia"/>
                <w:color w:val="000000"/>
                <w:szCs w:val="21"/>
                <w:highlight w:val="none"/>
                <w:lang w:val="en-US" w:eastAsia="zh-CN"/>
              </w:rPr>
              <w:t>7</w:t>
            </w:r>
            <w:r>
              <w:rPr>
                <w:rFonts w:hint="eastAsia"/>
                <w:color w:val="000000"/>
                <w:szCs w:val="21"/>
                <w:highlight w:val="none"/>
              </w:rPr>
              <w:t>）供应商不得参加响应的情形</w:t>
            </w:r>
          </w:p>
        </w:tc>
        <w:tc>
          <w:tcPr>
            <w:tcW w:w="5534" w:type="dxa"/>
            <w:vAlign w:val="center"/>
          </w:tcPr>
          <w:p w14:paraId="6A1D4EB3">
            <w:pPr>
              <w:spacing w:line="240" w:lineRule="exact"/>
              <w:jc w:val="left"/>
              <w:rPr>
                <w:rFonts w:hint="eastAsia"/>
                <w:color w:val="000000"/>
                <w:szCs w:val="21"/>
                <w:highlight w:val="none"/>
              </w:rPr>
            </w:pPr>
            <w:r>
              <w:rPr>
                <w:rFonts w:hint="eastAsia"/>
                <w:color w:val="000000"/>
                <w:szCs w:val="21"/>
                <w:highlight w:val="none"/>
                <w:lang w:val="en-US" w:eastAsia="zh-CN"/>
              </w:rPr>
              <w:t>1.</w:t>
            </w:r>
            <w:r>
              <w:rPr>
                <w:rFonts w:hint="eastAsia"/>
                <w:color w:val="000000"/>
                <w:szCs w:val="21"/>
                <w:highlight w:val="none"/>
              </w:rPr>
              <w:t>拒绝列入政府取消投标资格记录期间的企业或个人投标。</w:t>
            </w:r>
          </w:p>
          <w:p w14:paraId="484C48E3">
            <w:pPr>
              <w:spacing w:line="240" w:lineRule="exact"/>
              <w:jc w:val="left"/>
              <w:rPr>
                <w:rFonts w:hint="eastAsia"/>
                <w:color w:val="000000"/>
                <w:szCs w:val="21"/>
                <w:highlight w:val="none"/>
              </w:rPr>
            </w:pPr>
            <w:r>
              <w:rPr>
                <w:rFonts w:hint="eastAsia"/>
                <w:color w:val="000000"/>
                <w:szCs w:val="21"/>
                <w:highlight w:val="none"/>
                <w:lang w:val="en-US" w:eastAsia="zh-CN"/>
              </w:rPr>
              <w:t>2.</w:t>
            </w:r>
            <w:r>
              <w:rPr>
                <w:color w:val="000000"/>
                <w:szCs w:val="21"/>
                <w:highlight w:val="none"/>
              </w:rPr>
              <w:t>单位负责人为同一人或者存在直接控股、管理关系的不同供应商，不得参加本项目同一合同项下的政府采购活动。</w:t>
            </w:r>
            <w:r>
              <w:rPr>
                <w:rFonts w:hint="eastAsia"/>
                <w:color w:val="000000"/>
                <w:szCs w:val="21"/>
                <w:highlight w:val="none"/>
                <w:lang w:val="en-US" w:eastAsia="zh-CN"/>
              </w:rPr>
              <w:t>3.</w:t>
            </w:r>
            <w:r>
              <w:rPr>
                <w:rFonts w:hint="eastAsia"/>
                <w:color w:val="000000"/>
                <w:szCs w:val="21"/>
                <w:highlight w:val="none"/>
              </w:rPr>
              <w:t>与</w:t>
            </w:r>
            <w:r>
              <w:rPr>
                <w:rFonts w:hint="eastAsia"/>
                <w:color w:val="000000"/>
                <w:szCs w:val="21"/>
                <w:highlight w:val="none"/>
                <w:lang w:val="en-US" w:eastAsia="zh-CN"/>
              </w:rPr>
              <w:t>征集</w:t>
            </w:r>
            <w:r>
              <w:rPr>
                <w:rFonts w:hint="eastAsia"/>
                <w:color w:val="000000"/>
                <w:szCs w:val="21"/>
                <w:highlight w:val="none"/>
              </w:rPr>
              <w:t>人存在利害关系可能影响招标公正性的法人、其他组织或者个人，不得参加投标。</w:t>
            </w:r>
          </w:p>
          <w:p w14:paraId="4E2787AA">
            <w:pPr>
              <w:spacing w:line="240" w:lineRule="exact"/>
              <w:jc w:val="left"/>
              <w:rPr>
                <w:color w:val="000000"/>
                <w:szCs w:val="21"/>
                <w:highlight w:val="none"/>
              </w:rPr>
            </w:pPr>
            <w:r>
              <w:rPr>
                <w:rFonts w:hint="eastAsia"/>
                <w:color w:val="000000"/>
                <w:szCs w:val="21"/>
                <w:highlight w:val="none"/>
              </w:rPr>
              <w:t>【响应文件内附由法定代表人签字或盖章并加盖单位公章的承诺书原件】</w:t>
            </w:r>
          </w:p>
        </w:tc>
      </w:tr>
      <w:tr w14:paraId="21AE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276" w:type="dxa"/>
            <w:vMerge w:val="continue"/>
            <w:vAlign w:val="center"/>
          </w:tcPr>
          <w:p w14:paraId="3D921119">
            <w:pPr>
              <w:spacing w:line="240" w:lineRule="exact"/>
              <w:jc w:val="center"/>
              <w:rPr>
                <w:color w:val="000000"/>
                <w:szCs w:val="21"/>
                <w:highlight w:val="none"/>
              </w:rPr>
            </w:pPr>
          </w:p>
        </w:tc>
        <w:tc>
          <w:tcPr>
            <w:tcW w:w="1984" w:type="dxa"/>
            <w:vAlign w:val="center"/>
          </w:tcPr>
          <w:p w14:paraId="01084C09">
            <w:pPr>
              <w:spacing w:line="240" w:lineRule="exact"/>
              <w:jc w:val="left"/>
              <w:rPr>
                <w:color w:val="000000"/>
                <w:kern w:val="0"/>
                <w:szCs w:val="21"/>
                <w:highlight w:val="none"/>
              </w:rPr>
            </w:pPr>
            <w:r>
              <w:rPr>
                <w:rFonts w:hint="eastAsia"/>
                <w:color w:val="000000"/>
                <w:szCs w:val="21"/>
                <w:highlight w:val="none"/>
              </w:rPr>
              <w:t>（</w:t>
            </w:r>
            <w:r>
              <w:rPr>
                <w:rFonts w:hint="eastAsia"/>
                <w:color w:val="000000"/>
                <w:szCs w:val="21"/>
                <w:highlight w:val="none"/>
                <w:lang w:val="en-US" w:eastAsia="zh-CN"/>
              </w:rPr>
              <w:t>8</w:t>
            </w:r>
            <w:r>
              <w:rPr>
                <w:rFonts w:hint="eastAsia"/>
                <w:color w:val="000000"/>
                <w:szCs w:val="21"/>
                <w:highlight w:val="none"/>
              </w:rPr>
              <w:t>）诚信要求</w:t>
            </w:r>
          </w:p>
        </w:tc>
        <w:tc>
          <w:tcPr>
            <w:tcW w:w="5534" w:type="dxa"/>
            <w:vAlign w:val="center"/>
          </w:tcPr>
          <w:p w14:paraId="027EBD80">
            <w:pPr>
              <w:spacing w:line="240" w:lineRule="exact"/>
              <w:jc w:val="left"/>
              <w:rPr>
                <w:rFonts w:hint="eastAsia"/>
                <w:color w:val="000000"/>
                <w:szCs w:val="21"/>
                <w:highlight w:val="none"/>
              </w:rPr>
            </w:pPr>
            <w:r>
              <w:rPr>
                <w:rFonts w:hint="eastAsia"/>
                <w:color w:val="000000"/>
                <w:szCs w:val="21"/>
                <w:highlight w:val="none"/>
              </w:rPr>
              <w:t>未被列入信用中国（www.creditchina.gov.cn）“失信被执行人”、“ 重大税收违法失信主体”、“政府采购严重违法失信行为记录名单” 及中国政府采购网（www.ccgp.gov.cn）“政府采购严重违法失信行为记录”。</w:t>
            </w:r>
          </w:p>
          <w:p w14:paraId="64A0B422">
            <w:pPr>
              <w:spacing w:line="240" w:lineRule="exact"/>
              <w:jc w:val="left"/>
              <w:rPr>
                <w:color w:val="000000"/>
                <w:szCs w:val="21"/>
                <w:highlight w:val="none"/>
              </w:rPr>
            </w:pPr>
            <w:r>
              <w:rPr>
                <w:rFonts w:hint="eastAsia"/>
                <w:color w:val="000000"/>
                <w:szCs w:val="21"/>
                <w:highlight w:val="none"/>
              </w:rPr>
              <w:t>【响应文件内附网站查询截图并加盖单位公章】</w:t>
            </w:r>
          </w:p>
        </w:tc>
      </w:tr>
      <w:tr w14:paraId="7F5B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76" w:type="dxa"/>
            <w:vMerge w:val="continue"/>
            <w:vAlign w:val="center"/>
          </w:tcPr>
          <w:p w14:paraId="766A7958">
            <w:pPr>
              <w:spacing w:line="240" w:lineRule="exact"/>
              <w:jc w:val="center"/>
              <w:rPr>
                <w:color w:val="000000"/>
                <w:kern w:val="0"/>
                <w:szCs w:val="21"/>
                <w:highlight w:val="none"/>
              </w:rPr>
            </w:pPr>
          </w:p>
        </w:tc>
        <w:tc>
          <w:tcPr>
            <w:tcW w:w="1984" w:type="dxa"/>
            <w:vAlign w:val="center"/>
          </w:tcPr>
          <w:p w14:paraId="3E4721A5">
            <w:pPr>
              <w:spacing w:line="240" w:lineRule="exact"/>
              <w:jc w:val="left"/>
              <w:rPr>
                <w:color w:val="000000"/>
                <w:szCs w:val="21"/>
                <w:highlight w:val="none"/>
              </w:rPr>
            </w:pPr>
            <w:r>
              <w:rPr>
                <w:rFonts w:hint="eastAsia"/>
                <w:color w:val="000000"/>
                <w:szCs w:val="21"/>
                <w:highlight w:val="none"/>
              </w:rPr>
              <w:t>（</w:t>
            </w:r>
            <w:r>
              <w:rPr>
                <w:rFonts w:hint="eastAsia"/>
                <w:color w:val="000000"/>
                <w:szCs w:val="21"/>
                <w:highlight w:val="none"/>
                <w:lang w:val="en-US" w:eastAsia="zh-CN"/>
              </w:rPr>
              <w:t>9</w:t>
            </w:r>
            <w:r>
              <w:rPr>
                <w:rFonts w:hint="eastAsia"/>
                <w:color w:val="000000"/>
                <w:szCs w:val="21"/>
                <w:highlight w:val="none"/>
              </w:rPr>
              <w:t>）其他要求</w:t>
            </w:r>
          </w:p>
        </w:tc>
        <w:tc>
          <w:tcPr>
            <w:tcW w:w="5534" w:type="dxa"/>
            <w:vAlign w:val="center"/>
          </w:tcPr>
          <w:p w14:paraId="2271F206">
            <w:pPr>
              <w:spacing w:line="240" w:lineRule="exact"/>
              <w:jc w:val="left"/>
              <w:rPr>
                <w:color w:val="000000"/>
                <w:szCs w:val="21"/>
                <w:highlight w:val="none"/>
              </w:rPr>
            </w:pPr>
            <w:r>
              <w:rPr>
                <w:rFonts w:hint="eastAsia"/>
                <w:color w:val="000000"/>
                <w:szCs w:val="21"/>
                <w:highlight w:val="none"/>
              </w:rPr>
              <w:t>按</w:t>
            </w:r>
            <w:r>
              <w:rPr>
                <w:color w:val="000000"/>
                <w:szCs w:val="21"/>
                <w:highlight w:val="none"/>
              </w:rPr>
              <w:t>照征集公告规定获得征集文件。</w:t>
            </w:r>
          </w:p>
        </w:tc>
      </w:tr>
      <w:tr w14:paraId="5D14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76" w:type="dxa"/>
            <w:vAlign w:val="center"/>
          </w:tcPr>
          <w:p w14:paraId="276E885B">
            <w:pPr>
              <w:spacing w:line="240" w:lineRule="exact"/>
              <w:jc w:val="center"/>
              <w:rPr>
                <w:color w:val="000000"/>
                <w:szCs w:val="21"/>
                <w:highlight w:val="none"/>
              </w:rPr>
            </w:pPr>
            <w:r>
              <w:rPr>
                <w:rFonts w:hint="eastAsia"/>
                <w:color w:val="000000"/>
                <w:szCs w:val="21"/>
                <w:highlight w:val="none"/>
              </w:rPr>
              <w:t>联合体</w:t>
            </w:r>
          </w:p>
        </w:tc>
        <w:tc>
          <w:tcPr>
            <w:tcW w:w="1984" w:type="dxa"/>
            <w:vAlign w:val="center"/>
          </w:tcPr>
          <w:p w14:paraId="015952AE">
            <w:pPr>
              <w:spacing w:line="240" w:lineRule="exact"/>
              <w:rPr>
                <w:color w:val="000000"/>
                <w:szCs w:val="21"/>
                <w:highlight w:val="none"/>
              </w:rPr>
            </w:pPr>
            <w:r>
              <w:rPr>
                <w:rFonts w:hint="eastAsia"/>
                <w:color w:val="000000"/>
                <w:szCs w:val="21"/>
                <w:highlight w:val="none"/>
              </w:rPr>
              <w:t>联合体要求</w:t>
            </w:r>
          </w:p>
        </w:tc>
        <w:tc>
          <w:tcPr>
            <w:tcW w:w="5534" w:type="dxa"/>
            <w:vAlign w:val="center"/>
          </w:tcPr>
          <w:p w14:paraId="45267427">
            <w:pPr>
              <w:spacing w:line="240" w:lineRule="exact"/>
              <w:jc w:val="left"/>
              <w:rPr>
                <w:color w:val="000000"/>
                <w:szCs w:val="21"/>
                <w:highlight w:val="none"/>
              </w:rPr>
            </w:pPr>
            <w:r>
              <w:rPr>
                <w:rFonts w:hint="eastAsia"/>
                <w:color w:val="000000"/>
                <w:szCs w:val="21"/>
                <w:highlight w:val="none"/>
              </w:rPr>
              <w:t>不允许联合体投标。</w:t>
            </w:r>
          </w:p>
        </w:tc>
      </w:tr>
    </w:tbl>
    <w:p w14:paraId="660D10C6">
      <w:pPr>
        <w:rPr>
          <w:b/>
          <w:color w:val="000000"/>
          <w:kern w:val="0"/>
          <w:szCs w:val="21"/>
          <w:highlight w:val="none"/>
        </w:rPr>
      </w:pPr>
    </w:p>
    <w:p w14:paraId="7E8161D7">
      <w:pPr>
        <w:spacing w:before="120" w:line="320" w:lineRule="atLeast"/>
        <w:ind w:firstLine="413" w:firstLineChars="196"/>
        <w:outlineLvl w:val="1"/>
        <w:rPr>
          <w:b/>
          <w:bCs/>
          <w:color w:val="000000"/>
          <w:kern w:val="0"/>
          <w:szCs w:val="21"/>
          <w:highlight w:val="none"/>
        </w:rPr>
      </w:pPr>
    </w:p>
    <w:p w14:paraId="2C975AD7">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3</w:t>
      </w:r>
      <w:r>
        <w:rPr>
          <w:rFonts w:hint="eastAsia"/>
          <w:b/>
          <w:bCs/>
          <w:color w:val="000000"/>
          <w:kern w:val="0"/>
          <w:szCs w:val="21"/>
          <w:highlight w:val="none"/>
        </w:rPr>
        <w:t>.</w:t>
      </w:r>
      <w:r>
        <w:rPr>
          <w:b/>
          <w:bCs/>
          <w:color w:val="000000"/>
          <w:kern w:val="0"/>
          <w:szCs w:val="21"/>
          <w:highlight w:val="none"/>
        </w:rPr>
        <w:t>符合性审查</w:t>
      </w:r>
      <w:r>
        <w:rPr>
          <w:rFonts w:hint="eastAsia"/>
          <w:b/>
          <w:bCs/>
          <w:color w:val="000000"/>
          <w:kern w:val="0"/>
          <w:szCs w:val="21"/>
          <w:highlight w:val="none"/>
        </w:rPr>
        <w:t>标准（不满足任何一项审查内容要求，符合性审查即为不合格）</w:t>
      </w:r>
    </w:p>
    <w:tbl>
      <w:tblPr>
        <w:tblStyle w:val="52"/>
        <w:tblW w:w="87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286"/>
        <w:gridCol w:w="5439"/>
      </w:tblGrid>
      <w:tr w14:paraId="45AE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63" w:type="dxa"/>
            <w:vAlign w:val="center"/>
          </w:tcPr>
          <w:p w14:paraId="4A895CFE">
            <w:pPr>
              <w:spacing w:line="240" w:lineRule="exact"/>
              <w:jc w:val="center"/>
              <w:rPr>
                <w:b/>
                <w:color w:val="000000"/>
                <w:kern w:val="0"/>
                <w:szCs w:val="21"/>
                <w:highlight w:val="none"/>
              </w:rPr>
            </w:pPr>
            <w:bookmarkStart w:id="50" w:name="_Hlk92966680"/>
            <w:r>
              <w:rPr>
                <w:rFonts w:hint="eastAsia"/>
                <w:b/>
                <w:color w:val="000000"/>
                <w:kern w:val="0"/>
                <w:szCs w:val="21"/>
                <w:highlight w:val="none"/>
              </w:rPr>
              <w:t>审查</w:t>
            </w:r>
            <w:r>
              <w:rPr>
                <w:b/>
                <w:color w:val="000000"/>
                <w:kern w:val="0"/>
                <w:szCs w:val="21"/>
                <w:highlight w:val="none"/>
              </w:rPr>
              <w:t>因素</w:t>
            </w:r>
          </w:p>
        </w:tc>
        <w:tc>
          <w:tcPr>
            <w:tcW w:w="2286" w:type="dxa"/>
            <w:vAlign w:val="center"/>
          </w:tcPr>
          <w:p w14:paraId="1C3F070C">
            <w:pPr>
              <w:spacing w:line="240" w:lineRule="exact"/>
              <w:jc w:val="center"/>
              <w:rPr>
                <w:b/>
                <w:color w:val="000000"/>
                <w:kern w:val="0"/>
                <w:szCs w:val="21"/>
                <w:highlight w:val="none"/>
              </w:rPr>
            </w:pPr>
            <w:r>
              <w:rPr>
                <w:rFonts w:hint="eastAsia"/>
                <w:b/>
                <w:color w:val="000000"/>
                <w:kern w:val="0"/>
                <w:szCs w:val="21"/>
                <w:highlight w:val="none"/>
              </w:rPr>
              <w:t>审查内容</w:t>
            </w:r>
          </w:p>
        </w:tc>
        <w:tc>
          <w:tcPr>
            <w:tcW w:w="5439" w:type="dxa"/>
          </w:tcPr>
          <w:p w14:paraId="1C902F63">
            <w:pPr>
              <w:spacing w:line="240" w:lineRule="exact"/>
              <w:jc w:val="center"/>
              <w:rPr>
                <w:b/>
                <w:color w:val="000000"/>
                <w:kern w:val="0"/>
                <w:szCs w:val="21"/>
                <w:highlight w:val="none"/>
              </w:rPr>
            </w:pPr>
          </w:p>
          <w:p w14:paraId="4C55CB3D">
            <w:pPr>
              <w:spacing w:line="240" w:lineRule="exact"/>
              <w:jc w:val="center"/>
              <w:rPr>
                <w:b/>
                <w:color w:val="000000"/>
                <w:kern w:val="0"/>
                <w:szCs w:val="21"/>
                <w:highlight w:val="none"/>
              </w:rPr>
            </w:pPr>
            <w:r>
              <w:rPr>
                <w:rFonts w:hint="eastAsia"/>
                <w:b/>
                <w:color w:val="000000"/>
                <w:kern w:val="0"/>
                <w:szCs w:val="21"/>
                <w:highlight w:val="none"/>
              </w:rPr>
              <w:t>说明</w:t>
            </w:r>
          </w:p>
        </w:tc>
      </w:tr>
      <w:bookmarkEnd w:id="50"/>
      <w:tr w14:paraId="67A8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063" w:type="dxa"/>
            <w:vMerge w:val="restart"/>
            <w:tcBorders>
              <w:top w:val="single" w:color="auto" w:sz="4" w:space="0"/>
              <w:left w:val="single" w:color="auto" w:sz="4" w:space="0"/>
              <w:right w:val="single" w:color="auto" w:sz="4" w:space="0"/>
            </w:tcBorders>
            <w:vAlign w:val="center"/>
          </w:tcPr>
          <w:p w14:paraId="1C01BF54">
            <w:pPr>
              <w:spacing w:line="240" w:lineRule="exact"/>
              <w:jc w:val="center"/>
              <w:rPr>
                <w:color w:val="000000"/>
                <w:kern w:val="0"/>
                <w:szCs w:val="21"/>
                <w:highlight w:val="none"/>
              </w:rPr>
            </w:pPr>
            <w:r>
              <w:rPr>
                <w:rFonts w:hint="eastAsia"/>
                <w:color w:val="000000"/>
                <w:kern w:val="0"/>
                <w:szCs w:val="21"/>
                <w:highlight w:val="none"/>
              </w:rPr>
              <w:t>商务资信</w:t>
            </w:r>
          </w:p>
        </w:tc>
        <w:tc>
          <w:tcPr>
            <w:tcW w:w="2286" w:type="dxa"/>
            <w:tcBorders>
              <w:top w:val="single" w:color="auto" w:sz="4" w:space="0"/>
              <w:left w:val="single" w:color="auto" w:sz="4" w:space="0"/>
              <w:bottom w:val="single" w:color="auto" w:sz="4" w:space="0"/>
              <w:right w:val="single" w:color="auto" w:sz="4" w:space="0"/>
            </w:tcBorders>
            <w:vAlign w:val="center"/>
          </w:tcPr>
          <w:p w14:paraId="02CFC273">
            <w:pPr>
              <w:jc w:val="center"/>
              <w:rPr>
                <w:rFonts w:ascii="宋体" w:hAnsi="宋体" w:cs="宋体"/>
                <w:szCs w:val="21"/>
                <w:highlight w:val="none"/>
              </w:rPr>
            </w:pPr>
            <w:r>
              <w:rPr>
                <w:rFonts w:hint="eastAsia" w:ascii="宋体" w:hAnsi="宋体" w:cs="宋体"/>
                <w:szCs w:val="21"/>
                <w:highlight w:val="none"/>
              </w:rPr>
              <w:t>法定代表人身份证明及授权委托书</w:t>
            </w:r>
          </w:p>
        </w:tc>
        <w:tc>
          <w:tcPr>
            <w:tcW w:w="5439" w:type="dxa"/>
            <w:tcBorders>
              <w:top w:val="single" w:color="auto" w:sz="4" w:space="0"/>
              <w:left w:val="single" w:color="auto" w:sz="4" w:space="0"/>
              <w:bottom w:val="single" w:color="auto" w:sz="4" w:space="0"/>
              <w:right w:val="single" w:color="auto" w:sz="4" w:space="0"/>
            </w:tcBorders>
            <w:vAlign w:val="center"/>
          </w:tcPr>
          <w:p w14:paraId="62DA1410">
            <w:pPr>
              <w:rPr>
                <w:rFonts w:ascii="宋体" w:hAnsi="宋体" w:cs="宋体"/>
                <w:szCs w:val="21"/>
                <w:highlight w:val="none"/>
              </w:rPr>
            </w:pPr>
            <w:r>
              <w:rPr>
                <w:rFonts w:hint="eastAsia" w:ascii="宋体" w:hAnsi="宋体" w:cs="宋体"/>
                <w:szCs w:val="21"/>
                <w:highlight w:val="none"/>
              </w:rPr>
              <w:t>授权</w:t>
            </w:r>
            <w:r>
              <w:rPr>
                <w:rFonts w:ascii="宋体" w:hAnsi="宋体" w:cs="宋体"/>
                <w:szCs w:val="21"/>
                <w:highlight w:val="none"/>
              </w:rPr>
              <w:t>代表</w:t>
            </w:r>
            <w:r>
              <w:rPr>
                <w:rFonts w:hint="eastAsia" w:ascii="宋体" w:hAnsi="宋体" w:cs="宋体"/>
                <w:szCs w:val="21"/>
                <w:highlight w:val="none"/>
              </w:rPr>
              <w:t>参加响应</w:t>
            </w:r>
            <w:r>
              <w:rPr>
                <w:rFonts w:ascii="宋体" w:hAnsi="宋体" w:cs="宋体"/>
                <w:szCs w:val="21"/>
                <w:highlight w:val="none"/>
              </w:rPr>
              <w:t xml:space="preserve">时审查：法定代表人授权委托书及附件 </w:t>
            </w:r>
          </w:p>
          <w:p w14:paraId="065E199F">
            <w:pPr>
              <w:rPr>
                <w:rFonts w:ascii="宋体" w:hAnsi="宋体" w:cs="宋体"/>
                <w:szCs w:val="21"/>
                <w:highlight w:val="none"/>
              </w:rPr>
            </w:pPr>
            <w:r>
              <w:rPr>
                <w:rFonts w:hint="eastAsia" w:ascii="宋体" w:hAnsi="宋体" w:cs="宋体"/>
                <w:szCs w:val="21"/>
                <w:highlight w:val="none"/>
              </w:rPr>
              <w:t>法定代表人直接参加响应</w:t>
            </w:r>
            <w:r>
              <w:rPr>
                <w:rFonts w:ascii="宋体" w:hAnsi="宋体" w:cs="宋体"/>
                <w:szCs w:val="21"/>
                <w:highlight w:val="none"/>
              </w:rPr>
              <w:t>时审查：法定代表人身份证明</w:t>
            </w:r>
            <w:r>
              <w:rPr>
                <w:rFonts w:hint="eastAsia" w:ascii="宋体" w:hAnsi="宋体" w:cs="宋体"/>
                <w:szCs w:val="21"/>
                <w:highlight w:val="none"/>
              </w:rPr>
              <w:t>及</w:t>
            </w:r>
            <w:r>
              <w:rPr>
                <w:rFonts w:ascii="宋体" w:hAnsi="宋体" w:cs="宋体"/>
                <w:szCs w:val="21"/>
                <w:highlight w:val="none"/>
              </w:rPr>
              <w:t>附件</w:t>
            </w:r>
          </w:p>
          <w:p w14:paraId="7EAC2C55">
            <w:pPr>
              <w:rPr>
                <w:rFonts w:ascii="宋体" w:hAnsi="宋体" w:cs="宋体"/>
                <w:szCs w:val="21"/>
                <w:highlight w:val="none"/>
              </w:rPr>
            </w:pPr>
            <w:r>
              <w:rPr>
                <w:rFonts w:ascii="宋体" w:hAnsi="宋体" w:cs="宋体"/>
                <w:szCs w:val="21"/>
                <w:highlight w:val="none"/>
              </w:rPr>
              <w:t>格式及附件见第</w:t>
            </w:r>
            <w:r>
              <w:rPr>
                <w:rFonts w:hint="eastAsia" w:ascii="宋体" w:hAnsi="宋体" w:cs="宋体"/>
                <w:szCs w:val="21"/>
                <w:highlight w:val="none"/>
              </w:rPr>
              <w:t>七</w:t>
            </w:r>
            <w:r>
              <w:rPr>
                <w:rFonts w:ascii="宋体" w:hAnsi="宋体" w:cs="宋体"/>
                <w:szCs w:val="21"/>
                <w:highlight w:val="none"/>
              </w:rPr>
              <w:t>章响应文件格式要求</w:t>
            </w:r>
          </w:p>
        </w:tc>
      </w:tr>
      <w:tr w14:paraId="73ED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63" w:type="dxa"/>
            <w:vMerge w:val="continue"/>
            <w:tcBorders>
              <w:left w:val="single" w:color="auto" w:sz="4" w:space="0"/>
              <w:right w:val="single" w:color="auto" w:sz="4" w:space="0"/>
            </w:tcBorders>
            <w:vAlign w:val="center"/>
          </w:tcPr>
          <w:p w14:paraId="5B47DE6D">
            <w:pPr>
              <w:spacing w:line="240" w:lineRule="exact"/>
              <w:jc w:val="center"/>
              <w:rPr>
                <w:color w:val="000000"/>
                <w:kern w:val="0"/>
                <w:szCs w:val="21"/>
                <w:highlight w:val="none"/>
              </w:rPr>
            </w:pPr>
          </w:p>
        </w:tc>
        <w:tc>
          <w:tcPr>
            <w:tcW w:w="2286" w:type="dxa"/>
            <w:tcBorders>
              <w:top w:val="single" w:color="auto" w:sz="4" w:space="0"/>
              <w:left w:val="single" w:color="auto" w:sz="4" w:space="0"/>
              <w:bottom w:val="single" w:color="auto" w:sz="4" w:space="0"/>
              <w:right w:val="single" w:color="auto" w:sz="4" w:space="0"/>
            </w:tcBorders>
            <w:vAlign w:val="center"/>
          </w:tcPr>
          <w:p w14:paraId="55FB2753">
            <w:pPr>
              <w:jc w:val="center"/>
              <w:rPr>
                <w:rFonts w:ascii="宋体" w:hAnsi="宋体" w:cs="宋体"/>
                <w:szCs w:val="21"/>
                <w:highlight w:val="none"/>
              </w:rPr>
            </w:pPr>
            <w:r>
              <w:rPr>
                <w:rFonts w:hint="eastAsia" w:ascii="宋体" w:hAnsi="宋体" w:cs="宋体"/>
                <w:szCs w:val="21"/>
                <w:highlight w:val="none"/>
              </w:rPr>
              <w:t>串通响应</w:t>
            </w:r>
          </w:p>
        </w:tc>
        <w:tc>
          <w:tcPr>
            <w:tcW w:w="5439" w:type="dxa"/>
            <w:tcBorders>
              <w:top w:val="single" w:color="auto" w:sz="4" w:space="0"/>
              <w:left w:val="single" w:color="auto" w:sz="4" w:space="0"/>
              <w:bottom w:val="single" w:color="auto" w:sz="4" w:space="0"/>
              <w:right w:val="single" w:color="auto" w:sz="4" w:space="0"/>
            </w:tcBorders>
            <w:vAlign w:val="center"/>
          </w:tcPr>
          <w:p w14:paraId="74EC60D7">
            <w:pPr>
              <w:rPr>
                <w:rFonts w:ascii="宋体" w:hAnsi="宋体" w:cs="宋体"/>
                <w:szCs w:val="21"/>
                <w:highlight w:val="none"/>
              </w:rPr>
            </w:pPr>
            <w:r>
              <w:rPr>
                <w:rFonts w:hint="eastAsia" w:ascii="宋体" w:hAnsi="宋体" w:cs="宋体"/>
                <w:szCs w:val="21"/>
                <w:highlight w:val="none"/>
              </w:rPr>
              <w:t>不属于供应商须知正文第</w:t>
            </w:r>
            <w:r>
              <w:rPr>
                <w:rFonts w:ascii="宋体" w:hAnsi="宋体" w:cs="宋体"/>
                <w:szCs w:val="21"/>
                <w:highlight w:val="none"/>
              </w:rPr>
              <w:t>2.5</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规定的串通响应情形。</w:t>
            </w:r>
          </w:p>
        </w:tc>
      </w:tr>
      <w:tr w14:paraId="7D54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063" w:type="dxa"/>
            <w:vMerge w:val="continue"/>
            <w:tcBorders>
              <w:left w:val="single" w:color="auto" w:sz="4" w:space="0"/>
              <w:bottom w:val="single" w:color="auto" w:sz="4" w:space="0"/>
              <w:right w:val="single" w:color="auto" w:sz="4" w:space="0"/>
            </w:tcBorders>
            <w:vAlign w:val="center"/>
          </w:tcPr>
          <w:p w14:paraId="38AE5694">
            <w:pPr>
              <w:spacing w:line="240" w:lineRule="exact"/>
              <w:jc w:val="center"/>
              <w:rPr>
                <w:color w:val="000000"/>
                <w:kern w:val="0"/>
                <w:szCs w:val="21"/>
                <w:highlight w:val="none"/>
              </w:rPr>
            </w:pPr>
          </w:p>
        </w:tc>
        <w:tc>
          <w:tcPr>
            <w:tcW w:w="2286" w:type="dxa"/>
            <w:tcBorders>
              <w:top w:val="single" w:color="auto" w:sz="4" w:space="0"/>
              <w:left w:val="single" w:color="auto" w:sz="4" w:space="0"/>
              <w:bottom w:val="single" w:color="auto" w:sz="4" w:space="0"/>
              <w:right w:val="single" w:color="auto" w:sz="4" w:space="0"/>
            </w:tcBorders>
            <w:vAlign w:val="center"/>
          </w:tcPr>
          <w:p w14:paraId="5CE7E0B2">
            <w:pPr>
              <w:jc w:val="center"/>
              <w:rPr>
                <w:rFonts w:ascii="宋体" w:hAnsi="宋体" w:cs="宋体"/>
                <w:szCs w:val="21"/>
                <w:highlight w:val="none"/>
              </w:rPr>
            </w:pPr>
            <w:r>
              <w:rPr>
                <w:rFonts w:hint="eastAsia" w:ascii="宋体" w:hAnsi="宋体" w:cs="宋体"/>
                <w:szCs w:val="21"/>
                <w:highlight w:val="none"/>
              </w:rPr>
              <w:t>响应有效性认定</w:t>
            </w:r>
          </w:p>
        </w:tc>
        <w:tc>
          <w:tcPr>
            <w:tcW w:w="5439" w:type="dxa"/>
            <w:tcBorders>
              <w:top w:val="single" w:color="auto" w:sz="4" w:space="0"/>
              <w:left w:val="single" w:color="auto" w:sz="4" w:space="0"/>
              <w:bottom w:val="single" w:color="auto" w:sz="4" w:space="0"/>
              <w:right w:val="single" w:color="auto" w:sz="4" w:space="0"/>
            </w:tcBorders>
            <w:vAlign w:val="center"/>
          </w:tcPr>
          <w:p w14:paraId="04B611ED">
            <w:pPr>
              <w:rPr>
                <w:rFonts w:ascii="宋体" w:hAnsi="宋体" w:cs="宋体"/>
                <w:szCs w:val="21"/>
                <w:highlight w:val="none"/>
              </w:rPr>
            </w:pPr>
            <w:r>
              <w:rPr>
                <w:rFonts w:hint="eastAsia" w:ascii="宋体" w:hAnsi="宋体" w:cs="宋体"/>
                <w:szCs w:val="21"/>
                <w:highlight w:val="none"/>
              </w:rPr>
              <w:t>无征集文件所规定的响应无效的情形（须响应征集文件的所有要求）。</w:t>
            </w:r>
          </w:p>
        </w:tc>
      </w:tr>
      <w:tr w14:paraId="783B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63" w:type="dxa"/>
            <w:tcBorders>
              <w:top w:val="single" w:color="auto" w:sz="4" w:space="0"/>
              <w:left w:val="single" w:color="auto" w:sz="4" w:space="0"/>
              <w:bottom w:val="single" w:color="auto" w:sz="4" w:space="0"/>
              <w:right w:val="single" w:color="auto" w:sz="4" w:space="0"/>
            </w:tcBorders>
            <w:vAlign w:val="center"/>
          </w:tcPr>
          <w:p w14:paraId="501D635A">
            <w:pPr>
              <w:spacing w:line="240" w:lineRule="exact"/>
              <w:jc w:val="center"/>
              <w:rPr>
                <w:color w:val="000000"/>
                <w:kern w:val="0"/>
                <w:szCs w:val="21"/>
                <w:highlight w:val="none"/>
              </w:rPr>
            </w:pPr>
            <w:r>
              <w:rPr>
                <w:rFonts w:hint="eastAsia"/>
                <w:color w:val="000000"/>
                <w:kern w:val="0"/>
                <w:szCs w:val="21"/>
                <w:highlight w:val="none"/>
              </w:rPr>
              <w:t>报价</w:t>
            </w:r>
          </w:p>
        </w:tc>
        <w:tc>
          <w:tcPr>
            <w:tcW w:w="2286" w:type="dxa"/>
            <w:tcBorders>
              <w:top w:val="single" w:color="auto" w:sz="4" w:space="0"/>
              <w:left w:val="single" w:color="auto" w:sz="4" w:space="0"/>
              <w:bottom w:val="single" w:color="auto" w:sz="4" w:space="0"/>
              <w:right w:val="single" w:color="auto" w:sz="4" w:space="0"/>
            </w:tcBorders>
            <w:vAlign w:val="center"/>
          </w:tcPr>
          <w:p w14:paraId="75D412A6">
            <w:pPr>
              <w:jc w:val="center"/>
              <w:rPr>
                <w:rFonts w:ascii="宋体" w:hAnsi="宋体" w:cs="宋体"/>
                <w:szCs w:val="21"/>
                <w:highlight w:val="none"/>
              </w:rPr>
            </w:pPr>
            <w:r>
              <w:rPr>
                <w:rFonts w:hint="eastAsia" w:ascii="宋体" w:hAnsi="宋体" w:cs="宋体"/>
                <w:szCs w:val="21"/>
                <w:highlight w:val="none"/>
              </w:rPr>
              <w:t>报价唯一性</w:t>
            </w:r>
          </w:p>
        </w:tc>
        <w:tc>
          <w:tcPr>
            <w:tcW w:w="5439" w:type="dxa"/>
            <w:tcBorders>
              <w:top w:val="single" w:color="auto" w:sz="4" w:space="0"/>
              <w:left w:val="single" w:color="auto" w:sz="4" w:space="0"/>
              <w:bottom w:val="single" w:color="auto" w:sz="4" w:space="0"/>
              <w:right w:val="single" w:color="auto" w:sz="4" w:space="0"/>
            </w:tcBorders>
            <w:vAlign w:val="center"/>
          </w:tcPr>
          <w:p w14:paraId="1B949968">
            <w:pPr>
              <w:rPr>
                <w:rFonts w:ascii="宋体" w:hAnsi="宋体" w:cs="宋体"/>
                <w:szCs w:val="21"/>
                <w:highlight w:val="none"/>
              </w:rPr>
            </w:pPr>
            <w:r>
              <w:rPr>
                <w:rFonts w:hint="eastAsia" w:ascii="宋体" w:hAnsi="宋体" w:cs="宋体"/>
                <w:szCs w:val="21"/>
                <w:highlight w:val="none"/>
              </w:rPr>
              <w:t>同一供应商不得提交两个以上不同的响应报价。满足征集文件报价要求。</w:t>
            </w:r>
          </w:p>
        </w:tc>
      </w:tr>
      <w:tr w14:paraId="5200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063" w:type="dxa"/>
            <w:tcBorders>
              <w:top w:val="single" w:color="auto" w:sz="4" w:space="0"/>
              <w:left w:val="single" w:color="auto" w:sz="4" w:space="0"/>
              <w:bottom w:val="single" w:color="auto" w:sz="4" w:space="0"/>
              <w:right w:val="single" w:color="auto" w:sz="4" w:space="0"/>
            </w:tcBorders>
            <w:vAlign w:val="center"/>
          </w:tcPr>
          <w:p w14:paraId="2736CF52">
            <w:pPr>
              <w:spacing w:line="240" w:lineRule="exact"/>
              <w:jc w:val="center"/>
              <w:rPr>
                <w:color w:val="000000"/>
                <w:kern w:val="0"/>
                <w:szCs w:val="21"/>
                <w:highlight w:val="none"/>
              </w:rPr>
            </w:pPr>
            <w:r>
              <w:rPr>
                <w:rFonts w:hint="eastAsia"/>
                <w:color w:val="000000"/>
                <w:kern w:val="0"/>
                <w:szCs w:val="21"/>
                <w:highlight w:val="none"/>
              </w:rPr>
              <w:t>技术</w:t>
            </w:r>
          </w:p>
        </w:tc>
        <w:tc>
          <w:tcPr>
            <w:tcW w:w="2286" w:type="dxa"/>
            <w:tcBorders>
              <w:top w:val="single" w:color="auto" w:sz="4" w:space="0"/>
              <w:left w:val="single" w:color="auto" w:sz="4" w:space="0"/>
              <w:bottom w:val="single" w:color="auto" w:sz="4" w:space="0"/>
              <w:right w:val="single" w:color="auto" w:sz="4" w:space="0"/>
            </w:tcBorders>
            <w:vAlign w:val="center"/>
          </w:tcPr>
          <w:p w14:paraId="47D9C2CD">
            <w:pPr>
              <w:jc w:val="center"/>
              <w:rPr>
                <w:rFonts w:ascii="宋体" w:hAnsi="宋体" w:cs="宋体"/>
                <w:szCs w:val="21"/>
                <w:highlight w:val="none"/>
              </w:rPr>
            </w:pPr>
            <w:r>
              <w:rPr>
                <w:rFonts w:hint="eastAsia" w:ascii="宋体" w:hAnsi="宋体" w:cs="宋体"/>
                <w:szCs w:val="21"/>
                <w:highlight w:val="none"/>
              </w:rPr>
              <w:t>采购</w:t>
            </w:r>
            <w:r>
              <w:rPr>
                <w:rFonts w:ascii="宋体" w:hAnsi="宋体" w:cs="宋体"/>
                <w:szCs w:val="21"/>
                <w:highlight w:val="none"/>
              </w:rPr>
              <w:t>需求</w:t>
            </w:r>
            <w:r>
              <w:rPr>
                <w:rFonts w:hint="eastAsia" w:ascii="宋体" w:hAnsi="宋体" w:cs="宋体"/>
                <w:szCs w:val="21"/>
                <w:highlight w:val="none"/>
              </w:rPr>
              <w:t>响应</w:t>
            </w:r>
          </w:p>
        </w:tc>
        <w:tc>
          <w:tcPr>
            <w:tcW w:w="5439" w:type="dxa"/>
            <w:tcBorders>
              <w:top w:val="single" w:color="auto" w:sz="4" w:space="0"/>
              <w:left w:val="single" w:color="auto" w:sz="4" w:space="0"/>
              <w:bottom w:val="single" w:color="auto" w:sz="4" w:space="0"/>
              <w:right w:val="single" w:color="auto" w:sz="4" w:space="0"/>
            </w:tcBorders>
            <w:vAlign w:val="center"/>
          </w:tcPr>
          <w:p w14:paraId="1E7FDFC2">
            <w:pPr>
              <w:rPr>
                <w:rFonts w:ascii="宋体" w:hAnsi="宋体" w:cs="宋体"/>
                <w:szCs w:val="21"/>
                <w:highlight w:val="none"/>
              </w:rPr>
            </w:pPr>
            <w:r>
              <w:rPr>
                <w:rFonts w:hint="eastAsia" w:ascii="宋体" w:hAnsi="宋体" w:cs="宋体"/>
                <w:szCs w:val="21"/>
                <w:highlight w:val="none"/>
              </w:rPr>
              <w:t>供应商响应的服务的技术、商务等条件不得低于采购需求所有要求。</w:t>
            </w:r>
          </w:p>
        </w:tc>
      </w:tr>
    </w:tbl>
    <w:p w14:paraId="4FE86F57">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响应有效性的认定</w:t>
      </w:r>
    </w:p>
    <w:p w14:paraId="1F000FBB">
      <w:pPr>
        <w:spacing w:before="120" w:line="320" w:lineRule="atLeast"/>
        <w:ind w:firstLine="420" w:firstLineChars="200"/>
        <w:rPr>
          <w:rFonts w:ascii="Arial" w:hAnsi="Arial" w:cs="Arial"/>
          <w:color w:val="000000"/>
          <w:szCs w:val="21"/>
          <w:highlight w:val="none"/>
        </w:rPr>
      </w:pPr>
      <w:r>
        <w:rPr>
          <w:rFonts w:hint="eastAsia" w:ascii="Arial" w:hAnsi="Arial" w:cs="Arial"/>
          <w:color w:val="000000"/>
          <w:szCs w:val="21"/>
          <w:highlight w:val="none"/>
        </w:rPr>
        <w:t>（</w:t>
      </w:r>
      <w:r>
        <w:rPr>
          <w:rFonts w:ascii="Arial" w:hAnsi="Arial" w:cs="Arial"/>
          <w:color w:val="000000"/>
          <w:szCs w:val="21"/>
          <w:highlight w:val="none"/>
        </w:rPr>
        <w:t>1</w:t>
      </w:r>
      <w:r>
        <w:rPr>
          <w:rFonts w:hint="eastAsia" w:ascii="Arial" w:hAnsi="Arial" w:cs="Arial"/>
          <w:color w:val="000000"/>
          <w:szCs w:val="21"/>
          <w:highlight w:val="none"/>
        </w:rPr>
        <w:t>）资格审查时，如发现下列情形之一的，响应文件将被视为无效：</w:t>
      </w:r>
    </w:p>
    <w:p w14:paraId="5B54C431">
      <w:pPr>
        <w:spacing w:before="120" w:line="320" w:lineRule="atLeast"/>
        <w:ind w:firstLine="420" w:firstLineChars="200"/>
        <w:rPr>
          <w:rStyle w:val="107"/>
          <w:color w:val="000000"/>
          <w:highlight w:val="none"/>
        </w:rPr>
      </w:pPr>
      <w:r>
        <w:rPr>
          <w:rFonts w:hint="eastAsia" w:ascii="宋体" w:hAnsi="宋体" w:cs="宋体"/>
          <w:color w:val="000000"/>
          <w:szCs w:val="21"/>
          <w:highlight w:val="none"/>
        </w:rPr>
        <w:t>①</w:t>
      </w:r>
      <w:r>
        <w:rPr>
          <w:rFonts w:hint="eastAsia" w:ascii="Arial" w:hAnsi="Arial" w:cs="Arial"/>
          <w:color w:val="000000"/>
          <w:highlight w:val="none"/>
        </w:rPr>
        <w:t>未按照征集文件的规定提交响应保证金的；</w:t>
      </w:r>
    </w:p>
    <w:p w14:paraId="423FC085">
      <w:pPr>
        <w:spacing w:before="120" w:line="320" w:lineRule="atLeast"/>
        <w:ind w:firstLine="420" w:firstLineChars="200"/>
        <w:rPr>
          <w:color w:val="000000"/>
          <w:highlight w:val="none"/>
        </w:rPr>
      </w:pPr>
      <w:r>
        <w:rPr>
          <w:rFonts w:hint="eastAsia" w:ascii="宋体" w:hAnsi="宋体" w:cs="宋体"/>
          <w:color w:val="000000"/>
          <w:szCs w:val="21"/>
          <w:highlight w:val="none"/>
        </w:rPr>
        <w:t>②</w:t>
      </w:r>
      <w:r>
        <w:rPr>
          <w:rFonts w:hint="eastAsia" w:ascii="Arial" w:hAnsi="Arial" w:cs="Arial"/>
          <w:color w:val="000000"/>
          <w:highlight w:val="none"/>
        </w:rPr>
        <w:t>不具备征集文件中规定的资格要求的；</w:t>
      </w:r>
    </w:p>
    <w:p w14:paraId="40AB62A3">
      <w:pPr>
        <w:spacing w:before="120" w:line="320" w:lineRule="atLeast"/>
        <w:ind w:firstLine="420" w:firstLineChars="200"/>
        <w:rPr>
          <w:rStyle w:val="107"/>
          <w:color w:val="000000"/>
          <w:szCs w:val="21"/>
          <w:highlight w:val="none"/>
        </w:rPr>
      </w:pPr>
      <w:r>
        <w:rPr>
          <w:rFonts w:hint="eastAsia" w:ascii="宋体" w:hAnsi="宋体" w:cs="宋体"/>
          <w:color w:val="000000"/>
          <w:szCs w:val="21"/>
          <w:highlight w:val="none"/>
        </w:rPr>
        <w:t>③</w:t>
      </w:r>
      <w:r>
        <w:rPr>
          <w:rFonts w:hint="eastAsia" w:ascii="Arial" w:hAnsi="Arial" w:cs="Arial"/>
          <w:color w:val="000000"/>
          <w:szCs w:val="21"/>
          <w:highlight w:val="none"/>
        </w:rPr>
        <w:t>响应文件签署（签名）、盖章不符合征集文件要求的。</w:t>
      </w:r>
    </w:p>
    <w:p w14:paraId="5C4ADC2A">
      <w:pPr>
        <w:spacing w:before="120" w:line="320" w:lineRule="atLeast"/>
        <w:ind w:firstLine="420" w:firstLineChars="200"/>
        <w:rPr>
          <w:color w:val="000000"/>
          <w:highlight w:val="none"/>
        </w:rPr>
      </w:pPr>
      <w:r>
        <w:rPr>
          <w:rFonts w:hint="eastAsia" w:ascii="Arial" w:hAnsi="Arial" w:cs="Arial"/>
          <w:color w:val="000000"/>
          <w:szCs w:val="21"/>
          <w:highlight w:val="none"/>
        </w:rPr>
        <w:t>（</w:t>
      </w:r>
      <w:r>
        <w:rPr>
          <w:rFonts w:ascii="Arial" w:hAnsi="Arial" w:cs="Arial"/>
          <w:color w:val="000000"/>
          <w:szCs w:val="21"/>
          <w:highlight w:val="none"/>
        </w:rPr>
        <w:t>2</w:t>
      </w:r>
      <w:r>
        <w:rPr>
          <w:rFonts w:hint="eastAsia" w:ascii="Arial" w:hAnsi="Arial" w:cs="Arial"/>
          <w:color w:val="000000"/>
          <w:szCs w:val="21"/>
          <w:highlight w:val="none"/>
        </w:rPr>
        <w:t>）在评审过程中，如发现下列情形之一的，响应文件将被视为无效：</w:t>
      </w:r>
    </w:p>
    <w:p w14:paraId="22E30397">
      <w:pPr>
        <w:spacing w:before="120" w:line="320" w:lineRule="atLeast"/>
        <w:ind w:firstLine="420" w:firstLineChars="200"/>
        <w:rPr>
          <w:rFonts w:ascii="Arial" w:hAnsi="Arial" w:cs="Arial"/>
          <w:color w:val="000000"/>
          <w:highlight w:val="none"/>
        </w:rPr>
      </w:pPr>
      <w:r>
        <w:rPr>
          <w:rFonts w:hint="eastAsia" w:ascii="宋体" w:hAnsi="宋体" w:cs="宋体"/>
          <w:color w:val="000000"/>
          <w:szCs w:val="21"/>
          <w:highlight w:val="none"/>
        </w:rPr>
        <w:t>①</w:t>
      </w:r>
      <w:r>
        <w:rPr>
          <w:rFonts w:hint="eastAsia" w:ascii="Arial" w:hAnsi="Arial" w:cs="Arial"/>
          <w:color w:val="000000"/>
          <w:szCs w:val="21"/>
          <w:highlight w:val="none"/>
        </w:rPr>
        <w:t>响应文件上法定代表人或其授权代表人未按要求签章或签字。</w:t>
      </w:r>
    </w:p>
    <w:p w14:paraId="6C2283A6">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②</w:t>
      </w:r>
      <w:r>
        <w:rPr>
          <w:rFonts w:hint="eastAsia" w:ascii="Arial" w:hAnsi="Arial" w:cs="Arial"/>
          <w:color w:val="000000"/>
          <w:szCs w:val="21"/>
          <w:highlight w:val="none"/>
        </w:rPr>
        <w:t>报价超出采购预算金额或最高限价（如有）的。</w:t>
      </w:r>
    </w:p>
    <w:p w14:paraId="29615C1E">
      <w:pPr>
        <w:spacing w:before="120" w:line="320" w:lineRule="atLeast"/>
        <w:ind w:firstLine="420" w:firstLineChars="200"/>
        <w:rPr>
          <w:rFonts w:ascii="Arial" w:hAnsi="Arial" w:cs="Arial"/>
          <w:color w:val="000000"/>
          <w:highlight w:val="none"/>
        </w:rPr>
      </w:pPr>
      <w:r>
        <w:rPr>
          <w:rFonts w:hint="eastAsia" w:ascii="宋体" w:hAnsi="宋体" w:cs="宋体"/>
          <w:color w:val="000000"/>
          <w:highlight w:val="none"/>
        </w:rPr>
        <w:t>③</w:t>
      </w:r>
      <w:r>
        <w:rPr>
          <w:rFonts w:hint="eastAsia" w:ascii="Arial" w:hAnsi="Arial" w:cs="Arial"/>
          <w:color w:val="000000"/>
          <w:highlight w:val="none"/>
        </w:rPr>
        <w:t>响应文件含有采购人不能接受的附加条件的；</w:t>
      </w:r>
    </w:p>
    <w:p w14:paraId="0754A161">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④</w:t>
      </w:r>
      <w:r>
        <w:rPr>
          <w:rFonts w:hint="eastAsia" w:ascii="Arial" w:hAnsi="Arial" w:cs="Arial"/>
          <w:color w:val="000000"/>
          <w:szCs w:val="21"/>
          <w:highlight w:val="none"/>
        </w:rPr>
        <w:t>评审过程中发现响应文件中提供虚假材料的；</w:t>
      </w:r>
    </w:p>
    <w:p w14:paraId="348D3AB6">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⑤</w:t>
      </w:r>
      <w:r>
        <w:rPr>
          <w:rFonts w:hint="eastAsia" w:ascii="Arial" w:hAnsi="Arial" w:cs="Arial"/>
          <w:color w:val="000000"/>
          <w:szCs w:val="21"/>
          <w:highlight w:val="none"/>
        </w:rPr>
        <w:t>法律、法规和招标文件规定的其他无效情形。</w:t>
      </w:r>
    </w:p>
    <w:p w14:paraId="526A595D">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5. 比较与评价</w:t>
      </w:r>
    </w:p>
    <w:p w14:paraId="6C26E4B7">
      <w:pPr>
        <w:spacing w:before="120" w:line="320" w:lineRule="atLeast"/>
        <w:ind w:firstLine="420" w:firstLineChars="200"/>
        <w:rPr>
          <w:color w:val="000000"/>
          <w:szCs w:val="21"/>
          <w:highlight w:val="none"/>
        </w:rPr>
      </w:pPr>
      <w:r>
        <w:rPr>
          <w:rFonts w:hint="eastAsia"/>
          <w:color w:val="000000"/>
          <w:szCs w:val="21"/>
          <w:highlight w:val="none"/>
        </w:rPr>
        <w:t>（1）评审委员会</w:t>
      </w:r>
      <w:r>
        <w:rPr>
          <w:color w:val="000000"/>
          <w:szCs w:val="21"/>
          <w:highlight w:val="none"/>
        </w:rPr>
        <w:t>按征集文件中规定的评审方法和标准，对符合性审查合格的响应文件进行综合比较与评价。</w:t>
      </w:r>
    </w:p>
    <w:p w14:paraId="15935119">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评审委员会各成员独立对每个有效供应商的响应文件进行评价</w:t>
      </w:r>
      <w:r>
        <w:rPr>
          <w:rFonts w:hint="eastAsia"/>
          <w:color w:val="000000"/>
          <w:szCs w:val="21"/>
          <w:highlight w:val="none"/>
        </w:rPr>
        <w:t>。评价</w:t>
      </w:r>
      <w:r>
        <w:rPr>
          <w:color w:val="000000"/>
          <w:szCs w:val="21"/>
          <w:highlight w:val="none"/>
        </w:rPr>
        <w:t>有误的应及时进行修正。</w:t>
      </w:r>
      <w:r>
        <w:rPr>
          <w:rFonts w:hint="eastAsia"/>
          <w:color w:val="000000"/>
          <w:szCs w:val="21"/>
          <w:highlight w:val="none"/>
        </w:rPr>
        <w:t>评分</w:t>
      </w:r>
      <w:r>
        <w:rPr>
          <w:color w:val="000000"/>
          <w:szCs w:val="21"/>
          <w:highlight w:val="none"/>
        </w:rPr>
        <w:t>标准如有客观分定义，评审委员会所有成员的客观分</w:t>
      </w:r>
      <w:r>
        <w:rPr>
          <w:rFonts w:hint="eastAsia"/>
          <w:color w:val="000000"/>
          <w:szCs w:val="21"/>
          <w:highlight w:val="none"/>
        </w:rPr>
        <w:t>评分分值</w:t>
      </w:r>
      <w:r>
        <w:rPr>
          <w:color w:val="000000"/>
          <w:szCs w:val="21"/>
          <w:highlight w:val="none"/>
        </w:rPr>
        <w:t>应当一致。</w:t>
      </w:r>
    </w:p>
    <w:p w14:paraId="697EE3FC">
      <w:pPr>
        <w:spacing w:before="120" w:line="320" w:lineRule="atLeast"/>
        <w:ind w:firstLine="420" w:firstLineChars="200"/>
        <w:rPr>
          <w:color w:val="000000"/>
          <w:szCs w:val="21"/>
          <w:highlight w:val="none"/>
        </w:rPr>
      </w:pPr>
      <w:r>
        <w:rPr>
          <w:rFonts w:hint="eastAsia"/>
          <w:color w:val="000000"/>
          <w:szCs w:val="21"/>
          <w:highlight w:val="none"/>
        </w:rPr>
        <w:t>（3）评审委员会</w:t>
      </w:r>
      <w:r>
        <w:rPr>
          <w:color w:val="000000"/>
          <w:szCs w:val="21"/>
          <w:highlight w:val="none"/>
        </w:rPr>
        <w:t>按</w:t>
      </w:r>
      <w:r>
        <w:rPr>
          <w:rFonts w:hint="eastAsia"/>
          <w:color w:val="000000"/>
          <w:szCs w:val="21"/>
          <w:highlight w:val="none"/>
        </w:rPr>
        <w:t>质量综合评</w:t>
      </w:r>
      <w:r>
        <w:rPr>
          <w:color w:val="000000"/>
          <w:szCs w:val="21"/>
          <w:highlight w:val="none"/>
        </w:rPr>
        <w:t>分由高到低的排列顺序</w:t>
      </w:r>
      <w:r>
        <w:rPr>
          <w:rFonts w:hint="eastAsia"/>
          <w:color w:val="000000"/>
          <w:szCs w:val="21"/>
          <w:highlight w:val="none"/>
        </w:rPr>
        <w:t>以及评审方法及标准规定的入围供应商数量上限或淘汰率</w:t>
      </w:r>
      <w:r>
        <w:rPr>
          <w:color w:val="000000"/>
          <w:szCs w:val="21"/>
          <w:highlight w:val="none"/>
        </w:rPr>
        <w:t>推荐</w:t>
      </w:r>
      <w:r>
        <w:rPr>
          <w:rFonts w:hint="eastAsia"/>
          <w:color w:val="000000"/>
          <w:szCs w:val="21"/>
          <w:highlight w:val="none"/>
        </w:rPr>
        <w:t>入围供应商</w:t>
      </w:r>
      <w:r>
        <w:rPr>
          <w:color w:val="000000"/>
          <w:szCs w:val="21"/>
          <w:highlight w:val="none"/>
        </w:rPr>
        <w:t>。</w:t>
      </w:r>
    </w:p>
    <w:p w14:paraId="6B666441">
      <w:pPr>
        <w:spacing w:before="120" w:line="320" w:lineRule="atLeast"/>
        <w:ind w:firstLine="420" w:firstLineChars="200"/>
        <w:rPr>
          <w:color w:val="000000"/>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）评审委员会根据评审记录及评审结果编写评审报告，评审委员会成员均应当在评审报告上签字，对自己的评审意见承担法律责任。</w:t>
      </w:r>
      <w:r>
        <w:rPr>
          <w:color w:val="000000"/>
          <w:highlight w:val="none"/>
        </w:rPr>
        <w:t>评审报告签署前，经复核发现存在以</w:t>
      </w:r>
      <w:r>
        <w:rPr>
          <w:rFonts w:hint="eastAsia"/>
          <w:color w:val="000000"/>
          <w:highlight w:val="none"/>
        </w:rPr>
        <w:t>下</w:t>
      </w:r>
      <w:r>
        <w:rPr>
          <w:color w:val="000000"/>
          <w:highlight w:val="none"/>
        </w:rPr>
        <w:t>情形之一的，评审委员会应当当场修改评审结果，并在评审报告中记载；评审报告签署后，</w:t>
      </w:r>
      <w:r>
        <w:rPr>
          <w:rFonts w:hint="eastAsia"/>
          <w:color w:val="000000"/>
          <w:highlight w:val="none"/>
        </w:rPr>
        <w:t>征集人</w:t>
      </w:r>
      <w:r>
        <w:rPr>
          <w:color w:val="000000"/>
          <w:highlight w:val="none"/>
        </w:rPr>
        <w:t>发现存在以</w:t>
      </w:r>
      <w:r>
        <w:rPr>
          <w:rFonts w:hint="eastAsia"/>
          <w:color w:val="000000"/>
          <w:highlight w:val="none"/>
        </w:rPr>
        <w:t>下</w:t>
      </w:r>
      <w:r>
        <w:rPr>
          <w:color w:val="000000"/>
          <w:highlight w:val="none"/>
        </w:rPr>
        <w:t>情形之一的，应当组织原评审委员会进行重新评审。</w:t>
      </w:r>
    </w:p>
    <w:p w14:paraId="461AE1B1">
      <w:pPr>
        <w:spacing w:before="120" w:line="320" w:lineRule="atLeast"/>
        <w:ind w:firstLine="420" w:firstLineChars="200"/>
        <w:rPr>
          <w:color w:val="000000"/>
          <w:highlight w:val="none"/>
        </w:rPr>
      </w:pPr>
      <w:r>
        <w:rPr>
          <w:color w:val="000000"/>
          <w:highlight w:val="none"/>
        </w:rPr>
        <w:t>分值汇总计算错误的；分项评分超出评分标准范围的；评审委员会成员对客观评审因素评分不一致的；经评审委员会认定评分畸高、畸低的。</w:t>
      </w:r>
    </w:p>
    <w:p w14:paraId="17FA5E8C">
      <w:pPr>
        <w:ind w:firstLine="420" w:firstLineChars="200"/>
        <w:rPr>
          <w:rFonts w:ascii="Arial" w:hAnsi="Arial" w:cs="Arial"/>
          <w:color w:val="000000"/>
          <w:highlight w:val="none"/>
        </w:rPr>
      </w:pPr>
      <w:r>
        <w:rPr>
          <w:rFonts w:hint="eastAsia" w:ascii="Arial" w:hAnsi="Arial" w:cs="Arial"/>
          <w:color w:val="000000"/>
          <w:highlight w:val="none"/>
        </w:rPr>
        <w:t>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433ABEEB">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6.</w:t>
      </w:r>
      <w:r>
        <w:rPr>
          <w:rFonts w:hint="eastAsia"/>
          <w:b/>
          <w:bCs/>
          <w:color w:val="000000"/>
          <w:kern w:val="0"/>
          <w:szCs w:val="21"/>
          <w:highlight w:val="none"/>
        </w:rPr>
        <w:t>评审争议处理</w:t>
      </w:r>
    </w:p>
    <w:p w14:paraId="76C11862">
      <w:pPr>
        <w:spacing w:before="120" w:line="320" w:lineRule="atLeast"/>
        <w:ind w:firstLine="420" w:firstLineChars="200"/>
        <w:rPr>
          <w:rFonts w:ascii="Arial" w:hAnsi="Arial" w:cs="Arial"/>
          <w:color w:val="000000"/>
          <w:highlight w:val="none"/>
        </w:rPr>
      </w:pPr>
      <w:r>
        <w:rPr>
          <w:rFonts w:hint="eastAsia" w:ascii="Arial" w:hAnsi="Arial" w:cs="Arial"/>
          <w:color w:val="000000"/>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7E0A45F8">
      <w:pPr>
        <w:widowControl/>
        <w:jc w:val="left"/>
        <w:rPr>
          <w:rFonts w:ascii="Arial" w:hAnsi="Arial" w:cs="Arial"/>
          <w:color w:val="000000"/>
          <w:highlight w:val="none"/>
        </w:rPr>
      </w:pPr>
      <w:r>
        <w:rPr>
          <w:rFonts w:ascii="Arial" w:hAnsi="Arial" w:cs="Arial"/>
          <w:color w:val="000000"/>
          <w:highlight w:val="none"/>
        </w:rPr>
        <w:br w:type="page"/>
      </w:r>
    </w:p>
    <w:p w14:paraId="64B95017">
      <w:pPr>
        <w:spacing w:before="120" w:line="320" w:lineRule="atLeast"/>
        <w:outlineLvl w:val="1"/>
        <w:rPr>
          <w:b/>
          <w:bCs/>
          <w:color w:val="000000"/>
          <w:kern w:val="0"/>
          <w:szCs w:val="21"/>
          <w:highlight w:val="none"/>
        </w:rPr>
      </w:pPr>
      <w:r>
        <w:rPr>
          <w:b/>
          <w:bCs/>
          <w:color w:val="000000"/>
          <w:kern w:val="0"/>
          <w:szCs w:val="21"/>
          <w:highlight w:val="none"/>
        </w:rPr>
        <w:t>7.</w:t>
      </w:r>
      <w:r>
        <w:rPr>
          <w:rFonts w:hint="eastAsia"/>
          <w:b/>
          <w:bCs/>
          <w:color w:val="000000"/>
          <w:kern w:val="0"/>
          <w:szCs w:val="21"/>
          <w:highlight w:val="none"/>
        </w:rPr>
        <w:t>评分</w:t>
      </w:r>
      <w:r>
        <w:rPr>
          <w:b/>
          <w:bCs/>
          <w:color w:val="000000"/>
          <w:kern w:val="0"/>
          <w:szCs w:val="21"/>
          <w:highlight w:val="none"/>
        </w:rPr>
        <w:t>标准</w:t>
      </w:r>
    </w:p>
    <w:p w14:paraId="5FD7C5DC">
      <w:pPr>
        <w:ind w:firstLine="420" w:firstLineChars="200"/>
        <w:rPr>
          <w:color w:val="000000"/>
          <w:highlight w:val="none"/>
        </w:rPr>
      </w:pPr>
    </w:p>
    <w:bookmarkEnd w:id="41"/>
    <w:bookmarkEnd w:id="42"/>
    <w:tbl>
      <w:tblPr>
        <w:tblStyle w:val="180"/>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478"/>
        <w:gridCol w:w="806"/>
        <w:gridCol w:w="6498"/>
      </w:tblGrid>
      <w:tr w14:paraId="1B993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6" w:type="dxa"/>
            <w:gridSpan w:val="4"/>
            <w:vAlign w:val="center"/>
          </w:tcPr>
          <w:p w14:paraId="21DA6EDB">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bookmarkStart w:id="51" w:name="_Toc97561718"/>
            <w:r>
              <w:rPr>
                <w:rFonts w:hint="eastAsia" w:ascii="宋体" w:hAnsi="宋体" w:cs="宋体"/>
                <w:snapToGrid w:val="0"/>
                <w:color w:val="000000"/>
                <w:kern w:val="0"/>
                <w:szCs w:val="21"/>
                <w:highlight w:val="none"/>
              </w:rPr>
              <w:t>说明：本项目评审方法为质量优先法，采用固定价格采购，满分 100 分，商务部分</w:t>
            </w:r>
            <w:r>
              <w:rPr>
                <w:rFonts w:hint="eastAsia" w:ascii="宋体" w:hAnsi="宋体" w:cs="宋体"/>
                <w:snapToGrid w:val="0"/>
                <w:color w:val="000000"/>
                <w:kern w:val="0"/>
                <w:szCs w:val="21"/>
                <w:highlight w:val="none"/>
                <w:lang w:val="en-US" w:eastAsia="zh-CN"/>
              </w:rPr>
              <w:t>60</w:t>
            </w:r>
            <w:r>
              <w:rPr>
                <w:rFonts w:hint="eastAsia" w:ascii="宋体" w:hAnsi="宋体" w:cs="宋体"/>
                <w:snapToGrid w:val="0"/>
                <w:color w:val="000000"/>
                <w:kern w:val="0"/>
                <w:szCs w:val="21"/>
                <w:highlight w:val="none"/>
              </w:rPr>
              <w:t>分，技术部分</w:t>
            </w:r>
            <w:r>
              <w:rPr>
                <w:rFonts w:hint="eastAsia" w:ascii="宋体" w:hAnsi="宋体" w:cs="宋体"/>
                <w:snapToGrid w:val="0"/>
                <w:color w:val="000000"/>
                <w:kern w:val="0"/>
                <w:szCs w:val="21"/>
                <w:highlight w:val="none"/>
                <w:lang w:val="en-US" w:eastAsia="zh-CN"/>
              </w:rPr>
              <w:t>40</w:t>
            </w:r>
            <w:r>
              <w:rPr>
                <w:rFonts w:hint="eastAsia" w:ascii="宋体" w:hAnsi="宋体" w:cs="宋体"/>
                <w:snapToGrid w:val="0"/>
                <w:color w:val="000000"/>
                <w:kern w:val="0"/>
                <w:szCs w:val="21"/>
                <w:highlight w:val="none"/>
              </w:rPr>
              <w:t>分，价格不列为评审因素。</w:t>
            </w:r>
          </w:p>
        </w:tc>
      </w:tr>
      <w:tr w14:paraId="72A31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854" w:type="dxa"/>
            <w:vAlign w:val="center"/>
          </w:tcPr>
          <w:p w14:paraId="3C8EE10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分项</w:t>
            </w:r>
          </w:p>
        </w:tc>
        <w:tc>
          <w:tcPr>
            <w:tcW w:w="1478" w:type="dxa"/>
            <w:vAlign w:val="center"/>
          </w:tcPr>
          <w:p w14:paraId="76C48F45">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评分因素</w:t>
            </w:r>
          </w:p>
        </w:tc>
        <w:tc>
          <w:tcPr>
            <w:tcW w:w="806" w:type="dxa"/>
            <w:vAlign w:val="center"/>
          </w:tcPr>
          <w:p w14:paraId="03F9B0AA">
            <w:pPr>
              <w:keepNext w:val="0"/>
              <w:keepLines w:val="0"/>
              <w:pageBreakBefore w:val="0"/>
              <w:widowControl/>
              <w:kinsoku w:val="0"/>
              <w:wordWrap/>
              <w:overflowPunct/>
              <w:topLinePunct w:val="0"/>
              <w:autoSpaceDE w:val="0"/>
              <w:autoSpaceDN w:val="0"/>
              <w:bidi w:val="0"/>
              <w:adjustRightInd w:val="0"/>
              <w:snapToGrid w:val="0"/>
              <w:spacing w:line="200" w:lineRule="atLeast"/>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基准</w:t>
            </w:r>
          </w:p>
          <w:p w14:paraId="393A5CDD">
            <w:pPr>
              <w:keepNext w:val="0"/>
              <w:keepLines w:val="0"/>
              <w:pageBreakBefore w:val="0"/>
              <w:widowControl/>
              <w:kinsoku w:val="0"/>
              <w:wordWrap/>
              <w:overflowPunct/>
              <w:topLinePunct w:val="0"/>
              <w:autoSpaceDE w:val="0"/>
              <w:autoSpaceDN w:val="0"/>
              <w:bidi w:val="0"/>
              <w:adjustRightInd w:val="0"/>
              <w:snapToGrid w:val="0"/>
              <w:spacing w:line="200" w:lineRule="atLeast"/>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分值</w:t>
            </w:r>
          </w:p>
        </w:tc>
        <w:tc>
          <w:tcPr>
            <w:tcW w:w="6498" w:type="dxa"/>
            <w:vAlign w:val="center"/>
          </w:tcPr>
          <w:p w14:paraId="32E7137C">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评分细则</w:t>
            </w:r>
          </w:p>
        </w:tc>
      </w:tr>
      <w:tr w14:paraId="23048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854" w:type="dxa"/>
            <w:vMerge w:val="restart"/>
            <w:vAlign w:val="center"/>
          </w:tcPr>
          <w:p w14:paraId="636E1BFA">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p w14:paraId="4524B544">
            <w:pPr>
              <w:widowControl/>
              <w:kinsoku w:val="0"/>
              <w:autoSpaceDE w:val="0"/>
              <w:autoSpaceDN w:val="0"/>
              <w:adjustRightInd w:val="0"/>
              <w:snapToGrid w:val="0"/>
              <w:spacing w:line="360" w:lineRule="auto"/>
              <w:jc w:val="center"/>
              <w:textAlignment w:val="baseline"/>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商务</w:t>
            </w:r>
          </w:p>
          <w:p w14:paraId="155D0418">
            <w:pPr>
              <w:widowControl/>
              <w:kinsoku w:val="0"/>
              <w:autoSpaceDE w:val="0"/>
              <w:autoSpaceDN w:val="0"/>
              <w:adjustRightInd w:val="0"/>
              <w:snapToGrid w:val="0"/>
              <w:spacing w:line="360" w:lineRule="auto"/>
              <w:jc w:val="center"/>
              <w:textAlignment w:val="baseline"/>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部分</w:t>
            </w:r>
          </w:p>
          <w:p w14:paraId="1169ED4F">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w:t>
            </w:r>
            <w:r>
              <w:rPr>
                <w:rFonts w:hint="eastAsia" w:ascii="宋体" w:hAnsi="宋体" w:cs="宋体"/>
                <w:snapToGrid w:val="0"/>
                <w:color w:val="000000"/>
                <w:kern w:val="0"/>
                <w:szCs w:val="21"/>
                <w:highlight w:val="none"/>
                <w:lang w:val="en-US" w:eastAsia="zh-CN"/>
              </w:rPr>
              <w:t>60</w:t>
            </w:r>
            <w:r>
              <w:rPr>
                <w:rFonts w:hint="eastAsia" w:ascii="宋体" w:hAnsi="宋体" w:cs="宋体"/>
                <w:snapToGrid w:val="0"/>
                <w:color w:val="000000"/>
                <w:kern w:val="0"/>
                <w:szCs w:val="21"/>
                <w:highlight w:val="none"/>
              </w:rPr>
              <w:t>分)</w:t>
            </w:r>
          </w:p>
          <w:p w14:paraId="45A8EAF4">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tc>
        <w:tc>
          <w:tcPr>
            <w:tcW w:w="1478" w:type="dxa"/>
            <w:vAlign w:val="center"/>
          </w:tcPr>
          <w:p w14:paraId="6DF31D46">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p w14:paraId="286A7524">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企业业绩</w:t>
            </w:r>
          </w:p>
          <w:p w14:paraId="06DC8341">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tc>
        <w:tc>
          <w:tcPr>
            <w:tcW w:w="806" w:type="dxa"/>
            <w:vAlign w:val="center"/>
          </w:tcPr>
          <w:p w14:paraId="4FDEAECE">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20</w:t>
            </w:r>
            <w:r>
              <w:rPr>
                <w:rFonts w:hint="eastAsia" w:ascii="宋体" w:hAnsi="宋体" w:cs="宋体"/>
                <w:snapToGrid w:val="0"/>
                <w:color w:val="000000"/>
                <w:kern w:val="0"/>
                <w:szCs w:val="21"/>
                <w:highlight w:val="none"/>
              </w:rPr>
              <w:t>分</w:t>
            </w:r>
          </w:p>
        </w:tc>
        <w:tc>
          <w:tcPr>
            <w:tcW w:w="6498" w:type="dxa"/>
            <w:vAlign w:val="center"/>
          </w:tcPr>
          <w:p w14:paraId="2E86814D">
            <w:pPr>
              <w:widowControl/>
              <w:kinsoku w:val="0"/>
              <w:autoSpaceDE w:val="0"/>
              <w:autoSpaceDN w:val="0"/>
              <w:adjustRightInd w:val="0"/>
              <w:snapToGrid w:val="0"/>
              <w:spacing w:line="360" w:lineRule="auto"/>
              <w:jc w:val="left"/>
              <w:textAlignment w:val="baseline"/>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供应商近</w:t>
            </w:r>
            <w:r>
              <w:rPr>
                <w:rFonts w:hint="eastAsia" w:ascii="宋体" w:hAnsi="宋体" w:cs="宋体"/>
                <w:snapToGrid w:val="0"/>
                <w:color w:val="000000"/>
                <w:kern w:val="0"/>
                <w:szCs w:val="21"/>
                <w:highlight w:val="none"/>
                <w:lang w:val="en-US" w:eastAsia="zh-CN"/>
              </w:rPr>
              <w:t>三</w:t>
            </w:r>
            <w:r>
              <w:rPr>
                <w:rFonts w:hint="eastAsia" w:ascii="宋体" w:hAnsi="宋体" w:cs="宋体"/>
                <w:snapToGrid w:val="0"/>
                <w:color w:val="000000"/>
                <w:kern w:val="0"/>
                <w:szCs w:val="21"/>
                <w:highlight w:val="none"/>
              </w:rPr>
              <w:t>年（20</w:t>
            </w:r>
            <w:r>
              <w:rPr>
                <w:rFonts w:hint="eastAsia" w:ascii="宋体" w:hAnsi="宋体" w:cs="宋体"/>
                <w:snapToGrid w:val="0"/>
                <w:color w:val="000000"/>
                <w:kern w:val="0"/>
                <w:szCs w:val="21"/>
                <w:highlight w:val="none"/>
                <w:lang w:val="en-US" w:eastAsia="zh-CN"/>
              </w:rPr>
              <w:t>22</w:t>
            </w:r>
            <w:r>
              <w:rPr>
                <w:rFonts w:hint="eastAsia" w:ascii="宋体" w:hAnsi="宋体" w:cs="宋体"/>
                <w:snapToGrid w:val="0"/>
                <w:color w:val="000000"/>
                <w:kern w:val="0"/>
                <w:szCs w:val="21"/>
                <w:highlight w:val="none"/>
              </w:rPr>
              <w:t>年至今）</w:t>
            </w:r>
            <w:r>
              <w:rPr>
                <w:rFonts w:hint="eastAsia" w:ascii="宋体" w:hAnsi="宋体" w:cs="宋体"/>
                <w:snapToGrid w:val="0"/>
                <w:color w:val="000000"/>
                <w:kern w:val="0"/>
                <w:szCs w:val="21"/>
                <w:highlight w:val="none"/>
                <w:lang w:val="en-US" w:eastAsia="zh-CN"/>
              </w:rPr>
              <w:t>在</w:t>
            </w:r>
            <w:r>
              <w:rPr>
                <w:rFonts w:hint="eastAsia" w:ascii="宋体" w:hAnsi="宋体" w:cs="宋体"/>
                <w:snapToGrid w:val="0"/>
                <w:color w:val="000000"/>
                <w:kern w:val="0"/>
                <w:szCs w:val="21"/>
                <w:highlight w:val="none"/>
              </w:rPr>
              <w:t>资格审查标准</w:t>
            </w:r>
            <w:r>
              <w:rPr>
                <w:rFonts w:hint="eastAsia" w:ascii="宋体" w:hAnsi="宋体" w:cs="宋体"/>
                <w:snapToGrid w:val="0"/>
                <w:color w:val="000000"/>
                <w:kern w:val="0"/>
                <w:szCs w:val="21"/>
                <w:highlight w:val="none"/>
                <w:lang w:val="en-US" w:eastAsia="zh-CN"/>
              </w:rPr>
              <w:t>业绩要求（5项）基础上</w:t>
            </w:r>
            <w:r>
              <w:rPr>
                <w:rFonts w:hint="eastAsia" w:ascii="宋体" w:hAnsi="宋体" w:cs="宋体"/>
                <w:snapToGrid w:val="0"/>
                <w:color w:val="000000"/>
                <w:kern w:val="0"/>
                <w:szCs w:val="21"/>
                <w:highlight w:val="none"/>
              </w:rPr>
              <w:t>每提供一项</w:t>
            </w:r>
            <w:r>
              <w:rPr>
                <w:rFonts w:hint="eastAsia" w:ascii="宋体" w:hAnsi="宋体" w:cs="宋体"/>
                <w:snapToGrid w:val="0"/>
                <w:color w:val="000000"/>
                <w:kern w:val="0"/>
                <w:szCs w:val="21"/>
                <w:highlight w:val="none"/>
                <w:lang w:val="en-US" w:eastAsia="zh-CN"/>
              </w:rPr>
              <w:t>类似业绩</w:t>
            </w:r>
            <w:r>
              <w:rPr>
                <w:rFonts w:hint="eastAsia" w:ascii="宋体" w:hAnsi="宋体" w:cs="宋体"/>
                <w:snapToGrid w:val="0"/>
                <w:color w:val="000000"/>
                <w:kern w:val="0"/>
                <w:szCs w:val="21"/>
                <w:highlight w:val="none"/>
              </w:rPr>
              <w:t>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分，本项最高得</w:t>
            </w:r>
            <w:r>
              <w:rPr>
                <w:rFonts w:hint="eastAsia" w:ascii="宋体" w:hAnsi="宋体" w:cs="宋体"/>
                <w:snapToGrid w:val="0"/>
                <w:color w:val="000000"/>
                <w:kern w:val="0"/>
                <w:szCs w:val="21"/>
                <w:highlight w:val="none"/>
                <w:lang w:val="en-US" w:eastAsia="zh-CN"/>
              </w:rPr>
              <w:t>20</w:t>
            </w:r>
            <w:r>
              <w:rPr>
                <w:rFonts w:hint="eastAsia" w:ascii="宋体" w:hAnsi="宋体" w:cs="宋体"/>
                <w:snapToGrid w:val="0"/>
                <w:color w:val="000000"/>
                <w:kern w:val="0"/>
                <w:szCs w:val="21"/>
                <w:highlight w:val="none"/>
              </w:rPr>
              <w:t xml:space="preserve">分。 </w:t>
            </w:r>
          </w:p>
          <w:p w14:paraId="7139216C">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（响应文件内</w:t>
            </w:r>
            <w:r>
              <w:rPr>
                <w:rFonts w:hint="eastAsia" w:ascii="宋体" w:hAnsi="宋体" w:cs="宋体"/>
                <w:snapToGrid w:val="0"/>
                <w:color w:val="000000"/>
                <w:kern w:val="0"/>
                <w:szCs w:val="21"/>
                <w:highlight w:val="none"/>
                <w:lang w:val="en-US" w:eastAsia="zh-CN"/>
              </w:rPr>
              <w:t>附中标通知书或</w:t>
            </w:r>
            <w:r>
              <w:rPr>
                <w:rFonts w:hint="eastAsia" w:ascii="宋体" w:hAnsi="宋体" w:cs="宋体"/>
                <w:snapToGrid w:val="0"/>
                <w:color w:val="000000"/>
                <w:kern w:val="0"/>
                <w:szCs w:val="21"/>
                <w:highlight w:val="none"/>
              </w:rPr>
              <w:t>合同协议书复印件加盖公章）</w:t>
            </w:r>
          </w:p>
        </w:tc>
      </w:tr>
      <w:tr w14:paraId="0E483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854" w:type="dxa"/>
            <w:vMerge w:val="continue"/>
            <w:vAlign w:val="center"/>
          </w:tcPr>
          <w:p w14:paraId="14779C2B">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tc>
        <w:tc>
          <w:tcPr>
            <w:tcW w:w="1478" w:type="dxa"/>
            <w:vAlign w:val="center"/>
          </w:tcPr>
          <w:p w14:paraId="7C9DEA4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项目负责人业绩</w:t>
            </w:r>
          </w:p>
        </w:tc>
        <w:tc>
          <w:tcPr>
            <w:tcW w:w="806" w:type="dxa"/>
            <w:vAlign w:val="center"/>
          </w:tcPr>
          <w:p w14:paraId="3CE2B2E7">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16</w:t>
            </w:r>
            <w:r>
              <w:rPr>
                <w:rFonts w:hint="eastAsia" w:ascii="宋体" w:hAnsi="宋体" w:cs="宋体"/>
                <w:snapToGrid w:val="0"/>
                <w:color w:val="000000"/>
                <w:kern w:val="0"/>
                <w:szCs w:val="21"/>
                <w:highlight w:val="none"/>
              </w:rPr>
              <w:t>分</w:t>
            </w:r>
          </w:p>
        </w:tc>
        <w:tc>
          <w:tcPr>
            <w:tcW w:w="6498" w:type="dxa"/>
            <w:vAlign w:val="center"/>
          </w:tcPr>
          <w:p w14:paraId="054C7CAE">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项目负责人每主持过一项类似项目业绩得2分，满分</w:t>
            </w:r>
            <w:r>
              <w:rPr>
                <w:rFonts w:hint="eastAsia" w:ascii="宋体" w:hAnsi="宋体" w:cs="宋体"/>
                <w:snapToGrid w:val="0"/>
                <w:color w:val="000000"/>
                <w:kern w:val="0"/>
                <w:szCs w:val="21"/>
                <w:highlight w:val="none"/>
                <w:lang w:val="en-US" w:eastAsia="zh-CN"/>
              </w:rPr>
              <w:t>16</w:t>
            </w:r>
            <w:r>
              <w:rPr>
                <w:rFonts w:hint="eastAsia" w:ascii="宋体" w:hAnsi="宋体" w:cs="宋体"/>
                <w:snapToGrid w:val="0"/>
                <w:color w:val="000000"/>
                <w:kern w:val="0"/>
                <w:szCs w:val="21"/>
                <w:highlight w:val="none"/>
              </w:rPr>
              <w:t xml:space="preserve">分；  </w:t>
            </w:r>
          </w:p>
          <w:p w14:paraId="3C90F4C2">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(响应文件内提供</w:t>
            </w:r>
            <w:r>
              <w:rPr>
                <w:rFonts w:hint="eastAsia" w:ascii="宋体" w:hAnsi="宋体" w:cs="宋体"/>
                <w:snapToGrid w:val="0"/>
                <w:color w:val="000000"/>
                <w:kern w:val="0"/>
                <w:szCs w:val="21"/>
                <w:highlight w:val="none"/>
                <w:lang w:val="en-US" w:eastAsia="zh-CN"/>
              </w:rPr>
              <w:t>中标通知书或</w:t>
            </w:r>
            <w:r>
              <w:rPr>
                <w:rFonts w:hint="eastAsia" w:ascii="宋体" w:hAnsi="宋体" w:cs="宋体"/>
                <w:snapToGrid w:val="0"/>
                <w:color w:val="000000"/>
                <w:kern w:val="0"/>
                <w:szCs w:val="21"/>
                <w:highlight w:val="none"/>
              </w:rPr>
              <w:t>合同协议书或评审成果文件等证明材料复印件加盖公章) ，否则不得分。</w:t>
            </w:r>
          </w:p>
        </w:tc>
      </w:tr>
      <w:tr w14:paraId="2D01F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jc w:val="center"/>
        </w:trPr>
        <w:tc>
          <w:tcPr>
            <w:tcW w:w="854" w:type="dxa"/>
            <w:vMerge w:val="continue"/>
            <w:vAlign w:val="center"/>
          </w:tcPr>
          <w:p w14:paraId="5869F2A2">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tc>
        <w:tc>
          <w:tcPr>
            <w:tcW w:w="1478" w:type="dxa"/>
            <w:vAlign w:val="center"/>
          </w:tcPr>
          <w:p w14:paraId="1DB01A1D">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项目技术人员</w:t>
            </w:r>
          </w:p>
          <w:p w14:paraId="76285733">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实力</w:t>
            </w:r>
          </w:p>
        </w:tc>
        <w:tc>
          <w:tcPr>
            <w:tcW w:w="806" w:type="dxa"/>
            <w:vAlign w:val="center"/>
          </w:tcPr>
          <w:p w14:paraId="1C7DDFF3">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10分</w:t>
            </w:r>
          </w:p>
        </w:tc>
        <w:tc>
          <w:tcPr>
            <w:tcW w:w="6498" w:type="dxa"/>
            <w:vAlign w:val="center"/>
          </w:tcPr>
          <w:p w14:paraId="2C69DAE2">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拟派</w:t>
            </w:r>
            <w:r>
              <w:rPr>
                <w:rFonts w:hint="eastAsia" w:ascii="宋体" w:hAnsi="宋体" w:cs="宋体"/>
                <w:snapToGrid w:val="0"/>
                <w:color w:val="000000"/>
                <w:kern w:val="0"/>
                <w:szCs w:val="21"/>
                <w:highlight w:val="none"/>
                <w:lang w:val="en-US" w:eastAsia="zh-CN"/>
              </w:rPr>
              <w:t>项目</w:t>
            </w:r>
            <w:r>
              <w:rPr>
                <w:rFonts w:hint="eastAsia" w:ascii="宋体" w:hAnsi="宋体" w:cs="宋体"/>
                <w:snapToGrid w:val="0"/>
                <w:color w:val="000000"/>
                <w:kern w:val="0"/>
                <w:szCs w:val="21"/>
                <w:highlight w:val="none"/>
              </w:rPr>
              <w:t>团队成员</w:t>
            </w:r>
            <w:r>
              <w:rPr>
                <w:rFonts w:hint="eastAsia" w:ascii="宋体" w:hAnsi="宋体" w:cs="宋体"/>
                <w:snapToGrid w:val="0"/>
                <w:color w:val="000000"/>
                <w:kern w:val="0"/>
                <w:szCs w:val="21"/>
                <w:highlight w:val="none"/>
                <w:lang w:val="en-US" w:eastAsia="zh-CN"/>
              </w:rPr>
              <w:t>在</w:t>
            </w:r>
            <w:r>
              <w:rPr>
                <w:rFonts w:hint="eastAsia" w:ascii="宋体" w:hAnsi="宋体" w:cs="宋体"/>
                <w:snapToGrid w:val="0"/>
                <w:color w:val="000000"/>
                <w:kern w:val="0"/>
                <w:szCs w:val="21"/>
                <w:highlight w:val="none"/>
              </w:rPr>
              <w:t>资格审查标准</w:t>
            </w:r>
            <w:r>
              <w:rPr>
                <w:rFonts w:hint="eastAsia" w:ascii="宋体" w:hAnsi="宋体" w:cs="宋体"/>
                <w:snapToGrid w:val="0"/>
                <w:color w:val="000000"/>
                <w:kern w:val="0"/>
                <w:szCs w:val="21"/>
                <w:highlight w:val="none"/>
                <w:lang w:val="en-US" w:eastAsia="zh-CN"/>
              </w:rPr>
              <w:t>项目团队要求（5人）</w:t>
            </w:r>
            <w:r>
              <w:rPr>
                <w:rFonts w:hint="eastAsia" w:ascii="宋体" w:hAnsi="宋体" w:cs="宋体"/>
                <w:snapToGrid w:val="0"/>
                <w:color w:val="000000"/>
                <w:kern w:val="0"/>
                <w:szCs w:val="21"/>
                <w:highlight w:val="none"/>
              </w:rPr>
              <w:t>基础上每多拟派一名具备注册咨询工程师资格人员加</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 xml:space="preserve">分，本项目最多得10分。  </w:t>
            </w:r>
          </w:p>
          <w:p w14:paraId="7F7E546D">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(响应文件内提供相关注册证及供应商为其缴纳社会保险证明或退休证和返聘协议的复印件加盖公章)</w:t>
            </w:r>
          </w:p>
        </w:tc>
      </w:tr>
      <w:tr w14:paraId="44F9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854" w:type="dxa"/>
            <w:vMerge w:val="continue"/>
            <w:vAlign w:val="center"/>
          </w:tcPr>
          <w:p w14:paraId="7A490C79">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tc>
        <w:tc>
          <w:tcPr>
            <w:tcW w:w="1478" w:type="dxa"/>
            <w:vAlign w:val="center"/>
          </w:tcPr>
          <w:p w14:paraId="2681DFF2">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服务响应时间</w:t>
            </w:r>
          </w:p>
        </w:tc>
        <w:tc>
          <w:tcPr>
            <w:tcW w:w="806" w:type="dxa"/>
            <w:vAlign w:val="center"/>
          </w:tcPr>
          <w:p w14:paraId="0A44566F">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w:t>
            </w:r>
          </w:p>
        </w:tc>
        <w:tc>
          <w:tcPr>
            <w:tcW w:w="6498" w:type="dxa"/>
            <w:vAlign w:val="center"/>
          </w:tcPr>
          <w:p w14:paraId="335F364D">
            <w:pPr>
              <w:widowControl/>
              <w:kinsoku w:val="0"/>
              <w:autoSpaceDE w:val="0"/>
              <w:autoSpaceDN w:val="0"/>
              <w:adjustRightInd w:val="0"/>
              <w:snapToGrid w:val="0"/>
              <w:spacing w:line="360" w:lineRule="auto"/>
              <w:jc w:val="left"/>
              <w:textAlignment w:val="baseline"/>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承诺在出现问题或需要项目对接时，能在3个小时内派出服务人员到达现场得</w:t>
            </w: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分。不满足或不承诺不得分。</w:t>
            </w:r>
          </w:p>
          <w:p w14:paraId="2E09088B">
            <w:pPr>
              <w:widowControl/>
              <w:kinsoku w:val="0"/>
              <w:autoSpaceDE w:val="0"/>
              <w:autoSpaceDN w:val="0"/>
              <w:adjustRightInd w:val="0"/>
              <w:snapToGrid w:val="0"/>
              <w:spacing w:line="360" w:lineRule="auto"/>
              <w:jc w:val="left"/>
              <w:textAlignment w:val="baseline"/>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（响应文件内提</w:t>
            </w:r>
            <w:r>
              <w:rPr>
                <w:rFonts w:hint="eastAsia" w:ascii="宋体" w:hAnsi="宋体" w:cs="宋体"/>
                <w:snapToGrid w:val="0"/>
                <w:color w:val="000000"/>
                <w:kern w:val="0"/>
                <w:szCs w:val="21"/>
                <w:highlight w:val="none"/>
                <w:lang w:val="en-US" w:eastAsia="zh-CN"/>
              </w:rPr>
              <w:t>供</w:t>
            </w:r>
            <w:r>
              <w:rPr>
                <w:rFonts w:hint="eastAsia" w:ascii="宋体" w:hAnsi="宋体" w:cs="宋体"/>
                <w:snapToGrid w:val="0"/>
                <w:color w:val="000000"/>
                <w:kern w:val="0"/>
                <w:szCs w:val="21"/>
                <w:highlight w:val="none"/>
              </w:rPr>
              <w:t>承诺书加盖公章）</w:t>
            </w:r>
          </w:p>
        </w:tc>
      </w:tr>
      <w:tr w14:paraId="6D1A3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854" w:type="dxa"/>
            <w:vMerge w:val="continue"/>
            <w:vAlign w:val="center"/>
          </w:tcPr>
          <w:p w14:paraId="2B3CC39F">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p>
        </w:tc>
        <w:tc>
          <w:tcPr>
            <w:tcW w:w="1478" w:type="dxa"/>
            <w:vAlign w:val="center"/>
          </w:tcPr>
          <w:p w14:paraId="21E54A85">
            <w:pPr>
              <w:widowControl/>
              <w:kinsoku w:val="0"/>
              <w:autoSpaceDE w:val="0"/>
              <w:autoSpaceDN w:val="0"/>
              <w:adjustRightInd w:val="0"/>
              <w:snapToGrid w:val="0"/>
              <w:spacing w:line="360" w:lineRule="auto"/>
              <w:jc w:val="center"/>
              <w:textAlignment w:val="baseline"/>
              <w:rPr>
                <w:rFonts w:hint="default" w:ascii="宋体" w:hAnsi="宋体" w:cs="宋体"/>
                <w:snapToGrid w:val="0"/>
                <w:color w:val="000000"/>
                <w:kern w:val="0"/>
                <w:szCs w:val="21"/>
                <w:highlight w:val="none"/>
                <w:lang w:val="en-US" w:eastAsia="zh-CN"/>
              </w:rPr>
            </w:pPr>
            <w:r>
              <w:rPr>
                <w:rFonts w:hint="eastAsia" w:ascii="宋体" w:hAnsi="宋体" w:cs="宋体"/>
                <w:snapToGrid w:val="0"/>
                <w:color w:val="000000"/>
                <w:kern w:val="0"/>
                <w:szCs w:val="21"/>
                <w:highlight w:val="none"/>
                <w:lang w:val="en-US" w:eastAsia="zh-CN"/>
              </w:rPr>
              <w:t>资信等级</w:t>
            </w:r>
          </w:p>
        </w:tc>
        <w:tc>
          <w:tcPr>
            <w:tcW w:w="806" w:type="dxa"/>
            <w:vAlign w:val="center"/>
          </w:tcPr>
          <w:p w14:paraId="79D43AF5">
            <w:pPr>
              <w:widowControl/>
              <w:kinsoku w:val="0"/>
              <w:autoSpaceDE w:val="0"/>
              <w:autoSpaceDN w:val="0"/>
              <w:adjustRightInd w:val="0"/>
              <w:snapToGrid w:val="0"/>
              <w:spacing w:line="360" w:lineRule="auto"/>
              <w:jc w:val="center"/>
              <w:textAlignment w:val="baseline"/>
              <w:rPr>
                <w:rFonts w:hint="default" w:ascii="宋体" w:hAnsi="宋体" w:cs="宋体"/>
                <w:snapToGrid w:val="0"/>
                <w:color w:val="000000"/>
                <w:kern w:val="0"/>
                <w:szCs w:val="21"/>
                <w:highlight w:val="none"/>
                <w:lang w:val="en-US" w:eastAsia="zh-CN"/>
              </w:rPr>
            </w:pPr>
            <w:r>
              <w:rPr>
                <w:rFonts w:hint="eastAsia" w:ascii="宋体" w:hAnsi="宋体" w:cs="宋体"/>
                <w:snapToGrid w:val="0"/>
                <w:color w:val="000000"/>
                <w:kern w:val="0"/>
                <w:szCs w:val="21"/>
                <w:highlight w:val="none"/>
                <w:lang w:val="en-US" w:eastAsia="zh-CN"/>
              </w:rPr>
              <w:t>10分</w:t>
            </w:r>
          </w:p>
        </w:tc>
        <w:tc>
          <w:tcPr>
            <w:tcW w:w="6498" w:type="dxa"/>
            <w:vAlign w:val="center"/>
          </w:tcPr>
          <w:p w14:paraId="106A01A0">
            <w:pPr>
              <w:widowControl/>
              <w:kinsoku w:val="0"/>
              <w:autoSpaceDE w:val="0"/>
              <w:autoSpaceDN w:val="0"/>
              <w:adjustRightInd w:val="0"/>
              <w:snapToGrid w:val="0"/>
              <w:spacing w:line="360" w:lineRule="auto"/>
              <w:jc w:val="left"/>
              <w:textAlignment w:val="baseline"/>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zh-CN"/>
              </w:rPr>
              <w:t>供应商具有工程咨询甲级综合资信</w:t>
            </w:r>
            <w:r>
              <w:rPr>
                <w:rFonts w:hint="eastAsia" w:ascii="宋体" w:hAnsi="宋体" w:cs="宋体"/>
                <w:snapToGrid w:val="0"/>
                <w:color w:val="000000"/>
                <w:kern w:val="0"/>
                <w:szCs w:val="21"/>
                <w:highlight w:val="none"/>
                <w:lang w:val="en-US" w:eastAsia="zh-CN"/>
              </w:rPr>
              <w:t>证书</w:t>
            </w:r>
            <w:r>
              <w:rPr>
                <w:rFonts w:hint="eastAsia" w:ascii="宋体" w:hAnsi="宋体" w:cs="宋体"/>
                <w:snapToGrid w:val="0"/>
                <w:color w:val="000000"/>
                <w:kern w:val="0"/>
                <w:szCs w:val="21"/>
                <w:highlight w:val="none"/>
                <w:lang w:val="zh-CN"/>
              </w:rPr>
              <w:t>的得</w:t>
            </w:r>
            <w:r>
              <w:rPr>
                <w:rFonts w:hint="eastAsia" w:ascii="宋体" w:hAnsi="宋体" w:cs="宋体"/>
                <w:snapToGrid w:val="0"/>
                <w:color w:val="000000"/>
                <w:kern w:val="0"/>
                <w:szCs w:val="21"/>
                <w:highlight w:val="none"/>
                <w:lang w:val="en-US" w:eastAsia="zh-CN"/>
              </w:rPr>
              <w:t>10</w:t>
            </w:r>
            <w:r>
              <w:rPr>
                <w:rFonts w:hint="eastAsia" w:ascii="宋体" w:hAnsi="宋体" w:cs="宋体"/>
                <w:snapToGrid w:val="0"/>
                <w:color w:val="000000"/>
                <w:kern w:val="0"/>
                <w:szCs w:val="21"/>
                <w:highlight w:val="none"/>
                <w:lang w:val="zh-CN"/>
              </w:rPr>
              <w:t>分</w:t>
            </w:r>
            <w:r>
              <w:rPr>
                <w:rFonts w:hint="eastAsia" w:ascii="宋体" w:hAnsi="宋体" w:cs="宋体"/>
                <w:snapToGrid w:val="0"/>
                <w:color w:val="000000"/>
                <w:kern w:val="0"/>
                <w:szCs w:val="21"/>
                <w:highlight w:val="none"/>
              </w:rPr>
              <w:t>。</w:t>
            </w:r>
          </w:p>
          <w:p w14:paraId="6EAD6837">
            <w:pPr>
              <w:widowControl/>
              <w:kinsoku w:val="0"/>
              <w:autoSpaceDE w:val="0"/>
              <w:autoSpaceDN w:val="0"/>
              <w:adjustRightInd w:val="0"/>
              <w:snapToGrid w:val="0"/>
              <w:spacing w:line="360" w:lineRule="auto"/>
              <w:jc w:val="left"/>
              <w:textAlignment w:val="baseline"/>
              <w:rPr>
                <w:rFonts w:hint="default" w:ascii="宋体" w:hAnsi="宋体" w:cs="宋体"/>
                <w:snapToGrid w:val="0"/>
                <w:color w:val="000000"/>
                <w:kern w:val="0"/>
                <w:szCs w:val="21"/>
                <w:highlight w:val="none"/>
                <w:lang w:val="en-US"/>
              </w:rPr>
            </w:pPr>
            <w:r>
              <w:rPr>
                <w:rFonts w:hint="eastAsia" w:ascii="宋体" w:hAnsi="宋体" w:cs="宋体"/>
                <w:snapToGrid w:val="0"/>
                <w:color w:val="000000"/>
                <w:kern w:val="0"/>
                <w:szCs w:val="21"/>
                <w:highlight w:val="none"/>
              </w:rPr>
              <w:t>（响应文件内提供</w:t>
            </w:r>
            <w:r>
              <w:rPr>
                <w:rFonts w:hint="eastAsia" w:ascii="宋体" w:hAnsi="宋体" w:cs="宋体"/>
                <w:snapToGrid w:val="0"/>
                <w:color w:val="000000"/>
                <w:kern w:val="0"/>
                <w:szCs w:val="21"/>
                <w:highlight w:val="none"/>
                <w:lang w:val="en-US" w:eastAsia="zh-CN"/>
              </w:rPr>
              <w:t>相关证件复印件</w:t>
            </w:r>
            <w:r>
              <w:rPr>
                <w:rFonts w:hint="eastAsia" w:ascii="宋体" w:hAnsi="宋体" w:cs="宋体"/>
                <w:snapToGrid w:val="0"/>
                <w:color w:val="000000"/>
                <w:kern w:val="0"/>
                <w:szCs w:val="21"/>
                <w:highlight w:val="none"/>
              </w:rPr>
              <w:t>加盖公章）</w:t>
            </w:r>
          </w:p>
        </w:tc>
      </w:tr>
      <w:tr w14:paraId="1E9CA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854" w:type="dxa"/>
            <w:vMerge w:val="restart"/>
            <w:vAlign w:val="center"/>
          </w:tcPr>
          <w:p w14:paraId="2006B33F">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技术部分(</w:t>
            </w:r>
            <w:r>
              <w:rPr>
                <w:rFonts w:hint="eastAsia" w:ascii="宋体" w:hAnsi="宋体" w:cs="宋体"/>
                <w:snapToGrid w:val="0"/>
                <w:color w:val="000000"/>
                <w:kern w:val="0"/>
                <w:szCs w:val="21"/>
                <w:highlight w:val="none"/>
                <w:lang w:val="en-US" w:eastAsia="zh-CN"/>
              </w:rPr>
              <w:t>40</w:t>
            </w:r>
            <w:r>
              <w:rPr>
                <w:rFonts w:hint="eastAsia" w:ascii="宋体" w:hAnsi="宋体" w:cs="宋体"/>
                <w:snapToGrid w:val="0"/>
                <w:color w:val="000000"/>
                <w:kern w:val="0"/>
                <w:szCs w:val="21"/>
                <w:highlight w:val="none"/>
              </w:rPr>
              <w:t>分)</w:t>
            </w:r>
          </w:p>
        </w:tc>
        <w:tc>
          <w:tcPr>
            <w:tcW w:w="1478" w:type="dxa"/>
            <w:vAlign w:val="center"/>
          </w:tcPr>
          <w:p w14:paraId="3046545B">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项目服务方案</w:t>
            </w:r>
          </w:p>
        </w:tc>
        <w:tc>
          <w:tcPr>
            <w:tcW w:w="806" w:type="dxa"/>
            <w:vAlign w:val="center"/>
          </w:tcPr>
          <w:p w14:paraId="159B631C">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w:t>
            </w:r>
          </w:p>
        </w:tc>
        <w:tc>
          <w:tcPr>
            <w:tcW w:w="6498" w:type="dxa"/>
            <w:vAlign w:val="center"/>
          </w:tcPr>
          <w:p w14:paraId="7AD3E834">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对本项目全部工作内容的认识、管理服务定位、管理服务目标及对项目全部工作涉及范围的整体服务方案，内容完整、详细，方案科学合理、切实可行，得</w:t>
            </w: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分；方案内容基本完整、合理可行，得</w:t>
            </w:r>
            <w:r>
              <w:rPr>
                <w:rFonts w:hint="eastAsia" w:ascii="宋体" w:hAnsi="宋体" w:cs="宋体"/>
                <w:snapToGrid w:val="0"/>
                <w:color w:val="000000"/>
                <w:kern w:val="0"/>
                <w:szCs w:val="21"/>
                <w:highlight w:val="none"/>
                <w:lang w:val="en-US" w:eastAsia="zh-CN"/>
              </w:rPr>
              <w:t>3</w:t>
            </w:r>
            <w:r>
              <w:rPr>
                <w:rFonts w:hint="eastAsia" w:ascii="宋体" w:hAnsi="宋体" w:cs="宋体"/>
                <w:snapToGrid w:val="0"/>
                <w:color w:val="000000"/>
                <w:kern w:val="0"/>
                <w:szCs w:val="21"/>
                <w:highlight w:val="none"/>
              </w:rPr>
              <w:t>分；方案内容较为简单、基本可行，得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6A978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jc w:val="center"/>
        </w:trPr>
        <w:tc>
          <w:tcPr>
            <w:tcW w:w="854" w:type="dxa"/>
            <w:vMerge w:val="continue"/>
            <w:vAlign w:val="center"/>
          </w:tcPr>
          <w:p w14:paraId="4C459620">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472E88E3">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工作方法</w:t>
            </w:r>
          </w:p>
        </w:tc>
        <w:tc>
          <w:tcPr>
            <w:tcW w:w="806" w:type="dxa"/>
            <w:vAlign w:val="center"/>
          </w:tcPr>
          <w:p w14:paraId="5974508B">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w:t>
            </w:r>
          </w:p>
        </w:tc>
        <w:tc>
          <w:tcPr>
            <w:tcW w:w="6498" w:type="dxa"/>
            <w:vAlign w:val="center"/>
          </w:tcPr>
          <w:p w14:paraId="1280FBDA">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工作方法合理、符合本项目实际，对其工作效率及技术措施进行综合评价，工作效率高、技术措施得当，方法内容完整、详细、科学合理，得</w:t>
            </w: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分；方法内容基本完整、合理可行，得</w:t>
            </w:r>
            <w:r>
              <w:rPr>
                <w:rFonts w:hint="eastAsia" w:ascii="宋体" w:hAnsi="宋体" w:cs="宋体"/>
                <w:snapToGrid w:val="0"/>
                <w:color w:val="000000"/>
                <w:kern w:val="0"/>
                <w:szCs w:val="21"/>
                <w:highlight w:val="none"/>
                <w:lang w:val="en-US" w:eastAsia="zh-CN"/>
              </w:rPr>
              <w:t>3</w:t>
            </w:r>
            <w:r>
              <w:rPr>
                <w:rFonts w:hint="eastAsia" w:ascii="宋体" w:hAnsi="宋体" w:cs="宋体"/>
                <w:snapToGrid w:val="0"/>
                <w:color w:val="000000"/>
                <w:kern w:val="0"/>
                <w:szCs w:val="21"/>
                <w:highlight w:val="none"/>
              </w:rPr>
              <w:t>分；方法内容较为简单、基本可行，得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37250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4" w:type="dxa"/>
            <w:vMerge w:val="continue"/>
            <w:vAlign w:val="center"/>
          </w:tcPr>
          <w:p w14:paraId="52C673AA">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641E01BE">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质量保证措施</w:t>
            </w:r>
          </w:p>
        </w:tc>
        <w:tc>
          <w:tcPr>
            <w:tcW w:w="806" w:type="dxa"/>
            <w:vAlign w:val="center"/>
          </w:tcPr>
          <w:p w14:paraId="1527CFD3">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w:t>
            </w:r>
          </w:p>
        </w:tc>
        <w:tc>
          <w:tcPr>
            <w:tcW w:w="6498" w:type="dxa"/>
            <w:vAlign w:val="center"/>
          </w:tcPr>
          <w:p w14:paraId="4B6576A4">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针对本项目提出的质量保障措施齐全、科学、具体、可行，质量保证体系完善，得</w:t>
            </w: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分；措施基本齐全、具体、可行，质量保证体系完善，得</w:t>
            </w:r>
            <w:r>
              <w:rPr>
                <w:rFonts w:hint="eastAsia" w:ascii="宋体" w:hAnsi="宋体" w:cs="宋体"/>
                <w:snapToGrid w:val="0"/>
                <w:color w:val="000000"/>
                <w:kern w:val="0"/>
                <w:szCs w:val="21"/>
                <w:highlight w:val="none"/>
                <w:lang w:val="en-US" w:eastAsia="zh-CN"/>
              </w:rPr>
              <w:t>3</w:t>
            </w:r>
            <w:r>
              <w:rPr>
                <w:rFonts w:hint="eastAsia" w:ascii="宋体" w:hAnsi="宋体" w:cs="宋体"/>
                <w:snapToGrid w:val="0"/>
                <w:color w:val="000000"/>
                <w:kern w:val="0"/>
                <w:szCs w:val="21"/>
                <w:highlight w:val="none"/>
              </w:rPr>
              <w:t>分；措施内容较少、基本可行，得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5542F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4" w:type="dxa"/>
            <w:vMerge w:val="continue"/>
            <w:vAlign w:val="center"/>
          </w:tcPr>
          <w:p w14:paraId="0B0C9BD6">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4DCE6E9E">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时间保障措施</w:t>
            </w:r>
          </w:p>
        </w:tc>
        <w:tc>
          <w:tcPr>
            <w:tcW w:w="806" w:type="dxa"/>
            <w:vAlign w:val="center"/>
          </w:tcPr>
          <w:p w14:paraId="12EBC2EF">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w:t>
            </w:r>
          </w:p>
        </w:tc>
        <w:tc>
          <w:tcPr>
            <w:tcW w:w="6498" w:type="dxa"/>
            <w:vAlign w:val="center"/>
          </w:tcPr>
          <w:p w14:paraId="77C9E469">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针对本项目提出的时间保障措施内容详细、可行、完整、科学合理，得</w:t>
            </w: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分；措施内容可行、措施合理，得</w:t>
            </w:r>
            <w:r>
              <w:rPr>
                <w:rFonts w:hint="eastAsia" w:ascii="宋体" w:hAnsi="宋体" w:cs="宋体"/>
                <w:snapToGrid w:val="0"/>
                <w:color w:val="000000"/>
                <w:kern w:val="0"/>
                <w:szCs w:val="21"/>
                <w:highlight w:val="none"/>
                <w:lang w:val="en-US" w:eastAsia="zh-CN"/>
              </w:rPr>
              <w:t>3</w:t>
            </w:r>
            <w:r>
              <w:rPr>
                <w:rFonts w:hint="eastAsia" w:ascii="宋体" w:hAnsi="宋体" w:cs="宋体"/>
                <w:snapToGrid w:val="0"/>
                <w:color w:val="000000"/>
                <w:kern w:val="0"/>
                <w:szCs w:val="21"/>
                <w:highlight w:val="none"/>
              </w:rPr>
              <w:t>分；措施内容较少、基本可行，得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2D2D7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4" w:type="dxa"/>
            <w:vMerge w:val="continue"/>
            <w:vAlign w:val="center"/>
          </w:tcPr>
          <w:p w14:paraId="197D4A3D">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1F049275">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企业管理制度</w:t>
            </w:r>
          </w:p>
        </w:tc>
        <w:tc>
          <w:tcPr>
            <w:tcW w:w="806" w:type="dxa"/>
            <w:vAlign w:val="center"/>
          </w:tcPr>
          <w:p w14:paraId="44DBD296">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w:t>
            </w:r>
          </w:p>
        </w:tc>
        <w:tc>
          <w:tcPr>
            <w:tcW w:w="6498" w:type="dxa"/>
            <w:vAlign w:val="center"/>
          </w:tcPr>
          <w:p w14:paraId="5DEBF95A">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企业管理服务体系、组织架构、服务管理制度，针对项目拟投入人员管理方案及措施具体且完整、详细，科学合理，得</w:t>
            </w: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分；管理方案及措施内容基本完整、措施合理，得</w:t>
            </w:r>
            <w:r>
              <w:rPr>
                <w:rFonts w:hint="eastAsia" w:ascii="宋体" w:hAnsi="宋体" w:cs="宋体"/>
                <w:snapToGrid w:val="0"/>
                <w:color w:val="000000"/>
                <w:kern w:val="0"/>
                <w:szCs w:val="21"/>
                <w:highlight w:val="none"/>
                <w:lang w:val="en-US" w:eastAsia="zh-CN"/>
              </w:rPr>
              <w:t>2</w:t>
            </w:r>
            <w:r>
              <w:rPr>
                <w:rFonts w:hint="eastAsia" w:ascii="宋体" w:hAnsi="宋体" w:cs="宋体"/>
                <w:snapToGrid w:val="0"/>
                <w:color w:val="000000"/>
                <w:kern w:val="0"/>
                <w:szCs w:val="21"/>
                <w:highlight w:val="none"/>
              </w:rPr>
              <w:t>分；管理方案及措施内容较为简单、基本可行，得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6F6C2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4" w:type="dxa"/>
            <w:vMerge w:val="continue"/>
            <w:vAlign w:val="center"/>
          </w:tcPr>
          <w:p w14:paraId="13415C84">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36F9669B">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工作中的难点分析</w:t>
            </w:r>
          </w:p>
        </w:tc>
        <w:tc>
          <w:tcPr>
            <w:tcW w:w="806" w:type="dxa"/>
            <w:vAlign w:val="center"/>
          </w:tcPr>
          <w:p w14:paraId="4F08FD35">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w:t>
            </w:r>
          </w:p>
        </w:tc>
        <w:tc>
          <w:tcPr>
            <w:tcW w:w="6498" w:type="dxa"/>
            <w:vAlign w:val="center"/>
          </w:tcPr>
          <w:p w14:paraId="4F56C153">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针对工作中可能出现的难点及相应解决措施全面、详尽、科学合理，得</w:t>
            </w: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分；基本全面合理、可行，得</w:t>
            </w:r>
            <w:r>
              <w:rPr>
                <w:rFonts w:hint="eastAsia" w:ascii="宋体" w:hAnsi="宋体" w:cs="宋体"/>
                <w:snapToGrid w:val="0"/>
                <w:color w:val="000000"/>
                <w:kern w:val="0"/>
                <w:szCs w:val="21"/>
                <w:highlight w:val="none"/>
                <w:lang w:val="en-US" w:eastAsia="zh-CN"/>
              </w:rPr>
              <w:t>2</w:t>
            </w:r>
            <w:r>
              <w:rPr>
                <w:rFonts w:hint="eastAsia" w:ascii="宋体" w:hAnsi="宋体" w:cs="宋体"/>
                <w:snapToGrid w:val="0"/>
                <w:color w:val="000000"/>
                <w:kern w:val="0"/>
                <w:szCs w:val="21"/>
                <w:highlight w:val="none"/>
              </w:rPr>
              <w:t>分；较少但基本可行，得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47D8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4" w:type="dxa"/>
            <w:vMerge w:val="continue"/>
            <w:vAlign w:val="center"/>
          </w:tcPr>
          <w:p w14:paraId="4D0EEFBE">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0EE9925E">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风险控制及措施</w:t>
            </w:r>
          </w:p>
        </w:tc>
        <w:tc>
          <w:tcPr>
            <w:tcW w:w="806" w:type="dxa"/>
            <w:vAlign w:val="center"/>
          </w:tcPr>
          <w:p w14:paraId="5E2CFA7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w:t>
            </w:r>
          </w:p>
        </w:tc>
        <w:tc>
          <w:tcPr>
            <w:tcW w:w="6498" w:type="dxa"/>
            <w:vAlign w:val="center"/>
          </w:tcPr>
          <w:p w14:paraId="1BC73516">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针对本项目实际情况提供的风险控制及措施，内容完整、详细、科学合理、切实可行，得</w:t>
            </w:r>
            <w:r>
              <w:rPr>
                <w:rFonts w:hint="eastAsia" w:ascii="宋体" w:hAnsi="宋体" w:cs="宋体"/>
                <w:snapToGrid w:val="0"/>
                <w:color w:val="000000"/>
                <w:kern w:val="0"/>
                <w:szCs w:val="21"/>
                <w:highlight w:val="none"/>
                <w:lang w:val="en-US" w:eastAsia="zh-CN"/>
              </w:rPr>
              <w:t>4</w:t>
            </w:r>
            <w:r>
              <w:rPr>
                <w:rFonts w:hint="eastAsia" w:ascii="宋体" w:hAnsi="宋体" w:cs="宋体"/>
                <w:snapToGrid w:val="0"/>
                <w:color w:val="000000"/>
                <w:kern w:val="0"/>
                <w:szCs w:val="21"/>
                <w:highlight w:val="none"/>
              </w:rPr>
              <w:t>分；措施基本完整、合理可行，得</w:t>
            </w:r>
            <w:r>
              <w:rPr>
                <w:rFonts w:hint="eastAsia" w:ascii="宋体" w:hAnsi="宋体" w:cs="宋体"/>
                <w:snapToGrid w:val="0"/>
                <w:color w:val="000000"/>
                <w:kern w:val="0"/>
                <w:szCs w:val="21"/>
                <w:highlight w:val="none"/>
                <w:lang w:val="en-US" w:eastAsia="zh-CN"/>
              </w:rPr>
              <w:t>2</w:t>
            </w:r>
            <w:r>
              <w:rPr>
                <w:rFonts w:hint="eastAsia" w:ascii="宋体" w:hAnsi="宋体" w:cs="宋体"/>
                <w:snapToGrid w:val="0"/>
                <w:color w:val="000000"/>
                <w:kern w:val="0"/>
                <w:szCs w:val="21"/>
                <w:highlight w:val="none"/>
              </w:rPr>
              <w:t>分；措施内容较为简单、基本可行，得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分；无不得分。</w:t>
            </w:r>
          </w:p>
        </w:tc>
      </w:tr>
      <w:tr w14:paraId="55DF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854" w:type="dxa"/>
            <w:vMerge w:val="continue"/>
            <w:vAlign w:val="center"/>
          </w:tcPr>
          <w:p w14:paraId="239D22B7">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0CE2624A">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服务团队配备</w:t>
            </w:r>
          </w:p>
        </w:tc>
        <w:tc>
          <w:tcPr>
            <w:tcW w:w="806" w:type="dxa"/>
            <w:vAlign w:val="center"/>
          </w:tcPr>
          <w:p w14:paraId="375173F1">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4分</w:t>
            </w:r>
          </w:p>
        </w:tc>
        <w:tc>
          <w:tcPr>
            <w:tcW w:w="6498" w:type="dxa"/>
            <w:vAlign w:val="center"/>
          </w:tcPr>
          <w:p w14:paraId="6A991234">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服务团队组织结构配备符合项目特点，职能划分明确，人员岗位职责完善明确，服务团队人员配置齐全，科学合理并完全满足服务需要得4分，基本满足服务需要得2分，不满足不得分。</w:t>
            </w:r>
          </w:p>
        </w:tc>
      </w:tr>
      <w:tr w14:paraId="656AF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54" w:type="dxa"/>
            <w:vMerge w:val="continue"/>
            <w:vAlign w:val="center"/>
          </w:tcPr>
          <w:p w14:paraId="503A2975">
            <w:pPr>
              <w:widowControl/>
              <w:kinsoku w:val="0"/>
              <w:autoSpaceDE w:val="0"/>
              <w:autoSpaceDN w:val="0"/>
              <w:adjustRightInd w:val="0"/>
              <w:snapToGrid w:val="0"/>
              <w:spacing w:line="360" w:lineRule="auto"/>
              <w:jc w:val="left"/>
              <w:textAlignment w:val="baseline"/>
              <w:rPr>
                <w:rFonts w:ascii="宋体" w:hAnsi="宋体" w:cs="宋体"/>
                <w:snapToGrid w:val="0"/>
                <w:color w:val="000000"/>
                <w:kern w:val="0"/>
                <w:szCs w:val="21"/>
                <w:highlight w:val="none"/>
              </w:rPr>
            </w:pPr>
          </w:p>
        </w:tc>
        <w:tc>
          <w:tcPr>
            <w:tcW w:w="1478" w:type="dxa"/>
            <w:vAlign w:val="center"/>
          </w:tcPr>
          <w:p w14:paraId="5E0E28A0">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服务承诺</w:t>
            </w:r>
          </w:p>
        </w:tc>
        <w:tc>
          <w:tcPr>
            <w:tcW w:w="806" w:type="dxa"/>
            <w:vAlign w:val="center"/>
          </w:tcPr>
          <w:p w14:paraId="12A3AEB3">
            <w:pPr>
              <w:widowControl/>
              <w:kinsoku w:val="0"/>
              <w:autoSpaceDE w:val="0"/>
              <w:autoSpaceDN w:val="0"/>
              <w:adjustRightInd w:val="0"/>
              <w:snapToGrid w:val="0"/>
              <w:spacing w:line="360" w:lineRule="auto"/>
              <w:jc w:val="center"/>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4分</w:t>
            </w:r>
          </w:p>
        </w:tc>
        <w:tc>
          <w:tcPr>
            <w:tcW w:w="6498" w:type="dxa"/>
            <w:vAlign w:val="center"/>
          </w:tcPr>
          <w:p w14:paraId="59FC3802">
            <w:pPr>
              <w:widowControl/>
              <w:kinsoku w:val="0"/>
              <w:autoSpaceDE w:val="0"/>
              <w:autoSpaceDN w:val="0"/>
              <w:adjustRightInd w:val="0"/>
              <w:snapToGrid w:val="0"/>
              <w:spacing w:line="276" w:lineRule="auto"/>
              <w:jc w:val="left"/>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措施完善、承诺条件优惠得4分；措施较完善、承诺条件较优惠得2分；服务承诺欠缺得</w:t>
            </w:r>
            <w:r>
              <w:rPr>
                <w:rFonts w:hint="eastAsia" w:ascii="宋体" w:hAnsi="宋体" w:cs="宋体"/>
                <w:snapToGrid w:val="0"/>
                <w:color w:val="000000"/>
                <w:kern w:val="0"/>
                <w:szCs w:val="21"/>
                <w:highlight w:val="none"/>
                <w:lang w:val="en-US" w:eastAsia="zh-CN"/>
              </w:rPr>
              <w:t>1</w:t>
            </w:r>
            <w:r>
              <w:rPr>
                <w:rFonts w:hint="eastAsia" w:ascii="宋体" w:hAnsi="宋体" w:cs="宋体"/>
                <w:snapToGrid w:val="0"/>
                <w:color w:val="000000"/>
                <w:kern w:val="0"/>
                <w:szCs w:val="21"/>
                <w:highlight w:val="none"/>
              </w:rPr>
              <w:t>分；未提供服务承诺不得分。</w:t>
            </w:r>
          </w:p>
        </w:tc>
      </w:tr>
      <w:tr w14:paraId="260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9636" w:type="dxa"/>
            <w:gridSpan w:val="4"/>
          </w:tcPr>
          <w:p w14:paraId="22E04622">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说明：</w:t>
            </w:r>
          </w:p>
          <w:p w14:paraId="490A02D3">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1、评分因素有时间限制（如投标截止日前三年内）的，所提供的合同、证书、证明等材料的时间，以签署日期、颁发日期或出具日期为准。</w:t>
            </w:r>
            <w:bookmarkStart w:id="146" w:name="_GoBack"/>
            <w:bookmarkEnd w:id="146"/>
          </w:p>
          <w:p w14:paraId="766AD9EE">
            <w:pPr>
              <w:spacing w:line="360" w:lineRule="auto"/>
              <w:rPr>
                <w:szCs w:val="21"/>
                <w:highlight w:val="none"/>
              </w:rPr>
            </w:pPr>
            <w:r>
              <w:rPr>
                <w:rFonts w:hint="eastAsia" w:ascii="宋体" w:hAnsi="宋体" w:cs="宋体"/>
                <w:szCs w:val="21"/>
                <w:highlight w:val="none"/>
              </w:rPr>
              <w:t>2、</w:t>
            </w:r>
            <w:r>
              <w:rPr>
                <w:rFonts w:hint="eastAsia" w:ascii="宋体" w:hAnsi="宋体" w:cs="仿宋"/>
                <w:szCs w:val="21"/>
                <w:highlight w:val="none"/>
              </w:rPr>
              <w:t>同一人员的证书、职称不重复计算得分。</w:t>
            </w:r>
          </w:p>
          <w:p w14:paraId="1C1BB735">
            <w:pPr>
              <w:autoSpaceDE w:val="0"/>
              <w:autoSpaceDN w:val="0"/>
              <w:adjustRightInd w:val="0"/>
              <w:spacing w:line="360" w:lineRule="auto"/>
              <w:rPr>
                <w:rFonts w:ascii="宋体" w:hAnsi="宋体" w:cs="宋体"/>
                <w:color w:val="FF0000"/>
                <w:szCs w:val="21"/>
                <w:highlight w:val="none"/>
              </w:rPr>
            </w:pPr>
          </w:p>
        </w:tc>
      </w:tr>
    </w:tbl>
    <w:p w14:paraId="1FB2EEEC">
      <w:pPr>
        <w:pStyle w:val="2"/>
        <w:spacing w:before="0" w:after="0" w:line="360" w:lineRule="auto"/>
        <w:jc w:val="center"/>
        <w:rPr>
          <w:sz w:val="28"/>
          <w:szCs w:val="28"/>
          <w:highlight w:val="none"/>
        </w:rPr>
      </w:pPr>
    </w:p>
    <w:p w14:paraId="4CC62702">
      <w:pPr>
        <w:rPr>
          <w:highlight w:val="none"/>
        </w:rPr>
      </w:pPr>
    </w:p>
    <w:p w14:paraId="7EBC6264">
      <w:pPr>
        <w:rPr>
          <w:highlight w:val="none"/>
        </w:rPr>
      </w:pPr>
    </w:p>
    <w:p w14:paraId="2259092C">
      <w:pPr>
        <w:rPr>
          <w:highlight w:val="none"/>
        </w:rPr>
      </w:pPr>
    </w:p>
    <w:p w14:paraId="4FD39573">
      <w:pPr>
        <w:rPr>
          <w:highlight w:val="none"/>
        </w:rPr>
      </w:pPr>
    </w:p>
    <w:p w14:paraId="57D78806">
      <w:pPr>
        <w:rPr>
          <w:highlight w:val="none"/>
        </w:rPr>
      </w:pPr>
    </w:p>
    <w:p w14:paraId="785824D1">
      <w:pPr>
        <w:rPr>
          <w:highlight w:val="none"/>
        </w:rPr>
      </w:pPr>
    </w:p>
    <w:p w14:paraId="0A30BCB4">
      <w:pPr>
        <w:rPr>
          <w:highlight w:val="none"/>
        </w:rPr>
      </w:pPr>
    </w:p>
    <w:p w14:paraId="56633264">
      <w:pPr>
        <w:rPr>
          <w:highlight w:val="none"/>
        </w:rPr>
      </w:pPr>
    </w:p>
    <w:p w14:paraId="09F4C685">
      <w:pPr>
        <w:rPr>
          <w:highlight w:val="none"/>
        </w:rPr>
      </w:pPr>
    </w:p>
    <w:p w14:paraId="76886DEC">
      <w:pPr>
        <w:rPr>
          <w:highlight w:val="none"/>
        </w:rPr>
      </w:pPr>
    </w:p>
    <w:p w14:paraId="33BFBE05">
      <w:pPr>
        <w:rPr>
          <w:highlight w:val="none"/>
        </w:rPr>
      </w:pPr>
    </w:p>
    <w:p w14:paraId="3FF305EE">
      <w:pPr>
        <w:rPr>
          <w:highlight w:val="none"/>
        </w:rPr>
      </w:pPr>
    </w:p>
    <w:p w14:paraId="475391E9">
      <w:pPr>
        <w:rPr>
          <w:highlight w:val="none"/>
        </w:rPr>
      </w:pPr>
    </w:p>
    <w:p w14:paraId="7B755F0D">
      <w:pPr>
        <w:rPr>
          <w:highlight w:val="none"/>
        </w:rPr>
      </w:pPr>
      <w:r>
        <w:rPr>
          <w:highlight w:val="none"/>
        </w:rPr>
        <w:br w:type="page"/>
      </w:r>
    </w:p>
    <w:p w14:paraId="74C81DD0">
      <w:pPr>
        <w:rPr>
          <w:highlight w:val="none"/>
        </w:rPr>
      </w:pPr>
    </w:p>
    <w:p w14:paraId="30F33E6E">
      <w:pPr>
        <w:rPr>
          <w:highlight w:val="none"/>
        </w:rPr>
      </w:pPr>
    </w:p>
    <w:p w14:paraId="0D48D528">
      <w:pPr>
        <w:pStyle w:val="2"/>
        <w:spacing w:before="0" w:after="0" w:line="360" w:lineRule="auto"/>
        <w:jc w:val="center"/>
        <w:rPr>
          <w:sz w:val="28"/>
          <w:szCs w:val="28"/>
          <w:highlight w:val="none"/>
        </w:rPr>
      </w:pPr>
      <w:bookmarkStart w:id="52" w:name="_Toc31664"/>
      <w:r>
        <w:rPr>
          <w:sz w:val="28"/>
          <w:szCs w:val="28"/>
          <w:highlight w:val="none"/>
        </w:rPr>
        <w:t xml:space="preserve">第五章 </w:t>
      </w:r>
      <w:r>
        <w:rPr>
          <w:rFonts w:hint="eastAsia"/>
          <w:sz w:val="28"/>
          <w:szCs w:val="28"/>
          <w:highlight w:val="none"/>
        </w:rPr>
        <w:t>框架协议（格式）</w:t>
      </w:r>
      <w:bookmarkEnd w:id="51"/>
      <w:bookmarkEnd w:id="52"/>
    </w:p>
    <w:p w14:paraId="41FDA5BE">
      <w:pPr>
        <w:rPr>
          <w:highlight w:val="none"/>
        </w:rPr>
      </w:pPr>
    </w:p>
    <w:p w14:paraId="637F861E">
      <w:pPr>
        <w:spacing w:line="360" w:lineRule="auto"/>
        <w:jc w:val="center"/>
        <w:rPr>
          <w:rFonts w:hint="eastAsia" w:ascii="宋体" w:hAnsi="宋体" w:eastAsia="宋体" w:cs="宋体"/>
          <w:b/>
          <w:bCs w:val="0"/>
          <w:sz w:val="28"/>
          <w:szCs w:val="28"/>
          <w:highlight w:val="none"/>
          <w:lang w:eastAsia="zh-CN"/>
        </w:rPr>
      </w:pPr>
      <w:bookmarkStart w:id="53" w:name="_Toc97561719"/>
      <w:r>
        <w:rPr>
          <w:rFonts w:hint="eastAsia" w:ascii="宋体" w:hAnsi="宋体" w:eastAsia="宋体" w:cs="宋体"/>
          <w:b/>
          <w:bCs w:val="0"/>
          <w:sz w:val="28"/>
          <w:szCs w:val="28"/>
          <w:highlight w:val="none"/>
        </w:rPr>
        <w:t>封闭式框架协议</w:t>
      </w:r>
    </w:p>
    <w:p w14:paraId="50AABB6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sz w:val="21"/>
          <w:szCs w:val="21"/>
          <w:highlight w:val="none"/>
        </w:rPr>
        <w:t>甲方：</w:t>
      </w:r>
      <w:r>
        <w:rPr>
          <w:rFonts w:hint="eastAsia" w:ascii="宋体" w:hAnsi="宋体" w:cs="宋体"/>
          <w:b w:val="0"/>
          <w:bCs/>
          <w:kern w:val="0"/>
          <w:sz w:val="21"/>
          <w:szCs w:val="21"/>
          <w:highlight w:val="none"/>
          <w:lang w:eastAsia="zh-CN"/>
        </w:rPr>
        <w:t>和</w:t>
      </w:r>
      <w:r>
        <w:rPr>
          <w:rFonts w:hint="eastAsia" w:ascii="宋体" w:hAnsi="宋体" w:cs="宋体"/>
          <w:b w:val="0"/>
          <w:bCs/>
          <w:color w:val="auto"/>
          <w:kern w:val="0"/>
          <w:sz w:val="21"/>
          <w:szCs w:val="21"/>
          <w:highlight w:val="none"/>
          <w:lang w:eastAsia="zh-CN"/>
        </w:rPr>
        <w:t>龙市发展和改革局</w:t>
      </w:r>
    </w:p>
    <w:p w14:paraId="6ED6916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地址：</w:t>
      </w:r>
      <w:r>
        <w:rPr>
          <w:rFonts w:hint="eastAsia" w:ascii="宋体" w:hAnsi="宋体" w:cs="宋体"/>
          <w:b w:val="0"/>
          <w:bCs/>
          <w:color w:val="auto"/>
          <w:kern w:val="0"/>
          <w:sz w:val="21"/>
          <w:szCs w:val="21"/>
          <w:highlight w:val="none"/>
          <w:lang w:eastAsia="zh-CN"/>
        </w:rPr>
        <w:t>和龙市文化路24号</w:t>
      </w:r>
    </w:p>
    <w:p w14:paraId="38880EC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乙方：</w:t>
      </w:r>
    </w:p>
    <w:p w14:paraId="5DB611C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地址：               </w:t>
      </w:r>
    </w:p>
    <w:p w14:paraId="7B985E0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入围框架协议项目名称：</w:t>
      </w:r>
      <w:r>
        <w:rPr>
          <w:rFonts w:hint="eastAsia" w:ascii="宋体" w:hAnsi="宋体" w:cs="宋体"/>
          <w:b w:val="0"/>
          <w:bCs/>
          <w:color w:val="auto"/>
          <w:sz w:val="21"/>
          <w:szCs w:val="21"/>
          <w:highlight w:val="none"/>
          <w:lang w:eastAsia="zh-CN"/>
        </w:rPr>
        <w:t>2025年-2027年和龙市发展和改革局项目综合评审封闭式框架协议采购项目</w:t>
      </w:r>
    </w:p>
    <w:p w14:paraId="73AF5AE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入围框架协议项目编号：</w:t>
      </w:r>
    </w:p>
    <w:p w14:paraId="48B88DB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乙双方本着平等互利、诚实守信的原则，依据《中华人民共和国民法典》、《中华人民共和国中国政府采购法》、《中华人民共和国政府采购法实施条例》、《政府采购框架协议采购方式管理暂行办法》以及相关法律、法规的规定，就甲方委托乙方提供咨询评估事宜，达成如下协议以共同遵守。</w:t>
      </w:r>
    </w:p>
    <w:p w14:paraId="6B8A9B2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1、服务事项</w:t>
      </w:r>
    </w:p>
    <w:p w14:paraId="7CAD89D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1.1框架协议服务要求：乙方根据甲方实际项目需求，为甲方</w:t>
      </w:r>
      <w:r>
        <w:rPr>
          <w:rFonts w:hint="eastAsia" w:ascii="宋体" w:hAnsi="宋体" w:eastAsia="宋体" w:cs="宋体"/>
          <w:b w:val="0"/>
          <w:bCs/>
          <w:color w:val="auto"/>
          <w:sz w:val="21"/>
          <w:szCs w:val="21"/>
          <w:highlight w:val="none"/>
        </w:rPr>
        <w:t>提供风险评审，项目综合评审，规划、课题评</w:t>
      </w:r>
      <w:r>
        <w:rPr>
          <w:rFonts w:hint="eastAsia" w:ascii="宋体" w:hAnsi="宋体" w:eastAsia="宋体" w:cs="宋体"/>
          <w:b w:val="0"/>
          <w:bCs/>
          <w:color w:val="auto"/>
          <w:sz w:val="21"/>
          <w:szCs w:val="21"/>
          <w:highlight w:val="none"/>
          <w:lang w:val="en-US" w:eastAsia="zh-CN"/>
        </w:rPr>
        <w:t>审</w:t>
      </w:r>
      <w:r>
        <w:rPr>
          <w:rFonts w:hint="eastAsia" w:ascii="宋体" w:hAnsi="宋体" w:eastAsia="宋体" w:cs="宋体"/>
          <w:b w:val="0"/>
          <w:bCs/>
          <w:color w:val="auto"/>
          <w:sz w:val="21"/>
          <w:szCs w:val="21"/>
          <w:highlight w:val="none"/>
        </w:rPr>
        <w:t>服务，并在甲方要求时限内完成，并递交成果文件。</w:t>
      </w:r>
    </w:p>
    <w:p w14:paraId="381409A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1.2框架协议服务期限：合同签订后</w:t>
      </w:r>
      <w:r>
        <w:rPr>
          <w:rFonts w:hint="eastAsia" w:ascii="宋体" w:hAnsi="宋体" w:cs="宋体"/>
          <w:b w:val="0"/>
          <w:bCs/>
          <w:color w:val="auto"/>
          <w:sz w:val="21"/>
          <w:szCs w:val="21"/>
          <w:highlight w:val="none"/>
          <w:lang w:val="en-US" w:eastAsia="zh-CN"/>
        </w:rPr>
        <w:t>24个月</w:t>
      </w:r>
      <w:r>
        <w:rPr>
          <w:rFonts w:hint="eastAsia" w:ascii="宋体" w:hAnsi="宋体" w:eastAsia="宋体" w:cs="宋体"/>
          <w:b w:val="0"/>
          <w:bCs/>
          <w:color w:val="auto"/>
          <w:sz w:val="21"/>
          <w:szCs w:val="21"/>
          <w:highlight w:val="none"/>
        </w:rPr>
        <w:t>。</w:t>
      </w:r>
    </w:p>
    <w:p w14:paraId="518474B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2、采购需求、最高限制单价、成果文件要求</w:t>
      </w:r>
    </w:p>
    <w:p w14:paraId="013813E8">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2.1采购需求：</w:t>
      </w:r>
    </w:p>
    <w:p w14:paraId="60365A4A">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项目综合评审，对和龙市发改组织的申请财政资金的项目开展批量评审、排序等工作。重点考查评审项目建设的必要性、是否符合有关文件要求，对报告编制的要求、方案的合理性、总投资及资金筹措等综合评审并出具评审报告。</w:t>
      </w:r>
    </w:p>
    <w:p w14:paraId="1447FDFA">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规划、课题评审，对</w:t>
      </w:r>
      <w:r>
        <w:rPr>
          <w:rFonts w:hint="eastAsia" w:ascii="宋体" w:hAnsi="宋体" w:cs="宋体"/>
          <w:color w:val="auto"/>
          <w:sz w:val="21"/>
          <w:szCs w:val="21"/>
          <w:highlight w:val="none"/>
          <w:u w:val="none"/>
          <w:shd w:val="clear" w:color="auto" w:fill="auto"/>
          <w:lang w:val="en-US" w:eastAsia="zh-CN"/>
        </w:rPr>
        <w:t>和龙市发改</w:t>
      </w:r>
      <w:r>
        <w:rPr>
          <w:rFonts w:hint="eastAsia" w:ascii="宋体" w:hAnsi="宋体" w:eastAsia="宋体" w:cs="宋体"/>
          <w:color w:val="auto"/>
          <w:sz w:val="21"/>
          <w:szCs w:val="21"/>
          <w:highlight w:val="none"/>
          <w:u w:val="none"/>
          <w:shd w:val="clear" w:color="auto" w:fill="auto"/>
          <w:lang w:val="en-US" w:eastAsia="zh-CN"/>
        </w:rPr>
        <w:t>组织编制的规划、课题进行评审，包括：总体规划、专项规划、课题评审。重点考查规划、课题是否合理有效、工作内容是否全面准确、工作过程是否规范扎实、工作成效是否突出显现，指出存在问题，给出评审结论，提出意见建议。</w:t>
      </w:r>
    </w:p>
    <w:p w14:paraId="32D28C76">
      <w:pPr>
        <w:pStyle w:val="51"/>
        <w:keepNext w:val="0"/>
        <w:keepLines w:val="0"/>
        <w:pageBreakBefore w:val="0"/>
        <w:widowControl w:val="0"/>
        <w:kinsoku/>
        <w:wordWrap/>
        <w:overflowPunct/>
        <w:topLinePunct w:val="0"/>
        <w:autoSpaceDE/>
        <w:autoSpaceDN/>
        <w:bidi w:val="0"/>
        <w:adjustRightInd/>
        <w:snapToGrid w:val="0"/>
        <w:spacing w:after="0" w:line="480" w:lineRule="auto"/>
        <w:ind w:left="0" w:leftChars="0" w:firstLine="420" w:firstLineChars="20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风险评审，对</w:t>
      </w:r>
      <w:r>
        <w:rPr>
          <w:rFonts w:hint="eastAsia" w:ascii="宋体" w:hAnsi="宋体" w:cs="宋体"/>
          <w:color w:val="auto"/>
          <w:sz w:val="21"/>
          <w:szCs w:val="21"/>
          <w:highlight w:val="none"/>
          <w:u w:val="none"/>
          <w:shd w:val="clear" w:color="auto" w:fill="auto"/>
          <w:lang w:val="en-US" w:eastAsia="zh-CN"/>
        </w:rPr>
        <w:t>和龙市发改</w:t>
      </w:r>
      <w:r>
        <w:rPr>
          <w:rFonts w:hint="eastAsia" w:ascii="宋体" w:hAnsi="宋体" w:eastAsia="宋体" w:cs="宋体"/>
          <w:color w:val="auto"/>
          <w:sz w:val="21"/>
          <w:szCs w:val="21"/>
          <w:highlight w:val="none"/>
          <w:u w:val="none"/>
          <w:shd w:val="clear" w:color="auto" w:fill="auto"/>
          <w:lang w:val="en-US" w:eastAsia="zh-CN"/>
        </w:rPr>
        <w:t>制定的拟出台的政策、意见、建议等重大事项在组织实施或审批审核前，进行有可能影响社会稳定的隐患和风险评估，包括合法性、合理性、可行性、可控性等方面开展调查、预测、分析和评审。通过对显性风险、潜在风险和可能诱发风险的因素进行综合研判，从高到低Ⅰ、Ⅱ、Ⅲ、Ⅳ四个风险等级中评定出相应等级标准，出具不实施、暂缓实施、部分实施或试行实施、实施的评审报告。</w:t>
      </w:r>
    </w:p>
    <w:p w14:paraId="0A48D45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2.2采购预算：项目综合评审，1万元/个；风险评审，1.5万元/个；规划、课题评审，2.5万元/个。</w:t>
      </w:r>
    </w:p>
    <w:p w14:paraId="3F3E0F2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w:t>
      </w:r>
      <w:r>
        <w:rPr>
          <w:rFonts w:hint="eastAsia" w:ascii="宋体" w:hAnsi="宋体" w:eastAsia="宋体" w:cs="宋体"/>
          <w:b w:val="0"/>
          <w:bCs/>
          <w:color w:val="auto"/>
          <w:sz w:val="21"/>
          <w:szCs w:val="21"/>
          <w:highlight w:val="none"/>
          <w:lang w:val="en-US" w:eastAsia="zh-CN"/>
        </w:rPr>
        <w:t>乙方出具的</w:t>
      </w:r>
      <w:r>
        <w:rPr>
          <w:rFonts w:hint="eastAsia" w:ascii="宋体" w:hAnsi="宋体" w:eastAsia="宋体" w:cs="宋体"/>
          <w:b w:val="0"/>
          <w:bCs/>
          <w:color w:val="auto"/>
          <w:sz w:val="21"/>
          <w:szCs w:val="21"/>
          <w:highlight w:val="none"/>
        </w:rPr>
        <w:t>成果文件应符合相关法律法规及</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要求。</w:t>
      </w:r>
    </w:p>
    <w:p w14:paraId="24644DD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bookmarkStart w:id="54" w:name="_Toc864"/>
      <w:r>
        <w:rPr>
          <w:rFonts w:hint="eastAsia" w:ascii="宋体" w:hAnsi="宋体" w:eastAsia="宋体" w:cs="宋体"/>
          <w:b w:val="0"/>
          <w:bCs/>
          <w:color w:val="auto"/>
          <w:sz w:val="21"/>
          <w:szCs w:val="21"/>
          <w:highlight w:val="none"/>
        </w:rPr>
        <w:t>3、第一阶段服务内容、服务标准、协议价格：</w:t>
      </w:r>
    </w:p>
    <w:p w14:paraId="2C5279D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3.1服务内容：按国家及省有关规定，对</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委托的咨询评估事项开展评估论证，为</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决策事项进行风险评估、对投资项目进行社会稳定风险评估、规划评估、研究课题等评估，提供技术咨询服务。</w:t>
      </w:r>
    </w:p>
    <w:p w14:paraId="4B75257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3.2服务标准：</w:t>
      </w:r>
    </w:p>
    <w:p w14:paraId="15BD98F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符合《国家发展改革委关于印发国家发展改革委重大固定资产投资项目社会稳定风险评估暂行办法的通知》（发改投资【2012】2492号）、《国家发展改革委办公厅关于印发重大固定资产投资项目社会稳定风险分析篇章和评估报告编制大纲（试行）的通知》（发改办投资【2013】428号）、《吉林省发展改革委关于转发国家发展改革委重大固定资产投资项目社会稳定风险评估有关规定的通知》（吉发改投资【2013】328号）等国家及省有关规定。</w:t>
      </w:r>
    </w:p>
    <w:p w14:paraId="3A39A52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规划评估的主要内容包括分析论证规划基础、发展环境、发展思路和规划目标，评估规划方案，评估规划的比较优势和制约因素，评估规划实施的资源要素需求，评估规划实施保障措施，提出评估意见和建议等，并对规划报告质量提出评价意见。</w:t>
      </w:r>
    </w:p>
    <w:p w14:paraId="66C32F8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（3）咨询评估涉及到的技术标准，应当符合国家有关的建设标准和规范的规定。咨询评估成果能够客观、真实反映项目的实际内容。</w:t>
      </w:r>
    </w:p>
    <w:p w14:paraId="05BCB04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3.3协议价格：   万元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入围价格</w:t>
      </w:r>
      <w:r>
        <w:rPr>
          <w:rFonts w:hint="eastAsia" w:ascii="宋体" w:hAnsi="宋体" w:eastAsia="宋体" w:cs="宋体"/>
          <w:b w:val="0"/>
          <w:bCs/>
          <w:color w:val="auto"/>
          <w:sz w:val="21"/>
          <w:szCs w:val="21"/>
          <w:highlight w:val="none"/>
          <w:lang w:eastAsia="zh-CN"/>
        </w:rPr>
        <w:t>）</w:t>
      </w:r>
    </w:p>
    <w:p w14:paraId="56107EC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4、确定第二阶段成交供应商的方式：直接选定。</w:t>
      </w:r>
    </w:p>
    <w:p w14:paraId="405E8F0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5、履行合同的地域范围：</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w:t>
      </w:r>
    </w:p>
    <w:p w14:paraId="4BD765A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6、资金支付方式</w:t>
      </w:r>
      <w:bookmarkEnd w:id="54"/>
      <w:r>
        <w:rPr>
          <w:rFonts w:hint="eastAsia" w:ascii="宋体" w:hAnsi="宋体" w:eastAsia="宋体" w:cs="宋体"/>
          <w:b w:val="0"/>
          <w:bCs/>
          <w:color w:val="auto"/>
          <w:sz w:val="21"/>
          <w:szCs w:val="21"/>
          <w:highlight w:val="none"/>
        </w:rPr>
        <w:t>、时间和条件</w:t>
      </w:r>
    </w:p>
    <w:p w14:paraId="03F8E00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6.1支付方式：</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以双方协商后实际签订为准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                   </w:t>
      </w:r>
    </w:p>
    <w:p w14:paraId="075699A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6.2支付时间：</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以双方协商后实际签订为准</w:t>
      </w:r>
      <w:r>
        <w:rPr>
          <w:rFonts w:hint="eastAsia" w:ascii="宋体" w:hAnsi="宋体" w:cs="宋体"/>
          <w:b w:val="0"/>
          <w:bCs/>
          <w:color w:val="auto"/>
          <w:sz w:val="21"/>
          <w:szCs w:val="21"/>
          <w:highlight w:val="none"/>
          <w:lang w:eastAsia="zh-CN"/>
        </w:rPr>
        <w:t>）</w:t>
      </w:r>
    </w:p>
    <w:p w14:paraId="5F4CD78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6.3</w:t>
      </w:r>
      <w:r>
        <w:rPr>
          <w:rFonts w:hint="eastAsia" w:ascii="宋体" w:hAnsi="宋体" w:eastAsia="宋体" w:cs="宋体"/>
          <w:b w:val="0"/>
          <w:bCs/>
          <w:color w:val="auto"/>
          <w:sz w:val="21"/>
          <w:szCs w:val="21"/>
          <w:highlight w:val="none"/>
        </w:rPr>
        <w:t>支付条件</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以双方协商后实际签订为准</w:t>
      </w:r>
      <w:r>
        <w:rPr>
          <w:rFonts w:hint="eastAsia" w:ascii="宋体" w:hAnsi="宋体" w:cs="宋体"/>
          <w:b w:val="0"/>
          <w:bCs/>
          <w:color w:val="auto"/>
          <w:sz w:val="21"/>
          <w:szCs w:val="21"/>
          <w:highlight w:val="none"/>
          <w:lang w:eastAsia="zh-CN"/>
        </w:rPr>
        <w:t>）</w:t>
      </w:r>
    </w:p>
    <w:p w14:paraId="0068EAC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6.4对于额度较大、特殊或重大事项评估评审费用 ，需按甲方现行相关规定按程序报审。</w:t>
      </w:r>
      <w:r>
        <w:rPr>
          <w:rFonts w:hint="eastAsia" w:ascii="宋体" w:hAnsi="宋体" w:eastAsia="宋体" w:cs="宋体"/>
          <w:b w:val="0"/>
          <w:bCs/>
          <w:color w:val="auto"/>
          <w:sz w:val="21"/>
          <w:szCs w:val="21"/>
          <w:highlight w:val="none"/>
        </w:rPr>
        <w:t xml:space="preserve">                 </w:t>
      </w:r>
    </w:p>
    <w:p w14:paraId="6092371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7、入围供应商清退和补充规则</w:t>
      </w:r>
    </w:p>
    <w:p w14:paraId="32B60E4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7.1入围供应商清退原则：</w:t>
      </w:r>
    </w:p>
    <w:p w14:paraId="1F42934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入围供应商有《政府采购框架协议采购方式管理暂行办法》（财政部令第110号）第十九条第一款规定情形之一，尚未签订框架协议的，取消其入围资格；已经签订框架协议的，解除与其签订的框架协议。</w:t>
      </w:r>
    </w:p>
    <w:p w14:paraId="3B83A25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7.2入围供应商补充原则：</w:t>
      </w:r>
    </w:p>
    <w:p w14:paraId="4493C04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除剩余入围供应商不足入围供应商总数70%</w:t>
      </w:r>
      <w:r>
        <w:rPr>
          <w:rFonts w:hint="eastAsia" w:ascii="宋体" w:hAnsi="宋体" w:eastAsia="宋体" w:cs="宋体"/>
          <w:b w:val="0"/>
          <w:bCs/>
          <w:sz w:val="21"/>
          <w:szCs w:val="21"/>
          <w:highlight w:val="none"/>
          <w:lang w:eastAsia="zh-CN"/>
        </w:rPr>
        <w:t>且影响框架协议执行的情形外，框架协议有效期内，征集人不得补充征集供应商。征集人补充征集供应商的，补充征集规则应当在框架协议中约定，补充征集的条件、程序、评审方法和淘汰比例应当与初次征集相同。补充征集应当遵守原框架协议的有效期。补充征集期间，原框架协议继续履行。</w:t>
      </w:r>
    </w:p>
    <w:p w14:paraId="571F979F">
      <w:pPr>
        <w:keepNext w:val="0"/>
        <w:keepLines w:val="0"/>
        <w:pageBreakBefore w:val="0"/>
        <w:widowControl w:val="0"/>
        <w:numPr>
          <w:ilvl w:val="0"/>
          <w:numId w:val="2"/>
        </w:numPr>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权利和义务</w:t>
      </w:r>
    </w:p>
    <w:p w14:paraId="14A6E23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8</w:t>
      </w:r>
      <w:r>
        <w:rPr>
          <w:rFonts w:hint="eastAsia" w:ascii="宋体" w:hAnsi="宋体" w:eastAsia="宋体" w:cs="宋体"/>
          <w:b w:val="0"/>
          <w:bCs/>
          <w:sz w:val="21"/>
          <w:szCs w:val="21"/>
          <w:highlight w:val="none"/>
        </w:rPr>
        <w:t>.1甲方的权利</w:t>
      </w:r>
    </w:p>
    <w:p w14:paraId="54E79C10">
      <w:pPr>
        <w:keepNext w:val="0"/>
        <w:keepLines w:val="0"/>
        <w:pageBreakBefore w:val="0"/>
        <w:widowControl w:val="0"/>
        <w:numPr>
          <w:ilvl w:val="0"/>
          <w:numId w:val="3"/>
        </w:numPr>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确定框架协议采购需求</w:t>
      </w:r>
      <w:r>
        <w:rPr>
          <w:rFonts w:hint="eastAsia" w:ascii="宋体" w:hAnsi="宋体" w:eastAsia="宋体" w:cs="宋体"/>
          <w:b w:val="0"/>
          <w:bCs/>
          <w:sz w:val="21"/>
          <w:szCs w:val="21"/>
          <w:highlight w:val="none"/>
          <w:lang w:eastAsia="zh-CN"/>
        </w:rPr>
        <w:t>。</w:t>
      </w:r>
    </w:p>
    <w:p w14:paraId="6C71CA53">
      <w:pPr>
        <w:keepNext w:val="0"/>
        <w:keepLines w:val="0"/>
        <w:pageBreakBefore w:val="0"/>
        <w:widowControl w:val="0"/>
        <w:numPr>
          <w:ilvl w:val="0"/>
          <w:numId w:val="3"/>
        </w:numPr>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确定最高限制单价</w:t>
      </w:r>
      <w:r>
        <w:rPr>
          <w:rFonts w:hint="eastAsia" w:ascii="宋体" w:hAnsi="宋体" w:eastAsia="宋体" w:cs="宋体"/>
          <w:b w:val="0"/>
          <w:bCs/>
          <w:sz w:val="21"/>
          <w:szCs w:val="21"/>
          <w:highlight w:val="none"/>
          <w:lang w:eastAsia="zh-CN"/>
        </w:rPr>
        <w:t>。</w:t>
      </w:r>
    </w:p>
    <w:p w14:paraId="24A67B6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(3）确定框架协议有限期</w:t>
      </w:r>
      <w:r>
        <w:rPr>
          <w:rFonts w:hint="eastAsia" w:ascii="宋体" w:hAnsi="宋体" w:eastAsia="宋体" w:cs="宋体"/>
          <w:b w:val="0"/>
          <w:bCs/>
          <w:sz w:val="21"/>
          <w:szCs w:val="21"/>
          <w:highlight w:val="none"/>
          <w:lang w:eastAsia="zh-CN"/>
        </w:rPr>
        <w:t>。</w:t>
      </w:r>
    </w:p>
    <w:p w14:paraId="7B7AAB7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(4）制定统一的采购合同文本供</w:t>
      </w:r>
      <w:r>
        <w:rPr>
          <w:rFonts w:hint="eastAsia" w:ascii="宋体" w:hAnsi="宋体" w:eastAsia="宋体" w:cs="宋体"/>
          <w:b w:val="0"/>
          <w:bCs/>
          <w:sz w:val="21"/>
          <w:szCs w:val="21"/>
          <w:highlight w:val="none"/>
          <w:lang w:val="en-US" w:eastAsia="zh-CN"/>
        </w:rPr>
        <w:t>甲方、乙方</w:t>
      </w:r>
      <w:r>
        <w:rPr>
          <w:rFonts w:hint="eastAsia" w:ascii="宋体" w:hAnsi="宋体" w:eastAsia="宋体" w:cs="宋体"/>
          <w:b w:val="0"/>
          <w:bCs/>
          <w:sz w:val="21"/>
          <w:szCs w:val="21"/>
          <w:highlight w:val="none"/>
        </w:rPr>
        <w:t>使用，并明确要求</w:t>
      </w:r>
      <w:r>
        <w:rPr>
          <w:rFonts w:hint="eastAsia" w:ascii="宋体" w:hAnsi="宋体" w:eastAsia="宋体" w:cs="宋体"/>
          <w:b w:val="0"/>
          <w:bCs/>
          <w:sz w:val="21"/>
          <w:szCs w:val="21"/>
          <w:highlight w:val="none"/>
          <w:lang w:val="en-US" w:eastAsia="zh-CN"/>
        </w:rPr>
        <w:t>甲方、乙方</w:t>
      </w:r>
      <w:r>
        <w:rPr>
          <w:rFonts w:hint="eastAsia" w:ascii="宋体" w:hAnsi="宋体" w:eastAsia="宋体" w:cs="宋体"/>
          <w:b w:val="0"/>
          <w:bCs/>
          <w:sz w:val="21"/>
          <w:szCs w:val="21"/>
          <w:highlight w:val="none"/>
        </w:rPr>
        <w:t>不得擅自改变框架协议约定的合同实质性条款</w:t>
      </w:r>
      <w:r>
        <w:rPr>
          <w:rFonts w:hint="eastAsia" w:ascii="宋体" w:hAnsi="宋体" w:eastAsia="宋体" w:cs="宋体"/>
          <w:b w:val="0"/>
          <w:bCs/>
          <w:sz w:val="21"/>
          <w:szCs w:val="21"/>
          <w:highlight w:val="none"/>
          <w:lang w:eastAsia="zh-CN"/>
        </w:rPr>
        <w:t>。</w:t>
      </w:r>
    </w:p>
    <w:p w14:paraId="557C3CC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(5）乙方存在《政府采购框架协议采购方式管理暂行办法》第十九条第一款规定的情形时，取消入围供应商的入围资格，或解除与其签订的框架协议</w:t>
      </w:r>
      <w:r>
        <w:rPr>
          <w:rFonts w:hint="eastAsia" w:ascii="宋体" w:hAnsi="宋体" w:eastAsia="宋体" w:cs="宋体"/>
          <w:b w:val="0"/>
          <w:bCs/>
          <w:sz w:val="21"/>
          <w:szCs w:val="21"/>
          <w:highlight w:val="none"/>
          <w:lang w:eastAsia="zh-CN"/>
        </w:rPr>
        <w:t>。</w:t>
      </w:r>
    </w:p>
    <w:p w14:paraId="5A79729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(6）在框架协议期内，随时对乙方及其委托的代理商履约情况进行检查</w:t>
      </w:r>
      <w:r>
        <w:rPr>
          <w:rFonts w:hint="eastAsia" w:ascii="宋体" w:hAnsi="宋体" w:eastAsia="宋体" w:cs="宋体"/>
          <w:b w:val="0"/>
          <w:bCs/>
          <w:sz w:val="21"/>
          <w:szCs w:val="21"/>
          <w:highlight w:val="none"/>
          <w:lang w:eastAsia="zh-CN"/>
        </w:rPr>
        <w:t>。</w:t>
      </w:r>
    </w:p>
    <w:p w14:paraId="5A3A349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8</w:t>
      </w:r>
      <w:r>
        <w:rPr>
          <w:rFonts w:hint="eastAsia" w:ascii="宋体" w:hAnsi="宋体" w:eastAsia="宋体" w:cs="宋体"/>
          <w:b w:val="0"/>
          <w:bCs/>
          <w:sz w:val="21"/>
          <w:szCs w:val="21"/>
          <w:highlight w:val="none"/>
        </w:rPr>
        <w:t>.2甲方的义务</w:t>
      </w:r>
    </w:p>
    <w:p w14:paraId="2602573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为第二阶段合同授予提供工作便利</w:t>
      </w:r>
      <w:r>
        <w:rPr>
          <w:rFonts w:hint="eastAsia" w:ascii="宋体" w:hAnsi="宋体" w:eastAsia="宋体" w:cs="宋体"/>
          <w:b w:val="0"/>
          <w:bCs/>
          <w:sz w:val="21"/>
          <w:szCs w:val="21"/>
          <w:highlight w:val="none"/>
          <w:lang w:eastAsia="zh-CN"/>
        </w:rPr>
        <w:t>。</w:t>
      </w:r>
    </w:p>
    <w:p w14:paraId="739E4DC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对第二阶段最高限价和需求标准执行情况进行管理</w:t>
      </w:r>
      <w:r>
        <w:rPr>
          <w:rFonts w:hint="eastAsia" w:ascii="宋体" w:hAnsi="宋体" w:eastAsia="宋体" w:cs="宋体"/>
          <w:b w:val="0"/>
          <w:bCs/>
          <w:sz w:val="21"/>
          <w:szCs w:val="21"/>
          <w:highlight w:val="none"/>
          <w:lang w:eastAsia="zh-CN"/>
        </w:rPr>
        <w:t>。</w:t>
      </w:r>
    </w:p>
    <w:p w14:paraId="0B6954B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对第二阶段确定成交供应商情况进行管理</w:t>
      </w:r>
      <w:r>
        <w:rPr>
          <w:rFonts w:hint="eastAsia" w:ascii="宋体" w:hAnsi="宋体" w:eastAsia="宋体" w:cs="宋体"/>
          <w:b w:val="0"/>
          <w:bCs/>
          <w:sz w:val="21"/>
          <w:szCs w:val="21"/>
          <w:highlight w:val="none"/>
          <w:lang w:eastAsia="zh-CN"/>
        </w:rPr>
        <w:t>。</w:t>
      </w:r>
    </w:p>
    <w:p w14:paraId="5FBF9B2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(4)</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建立用户反馈和评价机制，接受</w:t>
      </w:r>
      <w:r>
        <w:rPr>
          <w:rFonts w:hint="eastAsia" w:ascii="宋体" w:hAnsi="宋体" w:eastAsia="宋体" w:cs="宋体"/>
          <w:b w:val="0"/>
          <w:bCs/>
          <w:sz w:val="21"/>
          <w:szCs w:val="21"/>
          <w:highlight w:val="none"/>
          <w:lang w:val="en-US" w:eastAsia="zh-CN"/>
        </w:rPr>
        <w:t>甲方</w:t>
      </w:r>
      <w:r>
        <w:rPr>
          <w:rFonts w:hint="eastAsia" w:ascii="宋体" w:hAnsi="宋体" w:eastAsia="宋体" w:cs="宋体"/>
          <w:b w:val="0"/>
          <w:bCs/>
          <w:sz w:val="21"/>
          <w:szCs w:val="21"/>
          <w:highlight w:val="none"/>
        </w:rPr>
        <w:t>和服务对象对入围供应商履行框架协议和采购合同情况的反馈与评价，并将用户反馈和评价情况向</w:t>
      </w:r>
      <w:r>
        <w:rPr>
          <w:rFonts w:hint="eastAsia" w:ascii="宋体" w:hAnsi="宋体" w:eastAsia="宋体" w:cs="宋体"/>
          <w:b w:val="0"/>
          <w:bCs/>
          <w:sz w:val="21"/>
          <w:szCs w:val="21"/>
          <w:highlight w:val="none"/>
          <w:lang w:val="en-US" w:eastAsia="zh-CN"/>
        </w:rPr>
        <w:t>甲方</w:t>
      </w:r>
      <w:r>
        <w:rPr>
          <w:rFonts w:hint="eastAsia" w:ascii="宋体" w:hAnsi="宋体" w:eastAsia="宋体" w:cs="宋体"/>
          <w:b w:val="0"/>
          <w:bCs/>
          <w:sz w:val="21"/>
          <w:szCs w:val="21"/>
          <w:highlight w:val="none"/>
        </w:rPr>
        <w:t>和服务对象公开，作为第二阶段直接选定成交供应商的参考</w:t>
      </w:r>
      <w:r>
        <w:rPr>
          <w:rFonts w:hint="eastAsia" w:ascii="宋体" w:hAnsi="宋体" w:eastAsia="宋体" w:cs="宋体"/>
          <w:b w:val="0"/>
          <w:bCs/>
          <w:sz w:val="21"/>
          <w:szCs w:val="21"/>
          <w:highlight w:val="none"/>
          <w:lang w:eastAsia="zh-CN"/>
        </w:rPr>
        <w:t>。</w:t>
      </w:r>
    </w:p>
    <w:p w14:paraId="194917C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(5)公开封闭式框架协议的第二阶段成交结果</w:t>
      </w:r>
      <w:r>
        <w:rPr>
          <w:rFonts w:hint="eastAsia" w:ascii="宋体" w:hAnsi="宋体" w:eastAsia="宋体" w:cs="宋体"/>
          <w:b w:val="0"/>
          <w:bCs/>
          <w:sz w:val="21"/>
          <w:szCs w:val="21"/>
          <w:highlight w:val="none"/>
          <w:lang w:eastAsia="zh-CN"/>
        </w:rPr>
        <w:t>。</w:t>
      </w:r>
    </w:p>
    <w:p w14:paraId="78250D9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(6)办理入围供应商清退和补充相关事宜</w:t>
      </w:r>
      <w:r>
        <w:rPr>
          <w:rFonts w:hint="eastAsia" w:ascii="宋体" w:hAnsi="宋体" w:eastAsia="宋体" w:cs="宋体"/>
          <w:b w:val="0"/>
          <w:bCs/>
          <w:sz w:val="21"/>
          <w:szCs w:val="21"/>
          <w:highlight w:val="none"/>
          <w:lang w:eastAsia="zh-CN"/>
        </w:rPr>
        <w:t>。</w:t>
      </w:r>
    </w:p>
    <w:p w14:paraId="7FF9B0F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(7)建立真实完整的框架协议采购档案，妥善保存每项采购活动的采购文件资料</w:t>
      </w:r>
      <w:r>
        <w:rPr>
          <w:rFonts w:hint="eastAsia" w:ascii="宋体" w:hAnsi="宋体" w:eastAsia="宋体" w:cs="宋体"/>
          <w:b w:val="0"/>
          <w:bCs/>
          <w:sz w:val="21"/>
          <w:szCs w:val="21"/>
          <w:highlight w:val="none"/>
          <w:lang w:eastAsia="zh-CN"/>
        </w:rPr>
        <w:t>。</w:t>
      </w:r>
    </w:p>
    <w:p w14:paraId="44374BE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8</w:t>
      </w:r>
      <w:r>
        <w:rPr>
          <w:rFonts w:hint="eastAsia" w:ascii="宋体" w:hAnsi="宋体" w:eastAsia="宋体" w:cs="宋体"/>
          <w:b w:val="0"/>
          <w:bCs/>
          <w:sz w:val="21"/>
          <w:szCs w:val="21"/>
          <w:highlight w:val="none"/>
        </w:rPr>
        <w:t>.3乙方的权利</w:t>
      </w:r>
    </w:p>
    <w:p w14:paraId="587707C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(1)乙方具有为</w:t>
      </w:r>
      <w:r>
        <w:rPr>
          <w:rFonts w:hint="eastAsia" w:ascii="宋体" w:hAnsi="宋体" w:eastAsia="宋体" w:cs="宋体"/>
          <w:b w:val="0"/>
          <w:bCs/>
          <w:sz w:val="21"/>
          <w:szCs w:val="21"/>
          <w:highlight w:val="none"/>
          <w:lang w:val="en-US" w:eastAsia="zh-CN"/>
        </w:rPr>
        <w:t>甲方</w:t>
      </w:r>
      <w:r>
        <w:rPr>
          <w:rFonts w:hint="eastAsia" w:ascii="宋体" w:hAnsi="宋体" w:eastAsia="宋体" w:cs="宋体"/>
          <w:b w:val="0"/>
          <w:bCs/>
          <w:sz w:val="21"/>
          <w:szCs w:val="21"/>
          <w:highlight w:val="none"/>
        </w:rPr>
        <w:t>提供相关服务的资格</w:t>
      </w:r>
      <w:r>
        <w:rPr>
          <w:rFonts w:hint="eastAsia" w:ascii="宋体" w:hAnsi="宋体" w:eastAsia="宋体" w:cs="宋体"/>
          <w:b w:val="0"/>
          <w:bCs/>
          <w:sz w:val="21"/>
          <w:szCs w:val="21"/>
          <w:highlight w:val="none"/>
          <w:lang w:eastAsia="zh-CN"/>
        </w:rPr>
        <w:t>。</w:t>
      </w:r>
    </w:p>
    <w:p w14:paraId="497C7E7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(2)乙方有权拒绝</w:t>
      </w:r>
      <w:r>
        <w:rPr>
          <w:rFonts w:hint="eastAsia" w:ascii="宋体" w:hAnsi="宋体" w:eastAsia="宋体" w:cs="宋体"/>
          <w:b w:val="0"/>
          <w:bCs/>
          <w:sz w:val="21"/>
          <w:szCs w:val="21"/>
          <w:highlight w:val="none"/>
          <w:lang w:val="en-US" w:eastAsia="zh-CN"/>
        </w:rPr>
        <w:t>甲方</w:t>
      </w:r>
      <w:r>
        <w:rPr>
          <w:rFonts w:hint="eastAsia" w:ascii="宋体" w:hAnsi="宋体" w:eastAsia="宋体" w:cs="宋体"/>
          <w:b w:val="0"/>
          <w:bCs/>
          <w:sz w:val="21"/>
          <w:szCs w:val="21"/>
          <w:highlight w:val="none"/>
        </w:rPr>
        <w:t>提出的以本次框架协议采购名义购买满足</w:t>
      </w:r>
      <w:r>
        <w:rPr>
          <w:rFonts w:hint="eastAsia" w:ascii="宋体" w:hAnsi="宋体" w:eastAsia="宋体" w:cs="宋体"/>
          <w:b w:val="0"/>
          <w:bCs/>
          <w:sz w:val="21"/>
          <w:szCs w:val="21"/>
          <w:highlight w:val="none"/>
          <w:lang w:val="en-US" w:eastAsia="zh-CN"/>
        </w:rPr>
        <w:t>甲方</w:t>
      </w:r>
      <w:r>
        <w:rPr>
          <w:rFonts w:hint="eastAsia" w:ascii="宋体" w:hAnsi="宋体" w:eastAsia="宋体" w:cs="宋体"/>
          <w:b w:val="0"/>
          <w:bCs/>
          <w:sz w:val="21"/>
          <w:szCs w:val="21"/>
          <w:highlight w:val="none"/>
        </w:rPr>
        <w:t>超出响应承诺以外的其他要求</w:t>
      </w:r>
      <w:r>
        <w:rPr>
          <w:rFonts w:hint="eastAsia" w:ascii="宋体" w:hAnsi="宋体" w:eastAsia="宋体" w:cs="宋体"/>
          <w:b w:val="0"/>
          <w:bCs/>
          <w:sz w:val="21"/>
          <w:szCs w:val="21"/>
          <w:highlight w:val="none"/>
          <w:lang w:eastAsia="zh-CN"/>
        </w:rPr>
        <w:t>。</w:t>
      </w:r>
    </w:p>
    <w:p w14:paraId="0FD5F25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8</w:t>
      </w:r>
      <w:r>
        <w:rPr>
          <w:rFonts w:hint="eastAsia" w:ascii="宋体" w:hAnsi="宋体" w:eastAsia="宋体" w:cs="宋体"/>
          <w:b w:val="0"/>
          <w:bCs/>
          <w:sz w:val="21"/>
          <w:szCs w:val="21"/>
          <w:highlight w:val="none"/>
        </w:rPr>
        <w:t>.4乙方的义务</w:t>
      </w:r>
    </w:p>
    <w:p w14:paraId="62AB322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(1)严格执行国家法律法规，严格按照响应文件承诺的价格和服务履约，遵守本合同条款</w:t>
      </w:r>
      <w:r>
        <w:rPr>
          <w:rFonts w:hint="eastAsia" w:ascii="宋体" w:hAnsi="宋体" w:eastAsia="宋体" w:cs="宋体"/>
          <w:b w:val="0"/>
          <w:bCs/>
          <w:sz w:val="21"/>
          <w:szCs w:val="21"/>
          <w:highlight w:val="none"/>
          <w:lang w:eastAsia="zh-CN"/>
        </w:rPr>
        <w:t>。</w:t>
      </w:r>
    </w:p>
    <w:p w14:paraId="30A0020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(2)随时接受并配合甲方的监督检查，并配合财政部门对</w:t>
      </w:r>
      <w:r>
        <w:rPr>
          <w:rFonts w:hint="eastAsia" w:ascii="宋体" w:hAnsi="宋体" w:eastAsia="宋体" w:cs="宋体"/>
          <w:b w:val="0"/>
          <w:bCs/>
          <w:sz w:val="21"/>
          <w:szCs w:val="21"/>
          <w:highlight w:val="none"/>
          <w:lang w:eastAsia="zh-CN"/>
        </w:rPr>
        <w:t>甲方</w:t>
      </w:r>
      <w:r>
        <w:rPr>
          <w:rFonts w:hint="eastAsia" w:ascii="宋体" w:hAnsi="宋体" w:eastAsia="宋体" w:cs="宋体"/>
          <w:b w:val="0"/>
          <w:bCs/>
          <w:sz w:val="21"/>
          <w:szCs w:val="21"/>
          <w:highlight w:val="none"/>
        </w:rPr>
        <w:t>和其他入围供应商对框架协议执行情况进行监督，发现违规违约情形的，及时向财政部门报告</w:t>
      </w:r>
      <w:r>
        <w:rPr>
          <w:rFonts w:hint="eastAsia" w:ascii="宋体" w:hAnsi="宋体" w:eastAsia="宋体" w:cs="宋体"/>
          <w:b w:val="0"/>
          <w:bCs/>
          <w:sz w:val="21"/>
          <w:szCs w:val="21"/>
          <w:highlight w:val="none"/>
          <w:lang w:eastAsia="zh-CN"/>
        </w:rPr>
        <w:t>。</w:t>
      </w:r>
    </w:p>
    <w:p w14:paraId="48369DF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)在框架协议有效期内，按照不高于协议价格的价格向</w:t>
      </w:r>
      <w:r>
        <w:rPr>
          <w:rFonts w:hint="eastAsia" w:ascii="宋体" w:hAnsi="宋体" w:eastAsia="宋体" w:cs="宋体"/>
          <w:b w:val="0"/>
          <w:bCs/>
          <w:sz w:val="21"/>
          <w:szCs w:val="21"/>
          <w:highlight w:val="none"/>
          <w:lang w:eastAsia="zh-CN"/>
        </w:rPr>
        <w:t>甲方</w:t>
      </w:r>
      <w:r>
        <w:rPr>
          <w:rFonts w:hint="eastAsia" w:ascii="宋体" w:hAnsi="宋体" w:eastAsia="宋体" w:cs="宋体"/>
          <w:b w:val="0"/>
          <w:bCs/>
          <w:sz w:val="21"/>
          <w:szCs w:val="21"/>
          <w:highlight w:val="none"/>
        </w:rPr>
        <w:t>提供相关服务</w:t>
      </w:r>
      <w:r>
        <w:rPr>
          <w:rFonts w:hint="eastAsia" w:ascii="宋体" w:hAnsi="宋体" w:eastAsia="宋体" w:cs="宋体"/>
          <w:b w:val="0"/>
          <w:bCs/>
          <w:sz w:val="21"/>
          <w:szCs w:val="21"/>
          <w:highlight w:val="none"/>
          <w:lang w:eastAsia="zh-CN"/>
        </w:rPr>
        <w:t>。</w:t>
      </w:r>
    </w:p>
    <w:p w14:paraId="3B9AE92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9、词语定义</w:t>
      </w:r>
    </w:p>
    <w:p w14:paraId="3F56FB7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 xml:space="preserve">    协议书中相关词语的含义与通</w:t>
      </w:r>
      <w:r>
        <w:rPr>
          <w:rFonts w:hint="eastAsia" w:ascii="宋体" w:hAnsi="宋体" w:eastAsia="宋体" w:cs="宋体"/>
          <w:b w:val="0"/>
          <w:bCs/>
          <w:color w:val="auto"/>
          <w:sz w:val="21"/>
          <w:szCs w:val="21"/>
          <w:highlight w:val="none"/>
        </w:rPr>
        <w:t>用条件中的定义与解释相同。</w:t>
      </w:r>
    </w:p>
    <w:p w14:paraId="2339AF4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bookmarkStart w:id="55" w:name="_Toc29271"/>
      <w:r>
        <w:rPr>
          <w:rFonts w:hint="eastAsia" w:ascii="宋体" w:hAnsi="宋体" w:eastAsia="宋体" w:cs="宋体"/>
          <w:b w:val="0"/>
          <w:bCs/>
          <w:color w:val="auto"/>
          <w:sz w:val="21"/>
          <w:szCs w:val="21"/>
          <w:highlight w:val="none"/>
        </w:rPr>
        <w:t>10、合同订立</w:t>
      </w:r>
      <w:bookmarkEnd w:id="55"/>
    </w:p>
    <w:p w14:paraId="6C0F076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10.1订立时间：   年   月   日</w:t>
      </w:r>
    </w:p>
    <w:p w14:paraId="3917AC5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10.2订立地点：        </w:t>
      </w:r>
    </w:p>
    <w:p w14:paraId="4C134DE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bookmarkStart w:id="56" w:name="_Toc21991"/>
      <w:r>
        <w:rPr>
          <w:rFonts w:hint="eastAsia" w:ascii="宋体" w:hAnsi="宋体" w:eastAsia="宋体" w:cs="宋体"/>
          <w:b w:val="0"/>
          <w:bCs/>
          <w:color w:val="auto"/>
          <w:sz w:val="21"/>
          <w:szCs w:val="21"/>
          <w:highlight w:val="none"/>
        </w:rPr>
        <w:t>11、合同生效</w:t>
      </w:r>
      <w:bookmarkEnd w:id="56"/>
    </w:p>
    <w:p w14:paraId="4AF770F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 本合同自签字盖章之日起生效。</w:t>
      </w:r>
    </w:p>
    <w:p w14:paraId="4AA4704D">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12、合同份数</w:t>
      </w:r>
    </w:p>
    <w:p w14:paraId="743D72B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本合同一式    份，具有同等法律效力，其中甲方执   份，乙方执   份。</w:t>
      </w:r>
    </w:p>
    <w:p w14:paraId="7090020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p>
    <w:p w14:paraId="2BBBAC4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p>
    <w:p w14:paraId="113217D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甲方：（盖章）                             乙方：（盖章）</w:t>
      </w:r>
    </w:p>
    <w:p w14:paraId="54A71170">
      <w:pPr>
        <w:keepNext w:val="0"/>
        <w:keepLines w:val="0"/>
        <w:pageBreakBefore w:val="0"/>
        <w:widowControl w:val="0"/>
        <w:tabs>
          <w:tab w:val="left" w:pos="6237"/>
          <w:tab w:val="left" w:pos="6521"/>
        </w:tabs>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法定代表人或其授权的代理人：（签字）  </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 xml:space="preserve">法定代表人或其授权的代理人：（签字）                          </w:t>
      </w:r>
    </w:p>
    <w:p w14:paraId="60F7B96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纳税人识别码：                            纳税人识别码：</w:t>
      </w:r>
    </w:p>
    <w:p w14:paraId="4A2126C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地址</w:t>
      </w:r>
      <w:r>
        <w:rPr>
          <w:rFonts w:hint="eastAsia" w:ascii="宋体" w:hAnsi="宋体" w:eastAsia="宋体" w:cs="宋体"/>
          <w:b w:val="0"/>
          <w:bCs/>
          <w:sz w:val="21"/>
          <w:szCs w:val="21"/>
          <w:highlight w:val="none"/>
        </w:rPr>
        <w:t xml:space="preserve">：                                    </w:t>
      </w:r>
      <w:r>
        <w:rPr>
          <w:rFonts w:hint="eastAsia" w:ascii="宋体" w:hAnsi="宋体" w:eastAsia="宋体" w:cs="宋体"/>
          <w:b w:val="0"/>
          <w:bCs/>
          <w:sz w:val="21"/>
          <w:szCs w:val="21"/>
          <w:highlight w:val="none"/>
          <w:lang w:val="en-US" w:eastAsia="zh-CN"/>
        </w:rPr>
        <w:t>地址</w:t>
      </w:r>
      <w:r>
        <w:rPr>
          <w:rFonts w:hint="eastAsia" w:ascii="宋体" w:hAnsi="宋体" w:eastAsia="宋体" w:cs="宋体"/>
          <w:b w:val="0"/>
          <w:bCs/>
          <w:sz w:val="21"/>
          <w:szCs w:val="21"/>
          <w:highlight w:val="none"/>
        </w:rPr>
        <w:t>：</w:t>
      </w:r>
    </w:p>
    <w:p w14:paraId="0DFF73D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账    号：                                账    号：</w:t>
      </w:r>
    </w:p>
    <w:p w14:paraId="5AFB29A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开户银行：                                开户银行：</w:t>
      </w:r>
    </w:p>
    <w:p w14:paraId="69B8BF5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    话：                                电    话：</w:t>
      </w:r>
    </w:p>
    <w:p w14:paraId="087526A1">
      <w:pPr>
        <w:bidi w:val="0"/>
        <w:rPr>
          <w:rFonts w:hint="eastAsia" w:ascii="宋体" w:hAnsi="宋体" w:eastAsia="宋体" w:cs="宋体"/>
          <w:sz w:val="21"/>
          <w:szCs w:val="21"/>
          <w:highlight w:val="none"/>
        </w:rPr>
      </w:pPr>
    </w:p>
    <w:p w14:paraId="035AAF38">
      <w:pPr>
        <w:bidi w:val="0"/>
        <w:rPr>
          <w:highlight w:val="none"/>
        </w:rPr>
      </w:pPr>
    </w:p>
    <w:p w14:paraId="2CAA0EE0">
      <w:pPr>
        <w:bidi w:val="0"/>
        <w:rPr>
          <w:highlight w:val="none"/>
        </w:rPr>
      </w:pPr>
    </w:p>
    <w:p w14:paraId="525B8177">
      <w:pPr>
        <w:bidi w:val="0"/>
        <w:rPr>
          <w:highlight w:val="none"/>
        </w:rPr>
      </w:pPr>
    </w:p>
    <w:p w14:paraId="2053D416">
      <w:pPr>
        <w:bidi w:val="0"/>
        <w:rPr>
          <w:highlight w:val="none"/>
        </w:rPr>
      </w:pPr>
    </w:p>
    <w:p w14:paraId="1172A26B">
      <w:pPr>
        <w:bidi w:val="0"/>
        <w:rPr>
          <w:highlight w:val="none"/>
        </w:rPr>
      </w:pPr>
    </w:p>
    <w:p w14:paraId="6CD41503">
      <w:pPr>
        <w:bidi w:val="0"/>
        <w:rPr>
          <w:highlight w:val="none"/>
        </w:rPr>
      </w:pPr>
    </w:p>
    <w:p w14:paraId="10E4467F">
      <w:pPr>
        <w:bidi w:val="0"/>
        <w:rPr>
          <w:highlight w:val="none"/>
        </w:rPr>
      </w:pPr>
    </w:p>
    <w:p w14:paraId="2950BF92">
      <w:pPr>
        <w:bidi w:val="0"/>
        <w:rPr>
          <w:highlight w:val="none"/>
        </w:rPr>
      </w:pPr>
    </w:p>
    <w:p w14:paraId="5A0004B0">
      <w:pPr>
        <w:bidi w:val="0"/>
        <w:rPr>
          <w:highlight w:val="none"/>
        </w:rPr>
      </w:pPr>
    </w:p>
    <w:p w14:paraId="50768F83">
      <w:pPr>
        <w:bidi w:val="0"/>
        <w:rPr>
          <w:highlight w:val="none"/>
        </w:rPr>
      </w:pPr>
    </w:p>
    <w:p w14:paraId="56A322BF">
      <w:pPr>
        <w:bidi w:val="0"/>
        <w:rPr>
          <w:highlight w:val="none"/>
        </w:rPr>
      </w:pPr>
    </w:p>
    <w:p w14:paraId="0C7C4523">
      <w:pPr>
        <w:bidi w:val="0"/>
        <w:rPr>
          <w:highlight w:val="none"/>
        </w:rPr>
      </w:pPr>
    </w:p>
    <w:p w14:paraId="700FA9AE">
      <w:pPr>
        <w:bidi w:val="0"/>
        <w:rPr>
          <w:highlight w:val="none"/>
        </w:rPr>
      </w:pPr>
    </w:p>
    <w:p w14:paraId="5AAE6CC6">
      <w:pPr>
        <w:bidi w:val="0"/>
        <w:rPr>
          <w:highlight w:val="none"/>
        </w:rPr>
      </w:pPr>
    </w:p>
    <w:p w14:paraId="2B070D46">
      <w:pPr>
        <w:bidi w:val="0"/>
        <w:rPr>
          <w:highlight w:val="none"/>
        </w:rPr>
      </w:pPr>
    </w:p>
    <w:p w14:paraId="7B048B6A">
      <w:pPr>
        <w:bidi w:val="0"/>
        <w:rPr>
          <w:highlight w:val="none"/>
        </w:rPr>
      </w:pPr>
    </w:p>
    <w:p w14:paraId="2F18EF3B">
      <w:pPr>
        <w:bidi w:val="0"/>
        <w:rPr>
          <w:highlight w:val="none"/>
        </w:rPr>
      </w:pPr>
    </w:p>
    <w:p w14:paraId="7A3C9418">
      <w:pPr>
        <w:bidi w:val="0"/>
        <w:rPr>
          <w:highlight w:val="none"/>
        </w:rPr>
      </w:pPr>
    </w:p>
    <w:p w14:paraId="51677A23">
      <w:pPr>
        <w:bidi w:val="0"/>
        <w:rPr>
          <w:highlight w:val="none"/>
        </w:rPr>
      </w:pPr>
    </w:p>
    <w:p w14:paraId="4546D57B">
      <w:pPr>
        <w:pStyle w:val="2"/>
        <w:spacing w:before="0" w:after="0" w:line="360" w:lineRule="auto"/>
        <w:jc w:val="center"/>
        <w:rPr>
          <w:sz w:val="28"/>
          <w:szCs w:val="28"/>
          <w:highlight w:val="none"/>
        </w:rPr>
      </w:pPr>
      <w:bookmarkStart w:id="57" w:name="_Toc24195"/>
      <w:r>
        <w:rPr>
          <w:sz w:val="28"/>
          <w:szCs w:val="28"/>
          <w:highlight w:val="none"/>
        </w:rPr>
        <w:t>第</w:t>
      </w:r>
      <w:r>
        <w:rPr>
          <w:rFonts w:hint="eastAsia"/>
          <w:sz w:val="28"/>
          <w:szCs w:val="28"/>
          <w:highlight w:val="none"/>
        </w:rPr>
        <w:t>六</w:t>
      </w:r>
      <w:r>
        <w:rPr>
          <w:sz w:val="28"/>
          <w:szCs w:val="28"/>
          <w:highlight w:val="none"/>
        </w:rPr>
        <w:t xml:space="preserve">章 </w:t>
      </w:r>
      <w:bookmarkEnd w:id="53"/>
      <w:r>
        <w:rPr>
          <w:rFonts w:hint="eastAsia"/>
          <w:sz w:val="28"/>
          <w:szCs w:val="28"/>
          <w:highlight w:val="none"/>
        </w:rPr>
        <w:t>采购合同（格式）</w:t>
      </w:r>
      <w:bookmarkEnd w:id="57"/>
    </w:p>
    <w:p w14:paraId="42AA8F81">
      <w:pPr>
        <w:rPr>
          <w:rFonts w:ascii="仿宋" w:hAnsi="仿宋" w:eastAsia="仿宋"/>
          <w:color w:val="000000"/>
          <w:szCs w:val="21"/>
          <w:highlight w:val="none"/>
          <w:u w:val="single"/>
        </w:rPr>
      </w:pPr>
    </w:p>
    <w:p w14:paraId="1B0863A0">
      <w:pPr>
        <w:pStyle w:val="2"/>
        <w:spacing w:before="0" w:after="0" w:line="360" w:lineRule="auto"/>
        <w:jc w:val="center"/>
        <w:rPr>
          <w:b w:val="0"/>
          <w:bCs w:val="0"/>
          <w:color w:val="000000"/>
          <w:sz w:val="24"/>
          <w:highlight w:val="none"/>
        </w:rPr>
      </w:pPr>
      <w:r>
        <w:rPr>
          <w:rFonts w:hint="eastAsia"/>
          <w:b w:val="0"/>
          <w:bCs w:val="0"/>
          <w:color w:val="000000"/>
          <w:sz w:val="24"/>
          <w:highlight w:val="none"/>
          <w:lang w:val="en-US" w:eastAsia="zh-CN"/>
        </w:rPr>
        <w:t>以实施时经双方协商后实际签订版本为准</w:t>
      </w:r>
      <w:r>
        <w:rPr>
          <w:b w:val="0"/>
          <w:bCs w:val="0"/>
          <w:color w:val="000000"/>
          <w:sz w:val="24"/>
          <w:highlight w:val="none"/>
        </w:rPr>
        <w:br w:type="page"/>
      </w:r>
      <w:bookmarkStart w:id="58" w:name="_Toc8088"/>
      <w:bookmarkStart w:id="59" w:name="_Toc97561720"/>
    </w:p>
    <w:p w14:paraId="34983FAB">
      <w:pPr>
        <w:pStyle w:val="2"/>
        <w:spacing w:before="0" w:after="0" w:line="360" w:lineRule="auto"/>
        <w:jc w:val="center"/>
        <w:rPr>
          <w:b w:val="0"/>
          <w:bCs w:val="0"/>
          <w:color w:val="000000"/>
          <w:sz w:val="24"/>
          <w:highlight w:val="none"/>
        </w:rPr>
      </w:pPr>
    </w:p>
    <w:p w14:paraId="137A37DD">
      <w:pPr>
        <w:pStyle w:val="2"/>
        <w:spacing w:before="0" w:after="0" w:line="360" w:lineRule="auto"/>
        <w:jc w:val="center"/>
        <w:rPr>
          <w:b w:val="0"/>
          <w:bCs w:val="0"/>
          <w:color w:val="000000"/>
          <w:sz w:val="24"/>
          <w:highlight w:val="none"/>
        </w:rPr>
      </w:pPr>
    </w:p>
    <w:p w14:paraId="24C111BF">
      <w:pPr>
        <w:pStyle w:val="2"/>
        <w:spacing w:before="0" w:after="0" w:line="360" w:lineRule="auto"/>
        <w:jc w:val="center"/>
        <w:rPr>
          <w:b w:val="0"/>
          <w:bCs w:val="0"/>
          <w:color w:val="000000"/>
          <w:sz w:val="24"/>
          <w:highlight w:val="none"/>
        </w:rPr>
      </w:pPr>
    </w:p>
    <w:p w14:paraId="727ED4E7">
      <w:pPr>
        <w:pStyle w:val="2"/>
        <w:spacing w:before="0" w:after="0" w:line="360" w:lineRule="auto"/>
        <w:jc w:val="center"/>
        <w:rPr>
          <w:b w:val="0"/>
          <w:bCs w:val="0"/>
          <w:color w:val="000000"/>
          <w:sz w:val="24"/>
          <w:highlight w:val="none"/>
        </w:rPr>
      </w:pPr>
    </w:p>
    <w:p w14:paraId="2489A65D">
      <w:pPr>
        <w:pStyle w:val="2"/>
        <w:spacing w:before="0" w:after="0" w:line="360" w:lineRule="auto"/>
        <w:jc w:val="center"/>
        <w:rPr>
          <w:b w:val="0"/>
          <w:bCs w:val="0"/>
          <w:color w:val="000000"/>
          <w:sz w:val="24"/>
          <w:highlight w:val="none"/>
        </w:rPr>
      </w:pPr>
    </w:p>
    <w:p w14:paraId="2B3697E8">
      <w:pPr>
        <w:pStyle w:val="2"/>
        <w:spacing w:before="0" w:after="0" w:line="360" w:lineRule="auto"/>
        <w:jc w:val="center"/>
        <w:rPr>
          <w:b w:val="0"/>
          <w:bCs w:val="0"/>
          <w:color w:val="000000"/>
          <w:sz w:val="24"/>
          <w:highlight w:val="none"/>
        </w:rPr>
      </w:pPr>
    </w:p>
    <w:p w14:paraId="67F72665">
      <w:pPr>
        <w:pStyle w:val="2"/>
        <w:spacing w:before="0" w:after="0" w:line="360" w:lineRule="auto"/>
        <w:jc w:val="center"/>
        <w:rPr>
          <w:b w:val="0"/>
          <w:bCs w:val="0"/>
          <w:color w:val="000000"/>
          <w:sz w:val="24"/>
          <w:highlight w:val="none"/>
        </w:rPr>
      </w:pPr>
    </w:p>
    <w:p w14:paraId="1651D2D2">
      <w:pPr>
        <w:pStyle w:val="2"/>
        <w:spacing w:before="0" w:after="0" w:line="360" w:lineRule="auto"/>
        <w:jc w:val="center"/>
        <w:rPr>
          <w:color w:val="000000"/>
          <w:sz w:val="32"/>
          <w:szCs w:val="32"/>
          <w:highlight w:val="none"/>
        </w:rPr>
      </w:pPr>
      <w:r>
        <w:rPr>
          <w:sz w:val="28"/>
          <w:szCs w:val="28"/>
          <w:highlight w:val="none"/>
        </w:rPr>
        <w:t>第</w:t>
      </w:r>
      <w:r>
        <w:rPr>
          <w:rFonts w:hint="eastAsia"/>
          <w:sz w:val="28"/>
          <w:szCs w:val="28"/>
          <w:highlight w:val="none"/>
        </w:rPr>
        <w:t>七</w:t>
      </w:r>
      <w:r>
        <w:rPr>
          <w:sz w:val="28"/>
          <w:szCs w:val="28"/>
          <w:highlight w:val="none"/>
        </w:rPr>
        <w:t>章 响应文件格式</w:t>
      </w:r>
      <w:bookmarkEnd w:id="58"/>
      <w:bookmarkEnd w:id="59"/>
    </w:p>
    <w:p w14:paraId="23EA0729">
      <w:pPr>
        <w:rPr>
          <w:color w:val="000000"/>
          <w:sz w:val="28"/>
          <w:szCs w:val="28"/>
          <w:highlight w:val="none"/>
        </w:rPr>
      </w:pPr>
    </w:p>
    <w:p w14:paraId="6B4E0767">
      <w:pPr>
        <w:snapToGrid w:val="0"/>
        <w:spacing w:before="120" w:beforeLines="50" w:after="50" w:line="360" w:lineRule="exact"/>
        <w:jc w:val="center"/>
        <w:rPr>
          <w:bCs/>
          <w:color w:val="000000"/>
          <w:sz w:val="24"/>
          <w:highlight w:val="none"/>
        </w:rPr>
      </w:pPr>
      <w:bookmarkStart w:id="60" w:name="_Toc254970557"/>
      <w:bookmarkStart w:id="61" w:name="_Toc254970698"/>
    </w:p>
    <w:p w14:paraId="70AAA88C">
      <w:pPr>
        <w:widowControl/>
        <w:jc w:val="left"/>
        <w:rPr>
          <w:bCs/>
          <w:color w:val="000000"/>
          <w:sz w:val="24"/>
          <w:highlight w:val="none"/>
        </w:rPr>
      </w:pPr>
      <w:r>
        <w:rPr>
          <w:bCs/>
          <w:color w:val="000000"/>
          <w:sz w:val="24"/>
          <w:highlight w:val="none"/>
        </w:rPr>
        <w:br w:type="page"/>
      </w:r>
    </w:p>
    <w:p w14:paraId="29747F25">
      <w:pPr>
        <w:widowControl/>
        <w:jc w:val="right"/>
        <w:rPr>
          <w:rFonts w:ascii="宋体" w:hAnsi="宋体"/>
          <w:b/>
          <w:kern w:val="0"/>
          <w:sz w:val="28"/>
          <w:szCs w:val="28"/>
          <w:highlight w:val="none"/>
        </w:rPr>
      </w:pPr>
    </w:p>
    <w:p w14:paraId="69A09AEF">
      <w:pPr>
        <w:widowControl/>
        <w:jc w:val="right"/>
        <w:rPr>
          <w:rFonts w:ascii="宋体" w:hAnsi="宋体"/>
          <w:b/>
          <w:kern w:val="0"/>
          <w:sz w:val="28"/>
          <w:szCs w:val="28"/>
          <w:highlight w:val="none"/>
        </w:rPr>
      </w:pPr>
    </w:p>
    <w:p w14:paraId="5DC0B9A6">
      <w:pPr>
        <w:widowControl/>
        <w:jc w:val="center"/>
        <w:rPr>
          <w:rFonts w:ascii="宋体" w:hAnsi="宋体"/>
          <w:b/>
          <w:kern w:val="0"/>
          <w:sz w:val="28"/>
          <w:szCs w:val="28"/>
          <w:highlight w:val="none"/>
          <w:u w:val="single"/>
        </w:rPr>
      </w:pPr>
    </w:p>
    <w:p w14:paraId="6AAC4363">
      <w:pPr>
        <w:widowControl/>
        <w:jc w:val="center"/>
        <w:rPr>
          <w:rFonts w:ascii="宋体" w:hAnsi="宋体"/>
          <w:b/>
          <w:kern w:val="0"/>
          <w:sz w:val="28"/>
          <w:szCs w:val="28"/>
          <w:highlight w:val="none"/>
          <w:u w:val="single"/>
        </w:rPr>
      </w:pPr>
    </w:p>
    <w:p w14:paraId="34E8121D">
      <w:pPr>
        <w:widowControl/>
        <w:ind w:firstLine="2221" w:firstLineChars="790"/>
        <w:rPr>
          <w:rFonts w:ascii="宋体" w:hAnsi="宋体"/>
          <w:b/>
          <w:kern w:val="0"/>
          <w:sz w:val="28"/>
          <w:szCs w:val="28"/>
          <w:highlight w:val="none"/>
        </w:rPr>
      </w:pP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r>
        <w:rPr>
          <w:rFonts w:hint="eastAsia" w:ascii="宋体" w:hAnsi="宋体"/>
          <w:b/>
          <w:kern w:val="0"/>
          <w:sz w:val="28"/>
          <w:szCs w:val="28"/>
          <w:highlight w:val="none"/>
        </w:rPr>
        <w:t>（采购项目）</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p>
    <w:p w14:paraId="5F6CF153">
      <w:pPr>
        <w:widowControl/>
        <w:jc w:val="left"/>
        <w:rPr>
          <w:rFonts w:ascii="宋体" w:hAnsi="宋体"/>
          <w:b/>
          <w:kern w:val="0"/>
          <w:sz w:val="20"/>
          <w:szCs w:val="20"/>
          <w:highlight w:val="none"/>
        </w:rPr>
      </w:pPr>
    </w:p>
    <w:p w14:paraId="021BC41D">
      <w:pPr>
        <w:widowControl/>
        <w:jc w:val="left"/>
        <w:rPr>
          <w:rFonts w:ascii="宋体" w:hAnsi="宋体"/>
          <w:b/>
          <w:kern w:val="0"/>
          <w:sz w:val="20"/>
          <w:szCs w:val="20"/>
          <w:highlight w:val="none"/>
        </w:rPr>
      </w:pPr>
    </w:p>
    <w:p w14:paraId="2D3C927E">
      <w:pPr>
        <w:widowControl/>
        <w:jc w:val="left"/>
        <w:rPr>
          <w:rFonts w:ascii="宋体" w:hAnsi="宋体"/>
          <w:b/>
          <w:kern w:val="0"/>
          <w:sz w:val="20"/>
          <w:szCs w:val="20"/>
          <w:highlight w:val="none"/>
        </w:rPr>
      </w:pPr>
    </w:p>
    <w:p w14:paraId="617E6090">
      <w:pPr>
        <w:widowControl/>
        <w:jc w:val="left"/>
        <w:rPr>
          <w:rFonts w:ascii="宋体" w:hAnsi="宋体"/>
          <w:b/>
          <w:kern w:val="0"/>
          <w:sz w:val="20"/>
          <w:szCs w:val="20"/>
          <w:highlight w:val="none"/>
        </w:rPr>
      </w:pPr>
    </w:p>
    <w:p w14:paraId="11167B4B">
      <w:pPr>
        <w:widowControl/>
        <w:jc w:val="left"/>
        <w:rPr>
          <w:rFonts w:ascii="宋体" w:hAnsi="宋体"/>
          <w:b/>
          <w:kern w:val="0"/>
          <w:sz w:val="20"/>
          <w:szCs w:val="20"/>
          <w:highlight w:val="none"/>
        </w:rPr>
      </w:pPr>
    </w:p>
    <w:p w14:paraId="061131A1">
      <w:pPr>
        <w:widowControl/>
        <w:jc w:val="center"/>
        <w:rPr>
          <w:rFonts w:ascii="宋体" w:hAnsi="宋体"/>
          <w:b/>
          <w:kern w:val="0"/>
          <w:sz w:val="52"/>
          <w:szCs w:val="52"/>
          <w:highlight w:val="none"/>
        </w:rPr>
      </w:pPr>
      <w:r>
        <w:rPr>
          <w:rFonts w:hint="eastAsia" w:ascii="宋体" w:hAnsi="宋体"/>
          <w:b/>
          <w:kern w:val="0"/>
          <w:sz w:val="52"/>
          <w:szCs w:val="52"/>
          <w:highlight w:val="none"/>
        </w:rPr>
        <w:t>响</w:t>
      </w:r>
      <w:r>
        <w:rPr>
          <w:rFonts w:ascii="宋体" w:hAnsi="宋体"/>
          <w:b/>
          <w:kern w:val="0"/>
          <w:sz w:val="52"/>
          <w:szCs w:val="52"/>
          <w:highlight w:val="none"/>
        </w:rPr>
        <w:t xml:space="preserve">  </w:t>
      </w:r>
      <w:r>
        <w:rPr>
          <w:rFonts w:hint="eastAsia" w:ascii="宋体" w:hAnsi="宋体"/>
          <w:b/>
          <w:kern w:val="0"/>
          <w:sz w:val="52"/>
          <w:szCs w:val="52"/>
          <w:highlight w:val="none"/>
        </w:rPr>
        <w:t>应</w:t>
      </w:r>
      <w:r>
        <w:rPr>
          <w:rFonts w:ascii="宋体" w:hAnsi="宋体"/>
          <w:b/>
          <w:kern w:val="0"/>
          <w:sz w:val="52"/>
          <w:szCs w:val="52"/>
          <w:highlight w:val="none"/>
        </w:rPr>
        <w:t xml:space="preserve">  文  件</w:t>
      </w:r>
      <w:r>
        <w:rPr>
          <w:rFonts w:hint="eastAsia" w:ascii="宋体" w:hAnsi="宋体"/>
          <w:b/>
          <w:kern w:val="0"/>
          <w:sz w:val="52"/>
          <w:szCs w:val="52"/>
          <w:highlight w:val="none"/>
        </w:rPr>
        <w:t xml:space="preserve"> </w:t>
      </w:r>
    </w:p>
    <w:p w14:paraId="0F4A08E0">
      <w:pPr>
        <w:widowControl/>
        <w:jc w:val="center"/>
        <w:rPr>
          <w:rFonts w:ascii="宋体" w:hAnsi="宋体"/>
          <w:b/>
          <w:kern w:val="0"/>
          <w:sz w:val="28"/>
          <w:szCs w:val="28"/>
          <w:highlight w:val="none"/>
        </w:rPr>
      </w:pPr>
    </w:p>
    <w:p w14:paraId="4739DECF">
      <w:pPr>
        <w:widowControl/>
        <w:jc w:val="center"/>
        <w:rPr>
          <w:rFonts w:ascii="宋体" w:hAnsi="宋体"/>
          <w:b/>
          <w:kern w:val="0"/>
          <w:sz w:val="28"/>
          <w:szCs w:val="28"/>
          <w:highlight w:val="none"/>
        </w:rPr>
      </w:pPr>
    </w:p>
    <w:p w14:paraId="2B6A7B63">
      <w:pPr>
        <w:widowControl/>
        <w:ind w:firstLine="2783" w:firstLineChars="990"/>
        <w:jc w:val="left"/>
        <w:rPr>
          <w:rFonts w:ascii="宋体" w:hAnsi="宋体"/>
          <w:b/>
          <w:kern w:val="0"/>
          <w:sz w:val="28"/>
          <w:szCs w:val="28"/>
          <w:highlight w:val="none"/>
          <w:u w:val="single"/>
        </w:rPr>
      </w:pPr>
      <w:r>
        <w:rPr>
          <w:rFonts w:hint="eastAsia" w:ascii="宋体" w:hAnsi="宋体"/>
          <w:b/>
          <w:kern w:val="0"/>
          <w:sz w:val="28"/>
          <w:szCs w:val="28"/>
          <w:highlight w:val="none"/>
        </w:rPr>
        <w:t>项目编号：</w:t>
      </w:r>
      <w:r>
        <w:rPr>
          <w:rFonts w:hint="eastAsia" w:ascii="宋体" w:hAnsi="宋体"/>
          <w:b/>
          <w:kern w:val="0"/>
          <w:sz w:val="28"/>
          <w:szCs w:val="28"/>
          <w:highlight w:val="none"/>
          <w:u w:val="single"/>
        </w:rPr>
        <w:t xml:space="preserve">           </w:t>
      </w:r>
    </w:p>
    <w:p w14:paraId="5C30A8D7">
      <w:pPr>
        <w:widowControl/>
        <w:jc w:val="left"/>
        <w:rPr>
          <w:rFonts w:ascii="宋体" w:hAnsi="宋体"/>
          <w:kern w:val="0"/>
          <w:sz w:val="28"/>
          <w:szCs w:val="28"/>
          <w:highlight w:val="none"/>
        </w:rPr>
      </w:pPr>
    </w:p>
    <w:p w14:paraId="0AEB1995">
      <w:pPr>
        <w:widowControl/>
        <w:jc w:val="left"/>
        <w:rPr>
          <w:rFonts w:ascii="宋体" w:hAnsi="宋体"/>
          <w:kern w:val="0"/>
          <w:sz w:val="28"/>
          <w:szCs w:val="28"/>
          <w:highlight w:val="none"/>
        </w:rPr>
      </w:pPr>
    </w:p>
    <w:p w14:paraId="74631D99">
      <w:pPr>
        <w:widowControl/>
        <w:jc w:val="left"/>
        <w:rPr>
          <w:rFonts w:ascii="宋体" w:hAnsi="宋体"/>
          <w:kern w:val="0"/>
          <w:sz w:val="28"/>
          <w:szCs w:val="28"/>
          <w:highlight w:val="none"/>
        </w:rPr>
      </w:pPr>
    </w:p>
    <w:p w14:paraId="09A779BE">
      <w:pPr>
        <w:widowControl/>
        <w:jc w:val="left"/>
        <w:rPr>
          <w:rFonts w:ascii="宋体" w:hAnsi="宋体"/>
          <w:kern w:val="0"/>
          <w:sz w:val="28"/>
          <w:szCs w:val="28"/>
          <w:highlight w:val="none"/>
        </w:rPr>
      </w:pPr>
    </w:p>
    <w:p w14:paraId="59111E11">
      <w:pPr>
        <w:widowControl/>
        <w:jc w:val="left"/>
        <w:rPr>
          <w:rFonts w:ascii="宋体" w:hAnsi="宋体"/>
          <w:kern w:val="0"/>
          <w:sz w:val="28"/>
          <w:szCs w:val="28"/>
          <w:highlight w:val="none"/>
        </w:rPr>
      </w:pPr>
    </w:p>
    <w:p w14:paraId="30326F25">
      <w:pPr>
        <w:widowControl/>
        <w:jc w:val="left"/>
        <w:rPr>
          <w:rFonts w:ascii="宋体" w:hAnsi="宋体"/>
          <w:kern w:val="0"/>
          <w:sz w:val="28"/>
          <w:szCs w:val="28"/>
          <w:highlight w:val="none"/>
        </w:rPr>
      </w:pPr>
    </w:p>
    <w:p w14:paraId="21008FA9">
      <w:pPr>
        <w:widowControl/>
        <w:jc w:val="left"/>
        <w:rPr>
          <w:rFonts w:ascii="宋体" w:hAnsi="宋体"/>
          <w:kern w:val="0"/>
          <w:sz w:val="28"/>
          <w:szCs w:val="28"/>
          <w:highlight w:val="none"/>
        </w:rPr>
      </w:pPr>
    </w:p>
    <w:p w14:paraId="1A2A0A8D">
      <w:pPr>
        <w:widowControl/>
        <w:jc w:val="left"/>
        <w:rPr>
          <w:rFonts w:ascii="宋体" w:hAnsi="宋体"/>
          <w:kern w:val="0"/>
          <w:sz w:val="28"/>
          <w:szCs w:val="28"/>
          <w:highlight w:val="none"/>
        </w:rPr>
      </w:pPr>
    </w:p>
    <w:p w14:paraId="50686299">
      <w:pPr>
        <w:widowControl/>
        <w:jc w:val="left"/>
        <w:rPr>
          <w:rFonts w:ascii="宋体" w:hAnsi="宋体"/>
          <w:kern w:val="0"/>
          <w:sz w:val="28"/>
          <w:szCs w:val="28"/>
          <w:highlight w:val="none"/>
        </w:rPr>
      </w:pPr>
    </w:p>
    <w:p w14:paraId="185890B4">
      <w:pPr>
        <w:widowControl/>
        <w:jc w:val="left"/>
        <w:rPr>
          <w:rFonts w:ascii="宋体" w:hAnsi="宋体"/>
          <w:kern w:val="0"/>
          <w:sz w:val="28"/>
          <w:szCs w:val="28"/>
          <w:highlight w:val="none"/>
        </w:rPr>
      </w:pPr>
    </w:p>
    <w:p w14:paraId="7C23724E">
      <w:pPr>
        <w:widowControl/>
        <w:jc w:val="left"/>
        <w:rPr>
          <w:rFonts w:ascii="宋体" w:hAnsi="宋体"/>
          <w:kern w:val="0"/>
          <w:sz w:val="28"/>
          <w:szCs w:val="28"/>
          <w:highlight w:val="none"/>
        </w:rPr>
      </w:pPr>
    </w:p>
    <w:p w14:paraId="1E258914">
      <w:pPr>
        <w:widowControl/>
        <w:jc w:val="left"/>
        <w:rPr>
          <w:rFonts w:ascii="宋体" w:hAnsi="宋体"/>
          <w:kern w:val="0"/>
          <w:sz w:val="28"/>
          <w:szCs w:val="28"/>
          <w:highlight w:val="none"/>
        </w:rPr>
      </w:pPr>
    </w:p>
    <w:p w14:paraId="28FBF3DB">
      <w:pPr>
        <w:widowControl/>
        <w:jc w:val="left"/>
        <w:rPr>
          <w:rFonts w:ascii="宋体" w:hAnsi="宋体"/>
          <w:kern w:val="0"/>
          <w:sz w:val="28"/>
          <w:szCs w:val="28"/>
          <w:highlight w:val="none"/>
        </w:rPr>
      </w:pPr>
    </w:p>
    <w:p w14:paraId="2685E81F">
      <w:pPr>
        <w:widowControl/>
        <w:jc w:val="left"/>
        <w:rPr>
          <w:rFonts w:ascii="宋体" w:hAnsi="宋体"/>
          <w:kern w:val="0"/>
          <w:sz w:val="28"/>
          <w:szCs w:val="28"/>
          <w:highlight w:val="none"/>
        </w:rPr>
      </w:pPr>
    </w:p>
    <w:p w14:paraId="4835CF2A">
      <w:pPr>
        <w:widowControl/>
        <w:jc w:val="left"/>
        <w:rPr>
          <w:rFonts w:ascii="宋体" w:hAnsi="宋体"/>
          <w:kern w:val="0"/>
          <w:sz w:val="28"/>
          <w:szCs w:val="28"/>
          <w:highlight w:val="none"/>
        </w:rPr>
      </w:pPr>
    </w:p>
    <w:p w14:paraId="296470B2">
      <w:pPr>
        <w:widowControl/>
        <w:ind w:firstLine="1400" w:firstLineChars="500"/>
        <w:jc w:val="left"/>
        <w:rPr>
          <w:rFonts w:ascii="宋体" w:hAnsi="宋体"/>
          <w:kern w:val="0"/>
          <w:sz w:val="28"/>
          <w:szCs w:val="28"/>
          <w:highlight w:val="none"/>
        </w:rPr>
      </w:pPr>
    </w:p>
    <w:p w14:paraId="1AC32B19">
      <w:pPr>
        <w:widowControl/>
        <w:ind w:firstLine="1405" w:firstLineChars="500"/>
        <w:jc w:val="left"/>
        <w:rPr>
          <w:rFonts w:ascii="宋体" w:hAnsi="宋体"/>
          <w:b/>
          <w:kern w:val="0"/>
          <w:sz w:val="28"/>
          <w:szCs w:val="28"/>
          <w:highlight w:val="none"/>
        </w:rPr>
      </w:pPr>
      <w:r>
        <w:rPr>
          <w:rFonts w:ascii="宋体" w:hAnsi="宋体"/>
          <w:b/>
          <w:kern w:val="0"/>
          <w:sz w:val="28"/>
          <w:szCs w:val="28"/>
          <w:highlight w:val="none"/>
        </w:rPr>
        <w:t>供应商：</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p>
    <w:p w14:paraId="467C9755">
      <w:pPr>
        <w:widowControl/>
        <w:ind w:firstLine="1405" w:firstLineChars="500"/>
        <w:jc w:val="center"/>
        <w:rPr>
          <w:rFonts w:ascii="宋体" w:hAnsi="宋体"/>
          <w:b/>
          <w:kern w:val="0"/>
          <w:sz w:val="28"/>
          <w:szCs w:val="28"/>
          <w:highlight w:val="none"/>
          <w:u w:val="single"/>
        </w:rPr>
      </w:pPr>
    </w:p>
    <w:p w14:paraId="2AA603C2">
      <w:pPr>
        <w:widowControl/>
        <w:ind w:firstLine="1405" w:firstLineChars="500"/>
        <w:jc w:val="left"/>
        <w:rPr>
          <w:rFonts w:ascii="宋体" w:hAnsi="宋体"/>
          <w:b/>
          <w:kern w:val="0"/>
          <w:sz w:val="28"/>
          <w:szCs w:val="28"/>
          <w:highlight w:val="none"/>
        </w:rPr>
      </w:pPr>
      <w:r>
        <w:rPr>
          <w:rFonts w:ascii="宋体" w:hAnsi="宋体"/>
          <w:b/>
          <w:kern w:val="0"/>
          <w:sz w:val="28"/>
          <w:szCs w:val="28"/>
          <w:highlight w:val="none"/>
        </w:rPr>
        <w:t>法定代表人或其委托代理人：</w:t>
      </w:r>
      <w:r>
        <w:rPr>
          <w:rFonts w:ascii="宋体" w:hAnsi="宋体"/>
          <w:b/>
          <w:kern w:val="0"/>
          <w:sz w:val="28"/>
          <w:szCs w:val="28"/>
          <w:highlight w:val="none"/>
          <w:u w:val="single"/>
        </w:rPr>
        <w:t xml:space="preserve">              </w:t>
      </w:r>
    </w:p>
    <w:p w14:paraId="22A1ED8D">
      <w:pPr>
        <w:widowControl/>
        <w:jc w:val="center"/>
        <w:rPr>
          <w:rFonts w:ascii="宋体" w:hAnsi="宋体"/>
          <w:b/>
          <w:kern w:val="0"/>
          <w:sz w:val="28"/>
          <w:szCs w:val="28"/>
          <w:highlight w:val="none"/>
        </w:rPr>
      </w:pPr>
    </w:p>
    <w:p w14:paraId="767A0E5E">
      <w:pPr>
        <w:widowControl/>
        <w:jc w:val="center"/>
        <w:rPr>
          <w:rFonts w:ascii="宋体" w:hAnsi="宋体"/>
          <w:b/>
          <w:kern w:val="0"/>
          <w:sz w:val="28"/>
          <w:szCs w:val="28"/>
          <w:highlight w:val="none"/>
        </w:rPr>
      </w:pPr>
      <w:r>
        <w:rPr>
          <w:rFonts w:ascii="宋体" w:hAnsi="宋体"/>
          <w:b/>
          <w:kern w:val="0"/>
          <w:sz w:val="28"/>
          <w:szCs w:val="28"/>
          <w:highlight w:val="none"/>
          <w:u w:val="single"/>
        </w:rPr>
        <w:t xml:space="preserve">        </w:t>
      </w:r>
      <w:r>
        <w:rPr>
          <w:rFonts w:ascii="宋体" w:hAnsi="宋体"/>
          <w:b/>
          <w:kern w:val="0"/>
          <w:sz w:val="28"/>
          <w:szCs w:val="28"/>
          <w:highlight w:val="none"/>
        </w:rPr>
        <w:t>年</w:t>
      </w:r>
      <w:r>
        <w:rPr>
          <w:rFonts w:ascii="宋体" w:hAnsi="宋体"/>
          <w:b/>
          <w:kern w:val="0"/>
          <w:sz w:val="28"/>
          <w:szCs w:val="28"/>
          <w:highlight w:val="none"/>
          <w:u w:val="single"/>
        </w:rPr>
        <w:t xml:space="preserve">        </w:t>
      </w:r>
      <w:r>
        <w:rPr>
          <w:rFonts w:ascii="宋体" w:hAnsi="宋体"/>
          <w:b/>
          <w:kern w:val="0"/>
          <w:sz w:val="28"/>
          <w:szCs w:val="28"/>
          <w:highlight w:val="none"/>
        </w:rPr>
        <w:t>月</w:t>
      </w:r>
      <w:r>
        <w:rPr>
          <w:rFonts w:ascii="宋体" w:hAnsi="宋体"/>
          <w:b/>
          <w:kern w:val="0"/>
          <w:sz w:val="28"/>
          <w:szCs w:val="28"/>
          <w:highlight w:val="none"/>
          <w:u w:val="single"/>
        </w:rPr>
        <w:t xml:space="preserve">        </w:t>
      </w:r>
      <w:r>
        <w:rPr>
          <w:rFonts w:ascii="宋体" w:hAnsi="宋体"/>
          <w:b/>
          <w:kern w:val="0"/>
          <w:sz w:val="28"/>
          <w:szCs w:val="28"/>
          <w:highlight w:val="none"/>
        </w:rPr>
        <w:t>日</w:t>
      </w:r>
    </w:p>
    <w:p w14:paraId="2321D40C">
      <w:pPr>
        <w:widowControl/>
        <w:spacing w:line="440" w:lineRule="exact"/>
        <w:jc w:val="left"/>
        <w:rPr>
          <w:rFonts w:ascii="宋体" w:hAnsi="宋体"/>
          <w:kern w:val="0"/>
          <w:sz w:val="20"/>
          <w:szCs w:val="20"/>
          <w:highlight w:val="none"/>
        </w:rPr>
      </w:pPr>
    </w:p>
    <w:p w14:paraId="7C8CC56E">
      <w:pPr>
        <w:snapToGrid w:val="0"/>
        <w:spacing w:before="120" w:beforeLines="50" w:after="50" w:line="360" w:lineRule="exact"/>
        <w:jc w:val="center"/>
        <w:rPr>
          <w:bCs/>
          <w:color w:val="000000"/>
          <w:sz w:val="24"/>
          <w:highlight w:val="none"/>
        </w:rPr>
      </w:pPr>
    </w:p>
    <w:p w14:paraId="53E482F1">
      <w:pPr>
        <w:widowControl/>
        <w:jc w:val="left"/>
        <w:rPr>
          <w:bCs/>
          <w:color w:val="000000"/>
          <w:sz w:val="24"/>
          <w:highlight w:val="none"/>
        </w:rPr>
      </w:pPr>
      <w:r>
        <w:rPr>
          <w:bCs/>
          <w:color w:val="000000"/>
          <w:sz w:val="24"/>
          <w:highlight w:val="none"/>
        </w:rPr>
        <w:br w:type="page"/>
      </w:r>
    </w:p>
    <w:bookmarkEnd w:id="60"/>
    <w:bookmarkEnd w:id="61"/>
    <w:p w14:paraId="59AEAD90">
      <w:pPr>
        <w:snapToGrid w:val="0"/>
        <w:spacing w:before="120" w:beforeLines="50" w:after="50" w:line="360" w:lineRule="exact"/>
        <w:rPr>
          <w:b/>
          <w:bCs/>
          <w:color w:val="000000"/>
          <w:sz w:val="24"/>
          <w:highlight w:val="none"/>
        </w:rPr>
      </w:pPr>
    </w:p>
    <w:p w14:paraId="0C482D9F">
      <w:pPr>
        <w:snapToGrid w:val="0"/>
        <w:spacing w:before="50" w:after="50" w:line="440" w:lineRule="exact"/>
        <w:ind w:firstLine="138" w:firstLineChars="49"/>
        <w:jc w:val="center"/>
        <w:rPr>
          <w:b/>
          <w:color w:val="000000"/>
          <w:sz w:val="28"/>
          <w:szCs w:val="28"/>
          <w:highlight w:val="none"/>
        </w:rPr>
      </w:pPr>
      <w:r>
        <w:rPr>
          <w:b/>
          <w:color w:val="000000"/>
          <w:sz w:val="28"/>
          <w:szCs w:val="28"/>
          <w:highlight w:val="none"/>
        </w:rPr>
        <w:t>目录</w:t>
      </w:r>
    </w:p>
    <w:p w14:paraId="6E893435">
      <w:pPr>
        <w:snapToGrid w:val="0"/>
        <w:spacing w:before="50" w:after="50" w:line="440" w:lineRule="exact"/>
        <w:ind w:firstLine="138" w:firstLineChars="49"/>
        <w:jc w:val="center"/>
        <w:rPr>
          <w:b/>
          <w:color w:val="000000"/>
          <w:sz w:val="28"/>
          <w:szCs w:val="28"/>
          <w:highlight w:val="none"/>
        </w:rPr>
      </w:pPr>
    </w:p>
    <w:p w14:paraId="6E1D742F">
      <w:pPr>
        <w:snapToGrid w:val="0"/>
        <w:spacing w:before="50" w:after="50" w:line="440" w:lineRule="exact"/>
        <w:ind w:firstLine="138" w:firstLineChars="49"/>
        <w:jc w:val="center"/>
        <w:rPr>
          <w:b/>
          <w:color w:val="000000"/>
          <w:sz w:val="28"/>
          <w:szCs w:val="28"/>
          <w:highlight w:val="none"/>
        </w:rPr>
      </w:pPr>
      <w:r>
        <w:rPr>
          <w:rFonts w:hint="eastAsia"/>
          <w:b/>
          <w:color w:val="000000"/>
          <w:sz w:val="28"/>
          <w:szCs w:val="28"/>
          <w:highlight w:val="none"/>
        </w:rPr>
        <w:t>根据响应文件格式自拟</w:t>
      </w:r>
    </w:p>
    <w:p w14:paraId="541EEFFF">
      <w:pPr>
        <w:widowControl/>
        <w:jc w:val="left"/>
        <w:rPr>
          <w:rFonts w:ascii="宋体" w:hAnsi="宋体"/>
          <w:kern w:val="0"/>
          <w:szCs w:val="21"/>
          <w:highlight w:val="none"/>
        </w:rPr>
      </w:pPr>
      <w:r>
        <w:rPr>
          <w:rFonts w:ascii="宋体" w:hAnsi="宋体"/>
          <w:kern w:val="0"/>
          <w:szCs w:val="21"/>
          <w:highlight w:val="none"/>
        </w:rPr>
        <w:br w:type="page"/>
      </w:r>
    </w:p>
    <w:p w14:paraId="3EB11716">
      <w:pPr>
        <w:keepNext/>
        <w:keepLines/>
        <w:widowControl/>
        <w:spacing w:before="120" w:after="120" w:line="360" w:lineRule="auto"/>
        <w:outlineLvl w:val="1"/>
        <w:rPr>
          <w:rFonts w:ascii="宋体" w:hAnsi="宋体" w:eastAsia="黑体"/>
          <w:kern w:val="0"/>
          <w:sz w:val="24"/>
          <w:highlight w:val="none"/>
        </w:rPr>
      </w:pPr>
      <w:bookmarkStart w:id="62" w:name="_Toc523508516"/>
      <w:bookmarkStart w:id="63" w:name="_Toc488395092"/>
      <w:bookmarkStart w:id="64" w:name="_Toc18500364"/>
      <w:bookmarkStart w:id="65" w:name="_Toc487211722"/>
      <w:r>
        <w:rPr>
          <w:rFonts w:hint="eastAsia" w:ascii="宋体" w:hAnsi="宋体"/>
          <w:b/>
          <w:kern w:val="0"/>
          <w:sz w:val="28"/>
          <w:highlight w:val="none"/>
        </w:rPr>
        <w:t>附件一</w:t>
      </w:r>
      <w:bookmarkEnd w:id="62"/>
      <w:bookmarkEnd w:id="63"/>
      <w:bookmarkEnd w:id="64"/>
      <w:bookmarkEnd w:id="65"/>
      <w:r>
        <w:rPr>
          <w:rFonts w:hint="eastAsia" w:ascii="宋体" w:hAnsi="宋体" w:eastAsia="黑体"/>
          <w:kern w:val="0"/>
          <w:sz w:val="28"/>
          <w:highlight w:val="none"/>
        </w:rPr>
        <w:t xml:space="preserve"> </w:t>
      </w:r>
    </w:p>
    <w:p w14:paraId="0C8AE1B5">
      <w:pPr>
        <w:widowControl/>
        <w:spacing w:line="360" w:lineRule="auto"/>
        <w:jc w:val="center"/>
        <w:outlineLvl w:val="1"/>
        <w:rPr>
          <w:rFonts w:ascii="宋体" w:hAnsi="宋体"/>
          <w:b/>
          <w:kern w:val="0"/>
          <w:sz w:val="28"/>
          <w:szCs w:val="28"/>
          <w:highlight w:val="none"/>
        </w:rPr>
      </w:pPr>
      <w:bookmarkStart w:id="66" w:name="_Toc255369456"/>
      <w:bookmarkStart w:id="67" w:name="_Toc487211723"/>
      <w:bookmarkStart w:id="68" w:name="_Toc258578339"/>
      <w:bookmarkStart w:id="69" w:name="_Toc18500365"/>
      <w:bookmarkStart w:id="70" w:name="_Toc488395093"/>
      <w:bookmarkStart w:id="71" w:name="_Toc456252356"/>
      <w:bookmarkStart w:id="72" w:name="_Toc259262997"/>
      <w:bookmarkStart w:id="73" w:name="_Toc262544114"/>
      <w:bookmarkStart w:id="74" w:name="_Toc523508517"/>
      <w:r>
        <w:rPr>
          <w:rFonts w:hint="eastAsia" w:ascii="宋体" w:hAnsi="宋体"/>
          <w:b/>
          <w:kern w:val="0"/>
          <w:sz w:val="28"/>
          <w:szCs w:val="28"/>
          <w:highlight w:val="none"/>
        </w:rPr>
        <w:t>响应函</w:t>
      </w:r>
      <w:bookmarkEnd w:id="66"/>
      <w:bookmarkEnd w:id="67"/>
      <w:bookmarkEnd w:id="68"/>
      <w:bookmarkEnd w:id="69"/>
      <w:bookmarkEnd w:id="70"/>
      <w:bookmarkEnd w:id="71"/>
      <w:bookmarkEnd w:id="72"/>
      <w:bookmarkEnd w:id="73"/>
      <w:bookmarkEnd w:id="74"/>
    </w:p>
    <w:p w14:paraId="6F1C318F">
      <w:pPr>
        <w:widowControl/>
        <w:jc w:val="left"/>
        <w:rPr>
          <w:rFonts w:ascii="宋体" w:hAnsi="宋体"/>
          <w:kern w:val="0"/>
          <w:sz w:val="20"/>
          <w:szCs w:val="20"/>
          <w:highlight w:val="none"/>
        </w:rPr>
      </w:pPr>
    </w:p>
    <w:p w14:paraId="49305FCB">
      <w:pPr>
        <w:widowControl/>
        <w:spacing w:line="360" w:lineRule="auto"/>
        <w:jc w:val="left"/>
        <w:rPr>
          <w:rFonts w:ascii="宋体" w:hAnsi="宋体"/>
          <w:kern w:val="0"/>
          <w:szCs w:val="21"/>
          <w:highlight w:val="none"/>
          <w:u w:val="single"/>
        </w:rPr>
      </w:pPr>
      <w:r>
        <w:rPr>
          <w:rFonts w:hint="eastAsia" w:ascii="宋体" w:hAnsi="宋体"/>
          <w:kern w:val="0"/>
          <w:szCs w:val="21"/>
          <w:highlight w:val="none"/>
        </w:rPr>
        <w:t>致：</w:t>
      </w:r>
      <w:r>
        <w:rPr>
          <w:rFonts w:hint="eastAsia" w:ascii="宋体" w:hAnsi="宋体"/>
          <w:kern w:val="0"/>
          <w:szCs w:val="21"/>
          <w:highlight w:val="none"/>
          <w:u w:val="single"/>
        </w:rPr>
        <w:t xml:space="preserve">                （征集人）：</w:t>
      </w:r>
    </w:p>
    <w:p w14:paraId="3C989B46">
      <w:pPr>
        <w:widowControl/>
        <w:spacing w:line="360" w:lineRule="auto"/>
        <w:jc w:val="left"/>
        <w:rPr>
          <w:rFonts w:ascii="宋体" w:hAnsi="宋体"/>
          <w:kern w:val="0"/>
          <w:szCs w:val="21"/>
          <w:highlight w:val="none"/>
        </w:rPr>
      </w:pPr>
    </w:p>
    <w:p w14:paraId="245B80FC">
      <w:pPr>
        <w:widowControl/>
        <w:autoSpaceDE w:val="0"/>
        <w:autoSpaceDN w:val="0"/>
        <w:adjustRightInd w:val="0"/>
        <w:spacing w:line="480" w:lineRule="auto"/>
        <w:jc w:val="left"/>
        <w:rPr>
          <w:rFonts w:ascii="宋体" w:hAnsi="宋体"/>
          <w:kern w:val="0"/>
          <w:szCs w:val="21"/>
          <w:highlight w:val="none"/>
        </w:rPr>
      </w:pPr>
      <w:r>
        <w:rPr>
          <w:rFonts w:ascii="宋体" w:hAnsi="宋体"/>
          <w:kern w:val="0"/>
          <w:szCs w:val="21"/>
          <w:highlight w:val="none"/>
        </w:rPr>
        <w:t xml:space="preserve">   </w:t>
      </w:r>
      <w:r>
        <w:rPr>
          <w:rFonts w:hint="eastAsia" w:ascii="宋体" w:hAnsi="宋体"/>
          <w:kern w:val="0"/>
          <w:szCs w:val="21"/>
          <w:highlight w:val="non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rPr>
        <w:t>（供应商全称）授权</w:t>
      </w:r>
      <w:r>
        <w:rPr>
          <w:rFonts w:hint="eastAsia" w:ascii="宋体" w:hAnsi="宋体"/>
          <w:kern w:val="0"/>
          <w:szCs w:val="21"/>
          <w:highlight w:val="none"/>
          <w:u w:val="single"/>
        </w:rPr>
        <w:t xml:space="preserve">           </w:t>
      </w:r>
      <w:r>
        <w:rPr>
          <w:rFonts w:hint="eastAsia" w:ascii="宋体" w:hAnsi="宋体"/>
          <w:kern w:val="0"/>
          <w:szCs w:val="21"/>
          <w:highlight w:val="none"/>
        </w:rPr>
        <w:t>（授权代表姓名）为</w:t>
      </w:r>
      <w:r>
        <w:rPr>
          <w:rFonts w:hint="eastAsia" w:ascii="宋体" w:hAnsi="宋体"/>
          <w:kern w:val="0"/>
          <w:szCs w:val="21"/>
          <w:highlight w:val="none"/>
          <w:u w:val="single"/>
        </w:rPr>
        <w:t xml:space="preserve">              </w:t>
      </w:r>
      <w:r>
        <w:rPr>
          <w:rFonts w:hint="eastAsia" w:ascii="宋体" w:hAnsi="宋体"/>
          <w:kern w:val="0"/>
          <w:szCs w:val="21"/>
          <w:highlight w:val="none"/>
        </w:rPr>
        <w:t>（职务、职称）为授权代表，参加</w:t>
      </w:r>
      <w:r>
        <w:rPr>
          <w:rFonts w:hint="eastAsia" w:ascii="宋体" w:hAnsi="宋体"/>
          <w:kern w:val="0"/>
          <w:szCs w:val="21"/>
          <w:highlight w:val="none"/>
          <w:lang w:val="en-US" w:eastAsia="zh-CN"/>
        </w:rPr>
        <w:t>项目</w:t>
      </w:r>
      <w:r>
        <w:rPr>
          <w:rFonts w:hint="eastAsia" w:ascii="宋体" w:hAnsi="宋体"/>
          <w:kern w:val="0"/>
          <w:szCs w:val="21"/>
          <w:highlight w:val="none"/>
        </w:rPr>
        <w:t>编号为</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w:t>
      </w:r>
      <w:r>
        <w:rPr>
          <w:rFonts w:hint="eastAsia" w:ascii="宋体" w:hAnsi="宋体"/>
          <w:kern w:val="0"/>
          <w:szCs w:val="21"/>
          <w:highlight w:val="none"/>
        </w:rPr>
        <w:t>（项目名称）有关采购活动。为此：</w:t>
      </w:r>
    </w:p>
    <w:p w14:paraId="6FD1511F">
      <w:pPr>
        <w:widowControl/>
        <w:numPr>
          <w:ilvl w:val="0"/>
          <w:numId w:val="4"/>
        </w:numPr>
        <w:spacing w:line="360" w:lineRule="auto"/>
        <w:jc w:val="left"/>
        <w:rPr>
          <w:rFonts w:ascii="宋体" w:hAnsi="宋体"/>
          <w:kern w:val="0"/>
          <w:szCs w:val="21"/>
          <w:highlight w:val="none"/>
        </w:rPr>
      </w:pPr>
      <w:r>
        <w:rPr>
          <w:rFonts w:hint="eastAsia" w:ascii="宋体" w:hAnsi="宋体"/>
          <w:kern w:val="0"/>
          <w:szCs w:val="21"/>
          <w:highlight w:val="none"/>
        </w:rPr>
        <w:t>提供投标须知规定的全部投标文件；</w:t>
      </w:r>
      <w:r>
        <w:rPr>
          <w:rFonts w:ascii="宋体" w:hAnsi="宋体"/>
          <w:kern w:val="0"/>
          <w:szCs w:val="21"/>
          <w:highlight w:val="none"/>
        </w:rPr>
        <w:t xml:space="preserve"> </w:t>
      </w:r>
    </w:p>
    <w:p w14:paraId="123671F2">
      <w:pPr>
        <w:widowControl/>
        <w:numPr>
          <w:ilvl w:val="0"/>
          <w:numId w:val="4"/>
        </w:numPr>
        <w:spacing w:line="360" w:lineRule="auto"/>
        <w:jc w:val="left"/>
        <w:rPr>
          <w:rFonts w:ascii="宋体" w:hAnsi="宋体"/>
          <w:kern w:val="0"/>
          <w:szCs w:val="21"/>
          <w:highlight w:val="none"/>
        </w:rPr>
      </w:pPr>
      <w:r>
        <w:rPr>
          <w:rFonts w:hint="eastAsia" w:ascii="宋体" w:hAnsi="宋体"/>
          <w:kern w:val="0"/>
          <w:szCs w:val="21"/>
          <w:highlight w:val="none"/>
        </w:rPr>
        <w:t>保证遵守</w:t>
      </w:r>
      <w:r>
        <w:rPr>
          <w:rFonts w:hint="eastAsia" w:ascii="宋体" w:hAnsi="宋体"/>
          <w:kern w:val="0"/>
          <w:szCs w:val="21"/>
          <w:highlight w:val="none"/>
          <w:lang w:eastAsia="zh-CN"/>
        </w:rPr>
        <w:t>征集文件</w:t>
      </w:r>
      <w:r>
        <w:rPr>
          <w:rFonts w:hint="eastAsia" w:ascii="宋体" w:hAnsi="宋体"/>
          <w:kern w:val="0"/>
          <w:szCs w:val="21"/>
          <w:highlight w:val="none"/>
        </w:rPr>
        <w:t>中的</w:t>
      </w:r>
      <w:r>
        <w:rPr>
          <w:rFonts w:hint="eastAsia" w:ascii="宋体" w:hAnsi="宋体"/>
          <w:kern w:val="0"/>
          <w:szCs w:val="21"/>
          <w:highlight w:val="none"/>
        </w:rPr>
        <w:t>有关规定和收费标准。投标报价为</w:t>
      </w:r>
      <w:r>
        <w:rPr>
          <w:rFonts w:hint="eastAsia" w:ascii="宋体" w:hAnsi="宋体"/>
          <w:kern w:val="0"/>
          <w:szCs w:val="21"/>
          <w:highlight w:val="none"/>
          <w:u w:val="single"/>
        </w:rPr>
        <w:t>响应固定收费标准</w:t>
      </w:r>
      <w:r>
        <w:rPr>
          <w:rFonts w:hint="eastAsia" w:ascii="宋体" w:hAnsi="宋体"/>
          <w:kern w:val="0"/>
          <w:szCs w:val="21"/>
          <w:highlight w:val="none"/>
        </w:rPr>
        <w:t>。</w:t>
      </w:r>
    </w:p>
    <w:p w14:paraId="68BEBF24">
      <w:pPr>
        <w:widowControl/>
        <w:numPr>
          <w:ilvl w:val="0"/>
          <w:numId w:val="4"/>
        </w:numPr>
        <w:tabs>
          <w:tab w:val="left" w:pos="720"/>
          <w:tab w:val="left" w:pos="6300"/>
        </w:tabs>
        <w:spacing w:line="360" w:lineRule="auto"/>
        <w:jc w:val="left"/>
        <w:rPr>
          <w:rFonts w:ascii="宋体" w:hAnsi="宋体"/>
          <w:kern w:val="0"/>
          <w:szCs w:val="21"/>
          <w:highlight w:val="none"/>
        </w:rPr>
      </w:pPr>
      <w:r>
        <w:rPr>
          <w:rFonts w:hint="eastAsia" w:ascii="宋体" w:hAnsi="宋体"/>
          <w:kern w:val="0"/>
          <w:szCs w:val="21"/>
          <w:highlight w:val="none"/>
        </w:rPr>
        <w:t>保证忠实地执行买卖双方所签合同，并承担合同规定的责任义务。</w:t>
      </w:r>
    </w:p>
    <w:p w14:paraId="1BD002C0">
      <w:pPr>
        <w:widowControl/>
        <w:numPr>
          <w:ilvl w:val="0"/>
          <w:numId w:val="4"/>
        </w:numPr>
        <w:spacing w:line="360" w:lineRule="auto"/>
        <w:jc w:val="left"/>
        <w:rPr>
          <w:rFonts w:ascii="宋体" w:hAnsi="宋体"/>
          <w:kern w:val="0"/>
          <w:szCs w:val="21"/>
          <w:highlight w:val="none"/>
        </w:rPr>
      </w:pPr>
      <w:r>
        <w:rPr>
          <w:rFonts w:hint="eastAsia" w:ascii="宋体" w:hAnsi="宋体"/>
          <w:kern w:val="0"/>
          <w:szCs w:val="21"/>
          <w:highlight w:val="none"/>
        </w:rPr>
        <w:t>愿意向贵方提供任何与本项目投标有关的数据、情况和技术资料。</w:t>
      </w:r>
    </w:p>
    <w:p w14:paraId="1CC4D759">
      <w:pPr>
        <w:widowControl/>
        <w:numPr>
          <w:ilvl w:val="0"/>
          <w:numId w:val="4"/>
        </w:numPr>
        <w:spacing w:line="360" w:lineRule="auto"/>
        <w:jc w:val="left"/>
        <w:rPr>
          <w:rFonts w:ascii="宋体" w:hAnsi="宋体"/>
          <w:kern w:val="0"/>
          <w:szCs w:val="21"/>
          <w:highlight w:val="none"/>
        </w:rPr>
      </w:pPr>
      <w:r>
        <w:rPr>
          <w:rFonts w:hint="eastAsia" w:ascii="宋体" w:hAnsi="宋体"/>
          <w:kern w:val="0"/>
          <w:szCs w:val="21"/>
          <w:highlight w:val="none"/>
        </w:rPr>
        <w:t>本投标自投标截止时间起90天内有效。</w:t>
      </w:r>
    </w:p>
    <w:p w14:paraId="30D26A57">
      <w:pPr>
        <w:widowControl/>
        <w:numPr>
          <w:ilvl w:val="0"/>
          <w:numId w:val="4"/>
        </w:numPr>
        <w:spacing w:line="360" w:lineRule="auto"/>
        <w:jc w:val="left"/>
        <w:rPr>
          <w:rFonts w:ascii="宋体" w:hAnsi="宋体"/>
          <w:kern w:val="0"/>
          <w:szCs w:val="21"/>
          <w:highlight w:val="none"/>
        </w:rPr>
      </w:pPr>
      <w:r>
        <w:rPr>
          <w:rFonts w:hint="eastAsia" w:ascii="宋体" w:hAnsi="宋体"/>
          <w:kern w:val="0"/>
          <w:szCs w:val="21"/>
          <w:highlight w:val="none"/>
        </w:rPr>
        <w:t>与本投标有关的一切往来通讯请寄：</w:t>
      </w:r>
      <w:r>
        <w:rPr>
          <w:rFonts w:hint="eastAsia" w:ascii="宋体" w:hAnsi="宋体"/>
          <w:kern w:val="0"/>
          <w:szCs w:val="21"/>
          <w:highlight w:val="none"/>
          <w:u w:val="single"/>
        </w:rPr>
        <w:t xml:space="preserve">                 </w:t>
      </w:r>
    </w:p>
    <w:p w14:paraId="0D9FECA5">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地址：</w:t>
      </w:r>
      <w:r>
        <w:rPr>
          <w:rFonts w:ascii="宋体" w:hAnsi="宋体"/>
          <w:kern w:val="0"/>
          <w:szCs w:val="21"/>
          <w:highlight w:val="none"/>
        </w:rPr>
        <w:t xml:space="preserve">______________________    </w:t>
      </w:r>
      <w:r>
        <w:rPr>
          <w:rFonts w:hint="eastAsia" w:ascii="宋体" w:hAnsi="宋体"/>
          <w:kern w:val="0"/>
          <w:szCs w:val="21"/>
          <w:highlight w:val="none"/>
        </w:rPr>
        <w:t>邮</w:t>
      </w:r>
      <w:r>
        <w:rPr>
          <w:rFonts w:ascii="宋体" w:hAnsi="宋体"/>
          <w:kern w:val="0"/>
          <w:szCs w:val="21"/>
          <w:highlight w:val="none"/>
        </w:rPr>
        <w:t xml:space="preserve">  </w:t>
      </w:r>
      <w:r>
        <w:rPr>
          <w:rFonts w:hint="eastAsia" w:ascii="宋体" w:hAnsi="宋体"/>
          <w:kern w:val="0"/>
          <w:szCs w:val="21"/>
          <w:highlight w:val="none"/>
        </w:rPr>
        <w:t>编：</w:t>
      </w:r>
      <w:r>
        <w:rPr>
          <w:rFonts w:ascii="宋体" w:hAnsi="宋体"/>
          <w:kern w:val="0"/>
          <w:szCs w:val="21"/>
          <w:highlight w:val="none"/>
        </w:rPr>
        <w:t>____________________</w:t>
      </w:r>
    </w:p>
    <w:p w14:paraId="17DB0466">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电话：</w:t>
      </w:r>
      <w:r>
        <w:rPr>
          <w:rFonts w:ascii="宋体" w:hAnsi="宋体"/>
          <w:kern w:val="0"/>
          <w:szCs w:val="21"/>
          <w:highlight w:val="none"/>
        </w:rPr>
        <w:t xml:space="preserve">______________________    </w:t>
      </w:r>
      <w:r>
        <w:rPr>
          <w:rFonts w:hint="eastAsia" w:ascii="宋体" w:hAnsi="宋体"/>
          <w:kern w:val="0"/>
          <w:szCs w:val="21"/>
          <w:highlight w:val="none"/>
        </w:rPr>
        <w:t>传</w:t>
      </w:r>
      <w:r>
        <w:rPr>
          <w:rFonts w:ascii="宋体" w:hAnsi="宋体"/>
          <w:kern w:val="0"/>
          <w:szCs w:val="21"/>
          <w:highlight w:val="none"/>
        </w:rPr>
        <w:t xml:space="preserve">  </w:t>
      </w:r>
      <w:r>
        <w:rPr>
          <w:rFonts w:hint="eastAsia" w:ascii="宋体" w:hAnsi="宋体"/>
          <w:kern w:val="0"/>
          <w:szCs w:val="21"/>
          <w:highlight w:val="none"/>
        </w:rPr>
        <w:t>真：</w:t>
      </w:r>
      <w:r>
        <w:rPr>
          <w:rFonts w:ascii="宋体" w:hAnsi="宋体"/>
          <w:kern w:val="0"/>
          <w:szCs w:val="21"/>
          <w:highlight w:val="none"/>
        </w:rPr>
        <w:t>____________________</w:t>
      </w:r>
    </w:p>
    <w:p w14:paraId="69C7467B">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电子信箱地址：</w:t>
      </w:r>
      <w:r>
        <w:rPr>
          <w:rFonts w:ascii="宋体" w:hAnsi="宋体"/>
          <w:kern w:val="0"/>
          <w:szCs w:val="21"/>
          <w:highlight w:val="none"/>
        </w:rPr>
        <w:t>____________________________________________</w:t>
      </w:r>
    </w:p>
    <w:p w14:paraId="2E3A5C40">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供应商代表姓名、职务</w:t>
      </w:r>
      <w:r>
        <w:rPr>
          <w:rFonts w:ascii="宋体" w:hAnsi="宋体"/>
          <w:kern w:val="0"/>
          <w:szCs w:val="21"/>
          <w:highlight w:val="none"/>
        </w:rPr>
        <w:t>(</w:t>
      </w:r>
      <w:r>
        <w:rPr>
          <w:rFonts w:hint="eastAsia" w:ascii="宋体" w:hAnsi="宋体"/>
          <w:kern w:val="0"/>
          <w:szCs w:val="21"/>
          <w:highlight w:val="none"/>
        </w:rPr>
        <w:t>印刷体</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_____________________________</w:t>
      </w:r>
    </w:p>
    <w:p w14:paraId="44680245">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供应商名称：</w:t>
      </w:r>
      <w:r>
        <w:rPr>
          <w:rFonts w:ascii="宋体" w:hAnsi="宋体"/>
          <w:kern w:val="0"/>
          <w:szCs w:val="21"/>
          <w:highlight w:val="none"/>
        </w:rPr>
        <w:t>_____________________</w:t>
      </w:r>
    </w:p>
    <w:p w14:paraId="1DE74D33">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（公　章）：</w:t>
      </w:r>
      <w:r>
        <w:rPr>
          <w:rFonts w:ascii="宋体" w:hAnsi="宋体"/>
          <w:kern w:val="0"/>
          <w:szCs w:val="21"/>
          <w:highlight w:val="none"/>
        </w:rPr>
        <w:t>_____________________</w:t>
      </w:r>
    </w:p>
    <w:p w14:paraId="574AC6B7">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日　　　期：</w:t>
      </w:r>
      <w:r>
        <w:rPr>
          <w:rFonts w:ascii="宋体" w:hAnsi="宋体"/>
          <w:kern w:val="0"/>
          <w:szCs w:val="21"/>
          <w:highlight w:val="none"/>
        </w:rPr>
        <w:t>_____</w:t>
      </w:r>
      <w:r>
        <w:rPr>
          <w:rFonts w:hint="eastAsia" w:ascii="宋体" w:hAnsi="宋体"/>
          <w:kern w:val="0"/>
          <w:szCs w:val="21"/>
          <w:highlight w:val="none"/>
        </w:rPr>
        <w:t>年</w:t>
      </w:r>
      <w:r>
        <w:rPr>
          <w:rFonts w:ascii="宋体" w:hAnsi="宋体"/>
          <w:kern w:val="0"/>
          <w:szCs w:val="21"/>
          <w:highlight w:val="none"/>
        </w:rPr>
        <w:t>_____</w:t>
      </w:r>
      <w:r>
        <w:rPr>
          <w:rFonts w:hint="eastAsia" w:ascii="宋体" w:hAnsi="宋体"/>
          <w:kern w:val="0"/>
          <w:szCs w:val="21"/>
          <w:highlight w:val="none"/>
        </w:rPr>
        <w:t>月</w:t>
      </w:r>
      <w:r>
        <w:rPr>
          <w:rFonts w:ascii="宋体" w:hAnsi="宋体"/>
          <w:kern w:val="0"/>
          <w:szCs w:val="21"/>
          <w:highlight w:val="none"/>
        </w:rPr>
        <w:t>_____</w:t>
      </w:r>
      <w:r>
        <w:rPr>
          <w:rFonts w:hint="eastAsia" w:ascii="宋体" w:hAnsi="宋体"/>
          <w:kern w:val="0"/>
          <w:szCs w:val="21"/>
          <w:highlight w:val="none"/>
        </w:rPr>
        <w:t>日</w:t>
      </w:r>
      <w:r>
        <w:rPr>
          <w:rFonts w:ascii="宋体" w:hAnsi="宋体"/>
          <w:kern w:val="0"/>
          <w:szCs w:val="21"/>
          <w:highlight w:val="none"/>
        </w:rPr>
        <w:t xml:space="preserve">     </w:t>
      </w:r>
    </w:p>
    <w:p w14:paraId="0CD6E1C6">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2B0306F9">
      <w:pPr>
        <w:widowControl/>
        <w:spacing w:line="360" w:lineRule="auto"/>
        <w:jc w:val="left"/>
        <w:rPr>
          <w:rFonts w:ascii="宋体" w:hAnsi="宋体"/>
          <w:kern w:val="0"/>
          <w:szCs w:val="21"/>
          <w:highlight w:val="none"/>
        </w:rPr>
      </w:pPr>
    </w:p>
    <w:p w14:paraId="3822DC5B">
      <w:pPr>
        <w:pStyle w:val="3"/>
        <w:spacing w:before="120" w:after="120" w:line="360" w:lineRule="auto"/>
        <w:rPr>
          <w:rFonts w:ascii="宋体" w:hAnsi="宋体"/>
          <w:b w:val="0"/>
          <w:bCs w:val="0"/>
          <w:kern w:val="0"/>
          <w:sz w:val="24"/>
          <w:szCs w:val="24"/>
          <w:highlight w:val="none"/>
        </w:rPr>
      </w:pPr>
      <w:r>
        <w:rPr>
          <w:b w:val="0"/>
          <w:color w:val="000000"/>
          <w:sz w:val="24"/>
          <w:highlight w:val="none"/>
        </w:rPr>
        <w:br w:type="page"/>
      </w:r>
      <w:bookmarkEnd w:id="5"/>
      <w:bookmarkEnd w:id="6"/>
      <w:bookmarkStart w:id="75" w:name="_Toc18500366"/>
      <w:bookmarkStart w:id="76" w:name="_Toc488395094"/>
      <w:bookmarkStart w:id="77" w:name="_Toc487211724"/>
      <w:bookmarkStart w:id="78" w:name="_Toc523508518"/>
      <w:r>
        <w:rPr>
          <w:rFonts w:hint="eastAsia" w:ascii="宋体" w:hAnsi="宋体" w:eastAsia="宋体"/>
          <w:bCs w:val="0"/>
          <w:kern w:val="0"/>
          <w:sz w:val="28"/>
          <w:szCs w:val="24"/>
          <w:highlight w:val="none"/>
        </w:rPr>
        <w:t>附件二</w:t>
      </w:r>
      <w:bookmarkEnd w:id="75"/>
      <w:bookmarkEnd w:id="76"/>
      <w:bookmarkEnd w:id="77"/>
      <w:bookmarkEnd w:id="78"/>
      <w:r>
        <w:rPr>
          <w:rFonts w:hint="eastAsia" w:ascii="宋体" w:hAnsi="宋体" w:eastAsia="宋体"/>
          <w:bCs w:val="0"/>
          <w:kern w:val="0"/>
          <w:sz w:val="28"/>
          <w:szCs w:val="24"/>
          <w:highlight w:val="none"/>
        </w:rPr>
        <w:t xml:space="preserve"> </w:t>
      </w:r>
    </w:p>
    <w:p w14:paraId="1D8E1335">
      <w:pPr>
        <w:widowControl/>
        <w:spacing w:line="360" w:lineRule="auto"/>
        <w:jc w:val="center"/>
        <w:outlineLvl w:val="1"/>
        <w:rPr>
          <w:rFonts w:ascii="宋体" w:hAnsi="宋体"/>
          <w:b/>
          <w:kern w:val="0"/>
          <w:sz w:val="28"/>
          <w:szCs w:val="28"/>
          <w:highlight w:val="none"/>
        </w:rPr>
      </w:pPr>
      <w:bookmarkStart w:id="79" w:name="_Toc488395095"/>
      <w:bookmarkStart w:id="80" w:name="_Toc523508519"/>
      <w:bookmarkStart w:id="81" w:name="_Toc18500367"/>
      <w:bookmarkStart w:id="82" w:name="_Toc487211725"/>
      <w:bookmarkStart w:id="83" w:name="_Toc456252357"/>
      <w:r>
        <w:rPr>
          <w:rFonts w:hint="eastAsia" w:ascii="宋体" w:hAnsi="宋体"/>
          <w:b/>
          <w:kern w:val="0"/>
          <w:sz w:val="28"/>
          <w:szCs w:val="28"/>
          <w:highlight w:val="none"/>
        </w:rPr>
        <w:t>开标一览表</w:t>
      </w:r>
      <w:bookmarkEnd w:id="79"/>
      <w:bookmarkEnd w:id="80"/>
      <w:bookmarkEnd w:id="81"/>
      <w:bookmarkEnd w:id="82"/>
      <w:bookmarkEnd w:id="83"/>
    </w:p>
    <w:p w14:paraId="531A9EC1">
      <w:pPr>
        <w:widowControl/>
        <w:jc w:val="left"/>
        <w:rPr>
          <w:rFonts w:ascii="宋体" w:hAnsi="宋体"/>
          <w:kern w:val="0"/>
          <w:szCs w:val="21"/>
          <w:highlight w:val="none"/>
        </w:rPr>
      </w:pPr>
      <w:bookmarkStart w:id="84" w:name="_Toc98580424"/>
      <w:r>
        <w:rPr>
          <w:rFonts w:hint="eastAsia" w:ascii="宋体" w:hAnsi="宋体"/>
          <w:kern w:val="0"/>
          <w:szCs w:val="21"/>
          <w:highlight w:val="none"/>
        </w:rPr>
        <w:t>项目名称：</w:t>
      </w:r>
      <w:r>
        <w:rPr>
          <w:rFonts w:hint="eastAsia" w:ascii="宋体" w:hAnsi="宋体"/>
          <w:kern w:val="0"/>
          <w:szCs w:val="21"/>
          <w:highlight w:val="none"/>
          <w:u w:val="single"/>
        </w:rPr>
        <w:t xml:space="preserve">                </w:t>
      </w:r>
      <w:r>
        <w:rPr>
          <w:rFonts w:hint="eastAsia" w:ascii="宋体" w:hAnsi="宋体"/>
          <w:kern w:val="0"/>
          <w:szCs w:val="21"/>
          <w:highlight w:val="none"/>
        </w:rPr>
        <w:t>（项目名称）</w:t>
      </w:r>
    </w:p>
    <w:p w14:paraId="5B631D73">
      <w:pPr>
        <w:widowControl/>
        <w:jc w:val="left"/>
        <w:rPr>
          <w:rFonts w:ascii="宋体" w:hAnsi="宋体"/>
          <w:kern w:val="0"/>
          <w:szCs w:val="21"/>
          <w:highlight w:val="none"/>
        </w:rPr>
      </w:pPr>
    </w:p>
    <w:p w14:paraId="580FB316">
      <w:pPr>
        <w:widowControl/>
        <w:jc w:val="left"/>
        <w:rPr>
          <w:rFonts w:ascii="宋体" w:hAnsi="宋体"/>
          <w:kern w:val="0"/>
          <w:szCs w:val="21"/>
          <w:highlight w:val="none"/>
        </w:rPr>
      </w:pPr>
      <w:r>
        <w:rPr>
          <w:rFonts w:hint="eastAsia" w:ascii="宋体" w:hAnsi="宋体"/>
          <w:kern w:val="0"/>
          <w:szCs w:val="21"/>
          <w:highlight w:val="none"/>
          <w:lang w:val="en-US" w:eastAsia="zh-CN"/>
        </w:rPr>
        <w:t>项目</w:t>
      </w:r>
      <w:r>
        <w:rPr>
          <w:rFonts w:hint="eastAsia" w:ascii="宋体" w:hAnsi="宋体"/>
          <w:kern w:val="0"/>
          <w:szCs w:val="21"/>
          <w:highlight w:val="none"/>
        </w:rPr>
        <w:t xml:space="preserve">编号：                                                        </w:t>
      </w:r>
      <w:bookmarkEnd w:id="84"/>
    </w:p>
    <w:p w14:paraId="17AB044F">
      <w:pPr>
        <w:widowControl/>
        <w:jc w:val="left"/>
        <w:rPr>
          <w:rFonts w:ascii="宋体" w:hAnsi="宋体"/>
          <w:kern w:val="0"/>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33"/>
        <w:gridCol w:w="1533"/>
        <w:gridCol w:w="1533"/>
        <w:gridCol w:w="1346"/>
        <w:gridCol w:w="1471"/>
      </w:tblGrid>
      <w:tr w14:paraId="0A9E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476" w:type="dxa"/>
            <w:tcBorders>
              <w:bottom w:val="single" w:color="auto" w:sz="4" w:space="0"/>
            </w:tcBorders>
            <w:vAlign w:val="center"/>
          </w:tcPr>
          <w:p w14:paraId="5035EC18">
            <w:pPr>
              <w:widowControl/>
              <w:jc w:val="center"/>
              <w:rPr>
                <w:rFonts w:ascii="宋体" w:hAnsi="宋体"/>
                <w:kern w:val="0"/>
                <w:szCs w:val="21"/>
                <w:highlight w:val="none"/>
              </w:rPr>
            </w:pPr>
            <w:r>
              <w:rPr>
                <w:rFonts w:hint="eastAsia" w:ascii="宋体" w:hAnsi="宋体"/>
                <w:kern w:val="0"/>
                <w:szCs w:val="21"/>
                <w:highlight w:val="none"/>
              </w:rPr>
              <w:t>供应商</w:t>
            </w:r>
          </w:p>
        </w:tc>
        <w:tc>
          <w:tcPr>
            <w:tcW w:w="1533" w:type="dxa"/>
            <w:tcBorders>
              <w:bottom w:val="single" w:color="auto" w:sz="4" w:space="0"/>
            </w:tcBorders>
            <w:vAlign w:val="center"/>
          </w:tcPr>
          <w:p w14:paraId="0197FB96">
            <w:pPr>
              <w:widowControl/>
              <w:jc w:val="center"/>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总</w:t>
            </w:r>
            <w:r>
              <w:rPr>
                <w:rFonts w:hint="eastAsia" w:ascii="宋体" w:hAnsi="宋体" w:eastAsia="宋体"/>
                <w:kern w:val="0"/>
                <w:szCs w:val="21"/>
                <w:highlight w:val="none"/>
                <w:lang w:val="en-US" w:eastAsia="zh-CN"/>
              </w:rPr>
              <w:t>报价</w:t>
            </w:r>
          </w:p>
          <w:p w14:paraId="28E02C17">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（总价、元）</w:t>
            </w:r>
          </w:p>
        </w:tc>
        <w:tc>
          <w:tcPr>
            <w:tcW w:w="1533" w:type="dxa"/>
            <w:tcBorders>
              <w:bottom w:val="single" w:color="auto" w:sz="4" w:space="0"/>
            </w:tcBorders>
            <w:shd w:val="clear" w:color="auto" w:fill="auto"/>
            <w:vAlign w:val="center"/>
          </w:tcPr>
          <w:p w14:paraId="6BDBBFD5">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项目综合评审报价</w:t>
            </w:r>
          </w:p>
          <w:p w14:paraId="2D81D595">
            <w:pPr>
              <w:widowControl/>
              <w:jc w:val="center"/>
              <w:rPr>
                <w:rFonts w:hint="eastAsia" w:ascii="宋体" w:hAnsi="宋体" w:eastAsia="宋体" w:cs="Times New Roman"/>
                <w:kern w:val="0"/>
                <w:sz w:val="21"/>
                <w:szCs w:val="21"/>
                <w:highlight w:val="none"/>
                <w:lang w:val="en-US" w:eastAsia="zh-CN" w:bidi="ar-SA"/>
              </w:rPr>
            </w:pPr>
            <w:r>
              <w:rPr>
                <w:rFonts w:hint="eastAsia" w:ascii="宋体" w:hAnsi="宋体" w:eastAsia="宋体"/>
                <w:kern w:val="0"/>
                <w:szCs w:val="21"/>
                <w:highlight w:val="none"/>
                <w:lang w:val="en-US" w:eastAsia="zh-CN"/>
              </w:rPr>
              <w:t>（单价、元）</w:t>
            </w:r>
          </w:p>
        </w:tc>
        <w:tc>
          <w:tcPr>
            <w:tcW w:w="1533" w:type="dxa"/>
            <w:tcBorders>
              <w:bottom w:val="single" w:color="auto" w:sz="4" w:space="0"/>
            </w:tcBorders>
            <w:vAlign w:val="center"/>
          </w:tcPr>
          <w:p w14:paraId="79E4F611">
            <w:pPr>
              <w:widowControl/>
              <w:jc w:val="center"/>
              <w:rPr>
                <w:rFonts w:hint="default"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风险评审</w:t>
            </w:r>
            <w:r>
              <w:rPr>
                <w:rFonts w:hint="eastAsia" w:ascii="宋体" w:hAnsi="宋体"/>
                <w:kern w:val="0"/>
                <w:szCs w:val="21"/>
                <w:highlight w:val="none"/>
                <w:lang w:val="en-US" w:eastAsia="zh-CN"/>
              </w:rPr>
              <w:t>报价</w:t>
            </w:r>
          </w:p>
          <w:p w14:paraId="328EEB6E">
            <w:pPr>
              <w:widowControl/>
              <w:jc w:val="center"/>
              <w:rPr>
                <w:rFonts w:hint="eastAsia" w:ascii="宋体" w:hAnsi="宋体"/>
                <w:kern w:val="0"/>
                <w:szCs w:val="21"/>
                <w:highlight w:val="none"/>
                <w:lang w:val="en-US" w:eastAsia="zh-CN"/>
              </w:rPr>
            </w:pPr>
            <w:r>
              <w:rPr>
                <w:rFonts w:hint="eastAsia" w:ascii="宋体" w:hAnsi="宋体" w:eastAsia="宋体"/>
                <w:kern w:val="0"/>
                <w:szCs w:val="21"/>
                <w:highlight w:val="none"/>
                <w:lang w:val="en-US" w:eastAsia="zh-CN"/>
              </w:rPr>
              <w:t>（单价、元）</w:t>
            </w:r>
          </w:p>
        </w:tc>
        <w:tc>
          <w:tcPr>
            <w:tcW w:w="1346" w:type="dxa"/>
            <w:tcBorders>
              <w:bottom w:val="single" w:color="auto" w:sz="4" w:space="0"/>
            </w:tcBorders>
            <w:vAlign w:val="center"/>
          </w:tcPr>
          <w:p w14:paraId="350D90D6">
            <w:pPr>
              <w:widowControl/>
              <w:jc w:val="center"/>
              <w:rPr>
                <w:rFonts w:hint="default"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规划、课题评审</w:t>
            </w:r>
            <w:r>
              <w:rPr>
                <w:rFonts w:hint="eastAsia" w:ascii="宋体" w:hAnsi="宋体"/>
                <w:kern w:val="0"/>
                <w:szCs w:val="21"/>
                <w:highlight w:val="none"/>
                <w:lang w:val="en-US" w:eastAsia="zh-CN"/>
              </w:rPr>
              <w:t>报价</w:t>
            </w:r>
          </w:p>
          <w:p w14:paraId="159E14E9">
            <w:pPr>
              <w:widowControl/>
              <w:jc w:val="center"/>
              <w:rPr>
                <w:rFonts w:hint="eastAsia" w:ascii="宋体" w:hAnsi="宋体"/>
                <w:kern w:val="0"/>
                <w:szCs w:val="21"/>
                <w:highlight w:val="none"/>
                <w:lang w:val="en-US" w:eastAsia="zh-CN"/>
              </w:rPr>
            </w:pPr>
            <w:r>
              <w:rPr>
                <w:rFonts w:hint="eastAsia" w:ascii="宋体" w:hAnsi="宋体" w:eastAsia="宋体"/>
                <w:kern w:val="0"/>
                <w:szCs w:val="21"/>
                <w:highlight w:val="none"/>
                <w:lang w:val="en-US" w:eastAsia="zh-CN"/>
              </w:rPr>
              <w:t>（单价、元）</w:t>
            </w:r>
          </w:p>
        </w:tc>
        <w:tc>
          <w:tcPr>
            <w:tcW w:w="1471" w:type="dxa"/>
            <w:tcBorders>
              <w:bottom w:val="single" w:color="auto" w:sz="4" w:space="0"/>
            </w:tcBorders>
            <w:vAlign w:val="center"/>
          </w:tcPr>
          <w:p w14:paraId="2CDEC9CA">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备注</w:t>
            </w:r>
          </w:p>
        </w:tc>
      </w:tr>
      <w:tr w14:paraId="17D0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476" w:type="dxa"/>
            <w:tcBorders>
              <w:bottom w:val="single" w:color="auto" w:sz="4" w:space="0"/>
            </w:tcBorders>
            <w:vAlign w:val="center"/>
          </w:tcPr>
          <w:p w14:paraId="5E16B812">
            <w:pPr>
              <w:widowControl/>
              <w:jc w:val="center"/>
              <w:rPr>
                <w:rFonts w:hint="eastAsia" w:ascii="宋体" w:hAnsi="宋体" w:eastAsia="宋体"/>
                <w:kern w:val="0"/>
                <w:szCs w:val="21"/>
                <w:highlight w:val="none"/>
                <w:lang w:val="en-US" w:eastAsia="zh-CN"/>
              </w:rPr>
            </w:pPr>
          </w:p>
        </w:tc>
        <w:tc>
          <w:tcPr>
            <w:tcW w:w="1533" w:type="dxa"/>
            <w:tcBorders>
              <w:bottom w:val="single" w:color="auto" w:sz="4" w:space="0"/>
            </w:tcBorders>
            <w:vAlign w:val="center"/>
          </w:tcPr>
          <w:p w14:paraId="65C6482C">
            <w:pPr>
              <w:widowControl/>
              <w:jc w:val="center"/>
              <w:rPr>
                <w:rFonts w:hint="default"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50000</w:t>
            </w:r>
          </w:p>
        </w:tc>
        <w:tc>
          <w:tcPr>
            <w:tcW w:w="1533" w:type="dxa"/>
            <w:tcBorders>
              <w:bottom w:val="single" w:color="auto" w:sz="4" w:space="0"/>
            </w:tcBorders>
            <w:vAlign w:val="center"/>
          </w:tcPr>
          <w:p w14:paraId="5FF97DE1">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10000</w:t>
            </w:r>
          </w:p>
        </w:tc>
        <w:tc>
          <w:tcPr>
            <w:tcW w:w="1533" w:type="dxa"/>
            <w:tcBorders>
              <w:bottom w:val="single" w:color="auto" w:sz="4" w:space="0"/>
            </w:tcBorders>
            <w:vAlign w:val="center"/>
          </w:tcPr>
          <w:p w14:paraId="350E65DD">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15000</w:t>
            </w:r>
          </w:p>
        </w:tc>
        <w:tc>
          <w:tcPr>
            <w:tcW w:w="1346" w:type="dxa"/>
            <w:tcBorders>
              <w:bottom w:val="single" w:color="auto" w:sz="4" w:space="0"/>
            </w:tcBorders>
            <w:vAlign w:val="center"/>
          </w:tcPr>
          <w:p w14:paraId="32D185F2">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25000</w:t>
            </w:r>
          </w:p>
        </w:tc>
        <w:tc>
          <w:tcPr>
            <w:tcW w:w="1471" w:type="dxa"/>
            <w:tcBorders>
              <w:bottom w:val="single" w:color="auto" w:sz="4" w:space="0"/>
            </w:tcBorders>
            <w:vAlign w:val="center"/>
          </w:tcPr>
          <w:p w14:paraId="081FCDBC">
            <w:pPr>
              <w:widowControl/>
              <w:jc w:val="center"/>
              <w:rPr>
                <w:rFonts w:hint="eastAsia"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响应固定收费标准</w:t>
            </w:r>
          </w:p>
        </w:tc>
      </w:tr>
    </w:tbl>
    <w:p w14:paraId="4DEF97FC">
      <w:pPr>
        <w:widowControl/>
        <w:rPr>
          <w:rFonts w:ascii="宋体" w:hAnsi="宋体"/>
          <w:kern w:val="0"/>
          <w:szCs w:val="21"/>
          <w:highlight w:val="none"/>
        </w:rPr>
      </w:pPr>
    </w:p>
    <w:p w14:paraId="4C6FE745">
      <w:pPr>
        <w:widowControl/>
        <w:spacing w:line="360" w:lineRule="auto"/>
        <w:rPr>
          <w:rFonts w:ascii="宋体" w:hAnsi="宋体"/>
          <w:kern w:val="0"/>
          <w:szCs w:val="21"/>
          <w:highlight w:val="none"/>
        </w:rPr>
      </w:pPr>
      <w:r>
        <w:rPr>
          <w:rFonts w:hint="eastAsia" w:ascii="宋体" w:hAnsi="宋体"/>
          <w:b/>
          <w:bCs/>
          <w:kern w:val="0"/>
          <w:szCs w:val="21"/>
          <w:highlight w:val="none"/>
        </w:rPr>
        <w:t>注： 按照“政采云”模板进行填写，本项费用为固定收费标准，其他报价无效。供应商在“政采云”系统中开标一览表报价时，报价栏</w:t>
      </w:r>
      <w:r>
        <w:rPr>
          <w:rFonts w:hint="eastAsia" w:ascii="宋体" w:hAnsi="宋体"/>
          <w:b/>
          <w:bCs/>
          <w:kern w:val="0"/>
          <w:szCs w:val="21"/>
          <w:highlight w:val="none"/>
          <w:lang w:val="en-US" w:eastAsia="zh-CN"/>
        </w:rPr>
        <w:t>逐项填写固定价格</w:t>
      </w:r>
      <w:r>
        <w:rPr>
          <w:rFonts w:hint="eastAsia" w:ascii="宋体" w:hAnsi="宋体"/>
          <w:b/>
          <w:bCs/>
          <w:kern w:val="0"/>
          <w:szCs w:val="21"/>
          <w:highlight w:val="none"/>
        </w:rPr>
        <w:t>，备注栏填写：响应固定收费标准。</w:t>
      </w:r>
    </w:p>
    <w:p w14:paraId="2F2697A2">
      <w:pPr>
        <w:widowControl/>
        <w:spacing w:before="120" w:line="360" w:lineRule="auto"/>
        <w:jc w:val="left"/>
        <w:rPr>
          <w:rFonts w:ascii="宋体" w:hAnsi="宋体"/>
          <w:kern w:val="0"/>
          <w:sz w:val="24"/>
          <w:szCs w:val="20"/>
          <w:highlight w:val="none"/>
        </w:rPr>
      </w:pPr>
    </w:p>
    <w:p w14:paraId="5832F01B">
      <w:pPr>
        <w:widowControl/>
        <w:spacing w:before="120" w:line="360" w:lineRule="auto"/>
        <w:jc w:val="left"/>
        <w:rPr>
          <w:rFonts w:ascii="宋体" w:hAnsi="宋体"/>
          <w:kern w:val="0"/>
          <w:sz w:val="24"/>
          <w:szCs w:val="20"/>
          <w:highlight w:val="none"/>
        </w:rPr>
      </w:pPr>
    </w:p>
    <w:p w14:paraId="299D23C5">
      <w:pPr>
        <w:widowControl/>
        <w:tabs>
          <w:tab w:val="left" w:pos="142"/>
          <w:tab w:val="left" w:pos="420"/>
        </w:tabs>
        <w:spacing w:line="360" w:lineRule="auto"/>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63358F58">
      <w:pPr>
        <w:widowControl/>
        <w:spacing w:before="120" w:line="360" w:lineRule="auto"/>
        <w:jc w:val="left"/>
        <w:rPr>
          <w:rFonts w:ascii="宋体" w:hAnsi="宋体"/>
          <w:kern w:val="0"/>
          <w:szCs w:val="21"/>
          <w:highlight w:val="none"/>
          <w:u w:val="single"/>
        </w:rPr>
      </w:pPr>
    </w:p>
    <w:p w14:paraId="2131F79B">
      <w:pPr>
        <w:widowControl/>
        <w:spacing w:line="360" w:lineRule="auto"/>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EB0E8CE">
      <w:pPr>
        <w:widowControl/>
        <w:jc w:val="left"/>
        <w:rPr>
          <w:rFonts w:ascii="宋体" w:hAnsi="宋体"/>
          <w:kern w:val="0"/>
          <w:szCs w:val="21"/>
          <w:highlight w:val="none"/>
        </w:rPr>
      </w:pPr>
    </w:p>
    <w:p w14:paraId="24A3A95C">
      <w:pPr>
        <w:widowControl/>
        <w:jc w:val="left"/>
        <w:rPr>
          <w:rFonts w:ascii="宋体" w:hAnsi="宋体"/>
          <w:kern w:val="0"/>
          <w:szCs w:val="21"/>
          <w:highlight w:val="none"/>
        </w:rPr>
      </w:pPr>
    </w:p>
    <w:p w14:paraId="7DCBBAA3">
      <w:pPr>
        <w:widowControl/>
        <w:jc w:val="left"/>
        <w:rPr>
          <w:rFonts w:ascii="宋体" w:hAnsi="宋体"/>
          <w:kern w:val="0"/>
          <w:szCs w:val="21"/>
          <w:highlight w:val="none"/>
        </w:rPr>
      </w:pPr>
    </w:p>
    <w:p w14:paraId="217D3E88">
      <w:pPr>
        <w:widowControl/>
        <w:wordWrap w:val="0"/>
        <w:spacing w:line="360" w:lineRule="auto"/>
        <w:jc w:val="right"/>
        <w:rPr>
          <w:rFonts w:ascii="宋体" w:hAnsi="宋体"/>
          <w:kern w:val="0"/>
          <w:szCs w:val="21"/>
          <w:highlight w:val="none"/>
        </w:rPr>
      </w:pPr>
      <w:r>
        <w:rPr>
          <w:rFonts w:hint="eastAsia" w:ascii="宋体" w:hAnsi="宋体"/>
          <w:kern w:val="0"/>
          <w:szCs w:val="21"/>
          <w:highlight w:val="none"/>
        </w:rPr>
        <w:t>年     月    日</w:t>
      </w:r>
    </w:p>
    <w:p w14:paraId="1BEBFD37">
      <w:pPr>
        <w:widowControl/>
        <w:jc w:val="left"/>
        <w:rPr>
          <w:rFonts w:ascii="宋体" w:hAnsi="宋体"/>
          <w:kern w:val="0"/>
          <w:sz w:val="24"/>
          <w:szCs w:val="20"/>
          <w:highlight w:val="none"/>
        </w:rPr>
      </w:pPr>
    </w:p>
    <w:p w14:paraId="4A6F3AE5">
      <w:pPr>
        <w:widowControl/>
        <w:jc w:val="left"/>
        <w:rPr>
          <w:rFonts w:ascii="宋体" w:hAnsi="宋体"/>
          <w:kern w:val="0"/>
          <w:sz w:val="24"/>
          <w:szCs w:val="20"/>
          <w:highlight w:val="none"/>
        </w:rPr>
      </w:pPr>
    </w:p>
    <w:p w14:paraId="63CEAD3C">
      <w:pPr>
        <w:rPr>
          <w:rFonts w:hint="eastAsia" w:ascii="宋体" w:hAnsi="宋体"/>
          <w:b/>
          <w:kern w:val="0"/>
          <w:sz w:val="28"/>
          <w:highlight w:val="none"/>
        </w:rPr>
      </w:pPr>
      <w:bookmarkStart w:id="85" w:name="_Toc523508528"/>
      <w:bookmarkStart w:id="86" w:name="_Toc18500376"/>
      <w:bookmarkStart w:id="87" w:name="_Toc488395104"/>
      <w:bookmarkStart w:id="88" w:name="_Toc524834043"/>
      <w:bookmarkStart w:id="89" w:name="_Toc24696157"/>
      <w:r>
        <w:rPr>
          <w:rFonts w:hint="eastAsia" w:ascii="宋体" w:hAnsi="宋体"/>
          <w:b/>
          <w:kern w:val="0"/>
          <w:sz w:val="28"/>
          <w:highlight w:val="none"/>
        </w:rPr>
        <w:br w:type="page"/>
      </w:r>
    </w:p>
    <w:p w14:paraId="3E45A481">
      <w:pPr>
        <w:keepNext/>
        <w:keepLines/>
        <w:widowControl/>
        <w:spacing w:before="120" w:after="120" w:line="360" w:lineRule="auto"/>
        <w:outlineLvl w:val="1"/>
        <w:rPr>
          <w:rFonts w:ascii="宋体" w:hAnsi="宋体"/>
          <w:kern w:val="0"/>
          <w:sz w:val="28"/>
          <w:szCs w:val="20"/>
          <w:highlight w:val="none"/>
        </w:rPr>
      </w:pPr>
      <w:r>
        <w:rPr>
          <w:rFonts w:hint="eastAsia" w:ascii="宋体" w:hAnsi="宋体"/>
          <w:b/>
          <w:kern w:val="0"/>
          <w:sz w:val="28"/>
          <w:highlight w:val="none"/>
        </w:rPr>
        <w:t>附件</w:t>
      </w:r>
      <w:bookmarkEnd w:id="85"/>
      <w:bookmarkEnd w:id="86"/>
      <w:bookmarkEnd w:id="87"/>
      <w:r>
        <w:rPr>
          <w:rFonts w:hint="eastAsia" w:ascii="宋体" w:hAnsi="宋体"/>
          <w:b/>
          <w:kern w:val="0"/>
          <w:sz w:val="28"/>
          <w:highlight w:val="none"/>
        </w:rPr>
        <w:t xml:space="preserve">三  </w:t>
      </w:r>
      <w:r>
        <w:rPr>
          <w:rFonts w:hint="eastAsia" w:ascii="宋体" w:hAnsi="宋体"/>
          <w:b/>
          <w:kern w:val="0"/>
          <w:sz w:val="32"/>
          <w:szCs w:val="20"/>
          <w:highlight w:val="none"/>
        </w:rPr>
        <w:t xml:space="preserve">          </w:t>
      </w:r>
      <w:r>
        <w:rPr>
          <w:rFonts w:hint="eastAsia" w:ascii="宋体" w:hAnsi="宋体"/>
          <w:kern w:val="0"/>
          <w:sz w:val="28"/>
          <w:szCs w:val="20"/>
          <w:highlight w:val="none"/>
        </w:rPr>
        <w:t xml:space="preserve">      </w:t>
      </w:r>
    </w:p>
    <w:p w14:paraId="0A766ACD">
      <w:pPr>
        <w:widowControl/>
        <w:spacing w:line="360" w:lineRule="auto"/>
        <w:jc w:val="center"/>
        <w:outlineLvl w:val="1"/>
        <w:rPr>
          <w:rFonts w:ascii="宋体" w:hAnsi="宋体"/>
          <w:b/>
          <w:kern w:val="0"/>
          <w:sz w:val="28"/>
          <w:szCs w:val="28"/>
          <w:highlight w:val="none"/>
        </w:rPr>
      </w:pPr>
      <w:bookmarkStart w:id="90" w:name="_Toc523508529"/>
      <w:bookmarkStart w:id="91" w:name="_Toc488395105"/>
      <w:bookmarkStart w:id="92" w:name="_Toc18500377"/>
      <w:bookmarkStart w:id="93" w:name="_Toc487211735"/>
      <w:bookmarkStart w:id="94" w:name="_Toc456252362"/>
      <w:r>
        <w:rPr>
          <w:rFonts w:hint="eastAsia" w:ascii="宋体" w:hAnsi="宋体"/>
          <w:b/>
          <w:kern w:val="0"/>
          <w:sz w:val="28"/>
          <w:szCs w:val="28"/>
          <w:highlight w:val="none"/>
        </w:rPr>
        <w:t>资格证明文件</w:t>
      </w:r>
      <w:bookmarkEnd w:id="90"/>
      <w:bookmarkEnd w:id="91"/>
      <w:bookmarkEnd w:id="92"/>
      <w:bookmarkEnd w:id="93"/>
      <w:bookmarkEnd w:id="94"/>
    </w:p>
    <w:p w14:paraId="4D80693F">
      <w:pPr>
        <w:keepNext/>
        <w:keepLines/>
        <w:widowControl/>
        <w:spacing w:before="260" w:after="260" w:line="360" w:lineRule="auto"/>
        <w:jc w:val="center"/>
        <w:outlineLvl w:val="1"/>
        <w:rPr>
          <w:rFonts w:ascii="宋体" w:hAnsi="宋体"/>
          <w:b/>
          <w:kern w:val="0"/>
          <w:szCs w:val="21"/>
          <w:highlight w:val="none"/>
        </w:rPr>
      </w:pPr>
      <w:bookmarkStart w:id="95" w:name="_Toc488395106"/>
      <w:bookmarkStart w:id="96" w:name="_Toc98580429"/>
      <w:bookmarkStart w:id="97" w:name="_Toc18500378"/>
      <w:bookmarkStart w:id="98" w:name="_Toc487211736"/>
      <w:bookmarkStart w:id="99" w:name="_Toc523508530"/>
      <w:r>
        <w:rPr>
          <w:rFonts w:hint="eastAsia" w:ascii="宋体" w:hAnsi="宋体"/>
          <w:b/>
          <w:kern w:val="0"/>
          <w:szCs w:val="21"/>
          <w:highlight w:val="none"/>
        </w:rPr>
        <w:t>（一）法人代表授权书（格式）</w:t>
      </w:r>
      <w:bookmarkEnd w:id="95"/>
      <w:bookmarkEnd w:id="96"/>
      <w:bookmarkEnd w:id="97"/>
      <w:bookmarkEnd w:id="98"/>
      <w:bookmarkEnd w:id="99"/>
    </w:p>
    <w:p w14:paraId="6AA7C6CF">
      <w:pPr>
        <w:widowControl/>
        <w:spacing w:line="360" w:lineRule="auto"/>
        <w:jc w:val="left"/>
        <w:rPr>
          <w:rFonts w:ascii="宋体" w:hAnsi="宋体"/>
          <w:b/>
          <w:kern w:val="0"/>
          <w:szCs w:val="21"/>
          <w:highlight w:val="none"/>
        </w:rPr>
      </w:pPr>
      <w:r>
        <w:rPr>
          <w:rFonts w:hint="eastAsia" w:ascii="宋体" w:hAnsi="宋体"/>
          <w:b/>
          <w:kern w:val="0"/>
          <w:szCs w:val="21"/>
          <w:highlight w:val="none"/>
          <w:u w:val="single"/>
        </w:rPr>
        <w:t xml:space="preserve">                （征集人）</w:t>
      </w:r>
      <w:r>
        <w:rPr>
          <w:rFonts w:hint="eastAsia" w:ascii="宋体" w:hAnsi="宋体"/>
          <w:b/>
          <w:kern w:val="0"/>
          <w:szCs w:val="21"/>
          <w:highlight w:val="none"/>
        </w:rPr>
        <w:t>：</w:t>
      </w:r>
    </w:p>
    <w:p w14:paraId="2E68E815">
      <w:pPr>
        <w:widowControl/>
        <w:spacing w:line="360" w:lineRule="auto"/>
        <w:jc w:val="left"/>
        <w:rPr>
          <w:rFonts w:ascii="宋体" w:hAnsi="宋体"/>
          <w:b/>
          <w:kern w:val="0"/>
          <w:szCs w:val="21"/>
          <w:highlight w:val="none"/>
        </w:rPr>
      </w:pPr>
    </w:p>
    <w:p w14:paraId="5C20F0AD">
      <w:pPr>
        <w:widowControl/>
        <w:spacing w:line="360" w:lineRule="auto"/>
        <w:ind w:firstLine="540"/>
        <w:jc w:val="left"/>
        <w:rPr>
          <w:rFonts w:ascii="宋体" w:hAnsi="宋体"/>
          <w:kern w:val="0"/>
          <w:szCs w:val="21"/>
          <w:highlight w:val="none"/>
        </w:rPr>
      </w:pPr>
      <w:r>
        <w:rPr>
          <w:rFonts w:hint="eastAsia" w:ascii="宋体" w:hAnsi="宋体"/>
          <w:kern w:val="0"/>
          <w:szCs w:val="21"/>
          <w:highlight w:val="none"/>
        </w:rPr>
        <w:t>本授权书声明：注册于</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w:t>
      </w:r>
      <w:r>
        <w:rPr>
          <w:rFonts w:hint="eastAsia" w:ascii="宋体" w:hAnsi="宋体"/>
          <w:kern w:val="0"/>
          <w:szCs w:val="21"/>
          <w:highlight w:val="none"/>
        </w:rPr>
        <w:t>公司的在下面签字的</w:t>
      </w:r>
      <w:r>
        <w:rPr>
          <w:rFonts w:hint="eastAsia" w:ascii="宋体" w:hAnsi="宋体"/>
          <w:kern w:val="0"/>
          <w:szCs w:val="21"/>
          <w:highlight w:val="none"/>
          <w:u w:val="single"/>
        </w:rPr>
        <w:t xml:space="preserve">    （法人代表姓名、职务）    </w:t>
      </w:r>
      <w:r>
        <w:rPr>
          <w:rFonts w:hint="eastAsia" w:ascii="宋体" w:hAnsi="宋体"/>
          <w:kern w:val="0"/>
          <w:szCs w:val="21"/>
          <w:highlight w:val="none"/>
        </w:rPr>
        <w:t>代表本公司授权在下面签字的</w:t>
      </w:r>
      <w:r>
        <w:rPr>
          <w:rFonts w:hint="eastAsia" w:ascii="宋体" w:hAnsi="宋体"/>
          <w:kern w:val="0"/>
          <w:szCs w:val="21"/>
          <w:highlight w:val="none"/>
          <w:u w:val="single"/>
        </w:rPr>
        <w:t xml:space="preserve">  （被授权人的姓名、职务）    </w:t>
      </w:r>
      <w:r>
        <w:rPr>
          <w:rFonts w:hint="eastAsia" w:ascii="宋体" w:hAnsi="宋体"/>
          <w:kern w:val="0"/>
          <w:szCs w:val="21"/>
          <w:highlight w:val="none"/>
        </w:rPr>
        <w:t>为本公司的合法代理人，就</w:t>
      </w:r>
      <w:r>
        <w:rPr>
          <w:rFonts w:hint="eastAsia" w:ascii="宋体" w:hAnsi="宋体"/>
          <w:kern w:val="0"/>
          <w:szCs w:val="21"/>
          <w:highlight w:val="none"/>
          <w:u w:val="single"/>
        </w:rPr>
        <w:t xml:space="preserve">  （项目名称）      </w:t>
      </w:r>
      <w:r>
        <w:rPr>
          <w:rFonts w:hint="eastAsia" w:ascii="宋体" w:hAnsi="宋体"/>
          <w:kern w:val="0"/>
          <w:szCs w:val="21"/>
          <w:highlight w:val="none"/>
        </w:rPr>
        <w:t>的投标，以本公司名义处理一切与之有关的事务。</w:t>
      </w:r>
    </w:p>
    <w:p w14:paraId="2BC747B3">
      <w:pPr>
        <w:widowControl/>
        <w:spacing w:line="360" w:lineRule="auto"/>
        <w:ind w:left="540"/>
        <w:jc w:val="left"/>
        <w:rPr>
          <w:rFonts w:ascii="宋体" w:hAnsi="宋体"/>
          <w:kern w:val="0"/>
          <w:szCs w:val="21"/>
          <w:highlight w:val="none"/>
        </w:rPr>
      </w:pPr>
    </w:p>
    <w:p w14:paraId="0399CE95">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本授权书于</w:t>
      </w: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日签字生效，特此声明。</w:t>
      </w:r>
    </w:p>
    <w:p w14:paraId="2A48D403">
      <w:pPr>
        <w:widowControl/>
        <w:spacing w:line="360" w:lineRule="auto"/>
        <w:ind w:left="540"/>
        <w:jc w:val="left"/>
        <w:rPr>
          <w:rFonts w:ascii="宋体" w:hAnsi="宋体"/>
          <w:kern w:val="0"/>
          <w:szCs w:val="21"/>
          <w:highlight w:val="none"/>
        </w:rPr>
      </w:pPr>
    </w:p>
    <w:p w14:paraId="745DDA3A">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026EED1D">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供应商全称（公章）：</w:t>
      </w:r>
      <w:r>
        <w:rPr>
          <w:rFonts w:hint="eastAsia" w:ascii="宋体" w:hAnsi="宋体"/>
          <w:kern w:val="0"/>
          <w:szCs w:val="21"/>
          <w:highlight w:val="none"/>
          <w:u w:val="single"/>
        </w:rPr>
        <w:t xml:space="preserve">                  </w:t>
      </w:r>
    </w:p>
    <w:p w14:paraId="173F9206">
      <w:pPr>
        <w:widowControl/>
        <w:spacing w:line="360" w:lineRule="auto"/>
        <w:jc w:val="left"/>
        <w:rPr>
          <w:rFonts w:ascii="宋体" w:hAnsi="宋体"/>
          <w:kern w:val="0"/>
          <w:szCs w:val="21"/>
          <w:highlight w:val="none"/>
          <w:u w:val="single"/>
        </w:rPr>
      </w:pPr>
    </w:p>
    <w:p w14:paraId="56AA7A1B">
      <w:pPr>
        <w:widowControl/>
        <w:spacing w:line="360" w:lineRule="auto"/>
        <w:jc w:val="left"/>
        <w:rPr>
          <w:rFonts w:ascii="宋体" w:hAnsi="宋体"/>
          <w:kern w:val="0"/>
          <w:szCs w:val="21"/>
          <w:highlight w:val="none"/>
          <w:u w:val="single"/>
        </w:rPr>
      </w:pPr>
    </w:p>
    <w:p w14:paraId="66416FE1">
      <w:pPr>
        <w:widowControl/>
        <w:spacing w:line="360" w:lineRule="auto"/>
        <w:jc w:val="left"/>
        <w:rPr>
          <w:rFonts w:ascii="宋体" w:hAnsi="宋体"/>
          <w:kern w:val="0"/>
          <w:szCs w:val="21"/>
          <w:highlight w:val="none"/>
          <w:u w:val="single"/>
        </w:rPr>
      </w:pPr>
    </w:p>
    <w:p w14:paraId="7C48E7CD">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授权人签字：</w:t>
      </w:r>
      <w:r>
        <w:rPr>
          <w:rFonts w:hint="eastAsia" w:ascii="宋体" w:hAnsi="宋体"/>
          <w:kern w:val="0"/>
          <w:szCs w:val="21"/>
          <w:highlight w:val="none"/>
          <w:u w:val="single"/>
        </w:rPr>
        <w:t xml:space="preserve">                     </w:t>
      </w:r>
    </w:p>
    <w:p w14:paraId="29BBF3C1">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职务：</w:t>
      </w:r>
      <w:r>
        <w:rPr>
          <w:rFonts w:hint="eastAsia" w:ascii="宋体" w:hAnsi="宋体"/>
          <w:kern w:val="0"/>
          <w:szCs w:val="21"/>
          <w:highlight w:val="none"/>
          <w:u w:val="single"/>
        </w:rPr>
        <w:t xml:space="preserve">                                 </w:t>
      </w:r>
    </w:p>
    <w:p w14:paraId="5A30747F">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电话及传真：</w:t>
      </w:r>
      <w:r>
        <w:rPr>
          <w:rFonts w:hint="eastAsia" w:ascii="宋体" w:hAnsi="宋体"/>
          <w:kern w:val="0"/>
          <w:szCs w:val="21"/>
          <w:highlight w:val="none"/>
          <w:u w:val="single"/>
        </w:rPr>
        <w:t xml:space="preserve">                           </w:t>
      </w:r>
    </w:p>
    <w:p w14:paraId="3A9E43FE">
      <w:pPr>
        <w:widowControl/>
        <w:spacing w:line="360" w:lineRule="auto"/>
        <w:ind w:left="540"/>
        <w:jc w:val="left"/>
        <w:rPr>
          <w:rFonts w:ascii="宋体" w:hAnsi="宋体"/>
          <w:kern w:val="0"/>
          <w:szCs w:val="21"/>
          <w:highlight w:val="none"/>
          <w:u w:val="single"/>
        </w:rPr>
      </w:pPr>
      <w:bookmarkStart w:id="100" w:name="_Toc245471122"/>
      <w:bookmarkStart w:id="101" w:name="_Toc262544115"/>
      <w:bookmarkStart w:id="102" w:name="_Toc258578340"/>
      <w:bookmarkStart w:id="103" w:name="_Toc249929818"/>
      <w:bookmarkStart w:id="104" w:name="_Toc249233979"/>
      <w:bookmarkStart w:id="105" w:name="_Toc249234052"/>
      <w:bookmarkStart w:id="106" w:name="_Toc259262998"/>
      <w:r>
        <w:rPr>
          <w:rFonts w:hint="eastAsia" w:ascii="宋体" w:hAnsi="宋体"/>
          <w:kern w:val="0"/>
          <w:szCs w:val="21"/>
          <w:highlight w:val="none"/>
        </w:rPr>
        <w:t>地址：</w:t>
      </w:r>
      <w:bookmarkEnd w:id="100"/>
      <w:bookmarkEnd w:id="101"/>
      <w:bookmarkEnd w:id="102"/>
      <w:bookmarkEnd w:id="103"/>
      <w:bookmarkEnd w:id="104"/>
      <w:bookmarkEnd w:id="105"/>
      <w:bookmarkEnd w:id="106"/>
      <w:r>
        <w:rPr>
          <w:rFonts w:hint="eastAsia" w:ascii="宋体" w:hAnsi="宋体"/>
          <w:kern w:val="0"/>
          <w:szCs w:val="21"/>
          <w:highlight w:val="none"/>
          <w:u w:val="single"/>
        </w:rPr>
        <w:t xml:space="preserve">                                 </w:t>
      </w:r>
    </w:p>
    <w:p w14:paraId="0B7652B7">
      <w:pPr>
        <w:widowControl/>
        <w:spacing w:line="360" w:lineRule="auto"/>
        <w:ind w:left="540"/>
        <w:jc w:val="left"/>
        <w:rPr>
          <w:rFonts w:ascii="宋体" w:hAnsi="宋体"/>
          <w:kern w:val="0"/>
          <w:szCs w:val="21"/>
          <w:highlight w:val="none"/>
          <w:u w:val="single"/>
        </w:rPr>
      </w:pPr>
    </w:p>
    <w:p w14:paraId="70988168">
      <w:pPr>
        <w:widowControl/>
        <w:spacing w:line="360" w:lineRule="auto"/>
        <w:ind w:firstLine="422" w:firstLineChars="200"/>
        <w:jc w:val="left"/>
        <w:rPr>
          <w:rFonts w:ascii="宋体" w:hAnsi="宋体"/>
          <w:kern w:val="0"/>
          <w:szCs w:val="21"/>
          <w:highlight w:val="none"/>
        </w:rPr>
      </w:pPr>
      <w:r>
        <w:rPr>
          <w:rFonts w:hint="eastAsia" w:ascii="宋体" w:hAnsi="宋体"/>
          <w:b/>
          <w:kern w:val="0"/>
          <w:szCs w:val="21"/>
          <w:highlight w:val="none"/>
        </w:rPr>
        <w:t>注：后附法定代表人身份证及被授权人身份证复印件加盖公章。</w:t>
      </w:r>
    </w:p>
    <w:p w14:paraId="23BD3019">
      <w:pPr>
        <w:keepNext/>
        <w:keepLines/>
        <w:widowControl/>
        <w:spacing w:before="260" w:after="260" w:line="360" w:lineRule="auto"/>
        <w:jc w:val="center"/>
        <w:outlineLvl w:val="1"/>
        <w:rPr>
          <w:rFonts w:ascii="宋体" w:hAnsi="宋体"/>
          <w:b/>
          <w:kern w:val="0"/>
          <w:sz w:val="28"/>
          <w:szCs w:val="20"/>
          <w:highlight w:val="none"/>
        </w:rPr>
      </w:pPr>
      <w:bookmarkStart w:id="107" w:name="_Toc98580430"/>
      <w:bookmarkStart w:id="108" w:name="_Toc24696162"/>
      <w:bookmarkStart w:id="109" w:name="_Toc524834046"/>
      <w:r>
        <w:rPr>
          <w:rFonts w:ascii="宋体" w:hAnsi="宋体"/>
          <w:b/>
          <w:kern w:val="0"/>
          <w:sz w:val="28"/>
          <w:szCs w:val="20"/>
          <w:highlight w:val="none"/>
        </w:rPr>
        <w:br w:type="page"/>
      </w:r>
      <w:bookmarkStart w:id="110" w:name="_Toc488395107"/>
      <w:bookmarkStart w:id="111" w:name="_Toc18500379"/>
      <w:bookmarkStart w:id="112" w:name="_Toc487211737"/>
      <w:bookmarkStart w:id="113" w:name="_Toc523508531"/>
      <w:r>
        <w:rPr>
          <w:rFonts w:hint="eastAsia" w:ascii="宋体" w:hAnsi="宋体"/>
          <w:b/>
          <w:kern w:val="0"/>
          <w:szCs w:val="21"/>
          <w:highlight w:val="none"/>
        </w:rPr>
        <w:t>（二）供应商基本情况表（格式）</w:t>
      </w:r>
      <w:bookmarkEnd w:id="107"/>
      <w:bookmarkEnd w:id="108"/>
      <w:bookmarkEnd w:id="110"/>
      <w:bookmarkEnd w:id="111"/>
      <w:bookmarkEnd w:id="112"/>
      <w:bookmarkEnd w:id="113"/>
    </w:p>
    <w:p w14:paraId="260FFE37">
      <w:pPr>
        <w:widowControl/>
        <w:jc w:val="left"/>
        <w:rPr>
          <w:rFonts w:ascii="宋体" w:hAnsi="宋体"/>
          <w:kern w:val="0"/>
          <w:szCs w:val="21"/>
          <w:highlight w:val="none"/>
        </w:rPr>
      </w:pPr>
    </w:p>
    <w:bookmarkEnd w:id="109"/>
    <w:tbl>
      <w:tblPr>
        <w:tblStyle w:val="5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000"/>
        <w:gridCol w:w="1748"/>
        <w:gridCol w:w="3130"/>
      </w:tblGrid>
      <w:tr w14:paraId="7CD4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5" w:type="dxa"/>
            <w:vAlign w:val="center"/>
          </w:tcPr>
          <w:p w14:paraId="4C0E6280">
            <w:pPr>
              <w:widowControl/>
              <w:jc w:val="center"/>
              <w:rPr>
                <w:rFonts w:ascii="宋体" w:hAnsi="宋体"/>
                <w:kern w:val="0"/>
                <w:szCs w:val="21"/>
                <w:highlight w:val="none"/>
              </w:rPr>
            </w:pPr>
            <w:r>
              <w:rPr>
                <w:rFonts w:hint="eastAsia" w:ascii="宋体" w:hAnsi="宋体"/>
                <w:kern w:val="0"/>
                <w:szCs w:val="21"/>
                <w:highlight w:val="none"/>
              </w:rPr>
              <w:t>企业名称</w:t>
            </w:r>
          </w:p>
        </w:tc>
        <w:tc>
          <w:tcPr>
            <w:tcW w:w="7878" w:type="dxa"/>
            <w:gridSpan w:val="3"/>
            <w:vAlign w:val="center"/>
          </w:tcPr>
          <w:p w14:paraId="79B2B65A">
            <w:pPr>
              <w:widowControl/>
              <w:jc w:val="center"/>
              <w:rPr>
                <w:rFonts w:ascii="宋体" w:hAnsi="宋体"/>
                <w:kern w:val="0"/>
                <w:szCs w:val="21"/>
                <w:highlight w:val="none"/>
              </w:rPr>
            </w:pPr>
          </w:p>
        </w:tc>
      </w:tr>
      <w:tr w14:paraId="22C5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55" w:type="dxa"/>
            <w:vAlign w:val="center"/>
          </w:tcPr>
          <w:p w14:paraId="33BA3FF6">
            <w:pPr>
              <w:widowControl/>
              <w:jc w:val="center"/>
              <w:rPr>
                <w:rFonts w:ascii="宋体" w:hAnsi="宋体"/>
                <w:kern w:val="0"/>
                <w:szCs w:val="21"/>
                <w:highlight w:val="none"/>
              </w:rPr>
            </w:pPr>
            <w:r>
              <w:rPr>
                <w:rFonts w:hint="eastAsia" w:ascii="宋体" w:hAnsi="宋体"/>
                <w:kern w:val="0"/>
                <w:szCs w:val="21"/>
                <w:highlight w:val="none"/>
              </w:rPr>
              <w:t>法定代表人</w:t>
            </w:r>
          </w:p>
        </w:tc>
        <w:tc>
          <w:tcPr>
            <w:tcW w:w="3000" w:type="dxa"/>
            <w:vAlign w:val="center"/>
          </w:tcPr>
          <w:p w14:paraId="3B715EDA">
            <w:pPr>
              <w:widowControl/>
              <w:jc w:val="center"/>
              <w:rPr>
                <w:rFonts w:ascii="宋体" w:hAnsi="宋体"/>
                <w:kern w:val="0"/>
                <w:szCs w:val="21"/>
                <w:highlight w:val="none"/>
              </w:rPr>
            </w:pPr>
          </w:p>
        </w:tc>
        <w:tc>
          <w:tcPr>
            <w:tcW w:w="1748" w:type="dxa"/>
            <w:vAlign w:val="center"/>
          </w:tcPr>
          <w:p w14:paraId="17BF409B">
            <w:pPr>
              <w:widowControl/>
              <w:jc w:val="center"/>
              <w:rPr>
                <w:rFonts w:ascii="宋体" w:hAnsi="宋体"/>
                <w:kern w:val="0"/>
                <w:szCs w:val="21"/>
                <w:highlight w:val="none"/>
              </w:rPr>
            </w:pPr>
            <w:r>
              <w:rPr>
                <w:rFonts w:hint="eastAsia" w:ascii="宋体" w:hAnsi="宋体"/>
                <w:kern w:val="0"/>
                <w:szCs w:val="21"/>
                <w:highlight w:val="none"/>
              </w:rPr>
              <w:t>联系方式</w:t>
            </w:r>
          </w:p>
        </w:tc>
        <w:tc>
          <w:tcPr>
            <w:tcW w:w="3130" w:type="dxa"/>
            <w:vAlign w:val="center"/>
          </w:tcPr>
          <w:p w14:paraId="2F6D5DCF">
            <w:pPr>
              <w:widowControl/>
              <w:jc w:val="center"/>
              <w:rPr>
                <w:rFonts w:ascii="宋体" w:hAnsi="宋体"/>
                <w:kern w:val="0"/>
                <w:szCs w:val="21"/>
                <w:highlight w:val="none"/>
              </w:rPr>
            </w:pPr>
          </w:p>
        </w:tc>
      </w:tr>
      <w:tr w14:paraId="4E1B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0" w:hRule="atLeast"/>
          <w:jc w:val="center"/>
        </w:trPr>
        <w:tc>
          <w:tcPr>
            <w:tcW w:w="1455" w:type="dxa"/>
            <w:vAlign w:val="center"/>
          </w:tcPr>
          <w:p w14:paraId="1E65B900">
            <w:pPr>
              <w:widowControl/>
              <w:jc w:val="center"/>
              <w:rPr>
                <w:rFonts w:ascii="宋体" w:hAnsi="宋体"/>
                <w:kern w:val="0"/>
                <w:szCs w:val="21"/>
                <w:highlight w:val="none"/>
              </w:rPr>
            </w:pPr>
            <w:r>
              <w:rPr>
                <w:rFonts w:hint="eastAsia" w:ascii="宋体" w:hAnsi="宋体"/>
                <w:kern w:val="0"/>
                <w:szCs w:val="21"/>
                <w:highlight w:val="none"/>
              </w:rPr>
              <w:t>经 营</w:t>
            </w:r>
          </w:p>
          <w:p w14:paraId="2D2567FB">
            <w:pPr>
              <w:widowControl/>
              <w:jc w:val="center"/>
              <w:rPr>
                <w:rFonts w:ascii="宋体" w:hAnsi="宋体"/>
                <w:kern w:val="0"/>
                <w:szCs w:val="21"/>
                <w:highlight w:val="none"/>
              </w:rPr>
            </w:pPr>
            <w:r>
              <w:rPr>
                <w:rFonts w:hint="eastAsia" w:ascii="宋体" w:hAnsi="宋体"/>
                <w:kern w:val="0"/>
                <w:szCs w:val="21"/>
                <w:highlight w:val="none"/>
              </w:rPr>
              <w:t>范 围</w:t>
            </w:r>
          </w:p>
        </w:tc>
        <w:tc>
          <w:tcPr>
            <w:tcW w:w="7878" w:type="dxa"/>
            <w:gridSpan w:val="3"/>
            <w:vAlign w:val="center"/>
          </w:tcPr>
          <w:p w14:paraId="6E67038B">
            <w:pPr>
              <w:widowControl/>
              <w:jc w:val="center"/>
              <w:rPr>
                <w:rFonts w:ascii="宋体" w:hAnsi="宋体"/>
                <w:kern w:val="0"/>
                <w:szCs w:val="21"/>
                <w:highlight w:val="none"/>
              </w:rPr>
            </w:pPr>
          </w:p>
        </w:tc>
      </w:tr>
    </w:tbl>
    <w:p w14:paraId="5AD9DA2C">
      <w:pPr>
        <w:widowControl/>
        <w:spacing w:line="360" w:lineRule="auto"/>
        <w:jc w:val="left"/>
        <w:rPr>
          <w:rFonts w:ascii="宋体" w:hAnsi="宋体"/>
          <w:kern w:val="0"/>
          <w:szCs w:val="21"/>
          <w:highlight w:val="none"/>
        </w:rPr>
      </w:pPr>
    </w:p>
    <w:p w14:paraId="108FE648">
      <w:pPr>
        <w:widowControl/>
        <w:spacing w:line="360" w:lineRule="auto"/>
        <w:ind w:firstLine="422" w:firstLineChars="200"/>
        <w:jc w:val="left"/>
        <w:rPr>
          <w:rFonts w:ascii="宋体" w:hAnsi="宋体"/>
          <w:b/>
          <w:kern w:val="0"/>
          <w:szCs w:val="21"/>
          <w:highlight w:val="none"/>
        </w:rPr>
      </w:pPr>
      <w:r>
        <w:rPr>
          <w:rFonts w:hint="eastAsia" w:ascii="宋体" w:hAnsi="宋体"/>
          <w:b/>
          <w:kern w:val="0"/>
          <w:szCs w:val="21"/>
          <w:highlight w:val="none"/>
        </w:rPr>
        <w:t>注：后附营业执照等证明材料。</w:t>
      </w:r>
    </w:p>
    <w:p w14:paraId="291799C8">
      <w:pPr>
        <w:widowControl/>
        <w:spacing w:line="360" w:lineRule="auto"/>
        <w:jc w:val="left"/>
        <w:rPr>
          <w:rFonts w:ascii="宋体" w:hAnsi="宋体"/>
          <w:kern w:val="0"/>
          <w:szCs w:val="21"/>
          <w:highlight w:val="none"/>
        </w:rPr>
      </w:pPr>
    </w:p>
    <w:p w14:paraId="192E258F">
      <w:pPr>
        <w:widowControl/>
        <w:spacing w:line="360" w:lineRule="auto"/>
        <w:jc w:val="left"/>
        <w:rPr>
          <w:rFonts w:ascii="宋体" w:hAnsi="宋体"/>
          <w:kern w:val="0"/>
          <w:sz w:val="24"/>
          <w:szCs w:val="20"/>
          <w:highlight w:val="none"/>
        </w:rPr>
      </w:pPr>
    </w:p>
    <w:p w14:paraId="2F916456">
      <w:pPr>
        <w:keepNext/>
        <w:keepLines/>
        <w:widowControl/>
        <w:spacing w:before="260" w:after="260" w:line="360" w:lineRule="auto"/>
        <w:jc w:val="center"/>
        <w:outlineLvl w:val="1"/>
        <w:rPr>
          <w:rFonts w:hint="default" w:ascii="宋体" w:hAnsi="宋体" w:eastAsia="宋体"/>
          <w:b/>
          <w:kern w:val="0"/>
          <w:szCs w:val="21"/>
          <w:highlight w:val="none"/>
          <w:lang w:val="en-US" w:eastAsia="zh-CN"/>
        </w:rPr>
      </w:pPr>
      <w:r>
        <w:rPr>
          <w:rFonts w:ascii="宋体" w:hAnsi="宋体" w:eastAsia="黑体"/>
          <w:kern w:val="0"/>
          <w:sz w:val="28"/>
          <w:szCs w:val="20"/>
          <w:highlight w:val="none"/>
        </w:rPr>
        <w:br w:type="page"/>
      </w:r>
      <w:bookmarkStart w:id="114" w:name="_Toc523508532"/>
      <w:bookmarkStart w:id="115" w:name="_Toc488395109"/>
      <w:bookmarkStart w:id="116" w:name="_Toc18500380"/>
      <w:r>
        <w:rPr>
          <w:rFonts w:hint="eastAsia" w:ascii="宋体" w:hAnsi="宋体"/>
          <w:b/>
          <w:kern w:val="0"/>
          <w:szCs w:val="21"/>
          <w:highlight w:val="none"/>
        </w:rPr>
        <w:t>（三）</w:t>
      </w:r>
      <w:r>
        <w:rPr>
          <w:rFonts w:hint="eastAsia" w:ascii="宋体" w:hAnsi="宋体"/>
          <w:b/>
          <w:kern w:val="0"/>
          <w:szCs w:val="21"/>
          <w:highlight w:val="none"/>
          <w:lang w:val="en-US" w:eastAsia="zh-CN"/>
        </w:rPr>
        <w:t>近年财务状况</w:t>
      </w:r>
    </w:p>
    <w:p w14:paraId="267EBDF2">
      <w:pPr>
        <w:rPr>
          <w:rFonts w:ascii="宋体" w:hAnsi="宋体"/>
          <w:b/>
          <w:szCs w:val="21"/>
          <w:highlight w:val="none"/>
        </w:rPr>
      </w:pPr>
    </w:p>
    <w:p w14:paraId="1DAB00F3">
      <w:pPr>
        <w:rPr>
          <w:rFonts w:ascii="宋体" w:hAnsi="宋体"/>
          <w:b/>
          <w:szCs w:val="21"/>
          <w:highlight w:val="none"/>
        </w:rPr>
      </w:pPr>
    </w:p>
    <w:p w14:paraId="0B1E0606">
      <w:pPr>
        <w:ind w:firstLine="422"/>
        <w:rPr>
          <w:rFonts w:ascii="宋体" w:hAnsi="宋体"/>
          <w:b/>
          <w:szCs w:val="21"/>
          <w:highlight w:val="none"/>
        </w:rPr>
      </w:pPr>
      <w:r>
        <w:rPr>
          <w:rFonts w:hint="eastAsia" w:ascii="宋体" w:hAnsi="宋体"/>
          <w:b/>
          <w:szCs w:val="21"/>
          <w:highlight w:val="none"/>
        </w:rPr>
        <w:t>说明：</w:t>
      </w:r>
    </w:p>
    <w:p w14:paraId="2C36857E">
      <w:pPr>
        <w:spacing w:before="120" w:after="120" w:line="360" w:lineRule="auto"/>
        <w:ind w:firstLine="420" w:firstLineChars="200"/>
        <w:rPr>
          <w:rFonts w:ascii="宋体" w:hAnsi="宋体"/>
          <w:szCs w:val="21"/>
          <w:highlight w:val="none"/>
        </w:rPr>
      </w:pPr>
      <w:r>
        <w:rPr>
          <w:rFonts w:hint="eastAsia" w:ascii="宋体" w:hAnsi="宋体"/>
          <w:szCs w:val="21"/>
          <w:highlight w:val="none"/>
        </w:rPr>
        <w:t>供应商提交的</w:t>
      </w:r>
      <w:r>
        <w:rPr>
          <w:rFonts w:hint="eastAsia" w:ascii="宋体" w:hAnsi="宋体"/>
          <w:szCs w:val="21"/>
          <w:highlight w:val="none"/>
          <w:lang w:val="en-US" w:eastAsia="zh-CN"/>
        </w:rPr>
        <w:t>财务状况证明</w:t>
      </w:r>
      <w:r>
        <w:rPr>
          <w:rFonts w:hint="eastAsia" w:ascii="宋体" w:hAnsi="宋体"/>
          <w:szCs w:val="21"/>
          <w:highlight w:val="none"/>
        </w:rPr>
        <w:t>应采用</w:t>
      </w:r>
      <w:r>
        <w:rPr>
          <w:rFonts w:hint="eastAsia" w:ascii="宋体" w:hAnsi="宋体"/>
          <w:szCs w:val="21"/>
          <w:highlight w:val="none"/>
          <w:lang w:val="en-US" w:eastAsia="zh-CN"/>
        </w:rPr>
        <w:t>征集</w:t>
      </w:r>
      <w:r>
        <w:rPr>
          <w:rFonts w:hint="eastAsia" w:ascii="宋体" w:hAnsi="宋体"/>
          <w:szCs w:val="21"/>
          <w:highlight w:val="none"/>
        </w:rPr>
        <w:t>文件中规定的形式</w:t>
      </w:r>
      <w:r>
        <w:rPr>
          <w:rFonts w:ascii="宋体" w:hAnsi="宋体"/>
          <w:szCs w:val="21"/>
          <w:highlight w:val="none"/>
        </w:rPr>
        <w:t>。</w:t>
      </w:r>
    </w:p>
    <w:p w14:paraId="046D4036">
      <w:pPr>
        <w:widowControl/>
        <w:jc w:val="left"/>
        <w:rPr>
          <w:kern w:val="0"/>
          <w:sz w:val="20"/>
          <w:szCs w:val="20"/>
          <w:highlight w:val="none"/>
        </w:rPr>
      </w:pPr>
    </w:p>
    <w:p w14:paraId="4F95C285">
      <w:pPr>
        <w:widowControl/>
        <w:jc w:val="left"/>
        <w:rPr>
          <w:kern w:val="0"/>
          <w:sz w:val="20"/>
          <w:szCs w:val="20"/>
          <w:highlight w:val="none"/>
        </w:rPr>
      </w:pPr>
    </w:p>
    <w:p w14:paraId="7B95E76C">
      <w:pPr>
        <w:widowControl/>
        <w:jc w:val="left"/>
        <w:rPr>
          <w:kern w:val="0"/>
          <w:sz w:val="20"/>
          <w:szCs w:val="20"/>
          <w:highlight w:val="none"/>
        </w:rPr>
      </w:pPr>
      <w:r>
        <w:rPr>
          <w:kern w:val="0"/>
          <w:sz w:val="20"/>
          <w:szCs w:val="20"/>
          <w:highlight w:val="none"/>
        </w:rPr>
        <w:br w:type="page"/>
      </w:r>
    </w:p>
    <w:p w14:paraId="113813C2">
      <w:pPr>
        <w:pStyle w:val="3"/>
        <w:spacing w:line="360" w:lineRule="auto"/>
        <w:jc w:val="center"/>
        <w:rPr>
          <w:rFonts w:ascii="宋体" w:hAnsi="宋体"/>
          <w:bCs w:val="0"/>
          <w:kern w:val="0"/>
          <w:sz w:val="21"/>
          <w:szCs w:val="21"/>
          <w:highlight w:val="none"/>
        </w:rPr>
      </w:pPr>
      <w:r>
        <w:rPr>
          <w:rFonts w:hint="eastAsia"/>
          <w:kern w:val="0"/>
          <w:sz w:val="20"/>
          <w:szCs w:val="20"/>
          <w:highlight w:val="none"/>
        </w:rPr>
        <w:t>（四）</w:t>
      </w:r>
      <w:r>
        <w:rPr>
          <w:rFonts w:hint="eastAsia" w:ascii="宋体" w:hAnsi="宋体" w:eastAsia="宋体"/>
          <w:bCs w:val="0"/>
          <w:kern w:val="0"/>
          <w:sz w:val="21"/>
          <w:szCs w:val="21"/>
          <w:highlight w:val="none"/>
        </w:rPr>
        <w:t>资格条件承诺函</w:t>
      </w:r>
    </w:p>
    <w:p w14:paraId="403D637E">
      <w:pPr>
        <w:spacing w:before="9"/>
        <w:jc w:val="left"/>
        <w:rPr>
          <w:rFonts w:ascii="宋体" w:hAnsi="宋体" w:cs="宋体"/>
          <w:kern w:val="0"/>
          <w:sz w:val="31"/>
          <w:szCs w:val="31"/>
          <w:highlight w:val="none"/>
        </w:rPr>
      </w:pPr>
    </w:p>
    <w:p w14:paraId="7562355B">
      <w:pPr>
        <w:widowControl/>
        <w:spacing w:line="360" w:lineRule="auto"/>
        <w:jc w:val="left"/>
        <w:rPr>
          <w:rFonts w:ascii="宋体" w:hAnsi="宋体"/>
          <w:kern w:val="0"/>
          <w:szCs w:val="21"/>
          <w:highlight w:val="none"/>
        </w:rPr>
      </w:pPr>
      <w:r>
        <w:rPr>
          <w:rFonts w:ascii="宋体" w:hAnsi="宋体"/>
          <w:color w:val="2D2F2F"/>
          <w:spacing w:val="8"/>
          <w:kern w:val="0"/>
          <w:szCs w:val="21"/>
          <w:highlight w:val="none"/>
        </w:rPr>
        <w:t>致：</w:t>
      </w:r>
      <w:r>
        <w:rPr>
          <w:rFonts w:hint="eastAsia" w:ascii="宋体" w:hAnsi="宋体"/>
          <w:color w:val="2D2F2F"/>
          <w:spacing w:val="8"/>
          <w:kern w:val="0"/>
          <w:szCs w:val="21"/>
          <w:highlight w:val="none"/>
          <w:u w:val="single"/>
        </w:rPr>
        <w:t xml:space="preserve">          </w:t>
      </w:r>
      <w:r>
        <w:rPr>
          <w:rFonts w:ascii="宋体" w:hAnsi="宋体"/>
          <w:w w:val="75"/>
          <w:kern w:val="0"/>
          <w:szCs w:val="21"/>
          <w:highlight w:val="none"/>
        </w:rPr>
        <w:t xml:space="preserve">（ </w:t>
      </w:r>
      <w:r>
        <w:rPr>
          <w:rFonts w:ascii="宋体" w:hAnsi="宋体"/>
          <w:kern w:val="0"/>
          <w:szCs w:val="21"/>
          <w:highlight w:val="none"/>
        </w:rPr>
        <w:t>采购人、</w:t>
      </w:r>
      <w:r>
        <w:rPr>
          <w:rFonts w:hint="eastAsia" w:ascii="宋体" w:hAnsi="宋体"/>
          <w:kern w:val="0"/>
          <w:szCs w:val="21"/>
          <w:highlight w:val="none"/>
        </w:rPr>
        <w:t>采</w:t>
      </w:r>
      <w:r>
        <w:rPr>
          <w:rFonts w:ascii="宋体" w:hAnsi="宋体"/>
          <w:kern w:val="0"/>
          <w:szCs w:val="21"/>
          <w:highlight w:val="none"/>
        </w:rPr>
        <w:t>购代理机构</w:t>
      </w:r>
      <w:r>
        <w:rPr>
          <w:rFonts w:ascii="宋体" w:hAnsi="宋体"/>
          <w:spacing w:val="-61"/>
          <w:kern w:val="0"/>
          <w:szCs w:val="21"/>
          <w:highlight w:val="none"/>
        </w:rPr>
        <w:t xml:space="preserve"> </w:t>
      </w:r>
      <w:r>
        <w:rPr>
          <w:rFonts w:ascii="宋体" w:hAnsi="宋体"/>
          <w:w w:val="75"/>
          <w:kern w:val="0"/>
          <w:szCs w:val="21"/>
          <w:highlight w:val="none"/>
        </w:rPr>
        <w:t>）</w:t>
      </w:r>
      <w:r>
        <w:rPr>
          <w:rFonts w:hint="eastAsia" w:ascii="宋体" w:hAnsi="宋体"/>
          <w:w w:val="75"/>
          <w:kern w:val="0"/>
          <w:szCs w:val="21"/>
          <w:highlight w:val="none"/>
        </w:rPr>
        <w:t>：</w:t>
      </w:r>
    </w:p>
    <w:p w14:paraId="5051B286">
      <w:pPr>
        <w:spacing w:line="360" w:lineRule="auto"/>
        <w:ind w:firstLine="420" w:firstLineChars="200"/>
        <w:rPr>
          <w:rFonts w:ascii="宋体" w:hAnsi="宋体"/>
          <w:szCs w:val="21"/>
          <w:highlight w:val="none"/>
        </w:rPr>
      </w:pPr>
    </w:p>
    <w:p w14:paraId="008787D9">
      <w:pPr>
        <w:spacing w:line="360" w:lineRule="auto"/>
        <w:ind w:firstLine="420" w:firstLineChars="200"/>
        <w:rPr>
          <w:rFonts w:ascii="宋体" w:hAnsi="宋体"/>
          <w:szCs w:val="21"/>
          <w:highlight w:val="none"/>
        </w:rPr>
      </w:pPr>
      <w:r>
        <w:rPr>
          <w:rFonts w:ascii="宋体" w:hAnsi="宋体"/>
          <w:szCs w:val="21"/>
          <w:highlight w:val="none"/>
        </w:rPr>
        <w:t>我单位</w:t>
      </w:r>
      <w:r>
        <w:rPr>
          <w:rFonts w:hint="eastAsia" w:ascii="宋体" w:hAnsi="宋体"/>
          <w:szCs w:val="21"/>
          <w:highlight w:val="none"/>
        </w:rPr>
        <w:t>（</w:t>
      </w:r>
      <w:r>
        <w:rPr>
          <w:rFonts w:ascii="宋体" w:hAnsi="宋体"/>
          <w:szCs w:val="21"/>
          <w:highlight w:val="none"/>
        </w:rPr>
        <w:t>公司</w:t>
      </w:r>
      <w:r>
        <w:rPr>
          <w:rFonts w:hint="eastAsia" w:ascii="宋体" w:hAnsi="宋体"/>
          <w:szCs w:val="21"/>
          <w:highlight w:val="none"/>
        </w:rPr>
        <w:t>）</w:t>
      </w:r>
      <w:r>
        <w:rPr>
          <w:rFonts w:ascii="宋体" w:hAnsi="宋体"/>
          <w:szCs w:val="21"/>
          <w:highlight w:val="none"/>
        </w:rPr>
        <w:t>参与</w:t>
      </w:r>
      <w:r>
        <w:rPr>
          <w:rFonts w:ascii="宋体" w:hAnsi="宋体"/>
          <w:szCs w:val="21"/>
          <w:highlight w:val="none"/>
          <w:u w:val="single"/>
        </w:rPr>
        <w:tab/>
      </w:r>
      <w:r>
        <w:rPr>
          <w:rFonts w:hint="eastAsia" w:ascii="宋体" w:hAnsi="宋体"/>
          <w:szCs w:val="21"/>
          <w:highlight w:val="none"/>
          <w:u w:val="single"/>
        </w:rPr>
        <w:t xml:space="preserve">    </w:t>
      </w:r>
      <w:r>
        <w:rPr>
          <w:rFonts w:ascii="宋体" w:hAnsi="宋体"/>
          <w:szCs w:val="21"/>
          <w:highlight w:val="none"/>
          <w:u w:val="single"/>
        </w:rPr>
        <w:t>（采购项目名称</w:t>
      </w:r>
      <w:r>
        <w:rPr>
          <w:rFonts w:hint="eastAsia" w:ascii="宋体" w:hAnsi="宋体"/>
          <w:szCs w:val="21"/>
          <w:highlight w:val="none"/>
          <w:u w:val="single"/>
        </w:rPr>
        <w:t>、</w:t>
      </w:r>
      <w:r>
        <w:rPr>
          <w:rFonts w:ascii="宋体" w:hAnsi="宋体"/>
          <w:szCs w:val="21"/>
          <w:highlight w:val="none"/>
          <w:u w:val="single"/>
        </w:rPr>
        <w:t>项目编号 ）</w:t>
      </w:r>
      <w:r>
        <w:rPr>
          <w:rFonts w:ascii="宋体" w:hAnsi="宋体"/>
          <w:szCs w:val="21"/>
          <w:highlight w:val="none"/>
        </w:rPr>
        <w:t>采购项目的政府采购活动</w:t>
      </w:r>
      <w:r>
        <w:rPr>
          <w:rFonts w:hint="eastAsia" w:ascii="宋体" w:hAnsi="宋体"/>
          <w:szCs w:val="21"/>
          <w:highlight w:val="none"/>
        </w:rPr>
        <w:t>，</w:t>
      </w:r>
      <w:r>
        <w:rPr>
          <w:rFonts w:ascii="宋体" w:hAnsi="宋体"/>
          <w:szCs w:val="21"/>
          <w:highlight w:val="none"/>
        </w:rPr>
        <w:t>现承诺如下：</w:t>
      </w:r>
    </w:p>
    <w:p w14:paraId="288BDB48">
      <w:pPr>
        <w:spacing w:line="360" w:lineRule="auto"/>
        <w:ind w:firstLine="420" w:firstLineChars="200"/>
        <w:rPr>
          <w:rFonts w:ascii="宋体" w:hAnsi="宋体"/>
          <w:szCs w:val="21"/>
          <w:highlight w:val="none"/>
        </w:rPr>
      </w:pPr>
      <w:r>
        <w:rPr>
          <w:rFonts w:ascii="宋体" w:hAnsi="宋体"/>
          <w:szCs w:val="21"/>
          <w:highlight w:val="none"/>
        </w:rPr>
        <w:t>1.具有良好的商业信誉和健全的财务会计制度；</w:t>
      </w:r>
    </w:p>
    <w:p w14:paraId="141936B7">
      <w:pPr>
        <w:spacing w:line="360" w:lineRule="auto"/>
        <w:ind w:firstLine="420" w:firstLineChars="200"/>
        <w:rPr>
          <w:rFonts w:ascii="宋体" w:hAnsi="宋体"/>
          <w:szCs w:val="21"/>
          <w:highlight w:val="none"/>
        </w:rPr>
      </w:pPr>
      <w:r>
        <w:rPr>
          <w:rFonts w:ascii="宋体" w:hAnsi="宋体"/>
          <w:szCs w:val="21"/>
          <w:highlight w:val="none"/>
        </w:rPr>
        <w:t>2.具有依法缴纳税收的良好记录；</w:t>
      </w:r>
    </w:p>
    <w:p w14:paraId="1A437098">
      <w:pPr>
        <w:spacing w:line="360" w:lineRule="auto"/>
        <w:ind w:firstLine="420" w:firstLineChars="200"/>
        <w:rPr>
          <w:rFonts w:ascii="宋体" w:hAnsi="宋体"/>
          <w:szCs w:val="21"/>
          <w:highlight w:val="none"/>
        </w:rPr>
      </w:pPr>
      <w:r>
        <w:rPr>
          <w:rFonts w:ascii="宋体" w:hAnsi="宋体"/>
          <w:szCs w:val="21"/>
          <w:highlight w:val="none"/>
        </w:rPr>
        <w:t>3.具有依法缴纳社会保障金的良好记录。</w:t>
      </w:r>
    </w:p>
    <w:p w14:paraId="6EF59841">
      <w:pPr>
        <w:spacing w:line="360" w:lineRule="auto"/>
        <w:ind w:firstLine="420" w:firstLineChars="200"/>
        <w:rPr>
          <w:rFonts w:ascii="宋体" w:hAnsi="宋体"/>
          <w:szCs w:val="21"/>
          <w:highlight w:val="none"/>
        </w:rPr>
      </w:pPr>
    </w:p>
    <w:p w14:paraId="68649B25">
      <w:pPr>
        <w:spacing w:line="360" w:lineRule="auto"/>
        <w:ind w:firstLine="420" w:firstLineChars="200"/>
        <w:rPr>
          <w:rFonts w:ascii="宋体" w:hAnsi="宋体"/>
          <w:szCs w:val="21"/>
          <w:highlight w:val="none"/>
        </w:rPr>
      </w:pPr>
      <w:r>
        <w:rPr>
          <w:rFonts w:ascii="宋体" w:hAnsi="宋体"/>
          <w:szCs w:val="21"/>
          <w:highlight w:val="none"/>
        </w:rPr>
        <w:t>我单位</w:t>
      </w:r>
      <w:r>
        <w:rPr>
          <w:rFonts w:hint="eastAsia" w:ascii="宋体" w:hAnsi="宋体"/>
          <w:szCs w:val="21"/>
          <w:highlight w:val="none"/>
        </w:rPr>
        <w:t>（公司）</w:t>
      </w:r>
      <w:r>
        <w:rPr>
          <w:rFonts w:ascii="宋体" w:hAnsi="宋体"/>
          <w:szCs w:val="21"/>
          <w:highlight w:val="none"/>
        </w:rPr>
        <w:t>对上述承诺的真实性负责。如有虚假</w:t>
      </w:r>
      <w:r>
        <w:rPr>
          <w:rFonts w:hint="eastAsia" w:ascii="宋体" w:hAnsi="宋体"/>
          <w:szCs w:val="21"/>
          <w:highlight w:val="none"/>
        </w:rPr>
        <w:t>，</w:t>
      </w:r>
      <w:r>
        <w:rPr>
          <w:rFonts w:ascii="宋体" w:hAnsi="宋体"/>
          <w:szCs w:val="21"/>
          <w:highlight w:val="none"/>
        </w:rPr>
        <w:t>将依法承担相应责任。</w:t>
      </w:r>
    </w:p>
    <w:p w14:paraId="2A2D2236">
      <w:pPr>
        <w:spacing w:line="360" w:lineRule="auto"/>
        <w:ind w:firstLine="420" w:firstLineChars="200"/>
        <w:rPr>
          <w:rFonts w:ascii="宋体" w:hAnsi="宋体"/>
          <w:szCs w:val="21"/>
          <w:highlight w:val="none"/>
        </w:rPr>
      </w:pPr>
      <w:r>
        <w:rPr>
          <w:rFonts w:ascii="宋体" w:hAnsi="宋体"/>
          <w:szCs w:val="21"/>
          <w:highlight w:val="none"/>
        </w:rPr>
        <w:t>特此承诺 。</w:t>
      </w:r>
    </w:p>
    <w:p w14:paraId="4F8CC2D4">
      <w:pPr>
        <w:spacing w:line="360" w:lineRule="auto"/>
        <w:ind w:firstLine="420" w:firstLineChars="200"/>
        <w:rPr>
          <w:rFonts w:ascii="宋体" w:hAnsi="宋体"/>
          <w:szCs w:val="21"/>
          <w:highlight w:val="none"/>
        </w:rPr>
      </w:pPr>
    </w:p>
    <w:p w14:paraId="5636FFD6">
      <w:pPr>
        <w:pStyle w:val="4"/>
        <w:rPr>
          <w:rFonts w:ascii="宋体" w:hAnsi="宋体"/>
          <w:szCs w:val="21"/>
          <w:highlight w:val="none"/>
        </w:rPr>
      </w:pPr>
    </w:p>
    <w:p w14:paraId="2886C2D6">
      <w:pPr>
        <w:rPr>
          <w:highlight w:val="none"/>
        </w:rPr>
      </w:pPr>
    </w:p>
    <w:p w14:paraId="0368EBB0">
      <w:pPr>
        <w:spacing w:line="360" w:lineRule="auto"/>
        <w:ind w:firstLine="420" w:firstLineChars="200"/>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51E19D55">
      <w:pPr>
        <w:widowControl/>
        <w:spacing w:before="120" w:line="360" w:lineRule="auto"/>
        <w:jc w:val="left"/>
        <w:rPr>
          <w:rFonts w:ascii="宋体" w:hAnsi="宋体"/>
          <w:kern w:val="0"/>
          <w:szCs w:val="21"/>
          <w:highlight w:val="none"/>
          <w:u w:val="single"/>
        </w:rPr>
      </w:pPr>
    </w:p>
    <w:p w14:paraId="32832B6B">
      <w:pPr>
        <w:spacing w:line="360" w:lineRule="auto"/>
        <w:ind w:firstLine="420" w:firstLineChars="200"/>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415B6B">
      <w:pPr>
        <w:widowControl/>
        <w:spacing w:line="360" w:lineRule="auto"/>
        <w:jc w:val="left"/>
        <w:rPr>
          <w:rFonts w:ascii="宋体" w:hAnsi="宋体"/>
          <w:kern w:val="0"/>
          <w:szCs w:val="21"/>
          <w:highlight w:val="none"/>
        </w:rPr>
      </w:pPr>
    </w:p>
    <w:p w14:paraId="6A56003E">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3F57D312">
      <w:pPr>
        <w:widowControl/>
        <w:spacing w:line="360" w:lineRule="auto"/>
        <w:jc w:val="right"/>
        <w:rPr>
          <w:rFonts w:ascii="宋体" w:hAnsi="宋体"/>
          <w:kern w:val="0"/>
          <w:szCs w:val="21"/>
          <w:highlight w:val="none"/>
        </w:rPr>
      </w:pPr>
      <w:r>
        <w:rPr>
          <w:rFonts w:hint="eastAsia" w:ascii="宋体" w:hAnsi="宋体"/>
          <w:kern w:val="0"/>
          <w:szCs w:val="21"/>
          <w:highlight w:val="none"/>
        </w:rPr>
        <w:t xml:space="preserve">                                                 年  月   日</w:t>
      </w:r>
    </w:p>
    <w:p w14:paraId="5E000F99">
      <w:pPr>
        <w:widowControl/>
        <w:jc w:val="left"/>
        <w:rPr>
          <w:kern w:val="0"/>
          <w:sz w:val="20"/>
          <w:szCs w:val="20"/>
          <w:highlight w:val="none"/>
        </w:rPr>
      </w:pPr>
    </w:p>
    <w:p w14:paraId="63D112ED">
      <w:pPr>
        <w:widowControl/>
        <w:jc w:val="left"/>
        <w:rPr>
          <w:kern w:val="0"/>
          <w:sz w:val="20"/>
          <w:szCs w:val="20"/>
          <w:highlight w:val="none"/>
        </w:rPr>
      </w:pPr>
    </w:p>
    <w:p w14:paraId="39822929">
      <w:pPr>
        <w:keepNext/>
        <w:keepLines/>
        <w:widowControl/>
        <w:spacing w:before="260" w:after="260" w:line="360" w:lineRule="auto"/>
        <w:jc w:val="center"/>
        <w:outlineLvl w:val="1"/>
        <w:rPr>
          <w:rFonts w:ascii="宋体" w:hAnsi="宋体" w:eastAsia="黑体"/>
          <w:b/>
          <w:kern w:val="0"/>
          <w:sz w:val="28"/>
          <w:szCs w:val="20"/>
          <w:highlight w:val="none"/>
        </w:rPr>
      </w:pPr>
      <w:r>
        <w:rPr>
          <w:rFonts w:ascii="宋体" w:hAnsi="宋体" w:eastAsia="黑体"/>
          <w:kern w:val="0"/>
          <w:sz w:val="28"/>
          <w:szCs w:val="20"/>
          <w:highlight w:val="none"/>
        </w:rPr>
        <w:br w:type="page"/>
      </w:r>
      <w:r>
        <w:rPr>
          <w:rFonts w:hint="eastAsia" w:ascii="宋体" w:hAnsi="宋体"/>
          <w:b/>
          <w:kern w:val="0"/>
          <w:szCs w:val="21"/>
          <w:highlight w:val="none"/>
        </w:rPr>
        <w:t>（五）其它材料</w:t>
      </w:r>
      <w:bookmarkEnd w:id="114"/>
      <w:bookmarkEnd w:id="115"/>
      <w:bookmarkEnd w:id="116"/>
    </w:p>
    <w:p w14:paraId="6843A438">
      <w:pPr>
        <w:widowControl/>
        <w:spacing w:before="240" w:beforeLines="100" w:line="510" w:lineRule="exact"/>
        <w:ind w:right="-298" w:rightChars="-142"/>
        <w:jc w:val="center"/>
        <w:rPr>
          <w:rFonts w:ascii="宋体" w:hAnsi="宋体" w:cs="宋体"/>
          <w:kern w:val="0"/>
          <w:szCs w:val="21"/>
          <w:highlight w:val="none"/>
          <w:lang w:val="zh-CN"/>
        </w:rPr>
      </w:pPr>
      <w:r>
        <w:rPr>
          <w:rFonts w:hint="eastAsia" w:ascii="宋体" w:hAnsi="宋体" w:cs="宋体"/>
          <w:kern w:val="0"/>
          <w:szCs w:val="21"/>
          <w:highlight w:val="none"/>
          <w:lang w:val="zh-CN"/>
        </w:rPr>
        <w:t>附；</w:t>
      </w:r>
      <w:r>
        <w:rPr>
          <w:rFonts w:hint="eastAsia" w:ascii="宋体" w:hAnsi="宋体" w:cs="宋体"/>
          <w:kern w:val="0"/>
          <w:szCs w:val="21"/>
          <w:highlight w:val="none"/>
          <w:lang w:val="en-US" w:eastAsia="zh-CN"/>
        </w:rPr>
        <w:t>征集</w:t>
      </w:r>
      <w:r>
        <w:rPr>
          <w:rFonts w:hint="eastAsia" w:ascii="宋体" w:hAnsi="宋体" w:cs="宋体"/>
          <w:kern w:val="0"/>
          <w:szCs w:val="21"/>
          <w:highlight w:val="none"/>
          <w:lang w:val="zh-CN"/>
        </w:rPr>
        <w:t>文件中要求的其他资料以及供应商认为有必要提供的其他资料。</w:t>
      </w:r>
    </w:p>
    <w:p w14:paraId="3AF12B96">
      <w:pPr>
        <w:spacing w:line="480" w:lineRule="auto"/>
        <w:ind w:firstLine="3671" w:firstLineChars="1306"/>
        <w:rPr>
          <w:rFonts w:ascii="宋体" w:hAnsi="宋体"/>
          <w:b/>
          <w:kern w:val="0"/>
          <w:sz w:val="28"/>
          <w:szCs w:val="20"/>
          <w:highlight w:val="none"/>
        </w:rPr>
      </w:pPr>
    </w:p>
    <w:p w14:paraId="29859AF7">
      <w:pPr>
        <w:spacing w:line="480" w:lineRule="auto"/>
        <w:rPr>
          <w:rFonts w:ascii="宋体" w:hAnsi="宋体"/>
          <w:b/>
          <w:kern w:val="0"/>
          <w:sz w:val="24"/>
          <w:highlight w:val="none"/>
        </w:rPr>
      </w:pPr>
    </w:p>
    <w:p w14:paraId="6CE93D58">
      <w:pPr>
        <w:rPr>
          <w:highlight w:val="none"/>
        </w:rPr>
      </w:pPr>
    </w:p>
    <w:p w14:paraId="2DEF25C3">
      <w:pPr>
        <w:keepNext/>
        <w:keepLines/>
        <w:widowControl/>
        <w:spacing w:before="120" w:after="120" w:line="360" w:lineRule="auto"/>
        <w:outlineLvl w:val="1"/>
        <w:rPr>
          <w:rFonts w:ascii="宋体" w:hAnsi="宋体"/>
          <w:b/>
          <w:kern w:val="0"/>
          <w:sz w:val="28"/>
          <w:highlight w:val="none"/>
        </w:rPr>
      </w:pPr>
      <w:r>
        <w:rPr>
          <w:rFonts w:ascii="宋体" w:hAnsi="宋体" w:eastAsia="黑体"/>
          <w:kern w:val="0"/>
          <w:sz w:val="24"/>
          <w:highlight w:val="none"/>
        </w:rPr>
        <w:br w:type="page"/>
      </w:r>
      <w:bookmarkStart w:id="117" w:name="_Toc487211732"/>
      <w:bookmarkStart w:id="118" w:name="_Toc523508526"/>
      <w:bookmarkStart w:id="119" w:name="_Toc488395102"/>
      <w:bookmarkStart w:id="120" w:name="_Toc18500374"/>
      <w:r>
        <w:rPr>
          <w:rFonts w:hint="eastAsia" w:ascii="宋体" w:hAnsi="宋体"/>
          <w:b/>
          <w:kern w:val="0"/>
          <w:sz w:val="28"/>
          <w:highlight w:val="none"/>
        </w:rPr>
        <w:t>附件</w:t>
      </w:r>
      <w:bookmarkEnd w:id="117"/>
      <w:bookmarkEnd w:id="118"/>
      <w:bookmarkEnd w:id="119"/>
      <w:bookmarkEnd w:id="120"/>
      <w:r>
        <w:rPr>
          <w:rFonts w:hint="eastAsia" w:ascii="宋体" w:hAnsi="宋体"/>
          <w:b/>
          <w:kern w:val="0"/>
          <w:sz w:val="28"/>
          <w:highlight w:val="none"/>
        </w:rPr>
        <w:t>四</w:t>
      </w:r>
      <w:bookmarkEnd w:id="88"/>
      <w:bookmarkEnd w:id="89"/>
    </w:p>
    <w:p w14:paraId="33E9BEF3">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企业业绩一览表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742"/>
        <w:gridCol w:w="3437"/>
        <w:gridCol w:w="1518"/>
      </w:tblGrid>
      <w:tr w14:paraId="7273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2" w:type="dxa"/>
            <w:vAlign w:val="center"/>
          </w:tcPr>
          <w:p w14:paraId="56C11475">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序号</w:t>
            </w:r>
          </w:p>
        </w:tc>
        <w:tc>
          <w:tcPr>
            <w:tcW w:w="1742" w:type="dxa"/>
            <w:vAlign w:val="center"/>
          </w:tcPr>
          <w:p w14:paraId="2E76102C">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时间</w:t>
            </w:r>
          </w:p>
        </w:tc>
        <w:tc>
          <w:tcPr>
            <w:tcW w:w="3437" w:type="dxa"/>
            <w:vAlign w:val="center"/>
          </w:tcPr>
          <w:p w14:paraId="47403D9A">
            <w:pPr>
              <w:jc w:val="center"/>
              <w:rPr>
                <w:rFonts w:ascii="宋体" w:hAnsi="宋体" w:eastAsia="Times New Roman" w:cs="宋体"/>
                <w:b/>
                <w:kern w:val="0"/>
                <w:sz w:val="20"/>
                <w:szCs w:val="21"/>
                <w:highlight w:val="none"/>
              </w:rPr>
            </w:pPr>
            <w:r>
              <w:rPr>
                <w:rFonts w:hint="eastAsia" w:ascii="宋体" w:hAnsi="宋体" w:eastAsia="Times New Roman" w:cs="宋体"/>
                <w:b/>
                <w:kern w:val="0"/>
                <w:sz w:val="20"/>
                <w:szCs w:val="21"/>
                <w:highlight w:val="none"/>
              </w:rPr>
              <w:t>项目名称</w:t>
            </w:r>
          </w:p>
        </w:tc>
        <w:tc>
          <w:tcPr>
            <w:tcW w:w="1518" w:type="dxa"/>
            <w:vAlign w:val="center"/>
          </w:tcPr>
          <w:p w14:paraId="7972883E">
            <w:pPr>
              <w:jc w:val="center"/>
              <w:rPr>
                <w:rFonts w:ascii="宋体" w:hAnsi="宋体" w:eastAsia="Times New Roman" w:cs="宋体"/>
                <w:b/>
                <w:kern w:val="0"/>
                <w:sz w:val="20"/>
                <w:szCs w:val="21"/>
                <w:highlight w:val="none"/>
              </w:rPr>
            </w:pPr>
            <w:r>
              <w:rPr>
                <w:rFonts w:hint="eastAsia" w:ascii="宋体" w:hAnsi="宋体" w:eastAsia="Times New Roman" w:cs="宋体"/>
                <w:b/>
                <w:kern w:val="0"/>
                <w:sz w:val="20"/>
                <w:szCs w:val="21"/>
                <w:highlight w:val="none"/>
              </w:rPr>
              <w:t>业绩类型</w:t>
            </w:r>
          </w:p>
        </w:tc>
      </w:tr>
      <w:tr w14:paraId="0931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34F67E4D">
            <w:pPr>
              <w:jc w:val="center"/>
              <w:rPr>
                <w:rFonts w:ascii="宋体" w:hAnsi="宋体" w:eastAsia="Times New Roman"/>
                <w:kern w:val="0"/>
                <w:sz w:val="20"/>
                <w:szCs w:val="21"/>
                <w:highlight w:val="none"/>
              </w:rPr>
            </w:pPr>
          </w:p>
        </w:tc>
        <w:tc>
          <w:tcPr>
            <w:tcW w:w="1742" w:type="dxa"/>
            <w:vAlign w:val="center"/>
          </w:tcPr>
          <w:p w14:paraId="5D2AF06D">
            <w:pPr>
              <w:jc w:val="center"/>
              <w:rPr>
                <w:rFonts w:ascii="宋体" w:hAnsi="宋体" w:eastAsia="Times New Roman"/>
                <w:kern w:val="0"/>
                <w:sz w:val="20"/>
                <w:szCs w:val="21"/>
                <w:highlight w:val="none"/>
              </w:rPr>
            </w:pPr>
          </w:p>
        </w:tc>
        <w:tc>
          <w:tcPr>
            <w:tcW w:w="3437" w:type="dxa"/>
            <w:vAlign w:val="center"/>
          </w:tcPr>
          <w:p w14:paraId="1CF105BD">
            <w:pPr>
              <w:jc w:val="center"/>
              <w:rPr>
                <w:rFonts w:ascii="宋体" w:hAnsi="宋体" w:eastAsia="Times New Roman" w:cs="宋体"/>
                <w:kern w:val="0"/>
                <w:sz w:val="20"/>
                <w:szCs w:val="21"/>
                <w:highlight w:val="none"/>
              </w:rPr>
            </w:pPr>
          </w:p>
        </w:tc>
        <w:tc>
          <w:tcPr>
            <w:tcW w:w="1518" w:type="dxa"/>
          </w:tcPr>
          <w:p w14:paraId="7A6317F7">
            <w:pPr>
              <w:jc w:val="center"/>
              <w:rPr>
                <w:rFonts w:ascii="宋体" w:hAnsi="宋体" w:eastAsia="Times New Roman" w:cs="宋体"/>
                <w:kern w:val="0"/>
                <w:sz w:val="20"/>
                <w:szCs w:val="21"/>
                <w:highlight w:val="none"/>
              </w:rPr>
            </w:pPr>
          </w:p>
        </w:tc>
      </w:tr>
      <w:tr w14:paraId="0561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61A5E47B">
            <w:pPr>
              <w:jc w:val="center"/>
              <w:rPr>
                <w:rFonts w:ascii="宋体" w:hAnsi="宋体" w:eastAsia="Times New Roman"/>
                <w:kern w:val="0"/>
                <w:sz w:val="20"/>
                <w:szCs w:val="21"/>
                <w:highlight w:val="none"/>
              </w:rPr>
            </w:pPr>
          </w:p>
        </w:tc>
        <w:tc>
          <w:tcPr>
            <w:tcW w:w="1742" w:type="dxa"/>
            <w:vAlign w:val="center"/>
          </w:tcPr>
          <w:p w14:paraId="576DEF72">
            <w:pPr>
              <w:jc w:val="center"/>
              <w:rPr>
                <w:rFonts w:ascii="宋体" w:hAnsi="宋体" w:eastAsia="Times New Roman"/>
                <w:kern w:val="0"/>
                <w:sz w:val="20"/>
                <w:szCs w:val="21"/>
                <w:highlight w:val="none"/>
              </w:rPr>
            </w:pPr>
          </w:p>
        </w:tc>
        <w:tc>
          <w:tcPr>
            <w:tcW w:w="3437" w:type="dxa"/>
            <w:vAlign w:val="center"/>
          </w:tcPr>
          <w:p w14:paraId="329C6DD0">
            <w:pPr>
              <w:jc w:val="center"/>
              <w:rPr>
                <w:rFonts w:ascii="宋体" w:hAnsi="宋体" w:eastAsia="Times New Roman" w:cs="宋体"/>
                <w:kern w:val="0"/>
                <w:sz w:val="20"/>
                <w:szCs w:val="21"/>
                <w:highlight w:val="none"/>
              </w:rPr>
            </w:pPr>
          </w:p>
        </w:tc>
        <w:tc>
          <w:tcPr>
            <w:tcW w:w="1518" w:type="dxa"/>
          </w:tcPr>
          <w:p w14:paraId="28A3DE59">
            <w:pPr>
              <w:jc w:val="center"/>
              <w:rPr>
                <w:rFonts w:ascii="宋体" w:hAnsi="宋体" w:eastAsia="Times New Roman" w:cs="宋体"/>
                <w:kern w:val="0"/>
                <w:sz w:val="20"/>
                <w:szCs w:val="21"/>
                <w:highlight w:val="none"/>
              </w:rPr>
            </w:pPr>
          </w:p>
        </w:tc>
      </w:tr>
      <w:tr w14:paraId="5271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20B3C4B7">
            <w:pPr>
              <w:jc w:val="center"/>
              <w:rPr>
                <w:rFonts w:ascii="宋体" w:hAnsi="宋体" w:eastAsia="Times New Roman"/>
                <w:kern w:val="0"/>
                <w:sz w:val="20"/>
                <w:szCs w:val="21"/>
                <w:highlight w:val="none"/>
              </w:rPr>
            </w:pPr>
          </w:p>
        </w:tc>
        <w:tc>
          <w:tcPr>
            <w:tcW w:w="1742" w:type="dxa"/>
            <w:vAlign w:val="center"/>
          </w:tcPr>
          <w:p w14:paraId="34AFE063">
            <w:pPr>
              <w:jc w:val="center"/>
              <w:rPr>
                <w:rFonts w:ascii="宋体" w:hAnsi="宋体" w:eastAsia="Times New Roman"/>
                <w:kern w:val="0"/>
                <w:sz w:val="20"/>
                <w:szCs w:val="21"/>
                <w:highlight w:val="none"/>
              </w:rPr>
            </w:pPr>
          </w:p>
        </w:tc>
        <w:tc>
          <w:tcPr>
            <w:tcW w:w="3437" w:type="dxa"/>
            <w:vAlign w:val="center"/>
          </w:tcPr>
          <w:p w14:paraId="7F198335">
            <w:pPr>
              <w:jc w:val="center"/>
              <w:rPr>
                <w:rFonts w:ascii="宋体" w:hAnsi="宋体" w:eastAsia="Times New Roman" w:cs="宋体"/>
                <w:kern w:val="0"/>
                <w:sz w:val="20"/>
                <w:szCs w:val="21"/>
                <w:highlight w:val="none"/>
              </w:rPr>
            </w:pPr>
          </w:p>
        </w:tc>
        <w:tc>
          <w:tcPr>
            <w:tcW w:w="1518" w:type="dxa"/>
          </w:tcPr>
          <w:p w14:paraId="2BCB4C12">
            <w:pPr>
              <w:jc w:val="center"/>
              <w:rPr>
                <w:rFonts w:ascii="宋体" w:hAnsi="宋体" w:eastAsia="Times New Roman" w:cs="宋体"/>
                <w:kern w:val="0"/>
                <w:sz w:val="20"/>
                <w:szCs w:val="21"/>
                <w:highlight w:val="none"/>
              </w:rPr>
            </w:pPr>
          </w:p>
        </w:tc>
      </w:tr>
      <w:tr w14:paraId="2776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00DA5698">
            <w:pPr>
              <w:jc w:val="center"/>
              <w:rPr>
                <w:rFonts w:ascii="宋体" w:hAnsi="宋体" w:eastAsia="Times New Roman"/>
                <w:kern w:val="0"/>
                <w:sz w:val="20"/>
                <w:szCs w:val="21"/>
                <w:highlight w:val="none"/>
              </w:rPr>
            </w:pPr>
          </w:p>
        </w:tc>
        <w:tc>
          <w:tcPr>
            <w:tcW w:w="1742" w:type="dxa"/>
            <w:vAlign w:val="center"/>
          </w:tcPr>
          <w:p w14:paraId="3285815C">
            <w:pPr>
              <w:jc w:val="center"/>
              <w:rPr>
                <w:rFonts w:ascii="宋体" w:hAnsi="宋体" w:eastAsia="Times New Roman"/>
                <w:kern w:val="0"/>
                <w:sz w:val="20"/>
                <w:szCs w:val="21"/>
                <w:highlight w:val="none"/>
              </w:rPr>
            </w:pPr>
          </w:p>
        </w:tc>
        <w:tc>
          <w:tcPr>
            <w:tcW w:w="3437" w:type="dxa"/>
            <w:vAlign w:val="center"/>
          </w:tcPr>
          <w:p w14:paraId="58E0661E">
            <w:pPr>
              <w:jc w:val="center"/>
              <w:rPr>
                <w:rFonts w:ascii="宋体" w:hAnsi="宋体" w:eastAsia="Times New Roman" w:cs="宋体"/>
                <w:kern w:val="0"/>
                <w:sz w:val="20"/>
                <w:szCs w:val="21"/>
                <w:highlight w:val="none"/>
              </w:rPr>
            </w:pPr>
          </w:p>
        </w:tc>
        <w:tc>
          <w:tcPr>
            <w:tcW w:w="1518" w:type="dxa"/>
          </w:tcPr>
          <w:p w14:paraId="3AB49942">
            <w:pPr>
              <w:jc w:val="center"/>
              <w:rPr>
                <w:rFonts w:ascii="宋体" w:hAnsi="宋体" w:eastAsia="Times New Roman" w:cs="宋体"/>
                <w:kern w:val="0"/>
                <w:sz w:val="20"/>
                <w:szCs w:val="21"/>
                <w:highlight w:val="none"/>
              </w:rPr>
            </w:pPr>
          </w:p>
        </w:tc>
      </w:tr>
      <w:tr w14:paraId="0894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3B7C1908">
            <w:pPr>
              <w:jc w:val="center"/>
              <w:rPr>
                <w:rFonts w:ascii="宋体" w:hAnsi="宋体" w:eastAsia="Times New Roman"/>
                <w:kern w:val="0"/>
                <w:sz w:val="20"/>
                <w:szCs w:val="21"/>
                <w:highlight w:val="none"/>
              </w:rPr>
            </w:pPr>
          </w:p>
        </w:tc>
        <w:tc>
          <w:tcPr>
            <w:tcW w:w="1742" w:type="dxa"/>
            <w:vAlign w:val="center"/>
          </w:tcPr>
          <w:p w14:paraId="6DCF704C">
            <w:pPr>
              <w:jc w:val="center"/>
              <w:rPr>
                <w:rFonts w:ascii="宋体" w:hAnsi="宋体" w:eastAsia="Times New Roman"/>
                <w:kern w:val="0"/>
                <w:sz w:val="20"/>
                <w:szCs w:val="21"/>
                <w:highlight w:val="none"/>
              </w:rPr>
            </w:pPr>
          </w:p>
        </w:tc>
        <w:tc>
          <w:tcPr>
            <w:tcW w:w="3437" w:type="dxa"/>
            <w:vAlign w:val="center"/>
          </w:tcPr>
          <w:p w14:paraId="7D8002BB">
            <w:pPr>
              <w:jc w:val="center"/>
              <w:rPr>
                <w:rFonts w:ascii="宋体" w:hAnsi="宋体" w:eastAsia="Times New Roman" w:cs="宋体"/>
                <w:kern w:val="0"/>
                <w:sz w:val="20"/>
                <w:szCs w:val="21"/>
                <w:highlight w:val="none"/>
              </w:rPr>
            </w:pPr>
          </w:p>
        </w:tc>
        <w:tc>
          <w:tcPr>
            <w:tcW w:w="1518" w:type="dxa"/>
          </w:tcPr>
          <w:p w14:paraId="6E9028BD">
            <w:pPr>
              <w:jc w:val="center"/>
              <w:rPr>
                <w:rFonts w:ascii="宋体" w:hAnsi="宋体" w:eastAsia="Times New Roman" w:cs="宋体"/>
                <w:kern w:val="0"/>
                <w:sz w:val="20"/>
                <w:szCs w:val="21"/>
                <w:highlight w:val="none"/>
              </w:rPr>
            </w:pPr>
          </w:p>
        </w:tc>
      </w:tr>
      <w:tr w14:paraId="522B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2C0E0C3B">
            <w:pPr>
              <w:jc w:val="center"/>
              <w:rPr>
                <w:rFonts w:ascii="宋体" w:hAnsi="宋体" w:eastAsia="Times New Roman"/>
                <w:kern w:val="0"/>
                <w:sz w:val="20"/>
                <w:szCs w:val="21"/>
                <w:highlight w:val="none"/>
              </w:rPr>
            </w:pPr>
          </w:p>
        </w:tc>
        <w:tc>
          <w:tcPr>
            <w:tcW w:w="1742" w:type="dxa"/>
            <w:vAlign w:val="center"/>
          </w:tcPr>
          <w:p w14:paraId="7CF8F1A9">
            <w:pPr>
              <w:jc w:val="center"/>
              <w:rPr>
                <w:rFonts w:ascii="宋体" w:hAnsi="宋体" w:eastAsia="Times New Roman"/>
                <w:kern w:val="0"/>
                <w:sz w:val="20"/>
                <w:szCs w:val="21"/>
                <w:highlight w:val="none"/>
              </w:rPr>
            </w:pPr>
          </w:p>
        </w:tc>
        <w:tc>
          <w:tcPr>
            <w:tcW w:w="3437" w:type="dxa"/>
            <w:vAlign w:val="center"/>
          </w:tcPr>
          <w:p w14:paraId="17397B0C">
            <w:pPr>
              <w:jc w:val="center"/>
              <w:rPr>
                <w:rFonts w:ascii="宋体" w:hAnsi="宋体" w:eastAsia="Times New Roman" w:cs="宋体"/>
                <w:kern w:val="0"/>
                <w:sz w:val="20"/>
                <w:szCs w:val="21"/>
                <w:highlight w:val="none"/>
              </w:rPr>
            </w:pPr>
          </w:p>
        </w:tc>
        <w:tc>
          <w:tcPr>
            <w:tcW w:w="1518" w:type="dxa"/>
          </w:tcPr>
          <w:p w14:paraId="4287CBE2">
            <w:pPr>
              <w:jc w:val="center"/>
              <w:rPr>
                <w:rFonts w:ascii="宋体" w:hAnsi="宋体" w:eastAsia="Times New Roman" w:cs="宋体"/>
                <w:kern w:val="0"/>
                <w:sz w:val="20"/>
                <w:szCs w:val="21"/>
                <w:highlight w:val="none"/>
              </w:rPr>
            </w:pPr>
          </w:p>
        </w:tc>
      </w:tr>
      <w:tr w14:paraId="3402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44F92BF1">
            <w:pPr>
              <w:jc w:val="center"/>
              <w:rPr>
                <w:rFonts w:ascii="宋体" w:hAnsi="宋体" w:eastAsia="Times New Roman"/>
                <w:kern w:val="0"/>
                <w:sz w:val="20"/>
                <w:szCs w:val="21"/>
                <w:highlight w:val="none"/>
              </w:rPr>
            </w:pPr>
          </w:p>
        </w:tc>
        <w:tc>
          <w:tcPr>
            <w:tcW w:w="1742" w:type="dxa"/>
            <w:vAlign w:val="center"/>
          </w:tcPr>
          <w:p w14:paraId="33A33C9E">
            <w:pPr>
              <w:jc w:val="center"/>
              <w:rPr>
                <w:rFonts w:ascii="宋体" w:hAnsi="宋体" w:eastAsia="Times New Roman"/>
                <w:kern w:val="0"/>
                <w:sz w:val="20"/>
                <w:szCs w:val="21"/>
                <w:highlight w:val="none"/>
              </w:rPr>
            </w:pPr>
          </w:p>
        </w:tc>
        <w:tc>
          <w:tcPr>
            <w:tcW w:w="3437" w:type="dxa"/>
            <w:vAlign w:val="center"/>
          </w:tcPr>
          <w:p w14:paraId="088CB154">
            <w:pPr>
              <w:jc w:val="center"/>
              <w:rPr>
                <w:rFonts w:ascii="宋体" w:hAnsi="宋体" w:eastAsia="Times New Roman" w:cs="宋体"/>
                <w:kern w:val="0"/>
                <w:sz w:val="20"/>
                <w:szCs w:val="21"/>
                <w:highlight w:val="none"/>
              </w:rPr>
            </w:pPr>
          </w:p>
        </w:tc>
        <w:tc>
          <w:tcPr>
            <w:tcW w:w="1518" w:type="dxa"/>
          </w:tcPr>
          <w:p w14:paraId="788644E3">
            <w:pPr>
              <w:jc w:val="center"/>
              <w:rPr>
                <w:rFonts w:ascii="宋体" w:hAnsi="宋体" w:eastAsia="Times New Roman" w:cs="宋体"/>
                <w:kern w:val="0"/>
                <w:sz w:val="20"/>
                <w:szCs w:val="21"/>
                <w:highlight w:val="none"/>
              </w:rPr>
            </w:pPr>
          </w:p>
        </w:tc>
      </w:tr>
      <w:tr w14:paraId="6850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584F2CAA">
            <w:pPr>
              <w:jc w:val="center"/>
              <w:rPr>
                <w:rFonts w:ascii="宋体" w:hAnsi="宋体" w:eastAsia="Times New Roman"/>
                <w:kern w:val="0"/>
                <w:sz w:val="20"/>
                <w:szCs w:val="21"/>
                <w:highlight w:val="none"/>
              </w:rPr>
            </w:pPr>
          </w:p>
        </w:tc>
        <w:tc>
          <w:tcPr>
            <w:tcW w:w="1742" w:type="dxa"/>
            <w:vAlign w:val="center"/>
          </w:tcPr>
          <w:p w14:paraId="24F257C7">
            <w:pPr>
              <w:jc w:val="center"/>
              <w:rPr>
                <w:rFonts w:ascii="宋体" w:hAnsi="宋体" w:eastAsia="Times New Roman"/>
                <w:kern w:val="0"/>
                <w:sz w:val="20"/>
                <w:szCs w:val="21"/>
                <w:highlight w:val="none"/>
              </w:rPr>
            </w:pPr>
          </w:p>
        </w:tc>
        <w:tc>
          <w:tcPr>
            <w:tcW w:w="3437" w:type="dxa"/>
            <w:vAlign w:val="center"/>
          </w:tcPr>
          <w:p w14:paraId="303A6CB4">
            <w:pPr>
              <w:jc w:val="center"/>
              <w:rPr>
                <w:rFonts w:ascii="宋体" w:hAnsi="宋体" w:eastAsia="Times New Roman" w:cs="宋体"/>
                <w:kern w:val="0"/>
                <w:sz w:val="20"/>
                <w:szCs w:val="21"/>
                <w:highlight w:val="none"/>
              </w:rPr>
            </w:pPr>
          </w:p>
        </w:tc>
        <w:tc>
          <w:tcPr>
            <w:tcW w:w="1518" w:type="dxa"/>
          </w:tcPr>
          <w:p w14:paraId="5CEA8ED9">
            <w:pPr>
              <w:jc w:val="center"/>
              <w:rPr>
                <w:rFonts w:ascii="宋体" w:hAnsi="宋体" w:eastAsia="Times New Roman" w:cs="宋体"/>
                <w:kern w:val="0"/>
                <w:sz w:val="20"/>
                <w:szCs w:val="21"/>
                <w:highlight w:val="none"/>
              </w:rPr>
            </w:pPr>
          </w:p>
        </w:tc>
      </w:tr>
    </w:tbl>
    <w:p w14:paraId="11A9AC2E">
      <w:pPr>
        <w:rPr>
          <w:highlight w:val="none"/>
        </w:rPr>
      </w:pPr>
    </w:p>
    <w:p w14:paraId="7502B991">
      <w:pPr>
        <w:ind w:firstLine="482" w:firstLineChars="200"/>
        <w:rPr>
          <w:b/>
          <w:sz w:val="24"/>
          <w:highlight w:val="none"/>
        </w:rPr>
      </w:pPr>
      <w:r>
        <w:rPr>
          <w:rFonts w:hint="eastAsia"/>
          <w:b/>
          <w:sz w:val="24"/>
          <w:highlight w:val="none"/>
        </w:rPr>
        <w:t>注：后附企业业绩合同协议书或评标办法中要求的其他材料</w:t>
      </w:r>
      <w:r>
        <w:rPr>
          <w:rFonts w:hint="eastAsia"/>
          <w:b/>
          <w:sz w:val="24"/>
          <w:highlight w:val="none"/>
          <w:lang w:eastAsia="zh-CN"/>
        </w:rPr>
        <w:t>，</w:t>
      </w:r>
      <w:r>
        <w:rPr>
          <w:rFonts w:hint="eastAsia"/>
          <w:b/>
          <w:sz w:val="24"/>
          <w:highlight w:val="none"/>
        </w:rPr>
        <w:t>标明序号并按要求标注业绩类型。</w:t>
      </w:r>
    </w:p>
    <w:p w14:paraId="499BEEF0">
      <w:pPr>
        <w:widowControl/>
        <w:jc w:val="left"/>
        <w:rPr>
          <w:rFonts w:ascii="宋体" w:hAnsi="宋体"/>
          <w:b/>
          <w:kern w:val="0"/>
          <w:sz w:val="28"/>
          <w:highlight w:val="none"/>
        </w:rPr>
      </w:pPr>
      <w:r>
        <w:rPr>
          <w:rFonts w:ascii="宋体" w:hAnsi="宋体"/>
          <w:b/>
          <w:kern w:val="0"/>
          <w:sz w:val="28"/>
          <w:highlight w:val="none"/>
        </w:rPr>
        <w:br w:type="page"/>
      </w:r>
    </w:p>
    <w:p w14:paraId="3243C854">
      <w:pPr>
        <w:keepNext/>
        <w:keepLines/>
        <w:widowControl/>
        <w:spacing w:before="120" w:after="120" w:line="360" w:lineRule="auto"/>
        <w:outlineLvl w:val="1"/>
        <w:rPr>
          <w:rFonts w:ascii="宋体" w:hAnsi="宋体"/>
          <w:b/>
          <w:kern w:val="0"/>
          <w:sz w:val="28"/>
          <w:highlight w:val="none"/>
        </w:rPr>
      </w:pPr>
      <w:r>
        <w:rPr>
          <w:rFonts w:hint="eastAsia" w:ascii="宋体" w:hAnsi="宋体"/>
          <w:b/>
          <w:kern w:val="0"/>
          <w:sz w:val="28"/>
          <w:highlight w:val="none"/>
        </w:rPr>
        <w:t>附件五</w:t>
      </w:r>
    </w:p>
    <w:p w14:paraId="3FC66FAA">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拟投入人员一览表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14"/>
        <w:gridCol w:w="813"/>
        <w:gridCol w:w="888"/>
        <w:gridCol w:w="4007"/>
      </w:tblGrid>
      <w:tr w14:paraId="3842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08" w:type="dxa"/>
            <w:vAlign w:val="center"/>
          </w:tcPr>
          <w:p w14:paraId="68531811">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序号</w:t>
            </w:r>
          </w:p>
        </w:tc>
        <w:tc>
          <w:tcPr>
            <w:tcW w:w="1914" w:type="dxa"/>
            <w:vAlign w:val="center"/>
          </w:tcPr>
          <w:p w14:paraId="47151C34">
            <w:pPr>
              <w:jc w:val="center"/>
              <w:rPr>
                <w:rFonts w:ascii="宋体" w:hAnsi="宋体" w:eastAsiaTheme="minorEastAsia"/>
                <w:b/>
                <w:kern w:val="0"/>
                <w:sz w:val="20"/>
                <w:szCs w:val="21"/>
                <w:highlight w:val="none"/>
              </w:rPr>
            </w:pPr>
            <w:r>
              <w:rPr>
                <w:rFonts w:hint="eastAsia" w:ascii="宋体" w:hAnsi="宋体" w:eastAsiaTheme="minorEastAsia"/>
                <w:b/>
                <w:kern w:val="0"/>
                <w:sz w:val="20"/>
                <w:szCs w:val="21"/>
                <w:highlight w:val="none"/>
              </w:rPr>
              <w:t>姓名</w:t>
            </w:r>
          </w:p>
        </w:tc>
        <w:tc>
          <w:tcPr>
            <w:tcW w:w="813" w:type="dxa"/>
            <w:vAlign w:val="center"/>
          </w:tcPr>
          <w:p w14:paraId="0DF8DB44">
            <w:pPr>
              <w:jc w:val="center"/>
              <w:rPr>
                <w:rFonts w:ascii="宋体" w:hAnsi="宋体" w:cs="宋体" w:eastAsiaTheme="minorEastAsia"/>
                <w:b/>
                <w:kern w:val="0"/>
                <w:sz w:val="20"/>
                <w:szCs w:val="21"/>
                <w:highlight w:val="none"/>
              </w:rPr>
            </w:pPr>
            <w:r>
              <w:rPr>
                <w:rFonts w:hint="eastAsia" w:ascii="宋体" w:hAnsi="宋体" w:cs="宋体" w:eastAsiaTheme="minorEastAsia"/>
                <w:b/>
                <w:kern w:val="0"/>
                <w:sz w:val="20"/>
                <w:szCs w:val="21"/>
                <w:highlight w:val="none"/>
              </w:rPr>
              <w:t>性别</w:t>
            </w:r>
          </w:p>
        </w:tc>
        <w:tc>
          <w:tcPr>
            <w:tcW w:w="888" w:type="dxa"/>
            <w:vAlign w:val="center"/>
          </w:tcPr>
          <w:p w14:paraId="5D248F2A">
            <w:pPr>
              <w:jc w:val="center"/>
              <w:rPr>
                <w:rFonts w:ascii="宋体" w:hAnsi="宋体" w:cs="宋体" w:eastAsiaTheme="minorEastAsia"/>
                <w:b/>
                <w:kern w:val="0"/>
                <w:sz w:val="20"/>
                <w:szCs w:val="21"/>
                <w:highlight w:val="none"/>
              </w:rPr>
            </w:pPr>
            <w:r>
              <w:rPr>
                <w:rFonts w:hint="eastAsia" w:ascii="宋体" w:hAnsi="宋体" w:cs="宋体" w:eastAsiaTheme="minorEastAsia"/>
                <w:b/>
                <w:kern w:val="0"/>
                <w:sz w:val="20"/>
                <w:szCs w:val="21"/>
                <w:highlight w:val="none"/>
              </w:rPr>
              <w:t>年龄</w:t>
            </w:r>
          </w:p>
        </w:tc>
        <w:tc>
          <w:tcPr>
            <w:tcW w:w="4007" w:type="dxa"/>
            <w:vAlign w:val="center"/>
          </w:tcPr>
          <w:p w14:paraId="74E2F432">
            <w:pPr>
              <w:jc w:val="center"/>
              <w:rPr>
                <w:rFonts w:ascii="宋体" w:hAnsi="宋体" w:eastAsiaTheme="minorEastAsia"/>
                <w:b/>
                <w:kern w:val="0"/>
                <w:sz w:val="20"/>
                <w:szCs w:val="21"/>
                <w:highlight w:val="none"/>
              </w:rPr>
            </w:pPr>
            <w:r>
              <w:rPr>
                <w:rFonts w:hint="eastAsia" w:ascii="宋体" w:hAnsi="宋体" w:cs="宋体" w:eastAsiaTheme="minorEastAsia"/>
                <w:b/>
                <w:kern w:val="0"/>
                <w:sz w:val="20"/>
                <w:szCs w:val="21"/>
                <w:highlight w:val="none"/>
              </w:rPr>
              <w:t>职业资格</w:t>
            </w:r>
          </w:p>
        </w:tc>
      </w:tr>
      <w:tr w14:paraId="31BF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4F52F46D">
            <w:pPr>
              <w:jc w:val="center"/>
              <w:rPr>
                <w:rFonts w:ascii="宋体" w:hAnsi="宋体" w:eastAsia="Times New Roman"/>
                <w:kern w:val="0"/>
                <w:sz w:val="20"/>
                <w:szCs w:val="21"/>
                <w:highlight w:val="none"/>
              </w:rPr>
            </w:pPr>
          </w:p>
        </w:tc>
        <w:tc>
          <w:tcPr>
            <w:tcW w:w="1914" w:type="dxa"/>
            <w:vAlign w:val="center"/>
          </w:tcPr>
          <w:p w14:paraId="20E4BD9B">
            <w:pPr>
              <w:jc w:val="center"/>
              <w:rPr>
                <w:rFonts w:ascii="宋体" w:hAnsi="宋体" w:eastAsia="Times New Roman"/>
                <w:kern w:val="0"/>
                <w:sz w:val="20"/>
                <w:szCs w:val="21"/>
                <w:highlight w:val="none"/>
              </w:rPr>
            </w:pPr>
          </w:p>
        </w:tc>
        <w:tc>
          <w:tcPr>
            <w:tcW w:w="813" w:type="dxa"/>
            <w:vAlign w:val="center"/>
          </w:tcPr>
          <w:p w14:paraId="2E91D9A7">
            <w:pPr>
              <w:jc w:val="center"/>
              <w:rPr>
                <w:rFonts w:ascii="宋体" w:hAnsi="宋体" w:eastAsia="Times New Roman" w:cs="宋体"/>
                <w:kern w:val="0"/>
                <w:sz w:val="20"/>
                <w:szCs w:val="21"/>
                <w:highlight w:val="none"/>
              </w:rPr>
            </w:pPr>
          </w:p>
        </w:tc>
        <w:tc>
          <w:tcPr>
            <w:tcW w:w="888" w:type="dxa"/>
            <w:vAlign w:val="center"/>
          </w:tcPr>
          <w:p w14:paraId="751742EC">
            <w:pPr>
              <w:jc w:val="center"/>
              <w:rPr>
                <w:rFonts w:ascii="宋体" w:hAnsi="宋体" w:eastAsia="Times New Roman" w:cs="宋体"/>
                <w:kern w:val="0"/>
                <w:sz w:val="20"/>
                <w:szCs w:val="21"/>
                <w:highlight w:val="none"/>
              </w:rPr>
            </w:pPr>
          </w:p>
        </w:tc>
        <w:tc>
          <w:tcPr>
            <w:tcW w:w="4007" w:type="dxa"/>
            <w:vAlign w:val="center"/>
          </w:tcPr>
          <w:p w14:paraId="7E2F0354">
            <w:pPr>
              <w:jc w:val="center"/>
              <w:rPr>
                <w:rFonts w:ascii="宋体" w:hAnsi="宋体" w:eastAsia="Times New Roman" w:cs="宋体"/>
                <w:kern w:val="0"/>
                <w:sz w:val="20"/>
                <w:szCs w:val="21"/>
                <w:highlight w:val="none"/>
              </w:rPr>
            </w:pPr>
          </w:p>
        </w:tc>
      </w:tr>
      <w:tr w14:paraId="16BC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705D4F14">
            <w:pPr>
              <w:jc w:val="center"/>
              <w:rPr>
                <w:rFonts w:ascii="宋体" w:hAnsi="宋体" w:eastAsia="Times New Roman"/>
                <w:kern w:val="0"/>
                <w:sz w:val="20"/>
                <w:szCs w:val="21"/>
                <w:highlight w:val="none"/>
              </w:rPr>
            </w:pPr>
          </w:p>
        </w:tc>
        <w:tc>
          <w:tcPr>
            <w:tcW w:w="1914" w:type="dxa"/>
            <w:vAlign w:val="center"/>
          </w:tcPr>
          <w:p w14:paraId="4E2AA078">
            <w:pPr>
              <w:jc w:val="center"/>
              <w:rPr>
                <w:rFonts w:ascii="宋体" w:hAnsi="宋体" w:eastAsia="Times New Roman"/>
                <w:kern w:val="0"/>
                <w:sz w:val="20"/>
                <w:szCs w:val="21"/>
                <w:highlight w:val="none"/>
              </w:rPr>
            </w:pPr>
          </w:p>
        </w:tc>
        <w:tc>
          <w:tcPr>
            <w:tcW w:w="813" w:type="dxa"/>
            <w:vAlign w:val="center"/>
          </w:tcPr>
          <w:p w14:paraId="76EBC6EA">
            <w:pPr>
              <w:jc w:val="center"/>
              <w:rPr>
                <w:rFonts w:ascii="宋体" w:hAnsi="宋体" w:eastAsia="Times New Roman" w:cs="宋体"/>
                <w:kern w:val="0"/>
                <w:sz w:val="20"/>
                <w:szCs w:val="21"/>
                <w:highlight w:val="none"/>
              </w:rPr>
            </w:pPr>
          </w:p>
        </w:tc>
        <w:tc>
          <w:tcPr>
            <w:tcW w:w="888" w:type="dxa"/>
            <w:vAlign w:val="center"/>
          </w:tcPr>
          <w:p w14:paraId="64614C68">
            <w:pPr>
              <w:jc w:val="center"/>
              <w:rPr>
                <w:rFonts w:ascii="宋体" w:hAnsi="宋体" w:eastAsia="Times New Roman" w:cs="宋体"/>
                <w:kern w:val="0"/>
                <w:sz w:val="20"/>
                <w:szCs w:val="21"/>
                <w:highlight w:val="none"/>
              </w:rPr>
            </w:pPr>
          </w:p>
        </w:tc>
        <w:tc>
          <w:tcPr>
            <w:tcW w:w="4007" w:type="dxa"/>
            <w:vAlign w:val="center"/>
          </w:tcPr>
          <w:p w14:paraId="335EBC46">
            <w:pPr>
              <w:jc w:val="center"/>
              <w:rPr>
                <w:rFonts w:ascii="宋体" w:hAnsi="宋体" w:eastAsia="Times New Roman" w:cs="宋体"/>
                <w:kern w:val="0"/>
                <w:sz w:val="20"/>
                <w:szCs w:val="21"/>
                <w:highlight w:val="none"/>
              </w:rPr>
            </w:pPr>
          </w:p>
        </w:tc>
      </w:tr>
      <w:tr w14:paraId="7B1C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22FABA76">
            <w:pPr>
              <w:jc w:val="center"/>
              <w:rPr>
                <w:rFonts w:ascii="宋体" w:hAnsi="宋体" w:eastAsia="Times New Roman"/>
                <w:kern w:val="0"/>
                <w:sz w:val="20"/>
                <w:szCs w:val="21"/>
                <w:highlight w:val="none"/>
              </w:rPr>
            </w:pPr>
          </w:p>
        </w:tc>
        <w:tc>
          <w:tcPr>
            <w:tcW w:w="1914" w:type="dxa"/>
            <w:vAlign w:val="center"/>
          </w:tcPr>
          <w:p w14:paraId="05AD38BA">
            <w:pPr>
              <w:jc w:val="center"/>
              <w:rPr>
                <w:rFonts w:ascii="宋体" w:hAnsi="宋体" w:eastAsia="Times New Roman"/>
                <w:kern w:val="0"/>
                <w:sz w:val="20"/>
                <w:szCs w:val="21"/>
                <w:highlight w:val="none"/>
              </w:rPr>
            </w:pPr>
          </w:p>
        </w:tc>
        <w:tc>
          <w:tcPr>
            <w:tcW w:w="813" w:type="dxa"/>
            <w:vAlign w:val="center"/>
          </w:tcPr>
          <w:p w14:paraId="3DF67698">
            <w:pPr>
              <w:jc w:val="center"/>
              <w:rPr>
                <w:rFonts w:ascii="宋体" w:hAnsi="宋体" w:eastAsia="Times New Roman" w:cs="宋体"/>
                <w:kern w:val="0"/>
                <w:sz w:val="20"/>
                <w:szCs w:val="21"/>
                <w:highlight w:val="none"/>
              </w:rPr>
            </w:pPr>
          </w:p>
        </w:tc>
        <w:tc>
          <w:tcPr>
            <w:tcW w:w="888" w:type="dxa"/>
            <w:vAlign w:val="center"/>
          </w:tcPr>
          <w:p w14:paraId="44FCD56A">
            <w:pPr>
              <w:jc w:val="center"/>
              <w:rPr>
                <w:rFonts w:ascii="宋体" w:hAnsi="宋体" w:eastAsia="Times New Roman" w:cs="宋体"/>
                <w:kern w:val="0"/>
                <w:sz w:val="20"/>
                <w:szCs w:val="21"/>
                <w:highlight w:val="none"/>
              </w:rPr>
            </w:pPr>
          </w:p>
        </w:tc>
        <w:tc>
          <w:tcPr>
            <w:tcW w:w="4007" w:type="dxa"/>
            <w:vAlign w:val="center"/>
          </w:tcPr>
          <w:p w14:paraId="6ADAA2C9">
            <w:pPr>
              <w:jc w:val="center"/>
              <w:rPr>
                <w:rFonts w:ascii="宋体" w:hAnsi="宋体" w:eastAsia="Times New Roman" w:cs="宋体"/>
                <w:kern w:val="0"/>
                <w:sz w:val="20"/>
                <w:szCs w:val="21"/>
                <w:highlight w:val="none"/>
              </w:rPr>
            </w:pPr>
          </w:p>
        </w:tc>
      </w:tr>
      <w:tr w14:paraId="2EC4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41F2A76B">
            <w:pPr>
              <w:jc w:val="center"/>
              <w:rPr>
                <w:rFonts w:ascii="宋体" w:hAnsi="宋体" w:eastAsia="Times New Roman"/>
                <w:kern w:val="0"/>
                <w:sz w:val="20"/>
                <w:szCs w:val="21"/>
                <w:highlight w:val="none"/>
              </w:rPr>
            </w:pPr>
          </w:p>
        </w:tc>
        <w:tc>
          <w:tcPr>
            <w:tcW w:w="1914" w:type="dxa"/>
            <w:vAlign w:val="center"/>
          </w:tcPr>
          <w:p w14:paraId="1328646C">
            <w:pPr>
              <w:jc w:val="center"/>
              <w:rPr>
                <w:rFonts w:ascii="宋体" w:hAnsi="宋体" w:eastAsia="Times New Roman"/>
                <w:kern w:val="0"/>
                <w:sz w:val="20"/>
                <w:szCs w:val="21"/>
                <w:highlight w:val="none"/>
              </w:rPr>
            </w:pPr>
          </w:p>
        </w:tc>
        <w:tc>
          <w:tcPr>
            <w:tcW w:w="813" w:type="dxa"/>
            <w:vAlign w:val="center"/>
          </w:tcPr>
          <w:p w14:paraId="49E572A2">
            <w:pPr>
              <w:jc w:val="center"/>
              <w:rPr>
                <w:rFonts w:ascii="宋体" w:hAnsi="宋体" w:eastAsia="Times New Roman" w:cs="宋体"/>
                <w:kern w:val="0"/>
                <w:sz w:val="20"/>
                <w:szCs w:val="21"/>
                <w:highlight w:val="none"/>
              </w:rPr>
            </w:pPr>
          </w:p>
        </w:tc>
        <w:tc>
          <w:tcPr>
            <w:tcW w:w="888" w:type="dxa"/>
            <w:vAlign w:val="center"/>
          </w:tcPr>
          <w:p w14:paraId="428C1E69">
            <w:pPr>
              <w:jc w:val="center"/>
              <w:rPr>
                <w:rFonts w:ascii="宋体" w:hAnsi="宋体" w:eastAsia="Times New Roman" w:cs="宋体"/>
                <w:kern w:val="0"/>
                <w:sz w:val="20"/>
                <w:szCs w:val="21"/>
                <w:highlight w:val="none"/>
              </w:rPr>
            </w:pPr>
          </w:p>
        </w:tc>
        <w:tc>
          <w:tcPr>
            <w:tcW w:w="4007" w:type="dxa"/>
            <w:vAlign w:val="center"/>
          </w:tcPr>
          <w:p w14:paraId="70239EA3">
            <w:pPr>
              <w:jc w:val="center"/>
              <w:rPr>
                <w:rFonts w:ascii="宋体" w:hAnsi="宋体" w:eastAsia="Times New Roman" w:cs="宋体"/>
                <w:kern w:val="0"/>
                <w:sz w:val="20"/>
                <w:szCs w:val="21"/>
                <w:highlight w:val="none"/>
              </w:rPr>
            </w:pPr>
          </w:p>
        </w:tc>
      </w:tr>
      <w:tr w14:paraId="1B7A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24B9E35B">
            <w:pPr>
              <w:jc w:val="center"/>
              <w:rPr>
                <w:rFonts w:ascii="宋体" w:hAnsi="宋体" w:eastAsia="Times New Roman"/>
                <w:kern w:val="0"/>
                <w:sz w:val="20"/>
                <w:szCs w:val="21"/>
                <w:highlight w:val="none"/>
              </w:rPr>
            </w:pPr>
          </w:p>
        </w:tc>
        <w:tc>
          <w:tcPr>
            <w:tcW w:w="1914" w:type="dxa"/>
            <w:vAlign w:val="center"/>
          </w:tcPr>
          <w:p w14:paraId="67085F7A">
            <w:pPr>
              <w:jc w:val="center"/>
              <w:rPr>
                <w:rFonts w:ascii="宋体" w:hAnsi="宋体" w:eastAsia="Times New Roman"/>
                <w:kern w:val="0"/>
                <w:sz w:val="20"/>
                <w:szCs w:val="21"/>
                <w:highlight w:val="none"/>
              </w:rPr>
            </w:pPr>
          </w:p>
        </w:tc>
        <w:tc>
          <w:tcPr>
            <w:tcW w:w="813" w:type="dxa"/>
            <w:vAlign w:val="center"/>
          </w:tcPr>
          <w:p w14:paraId="30CE9DC5">
            <w:pPr>
              <w:jc w:val="center"/>
              <w:rPr>
                <w:rFonts w:ascii="宋体" w:hAnsi="宋体" w:eastAsia="Times New Roman" w:cs="宋体"/>
                <w:kern w:val="0"/>
                <w:sz w:val="20"/>
                <w:szCs w:val="21"/>
                <w:highlight w:val="none"/>
              </w:rPr>
            </w:pPr>
          </w:p>
        </w:tc>
        <w:tc>
          <w:tcPr>
            <w:tcW w:w="888" w:type="dxa"/>
            <w:vAlign w:val="center"/>
          </w:tcPr>
          <w:p w14:paraId="224ABFE5">
            <w:pPr>
              <w:jc w:val="center"/>
              <w:rPr>
                <w:rFonts w:ascii="宋体" w:hAnsi="宋体" w:eastAsia="Times New Roman" w:cs="宋体"/>
                <w:kern w:val="0"/>
                <w:sz w:val="20"/>
                <w:szCs w:val="21"/>
                <w:highlight w:val="none"/>
              </w:rPr>
            </w:pPr>
          </w:p>
        </w:tc>
        <w:tc>
          <w:tcPr>
            <w:tcW w:w="4007" w:type="dxa"/>
            <w:vAlign w:val="center"/>
          </w:tcPr>
          <w:p w14:paraId="424EEF69">
            <w:pPr>
              <w:jc w:val="center"/>
              <w:rPr>
                <w:rFonts w:ascii="宋体" w:hAnsi="宋体" w:eastAsia="Times New Roman" w:cs="宋体"/>
                <w:kern w:val="0"/>
                <w:sz w:val="20"/>
                <w:szCs w:val="21"/>
                <w:highlight w:val="none"/>
              </w:rPr>
            </w:pPr>
          </w:p>
        </w:tc>
      </w:tr>
      <w:tr w14:paraId="0A39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3C372D9B">
            <w:pPr>
              <w:jc w:val="center"/>
              <w:rPr>
                <w:rFonts w:ascii="宋体" w:hAnsi="宋体" w:eastAsia="Times New Roman"/>
                <w:kern w:val="0"/>
                <w:sz w:val="20"/>
                <w:szCs w:val="21"/>
                <w:highlight w:val="none"/>
              </w:rPr>
            </w:pPr>
          </w:p>
        </w:tc>
        <w:tc>
          <w:tcPr>
            <w:tcW w:w="1914" w:type="dxa"/>
            <w:vAlign w:val="center"/>
          </w:tcPr>
          <w:p w14:paraId="4C5DC369">
            <w:pPr>
              <w:jc w:val="center"/>
              <w:rPr>
                <w:rFonts w:ascii="宋体" w:hAnsi="宋体" w:eastAsia="Times New Roman"/>
                <w:kern w:val="0"/>
                <w:sz w:val="20"/>
                <w:szCs w:val="21"/>
                <w:highlight w:val="none"/>
              </w:rPr>
            </w:pPr>
          </w:p>
        </w:tc>
        <w:tc>
          <w:tcPr>
            <w:tcW w:w="813" w:type="dxa"/>
            <w:vAlign w:val="center"/>
          </w:tcPr>
          <w:p w14:paraId="03F8BA08">
            <w:pPr>
              <w:jc w:val="center"/>
              <w:rPr>
                <w:rFonts w:ascii="宋体" w:hAnsi="宋体" w:eastAsia="Times New Roman" w:cs="宋体"/>
                <w:kern w:val="0"/>
                <w:sz w:val="20"/>
                <w:szCs w:val="21"/>
                <w:highlight w:val="none"/>
              </w:rPr>
            </w:pPr>
          </w:p>
        </w:tc>
        <w:tc>
          <w:tcPr>
            <w:tcW w:w="888" w:type="dxa"/>
            <w:vAlign w:val="center"/>
          </w:tcPr>
          <w:p w14:paraId="100AE6DE">
            <w:pPr>
              <w:jc w:val="center"/>
              <w:rPr>
                <w:rFonts w:ascii="宋体" w:hAnsi="宋体" w:eastAsia="Times New Roman" w:cs="宋体"/>
                <w:kern w:val="0"/>
                <w:sz w:val="20"/>
                <w:szCs w:val="21"/>
                <w:highlight w:val="none"/>
              </w:rPr>
            </w:pPr>
          </w:p>
        </w:tc>
        <w:tc>
          <w:tcPr>
            <w:tcW w:w="4007" w:type="dxa"/>
            <w:vAlign w:val="center"/>
          </w:tcPr>
          <w:p w14:paraId="0B17A1B1">
            <w:pPr>
              <w:jc w:val="center"/>
              <w:rPr>
                <w:rFonts w:ascii="宋体" w:hAnsi="宋体" w:eastAsia="Times New Roman" w:cs="宋体"/>
                <w:kern w:val="0"/>
                <w:sz w:val="20"/>
                <w:szCs w:val="21"/>
                <w:highlight w:val="none"/>
              </w:rPr>
            </w:pPr>
          </w:p>
        </w:tc>
      </w:tr>
      <w:tr w14:paraId="2800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239C044F">
            <w:pPr>
              <w:jc w:val="center"/>
              <w:rPr>
                <w:rFonts w:ascii="宋体" w:hAnsi="宋体" w:eastAsia="Times New Roman"/>
                <w:kern w:val="0"/>
                <w:sz w:val="20"/>
                <w:szCs w:val="21"/>
                <w:highlight w:val="none"/>
              </w:rPr>
            </w:pPr>
          </w:p>
        </w:tc>
        <w:tc>
          <w:tcPr>
            <w:tcW w:w="1914" w:type="dxa"/>
            <w:vAlign w:val="center"/>
          </w:tcPr>
          <w:p w14:paraId="310B4A3C">
            <w:pPr>
              <w:jc w:val="center"/>
              <w:rPr>
                <w:rFonts w:ascii="宋体" w:hAnsi="宋体" w:eastAsia="Times New Roman"/>
                <w:kern w:val="0"/>
                <w:sz w:val="20"/>
                <w:szCs w:val="21"/>
                <w:highlight w:val="none"/>
              </w:rPr>
            </w:pPr>
          </w:p>
        </w:tc>
        <w:tc>
          <w:tcPr>
            <w:tcW w:w="813" w:type="dxa"/>
            <w:vAlign w:val="center"/>
          </w:tcPr>
          <w:p w14:paraId="06AFF967">
            <w:pPr>
              <w:jc w:val="center"/>
              <w:rPr>
                <w:rFonts w:ascii="宋体" w:hAnsi="宋体" w:eastAsia="Times New Roman" w:cs="宋体"/>
                <w:kern w:val="0"/>
                <w:sz w:val="20"/>
                <w:szCs w:val="21"/>
                <w:highlight w:val="none"/>
              </w:rPr>
            </w:pPr>
          </w:p>
        </w:tc>
        <w:tc>
          <w:tcPr>
            <w:tcW w:w="888" w:type="dxa"/>
            <w:vAlign w:val="center"/>
          </w:tcPr>
          <w:p w14:paraId="139C6822">
            <w:pPr>
              <w:jc w:val="center"/>
              <w:rPr>
                <w:rFonts w:ascii="宋体" w:hAnsi="宋体" w:eastAsia="Times New Roman" w:cs="宋体"/>
                <w:kern w:val="0"/>
                <w:sz w:val="20"/>
                <w:szCs w:val="21"/>
                <w:highlight w:val="none"/>
              </w:rPr>
            </w:pPr>
          </w:p>
        </w:tc>
        <w:tc>
          <w:tcPr>
            <w:tcW w:w="4007" w:type="dxa"/>
            <w:vAlign w:val="center"/>
          </w:tcPr>
          <w:p w14:paraId="2E0A3085">
            <w:pPr>
              <w:jc w:val="center"/>
              <w:rPr>
                <w:rFonts w:ascii="宋体" w:hAnsi="宋体" w:eastAsia="Times New Roman" w:cs="宋体"/>
                <w:kern w:val="0"/>
                <w:sz w:val="20"/>
                <w:szCs w:val="21"/>
                <w:highlight w:val="none"/>
              </w:rPr>
            </w:pPr>
          </w:p>
        </w:tc>
      </w:tr>
      <w:tr w14:paraId="4812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8" w:type="dxa"/>
            <w:vAlign w:val="center"/>
          </w:tcPr>
          <w:p w14:paraId="589631BF">
            <w:pPr>
              <w:jc w:val="center"/>
              <w:rPr>
                <w:rFonts w:ascii="宋体" w:hAnsi="宋体" w:eastAsia="Times New Roman"/>
                <w:kern w:val="0"/>
                <w:sz w:val="20"/>
                <w:szCs w:val="21"/>
                <w:highlight w:val="none"/>
              </w:rPr>
            </w:pPr>
          </w:p>
        </w:tc>
        <w:tc>
          <w:tcPr>
            <w:tcW w:w="1914" w:type="dxa"/>
            <w:vAlign w:val="center"/>
          </w:tcPr>
          <w:p w14:paraId="3864FCB6">
            <w:pPr>
              <w:jc w:val="center"/>
              <w:rPr>
                <w:rFonts w:ascii="宋体" w:hAnsi="宋体" w:eastAsia="Times New Roman"/>
                <w:kern w:val="0"/>
                <w:sz w:val="20"/>
                <w:szCs w:val="21"/>
                <w:highlight w:val="none"/>
              </w:rPr>
            </w:pPr>
          </w:p>
        </w:tc>
        <w:tc>
          <w:tcPr>
            <w:tcW w:w="813" w:type="dxa"/>
            <w:vAlign w:val="center"/>
          </w:tcPr>
          <w:p w14:paraId="09804F61">
            <w:pPr>
              <w:jc w:val="center"/>
              <w:rPr>
                <w:rFonts w:ascii="宋体" w:hAnsi="宋体" w:eastAsia="Times New Roman" w:cs="宋体"/>
                <w:kern w:val="0"/>
                <w:sz w:val="20"/>
                <w:szCs w:val="21"/>
                <w:highlight w:val="none"/>
              </w:rPr>
            </w:pPr>
          </w:p>
        </w:tc>
        <w:tc>
          <w:tcPr>
            <w:tcW w:w="888" w:type="dxa"/>
            <w:vAlign w:val="center"/>
          </w:tcPr>
          <w:p w14:paraId="552DACCF">
            <w:pPr>
              <w:jc w:val="center"/>
              <w:rPr>
                <w:rFonts w:ascii="宋体" w:hAnsi="宋体" w:eastAsia="Times New Roman" w:cs="宋体"/>
                <w:kern w:val="0"/>
                <w:sz w:val="20"/>
                <w:szCs w:val="21"/>
                <w:highlight w:val="none"/>
              </w:rPr>
            </w:pPr>
          </w:p>
        </w:tc>
        <w:tc>
          <w:tcPr>
            <w:tcW w:w="4007" w:type="dxa"/>
            <w:vAlign w:val="center"/>
          </w:tcPr>
          <w:p w14:paraId="30356143">
            <w:pPr>
              <w:jc w:val="center"/>
              <w:rPr>
                <w:rFonts w:ascii="宋体" w:hAnsi="宋体" w:eastAsia="Times New Roman" w:cs="宋体"/>
                <w:kern w:val="0"/>
                <w:sz w:val="20"/>
                <w:szCs w:val="21"/>
                <w:highlight w:val="none"/>
              </w:rPr>
            </w:pPr>
          </w:p>
        </w:tc>
      </w:tr>
    </w:tbl>
    <w:p w14:paraId="3489F8F7">
      <w:pPr>
        <w:rPr>
          <w:highlight w:val="none"/>
        </w:rPr>
      </w:pPr>
    </w:p>
    <w:p w14:paraId="77FAA9D8">
      <w:pPr>
        <w:ind w:firstLine="482" w:firstLineChars="200"/>
        <w:rPr>
          <w:b/>
          <w:sz w:val="24"/>
          <w:highlight w:val="none"/>
        </w:rPr>
      </w:pPr>
      <w:r>
        <w:rPr>
          <w:rFonts w:hint="eastAsia"/>
          <w:b/>
          <w:sz w:val="24"/>
          <w:highlight w:val="none"/>
        </w:rPr>
        <w:t>注：后附人员相关证件并标明序号。</w:t>
      </w:r>
    </w:p>
    <w:p w14:paraId="49FA9F52">
      <w:pPr>
        <w:rPr>
          <w:highlight w:val="none"/>
        </w:rPr>
      </w:pPr>
    </w:p>
    <w:p w14:paraId="71033029">
      <w:pPr>
        <w:widowControl/>
        <w:jc w:val="left"/>
        <w:rPr>
          <w:rFonts w:ascii="宋体" w:hAnsi="宋体" w:eastAsia="黑体"/>
          <w:b/>
          <w:kern w:val="0"/>
          <w:sz w:val="28"/>
          <w:szCs w:val="20"/>
          <w:highlight w:val="none"/>
        </w:rPr>
      </w:pPr>
      <w:r>
        <w:rPr>
          <w:rFonts w:ascii="宋体" w:hAnsi="宋体" w:eastAsia="黑体"/>
          <w:b/>
          <w:kern w:val="0"/>
          <w:sz w:val="28"/>
          <w:szCs w:val="20"/>
          <w:highlight w:val="none"/>
        </w:rPr>
        <w:br w:type="page"/>
      </w:r>
    </w:p>
    <w:p w14:paraId="3F21D038">
      <w:pPr>
        <w:keepNext/>
        <w:keepLines/>
        <w:widowControl/>
        <w:spacing w:before="120" w:after="120" w:line="360" w:lineRule="auto"/>
        <w:outlineLvl w:val="1"/>
        <w:rPr>
          <w:rFonts w:ascii="宋体" w:hAnsi="宋体"/>
          <w:b/>
          <w:kern w:val="0"/>
          <w:sz w:val="28"/>
          <w:highlight w:val="none"/>
        </w:rPr>
      </w:pPr>
      <w:r>
        <w:rPr>
          <w:rFonts w:hint="eastAsia" w:ascii="宋体" w:hAnsi="宋体"/>
          <w:b/>
          <w:kern w:val="0"/>
          <w:sz w:val="28"/>
          <w:highlight w:val="none"/>
        </w:rPr>
        <w:t>附件六</w:t>
      </w:r>
    </w:p>
    <w:p w14:paraId="17BF3016">
      <w:pPr>
        <w:keepNext/>
        <w:keepLines/>
        <w:widowControl/>
        <w:spacing w:before="120" w:after="120" w:line="360" w:lineRule="auto"/>
        <w:jc w:val="center"/>
        <w:outlineLvl w:val="1"/>
        <w:rPr>
          <w:rFonts w:ascii="宋体" w:hAnsi="宋体"/>
          <w:b/>
          <w:kern w:val="0"/>
          <w:sz w:val="28"/>
          <w:highlight w:val="none"/>
        </w:rPr>
      </w:pPr>
      <w:r>
        <w:rPr>
          <w:rFonts w:hint="eastAsia" w:ascii="宋体" w:hAnsi="宋体"/>
          <w:b/>
          <w:kern w:val="0"/>
          <w:sz w:val="28"/>
          <w:highlight w:val="none"/>
        </w:rPr>
        <w:t>优惠条件及服务承诺</w:t>
      </w:r>
    </w:p>
    <w:p w14:paraId="085D64FF">
      <w:pPr>
        <w:widowControl/>
        <w:snapToGrid w:val="0"/>
        <w:spacing w:line="500" w:lineRule="exact"/>
        <w:ind w:firstLine="472" w:firstLineChars="225"/>
        <w:jc w:val="left"/>
        <w:rPr>
          <w:rFonts w:ascii="宋体" w:hAnsi="宋体"/>
          <w:kern w:val="0"/>
          <w:szCs w:val="21"/>
          <w:highlight w:val="none"/>
        </w:rPr>
      </w:pPr>
    </w:p>
    <w:p w14:paraId="51086D4D">
      <w:pPr>
        <w:widowControl/>
        <w:snapToGrid w:val="0"/>
        <w:spacing w:line="500" w:lineRule="exact"/>
        <w:ind w:firstLine="472" w:firstLineChars="225"/>
        <w:jc w:val="left"/>
        <w:rPr>
          <w:rFonts w:ascii="宋体" w:hAnsi="宋体"/>
          <w:kern w:val="0"/>
          <w:szCs w:val="21"/>
          <w:highlight w:val="none"/>
        </w:rPr>
      </w:pPr>
    </w:p>
    <w:p w14:paraId="0C4937C8">
      <w:pPr>
        <w:widowControl/>
        <w:snapToGrid w:val="0"/>
        <w:spacing w:line="500" w:lineRule="exact"/>
        <w:ind w:firstLine="472" w:firstLineChars="225"/>
        <w:jc w:val="left"/>
        <w:rPr>
          <w:rFonts w:ascii="宋体" w:hAnsi="宋体"/>
          <w:kern w:val="0"/>
          <w:szCs w:val="21"/>
          <w:highlight w:val="none"/>
        </w:rPr>
      </w:pPr>
    </w:p>
    <w:p w14:paraId="0CDDB8D4">
      <w:pPr>
        <w:widowControl/>
        <w:snapToGrid w:val="0"/>
        <w:spacing w:line="500" w:lineRule="exact"/>
        <w:ind w:firstLine="472" w:firstLineChars="225"/>
        <w:jc w:val="left"/>
        <w:rPr>
          <w:rFonts w:ascii="宋体" w:hAnsi="宋体"/>
          <w:kern w:val="0"/>
          <w:szCs w:val="21"/>
          <w:highlight w:val="none"/>
        </w:rPr>
      </w:pPr>
    </w:p>
    <w:p w14:paraId="69FA93F0">
      <w:pPr>
        <w:widowControl/>
        <w:snapToGrid w:val="0"/>
        <w:spacing w:line="500" w:lineRule="exact"/>
        <w:ind w:firstLine="472" w:firstLineChars="225"/>
        <w:jc w:val="left"/>
        <w:rPr>
          <w:rFonts w:ascii="宋体" w:hAnsi="宋体"/>
          <w:kern w:val="0"/>
          <w:szCs w:val="21"/>
          <w:highlight w:val="none"/>
        </w:rPr>
      </w:pPr>
    </w:p>
    <w:p w14:paraId="7650ADE2">
      <w:pPr>
        <w:widowControl/>
        <w:snapToGrid w:val="0"/>
        <w:spacing w:line="500" w:lineRule="exact"/>
        <w:ind w:firstLine="472" w:firstLineChars="225"/>
        <w:jc w:val="left"/>
        <w:rPr>
          <w:rFonts w:ascii="宋体" w:hAnsi="宋体"/>
          <w:kern w:val="0"/>
          <w:szCs w:val="21"/>
          <w:highlight w:val="none"/>
        </w:rPr>
      </w:pPr>
    </w:p>
    <w:p w14:paraId="2023BED4">
      <w:pPr>
        <w:widowControl/>
        <w:snapToGrid w:val="0"/>
        <w:spacing w:line="500" w:lineRule="exact"/>
        <w:ind w:firstLine="472" w:firstLineChars="225"/>
        <w:jc w:val="left"/>
        <w:rPr>
          <w:rFonts w:ascii="宋体" w:hAnsi="宋体"/>
          <w:kern w:val="0"/>
          <w:szCs w:val="21"/>
          <w:highlight w:val="none"/>
        </w:rPr>
      </w:pPr>
    </w:p>
    <w:p w14:paraId="125DE1F4">
      <w:pPr>
        <w:widowControl/>
        <w:snapToGrid w:val="0"/>
        <w:spacing w:line="500" w:lineRule="exact"/>
        <w:ind w:firstLine="472" w:firstLineChars="225"/>
        <w:jc w:val="left"/>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2E6B5491">
      <w:pPr>
        <w:widowControl/>
        <w:spacing w:before="120" w:line="360" w:lineRule="auto"/>
        <w:jc w:val="left"/>
        <w:rPr>
          <w:rFonts w:ascii="宋体" w:hAnsi="宋体"/>
          <w:kern w:val="0"/>
          <w:szCs w:val="21"/>
          <w:highlight w:val="none"/>
          <w:u w:val="single"/>
        </w:rPr>
      </w:pPr>
    </w:p>
    <w:p w14:paraId="1E216561">
      <w:pPr>
        <w:widowControl/>
        <w:snapToGrid w:val="0"/>
        <w:spacing w:line="500" w:lineRule="exact"/>
        <w:ind w:firstLine="472" w:firstLineChars="225"/>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p>
    <w:p w14:paraId="44120C27">
      <w:pPr>
        <w:widowControl/>
        <w:jc w:val="left"/>
        <w:rPr>
          <w:rFonts w:ascii="宋体" w:hAnsi="宋体"/>
          <w:kern w:val="0"/>
          <w:szCs w:val="21"/>
          <w:highlight w:val="none"/>
        </w:rPr>
      </w:pPr>
    </w:p>
    <w:p w14:paraId="7137BAC4">
      <w:pPr>
        <w:widowControl/>
        <w:spacing w:line="360" w:lineRule="auto"/>
        <w:jc w:val="left"/>
        <w:rPr>
          <w:rFonts w:ascii="宋体" w:hAnsi="宋体"/>
          <w:kern w:val="0"/>
          <w:szCs w:val="21"/>
          <w:highlight w:val="none"/>
        </w:rPr>
      </w:pPr>
    </w:p>
    <w:p w14:paraId="18C9B104">
      <w:pPr>
        <w:widowControl/>
        <w:spacing w:line="360" w:lineRule="auto"/>
        <w:jc w:val="left"/>
        <w:rPr>
          <w:rFonts w:ascii="宋体" w:hAnsi="宋体"/>
          <w:kern w:val="0"/>
          <w:szCs w:val="21"/>
          <w:highlight w:val="none"/>
        </w:rPr>
      </w:pPr>
    </w:p>
    <w:p w14:paraId="597492BF">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74AD3608">
      <w:pPr>
        <w:widowControl/>
        <w:spacing w:line="360" w:lineRule="auto"/>
        <w:jc w:val="right"/>
        <w:rPr>
          <w:rFonts w:ascii="宋体" w:hAnsi="宋体"/>
          <w:kern w:val="0"/>
          <w:szCs w:val="21"/>
          <w:highlight w:val="none"/>
        </w:rPr>
      </w:pPr>
      <w:r>
        <w:rPr>
          <w:rFonts w:hint="eastAsia" w:ascii="宋体" w:hAnsi="宋体"/>
          <w:kern w:val="0"/>
          <w:szCs w:val="21"/>
          <w:highlight w:val="none"/>
        </w:rPr>
        <w:t xml:space="preserve">                                                 年  月   日</w:t>
      </w:r>
    </w:p>
    <w:p w14:paraId="426C9294">
      <w:pPr>
        <w:rPr>
          <w:highlight w:val="none"/>
        </w:rPr>
      </w:pPr>
    </w:p>
    <w:p w14:paraId="770C1431">
      <w:pPr>
        <w:widowControl/>
        <w:jc w:val="left"/>
        <w:rPr>
          <w:rFonts w:ascii="宋体" w:hAnsi="宋体"/>
          <w:b/>
          <w:kern w:val="0"/>
          <w:sz w:val="28"/>
          <w:szCs w:val="28"/>
          <w:highlight w:val="none"/>
        </w:rPr>
      </w:pPr>
      <w:r>
        <w:rPr>
          <w:rFonts w:ascii="宋体" w:hAnsi="宋体"/>
          <w:b/>
          <w:kern w:val="0"/>
          <w:sz w:val="28"/>
          <w:szCs w:val="28"/>
          <w:highlight w:val="none"/>
        </w:rPr>
        <w:br w:type="page"/>
      </w:r>
    </w:p>
    <w:p w14:paraId="202AB908">
      <w:pPr>
        <w:widowControl/>
        <w:spacing w:line="360" w:lineRule="auto"/>
        <w:jc w:val="left"/>
        <w:outlineLvl w:val="1"/>
        <w:rPr>
          <w:rFonts w:ascii="宋体" w:hAnsi="宋体"/>
          <w:b/>
          <w:kern w:val="0"/>
          <w:sz w:val="28"/>
          <w:szCs w:val="28"/>
          <w:highlight w:val="none"/>
        </w:rPr>
      </w:pPr>
      <w:r>
        <w:rPr>
          <w:rFonts w:hint="eastAsia" w:ascii="宋体" w:hAnsi="宋体"/>
          <w:b/>
          <w:kern w:val="0"/>
          <w:sz w:val="28"/>
          <w:szCs w:val="28"/>
          <w:highlight w:val="none"/>
        </w:rPr>
        <w:t xml:space="preserve">附件七 </w:t>
      </w:r>
    </w:p>
    <w:p w14:paraId="6ADCD062">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服务方案</w:t>
      </w:r>
    </w:p>
    <w:p w14:paraId="0FDC5CB0">
      <w:pPr>
        <w:widowControl/>
        <w:spacing w:line="360" w:lineRule="auto"/>
        <w:jc w:val="left"/>
        <w:rPr>
          <w:rFonts w:ascii="宋体" w:hAnsi="宋体"/>
          <w:kern w:val="0"/>
          <w:szCs w:val="21"/>
          <w:highlight w:val="none"/>
        </w:rPr>
      </w:pPr>
    </w:p>
    <w:p w14:paraId="49F0E42F">
      <w:pPr>
        <w:widowControl/>
        <w:spacing w:line="360" w:lineRule="auto"/>
        <w:jc w:val="center"/>
        <w:rPr>
          <w:rFonts w:ascii="宋体" w:hAnsi="宋体"/>
          <w:kern w:val="0"/>
          <w:sz w:val="24"/>
          <w:szCs w:val="20"/>
          <w:highlight w:val="none"/>
        </w:rPr>
      </w:pPr>
      <w:r>
        <w:rPr>
          <w:rFonts w:hint="eastAsia" w:ascii="宋体" w:hAnsi="宋体"/>
          <w:kern w:val="0"/>
          <w:szCs w:val="21"/>
          <w:highlight w:val="none"/>
        </w:rPr>
        <w:t>格式自拟</w:t>
      </w:r>
    </w:p>
    <w:p w14:paraId="441F391A">
      <w:pPr>
        <w:widowControl/>
        <w:spacing w:before="120" w:line="360" w:lineRule="auto"/>
        <w:jc w:val="left"/>
        <w:rPr>
          <w:rFonts w:ascii="宋体" w:hAnsi="宋体"/>
          <w:kern w:val="0"/>
          <w:szCs w:val="21"/>
          <w:highlight w:val="none"/>
        </w:rPr>
      </w:pPr>
    </w:p>
    <w:p w14:paraId="3B0F6147">
      <w:pPr>
        <w:widowControl/>
        <w:jc w:val="left"/>
        <w:rPr>
          <w:rFonts w:ascii="宋体" w:hAnsi="宋体"/>
          <w:kern w:val="0"/>
          <w:sz w:val="20"/>
          <w:szCs w:val="20"/>
          <w:highlight w:val="none"/>
        </w:rPr>
      </w:pPr>
    </w:p>
    <w:p w14:paraId="06BF1ABA">
      <w:pPr>
        <w:widowControl/>
        <w:jc w:val="left"/>
        <w:rPr>
          <w:rFonts w:ascii="宋体" w:hAnsi="宋体"/>
          <w:kern w:val="0"/>
          <w:sz w:val="20"/>
          <w:szCs w:val="20"/>
          <w:highlight w:val="none"/>
        </w:rPr>
      </w:pPr>
    </w:p>
    <w:p w14:paraId="01481197">
      <w:pPr>
        <w:rPr>
          <w:rFonts w:ascii="宋体" w:hAnsi="宋体" w:eastAsia="黑体"/>
          <w:kern w:val="0"/>
          <w:sz w:val="24"/>
          <w:highlight w:val="none"/>
        </w:rPr>
      </w:pPr>
      <w:bookmarkStart w:id="121" w:name="_Toc487211734"/>
      <w:bookmarkStart w:id="122" w:name="_Toc98580428"/>
      <w:r>
        <w:rPr>
          <w:sz w:val="28"/>
          <w:highlight w:val="none"/>
        </w:rPr>
        <w:br w:type="page"/>
      </w:r>
      <w:bookmarkEnd w:id="121"/>
      <w:bookmarkEnd w:id="122"/>
      <w:r>
        <w:rPr>
          <w:rFonts w:hint="eastAsia"/>
          <w:highlight w:val="none"/>
        </w:rPr>
        <w:t xml:space="preserve"> </w:t>
      </w:r>
      <w:bookmarkStart w:id="123" w:name="_Toc487211738"/>
      <w:bookmarkStart w:id="124" w:name="_Toc488395110"/>
      <w:bookmarkStart w:id="125" w:name="_Toc523508533"/>
      <w:bookmarkStart w:id="126" w:name="_Toc18500381"/>
      <w:r>
        <w:rPr>
          <w:rFonts w:hint="eastAsia" w:ascii="宋体" w:hAnsi="宋体"/>
          <w:b/>
          <w:kern w:val="0"/>
          <w:sz w:val="28"/>
          <w:highlight w:val="none"/>
        </w:rPr>
        <w:t>附件八</w:t>
      </w:r>
      <w:bookmarkEnd w:id="123"/>
      <w:bookmarkEnd w:id="124"/>
      <w:bookmarkEnd w:id="125"/>
      <w:bookmarkEnd w:id="126"/>
    </w:p>
    <w:p w14:paraId="076F9597">
      <w:pPr>
        <w:widowControl/>
        <w:spacing w:line="360" w:lineRule="auto"/>
        <w:jc w:val="center"/>
        <w:outlineLvl w:val="1"/>
        <w:rPr>
          <w:rFonts w:ascii="宋体" w:hAnsi="宋体"/>
          <w:b/>
          <w:kern w:val="0"/>
          <w:sz w:val="28"/>
          <w:szCs w:val="28"/>
          <w:highlight w:val="none"/>
        </w:rPr>
      </w:pPr>
      <w:bookmarkStart w:id="127" w:name="_Toc523508534"/>
      <w:bookmarkStart w:id="128" w:name="_Toc487211739"/>
      <w:bookmarkStart w:id="129" w:name="_Toc488395111"/>
      <w:bookmarkStart w:id="130" w:name="_Toc18500382"/>
      <w:r>
        <w:rPr>
          <w:rFonts w:hint="eastAsia" w:ascii="宋体" w:hAnsi="宋体"/>
          <w:b/>
          <w:kern w:val="0"/>
          <w:sz w:val="28"/>
          <w:szCs w:val="28"/>
          <w:highlight w:val="none"/>
        </w:rPr>
        <w:t>中小企业声明函</w:t>
      </w:r>
      <w:bookmarkEnd w:id="127"/>
      <w:bookmarkEnd w:id="128"/>
      <w:bookmarkEnd w:id="129"/>
      <w:bookmarkEnd w:id="130"/>
    </w:p>
    <w:p w14:paraId="720AA0AC">
      <w:pPr>
        <w:spacing w:line="360" w:lineRule="auto"/>
        <w:rPr>
          <w:rFonts w:ascii="宋体" w:hAnsi="宋体" w:cs="宋体"/>
          <w:b/>
          <w:sz w:val="16"/>
          <w:szCs w:val="16"/>
          <w:highlight w:val="none"/>
        </w:rPr>
      </w:pPr>
      <w:r>
        <w:rPr>
          <w:rFonts w:hint="eastAsia" w:ascii="宋体" w:hAnsi="宋体"/>
          <w:kern w:val="0"/>
          <w:sz w:val="20"/>
          <w:szCs w:val="21"/>
          <w:highlight w:val="none"/>
          <w:lang w:val="zh-CN"/>
        </w:rPr>
        <w:t>　　</w:t>
      </w:r>
    </w:p>
    <w:p w14:paraId="06BD5876">
      <w:pPr>
        <w:widowControl/>
        <w:spacing w:line="360" w:lineRule="auto"/>
        <w:jc w:val="left"/>
        <w:rPr>
          <w:rFonts w:ascii="宋体" w:hAnsi="宋体" w:cs="宋体"/>
          <w:kern w:val="0"/>
          <w:sz w:val="20"/>
          <w:szCs w:val="21"/>
          <w:highlight w:val="none"/>
        </w:rPr>
      </w:pPr>
      <w:r>
        <w:rPr>
          <w:rFonts w:hint="eastAsia" w:ascii="宋体" w:hAnsi="宋体" w:cs="宋体"/>
          <w:szCs w:val="21"/>
          <w:highlight w:val="none"/>
        </w:rPr>
        <w:t>　</w:t>
      </w:r>
      <w:r>
        <w:rPr>
          <w:rFonts w:hint="eastAsia" w:ascii="宋体" w:hAnsi="宋体" w:cs="宋体"/>
          <w:kern w:val="0"/>
          <w:sz w:val="20"/>
          <w:szCs w:val="21"/>
          <w:highlight w:val="none"/>
        </w:rPr>
        <w:t>　本公司（联合体）郑重声明，根据《政府采购促进中小企业发展管理办法》（财库[2020]46号）的规定，本公司（联合体）参加</w:t>
      </w:r>
      <w:r>
        <w:rPr>
          <w:rFonts w:hint="eastAsia" w:ascii="宋体" w:hAnsi="宋体" w:cs="宋体"/>
          <w:kern w:val="0"/>
          <w:sz w:val="20"/>
          <w:szCs w:val="21"/>
          <w:highlight w:val="none"/>
          <w:u w:val="single"/>
        </w:rPr>
        <w:t>（</w:t>
      </w:r>
      <w:r>
        <w:rPr>
          <w:rFonts w:hint="eastAsia" w:ascii="宋体" w:hAnsi="宋体" w:cs="宋体"/>
          <w:kern w:val="0"/>
          <w:sz w:val="20"/>
          <w:szCs w:val="21"/>
          <w:highlight w:val="none"/>
          <w:u w:val="single"/>
          <w:lang w:val="en-US" w:eastAsia="zh-CN"/>
        </w:rPr>
        <w:t>采购人</w:t>
      </w:r>
      <w:r>
        <w:rPr>
          <w:rFonts w:hint="eastAsia" w:ascii="宋体" w:hAnsi="宋体" w:cs="宋体"/>
          <w:kern w:val="0"/>
          <w:sz w:val="20"/>
          <w:szCs w:val="21"/>
          <w:highlight w:val="none"/>
          <w:u w:val="single"/>
        </w:rPr>
        <w:t>名称）</w:t>
      </w:r>
      <w:r>
        <w:rPr>
          <w:rFonts w:hint="eastAsia" w:ascii="宋体" w:hAnsi="宋体" w:cs="宋体"/>
          <w:kern w:val="0"/>
          <w:sz w:val="20"/>
          <w:szCs w:val="21"/>
          <w:highlight w:val="none"/>
        </w:rPr>
        <w:t>的</w:t>
      </w:r>
      <w:r>
        <w:rPr>
          <w:rFonts w:hint="eastAsia" w:ascii="宋体" w:hAnsi="宋体" w:cs="宋体"/>
          <w:kern w:val="0"/>
          <w:sz w:val="20"/>
          <w:szCs w:val="21"/>
          <w:highlight w:val="none"/>
          <w:u w:val="single"/>
        </w:rPr>
        <w:t>（项目名称）</w:t>
      </w:r>
      <w:r>
        <w:rPr>
          <w:rFonts w:hint="eastAsia" w:ascii="宋体" w:hAnsi="宋体" w:cs="宋体"/>
          <w:kern w:val="0"/>
          <w:sz w:val="20"/>
          <w:szCs w:val="21"/>
          <w:highlight w:val="none"/>
        </w:rPr>
        <w:t>采购活动，提供的货物全部由符合政策要求的中小企业制造。相关企业（含联合体中的中小企业、签订分包意向协议的中小企业）的具体情况如下：</w:t>
      </w:r>
    </w:p>
    <w:p w14:paraId="2D0803BE">
      <w:pPr>
        <w:widowControl/>
        <w:spacing w:line="360" w:lineRule="auto"/>
        <w:ind w:firstLine="400" w:firstLineChars="200"/>
        <w:jc w:val="left"/>
        <w:rPr>
          <w:rFonts w:ascii="宋体" w:hAnsi="宋体" w:cs="宋体"/>
          <w:kern w:val="0"/>
          <w:sz w:val="20"/>
          <w:szCs w:val="21"/>
          <w:highlight w:val="none"/>
        </w:rPr>
      </w:pPr>
      <w:r>
        <w:rPr>
          <w:rFonts w:hint="eastAsia" w:ascii="宋体" w:hAnsi="宋体" w:cs="宋体"/>
          <w:kern w:val="0"/>
          <w:sz w:val="20"/>
          <w:szCs w:val="21"/>
          <w:highlight w:val="none"/>
        </w:rPr>
        <w:t xml:space="preserve">1. </w:t>
      </w:r>
      <w:r>
        <w:rPr>
          <w:rFonts w:hint="eastAsia" w:ascii="宋体" w:hAnsi="宋体" w:cs="宋体"/>
          <w:kern w:val="0"/>
          <w:sz w:val="20"/>
          <w:szCs w:val="21"/>
          <w:highlight w:val="none"/>
          <w:u w:val="single"/>
        </w:rPr>
        <w:t xml:space="preserve">（标的名称） </w:t>
      </w:r>
      <w:r>
        <w:rPr>
          <w:rFonts w:hint="eastAsia" w:ascii="宋体" w:hAnsi="宋体" w:cs="宋体"/>
          <w:kern w:val="0"/>
          <w:sz w:val="20"/>
          <w:szCs w:val="21"/>
          <w:highlight w:val="none"/>
        </w:rPr>
        <w:t>，属于</w:t>
      </w:r>
      <w:r>
        <w:rPr>
          <w:rFonts w:hint="eastAsia" w:ascii="宋体" w:hAnsi="宋体" w:cs="宋体"/>
          <w:kern w:val="0"/>
          <w:sz w:val="20"/>
          <w:szCs w:val="21"/>
          <w:highlight w:val="none"/>
          <w:u w:val="single"/>
        </w:rPr>
        <w:t>（</w:t>
      </w:r>
      <w:r>
        <w:rPr>
          <w:rFonts w:hint="eastAsia" w:ascii="宋体" w:hAnsi="宋体" w:cs="宋体"/>
          <w:kern w:val="0"/>
          <w:sz w:val="20"/>
          <w:szCs w:val="21"/>
          <w:highlight w:val="none"/>
          <w:u w:val="single"/>
          <w:lang w:val="en-US" w:eastAsia="zh-CN"/>
        </w:rPr>
        <w:t>征集</w:t>
      </w:r>
      <w:r>
        <w:rPr>
          <w:rFonts w:hint="eastAsia" w:ascii="宋体" w:hAnsi="宋体" w:cs="宋体"/>
          <w:kern w:val="0"/>
          <w:sz w:val="20"/>
          <w:szCs w:val="21"/>
          <w:highlight w:val="none"/>
          <w:u w:val="single"/>
        </w:rPr>
        <w:t>文件中明确的所属行业）</w:t>
      </w:r>
      <w:r>
        <w:rPr>
          <w:rFonts w:hint="eastAsia" w:ascii="宋体" w:hAnsi="宋体" w:cs="宋体"/>
          <w:kern w:val="0"/>
          <w:sz w:val="20"/>
          <w:szCs w:val="21"/>
          <w:highlight w:val="none"/>
        </w:rPr>
        <w:t>行业；制造商为</w:t>
      </w:r>
      <w:r>
        <w:rPr>
          <w:rFonts w:hint="eastAsia" w:ascii="宋体" w:hAnsi="宋体" w:cs="宋体"/>
          <w:kern w:val="0"/>
          <w:sz w:val="20"/>
          <w:szCs w:val="21"/>
          <w:highlight w:val="none"/>
          <w:u w:val="single"/>
        </w:rPr>
        <w:t>（企业名称）</w:t>
      </w:r>
      <w:r>
        <w:rPr>
          <w:rFonts w:hint="eastAsia" w:ascii="宋体" w:hAnsi="宋体" w:cs="宋体"/>
          <w:kern w:val="0"/>
          <w:sz w:val="20"/>
          <w:szCs w:val="21"/>
          <w:highlight w:val="none"/>
        </w:rPr>
        <w:t>，从业人员</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人，营业收入为</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万元，资产总额为</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万元，属于</w:t>
      </w:r>
      <w:r>
        <w:rPr>
          <w:rFonts w:hint="eastAsia" w:ascii="宋体" w:hAnsi="宋体" w:cs="宋体"/>
          <w:kern w:val="0"/>
          <w:sz w:val="20"/>
          <w:szCs w:val="21"/>
          <w:highlight w:val="none"/>
          <w:u w:val="single"/>
        </w:rPr>
        <w:t>（中型企业、小型企业、微型企业）</w:t>
      </w:r>
      <w:r>
        <w:rPr>
          <w:rFonts w:hint="eastAsia" w:ascii="宋体" w:hAnsi="宋体" w:cs="宋体"/>
          <w:kern w:val="0"/>
          <w:sz w:val="20"/>
          <w:szCs w:val="21"/>
          <w:highlight w:val="none"/>
        </w:rPr>
        <w:t>；</w:t>
      </w:r>
    </w:p>
    <w:p w14:paraId="513326E6">
      <w:pPr>
        <w:widowControl/>
        <w:spacing w:line="360" w:lineRule="auto"/>
        <w:ind w:firstLine="400" w:firstLineChars="200"/>
        <w:jc w:val="left"/>
        <w:rPr>
          <w:rFonts w:ascii="宋体" w:hAnsi="宋体" w:cs="宋体"/>
          <w:kern w:val="0"/>
          <w:sz w:val="20"/>
          <w:szCs w:val="21"/>
          <w:highlight w:val="none"/>
        </w:rPr>
      </w:pPr>
      <w:r>
        <w:rPr>
          <w:rFonts w:hint="eastAsia" w:ascii="宋体" w:hAnsi="宋体" w:cs="宋体"/>
          <w:kern w:val="0"/>
          <w:sz w:val="20"/>
          <w:szCs w:val="21"/>
          <w:highlight w:val="none"/>
        </w:rPr>
        <w:t xml:space="preserve">2. </w:t>
      </w:r>
      <w:r>
        <w:rPr>
          <w:rFonts w:hint="eastAsia" w:ascii="宋体" w:hAnsi="宋体" w:cs="宋体"/>
          <w:kern w:val="0"/>
          <w:sz w:val="20"/>
          <w:szCs w:val="21"/>
          <w:highlight w:val="none"/>
          <w:u w:val="single"/>
        </w:rPr>
        <w:t xml:space="preserve">（标的名称） </w:t>
      </w:r>
      <w:r>
        <w:rPr>
          <w:rFonts w:hint="eastAsia" w:ascii="宋体" w:hAnsi="宋体" w:cs="宋体"/>
          <w:kern w:val="0"/>
          <w:sz w:val="20"/>
          <w:szCs w:val="21"/>
          <w:highlight w:val="none"/>
        </w:rPr>
        <w:t>，属于</w:t>
      </w:r>
      <w:r>
        <w:rPr>
          <w:rFonts w:hint="eastAsia" w:ascii="宋体" w:hAnsi="宋体" w:cs="宋体"/>
          <w:kern w:val="0"/>
          <w:sz w:val="20"/>
          <w:szCs w:val="21"/>
          <w:highlight w:val="none"/>
          <w:u w:val="single"/>
        </w:rPr>
        <w:t>（</w:t>
      </w:r>
      <w:r>
        <w:rPr>
          <w:rFonts w:hint="eastAsia" w:ascii="宋体" w:hAnsi="宋体" w:cs="宋体"/>
          <w:kern w:val="0"/>
          <w:sz w:val="20"/>
          <w:szCs w:val="21"/>
          <w:highlight w:val="none"/>
          <w:u w:val="single"/>
          <w:lang w:val="en-US" w:eastAsia="zh-CN"/>
        </w:rPr>
        <w:t>征集</w:t>
      </w:r>
      <w:r>
        <w:rPr>
          <w:rFonts w:hint="eastAsia" w:ascii="宋体" w:hAnsi="宋体" w:cs="宋体"/>
          <w:kern w:val="0"/>
          <w:sz w:val="20"/>
          <w:szCs w:val="21"/>
          <w:highlight w:val="none"/>
          <w:u w:val="single"/>
        </w:rPr>
        <w:t>文件中明确的所属行业）</w:t>
      </w:r>
      <w:r>
        <w:rPr>
          <w:rFonts w:hint="eastAsia" w:ascii="宋体" w:hAnsi="宋体" w:cs="宋体"/>
          <w:kern w:val="0"/>
          <w:sz w:val="20"/>
          <w:szCs w:val="21"/>
          <w:highlight w:val="none"/>
        </w:rPr>
        <w:t>行业；制造商为</w:t>
      </w:r>
      <w:r>
        <w:rPr>
          <w:rFonts w:hint="eastAsia" w:ascii="宋体" w:hAnsi="宋体" w:cs="宋体"/>
          <w:kern w:val="0"/>
          <w:sz w:val="20"/>
          <w:szCs w:val="21"/>
          <w:highlight w:val="none"/>
          <w:u w:val="single"/>
        </w:rPr>
        <w:t>（企业名称）</w:t>
      </w:r>
      <w:r>
        <w:rPr>
          <w:rFonts w:hint="eastAsia" w:ascii="宋体" w:hAnsi="宋体" w:cs="宋体"/>
          <w:kern w:val="0"/>
          <w:sz w:val="20"/>
          <w:szCs w:val="21"/>
          <w:highlight w:val="none"/>
        </w:rPr>
        <w:t>，从业人员</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人，营业收入为</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万元，资产总额为</w:t>
      </w:r>
      <w:r>
        <w:rPr>
          <w:rFonts w:hint="eastAsia" w:ascii="宋体" w:hAnsi="宋体" w:cs="宋体"/>
          <w:kern w:val="0"/>
          <w:sz w:val="20"/>
          <w:szCs w:val="21"/>
          <w:highlight w:val="none"/>
          <w:u w:val="single"/>
        </w:rPr>
        <w:t xml:space="preserve">      </w:t>
      </w:r>
      <w:r>
        <w:rPr>
          <w:rFonts w:hint="eastAsia" w:ascii="宋体" w:hAnsi="宋体" w:cs="宋体"/>
          <w:kern w:val="0"/>
          <w:sz w:val="20"/>
          <w:szCs w:val="21"/>
          <w:highlight w:val="none"/>
        </w:rPr>
        <w:t>万元，属于</w:t>
      </w:r>
      <w:r>
        <w:rPr>
          <w:rFonts w:hint="eastAsia" w:ascii="宋体" w:hAnsi="宋体" w:cs="宋体"/>
          <w:kern w:val="0"/>
          <w:sz w:val="20"/>
          <w:szCs w:val="21"/>
          <w:highlight w:val="none"/>
          <w:u w:val="single"/>
        </w:rPr>
        <w:t>（中型企业、小型企业、微型企业）</w:t>
      </w:r>
      <w:r>
        <w:rPr>
          <w:rFonts w:hint="eastAsia" w:ascii="宋体" w:hAnsi="宋体" w:cs="宋体"/>
          <w:kern w:val="0"/>
          <w:sz w:val="20"/>
          <w:szCs w:val="21"/>
          <w:highlight w:val="none"/>
        </w:rPr>
        <w:t>；</w:t>
      </w:r>
    </w:p>
    <w:p w14:paraId="5889EF13">
      <w:pPr>
        <w:widowControl/>
        <w:spacing w:line="360" w:lineRule="auto"/>
        <w:ind w:firstLine="400" w:firstLineChars="200"/>
        <w:jc w:val="left"/>
        <w:rPr>
          <w:rFonts w:ascii="宋体" w:hAnsi="宋体" w:cs="宋体"/>
          <w:kern w:val="0"/>
          <w:sz w:val="20"/>
          <w:szCs w:val="21"/>
          <w:highlight w:val="none"/>
        </w:rPr>
      </w:pPr>
      <w:r>
        <w:rPr>
          <w:rFonts w:hint="eastAsia" w:ascii="宋体" w:hAnsi="宋体" w:cs="宋体"/>
          <w:kern w:val="0"/>
          <w:sz w:val="20"/>
          <w:szCs w:val="21"/>
          <w:highlight w:val="none"/>
        </w:rPr>
        <w:t>……</w:t>
      </w:r>
    </w:p>
    <w:p w14:paraId="28BD30C7">
      <w:pPr>
        <w:widowControl/>
        <w:spacing w:line="360" w:lineRule="auto"/>
        <w:ind w:firstLine="400" w:firstLineChars="200"/>
        <w:jc w:val="left"/>
        <w:rPr>
          <w:rFonts w:ascii="宋体" w:hAnsi="宋体" w:cs="宋体"/>
          <w:kern w:val="0"/>
          <w:sz w:val="20"/>
          <w:szCs w:val="21"/>
          <w:highlight w:val="none"/>
        </w:rPr>
      </w:pPr>
      <w:r>
        <w:rPr>
          <w:rFonts w:hint="eastAsia" w:ascii="宋体" w:hAnsi="宋体" w:cs="宋体"/>
          <w:kern w:val="0"/>
          <w:sz w:val="20"/>
          <w:szCs w:val="21"/>
          <w:highlight w:val="none"/>
        </w:rPr>
        <w:t>以上企业，不属于大企业的分支机构，不存在控股股东为大企业的情形，也不存在与大企业的负责人为同一人的情形。</w:t>
      </w:r>
    </w:p>
    <w:p w14:paraId="4BE7B8F9">
      <w:pPr>
        <w:widowControl/>
        <w:spacing w:line="360" w:lineRule="auto"/>
        <w:ind w:firstLine="400" w:firstLineChars="200"/>
        <w:jc w:val="left"/>
        <w:rPr>
          <w:rFonts w:ascii="宋体" w:hAnsi="宋体" w:cs="宋体"/>
          <w:kern w:val="0"/>
          <w:sz w:val="20"/>
          <w:szCs w:val="21"/>
          <w:highlight w:val="none"/>
        </w:rPr>
      </w:pPr>
      <w:r>
        <w:rPr>
          <w:rFonts w:hint="eastAsia" w:ascii="宋体" w:hAnsi="宋体" w:cs="宋体"/>
          <w:kern w:val="0"/>
          <w:sz w:val="20"/>
          <w:szCs w:val="21"/>
          <w:highlight w:val="none"/>
        </w:rPr>
        <w:t>本企业对上述声明内容的真实性负责。如有虚假，将依法承担相应责任。</w:t>
      </w:r>
    </w:p>
    <w:p w14:paraId="1EBAD186">
      <w:pPr>
        <w:widowControl/>
        <w:spacing w:line="360" w:lineRule="auto"/>
        <w:jc w:val="left"/>
        <w:rPr>
          <w:rFonts w:ascii="宋体" w:hAnsi="宋体" w:cs="宋体"/>
          <w:kern w:val="0"/>
          <w:sz w:val="20"/>
          <w:szCs w:val="21"/>
          <w:highlight w:val="none"/>
        </w:rPr>
      </w:pPr>
    </w:p>
    <w:p w14:paraId="3F805C7D">
      <w:pPr>
        <w:widowControl/>
        <w:spacing w:line="360" w:lineRule="auto"/>
        <w:jc w:val="left"/>
        <w:rPr>
          <w:rFonts w:ascii="宋体" w:hAnsi="宋体" w:cs="宋体"/>
          <w:kern w:val="0"/>
          <w:sz w:val="20"/>
          <w:szCs w:val="21"/>
          <w:highlight w:val="none"/>
        </w:rPr>
      </w:pPr>
    </w:p>
    <w:p w14:paraId="2DD2A0C2">
      <w:pPr>
        <w:widowControl/>
        <w:spacing w:line="360" w:lineRule="auto"/>
        <w:jc w:val="left"/>
        <w:rPr>
          <w:rFonts w:ascii="宋体" w:hAnsi="宋体" w:cs="宋体"/>
          <w:kern w:val="0"/>
          <w:sz w:val="20"/>
          <w:szCs w:val="21"/>
          <w:highlight w:val="none"/>
        </w:rPr>
      </w:pPr>
    </w:p>
    <w:p w14:paraId="738A87F1">
      <w:pPr>
        <w:widowControl/>
        <w:spacing w:line="360" w:lineRule="auto"/>
        <w:jc w:val="left"/>
        <w:rPr>
          <w:rFonts w:ascii="宋体" w:hAnsi="宋体" w:cs="宋体"/>
          <w:kern w:val="0"/>
          <w:sz w:val="20"/>
          <w:szCs w:val="21"/>
          <w:highlight w:val="none"/>
        </w:rPr>
      </w:pPr>
    </w:p>
    <w:p w14:paraId="380DCB25">
      <w:pPr>
        <w:widowControl/>
        <w:spacing w:line="360" w:lineRule="auto"/>
        <w:jc w:val="left"/>
        <w:rPr>
          <w:rFonts w:ascii="宋体" w:hAnsi="宋体" w:cs="宋体"/>
          <w:kern w:val="0"/>
          <w:sz w:val="20"/>
          <w:szCs w:val="21"/>
          <w:highlight w:val="none"/>
        </w:rPr>
      </w:pPr>
    </w:p>
    <w:p w14:paraId="160F36DE">
      <w:pPr>
        <w:widowControl/>
        <w:spacing w:line="360" w:lineRule="auto"/>
        <w:jc w:val="left"/>
        <w:rPr>
          <w:rFonts w:ascii="宋体" w:hAnsi="宋体" w:cs="宋体"/>
          <w:kern w:val="0"/>
          <w:sz w:val="20"/>
          <w:szCs w:val="21"/>
          <w:highlight w:val="none"/>
        </w:rPr>
      </w:pPr>
      <w:r>
        <w:rPr>
          <w:rFonts w:hint="eastAsia" w:ascii="宋体" w:hAnsi="宋体" w:cs="宋体"/>
          <w:kern w:val="0"/>
          <w:sz w:val="20"/>
          <w:szCs w:val="21"/>
          <w:highlight w:val="none"/>
        </w:rPr>
        <w:t xml:space="preserve">　　　　　　 　　　　　　　　　　　　　　 　企业名称（盖章）： </w:t>
      </w:r>
    </w:p>
    <w:p w14:paraId="51EA8959">
      <w:pPr>
        <w:widowControl/>
        <w:spacing w:line="360" w:lineRule="auto"/>
        <w:jc w:val="left"/>
        <w:rPr>
          <w:rFonts w:ascii="宋体" w:hAnsi="宋体" w:cs="宋体"/>
          <w:kern w:val="0"/>
          <w:sz w:val="20"/>
          <w:szCs w:val="21"/>
          <w:highlight w:val="none"/>
        </w:rPr>
      </w:pPr>
    </w:p>
    <w:p w14:paraId="667E22C9">
      <w:pPr>
        <w:widowControl/>
        <w:spacing w:line="360" w:lineRule="auto"/>
        <w:jc w:val="left"/>
        <w:rPr>
          <w:rFonts w:ascii="宋体" w:hAnsi="宋体" w:cs="宋体"/>
          <w:kern w:val="0"/>
          <w:sz w:val="20"/>
          <w:szCs w:val="21"/>
          <w:highlight w:val="none"/>
        </w:rPr>
      </w:pPr>
    </w:p>
    <w:p w14:paraId="73018F3C">
      <w:pPr>
        <w:widowControl/>
        <w:spacing w:line="360" w:lineRule="auto"/>
        <w:ind w:firstLine="4600" w:firstLineChars="2300"/>
        <w:jc w:val="left"/>
        <w:rPr>
          <w:rFonts w:ascii="宋体" w:hAnsi="宋体" w:cs="宋体"/>
          <w:kern w:val="0"/>
          <w:sz w:val="20"/>
          <w:szCs w:val="21"/>
          <w:highlight w:val="none"/>
        </w:rPr>
      </w:pPr>
      <w:r>
        <w:rPr>
          <w:rFonts w:hint="eastAsia" w:ascii="宋体" w:hAnsi="宋体" w:cs="宋体"/>
          <w:kern w:val="0"/>
          <w:sz w:val="20"/>
          <w:szCs w:val="21"/>
          <w:highlight w:val="none"/>
        </w:rPr>
        <w:t>日 期：　</w:t>
      </w:r>
    </w:p>
    <w:p w14:paraId="0983B3E3">
      <w:pPr>
        <w:widowControl/>
        <w:spacing w:line="360" w:lineRule="auto"/>
        <w:jc w:val="left"/>
        <w:rPr>
          <w:rFonts w:ascii="宋体" w:hAnsi="宋体" w:cs="宋体"/>
          <w:kern w:val="0"/>
          <w:sz w:val="20"/>
          <w:szCs w:val="21"/>
          <w:highlight w:val="none"/>
        </w:rPr>
      </w:pPr>
    </w:p>
    <w:p w14:paraId="7C063549">
      <w:pPr>
        <w:widowControl/>
        <w:spacing w:line="360" w:lineRule="auto"/>
        <w:jc w:val="left"/>
        <w:rPr>
          <w:rFonts w:hAnsi="宋体" w:cs="宋体"/>
          <w:kern w:val="0"/>
          <w:szCs w:val="21"/>
          <w:highlight w:val="none"/>
        </w:rPr>
      </w:pPr>
      <w:r>
        <w:rPr>
          <w:rFonts w:hint="eastAsia" w:hAnsi="宋体" w:cs="宋体"/>
          <w:kern w:val="0"/>
          <w:szCs w:val="21"/>
          <w:highlight w:val="none"/>
        </w:rPr>
        <w:t>注：从业人员、营业收入、资产总额填报上一年数据，无上一年度数据的新成立企业可不填报。供应商应同时提供制造商上一年度的审计报告，便于核实小微企业情况。</w:t>
      </w:r>
    </w:p>
    <w:p w14:paraId="40F7B7D5">
      <w:pPr>
        <w:spacing w:line="360" w:lineRule="auto"/>
        <w:rPr>
          <w:rFonts w:ascii="宋体" w:hAnsi="宋体" w:cs="宋体"/>
          <w:szCs w:val="21"/>
          <w:highlight w:val="none"/>
        </w:rPr>
      </w:pPr>
    </w:p>
    <w:p w14:paraId="70DD364B">
      <w:pPr>
        <w:keepNext/>
        <w:keepLines/>
        <w:widowControl/>
        <w:spacing w:before="120" w:after="120" w:line="360" w:lineRule="auto"/>
        <w:outlineLvl w:val="1"/>
        <w:rPr>
          <w:rFonts w:ascii="宋体" w:hAnsi="宋体" w:eastAsia="黑体"/>
          <w:b/>
          <w:kern w:val="0"/>
          <w:sz w:val="32"/>
          <w:szCs w:val="21"/>
          <w:highlight w:val="none"/>
        </w:rPr>
      </w:pPr>
      <w:r>
        <w:rPr>
          <w:rFonts w:ascii="宋体" w:hAnsi="宋体" w:eastAsia="黑体"/>
          <w:b/>
          <w:kern w:val="0"/>
          <w:sz w:val="32"/>
          <w:szCs w:val="21"/>
          <w:highlight w:val="none"/>
        </w:rPr>
        <w:br w:type="page"/>
      </w:r>
      <w:bookmarkStart w:id="131" w:name="_Toc488395112"/>
      <w:bookmarkStart w:id="132" w:name="_Toc523508535"/>
      <w:bookmarkStart w:id="133" w:name="_Toc487211740"/>
      <w:bookmarkStart w:id="134" w:name="_Toc18500383"/>
      <w:r>
        <w:rPr>
          <w:rFonts w:hint="eastAsia" w:ascii="宋体" w:hAnsi="宋体"/>
          <w:b/>
          <w:kern w:val="0"/>
          <w:sz w:val="28"/>
          <w:highlight w:val="none"/>
        </w:rPr>
        <w:t>附件九</w:t>
      </w:r>
      <w:bookmarkEnd w:id="131"/>
      <w:bookmarkEnd w:id="132"/>
      <w:bookmarkEnd w:id="133"/>
      <w:bookmarkEnd w:id="134"/>
    </w:p>
    <w:p w14:paraId="5A5628A2">
      <w:pPr>
        <w:widowControl/>
        <w:spacing w:line="360" w:lineRule="auto"/>
        <w:jc w:val="center"/>
        <w:outlineLvl w:val="1"/>
        <w:rPr>
          <w:rFonts w:ascii="宋体" w:hAnsi="宋体"/>
          <w:b/>
          <w:kern w:val="0"/>
          <w:sz w:val="28"/>
          <w:szCs w:val="28"/>
          <w:highlight w:val="none"/>
        </w:rPr>
      </w:pPr>
      <w:bookmarkStart w:id="135" w:name="_Toc487211741"/>
      <w:bookmarkStart w:id="136" w:name="_Toc488395113"/>
      <w:bookmarkStart w:id="137" w:name="_Toc523508536"/>
      <w:bookmarkStart w:id="138" w:name="_Toc18500384"/>
      <w:r>
        <w:rPr>
          <w:rFonts w:hint="eastAsia" w:ascii="宋体" w:hAnsi="宋体"/>
          <w:b/>
          <w:kern w:val="0"/>
          <w:sz w:val="28"/>
          <w:szCs w:val="28"/>
          <w:highlight w:val="none"/>
        </w:rPr>
        <w:t>投标报价声明函</w:t>
      </w:r>
      <w:bookmarkEnd w:id="135"/>
      <w:bookmarkEnd w:id="136"/>
      <w:bookmarkEnd w:id="137"/>
      <w:bookmarkEnd w:id="138"/>
    </w:p>
    <w:p w14:paraId="0081E16B">
      <w:pPr>
        <w:widowControl/>
        <w:snapToGrid w:val="0"/>
        <w:spacing w:line="500" w:lineRule="exact"/>
        <w:jc w:val="left"/>
        <w:rPr>
          <w:rFonts w:ascii="宋体" w:hAnsi="宋体"/>
          <w:kern w:val="0"/>
          <w:sz w:val="24"/>
          <w:szCs w:val="20"/>
          <w:highlight w:val="none"/>
          <w:u w:val="single"/>
        </w:rPr>
      </w:pPr>
    </w:p>
    <w:p w14:paraId="7DF0F381">
      <w:pPr>
        <w:widowControl/>
        <w:snapToGrid w:val="0"/>
        <w:spacing w:line="500" w:lineRule="exact"/>
        <w:ind w:firstLine="472" w:firstLineChars="225"/>
        <w:jc w:val="left"/>
        <w:rPr>
          <w:rFonts w:ascii="宋体" w:hAnsi="宋体"/>
          <w:kern w:val="0"/>
          <w:szCs w:val="21"/>
          <w:highlight w:val="none"/>
        </w:rPr>
      </w:pPr>
      <w:r>
        <w:rPr>
          <w:rFonts w:hint="eastAsia" w:ascii="宋体" w:hAnsi="宋体"/>
          <w:kern w:val="0"/>
          <w:szCs w:val="21"/>
          <w:highlight w:val="none"/>
        </w:rPr>
        <w:t>我公司自愿参加</w:t>
      </w:r>
      <w:r>
        <w:rPr>
          <w:rFonts w:hint="eastAsia" w:ascii="宋体" w:hAnsi="宋体"/>
          <w:kern w:val="0"/>
          <w:szCs w:val="21"/>
          <w:highlight w:val="none"/>
          <w:u w:val="single"/>
        </w:rPr>
        <w:t xml:space="preserve">                项目名称、项目编号          </w:t>
      </w:r>
      <w:r>
        <w:rPr>
          <w:rFonts w:hint="eastAsia" w:ascii="宋体" w:hAnsi="宋体"/>
          <w:kern w:val="0"/>
          <w:szCs w:val="21"/>
          <w:highlight w:val="none"/>
        </w:rPr>
        <w:t>的投标。我公司郑重承诺，我公司的投标报价不低于自身成本，没有恶意竞争行为，按投标报价提供的产品能够满足采购人的全部需求。</w:t>
      </w:r>
    </w:p>
    <w:p w14:paraId="62ECA20B">
      <w:pPr>
        <w:widowControl/>
        <w:snapToGrid w:val="0"/>
        <w:spacing w:line="500" w:lineRule="exact"/>
        <w:ind w:firstLine="472" w:firstLineChars="225"/>
        <w:jc w:val="left"/>
        <w:rPr>
          <w:rFonts w:ascii="宋体" w:hAnsi="宋体"/>
          <w:kern w:val="0"/>
          <w:szCs w:val="21"/>
          <w:highlight w:val="none"/>
        </w:rPr>
      </w:pPr>
    </w:p>
    <w:p w14:paraId="73BABEE2">
      <w:pPr>
        <w:widowControl/>
        <w:snapToGrid w:val="0"/>
        <w:spacing w:line="500" w:lineRule="exact"/>
        <w:ind w:firstLine="472" w:firstLineChars="225"/>
        <w:jc w:val="left"/>
        <w:rPr>
          <w:rFonts w:ascii="宋体" w:hAnsi="宋体"/>
          <w:kern w:val="0"/>
          <w:szCs w:val="21"/>
          <w:highlight w:val="none"/>
          <w:u w:val="single"/>
        </w:rPr>
      </w:pPr>
      <w:r>
        <w:rPr>
          <w:rFonts w:hint="eastAsia" w:ascii="宋体" w:hAnsi="宋体"/>
          <w:kern w:val="0"/>
          <w:szCs w:val="21"/>
          <w:highlight w:val="none"/>
        </w:rPr>
        <w:t xml:space="preserve">特此声明。 </w:t>
      </w:r>
    </w:p>
    <w:p w14:paraId="71EF0110">
      <w:pPr>
        <w:widowControl/>
        <w:snapToGrid w:val="0"/>
        <w:spacing w:line="500" w:lineRule="exact"/>
        <w:ind w:firstLine="472" w:firstLineChars="225"/>
        <w:jc w:val="left"/>
        <w:rPr>
          <w:rFonts w:ascii="宋体" w:hAnsi="宋体"/>
          <w:kern w:val="0"/>
          <w:szCs w:val="21"/>
          <w:highlight w:val="none"/>
        </w:rPr>
      </w:pPr>
    </w:p>
    <w:p w14:paraId="769413A4">
      <w:pPr>
        <w:widowControl/>
        <w:snapToGrid w:val="0"/>
        <w:spacing w:line="500" w:lineRule="exact"/>
        <w:ind w:firstLine="472" w:firstLineChars="225"/>
        <w:jc w:val="left"/>
        <w:rPr>
          <w:rFonts w:ascii="宋体" w:hAnsi="宋体"/>
          <w:kern w:val="0"/>
          <w:szCs w:val="21"/>
          <w:highlight w:val="none"/>
        </w:rPr>
      </w:pPr>
    </w:p>
    <w:p w14:paraId="740FA4A0">
      <w:pPr>
        <w:widowControl/>
        <w:snapToGrid w:val="0"/>
        <w:spacing w:line="500" w:lineRule="exact"/>
        <w:ind w:firstLine="472" w:firstLineChars="225"/>
        <w:jc w:val="left"/>
        <w:rPr>
          <w:rFonts w:ascii="宋体" w:hAnsi="宋体"/>
          <w:kern w:val="0"/>
          <w:szCs w:val="21"/>
          <w:highlight w:val="none"/>
        </w:rPr>
      </w:pPr>
    </w:p>
    <w:p w14:paraId="03387ED6">
      <w:pPr>
        <w:widowControl/>
        <w:spacing w:line="500" w:lineRule="exact"/>
        <w:ind w:firstLine="426"/>
        <w:jc w:val="left"/>
        <w:rPr>
          <w:rFonts w:ascii="宋体" w:hAnsi="宋体"/>
          <w:kern w:val="0"/>
          <w:szCs w:val="21"/>
          <w:highlight w:val="none"/>
        </w:rPr>
      </w:pPr>
    </w:p>
    <w:p w14:paraId="77E28DF5">
      <w:pPr>
        <w:widowControl/>
        <w:spacing w:line="500" w:lineRule="exact"/>
        <w:ind w:firstLine="426"/>
        <w:jc w:val="left"/>
        <w:rPr>
          <w:rFonts w:ascii="宋体" w:hAnsi="宋体"/>
          <w:kern w:val="0"/>
          <w:szCs w:val="21"/>
          <w:highlight w:val="none"/>
        </w:rPr>
      </w:pPr>
    </w:p>
    <w:p w14:paraId="02FDB848">
      <w:pPr>
        <w:widowControl/>
        <w:spacing w:line="500" w:lineRule="exact"/>
        <w:ind w:firstLine="426"/>
        <w:jc w:val="left"/>
        <w:rPr>
          <w:rFonts w:ascii="宋体" w:hAnsi="宋体"/>
          <w:kern w:val="0"/>
          <w:szCs w:val="21"/>
          <w:highlight w:val="none"/>
        </w:rPr>
      </w:pPr>
    </w:p>
    <w:p w14:paraId="6F6DC9CA">
      <w:pPr>
        <w:widowControl/>
        <w:snapToGrid w:val="0"/>
        <w:spacing w:line="500" w:lineRule="exact"/>
        <w:ind w:firstLine="472" w:firstLineChars="225"/>
        <w:jc w:val="left"/>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3CFE32FE">
      <w:pPr>
        <w:widowControl/>
        <w:spacing w:before="120" w:line="360" w:lineRule="auto"/>
        <w:jc w:val="left"/>
        <w:rPr>
          <w:rFonts w:ascii="宋体" w:hAnsi="宋体"/>
          <w:kern w:val="0"/>
          <w:szCs w:val="21"/>
          <w:highlight w:val="none"/>
          <w:u w:val="single"/>
        </w:rPr>
      </w:pPr>
    </w:p>
    <w:p w14:paraId="0EF3EB85">
      <w:pPr>
        <w:widowControl/>
        <w:snapToGrid w:val="0"/>
        <w:spacing w:line="500" w:lineRule="exact"/>
        <w:ind w:firstLine="472" w:firstLineChars="225"/>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p>
    <w:p w14:paraId="033BD200">
      <w:pPr>
        <w:widowControl/>
        <w:jc w:val="left"/>
        <w:rPr>
          <w:rFonts w:ascii="宋体" w:hAnsi="宋体"/>
          <w:kern w:val="0"/>
          <w:szCs w:val="21"/>
          <w:highlight w:val="none"/>
        </w:rPr>
      </w:pPr>
    </w:p>
    <w:p w14:paraId="70D4FC4C">
      <w:pPr>
        <w:widowControl/>
        <w:spacing w:line="360" w:lineRule="auto"/>
        <w:jc w:val="left"/>
        <w:rPr>
          <w:rFonts w:ascii="宋体" w:hAnsi="宋体"/>
          <w:kern w:val="0"/>
          <w:szCs w:val="21"/>
          <w:highlight w:val="none"/>
        </w:rPr>
      </w:pPr>
    </w:p>
    <w:p w14:paraId="702B8A01">
      <w:pPr>
        <w:widowControl/>
        <w:spacing w:line="360" w:lineRule="auto"/>
        <w:jc w:val="left"/>
        <w:rPr>
          <w:rFonts w:ascii="宋体" w:hAnsi="宋体"/>
          <w:kern w:val="0"/>
          <w:szCs w:val="21"/>
          <w:highlight w:val="none"/>
        </w:rPr>
      </w:pPr>
    </w:p>
    <w:p w14:paraId="23334523">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05F15DB0">
      <w:pPr>
        <w:widowControl/>
        <w:spacing w:line="360" w:lineRule="auto"/>
        <w:jc w:val="right"/>
        <w:rPr>
          <w:rFonts w:ascii="宋体" w:hAnsi="宋体"/>
          <w:kern w:val="0"/>
          <w:szCs w:val="21"/>
          <w:highlight w:val="none"/>
        </w:rPr>
      </w:pPr>
      <w:r>
        <w:rPr>
          <w:rFonts w:hint="eastAsia" w:ascii="宋体" w:hAnsi="宋体"/>
          <w:kern w:val="0"/>
          <w:szCs w:val="21"/>
          <w:highlight w:val="none"/>
        </w:rPr>
        <w:t xml:space="preserve">                                                 年  月   日</w:t>
      </w:r>
    </w:p>
    <w:p w14:paraId="3571D70B">
      <w:pPr>
        <w:keepNext/>
        <w:keepLines/>
        <w:widowControl/>
        <w:spacing w:before="120" w:after="120" w:line="360" w:lineRule="auto"/>
        <w:outlineLvl w:val="1"/>
        <w:rPr>
          <w:rFonts w:ascii="宋体" w:hAnsi="宋体" w:eastAsia="黑体"/>
          <w:b/>
          <w:kern w:val="0"/>
          <w:sz w:val="32"/>
          <w:szCs w:val="21"/>
          <w:highlight w:val="none"/>
        </w:rPr>
      </w:pPr>
      <w:r>
        <w:rPr>
          <w:rFonts w:ascii="宋体" w:hAnsi="宋体" w:eastAsia="黑体"/>
          <w:b/>
          <w:kern w:val="0"/>
          <w:sz w:val="32"/>
          <w:szCs w:val="21"/>
          <w:highlight w:val="none"/>
        </w:rPr>
        <w:br w:type="page"/>
      </w:r>
      <w:bookmarkStart w:id="139" w:name="_Toc488395114"/>
      <w:bookmarkStart w:id="140" w:name="_Toc18500385"/>
      <w:bookmarkStart w:id="141" w:name="_Toc523508537"/>
      <w:bookmarkStart w:id="142" w:name="_Toc456252363"/>
      <w:r>
        <w:rPr>
          <w:rFonts w:hint="eastAsia" w:ascii="宋体" w:hAnsi="宋体"/>
          <w:b/>
          <w:kern w:val="0"/>
          <w:sz w:val="28"/>
          <w:highlight w:val="none"/>
        </w:rPr>
        <w:t>附件十</w:t>
      </w:r>
      <w:bookmarkEnd w:id="139"/>
      <w:bookmarkEnd w:id="140"/>
      <w:bookmarkEnd w:id="141"/>
    </w:p>
    <w:p w14:paraId="0219DAC6">
      <w:pPr>
        <w:widowControl/>
        <w:spacing w:line="360" w:lineRule="auto"/>
        <w:jc w:val="center"/>
        <w:outlineLvl w:val="1"/>
        <w:rPr>
          <w:rFonts w:ascii="宋体" w:hAnsi="宋体"/>
          <w:b/>
          <w:kern w:val="0"/>
          <w:sz w:val="28"/>
          <w:szCs w:val="28"/>
          <w:highlight w:val="none"/>
        </w:rPr>
      </w:pPr>
      <w:bookmarkStart w:id="143" w:name="_Toc523508538"/>
      <w:bookmarkStart w:id="144" w:name="_Toc488395115"/>
      <w:bookmarkStart w:id="145" w:name="_Toc18500386"/>
      <w:r>
        <w:rPr>
          <w:rFonts w:hint="eastAsia" w:ascii="宋体" w:hAnsi="宋体"/>
          <w:b/>
          <w:kern w:val="0"/>
          <w:sz w:val="28"/>
          <w:szCs w:val="28"/>
          <w:highlight w:val="none"/>
        </w:rPr>
        <w:t>供应商承诺书</w:t>
      </w:r>
      <w:bookmarkEnd w:id="142"/>
      <w:bookmarkEnd w:id="143"/>
      <w:bookmarkEnd w:id="144"/>
      <w:bookmarkEnd w:id="145"/>
      <w:r>
        <w:rPr>
          <w:rFonts w:ascii="宋体" w:hAnsi="宋体"/>
          <w:b/>
          <w:kern w:val="0"/>
          <w:sz w:val="28"/>
          <w:szCs w:val="28"/>
          <w:highlight w:val="none"/>
        </w:rPr>
        <w:br w:type="textWrapping"/>
      </w:r>
    </w:p>
    <w:p w14:paraId="401C601D">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经认真阅读研究贵公司</w:t>
      </w:r>
      <w:r>
        <w:rPr>
          <w:rFonts w:hint="eastAsia" w:ascii="宋体" w:hAnsi="宋体"/>
          <w:kern w:val="0"/>
          <w:szCs w:val="21"/>
          <w:highlight w:val="none"/>
          <w:u w:val="single"/>
        </w:rPr>
        <w:t xml:space="preserve">                </w:t>
      </w:r>
      <w:r>
        <w:rPr>
          <w:rFonts w:hint="eastAsia" w:ascii="宋体" w:hAnsi="宋体"/>
          <w:kern w:val="0"/>
          <w:szCs w:val="21"/>
          <w:highlight w:val="none"/>
        </w:rPr>
        <w:t>（项目名称）</w:t>
      </w:r>
      <w:r>
        <w:rPr>
          <w:rFonts w:hint="eastAsia" w:ascii="宋体" w:hAnsi="宋体"/>
          <w:kern w:val="0"/>
          <w:szCs w:val="21"/>
          <w:highlight w:val="none"/>
          <w:lang w:val="en-US" w:eastAsia="zh-CN"/>
        </w:rPr>
        <w:t>征集</w:t>
      </w:r>
      <w:r>
        <w:rPr>
          <w:rFonts w:hint="eastAsia" w:ascii="宋体" w:hAnsi="宋体"/>
          <w:kern w:val="0"/>
          <w:szCs w:val="21"/>
          <w:highlight w:val="none"/>
        </w:rPr>
        <w:t>文件，我公司决定参加投标，并作如下承诺：</w:t>
      </w:r>
    </w:p>
    <w:p w14:paraId="701FA1C1">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1、我公司完全同意和接受</w:t>
      </w:r>
      <w:r>
        <w:rPr>
          <w:rFonts w:hint="eastAsia" w:ascii="宋体" w:hAnsi="宋体"/>
          <w:kern w:val="0"/>
          <w:szCs w:val="21"/>
          <w:highlight w:val="none"/>
          <w:u w:val="single"/>
        </w:rPr>
        <w:t xml:space="preserve">                </w:t>
      </w:r>
      <w:r>
        <w:rPr>
          <w:rFonts w:hint="eastAsia" w:ascii="宋体" w:hAnsi="宋体"/>
          <w:kern w:val="0"/>
          <w:szCs w:val="21"/>
          <w:highlight w:val="none"/>
        </w:rPr>
        <w:t>（项目名称）</w:t>
      </w:r>
      <w:r>
        <w:rPr>
          <w:rFonts w:hint="eastAsia" w:ascii="宋体" w:hAnsi="宋体"/>
          <w:kern w:val="0"/>
          <w:szCs w:val="21"/>
          <w:highlight w:val="none"/>
          <w:lang w:val="en-US" w:eastAsia="zh-CN"/>
        </w:rPr>
        <w:t>征集</w:t>
      </w:r>
      <w:r>
        <w:rPr>
          <w:rFonts w:hint="eastAsia" w:ascii="宋体" w:hAnsi="宋体"/>
          <w:kern w:val="0"/>
          <w:szCs w:val="21"/>
          <w:highlight w:val="none"/>
        </w:rPr>
        <w:t>文件的一切规定和要求，愿意按该</w:t>
      </w:r>
      <w:r>
        <w:rPr>
          <w:rFonts w:hint="eastAsia" w:ascii="宋体" w:hAnsi="宋体"/>
          <w:kern w:val="0"/>
          <w:szCs w:val="21"/>
          <w:highlight w:val="none"/>
          <w:lang w:eastAsia="zh-CN"/>
        </w:rPr>
        <w:t>征集文件</w:t>
      </w:r>
      <w:r>
        <w:rPr>
          <w:rFonts w:hint="eastAsia" w:ascii="宋体" w:hAnsi="宋体"/>
          <w:kern w:val="0"/>
          <w:szCs w:val="21"/>
          <w:highlight w:val="none"/>
        </w:rPr>
        <w:t>的要求参加投标。</w:t>
      </w:r>
    </w:p>
    <w:p w14:paraId="0DB41A51">
      <w:pPr>
        <w:widowControl/>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2、投标文件中所有关于供应商资格的文件、证明、陈述均是真实的、准确的。若有违背，我公司承担由此而产生的一切后果及采购人认为有必要的一切处罚措施。</w:t>
      </w:r>
    </w:p>
    <w:p w14:paraId="070C66ED">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kern w:val="0"/>
          <w:szCs w:val="21"/>
          <w:highlight w:val="none"/>
        </w:rPr>
        <w:t>3、我公司参加政府采购活动前3年内在经营活动中没有重大违法记录</w:t>
      </w:r>
      <w:r>
        <w:rPr>
          <w:rFonts w:hint="eastAsia" w:ascii="宋体" w:hAnsi="宋体" w:cs="宋体"/>
          <w:kern w:val="0"/>
          <w:szCs w:val="21"/>
          <w:highlight w:val="none"/>
        </w:rPr>
        <w:t>；没有处于被责令停业，财产被接管、冻结及破产状态；供应商产品没有发生过比较严重的质量问题</w:t>
      </w:r>
      <w:r>
        <w:rPr>
          <w:rFonts w:hint="eastAsia" w:ascii="宋体" w:hAnsi="宋体"/>
          <w:szCs w:val="21"/>
          <w:highlight w:val="none"/>
        </w:rPr>
        <w:t>。</w:t>
      </w:r>
    </w:p>
    <w:p w14:paraId="225018F8">
      <w:pPr>
        <w:widowControl/>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4、我公司承诺在投标报价时已充分考虑时间跨度和价格波动因素，在合同有效期限内完全按照中标价和合同条款要求运货与结算。若有违背，我公司承担由此而产生的一切后果。</w:t>
      </w:r>
    </w:p>
    <w:p w14:paraId="433E2905">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5、我公司承诺在该项目投标活动中，严格遵守法律法规。若有违背，我公司承担由此而产生的一切后果。</w:t>
      </w:r>
    </w:p>
    <w:p w14:paraId="0C9E07E6">
      <w:pPr>
        <w:widowControl/>
        <w:spacing w:line="360" w:lineRule="auto"/>
        <w:ind w:firstLine="432" w:firstLineChars="206"/>
        <w:jc w:val="left"/>
        <w:rPr>
          <w:rFonts w:ascii="宋体" w:hAnsi="宋体"/>
          <w:kern w:val="0"/>
          <w:szCs w:val="21"/>
          <w:highlight w:val="none"/>
        </w:rPr>
      </w:pPr>
      <w:r>
        <w:rPr>
          <w:rFonts w:hint="eastAsia" w:ascii="宋体" w:hAnsi="宋体"/>
          <w:kern w:val="0"/>
          <w:szCs w:val="21"/>
          <w:highlight w:val="none"/>
        </w:rPr>
        <w:t>6、</w:t>
      </w:r>
      <w:r>
        <w:rPr>
          <w:rFonts w:hint="eastAsia" w:ascii="宋体" w:hAnsi="宋体"/>
          <w:bCs/>
          <w:kern w:val="0"/>
          <w:szCs w:val="21"/>
          <w:highlight w:val="none"/>
        </w:rPr>
        <w:t>我公司完全理解本项目</w:t>
      </w:r>
      <w:r>
        <w:rPr>
          <w:rFonts w:hint="eastAsia" w:ascii="宋体" w:hAnsi="宋体"/>
          <w:bCs/>
          <w:kern w:val="0"/>
          <w:szCs w:val="21"/>
          <w:highlight w:val="none"/>
          <w:lang w:eastAsia="zh-CN"/>
        </w:rPr>
        <w:t>征集文件</w:t>
      </w:r>
      <w:r>
        <w:rPr>
          <w:rFonts w:hint="eastAsia" w:ascii="宋体" w:hAnsi="宋体"/>
          <w:bCs/>
          <w:kern w:val="0"/>
          <w:szCs w:val="21"/>
          <w:highlight w:val="none"/>
        </w:rPr>
        <w:t>及其补充通知中规定的一切条款，对招投标程序无任何疑义</w:t>
      </w:r>
      <w:r>
        <w:rPr>
          <w:rFonts w:hint="eastAsia" w:ascii="宋体" w:hAnsi="宋体"/>
          <w:kern w:val="0"/>
          <w:szCs w:val="21"/>
          <w:highlight w:val="none"/>
        </w:rPr>
        <w:t>。</w:t>
      </w:r>
    </w:p>
    <w:p w14:paraId="08766D7D">
      <w:pPr>
        <w:widowControl/>
        <w:spacing w:line="360" w:lineRule="auto"/>
        <w:ind w:firstLine="432" w:firstLineChars="206"/>
        <w:jc w:val="left"/>
        <w:rPr>
          <w:rFonts w:ascii="宋体" w:hAnsi="宋体"/>
          <w:kern w:val="0"/>
          <w:szCs w:val="21"/>
          <w:highlight w:val="none"/>
        </w:rPr>
      </w:pPr>
      <w:r>
        <w:rPr>
          <w:rFonts w:hint="eastAsia" w:ascii="宋体" w:hAnsi="宋体"/>
          <w:kern w:val="0"/>
          <w:szCs w:val="21"/>
          <w:highlight w:val="none"/>
        </w:rPr>
        <w:t>7、我公司承诺，若我公司中标后按甲方要求将履约保证金转入甲方指定账户。</w:t>
      </w:r>
    </w:p>
    <w:p w14:paraId="3DAA3346">
      <w:pPr>
        <w:widowControl/>
        <w:spacing w:line="360" w:lineRule="auto"/>
        <w:ind w:firstLine="432" w:firstLineChars="206"/>
        <w:jc w:val="left"/>
        <w:rPr>
          <w:rFonts w:ascii="宋体" w:hAnsi="宋体"/>
          <w:kern w:val="0"/>
          <w:szCs w:val="21"/>
          <w:highlight w:val="none"/>
        </w:rPr>
      </w:pPr>
      <w:r>
        <w:rPr>
          <w:rFonts w:hint="eastAsia" w:ascii="宋体" w:hAnsi="宋体"/>
          <w:kern w:val="0"/>
          <w:szCs w:val="21"/>
          <w:highlight w:val="none"/>
        </w:rPr>
        <w:t>8、我公司承诺，若我公司中标后按</w:t>
      </w:r>
      <w:r>
        <w:rPr>
          <w:rFonts w:hint="eastAsia" w:ascii="宋体" w:hAnsi="宋体"/>
          <w:kern w:val="0"/>
          <w:szCs w:val="21"/>
          <w:highlight w:val="none"/>
          <w:lang w:eastAsia="zh-CN"/>
        </w:rPr>
        <w:t>征集文件</w:t>
      </w:r>
      <w:r>
        <w:rPr>
          <w:rFonts w:hint="eastAsia" w:ascii="宋体" w:hAnsi="宋体"/>
          <w:kern w:val="0"/>
          <w:szCs w:val="21"/>
          <w:highlight w:val="none"/>
        </w:rPr>
        <w:t>要求足额缴纳采购代理服务费。</w:t>
      </w:r>
    </w:p>
    <w:p w14:paraId="4CB6C868">
      <w:pPr>
        <w:widowControl/>
        <w:spacing w:line="360" w:lineRule="auto"/>
        <w:ind w:firstLine="432" w:firstLineChars="206"/>
        <w:jc w:val="left"/>
        <w:rPr>
          <w:rFonts w:ascii="宋体" w:hAnsi="宋体"/>
          <w:kern w:val="0"/>
          <w:szCs w:val="21"/>
          <w:highlight w:val="none"/>
        </w:rPr>
      </w:pPr>
      <w:r>
        <w:rPr>
          <w:rFonts w:hint="eastAsia" w:ascii="宋体" w:hAnsi="宋体"/>
          <w:kern w:val="0"/>
          <w:szCs w:val="21"/>
          <w:highlight w:val="none"/>
        </w:rPr>
        <w:t>9、我公司承诺，不属于被政府列入取消投标资格记录期间的企业或个人。</w:t>
      </w:r>
    </w:p>
    <w:p w14:paraId="1372AA1D">
      <w:pPr>
        <w:spacing w:line="480" w:lineRule="auto"/>
        <w:rPr>
          <w:rFonts w:ascii="宋体" w:hAnsi="宋体"/>
          <w:b/>
          <w:kern w:val="0"/>
          <w:szCs w:val="21"/>
          <w:highlight w:val="none"/>
        </w:rPr>
      </w:pPr>
    </w:p>
    <w:p w14:paraId="159C64CA">
      <w:pPr>
        <w:widowControl/>
        <w:spacing w:before="120" w:line="360" w:lineRule="auto"/>
        <w:jc w:val="left"/>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40A05AA4">
      <w:pPr>
        <w:widowControl/>
        <w:spacing w:before="120" w:line="360" w:lineRule="auto"/>
        <w:jc w:val="left"/>
        <w:rPr>
          <w:rFonts w:ascii="宋体" w:hAnsi="宋体"/>
          <w:kern w:val="0"/>
          <w:szCs w:val="21"/>
          <w:highlight w:val="none"/>
          <w:u w:val="single"/>
        </w:rPr>
      </w:pPr>
    </w:p>
    <w:p w14:paraId="5524EAA0">
      <w:pPr>
        <w:widowControl/>
        <w:spacing w:line="360" w:lineRule="auto"/>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00A35742">
      <w:pPr>
        <w:widowControl/>
        <w:jc w:val="left"/>
        <w:rPr>
          <w:rFonts w:ascii="宋体" w:hAnsi="宋体"/>
          <w:kern w:val="0"/>
          <w:szCs w:val="21"/>
          <w:highlight w:val="none"/>
        </w:rPr>
      </w:pPr>
    </w:p>
    <w:p w14:paraId="0642EAD0">
      <w:pPr>
        <w:widowControl/>
        <w:spacing w:line="360" w:lineRule="auto"/>
        <w:jc w:val="left"/>
        <w:rPr>
          <w:rFonts w:ascii="宋体" w:hAnsi="宋体"/>
          <w:kern w:val="0"/>
          <w:szCs w:val="21"/>
          <w:highlight w:val="none"/>
        </w:rPr>
      </w:pPr>
    </w:p>
    <w:p w14:paraId="7A981B5A">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70A01D0A">
      <w:pPr>
        <w:widowControl/>
        <w:spacing w:line="360" w:lineRule="auto"/>
        <w:jc w:val="left"/>
        <w:rPr>
          <w:rFonts w:ascii="宋体" w:hAnsi="宋体"/>
          <w:kern w:val="0"/>
          <w:szCs w:val="21"/>
          <w:highlight w:val="none"/>
        </w:rPr>
      </w:pPr>
    </w:p>
    <w:p w14:paraId="24063414">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68A2388D">
      <w:pPr>
        <w:widowControl/>
        <w:spacing w:line="360" w:lineRule="auto"/>
        <w:jc w:val="right"/>
        <w:rPr>
          <w:rFonts w:ascii="宋体" w:hAnsi="宋体"/>
          <w:kern w:val="0"/>
          <w:szCs w:val="21"/>
          <w:highlight w:val="none"/>
        </w:rPr>
      </w:pPr>
      <w:r>
        <w:rPr>
          <w:rFonts w:hint="eastAsia" w:ascii="宋体" w:hAnsi="宋体"/>
          <w:kern w:val="0"/>
          <w:szCs w:val="21"/>
          <w:highlight w:val="none"/>
        </w:rPr>
        <w:t xml:space="preserve">                                                 年  月   日</w:t>
      </w:r>
    </w:p>
    <w:p w14:paraId="2CEE70E5">
      <w:pPr>
        <w:rPr>
          <w:highlight w:val="none"/>
        </w:rPr>
      </w:pPr>
    </w:p>
    <w:p w14:paraId="2102DAC5">
      <w:pPr>
        <w:rPr>
          <w:highlight w:val="none"/>
        </w:rPr>
      </w:pPr>
    </w:p>
    <w:p w14:paraId="12EC56B3">
      <w:pPr>
        <w:rPr>
          <w:highlight w:val="none"/>
        </w:rPr>
      </w:pPr>
    </w:p>
    <w:p w14:paraId="6FF3EB42">
      <w:pPr>
        <w:rPr>
          <w:rFonts w:ascii="宋体" w:hAnsi="宋体"/>
          <w:b/>
          <w:kern w:val="0"/>
          <w:sz w:val="28"/>
          <w:highlight w:val="none"/>
        </w:rPr>
      </w:pPr>
      <w:r>
        <w:rPr>
          <w:rFonts w:hint="eastAsia" w:ascii="宋体" w:hAnsi="宋体"/>
          <w:b/>
          <w:kern w:val="0"/>
          <w:sz w:val="28"/>
          <w:highlight w:val="none"/>
        </w:rPr>
        <w:t>附件十一</w:t>
      </w:r>
    </w:p>
    <w:p w14:paraId="2F676D76">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政府采购促进中小企业发展管理办法</w:t>
      </w:r>
    </w:p>
    <w:p w14:paraId="1D0E1F01">
      <w:pPr>
        <w:spacing w:line="312" w:lineRule="auto"/>
        <w:jc w:val="center"/>
        <w:rPr>
          <w:rFonts w:ascii="宋体" w:hAnsi="宋体"/>
          <w:b/>
          <w:szCs w:val="21"/>
          <w:highlight w:val="none"/>
        </w:rPr>
      </w:pPr>
      <w:r>
        <w:rPr>
          <w:rFonts w:hint="eastAsia" w:ascii="宋体" w:hAnsi="宋体"/>
          <w:b/>
          <w:szCs w:val="21"/>
          <w:highlight w:val="none"/>
        </w:rPr>
        <w:t>财库〔2020〕46号</w:t>
      </w:r>
    </w:p>
    <w:p w14:paraId="1ADEFD2B">
      <w:pPr>
        <w:spacing w:line="312" w:lineRule="auto"/>
        <w:rPr>
          <w:rFonts w:ascii="宋体" w:hAnsi="宋体"/>
          <w:szCs w:val="21"/>
          <w:highlight w:val="none"/>
        </w:rPr>
      </w:pPr>
      <w:r>
        <w:rPr>
          <w:rFonts w:hint="eastAsia" w:ascii="宋体" w:hAnsi="宋体"/>
          <w:szCs w:val="21"/>
          <w:highlight w:val="none"/>
        </w:rPr>
        <w:t>　　第一条 为了发挥政府采购的政策功能，促进中小企业健康发展，根据《中华人民共和国政府采购法》、《中华人民共和国中小企业促进法》等有关法律法规，制定本办法。</w:t>
      </w:r>
    </w:p>
    <w:p w14:paraId="4D5FE795">
      <w:pPr>
        <w:spacing w:line="312" w:lineRule="auto"/>
        <w:rPr>
          <w:rFonts w:ascii="宋体" w:hAnsi="宋体"/>
          <w:szCs w:val="21"/>
          <w:highlight w:val="none"/>
        </w:rPr>
      </w:pPr>
      <w:r>
        <w:rPr>
          <w:rFonts w:hint="eastAsia" w:ascii="宋体" w:hAnsi="宋体"/>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704C24">
      <w:pPr>
        <w:spacing w:line="312" w:lineRule="auto"/>
        <w:ind w:firstLine="420" w:firstLineChars="200"/>
        <w:rPr>
          <w:rFonts w:ascii="宋体" w:hAnsi="宋体"/>
          <w:szCs w:val="21"/>
          <w:highlight w:val="none"/>
        </w:rPr>
      </w:pPr>
      <w:r>
        <w:rPr>
          <w:rFonts w:hint="eastAsia" w:ascii="宋体" w:hAnsi="宋体"/>
          <w:szCs w:val="21"/>
          <w:highlight w:val="none"/>
        </w:rPr>
        <w:t>符合中小企业划分标准的个体工商户，在政府采购活动中视同中小企业。</w:t>
      </w:r>
    </w:p>
    <w:p w14:paraId="04C4EBA5">
      <w:pPr>
        <w:spacing w:line="312" w:lineRule="auto"/>
        <w:rPr>
          <w:rFonts w:ascii="宋体" w:hAnsi="宋体"/>
          <w:szCs w:val="21"/>
          <w:highlight w:val="none"/>
        </w:rPr>
      </w:pPr>
      <w:r>
        <w:rPr>
          <w:rFonts w:hint="eastAsia" w:ascii="宋体" w:hAnsi="宋体"/>
          <w:szCs w:val="21"/>
          <w:highlight w:val="none"/>
        </w:rPr>
        <w:t>　  第三条 采购人在政府采购活动中应当通过加强采购需求管理，落实预留采购份额、价格评审优惠、优先采购等措施，提高中小企业在政府采购中的份额，支持中小企业发展。</w:t>
      </w:r>
    </w:p>
    <w:p w14:paraId="3A85FDDE">
      <w:pPr>
        <w:spacing w:line="312" w:lineRule="auto"/>
        <w:rPr>
          <w:rFonts w:ascii="宋体" w:hAnsi="宋体"/>
          <w:szCs w:val="21"/>
          <w:highlight w:val="none"/>
        </w:rPr>
      </w:pPr>
      <w:r>
        <w:rPr>
          <w:rFonts w:hint="eastAsia" w:ascii="宋体" w:hAnsi="宋体"/>
          <w:szCs w:val="21"/>
          <w:highlight w:val="none"/>
        </w:rPr>
        <w:t>　　第四条 在政府采购活动中，供应商提供的货物、工程或者服务符合下列情形的，享受本办法规定的中小企业扶持政策：</w:t>
      </w:r>
    </w:p>
    <w:p w14:paraId="75642942">
      <w:pPr>
        <w:spacing w:line="312" w:lineRule="auto"/>
        <w:ind w:firstLine="420" w:firstLineChars="200"/>
        <w:rPr>
          <w:rFonts w:ascii="宋体" w:hAnsi="宋体"/>
          <w:szCs w:val="21"/>
          <w:highlight w:val="none"/>
        </w:rPr>
      </w:pPr>
      <w:r>
        <w:rPr>
          <w:rFonts w:hint="eastAsia" w:ascii="宋体" w:hAnsi="宋体"/>
          <w:szCs w:val="21"/>
          <w:highlight w:val="none"/>
        </w:rPr>
        <w:t>（一）在货物采购项目中，货物由中小企业制造，即货物由中小企业生产且使用该中小企业商号或者注册商标；</w:t>
      </w:r>
    </w:p>
    <w:p w14:paraId="53F0528D">
      <w:pPr>
        <w:spacing w:line="312" w:lineRule="auto"/>
        <w:ind w:firstLine="420" w:firstLineChars="200"/>
        <w:rPr>
          <w:highlight w:val="none"/>
        </w:rPr>
      </w:pPr>
      <w:r>
        <w:rPr>
          <w:rFonts w:hint="eastAsia"/>
          <w:highlight w:val="none"/>
        </w:rPr>
        <w:t>（二）在工程采购项目中，工程由中小企业承建，即工程施工单位为中小企业；</w:t>
      </w:r>
    </w:p>
    <w:p w14:paraId="08FAD326">
      <w:pPr>
        <w:spacing w:line="312" w:lineRule="auto"/>
        <w:ind w:firstLine="420" w:firstLineChars="200"/>
        <w:rPr>
          <w:highlight w:val="none"/>
        </w:rPr>
      </w:pPr>
      <w:r>
        <w:rPr>
          <w:rFonts w:hint="eastAsia"/>
          <w:highlight w:val="none"/>
        </w:rPr>
        <w:t>（三）在服务采购项目中，服务由中小企业承接，即提供服务的人员为中小企业依照《中华人民共和国劳动合同法》订立劳动合同的从业人员。</w:t>
      </w:r>
    </w:p>
    <w:p w14:paraId="65E9768B">
      <w:pPr>
        <w:spacing w:line="312" w:lineRule="auto"/>
        <w:ind w:firstLine="420" w:firstLineChars="200"/>
        <w:rPr>
          <w:highlight w:val="none"/>
        </w:rPr>
      </w:pPr>
      <w:r>
        <w:rPr>
          <w:rFonts w:hint="eastAsia"/>
          <w:highlight w:val="none"/>
        </w:rPr>
        <w:t>在货物采购项目中，供应商提供的货物既有中小企业制造货物，也有大型企业制造货物的，不享受本办法规定的中小企业扶持政策。</w:t>
      </w:r>
    </w:p>
    <w:p w14:paraId="684C710A">
      <w:pPr>
        <w:spacing w:line="312" w:lineRule="auto"/>
        <w:ind w:firstLine="420" w:firstLineChars="200"/>
        <w:rPr>
          <w:highlight w:val="none"/>
        </w:rPr>
      </w:pPr>
      <w:r>
        <w:rPr>
          <w:rFonts w:hint="eastAsia"/>
          <w:highlight w:val="none"/>
        </w:rPr>
        <w:t>以联合体形式参加政府采购</w:t>
      </w:r>
      <w:r>
        <w:rPr>
          <w:rFonts w:hint="eastAsia"/>
          <w:highlight w:val="none"/>
        </w:rPr>
        <w:t>活动，联合体各方均为中小企业的，联合体视同中小企业。其中，联合体各方均为小微企业的，联合体视同小微企业。</w:t>
      </w:r>
    </w:p>
    <w:p w14:paraId="1485FD3A">
      <w:pPr>
        <w:spacing w:line="312" w:lineRule="auto"/>
        <w:ind w:firstLine="420" w:firstLineChars="200"/>
        <w:rPr>
          <w:highlight w:val="none"/>
        </w:rPr>
      </w:pPr>
      <w:r>
        <w:rPr>
          <w:rFonts w:hint="eastAsia"/>
          <w:highlight w:val="none"/>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35DB280">
      <w:pPr>
        <w:spacing w:line="312" w:lineRule="auto"/>
        <w:ind w:firstLine="420" w:firstLineChars="200"/>
        <w:rPr>
          <w:highlight w:val="none"/>
        </w:rPr>
      </w:pPr>
      <w:r>
        <w:rPr>
          <w:rFonts w:hint="eastAsia"/>
          <w:highlight w:val="none"/>
        </w:rPr>
        <w:t>第六条主管预算单位应当组织评估本部门及所属单位政府采购项目，统筹制定面向中小企业预留采购份额的具体方案，对适宜由中小企业提供的采购项目和采购标，预留采购份额专门面向中小企业采购，并在政府采购预算中单独列示。</w:t>
      </w:r>
    </w:p>
    <w:p w14:paraId="488C90B4">
      <w:pPr>
        <w:spacing w:line="312" w:lineRule="auto"/>
        <w:ind w:firstLine="420" w:firstLineChars="200"/>
        <w:rPr>
          <w:highlight w:val="none"/>
        </w:rPr>
      </w:pPr>
      <w:r>
        <w:rPr>
          <w:rFonts w:hint="eastAsia"/>
          <w:highlight w:val="none"/>
        </w:rPr>
        <w:t>符合下列情形之一的，可不专门面向中小企业预留采购份额：</w:t>
      </w:r>
    </w:p>
    <w:p w14:paraId="4F92E179">
      <w:pPr>
        <w:spacing w:line="312" w:lineRule="auto"/>
        <w:ind w:firstLine="420" w:firstLineChars="200"/>
        <w:rPr>
          <w:highlight w:val="none"/>
        </w:rPr>
      </w:pPr>
      <w:r>
        <w:rPr>
          <w:rFonts w:hint="eastAsia"/>
          <w:highlight w:val="none"/>
        </w:rPr>
        <w:t>（一）法律法规和国家有关政策明确规定优先或者应当面向事业单位、社会组织等非企业主体采购的；</w:t>
      </w:r>
    </w:p>
    <w:p w14:paraId="0D1BCFB3">
      <w:pPr>
        <w:spacing w:line="312" w:lineRule="auto"/>
        <w:ind w:firstLine="420" w:firstLineChars="200"/>
        <w:rPr>
          <w:highlight w:val="none"/>
        </w:rPr>
      </w:pPr>
      <w:r>
        <w:rPr>
          <w:rFonts w:hint="eastAsia"/>
          <w:highlight w:val="none"/>
        </w:rPr>
        <w:t>（二）因确需使用不可替代的专利、专有技术，基础设施限制，或者提供特定公共服务等原因，只能从中小企业之外的供应商处采购的；</w:t>
      </w:r>
    </w:p>
    <w:p w14:paraId="4B7E70BA">
      <w:pPr>
        <w:spacing w:line="312" w:lineRule="auto"/>
        <w:rPr>
          <w:rFonts w:ascii="宋体" w:hAnsi="宋体"/>
          <w:szCs w:val="21"/>
          <w:highlight w:val="none"/>
        </w:rPr>
      </w:pPr>
      <w:r>
        <w:rPr>
          <w:rFonts w:hint="eastAsia" w:ascii="宋体" w:hAnsi="宋体"/>
          <w:szCs w:val="21"/>
          <w:highlight w:val="none"/>
        </w:rPr>
        <w:t>　  （三）按照本办法规定预留采购份额无法确保充分供应、充分竞争，或者存在可能影响政府采购目标实现的情形；</w:t>
      </w:r>
    </w:p>
    <w:p w14:paraId="02C208E9">
      <w:pPr>
        <w:spacing w:line="312" w:lineRule="auto"/>
        <w:ind w:firstLine="420" w:firstLineChars="200"/>
        <w:rPr>
          <w:rFonts w:ascii="宋体" w:hAnsi="宋体"/>
          <w:szCs w:val="21"/>
          <w:highlight w:val="none"/>
        </w:rPr>
      </w:pPr>
      <w:r>
        <w:rPr>
          <w:rFonts w:hint="eastAsia" w:ascii="宋体" w:hAnsi="宋体"/>
          <w:szCs w:val="21"/>
          <w:highlight w:val="none"/>
        </w:rPr>
        <w:t>（四）框架协议采购项目；</w:t>
      </w:r>
    </w:p>
    <w:p w14:paraId="514F9AA6">
      <w:pPr>
        <w:spacing w:line="312" w:lineRule="auto"/>
        <w:ind w:firstLine="420" w:firstLineChars="200"/>
        <w:rPr>
          <w:rFonts w:ascii="宋体" w:hAnsi="宋体"/>
          <w:szCs w:val="21"/>
          <w:highlight w:val="none"/>
        </w:rPr>
      </w:pPr>
      <w:r>
        <w:rPr>
          <w:rFonts w:hint="eastAsia" w:ascii="宋体" w:hAnsi="宋体"/>
          <w:szCs w:val="21"/>
          <w:highlight w:val="none"/>
        </w:rPr>
        <w:t>（五）省级以上人民政府财政部门规定的其他情形。</w:t>
      </w:r>
    </w:p>
    <w:p w14:paraId="1947FB76">
      <w:pPr>
        <w:spacing w:line="312" w:lineRule="auto"/>
        <w:ind w:firstLine="420" w:firstLineChars="200"/>
        <w:rPr>
          <w:rFonts w:ascii="宋体" w:hAnsi="宋体"/>
          <w:szCs w:val="21"/>
          <w:highlight w:val="none"/>
        </w:rPr>
      </w:pPr>
      <w:r>
        <w:rPr>
          <w:rFonts w:hint="eastAsia" w:ascii="宋体" w:hAnsi="宋体"/>
          <w:szCs w:val="21"/>
          <w:highlight w:val="none"/>
        </w:rPr>
        <w:t>除上述情形外，其他均为适宜由中小企业提供的情形。</w:t>
      </w:r>
    </w:p>
    <w:p w14:paraId="55EAF341">
      <w:pPr>
        <w:spacing w:line="312" w:lineRule="auto"/>
        <w:ind w:firstLine="420" w:firstLineChars="200"/>
        <w:rPr>
          <w:rFonts w:ascii="宋体" w:hAnsi="宋体"/>
          <w:szCs w:val="21"/>
          <w:highlight w:val="none"/>
        </w:rPr>
      </w:pPr>
      <w:r>
        <w:rPr>
          <w:rFonts w:hint="eastAsia" w:ascii="宋体" w:hAnsi="宋体"/>
          <w:szCs w:val="21"/>
          <w:highlight w:val="none"/>
        </w:rPr>
        <w:t>第七条 采购限额标准以上，200万元以下的货物和服务采购项目、400万元以下的工程采购项目，适宜由中小企业提供的，采购人应当专门面向中小企业采购。</w:t>
      </w:r>
    </w:p>
    <w:p w14:paraId="1B6AD8C2">
      <w:pPr>
        <w:spacing w:line="312" w:lineRule="auto"/>
        <w:ind w:firstLine="420" w:firstLineChars="200"/>
        <w:rPr>
          <w:rFonts w:ascii="宋体" w:hAnsi="宋体"/>
          <w:szCs w:val="21"/>
          <w:highlight w:val="none"/>
        </w:rPr>
      </w:pPr>
      <w:r>
        <w:rPr>
          <w:rFonts w:hint="eastAsia" w:ascii="宋体" w:hAnsi="宋体"/>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C2D4F51">
      <w:pPr>
        <w:spacing w:line="312" w:lineRule="auto"/>
        <w:ind w:firstLine="420" w:firstLineChars="200"/>
        <w:rPr>
          <w:rFonts w:ascii="宋体" w:hAnsi="宋体"/>
          <w:szCs w:val="21"/>
          <w:highlight w:val="none"/>
        </w:rPr>
      </w:pPr>
      <w:r>
        <w:rPr>
          <w:rFonts w:hint="eastAsia" w:ascii="宋体" w:hAnsi="宋体"/>
          <w:szCs w:val="21"/>
          <w:highlight w:val="none"/>
        </w:rPr>
        <w:t>（一）将采购项目整体或者设置采购标专门面向中小企业采购；</w:t>
      </w:r>
    </w:p>
    <w:p w14:paraId="4DC0F80C">
      <w:pPr>
        <w:spacing w:line="312" w:lineRule="auto"/>
        <w:ind w:firstLine="420" w:firstLineChars="200"/>
        <w:rPr>
          <w:rFonts w:ascii="宋体" w:hAnsi="宋体"/>
          <w:szCs w:val="21"/>
          <w:highlight w:val="none"/>
        </w:rPr>
      </w:pPr>
      <w:r>
        <w:rPr>
          <w:rFonts w:hint="eastAsia" w:ascii="宋体" w:hAnsi="宋体"/>
          <w:szCs w:val="21"/>
          <w:highlight w:val="none"/>
        </w:rPr>
        <w:t>（二）要求供应商以联合体形式参加采购活动，且联合体中中小企业承担的部分达到一定比例；</w:t>
      </w:r>
    </w:p>
    <w:p w14:paraId="5B1B4EB2">
      <w:pPr>
        <w:spacing w:line="312" w:lineRule="auto"/>
        <w:ind w:firstLine="420" w:firstLineChars="200"/>
        <w:rPr>
          <w:rFonts w:ascii="宋体" w:hAnsi="宋体"/>
          <w:szCs w:val="21"/>
          <w:highlight w:val="none"/>
        </w:rPr>
      </w:pPr>
      <w:r>
        <w:rPr>
          <w:rFonts w:hint="eastAsia" w:ascii="宋体" w:hAnsi="宋体"/>
          <w:szCs w:val="21"/>
          <w:highlight w:val="none"/>
        </w:rPr>
        <w:t>（三）要求获得采购合同的供应商将采购项目中的一定比例分标给一家或者多家中小企业。</w:t>
      </w:r>
    </w:p>
    <w:p w14:paraId="42827DD3">
      <w:pPr>
        <w:spacing w:line="312" w:lineRule="auto"/>
        <w:ind w:firstLine="420" w:firstLineChars="200"/>
        <w:rPr>
          <w:rFonts w:ascii="宋体" w:hAnsi="宋体"/>
          <w:szCs w:val="21"/>
          <w:highlight w:val="none"/>
        </w:rPr>
      </w:pPr>
      <w:r>
        <w:rPr>
          <w:rFonts w:hint="eastAsia" w:ascii="宋体" w:hAnsi="宋体"/>
          <w:szCs w:val="21"/>
          <w:highlight w:val="none"/>
        </w:rPr>
        <w:t>组成联合体或者接受分标合同的中小企业与联合体内其他企业、分标企业之间不得存在直接控股、管理关系。</w:t>
      </w:r>
    </w:p>
    <w:p w14:paraId="6D045590">
      <w:pPr>
        <w:spacing w:line="312" w:lineRule="auto"/>
        <w:ind w:firstLine="420" w:firstLineChars="200"/>
        <w:rPr>
          <w:rFonts w:ascii="宋体" w:hAnsi="宋体"/>
          <w:szCs w:val="21"/>
          <w:highlight w:val="none"/>
        </w:rPr>
      </w:pPr>
      <w:r>
        <w:rPr>
          <w:rFonts w:hint="eastAsia" w:ascii="宋体" w:hAnsi="宋体"/>
          <w:szCs w:val="21"/>
          <w:highlight w:val="none"/>
        </w:rPr>
        <w:t>第九条 对于经主管预算单位统筹后未预留份额专门面向中小企业采购的采购项目，以及预留份额项目中的非预留部分采购标，采购人、采购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211245B">
      <w:pPr>
        <w:spacing w:line="312" w:lineRule="auto"/>
        <w:ind w:firstLine="420" w:firstLineChars="200"/>
        <w:rPr>
          <w:rFonts w:ascii="宋体" w:hAnsi="宋体"/>
          <w:szCs w:val="21"/>
          <w:highlight w:val="none"/>
        </w:rPr>
      </w:pPr>
      <w:r>
        <w:rPr>
          <w:rFonts w:hint="eastAsia" w:ascii="宋体" w:hAnsi="宋体"/>
          <w:szCs w:val="21"/>
          <w:highlight w:val="none"/>
        </w:rPr>
        <w:t>接受大中型企业与小微企业组成联合体或者允许大中型企业向一家或者多家小微企业分标的采购项目，对于联合协议或者分标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标的小微企业与联合体内其他企业、分标企业之间存在直接控股、管理关系的，不享受价格扣除优惠政策。</w:t>
      </w:r>
    </w:p>
    <w:p w14:paraId="3052D5B4">
      <w:pPr>
        <w:spacing w:line="312" w:lineRule="auto"/>
        <w:ind w:firstLine="420" w:firstLineChars="200"/>
        <w:rPr>
          <w:rFonts w:ascii="宋体" w:hAnsi="宋体"/>
          <w:szCs w:val="21"/>
          <w:highlight w:val="none"/>
        </w:rPr>
      </w:pPr>
      <w:r>
        <w:rPr>
          <w:rFonts w:hint="eastAsia" w:ascii="宋体" w:hAnsi="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2895DBF">
      <w:pPr>
        <w:spacing w:line="312" w:lineRule="auto"/>
        <w:ind w:firstLine="420" w:firstLineChars="200"/>
        <w:rPr>
          <w:rFonts w:ascii="宋体" w:hAnsi="宋体"/>
          <w:szCs w:val="21"/>
          <w:highlight w:val="none"/>
        </w:rPr>
      </w:pPr>
      <w:r>
        <w:rPr>
          <w:rFonts w:hint="eastAsia" w:ascii="宋体" w:hAnsi="宋体"/>
          <w:szCs w:val="21"/>
          <w:highlight w:val="none"/>
        </w:rPr>
        <w:t>第十条 采购人应当严格按照本办法规定和主管预算单位制定的预留采购份额具体方案开展采购活动。预留份额的采购项目或者采购标，通过发布公告方式邀请供应商后，符合资格条件的中小企业数量不足3家的，应当中止采购活动，视同未预留份额的采购项目或者采购标，按照本办法第九条有关规定重新组织采购活动。</w:t>
      </w:r>
    </w:p>
    <w:p w14:paraId="22CA74D3">
      <w:pPr>
        <w:spacing w:line="312" w:lineRule="auto"/>
        <w:ind w:firstLine="420" w:firstLineChars="200"/>
        <w:rPr>
          <w:rFonts w:ascii="宋体" w:hAnsi="宋体"/>
          <w:szCs w:val="21"/>
          <w:highlight w:val="none"/>
        </w:rPr>
      </w:pPr>
      <w:r>
        <w:rPr>
          <w:rFonts w:hint="eastAsia" w:ascii="宋体" w:hAnsi="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8B8E0D9">
      <w:pPr>
        <w:spacing w:line="312" w:lineRule="auto"/>
        <w:ind w:firstLine="420" w:firstLineChars="200"/>
        <w:rPr>
          <w:rFonts w:ascii="宋体" w:hAnsi="宋体"/>
          <w:szCs w:val="21"/>
          <w:highlight w:val="none"/>
        </w:rPr>
      </w:pPr>
      <w:r>
        <w:rPr>
          <w:rFonts w:hint="eastAsia" w:ascii="宋体" w:hAnsi="宋体"/>
          <w:szCs w:val="21"/>
          <w:highlight w:val="none"/>
        </w:rPr>
        <w:t>第十二条 采购项目涉及中小企业采购的，采购文件应当明确以下内容：</w:t>
      </w:r>
    </w:p>
    <w:p w14:paraId="70592366">
      <w:pPr>
        <w:spacing w:line="312" w:lineRule="auto"/>
        <w:ind w:firstLine="420" w:firstLineChars="200"/>
        <w:rPr>
          <w:rFonts w:ascii="宋体" w:hAnsi="宋体"/>
          <w:szCs w:val="21"/>
          <w:highlight w:val="none"/>
        </w:rPr>
      </w:pPr>
      <w:r>
        <w:rPr>
          <w:rFonts w:hint="eastAsia" w:ascii="宋体" w:hAnsi="宋体"/>
          <w:szCs w:val="21"/>
          <w:highlight w:val="none"/>
        </w:rPr>
        <w:t>（一）预留份额的采购项目或者采购标，明确该项目或相关采购标专门面向中小企业采购，以及相关标的及预算金额；</w:t>
      </w:r>
    </w:p>
    <w:p w14:paraId="727122E7">
      <w:pPr>
        <w:spacing w:line="312" w:lineRule="auto"/>
        <w:ind w:firstLine="420" w:firstLineChars="200"/>
        <w:rPr>
          <w:rFonts w:ascii="宋体" w:hAnsi="宋体"/>
          <w:szCs w:val="21"/>
          <w:highlight w:val="none"/>
        </w:rPr>
      </w:pPr>
      <w:r>
        <w:rPr>
          <w:rFonts w:hint="eastAsia" w:ascii="宋体" w:hAnsi="宋体"/>
          <w:szCs w:val="21"/>
          <w:highlight w:val="none"/>
        </w:rPr>
        <w:t>（二）要求以联合体形式参加或者合同分标的，明确联合协议或者分标意向协议中中小企业合同金额应当达到的比例，并作为供应商资格条件；</w:t>
      </w:r>
    </w:p>
    <w:p w14:paraId="59E20A7B">
      <w:pPr>
        <w:spacing w:line="312" w:lineRule="auto"/>
        <w:ind w:firstLine="420" w:firstLineChars="200"/>
        <w:rPr>
          <w:rFonts w:ascii="宋体" w:hAnsi="宋体"/>
          <w:szCs w:val="21"/>
          <w:highlight w:val="none"/>
        </w:rPr>
      </w:pPr>
      <w:r>
        <w:rPr>
          <w:rFonts w:hint="eastAsia" w:ascii="宋体" w:hAnsi="宋体"/>
          <w:szCs w:val="21"/>
          <w:highlight w:val="none"/>
        </w:rPr>
        <w:t>（三）非预留份额的采购项目或者采购标，明确有关价格扣除比例或者价格分加分比例；</w:t>
      </w:r>
    </w:p>
    <w:p w14:paraId="1C9691D9">
      <w:pPr>
        <w:spacing w:line="312" w:lineRule="auto"/>
        <w:ind w:firstLine="420" w:firstLineChars="200"/>
        <w:rPr>
          <w:rFonts w:ascii="宋体" w:hAnsi="宋体"/>
          <w:szCs w:val="21"/>
          <w:highlight w:val="none"/>
        </w:rPr>
      </w:pPr>
      <w:r>
        <w:rPr>
          <w:rFonts w:hint="eastAsia" w:ascii="宋体" w:hAnsi="宋体"/>
          <w:szCs w:val="21"/>
          <w:highlight w:val="none"/>
        </w:rPr>
        <w:t>（四）规定依据本办法规定享受扶持政策获得政府采购合同的，小微企业不得将合同分标给大中型企业，中型企业不得将合同分标给大型企业；</w:t>
      </w:r>
    </w:p>
    <w:p w14:paraId="5E27E035">
      <w:pPr>
        <w:spacing w:line="312" w:lineRule="auto"/>
        <w:ind w:firstLine="420" w:firstLineChars="200"/>
        <w:rPr>
          <w:rFonts w:ascii="宋体" w:hAnsi="宋体"/>
          <w:szCs w:val="21"/>
          <w:highlight w:val="none"/>
        </w:rPr>
      </w:pPr>
      <w:r>
        <w:rPr>
          <w:rFonts w:hint="eastAsia" w:ascii="宋体" w:hAnsi="宋体"/>
          <w:szCs w:val="21"/>
          <w:highlight w:val="none"/>
        </w:rPr>
        <w:t>（五）采购人认为具备相关条件的，明确对中小企业在资金支付期限、预付款比例等方面的优惠措施；</w:t>
      </w:r>
    </w:p>
    <w:p w14:paraId="20CC0E3E">
      <w:pPr>
        <w:spacing w:line="312" w:lineRule="auto"/>
        <w:ind w:firstLine="420" w:firstLineChars="200"/>
        <w:rPr>
          <w:rFonts w:ascii="宋体" w:hAnsi="宋体"/>
          <w:szCs w:val="21"/>
          <w:highlight w:val="none"/>
        </w:rPr>
      </w:pPr>
      <w:r>
        <w:rPr>
          <w:rFonts w:hint="eastAsia" w:ascii="宋体" w:hAnsi="宋体"/>
          <w:szCs w:val="21"/>
          <w:highlight w:val="none"/>
        </w:rPr>
        <w:t>（六）明确采购标的对应的中小企业划分标准所属行业；</w:t>
      </w:r>
    </w:p>
    <w:p w14:paraId="793481F7">
      <w:pPr>
        <w:spacing w:line="312" w:lineRule="auto"/>
        <w:ind w:firstLine="420" w:firstLineChars="200"/>
        <w:rPr>
          <w:rFonts w:ascii="宋体" w:hAnsi="宋体"/>
          <w:szCs w:val="21"/>
          <w:highlight w:val="none"/>
        </w:rPr>
      </w:pPr>
      <w:r>
        <w:rPr>
          <w:rFonts w:hint="eastAsia" w:ascii="宋体" w:hAnsi="宋体"/>
          <w:szCs w:val="21"/>
          <w:highlight w:val="none"/>
        </w:rPr>
        <w:t>（七）法律法规和省级以上人民政府财政部门规定的其他事项。</w:t>
      </w:r>
    </w:p>
    <w:p w14:paraId="09838069">
      <w:pPr>
        <w:spacing w:line="312" w:lineRule="auto"/>
        <w:ind w:firstLine="420" w:firstLineChars="200"/>
        <w:rPr>
          <w:rFonts w:ascii="宋体" w:hAnsi="宋体"/>
          <w:szCs w:val="21"/>
          <w:highlight w:val="none"/>
        </w:rPr>
      </w:pPr>
      <w:r>
        <w:rPr>
          <w:rFonts w:hint="eastAsia" w:ascii="宋体" w:hAnsi="宋体"/>
          <w:szCs w:val="21"/>
          <w:highlight w:val="none"/>
        </w:rPr>
        <w:t>第十三条 中标、成交供应商享受本办法规定的中小企业扶持政策的，采购人、采购代理机构应当随中标、成交结果公开中标、成交供应商的《中小企业声明函》。</w:t>
      </w:r>
    </w:p>
    <w:p w14:paraId="33541002">
      <w:pPr>
        <w:spacing w:line="312" w:lineRule="auto"/>
        <w:ind w:firstLine="420" w:firstLineChars="200"/>
        <w:rPr>
          <w:rFonts w:ascii="宋体" w:hAnsi="宋体"/>
          <w:szCs w:val="21"/>
          <w:highlight w:val="none"/>
        </w:rPr>
      </w:pPr>
      <w:r>
        <w:rPr>
          <w:rFonts w:hint="eastAsia" w:ascii="宋体" w:hAnsi="宋体"/>
          <w:szCs w:val="21"/>
          <w:highlight w:val="none"/>
        </w:rPr>
        <w:t>适用招标投标法的政府采购工程建设项目，应当在公示中标候选人时公开中标候选人的《中小企业声明函》。</w:t>
      </w:r>
    </w:p>
    <w:p w14:paraId="4EDA3B5B">
      <w:pPr>
        <w:spacing w:line="312" w:lineRule="auto"/>
        <w:ind w:firstLine="420" w:firstLineChars="200"/>
        <w:rPr>
          <w:rFonts w:ascii="宋体" w:hAnsi="宋体"/>
          <w:szCs w:val="21"/>
          <w:highlight w:val="none"/>
        </w:rPr>
      </w:pPr>
      <w:r>
        <w:rPr>
          <w:rFonts w:hint="eastAsia" w:ascii="宋体" w:hAnsi="宋体"/>
          <w:szCs w:val="21"/>
          <w:highlight w:val="none"/>
        </w:rPr>
        <w:t>第十四条 对于通过预留采购项目、预留专门采购标、要求以联合体形式参加或者合同分标等措施签订的采购合同，应当明确标注本合同为中小企业预留合同。其中，要求以联合体形式参加采购活动或者合同分标的，应当将联合协议或者分标意向协议作为采购合同的组成部分。</w:t>
      </w:r>
    </w:p>
    <w:p w14:paraId="704866E3">
      <w:pPr>
        <w:spacing w:line="312" w:lineRule="auto"/>
        <w:ind w:firstLine="420" w:firstLineChars="200"/>
        <w:rPr>
          <w:rFonts w:ascii="宋体" w:hAnsi="宋体"/>
          <w:szCs w:val="21"/>
          <w:highlight w:val="none"/>
        </w:rPr>
      </w:pPr>
      <w:r>
        <w:rPr>
          <w:rFonts w:hint="eastAsia" w:ascii="宋体" w:hAnsi="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B992FBD">
      <w:pPr>
        <w:spacing w:line="312" w:lineRule="auto"/>
        <w:ind w:firstLine="420" w:firstLineChars="200"/>
        <w:rPr>
          <w:rFonts w:ascii="宋体" w:hAnsi="宋体"/>
          <w:szCs w:val="21"/>
          <w:highlight w:val="none"/>
        </w:rPr>
      </w:pPr>
      <w:r>
        <w:rPr>
          <w:rFonts w:hint="eastAsia" w:ascii="宋体" w:hAnsi="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23A825B0">
      <w:pPr>
        <w:spacing w:line="312" w:lineRule="auto"/>
        <w:ind w:firstLine="420" w:firstLineChars="200"/>
        <w:rPr>
          <w:rFonts w:ascii="宋体" w:hAnsi="宋体"/>
          <w:szCs w:val="21"/>
          <w:highlight w:val="none"/>
        </w:rPr>
      </w:pPr>
      <w:r>
        <w:rPr>
          <w:rFonts w:hint="eastAsia" w:ascii="宋体" w:hAnsi="宋体"/>
          <w:szCs w:val="21"/>
          <w:highlight w:val="none"/>
        </w:rPr>
        <w:t>中小企业主管部门应当在收到财政部门或者有关招标投标行政监督部门关于协助开展中小企业认定函后 10 个工作日内做出书面答复。</w:t>
      </w:r>
    </w:p>
    <w:p w14:paraId="34BC0DB0">
      <w:pPr>
        <w:widowControl/>
        <w:numPr>
          <w:ilvl w:val="0"/>
          <w:numId w:val="5"/>
        </w:numPr>
        <w:kinsoku w:val="0"/>
        <w:autoSpaceDE w:val="0"/>
        <w:autoSpaceDN w:val="0"/>
        <w:adjustRightInd w:val="0"/>
        <w:snapToGrid w:val="0"/>
        <w:spacing w:line="312" w:lineRule="auto"/>
        <w:ind w:firstLine="420" w:firstLineChars="200"/>
        <w:jc w:val="left"/>
        <w:textAlignment w:val="baseline"/>
        <w:rPr>
          <w:rFonts w:ascii="宋体" w:hAnsi="宋体"/>
          <w:szCs w:val="21"/>
          <w:highlight w:val="none"/>
        </w:rPr>
      </w:pPr>
      <w:r>
        <w:rPr>
          <w:rFonts w:hint="eastAsia" w:ascii="宋体" w:hAnsi="宋体"/>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3990A05F">
      <w:pPr>
        <w:spacing w:line="312" w:lineRule="auto"/>
        <w:rPr>
          <w:highlight w:val="none"/>
        </w:rPr>
      </w:pPr>
      <w:r>
        <w:rPr>
          <w:rFonts w:hint="eastAsia"/>
          <w:highlight w:val="none"/>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7F91E12">
      <w:pPr>
        <w:spacing w:line="312" w:lineRule="auto"/>
        <w:ind w:firstLine="420" w:firstLineChars="200"/>
        <w:rPr>
          <w:highlight w:val="none"/>
        </w:rPr>
      </w:pPr>
      <w:r>
        <w:rPr>
          <w:rFonts w:hint="eastAsia"/>
          <w:highlight w:val="none"/>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8137FCC">
      <w:pPr>
        <w:spacing w:line="312" w:lineRule="auto"/>
        <w:ind w:firstLine="420" w:firstLineChars="200"/>
        <w:rPr>
          <w:highlight w:val="none"/>
        </w:rPr>
      </w:pPr>
      <w:r>
        <w:rPr>
          <w:rFonts w:hint="eastAsia"/>
          <w:highlight w:val="none"/>
        </w:rPr>
        <w:t>第二十条供应商按照本办法规定提供声明函内容不实的，属于提供虚假材料谋取中标、成交，依照《中华人民共和国政府采购法》等国家有关规定追究相应责任。</w:t>
      </w:r>
    </w:p>
    <w:p w14:paraId="39EC6BCC">
      <w:pPr>
        <w:spacing w:line="312" w:lineRule="auto"/>
        <w:ind w:firstLine="420" w:firstLineChars="200"/>
        <w:rPr>
          <w:highlight w:val="none"/>
        </w:rPr>
      </w:pPr>
      <w:r>
        <w:rPr>
          <w:rFonts w:hint="eastAsia"/>
          <w:highlight w:val="none"/>
        </w:rPr>
        <w:t>适用招标投标法的政府采购工程建设项目，投标人按照本办法规定提供声明函内容不实的，属于弄虚作假骗取中标，依照《中华人民共和国招标投标法》等国家有关规定追究相应责任。</w:t>
      </w:r>
    </w:p>
    <w:p w14:paraId="398C5C42">
      <w:pPr>
        <w:spacing w:line="312" w:lineRule="auto"/>
        <w:ind w:firstLine="420" w:firstLineChars="200"/>
        <w:rPr>
          <w:highlight w:val="none"/>
        </w:rPr>
      </w:pPr>
      <w:r>
        <w:rPr>
          <w:rFonts w:hint="eastAsia"/>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rPr>
          <w:highlight w:val="none"/>
        </w:rPr>
        <w:fldChar w:fldCharType="begin"/>
      </w:r>
      <w:r>
        <w:rPr>
          <w:highlight w:val="none"/>
        </w:rPr>
        <w:instrText xml:space="preserve"> HYPERLINK "http://10.162.100.18:168/golaw?dbnm=gjfg&amp;flid=1129012015130679" </w:instrText>
      </w:r>
      <w:r>
        <w:rPr>
          <w:highlight w:val="none"/>
        </w:rPr>
        <w:fldChar w:fldCharType="separate"/>
      </w:r>
      <w:r>
        <w:rPr>
          <w:rFonts w:hint="eastAsia"/>
          <w:highlight w:val="none"/>
        </w:rPr>
        <w:t>国监察法》、《中华人民共和国政府采购法实施条例》等国家</w:t>
      </w:r>
      <w:r>
        <w:rPr>
          <w:rFonts w:hint="eastAsia"/>
          <w:highlight w:val="none"/>
        </w:rPr>
        <w:fldChar w:fldCharType="end"/>
      </w:r>
      <w:r>
        <w:rPr>
          <w:rFonts w:hint="eastAsia"/>
          <w:highlight w:val="none"/>
        </w:rPr>
        <w:t>有关规定追究相应责任；涉嫌犯罪的，依法移送有关国家机关处理。</w:t>
      </w:r>
    </w:p>
    <w:p w14:paraId="6249781F">
      <w:pPr>
        <w:spacing w:line="312" w:lineRule="auto"/>
        <w:ind w:firstLine="420" w:firstLineChars="200"/>
        <w:rPr>
          <w:highlight w:val="none"/>
        </w:rPr>
      </w:pPr>
      <w:r>
        <w:rPr>
          <w:rFonts w:hint="eastAsia"/>
          <w:highlight w:val="none"/>
        </w:rPr>
        <w:t>第二十二条对外援助项目、国家相关资格或者资质管理制度另有规定的项目，不适用本办法。</w:t>
      </w:r>
    </w:p>
    <w:p w14:paraId="75E295BD">
      <w:pPr>
        <w:spacing w:line="312" w:lineRule="auto"/>
        <w:ind w:firstLine="420" w:firstLineChars="200"/>
        <w:rPr>
          <w:highlight w:val="none"/>
        </w:rPr>
      </w:pPr>
      <w:r>
        <w:rPr>
          <w:rFonts w:hint="eastAsia"/>
          <w:highlight w:val="none"/>
        </w:rPr>
        <w:t>第二十三条</w:t>
      </w:r>
      <w:r>
        <w:rPr>
          <w:rFonts w:hint="eastAsia"/>
          <w:highlight w:val="none"/>
        </w:rPr>
        <w:tab/>
      </w:r>
      <w:r>
        <w:rPr>
          <w:rFonts w:hint="eastAsia"/>
          <w:highlight w:val="none"/>
        </w:rPr>
        <w:t>关于视同中小企业的其他主体的政府采购扶持政策，由财政部会同有关部门另行规定。</w:t>
      </w:r>
    </w:p>
    <w:p w14:paraId="30979AFD">
      <w:pPr>
        <w:spacing w:line="276" w:lineRule="auto"/>
        <w:ind w:firstLine="420" w:firstLineChars="200"/>
        <w:rPr>
          <w:highlight w:val="none"/>
        </w:rPr>
      </w:pPr>
      <w:r>
        <w:rPr>
          <w:rFonts w:hint="eastAsia"/>
          <w:highlight w:val="none"/>
        </w:rPr>
        <w:t>第二十四条</w:t>
      </w:r>
      <w:r>
        <w:rPr>
          <w:rFonts w:hint="eastAsia"/>
          <w:highlight w:val="none"/>
        </w:rPr>
        <w:tab/>
      </w:r>
      <w:r>
        <w:rPr>
          <w:rFonts w:hint="eastAsia"/>
          <w:highlight w:val="none"/>
        </w:rPr>
        <w:t>省级财政部门可以会同中小企业主管部门根据本办法的规定制定具体实施办法。</w:t>
      </w:r>
    </w:p>
    <w:p w14:paraId="47DBF4A5">
      <w:pPr>
        <w:spacing w:line="276" w:lineRule="auto"/>
        <w:rPr>
          <w:rFonts w:ascii="宋体" w:hAnsi="宋体"/>
          <w:szCs w:val="21"/>
          <w:highlight w:val="none"/>
        </w:rPr>
      </w:pPr>
      <w:r>
        <w:rPr>
          <w:rFonts w:hint="eastAsia"/>
          <w:highlight w:val="none"/>
        </w:rPr>
        <w:t>第二十五条本办法自2021年1月1日起施行。《财政部工业和信息化部关于印发〈政府采购促进中小企业发展暂行办法〉的通知》（财库﹝2011﹞181 号）同时废止。</w:t>
      </w:r>
    </w:p>
    <w:p w14:paraId="617BBC28">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财政部 司法部关于政府采购支持监狱企业发展有关问题的通知</w:t>
      </w:r>
    </w:p>
    <w:p w14:paraId="74A9D526">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(财库〔2014〕68号)</w:t>
      </w:r>
    </w:p>
    <w:p w14:paraId="21E0F86C">
      <w:pPr>
        <w:spacing w:line="312" w:lineRule="auto"/>
        <w:rPr>
          <w:rFonts w:ascii="宋体" w:hAnsi="宋体"/>
          <w:szCs w:val="21"/>
          <w:highlight w:val="none"/>
        </w:rPr>
      </w:pPr>
      <w:r>
        <w:rPr>
          <w:rFonts w:hint="eastAsia" w:ascii="宋体" w:hAnsi="宋体"/>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szCs w:val="21"/>
          <w:highlight w:val="none"/>
        </w:rPr>
        <w:br w:type="textWrapping"/>
      </w:r>
      <w:r>
        <w:rPr>
          <w:rFonts w:hint="eastAsia" w:ascii="宋体" w:hAnsi="宋体"/>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szCs w:val="21"/>
          <w:highlight w:val="none"/>
        </w:rPr>
        <w:br w:type="textWrapping"/>
      </w:r>
      <w:r>
        <w:rPr>
          <w:rFonts w:hint="eastAsia" w:ascii="宋体" w:hAnsi="宋体"/>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szCs w:val="21"/>
          <w:highlight w:val="none"/>
        </w:rPr>
        <w:br w:type="textWrapping"/>
      </w:r>
      <w:r>
        <w:rPr>
          <w:rFonts w:hint="eastAsia" w:ascii="宋体" w:hAnsi="宋体"/>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szCs w:val="21"/>
          <w:highlight w:val="none"/>
        </w:rPr>
        <w:br w:type="textWrapping"/>
      </w:r>
      <w:r>
        <w:rPr>
          <w:rFonts w:hint="eastAsia" w:ascii="宋体" w:hAnsi="宋体"/>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szCs w:val="21"/>
          <w:highlight w:val="none"/>
        </w:rPr>
        <w:br w:type="textWrapping"/>
      </w:r>
      <w:r>
        <w:rPr>
          <w:rFonts w:hint="eastAsia" w:ascii="宋体" w:hAnsi="宋体"/>
          <w:szCs w:val="21"/>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szCs w:val="21"/>
          <w:highlight w:val="none"/>
        </w:rPr>
        <w:br w:type="textWrapping"/>
      </w:r>
      <w:r>
        <w:rPr>
          <w:rFonts w:hint="eastAsia" w:ascii="宋体" w:hAnsi="宋体"/>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124CE1D">
      <w:pPr>
        <w:spacing w:line="312" w:lineRule="auto"/>
        <w:rPr>
          <w:rFonts w:ascii="宋体" w:hAnsi="宋体"/>
          <w:szCs w:val="21"/>
          <w:highlight w:val="none"/>
        </w:rPr>
      </w:pPr>
    </w:p>
    <w:p w14:paraId="3A8CDA53">
      <w:pPr>
        <w:spacing w:line="312" w:lineRule="auto"/>
        <w:rPr>
          <w:rFonts w:ascii="宋体" w:hAnsi="宋体"/>
          <w:szCs w:val="21"/>
          <w:highlight w:val="none"/>
        </w:rPr>
      </w:pPr>
    </w:p>
    <w:p w14:paraId="5C6F1876">
      <w:pPr>
        <w:spacing w:line="312" w:lineRule="auto"/>
        <w:rPr>
          <w:rFonts w:ascii="宋体" w:hAnsi="宋体"/>
          <w:szCs w:val="21"/>
          <w:highlight w:val="none"/>
        </w:rPr>
      </w:pPr>
    </w:p>
    <w:p w14:paraId="135C2EA7">
      <w:pPr>
        <w:spacing w:line="312" w:lineRule="auto"/>
        <w:rPr>
          <w:rFonts w:ascii="宋体" w:hAnsi="宋体"/>
          <w:szCs w:val="21"/>
          <w:highlight w:val="none"/>
        </w:rPr>
      </w:pPr>
    </w:p>
    <w:p w14:paraId="563417AD">
      <w:pPr>
        <w:widowControl/>
        <w:spacing w:line="360" w:lineRule="auto"/>
        <w:jc w:val="center"/>
        <w:outlineLvl w:val="1"/>
        <w:rPr>
          <w:rFonts w:ascii="宋体" w:hAnsi="宋体"/>
          <w:b/>
          <w:kern w:val="0"/>
          <w:sz w:val="28"/>
          <w:szCs w:val="28"/>
          <w:highlight w:val="none"/>
        </w:rPr>
      </w:pPr>
      <w:r>
        <w:rPr>
          <w:rFonts w:hint="eastAsia" w:ascii="宋体" w:hAnsi="宋体"/>
          <w:b/>
          <w:sz w:val="28"/>
          <w:szCs w:val="28"/>
          <w:highlight w:val="none"/>
        </w:rPr>
        <w:br w:type="page"/>
      </w:r>
      <w:r>
        <w:rPr>
          <w:rFonts w:hint="eastAsia" w:ascii="宋体" w:hAnsi="宋体"/>
          <w:b/>
          <w:kern w:val="0"/>
          <w:sz w:val="28"/>
          <w:szCs w:val="28"/>
          <w:highlight w:val="none"/>
        </w:rPr>
        <w:t>中小企业划型标准规定</w:t>
      </w:r>
    </w:p>
    <w:p w14:paraId="7A55A0FE">
      <w:pPr>
        <w:spacing w:line="312" w:lineRule="auto"/>
        <w:rPr>
          <w:rFonts w:ascii="宋体" w:hAnsi="宋体"/>
          <w:szCs w:val="21"/>
          <w:highlight w:val="none"/>
        </w:rPr>
      </w:pPr>
      <w:r>
        <w:rPr>
          <w:rFonts w:hint="eastAsia" w:ascii="宋体" w:hAnsi="宋体"/>
          <w:szCs w:val="21"/>
          <w:highlight w:val="none"/>
        </w:rPr>
        <w:t>　　</w:t>
      </w:r>
    </w:p>
    <w:p w14:paraId="4997426F">
      <w:pPr>
        <w:spacing w:line="312" w:lineRule="auto"/>
        <w:rPr>
          <w:rFonts w:ascii="宋体" w:hAnsi="宋体"/>
          <w:szCs w:val="21"/>
          <w:highlight w:val="none"/>
        </w:rPr>
      </w:pPr>
      <w:r>
        <w:rPr>
          <w:rFonts w:hint="eastAsia" w:ascii="宋体" w:hAnsi="宋体"/>
          <w:szCs w:val="21"/>
          <w:highlight w:val="none"/>
        </w:rPr>
        <w:t>一、根据《中华人民共和国中小企业促进法》和《国务院关于进一步促进中小企业发展的若干意见》(国发〔2009〕36号)，制定本规定。</w:t>
      </w:r>
    </w:p>
    <w:p w14:paraId="2D3C6EFE">
      <w:pPr>
        <w:spacing w:line="312" w:lineRule="auto"/>
        <w:rPr>
          <w:rFonts w:ascii="宋体" w:hAnsi="宋体"/>
          <w:szCs w:val="21"/>
          <w:highlight w:val="none"/>
        </w:rPr>
      </w:pPr>
      <w:r>
        <w:rPr>
          <w:rFonts w:hint="eastAsia" w:ascii="宋体" w:hAnsi="宋体"/>
          <w:szCs w:val="21"/>
          <w:highlight w:val="none"/>
        </w:rPr>
        <w:t>　　二、中小企业划分为中型、小型、微型三种类型，具体标准根据企业从业人员、营业收入、资产总额等指标，结合行业特点制定。</w:t>
      </w:r>
    </w:p>
    <w:p w14:paraId="0D2FD264">
      <w:pPr>
        <w:spacing w:line="312" w:lineRule="auto"/>
        <w:rPr>
          <w:rFonts w:ascii="宋体" w:hAnsi="宋体"/>
          <w:szCs w:val="21"/>
          <w:highlight w:val="none"/>
        </w:rPr>
      </w:pPr>
      <w:r>
        <w:rPr>
          <w:rFonts w:hint="eastAsia" w:ascii="宋体" w:hAnsi="宋体"/>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753EB0">
      <w:pPr>
        <w:spacing w:line="312" w:lineRule="auto"/>
        <w:rPr>
          <w:rFonts w:ascii="宋体" w:hAnsi="宋体"/>
          <w:szCs w:val="21"/>
          <w:highlight w:val="none"/>
        </w:rPr>
      </w:pPr>
      <w:r>
        <w:rPr>
          <w:rFonts w:hint="eastAsia" w:ascii="宋体" w:hAnsi="宋体"/>
          <w:szCs w:val="21"/>
          <w:highlight w:val="none"/>
        </w:rPr>
        <w:t>　　四、各行业划型标准为：</w:t>
      </w:r>
    </w:p>
    <w:p w14:paraId="10FE1D4B">
      <w:pPr>
        <w:spacing w:line="312" w:lineRule="auto"/>
        <w:rPr>
          <w:rFonts w:ascii="宋体" w:hAnsi="宋体"/>
          <w:szCs w:val="21"/>
          <w:highlight w:val="none"/>
        </w:rPr>
      </w:pPr>
      <w:r>
        <w:rPr>
          <w:rFonts w:hint="eastAsia" w:ascii="宋体" w:hAnsi="宋体"/>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1D9B857">
      <w:pPr>
        <w:spacing w:line="312" w:lineRule="auto"/>
        <w:rPr>
          <w:rFonts w:ascii="宋体" w:hAnsi="宋体"/>
          <w:szCs w:val="21"/>
          <w:highlight w:val="none"/>
        </w:rPr>
      </w:pPr>
      <w:r>
        <w:rPr>
          <w:rFonts w:hint="eastAsia" w:ascii="宋体" w:hAnsi="宋体"/>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76EAA5">
      <w:pPr>
        <w:spacing w:line="312" w:lineRule="auto"/>
        <w:rPr>
          <w:rFonts w:ascii="宋体" w:hAnsi="宋体"/>
          <w:szCs w:val="21"/>
          <w:highlight w:val="none"/>
        </w:rPr>
      </w:pPr>
      <w:r>
        <w:rPr>
          <w:rFonts w:hint="eastAsia" w:ascii="宋体" w:hAnsi="宋体"/>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F7BBBD">
      <w:pPr>
        <w:spacing w:line="312" w:lineRule="auto"/>
        <w:rPr>
          <w:rFonts w:ascii="宋体" w:hAnsi="宋体"/>
          <w:szCs w:val="21"/>
          <w:highlight w:val="none"/>
        </w:rPr>
      </w:pPr>
      <w:r>
        <w:rPr>
          <w:rFonts w:hint="eastAsia" w:ascii="宋体" w:hAnsi="宋体"/>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3BAD92">
      <w:pPr>
        <w:spacing w:line="312" w:lineRule="auto"/>
        <w:rPr>
          <w:rFonts w:ascii="宋体" w:hAnsi="宋体"/>
          <w:szCs w:val="21"/>
          <w:highlight w:val="none"/>
        </w:rPr>
      </w:pPr>
      <w:r>
        <w:rPr>
          <w:rFonts w:hint="eastAsia" w:ascii="宋体" w:hAnsi="宋体"/>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468BAE0">
      <w:pPr>
        <w:spacing w:line="312" w:lineRule="auto"/>
        <w:rPr>
          <w:rFonts w:ascii="宋体" w:hAnsi="宋体"/>
          <w:szCs w:val="21"/>
          <w:highlight w:val="none"/>
        </w:rPr>
      </w:pPr>
      <w:r>
        <w:rPr>
          <w:rFonts w:hint="eastAsia" w:ascii="宋体" w:hAnsi="宋体"/>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BEF5BD">
      <w:pPr>
        <w:spacing w:line="312" w:lineRule="auto"/>
        <w:rPr>
          <w:rFonts w:ascii="宋体" w:hAnsi="宋体"/>
          <w:szCs w:val="21"/>
          <w:highlight w:val="none"/>
        </w:rPr>
      </w:pPr>
      <w:r>
        <w:rPr>
          <w:rFonts w:hint="eastAsia" w:ascii="宋体" w:hAnsi="宋体"/>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BFCC0E">
      <w:pPr>
        <w:spacing w:line="312" w:lineRule="auto"/>
        <w:rPr>
          <w:rFonts w:ascii="宋体" w:hAnsi="宋体"/>
          <w:szCs w:val="21"/>
          <w:highlight w:val="none"/>
        </w:rPr>
      </w:pPr>
      <w:r>
        <w:rPr>
          <w:rFonts w:hint="eastAsia" w:ascii="宋体" w:hAnsi="宋体"/>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DCEB62">
      <w:pPr>
        <w:spacing w:line="312" w:lineRule="auto"/>
        <w:rPr>
          <w:rFonts w:ascii="宋体" w:hAnsi="宋体"/>
          <w:szCs w:val="21"/>
          <w:highlight w:val="none"/>
        </w:rPr>
      </w:pPr>
      <w:r>
        <w:rPr>
          <w:rFonts w:hint="eastAsia" w:ascii="宋体" w:hAnsi="宋体"/>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F4E96E">
      <w:pPr>
        <w:spacing w:line="312" w:lineRule="auto"/>
        <w:rPr>
          <w:rFonts w:ascii="宋体" w:hAnsi="宋体"/>
          <w:szCs w:val="21"/>
          <w:highlight w:val="none"/>
        </w:rPr>
      </w:pPr>
      <w:r>
        <w:rPr>
          <w:rFonts w:hint="eastAsia" w:ascii="宋体" w:hAnsi="宋体"/>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C6270D">
      <w:pPr>
        <w:spacing w:line="312" w:lineRule="auto"/>
        <w:rPr>
          <w:rFonts w:ascii="宋体" w:hAnsi="宋体"/>
          <w:szCs w:val="21"/>
          <w:highlight w:val="none"/>
        </w:rPr>
      </w:pPr>
      <w:r>
        <w:rPr>
          <w:rFonts w:hint="eastAsia" w:ascii="宋体" w:hAnsi="宋体"/>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C60D23">
      <w:pPr>
        <w:spacing w:line="312" w:lineRule="auto"/>
        <w:rPr>
          <w:rFonts w:ascii="宋体" w:hAnsi="宋体"/>
          <w:szCs w:val="21"/>
          <w:highlight w:val="none"/>
        </w:rPr>
      </w:pPr>
      <w:r>
        <w:rPr>
          <w:rFonts w:hint="eastAsia" w:ascii="宋体" w:hAnsi="宋体"/>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E2D492">
      <w:pPr>
        <w:spacing w:line="312" w:lineRule="auto"/>
        <w:rPr>
          <w:rFonts w:ascii="宋体" w:hAnsi="宋体"/>
          <w:szCs w:val="21"/>
          <w:highlight w:val="none"/>
        </w:rPr>
      </w:pPr>
      <w:r>
        <w:rPr>
          <w:rFonts w:hint="eastAsia" w:ascii="宋体" w:hAnsi="宋体"/>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4F7480">
      <w:pPr>
        <w:spacing w:line="312" w:lineRule="auto"/>
        <w:rPr>
          <w:rFonts w:ascii="宋体" w:hAnsi="宋体"/>
          <w:szCs w:val="21"/>
          <w:highlight w:val="none"/>
        </w:rPr>
      </w:pPr>
      <w:r>
        <w:rPr>
          <w:rFonts w:hint="eastAsia" w:ascii="宋体" w:hAnsi="宋体"/>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903222">
      <w:pPr>
        <w:spacing w:line="312" w:lineRule="auto"/>
        <w:rPr>
          <w:rFonts w:ascii="宋体" w:hAnsi="宋体"/>
          <w:szCs w:val="21"/>
          <w:highlight w:val="none"/>
        </w:rPr>
      </w:pPr>
      <w:r>
        <w:rPr>
          <w:rFonts w:hint="eastAsia" w:ascii="宋体" w:hAnsi="宋体"/>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345E37">
      <w:pPr>
        <w:spacing w:line="312" w:lineRule="auto"/>
        <w:rPr>
          <w:rFonts w:ascii="宋体" w:hAnsi="宋体"/>
          <w:szCs w:val="21"/>
          <w:highlight w:val="none"/>
        </w:rPr>
      </w:pPr>
      <w:r>
        <w:rPr>
          <w:rFonts w:hint="eastAsia" w:ascii="宋体" w:hAnsi="宋体"/>
          <w:szCs w:val="21"/>
          <w:highlight w:val="none"/>
        </w:rPr>
        <w:t>　　（十六）其他未列明行业。从业人员300人以下的为中小微型企业。其中，从业人员100人及以上的为中型企业；从业人员10人及以上的为小型企业；从业人员10人以下的为微型企业。</w:t>
      </w:r>
    </w:p>
    <w:p w14:paraId="1FB02BB5">
      <w:pPr>
        <w:spacing w:line="312" w:lineRule="auto"/>
        <w:rPr>
          <w:rFonts w:ascii="宋体" w:hAnsi="宋体"/>
          <w:szCs w:val="21"/>
          <w:highlight w:val="none"/>
        </w:rPr>
      </w:pPr>
      <w:r>
        <w:rPr>
          <w:rFonts w:hint="eastAsia" w:ascii="宋体" w:hAnsi="宋体"/>
          <w:szCs w:val="21"/>
          <w:highlight w:val="none"/>
        </w:rPr>
        <w:t>　　五、企业类型的划分以统计部门的统计数据为依据。</w:t>
      </w:r>
    </w:p>
    <w:p w14:paraId="793A9833">
      <w:pPr>
        <w:spacing w:line="312" w:lineRule="auto"/>
        <w:rPr>
          <w:rFonts w:ascii="宋体" w:hAnsi="宋体"/>
          <w:szCs w:val="21"/>
          <w:highlight w:val="none"/>
        </w:rPr>
      </w:pPr>
      <w:r>
        <w:rPr>
          <w:rFonts w:hint="eastAsia" w:ascii="宋体" w:hAnsi="宋体"/>
          <w:szCs w:val="21"/>
          <w:highlight w:val="none"/>
        </w:rPr>
        <w:t>　　六、本规定适用于在中华人民共和国境内依法设立的各类所有制和各种组织形式的企业。个体工商户和本规定以外的行业，参照本规定进行划型。</w:t>
      </w:r>
    </w:p>
    <w:p w14:paraId="09C65B08">
      <w:pPr>
        <w:spacing w:line="312" w:lineRule="auto"/>
        <w:rPr>
          <w:rFonts w:ascii="宋体" w:hAnsi="宋体"/>
          <w:szCs w:val="21"/>
          <w:highlight w:val="none"/>
        </w:rPr>
      </w:pPr>
      <w:r>
        <w:rPr>
          <w:rFonts w:hint="eastAsia" w:ascii="宋体" w:hAnsi="宋体"/>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FA3A4F1">
      <w:pPr>
        <w:spacing w:line="312" w:lineRule="auto"/>
        <w:rPr>
          <w:rFonts w:ascii="宋体" w:hAnsi="宋体"/>
          <w:szCs w:val="21"/>
          <w:highlight w:val="none"/>
        </w:rPr>
      </w:pPr>
      <w:r>
        <w:rPr>
          <w:rFonts w:hint="eastAsia" w:ascii="宋体" w:hAnsi="宋体"/>
          <w:szCs w:val="21"/>
          <w:highlight w:val="none"/>
        </w:rPr>
        <w:t>　　八、本规定由工业和信息化部、国家统计局会同有关部门根据《国民经济行业分类》修订情况和企业发展变化情况适时修订。</w:t>
      </w:r>
    </w:p>
    <w:p w14:paraId="28ED5AF4">
      <w:pPr>
        <w:spacing w:line="312" w:lineRule="auto"/>
        <w:rPr>
          <w:rFonts w:ascii="宋体" w:hAnsi="宋体"/>
          <w:szCs w:val="21"/>
          <w:highlight w:val="none"/>
        </w:rPr>
      </w:pPr>
      <w:r>
        <w:rPr>
          <w:rFonts w:hint="eastAsia" w:ascii="宋体" w:hAnsi="宋体"/>
          <w:szCs w:val="21"/>
          <w:highlight w:val="none"/>
        </w:rPr>
        <w:t>　　九、本规定由工业和信息化部、国家统计局会同有关部门负责解释。</w:t>
      </w:r>
    </w:p>
    <w:p w14:paraId="6B74D5D4">
      <w:pPr>
        <w:spacing w:line="312" w:lineRule="auto"/>
        <w:rPr>
          <w:rFonts w:ascii="宋体" w:hAnsi="宋体"/>
          <w:bCs/>
          <w:szCs w:val="21"/>
          <w:highlight w:val="none"/>
        </w:rPr>
      </w:pPr>
      <w:r>
        <w:rPr>
          <w:rFonts w:hint="eastAsia" w:ascii="宋体" w:hAnsi="宋体"/>
          <w:szCs w:val="21"/>
          <w:highlight w:val="none"/>
        </w:rPr>
        <w:t>　　十、本规定自发布之日起执行，原国家经贸委、原国家计委、财政部和国家统计局2003年颁布的《中小企业标准暂行规定》同时废止。</w:t>
      </w:r>
    </w:p>
    <w:p w14:paraId="23F09352">
      <w:pPr>
        <w:rPr>
          <w:highlight w:val="none"/>
        </w:rPr>
      </w:pPr>
    </w:p>
    <w:sectPr>
      <w:footerReference r:id="rId3" w:type="default"/>
      <w:pgSz w:w="11906" w:h="16838"/>
      <w:pgMar w:top="1418" w:right="1448"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C94A">
    <w:pPr>
      <w:spacing w:line="192" w:lineRule="auto"/>
      <w:ind w:left="4229"/>
      <w:rPr>
        <w:rFonts w:ascii="宋体" w:hAnsi="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5356E">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25356E">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63DFA"/>
    <w:multiLevelType w:val="singleLevel"/>
    <w:tmpl w:val="8F063DFA"/>
    <w:lvl w:ilvl="0" w:tentative="0">
      <w:start w:val="1"/>
      <w:numFmt w:val="chineseCounting"/>
      <w:suff w:val="space"/>
      <w:lvlText w:val="第%1章"/>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14740286"/>
    <w:multiLevelType w:val="singleLevel"/>
    <w:tmpl w:val="14740286"/>
    <w:lvl w:ilvl="0" w:tentative="0">
      <w:start w:val="8"/>
      <w:numFmt w:val="decimal"/>
      <w:suff w:val="nothing"/>
      <w:lvlText w:val="%1、"/>
      <w:lvlJc w:val="left"/>
    </w:lvl>
  </w:abstractNum>
  <w:abstractNum w:abstractNumId="3">
    <w:nsid w:val="3A356FAA"/>
    <w:multiLevelType w:val="singleLevel"/>
    <w:tmpl w:val="3A356FAA"/>
    <w:lvl w:ilvl="0" w:tentative="0">
      <w:start w:val="1"/>
      <w:numFmt w:val="decimal"/>
      <w:suff w:val="nothing"/>
      <w:lvlText w:val="(%1）"/>
      <w:lvlJc w:val="left"/>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NGYyZGM0ZGUwNjk0MTU1YmQ5OGQ4NDk5YTY4ZDQifQ=="/>
  </w:docVars>
  <w:rsids>
    <w:rsidRoot w:val="00020615"/>
    <w:rsid w:val="00000D90"/>
    <w:rsid w:val="00010B4F"/>
    <w:rsid w:val="00015719"/>
    <w:rsid w:val="00016F20"/>
    <w:rsid w:val="00020615"/>
    <w:rsid w:val="00025D69"/>
    <w:rsid w:val="000363F2"/>
    <w:rsid w:val="000452FE"/>
    <w:rsid w:val="0004531C"/>
    <w:rsid w:val="00056B8A"/>
    <w:rsid w:val="000757B2"/>
    <w:rsid w:val="000A2B9C"/>
    <w:rsid w:val="000A3181"/>
    <w:rsid w:val="000C14BC"/>
    <w:rsid w:val="000D3AE3"/>
    <w:rsid w:val="000D733D"/>
    <w:rsid w:val="00105D36"/>
    <w:rsid w:val="00124628"/>
    <w:rsid w:val="00126495"/>
    <w:rsid w:val="00130612"/>
    <w:rsid w:val="0013315B"/>
    <w:rsid w:val="001455E1"/>
    <w:rsid w:val="001701E6"/>
    <w:rsid w:val="0017568B"/>
    <w:rsid w:val="00195C1B"/>
    <w:rsid w:val="001A128F"/>
    <w:rsid w:val="001A4C05"/>
    <w:rsid w:val="001B16CC"/>
    <w:rsid w:val="001C3EDD"/>
    <w:rsid w:val="001C3FCD"/>
    <w:rsid w:val="001E464D"/>
    <w:rsid w:val="00200B89"/>
    <w:rsid w:val="00201C28"/>
    <w:rsid w:val="0020598D"/>
    <w:rsid w:val="00215854"/>
    <w:rsid w:val="00235B06"/>
    <w:rsid w:val="00236A4B"/>
    <w:rsid w:val="00255035"/>
    <w:rsid w:val="00275AAD"/>
    <w:rsid w:val="0027780D"/>
    <w:rsid w:val="002877D6"/>
    <w:rsid w:val="002A34D2"/>
    <w:rsid w:val="002A4962"/>
    <w:rsid w:val="002B38D7"/>
    <w:rsid w:val="002B5295"/>
    <w:rsid w:val="002B684C"/>
    <w:rsid w:val="002B7516"/>
    <w:rsid w:val="002D1792"/>
    <w:rsid w:val="002E4FD9"/>
    <w:rsid w:val="00301828"/>
    <w:rsid w:val="003037CA"/>
    <w:rsid w:val="00307636"/>
    <w:rsid w:val="00322EBB"/>
    <w:rsid w:val="00332C10"/>
    <w:rsid w:val="003338F7"/>
    <w:rsid w:val="00335B96"/>
    <w:rsid w:val="00353416"/>
    <w:rsid w:val="0035601B"/>
    <w:rsid w:val="0037318E"/>
    <w:rsid w:val="003837B6"/>
    <w:rsid w:val="003A39FB"/>
    <w:rsid w:val="003C01E9"/>
    <w:rsid w:val="003C6801"/>
    <w:rsid w:val="003E15AE"/>
    <w:rsid w:val="003E1962"/>
    <w:rsid w:val="003E4950"/>
    <w:rsid w:val="00406F50"/>
    <w:rsid w:val="004073C1"/>
    <w:rsid w:val="00410192"/>
    <w:rsid w:val="004203B4"/>
    <w:rsid w:val="00432ECB"/>
    <w:rsid w:val="004347F5"/>
    <w:rsid w:val="004417B1"/>
    <w:rsid w:val="0044727A"/>
    <w:rsid w:val="00453C86"/>
    <w:rsid w:val="004729CD"/>
    <w:rsid w:val="004737A1"/>
    <w:rsid w:val="0048040A"/>
    <w:rsid w:val="00481353"/>
    <w:rsid w:val="00484AEB"/>
    <w:rsid w:val="00495399"/>
    <w:rsid w:val="004A39E6"/>
    <w:rsid w:val="00506AEC"/>
    <w:rsid w:val="00507FF1"/>
    <w:rsid w:val="0051017D"/>
    <w:rsid w:val="005345D1"/>
    <w:rsid w:val="00552CD9"/>
    <w:rsid w:val="005705A8"/>
    <w:rsid w:val="0059616E"/>
    <w:rsid w:val="005C5206"/>
    <w:rsid w:val="005C5931"/>
    <w:rsid w:val="005D37CF"/>
    <w:rsid w:val="005D4D45"/>
    <w:rsid w:val="005F1E3C"/>
    <w:rsid w:val="005F6ED6"/>
    <w:rsid w:val="006073AB"/>
    <w:rsid w:val="0061027F"/>
    <w:rsid w:val="00636629"/>
    <w:rsid w:val="00670CBA"/>
    <w:rsid w:val="00671723"/>
    <w:rsid w:val="00677620"/>
    <w:rsid w:val="006778C6"/>
    <w:rsid w:val="00677BA0"/>
    <w:rsid w:val="006837D3"/>
    <w:rsid w:val="00693369"/>
    <w:rsid w:val="00696E89"/>
    <w:rsid w:val="006A3685"/>
    <w:rsid w:val="006A75D2"/>
    <w:rsid w:val="006B4959"/>
    <w:rsid w:val="006C73E5"/>
    <w:rsid w:val="006C76ED"/>
    <w:rsid w:val="006D029D"/>
    <w:rsid w:val="006E3F62"/>
    <w:rsid w:val="006F3712"/>
    <w:rsid w:val="00712399"/>
    <w:rsid w:val="00717922"/>
    <w:rsid w:val="007213AD"/>
    <w:rsid w:val="00733C9C"/>
    <w:rsid w:val="00736D66"/>
    <w:rsid w:val="00757D96"/>
    <w:rsid w:val="00770FD2"/>
    <w:rsid w:val="00774A9F"/>
    <w:rsid w:val="007D0B07"/>
    <w:rsid w:val="007D5E44"/>
    <w:rsid w:val="007D5F46"/>
    <w:rsid w:val="007D79BB"/>
    <w:rsid w:val="007E42B9"/>
    <w:rsid w:val="007F206E"/>
    <w:rsid w:val="0081025A"/>
    <w:rsid w:val="008311E5"/>
    <w:rsid w:val="00835CB4"/>
    <w:rsid w:val="008458C2"/>
    <w:rsid w:val="00872CBD"/>
    <w:rsid w:val="008B2FCD"/>
    <w:rsid w:val="008C3DC5"/>
    <w:rsid w:val="008E795F"/>
    <w:rsid w:val="00914B95"/>
    <w:rsid w:val="009161B4"/>
    <w:rsid w:val="00924007"/>
    <w:rsid w:val="00933207"/>
    <w:rsid w:val="00933B54"/>
    <w:rsid w:val="009357E6"/>
    <w:rsid w:val="00936701"/>
    <w:rsid w:val="009422D2"/>
    <w:rsid w:val="00945A0D"/>
    <w:rsid w:val="00950A29"/>
    <w:rsid w:val="009766C4"/>
    <w:rsid w:val="009872C3"/>
    <w:rsid w:val="00997A02"/>
    <w:rsid w:val="009F71E0"/>
    <w:rsid w:val="00A10CC0"/>
    <w:rsid w:val="00A202FF"/>
    <w:rsid w:val="00A5514B"/>
    <w:rsid w:val="00A57F3C"/>
    <w:rsid w:val="00A65351"/>
    <w:rsid w:val="00A7094D"/>
    <w:rsid w:val="00A7642A"/>
    <w:rsid w:val="00AA2E0C"/>
    <w:rsid w:val="00AD2C4D"/>
    <w:rsid w:val="00AD5630"/>
    <w:rsid w:val="00AD6B4B"/>
    <w:rsid w:val="00AE44BE"/>
    <w:rsid w:val="00AF2F46"/>
    <w:rsid w:val="00AF3C75"/>
    <w:rsid w:val="00B00C57"/>
    <w:rsid w:val="00B01A23"/>
    <w:rsid w:val="00B04064"/>
    <w:rsid w:val="00B17742"/>
    <w:rsid w:val="00B27F33"/>
    <w:rsid w:val="00B35A1B"/>
    <w:rsid w:val="00B749A8"/>
    <w:rsid w:val="00B772B3"/>
    <w:rsid w:val="00BA7FAC"/>
    <w:rsid w:val="00BD1B89"/>
    <w:rsid w:val="00BE3755"/>
    <w:rsid w:val="00BF2757"/>
    <w:rsid w:val="00BF64A3"/>
    <w:rsid w:val="00C028D3"/>
    <w:rsid w:val="00C15479"/>
    <w:rsid w:val="00C17864"/>
    <w:rsid w:val="00C208BC"/>
    <w:rsid w:val="00C30F12"/>
    <w:rsid w:val="00C35EF9"/>
    <w:rsid w:val="00C4210D"/>
    <w:rsid w:val="00C43099"/>
    <w:rsid w:val="00C4566D"/>
    <w:rsid w:val="00C551BF"/>
    <w:rsid w:val="00C8449D"/>
    <w:rsid w:val="00C8533D"/>
    <w:rsid w:val="00C93AD8"/>
    <w:rsid w:val="00CB1B4B"/>
    <w:rsid w:val="00CB7991"/>
    <w:rsid w:val="00CC07BC"/>
    <w:rsid w:val="00CC36D3"/>
    <w:rsid w:val="00CD7C59"/>
    <w:rsid w:val="00CF30F8"/>
    <w:rsid w:val="00CF7356"/>
    <w:rsid w:val="00D403F5"/>
    <w:rsid w:val="00D4166B"/>
    <w:rsid w:val="00D44B5F"/>
    <w:rsid w:val="00D721CC"/>
    <w:rsid w:val="00D84334"/>
    <w:rsid w:val="00DA5685"/>
    <w:rsid w:val="00DE33E9"/>
    <w:rsid w:val="00DF084B"/>
    <w:rsid w:val="00DF1059"/>
    <w:rsid w:val="00E201F2"/>
    <w:rsid w:val="00E208E4"/>
    <w:rsid w:val="00E26BBC"/>
    <w:rsid w:val="00E32D43"/>
    <w:rsid w:val="00E3549D"/>
    <w:rsid w:val="00E355E5"/>
    <w:rsid w:val="00E4021E"/>
    <w:rsid w:val="00E44424"/>
    <w:rsid w:val="00E46A11"/>
    <w:rsid w:val="00E46FA5"/>
    <w:rsid w:val="00E8571F"/>
    <w:rsid w:val="00E911B0"/>
    <w:rsid w:val="00E93619"/>
    <w:rsid w:val="00EA50C6"/>
    <w:rsid w:val="00EA687B"/>
    <w:rsid w:val="00EC353C"/>
    <w:rsid w:val="00ED6DFE"/>
    <w:rsid w:val="00EE029F"/>
    <w:rsid w:val="00EF036F"/>
    <w:rsid w:val="00F1088E"/>
    <w:rsid w:val="00F155EF"/>
    <w:rsid w:val="00F25804"/>
    <w:rsid w:val="00F47DBB"/>
    <w:rsid w:val="00F5350D"/>
    <w:rsid w:val="00F668B8"/>
    <w:rsid w:val="00F922C3"/>
    <w:rsid w:val="00FA16B1"/>
    <w:rsid w:val="00FB485F"/>
    <w:rsid w:val="00FD136B"/>
    <w:rsid w:val="00FE4A4A"/>
    <w:rsid w:val="010B405F"/>
    <w:rsid w:val="02296E92"/>
    <w:rsid w:val="02647ECA"/>
    <w:rsid w:val="029E162E"/>
    <w:rsid w:val="04771EB1"/>
    <w:rsid w:val="061B402B"/>
    <w:rsid w:val="073836D3"/>
    <w:rsid w:val="08E6788B"/>
    <w:rsid w:val="09414AC1"/>
    <w:rsid w:val="0A4A5BF8"/>
    <w:rsid w:val="0A5371A2"/>
    <w:rsid w:val="0A720708"/>
    <w:rsid w:val="0B9C2483"/>
    <w:rsid w:val="0BAE21B6"/>
    <w:rsid w:val="0C1F4E62"/>
    <w:rsid w:val="0CEB1914"/>
    <w:rsid w:val="0D1A3FA7"/>
    <w:rsid w:val="0D703BC7"/>
    <w:rsid w:val="0DD8176C"/>
    <w:rsid w:val="0F0E3698"/>
    <w:rsid w:val="0F916077"/>
    <w:rsid w:val="0FF705D0"/>
    <w:rsid w:val="10D601E5"/>
    <w:rsid w:val="1102722C"/>
    <w:rsid w:val="110A60E1"/>
    <w:rsid w:val="119836EC"/>
    <w:rsid w:val="11CB5870"/>
    <w:rsid w:val="11CC3396"/>
    <w:rsid w:val="13280AA0"/>
    <w:rsid w:val="137A1F8F"/>
    <w:rsid w:val="13E26EA1"/>
    <w:rsid w:val="143D2059"/>
    <w:rsid w:val="1474596D"/>
    <w:rsid w:val="148E0DD7"/>
    <w:rsid w:val="156F04F5"/>
    <w:rsid w:val="16551BAC"/>
    <w:rsid w:val="166718DF"/>
    <w:rsid w:val="16781D3E"/>
    <w:rsid w:val="168D4FBD"/>
    <w:rsid w:val="16D03928"/>
    <w:rsid w:val="17085049"/>
    <w:rsid w:val="174F2A9F"/>
    <w:rsid w:val="177469AA"/>
    <w:rsid w:val="17D3547E"/>
    <w:rsid w:val="17FD699F"/>
    <w:rsid w:val="186360E8"/>
    <w:rsid w:val="18CF3697"/>
    <w:rsid w:val="191F46F3"/>
    <w:rsid w:val="193753F0"/>
    <w:rsid w:val="19A370D2"/>
    <w:rsid w:val="1A09162B"/>
    <w:rsid w:val="1A1764D0"/>
    <w:rsid w:val="1A661D41"/>
    <w:rsid w:val="1A8868F4"/>
    <w:rsid w:val="1A98650B"/>
    <w:rsid w:val="1ABA0EAD"/>
    <w:rsid w:val="1AE71241"/>
    <w:rsid w:val="1B522B5E"/>
    <w:rsid w:val="1B705779"/>
    <w:rsid w:val="1BAA006D"/>
    <w:rsid w:val="1BE6075E"/>
    <w:rsid w:val="1DA86CDF"/>
    <w:rsid w:val="1DB95116"/>
    <w:rsid w:val="1DC15D79"/>
    <w:rsid w:val="1DCD6993"/>
    <w:rsid w:val="1E682698"/>
    <w:rsid w:val="1ECA6EAF"/>
    <w:rsid w:val="1F334A54"/>
    <w:rsid w:val="1FAB4F33"/>
    <w:rsid w:val="204131A1"/>
    <w:rsid w:val="20511636"/>
    <w:rsid w:val="209239FD"/>
    <w:rsid w:val="20CE41AC"/>
    <w:rsid w:val="22032E04"/>
    <w:rsid w:val="225E44DE"/>
    <w:rsid w:val="22943A5C"/>
    <w:rsid w:val="229C2E4C"/>
    <w:rsid w:val="22CE3412"/>
    <w:rsid w:val="230E1876"/>
    <w:rsid w:val="24455AB5"/>
    <w:rsid w:val="245B6F27"/>
    <w:rsid w:val="251B0465"/>
    <w:rsid w:val="253908EB"/>
    <w:rsid w:val="25733DFD"/>
    <w:rsid w:val="26557D04"/>
    <w:rsid w:val="26C16DEA"/>
    <w:rsid w:val="26D1527F"/>
    <w:rsid w:val="27BB6AD5"/>
    <w:rsid w:val="27FC632B"/>
    <w:rsid w:val="294E705B"/>
    <w:rsid w:val="29915199"/>
    <w:rsid w:val="299D769A"/>
    <w:rsid w:val="29DC6474"/>
    <w:rsid w:val="2B1128DD"/>
    <w:rsid w:val="2B602760"/>
    <w:rsid w:val="2B797C93"/>
    <w:rsid w:val="2B8F4BA1"/>
    <w:rsid w:val="2C5F50DB"/>
    <w:rsid w:val="2CE45DD5"/>
    <w:rsid w:val="2D2B320F"/>
    <w:rsid w:val="2D6B2CC4"/>
    <w:rsid w:val="2DE03FF9"/>
    <w:rsid w:val="2E1B2886"/>
    <w:rsid w:val="2E494294"/>
    <w:rsid w:val="2E50117F"/>
    <w:rsid w:val="2EBA343A"/>
    <w:rsid w:val="2EC76F67"/>
    <w:rsid w:val="2F0A695D"/>
    <w:rsid w:val="2F1523C9"/>
    <w:rsid w:val="2F4B1946"/>
    <w:rsid w:val="31DB4F7F"/>
    <w:rsid w:val="31E06CBE"/>
    <w:rsid w:val="31F77B64"/>
    <w:rsid w:val="322C5A5F"/>
    <w:rsid w:val="327F0285"/>
    <w:rsid w:val="3317347D"/>
    <w:rsid w:val="33E32C9F"/>
    <w:rsid w:val="33F97BC3"/>
    <w:rsid w:val="343230D5"/>
    <w:rsid w:val="3482405C"/>
    <w:rsid w:val="35F34D17"/>
    <w:rsid w:val="3619279E"/>
    <w:rsid w:val="366A124C"/>
    <w:rsid w:val="368045CB"/>
    <w:rsid w:val="36CC15BF"/>
    <w:rsid w:val="375C6DE7"/>
    <w:rsid w:val="37D22C05"/>
    <w:rsid w:val="37D83F93"/>
    <w:rsid w:val="383733B0"/>
    <w:rsid w:val="38477F73"/>
    <w:rsid w:val="38763ED8"/>
    <w:rsid w:val="3A331955"/>
    <w:rsid w:val="3B051543"/>
    <w:rsid w:val="3B4A33FA"/>
    <w:rsid w:val="3BCE5DD9"/>
    <w:rsid w:val="3BEA2B88"/>
    <w:rsid w:val="3D3659E4"/>
    <w:rsid w:val="3DFF04CC"/>
    <w:rsid w:val="3E1A3557"/>
    <w:rsid w:val="3E241CE0"/>
    <w:rsid w:val="3EE651E8"/>
    <w:rsid w:val="3EED650D"/>
    <w:rsid w:val="3FC62645"/>
    <w:rsid w:val="40CB6D8B"/>
    <w:rsid w:val="411918A4"/>
    <w:rsid w:val="41A32140"/>
    <w:rsid w:val="41C51A2C"/>
    <w:rsid w:val="42002A64"/>
    <w:rsid w:val="421D7DAC"/>
    <w:rsid w:val="425A2175"/>
    <w:rsid w:val="42C27D1A"/>
    <w:rsid w:val="43B50B7A"/>
    <w:rsid w:val="445D71F5"/>
    <w:rsid w:val="44BF2763"/>
    <w:rsid w:val="45181E73"/>
    <w:rsid w:val="459042A1"/>
    <w:rsid w:val="45F06DE5"/>
    <w:rsid w:val="45F23EE8"/>
    <w:rsid w:val="4607616F"/>
    <w:rsid w:val="461E170B"/>
    <w:rsid w:val="46AE0CE1"/>
    <w:rsid w:val="47867568"/>
    <w:rsid w:val="47B40579"/>
    <w:rsid w:val="47F72214"/>
    <w:rsid w:val="484216E1"/>
    <w:rsid w:val="49757A7C"/>
    <w:rsid w:val="49AF724A"/>
    <w:rsid w:val="49E07403"/>
    <w:rsid w:val="4B490FD8"/>
    <w:rsid w:val="4C3C0B3D"/>
    <w:rsid w:val="4C9E7102"/>
    <w:rsid w:val="4CC36B68"/>
    <w:rsid w:val="4CE27936"/>
    <w:rsid w:val="4D0258E3"/>
    <w:rsid w:val="4D245859"/>
    <w:rsid w:val="4FA233AD"/>
    <w:rsid w:val="500B77F3"/>
    <w:rsid w:val="504D50C7"/>
    <w:rsid w:val="51C260B6"/>
    <w:rsid w:val="524677A9"/>
    <w:rsid w:val="532F4F57"/>
    <w:rsid w:val="53487DC7"/>
    <w:rsid w:val="53620E89"/>
    <w:rsid w:val="536966BB"/>
    <w:rsid w:val="5395404E"/>
    <w:rsid w:val="53A144BB"/>
    <w:rsid w:val="54B6071F"/>
    <w:rsid w:val="54BC694F"/>
    <w:rsid w:val="54D66B5F"/>
    <w:rsid w:val="55254496"/>
    <w:rsid w:val="559D43FA"/>
    <w:rsid w:val="55A21A11"/>
    <w:rsid w:val="560A5808"/>
    <w:rsid w:val="56353D5A"/>
    <w:rsid w:val="569D042A"/>
    <w:rsid w:val="589663A1"/>
    <w:rsid w:val="58F72073"/>
    <w:rsid w:val="59991F80"/>
    <w:rsid w:val="59C208D3"/>
    <w:rsid w:val="59F760A3"/>
    <w:rsid w:val="5A3317D1"/>
    <w:rsid w:val="5A625C12"/>
    <w:rsid w:val="5AB204AA"/>
    <w:rsid w:val="5CA50038"/>
    <w:rsid w:val="5CB169DD"/>
    <w:rsid w:val="5CB63FF4"/>
    <w:rsid w:val="5CF05758"/>
    <w:rsid w:val="5D740137"/>
    <w:rsid w:val="5E0314BA"/>
    <w:rsid w:val="5E4C4C10"/>
    <w:rsid w:val="5E81746C"/>
    <w:rsid w:val="5F085EA3"/>
    <w:rsid w:val="5F201814"/>
    <w:rsid w:val="5F4D5D40"/>
    <w:rsid w:val="5F526256"/>
    <w:rsid w:val="5F920D48"/>
    <w:rsid w:val="6089214B"/>
    <w:rsid w:val="61453A27"/>
    <w:rsid w:val="617526CF"/>
    <w:rsid w:val="62375BD7"/>
    <w:rsid w:val="62744735"/>
    <w:rsid w:val="627666FF"/>
    <w:rsid w:val="6393508F"/>
    <w:rsid w:val="645667E8"/>
    <w:rsid w:val="65312DB1"/>
    <w:rsid w:val="65510D5D"/>
    <w:rsid w:val="656B48D2"/>
    <w:rsid w:val="65861A1B"/>
    <w:rsid w:val="65CE6852"/>
    <w:rsid w:val="65E41BD1"/>
    <w:rsid w:val="669C24AC"/>
    <w:rsid w:val="66A80E51"/>
    <w:rsid w:val="66D25ECE"/>
    <w:rsid w:val="66E83943"/>
    <w:rsid w:val="67414E3C"/>
    <w:rsid w:val="68ED6FEF"/>
    <w:rsid w:val="695E7EED"/>
    <w:rsid w:val="69807E63"/>
    <w:rsid w:val="6A3D3FA6"/>
    <w:rsid w:val="6B8754D9"/>
    <w:rsid w:val="6BCE3108"/>
    <w:rsid w:val="6BDB5825"/>
    <w:rsid w:val="6C272818"/>
    <w:rsid w:val="6C8F6D86"/>
    <w:rsid w:val="6CB22A29"/>
    <w:rsid w:val="6CC6050B"/>
    <w:rsid w:val="6D9026E1"/>
    <w:rsid w:val="6D9049D9"/>
    <w:rsid w:val="6E6C5E96"/>
    <w:rsid w:val="6E7D37AB"/>
    <w:rsid w:val="6E8201DA"/>
    <w:rsid w:val="6EC24A7A"/>
    <w:rsid w:val="6F467459"/>
    <w:rsid w:val="6F4F1071"/>
    <w:rsid w:val="6FC544AB"/>
    <w:rsid w:val="6FD20CED"/>
    <w:rsid w:val="700C06A3"/>
    <w:rsid w:val="70231548"/>
    <w:rsid w:val="706F478E"/>
    <w:rsid w:val="70F3716D"/>
    <w:rsid w:val="713610BF"/>
    <w:rsid w:val="71EE5621"/>
    <w:rsid w:val="71FC5BF3"/>
    <w:rsid w:val="72111FA0"/>
    <w:rsid w:val="72C15774"/>
    <w:rsid w:val="73DB2866"/>
    <w:rsid w:val="74101FFE"/>
    <w:rsid w:val="74277AC4"/>
    <w:rsid w:val="748A603A"/>
    <w:rsid w:val="7521074C"/>
    <w:rsid w:val="75AB270C"/>
    <w:rsid w:val="75AD3D8E"/>
    <w:rsid w:val="75D532E5"/>
    <w:rsid w:val="76F93003"/>
    <w:rsid w:val="774626EC"/>
    <w:rsid w:val="775C3CBE"/>
    <w:rsid w:val="77A411C1"/>
    <w:rsid w:val="77D31B2E"/>
    <w:rsid w:val="782E23C1"/>
    <w:rsid w:val="78372035"/>
    <w:rsid w:val="78AC657F"/>
    <w:rsid w:val="79366790"/>
    <w:rsid w:val="79517126"/>
    <w:rsid w:val="79D51B05"/>
    <w:rsid w:val="79F4493E"/>
    <w:rsid w:val="7B8A4C7B"/>
    <w:rsid w:val="7C8A307B"/>
    <w:rsid w:val="7DE70059"/>
    <w:rsid w:val="7DEC38C1"/>
    <w:rsid w:val="7E5D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spacing w:before="260" w:after="260" w:line="413" w:lineRule="auto"/>
      <w:outlineLvl w:val="2"/>
    </w:pPr>
    <w:rPr>
      <w:b/>
      <w:bCs/>
      <w:sz w:val="32"/>
      <w:szCs w:val="32"/>
    </w:rPr>
  </w:style>
  <w:style w:type="paragraph" w:styleId="5">
    <w:name w:val="heading 4"/>
    <w:basedOn w:val="1"/>
    <w:next w:val="1"/>
    <w:link w:val="6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6"/>
    <w:qFormat/>
    <w:uiPriority w:val="0"/>
    <w:pPr>
      <w:keepNext/>
      <w:keepLines/>
      <w:spacing w:before="280" w:after="290" w:line="372" w:lineRule="auto"/>
      <w:outlineLvl w:val="4"/>
    </w:pPr>
    <w:rPr>
      <w:b/>
      <w:sz w:val="28"/>
    </w:rPr>
  </w:style>
  <w:style w:type="paragraph" w:styleId="8">
    <w:name w:val="heading 6"/>
    <w:basedOn w:val="1"/>
    <w:next w:val="7"/>
    <w:link w:val="67"/>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8"/>
    <w:qFormat/>
    <w:uiPriority w:val="0"/>
    <w:pPr>
      <w:keepNext/>
      <w:keepLines/>
      <w:spacing w:before="240" w:after="64" w:line="317" w:lineRule="auto"/>
      <w:outlineLvl w:val="6"/>
    </w:pPr>
    <w:rPr>
      <w:b/>
      <w:sz w:val="24"/>
    </w:rPr>
  </w:style>
  <w:style w:type="paragraph" w:styleId="10">
    <w:name w:val="heading 8"/>
    <w:basedOn w:val="1"/>
    <w:next w:val="7"/>
    <w:link w:val="69"/>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0"/>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1"/>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2"/>
    <w:qFormat/>
    <w:uiPriority w:val="0"/>
    <w:pPr>
      <w:jc w:val="left"/>
    </w:pPr>
  </w:style>
  <w:style w:type="paragraph" w:styleId="18">
    <w:name w:val="Body Text 3"/>
    <w:basedOn w:val="1"/>
    <w:link w:val="73"/>
    <w:qFormat/>
    <w:uiPriority w:val="0"/>
    <w:pPr>
      <w:spacing w:line="500" w:lineRule="exact"/>
    </w:pPr>
    <w:rPr>
      <w:b/>
      <w:bCs/>
      <w:sz w:val="24"/>
    </w:rPr>
  </w:style>
  <w:style w:type="paragraph" w:styleId="19">
    <w:name w:val="Body Text"/>
    <w:basedOn w:val="1"/>
    <w:next w:val="20"/>
    <w:link w:val="74"/>
    <w:qFormat/>
    <w:uiPriority w:val="99"/>
    <w:pPr>
      <w:spacing w:line="380" w:lineRule="exact"/>
    </w:pPr>
    <w:rPr>
      <w:sz w:val="24"/>
    </w:rPr>
  </w:style>
  <w:style w:type="paragraph" w:customStyle="1" w:styleId="2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1">
    <w:name w:val="Body Text Indent"/>
    <w:basedOn w:val="1"/>
    <w:next w:val="1"/>
    <w:link w:val="75"/>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
    <w:link w:val="76"/>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7"/>
    <w:qFormat/>
    <w:uiPriority w:val="0"/>
    <w:pPr>
      <w:ind w:left="100" w:leftChars="2500"/>
    </w:pPr>
    <w:rPr>
      <w:rFonts w:ascii="宋体" w:hAnsi="Courier New"/>
      <w:szCs w:val="21"/>
    </w:rPr>
  </w:style>
  <w:style w:type="paragraph" w:styleId="30">
    <w:name w:val="Body Text Indent 2"/>
    <w:basedOn w:val="1"/>
    <w:link w:val="78"/>
    <w:qFormat/>
    <w:uiPriority w:val="0"/>
    <w:pPr>
      <w:ind w:firstLine="630"/>
    </w:pPr>
    <w:rPr>
      <w:sz w:val="32"/>
      <w:szCs w:val="20"/>
    </w:rPr>
  </w:style>
  <w:style w:type="paragraph" w:styleId="31">
    <w:name w:val="Balloon Text"/>
    <w:basedOn w:val="1"/>
    <w:link w:val="79"/>
    <w:qFormat/>
    <w:uiPriority w:val="0"/>
    <w:rPr>
      <w:sz w:val="18"/>
      <w:szCs w:val="18"/>
    </w:rPr>
  </w:style>
  <w:style w:type="paragraph" w:styleId="32">
    <w:name w:val="footer"/>
    <w:basedOn w:val="1"/>
    <w:link w:val="62"/>
    <w:unhideWhenUsed/>
    <w:qFormat/>
    <w:uiPriority w:val="99"/>
    <w:pPr>
      <w:tabs>
        <w:tab w:val="center" w:pos="4153"/>
        <w:tab w:val="right" w:pos="8306"/>
      </w:tabs>
      <w:snapToGrid w:val="0"/>
      <w:jc w:val="left"/>
    </w:pPr>
    <w:rPr>
      <w:sz w:val="18"/>
      <w:szCs w:val="18"/>
    </w:rPr>
  </w:style>
  <w:style w:type="paragraph" w:styleId="33">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0"/>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3"/>
    <w:qFormat/>
    <w:uiPriority w:val="0"/>
    <w:pPr>
      <w:jc w:val="center"/>
    </w:pPr>
    <w:rPr>
      <w:sz w:val="30"/>
    </w:rPr>
  </w:style>
  <w:style w:type="paragraph" w:styleId="49">
    <w:name w:val="annotation subject"/>
    <w:basedOn w:val="17"/>
    <w:next w:val="17"/>
    <w:link w:val="84"/>
    <w:qFormat/>
    <w:uiPriority w:val="0"/>
    <w:rPr>
      <w:b/>
      <w:bCs/>
    </w:rPr>
  </w:style>
  <w:style w:type="paragraph" w:styleId="50">
    <w:name w:val="Body Text First Indent"/>
    <w:basedOn w:val="19"/>
    <w:link w:val="85"/>
    <w:qFormat/>
    <w:uiPriority w:val="0"/>
    <w:pPr>
      <w:spacing w:after="120" w:line="240" w:lineRule="auto"/>
      <w:ind w:firstLine="420" w:firstLineChars="100"/>
    </w:pPr>
    <w:rPr>
      <w:sz w:val="21"/>
    </w:rPr>
  </w:style>
  <w:style w:type="paragraph" w:styleId="51">
    <w:name w:val="Body Text First Indent 2"/>
    <w:basedOn w:val="21"/>
    <w:next w:val="1"/>
    <w:link w:val="86"/>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Hyperlink"/>
    <w:basedOn w:val="54"/>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basedOn w:val="54"/>
    <w:link w:val="2"/>
    <w:qFormat/>
    <w:uiPriority w:val="9"/>
    <w:rPr>
      <w:rFonts w:ascii="Times New Roman" w:hAnsi="Times New Roman" w:eastAsia="宋体" w:cs="Times New Roman"/>
      <w:b/>
      <w:bCs/>
      <w:kern w:val="44"/>
      <w:sz w:val="44"/>
      <w:szCs w:val="44"/>
    </w:rPr>
  </w:style>
  <w:style w:type="character" w:customStyle="1" w:styleId="61">
    <w:name w:val="页眉 字符"/>
    <w:basedOn w:val="54"/>
    <w:link w:val="33"/>
    <w:qFormat/>
    <w:uiPriority w:val="99"/>
    <w:rPr>
      <w:sz w:val="18"/>
      <w:szCs w:val="18"/>
    </w:rPr>
  </w:style>
  <w:style w:type="character" w:customStyle="1" w:styleId="62">
    <w:name w:val="页脚 字符"/>
    <w:basedOn w:val="54"/>
    <w:link w:val="32"/>
    <w:qFormat/>
    <w:uiPriority w:val="99"/>
    <w:rPr>
      <w:sz w:val="18"/>
      <w:szCs w:val="18"/>
    </w:rPr>
  </w:style>
  <w:style w:type="character" w:customStyle="1" w:styleId="63">
    <w:name w:val="标题 2 字符"/>
    <w:basedOn w:val="54"/>
    <w:link w:val="3"/>
    <w:qFormat/>
    <w:uiPriority w:val="0"/>
    <w:rPr>
      <w:rFonts w:ascii="Arial" w:hAnsi="Arial" w:eastAsia="黑体" w:cs="Times New Roman"/>
      <w:b/>
      <w:bCs/>
      <w:sz w:val="32"/>
      <w:szCs w:val="32"/>
    </w:rPr>
  </w:style>
  <w:style w:type="character" w:customStyle="1" w:styleId="64">
    <w:name w:val="标题 3 字符"/>
    <w:basedOn w:val="54"/>
    <w:link w:val="4"/>
    <w:qFormat/>
    <w:uiPriority w:val="0"/>
    <w:rPr>
      <w:rFonts w:ascii="Times New Roman" w:hAnsi="Times New Roman" w:eastAsia="宋体" w:cs="Times New Roman"/>
      <w:b/>
      <w:bCs/>
      <w:sz w:val="32"/>
      <w:szCs w:val="32"/>
    </w:rPr>
  </w:style>
  <w:style w:type="character" w:customStyle="1" w:styleId="65">
    <w:name w:val="标题 4 字符"/>
    <w:basedOn w:val="54"/>
    <w:link w:val="5"/>
    <w:qFormat/>
    <w:uiPriority w:val="0"/>
    <w:rPr>
      <w:rFonts w:ascii="Arial" w:hAnsi="Arial" w:eastAsia="黑体" w:cs="Times New Roman"/>
      <w:kern w:val="0"/>
      <w:sz w:val="28"/>
      <w:szCs w:val="20"/>
    </w:rPr>
  </w:style>
  <w:style w:type="character" w:customStyle="1" w:styleId="66">
    <w:name w:val="标题 5 字符"/>
    <w:basedOn w:val="54"/>
    <w:link w:val="6"/>
    <w:qFormat/>
    <w:uiPriority w:val="0"/>
    <w:rPr>
      <w:rFonts w:ascii="Times New Roman" w:hAnsi="Times New Roman" w:eastAsia="宋体" w:cs="Times New Roman"/>
      <w:b/>
      <w:sz w:val="28"/>
      <w:szCs w:val="24"/>
    </w:rPr>
  </w:style>
  <w:style w:type="character" w:customStyle="1" w:styleId="67">
    <w:name w:val="标题 6 字符"/>
    <w:basedOn w:val="54"/>
    <w:link w:val="8"/>
    <w:qFormat/>
    <w:uiPriority w:val="0"/>
    <w:rPr>
      <w:rFonts w:ascii="Arial" w:hAnsi="Arial" w:eastAsia="黑体" w:cs="Times New Roman"/>
      <w:b/>
      <w:sz w:val="24"/>
      <w:szCs w:val="24"/>
    </w:rPr>
  </w:style>
  <w:style w:type="character" w:customStyle="1" w:styleId="68">
    <w:name w:val="标题 7 字符"/>
    <w:basedOn w:val="54"/>
    <w:link w:val="9"/>
    <w:qFormat/>
    <w:uiPriority w:val="0"/>
    <w:rPr>
      <w:rFonts w:ascii="Times New Roman" w:hAnsi="Times New Roman" w:eastAsia="宋体" w:cs="Times New Roman"/>
      <w:b/>
      <w:sz w:val="24"/>
      <w:szCs w:val="24"/>
    </w:rPr>
  </w:style>
  <w:style w:type="character" w:customStyle="1" w:styleId="69">
    <w:name w:val="标题 8 字符"/>
    <w:basedOn w:val="54"/>
    <w:link w:val="10"/>
    <w:qFormat/>
    <w:uiPriority w:val="0"/>
    <w:rPr>
      <w:rFonts w:ascii="Arial" w:hAnsi="Arial" w:eastAsia="黑体" w:cs="Times New Roman"/>
      <w:sz w:val="24"/>
      <w:szCs w:val="24"/>
    </w:rPr>
  </w:style>
  <w:style w:type="character" w:customStyle="1" w:styleId="70">
    <w:name w:val="标题 9 字符"/>
    <w:basedOn w:val="54"/>
    <w:link w:val="11"/>
    <w:qFormat/>
    <w:uiPriority w:val="0"/>
    <w:rPr>
      <w:rFonts w:ascii="Arial" w:hAnsi="Arial" w:eastAsia="黑体" w:cs="Times New Roman"/>
      <w:szCs w:val="24"/>
    </w:rPr>
  </w:style>
  <w:style w:type="character" w:customStyle="1" w:styleId="71">
    <w:name w:val="文档结构图 字符"/>
    <w:basedOn w:val="54"/>
    <w:link w:val="16"/>
    <w:qFormat/>
    <w:uiPriority w:val="0"/>
    <w:rPr>
      <w:rFonts w:ascii="Times New Roman" w:hAnsi="Times New Roman" w:eastAsia="宋体" w:cs="Times New Roman"/>
      <w:kern w:val="0"/>
      <w:szCs w:val="20"/>
      <w:shd w:val="clear" w:color="auto" w:fill="000080"/>
    </w:rPr>
  </w:style>
  <w:style w:type="character" w:customStyle="1" w:styleId="72">
    <w:name w:val="批注文字 字符2"/>
    <w:basedOn w:val="54"/>
    <w:link w:val="17"/>
    <w:qFormat/>
    <w:uiPriority w:val="0"/>
    <w:rPr>
      <w:rFonts w:ascii="Times New Roman" w:hAnsi="Times New Roman" w:eastAsia="宋体" w:cs="Times New Roman"/>
      <w:szCs w:val="24"/>
    </w:rPr>
  </w:style>
  <w:style w:type="character" w:customStyle="1" w:styleId="73">
    <w:name w:val="正文文本 3 字符"/>
    <w:basedOn w:val="54"/>
    <w:link w:val="18"/>
    <w:qFormat/>
    <w:uiPriority w:val="0"/>
    <w:rPr>
      <w:rFonts w:ascii="Times New Roman" w:hAnsi="Times New Roman" w:eastAsia="宋体" w:cs="Times New Roman"/>
      <w:b/>
      <w:bCs/>
      <w:sz w:val="24"/>
      <w:szCs w:val="24"/>
    </w:rPr>
  </w:style>
  <w:style w:type="character" w:customStyle="1" w:styleId="74">
    <w:name w:val="正文文本 字符"/>
    <w:basedOn w:val="54"/>
    <w:link w:val="19"/>
    <w:qFormat/>
    <w:uiPriority w:val="99"/>
    <w:rPr>
      <w:rFonts w:ascii="Times New Roman" w:hAnsi="Times New Roman" w:eastAsia="宋体" w:cs="Times New Roman"/>
      <w:sz w:val="24"/>
      <w:szCs w:val="24"/>
    </w:rPr>
  </w:style>
  <w:style w:type="character" w:customStyle="1" w:styleId="75">
    <w:name w:val="正文文本缩进 字符"/>
    <w:basedOn w:val="54"/>
    <w:link w:val="21"/>
    <w:qFormat/>
    <w:uiPriority w:val="99"/>
    <w:rPr>
      <w:rFonts w:ascii="仿宋_GB2312" w:hAnsi="Times New Roman" w:eastAsia="仿宋_GB2312" w:cs="Times New Roman"/>
      <w:sz w:val="32"/>
      <w:szCs w:val="20"/>
    </w:rPr>
  </w:style>
  <w:style w:type="character" w:customStyle="1" w:styleId="76">
    <w:name w:val="纯文本 字符2"/>
    <w:basedOn w:val="54"/>
    <w:link w:val="27"/>
    <w:qFormat/>
    <w:uiPriority w:val="0"/>
    <w:rPr>
      <w:rFonts w:ascii="宋体" w:hAnsi="Courier New" w:eastAsia="宋体" w:cs="Courier New"/>
      <w:szCs w:val="21"/>
    </w:rPr>
  </w:style>
  <w:style w:type="character" w:customStyle="1" w:styleId="77">
    <w:name w:val="日期 字符"/>
    <w:basedOn w:val="54"/>
    <w:link w:val="29"/>
    <w:qFormat/>
    <w:uiPriority w:val="0"/>
    <w:rPr>
      <w:rFonts w:ascii="宋体" w:hAnsi="Courier New" w:eastAsia="宋体" w:cs="Times New Roman"/>
      <w:szCs w:val="21"/>
    </w:rPr>
  </w:style>
  <w:style w:type="character" w:customStyle="1" w:styleId="78">
    <w:name w:val="正文文本缩进 2 字符"/>
    <w:basedOn w:val="54"/>
    <w:link w:val="30"/>
    <w:qFormat/>
    <w:uiPriority w:val="0"/>
    <w:rPr>
      <w:rFonts w:ascii="Times New Roman" w:hAnsi="Times New Roman" w:eastAsia="宋体" w:cs="Times New Roman"/>
      <w:sz w:val="32"/>
      <w:szCs w:val="20"/>
    </w:rPr>
  </w:style>
  <w:style w:type="character" w:customStyle="1" w:styleId="79">
    <w:name w:val="批注框文本 字符"/>
    <w:basedOn w:val="54"/>
    <w:link w:val="31"/>
    <w:qFormat/>
    <w:uiPriority w:val="0"/>
    <w:rPr>
      <w:rFonts w:ascii="Times New Roman" w:hAnsi="Times New Roman" w:eastAsia="宋体" w:cs="Times New Roman"/>
      <w:sz w:val="18"/>
      <w:szCs w:val="18"/>
    </w:rPr>
  </w:style>
  <w:style w:type="character" w:customStyle="1" w:styleId="80">
    <w:name w:val="正文文本缩进 3 字符"/>
    <w:basedOn w:val="54"/>
    <w:link w:val="39"/>
    <w:qFormat/>
    <w:uiPriority w:val="0"/>
    <w:rPr>
      <w:rFonts w:ascii="Times New Roman" w:hAnsi="Times New Roman" w:eastAsia="宋体" w:cs="Times New Roman"/>
      <w:sz w:val="16"/>
      <w:szCs w:val="16"/>
    </w:rPr>
  </w:style>
  <w:style w:type="character" w:customStyle="1" w:styleId="81">
    <w:name w:val="正文文本 2 字符"/>
    <w:basedOn w:val="54"/>
    <w:link w:val="42"/>
    <w:qFormat/>
    <w:uiPriority w:val="0"/>
    <w:rPr>
      <w:rFonts w:ascii="Times New Roman" w:hAnsi="Times New Roman" w:eastAsia="宋体" w:cs="Times New Roman"/>
      <w:szCs w:val="24"/>
    </w:rPr>
  </w:style>
  <w:style w:type="character" w:customStyle="1" w:styleId="82">
    <w:name w:val="HTML 预设格式 字符"/>
    <w:basedOn w:val="54"/>
    <w:link w:val="45"/>
    <w:qFormat/>
    <w:uiPriority w:val="0"/>
    <w:rPr>
      <w:rFonts w:ascii="黑体" w:hAnsi="Courier New" w:eastAsia="黑体" w:cs="Times New Roman"/>
      <w:kern w:val="0"/>
      <w:sz w:val="20"/>
      <w:szCs w:val="20"/>
    </w:rPr>
  </w:style>
  <w:style w:type="character" w:customStyle="1" w:styleId="83">
    <w:name w:val="标题 字符"/>
    <w:basedOn w:val="54"/>
    <w:link w:val="48"/>
    <w:qFormat/>
    <w:uiPriority w:val="0"/>
    <w:rPr>
      <w:rFonts w:ascii="Times New Roman" w:hAnsi="Times New Roman" w:eastAsia="宋体" w:cs="Times New Roman"/>
      <w:sz w:val="30"/>
      <w:szCs w:val="24"/>
    </w:rPr>
  </w:style>
  <w:style w:type="character" w:customStyle="1" w:styleId="84">
    <w:name w:val="批注主题 字符"/>
    <w:basedOn w:val="72"/>
    <w:link w:val="49"/>
    <w:qFormat/>
    <w:uiPriority w:val="0"/>
    <w:rPr>
      <w:rFonts w:ascii="Times New Roman" w:hAnsi="Times New Roman" w:eastAsia="宋体" w:cs="Times New Roman"/>
      <w:b/>
      <w:bCs/>
      <w:szCs w:val="24"/>
    </w:rPr>
  </w:style>
  <w:style w:type="character" w:customStyle="1" w:styleId="85">
    <w:name w:val="正文首行缩进 字符"/>
    <w:basedOn w:val="74"/>
    <w:link w:val="50"/>
    <w:qFormat/>
    <w:uiPriority w:val="0"/>
    <w:rPr>
      <w:rFonts w:ascii="Times New Roman" w:hAnsi="Times New Roman" w:eastAsia="宋体" w:cs="Times New Roman"/>
      <w:sz w:val="24"/>
      <w:szCs w:val="24"/>
    </w:rPr>
  </w:style>
  <w:style w:type="character" w:customStyle="1" w:styleId="86">
    <w:name w:val="正文首行缩进 2 字符"/>
    <w:basedOn w:val="75"/>
    <w:link w:val="51"/>
    <w:qFormat/>
    <w:uiPriority w:val="0"/>
    <w:rPr>
      <w:rFonts w:ascii="Times New Roman" w:hAnsi="Times New Roman" w:eastAsia="宋体" w:cs="Times New Roman"/>
      <w:sz w:val="32"/>
      <w:szCs w:val="24"/>
    </w:rPr>
  </w:style>
  <w:style w:type="character" w:customStyle="1" w:styleId="87">
    <w:name w:val="纯文本 字符1"/>
    <w:qFormat/>
    <w:uiPriority w:val="99"/>
    <w:rPr>
      <w:rFonts w:ascii="宋体" w:hAnsi="Courier New" w:eastAsia="宋体" w:cs="Courier New"/>
      <w:kern w:val="2"/>
      <w:sz w:val="21"/>
      <w:szCs w:val="21"/>
      <w:lang w:val="en-US" w:eastAsia="zh-CN" w:bidi="ar-SA"/>
    </w:rPr>
  </w:style>
  <w:style w:type="character" w:customStyle="1" w:styleId="88">
    <w:name w:val="content2"/>
    <w:qFormat/>
    <w:uiPriority w:val="0"/>
  </w:style>
  <w:style w:type="character" w:customStyle="1" w:styleId="89">
    <w:name w:val="批注文字 字符1"/>
    <w:qFormat/>
    <w:uiPriority w:val="0"/>
    <w:rPr>
      <w:kern w:val="2"/>
      <w:sz w:val="21"/>
      <w:szCs w:val="24"/>
    </w:rPr>
  </w:style>
  <w:style w:type="character" w:customStyle="1" w:styleId="90">
    <w:name w:val="标题3 Char"/>
    <w:link w:val="91"/>
    <w:qFormat/>
    <w:uiPriority w:val="0"/>
    <w:rPr>
      <w:rFonts w:ascii="宋体" w:hAnsi="宋体"/>
      <w:b/>
      <w:bCs/>
      <w:kern w:val="44"/>
      <w:sz w:val="24"/>
      <w:szCs w:val="24"/>
    </w:rPr>
  </w:style>
  <w:style w:type="paragraph" w:customStyle="1" w:styleId="91">
    <w:name w:val="标题3"/>
    <w:basedOn w:val="2"/>
    <w:link w:val="90"/>
    <w:qFormat/>
    <w:uiPriority w:val="0"/>
    <w:pPr>
      <w:spacing w:beforeLines="50" w:afterLines="50" w:line="400" w:lineRule="exact"/>
    </w:pPr>
    <w:rPr>
      <w:rFonts w:ascii="宋体" w:hAnsi="宋体" w:eastAsiaTheme="minorEastAsia" w:cstheme="minorBidi"/>
      <w:sz w:val="24"/>
      <w:szCs w:val="24"/>
    </w:rPr>
  </w:style>
  <w:style w:type="character" w:customStyle="1" w:styleId="92">
    <w:name w:val="正文-2字符首行缩进 Char"/>
    <w:link w:val="93"/>
    <w:qFormat/>
    <w:uiPriority w:val="0"/>
    <w:rPr>
      <w:rFonts w:ascii="仿宋_GB2312" w:hAnsi="Calibri" w:eastAsia="仿宋_GB2312"/>
      <w:sz w:val="28"/>
    </w:rPr>
  </w:style>
  <w:style w:type="paragraph" w:customStyle="1" w:styleId="93">
    <w:name w:val="正文-2字符首行缩进"/>
    <w:basedOn w:val="1"/>
    <w:link w:val="92"/>
    <w:qFormat/>
    <w:uiPriority w:val="0"/>
    <w:pPr>
      <w:widowControl/>
      <w:spacing w:line="360" w:lineRule="auto"/>
      <w:ind w:firstLine="200" w:firstLineChars="200"/>
    </w:pPr>
    <w:rPr>
      <w:rFonts w:ascii="仿宋_GB2312" w:hAnsi="Calibri" w:eastAsia="仿宋_GB2312" w:cstheme="minorBidi"/>
      <w:sz w:val="28"/>
      <w:szCs w:val="22"/>
    </w:rPr>
  </w:style>
  <w:style w:type="character" w:customStyle="1" w:styleId="94">
    <w:name w:val="1ji Char"/>
    <w:link w:val="95"/>
    <w:qFormat/>
    <w:uiPriority w:val="0"/>
    <w:rPr>
      <w:rFonts w:ascii="宋体" w:hAnsi="宋体" w:eastAsia="宋体"/>
      <w:b/>
      <w:bCs/>
      <w:kern w:val="44"/>
      <w:sz w:val="36"/>
      <w:szCs w:val="44"/>
    </w:rPr>
  </w:style>
  <w:style w:type="paragraph" w:customStyle="1" w:styleId="95">
    <w:name w:val="1ji"/>
    <w:basedOn w:val="2"/>
    <w:link w:val="94"/>
    <w:qFormat/>
    <w:uiPriority w:val="0"/>
    <w:pPr>
      <w:keepLines w:val="0"/>
      <w:widowControl/>
      <w:spacing w:before="0" w:after="0" w:line="240" w:lineRule="auto"/>
      <w:jc w:val="center"/>
    </w:pPr>
    <w:rPr>
      <w:rFonts w:ascii="宋体" w:hAnsi="宋体" w:cstheme="minorBidi"/>
      <w:sz w:val="36"/>
    </w:rPr>
  </w:style>
  <w:style w:type="character" w:customStyle="1" w:styleId="96">
    <w:name w:val="style11"/>
    <w:qFormat/>
    <w:uiPriority w:val="0"/>
    <w:rPr>
      <w:rFonts w:hint="default" w:ascii="Arial" w:hAnsi="Arial" w:cs="Arial"/>
    </w:rPr>
  </w:style>
  <w:style w:type="character" w:customStyle="1" w:styleId="97">
    <w:name w:val="批注文字 字符"/>
    <w:semiHidden/>
    <w:qFormat/>
    <w:uiPriority w:val="99"/>
  </w:style>
  <w:style w:type="character" w:customStyle="1" w:styleId="98">
    <w:name w:val="批注文字 Char2"/>
    <w:qFormat/>
    <w:uiPriority w:val="0"/>
    <w:rPr>
      <w:kern w:val="2"/>
      <w:sz w:val="21"/>
      <w:szCs w:val="24"/>
      <w:lang w:bidi="ar-SA"/>
    </w:rPr>
  </w:style>
  <w:style w:type="character" w:customStyle="1" w:styleId="99">
    <w:name w:val="未处理的提及"/>
    <w:unhideWhenUsed/>
    <w:qFormat/>
    <w:uiPriority w:val="99"/>
    <w:rPr>
      <w:color w:val="605E5C"/>
      <w:shd w:val="clear" w:color="auto" w:fill="E1DFDD"/>
    </w:rPr>
  </w:style>
  <w:style w:type="character" w:customStyle="1" w:styleId="100">
    <w:name w:val="正文文本 字符1"/>
    <w:qFormat/>
    <w:uiPriority w:val="99"/>
    <w:rPr>
      <w:kern w:val="2"/>
      <w:sz w:val="24"/>
      <w:szCs w:val="24"/>
    </w:rPr>
  </w:style>
  <w:style w:type="character" w:customStyle="1" w:styleId="101">
    <w:name w:val="1051"/>
    <w:qFormat/>
    <w:uiPriority w:val="0"/>
    <w:rPr>
      <w:sz w:val="21"/>
      <w:szCs w:val="21"/>
    </w:rPr>
  </w:style>
  <w:style w:type="character" w:customStyle="1" w:styleId="102">
    <w:name w:val="font01"/>
    <w:qFormat/>
    <w:uiPriority w:val="0"/>
    <w:rPr>
      <w:rFonts w:hint="eastAsia" w:ascii="宋体" w:hAnsi="宋体" w:eastAsia="宋体"/>
      <w:color w:val="000000"/>
      <w:sz w:val="22"/>
      <w:szCs w:val="22"/>
      <w:u w:val="none"/>
    </w:rPr>
  </w:style>
  <w:style w:type="character" w:customStyle="1" w:styleId="103">
    <w:name w:val="style21"/>
    <w:qFormat/>
    <w:uiPriority w:val="0"/>
    <w:rPr>
      <w:sz w:val="17"/>
      <w:szCs w:val="17"/>
    </w:rPr>
  </w:style>
  <w:style w:type="character" w:customStyle="1" w:styleId="104">
    <w:name w:val="纯文本 字符"/>
    <w:qFormat/>
    <w:uiPriority w:val="0"/>
    <w:rPr>
      <w:rFonts w:ascii="宋体" w:hAnsi="Courier New" w:eastAsia="宋体" w:cs="Courier New"/>
      <w:kern w:val="2"/>
      <w:sz w:val="21"/>
      <w:szCs w:val="21"/>
      <w:lang w:val="en-US" w:eastAsia="zh-CN" w:bidi="ar-SA"/>
    </w:rPr>
  </w:style>
  <w:style w:type="character" w:customStyle="1" w:styleId="105">
    <w:name w:val="text11"/>
    <w:qFormat/>
    <w:uiPriority w:val="0"/>
    <w:rPr>
      <w:rFonts w:hint="default" w:ascii="Verdana" w:hAnsi="Verdana"/>
      <w:color w:val="4E4E4E"/>
      <w:sz w:val="18"/>
      <w:szCs w:val="18"/>
    </w:rPr>
  </w:style>
  <w:style w:type="character" w:customStyle="1" w:styleId="106">
    <w:name w:val="graytext1"/>
    <w:qFormat/>
    <w:uiPriority w:val="0"/>
    <w:rPr>
      <w:color w:val="666666"/>
    </w:rPr>
  </w:style>
  <w:style w:type="character" w:customStyle="1" w:styleId="107">
    <w:name w:val="apple-converted-space"/>
    <w:qFormat/>
    <w:uiPriority w:val="0"/>
  </w:style>
  <w:style w:type="character" w:customStyle="1" w:styleId="108">
    <w:name w:val="white"/>
    <w:qFormat/>
    <w:uiPriority w:val="0"/>
  </w:style>
  <w:style w:type="character" w:customStyle="1" w:styleId="109">
    <w:name w:val="mark8"/>
    <w:qFormat/>
    <w:uiPriority w:val="0"/>
    <w:rPr>
      <w:b/>
      <w:bCs/>
      <w:sz w:val="21"/>
      <w:szCs w:val="21"/>
    </w:rPr>
  </w:style>
  <w:style w:type="character" w:customStyle="1" w:styleId="110">
    <w:name w:val="small"/>
    <w:qFormat/>
    <w:uiPriority w:val="0"/>
  </w:style>
  <w:style w:type="character" w:customStyle="1" w:styleId="111">
    <w:name w:val="case31"/>
    <w:qFormat/>
    <w:uiPriority w:val="0"/>
    <w:rPr>
      <w:rFonts w:hint="default"/>
      <w:sz w:val="21"/>
      <w:szCs w:val="21"/>
    </w:rPr>
  </w:style>
  <w:style w:type="character" w:customStyle="1" w:styleId="112">
    <w:name w:val="纯文本 Char2"/>
    <w:qFormat/>
    <w:uiPriority w:val="0"/>
    <w:rPr>
      <w:rFonts w:ascii="宋体" w:hAnsi="Courier New" w:cs="Courier New"/>
      <w:szCs w:val="21"/>
    </w:rPr>
  </w:style>
  <w:style w:type="character" w:customStyle="1" w:styleId="113">
    <w:name w:val="f151"/>
    <w:qFormat/>
    <w:uiPriority w:val="0"/>
    <w:rPr>
      <w:sz w:val="23"/>
      <w:szCs w:val="23"/>
    </w:rPr>
  </w:style>
  <w:style w:type="character" w:customStyle="1" w:styleId="114">
    <w:name w:val="gray12"/>
    <w:qFormat/>
    <w:uiPriority w:val="0"/>
  </w:style>
  <w:style w:type="character" w:customStyle="1" w:styleId="115">
    <w:name w:val="short_text1"/>
    <w:qFormat/>
    <w:uiPriority w:val="0"/>
    <w:rPr>
      <w:sz w:val="26"/>
    </w:rPr>
  </w:style>
  <w:style w:type="character" w:customStyle="1" w:styleId="116">
    <w:name w:val="unnamed3"/>
    <w:qFormat/>
    <w:uiPriority w:val="0"/>
  </w:style>
  <w:style w:type="character" w:customStyle="1" w:styleId="117">
    <w:name w:val="z-窗体顶端 Char"/>
    <w:link w:val="118"/>
    <w:qFormat/>
    <w:uiPriority w:val="0"/>
    <w:rPr>
      <w:rFonts w:ascii="Arial"/>
      <w:vanish/>
      <w:sz w:val="16"/>
      <w:szCs w:val="24"/>
    </w:rPr>
  </w:style>
  <w:style w:type="paragraph" w:customStyle="1" w:styleId="118">
    <w:name w:val="z-窗体顶端1"/>
    <w:basedOn w:val="1"/>
    <w:next w:val="1"/>
    <w:link w:val="117"/>
    <w:qFormat/>
    <w:uiPriority w:val="0"/>
    <w:pPr>
      <w:pBdr>
        <w:bottom w:val="single" w:color="auto" w:sz="6" w:space="1"/>
      </w:pBdr>
      <w:jc w:val="center"/>
    </w:pPr>
    <w:rPr>
      <w:rFonts w:ascii="Arial" w:hAnsiTheme="minorHAnsi" w:eastAsiaTheme="minorEastAsia" w:cstheme="minorBidi"/>
      <w:vanish/>
      <w:sz w:val="16"/>
    </w:rPr>
  </w:style>
  <w:style w:type="character" w:customStyle="1" w:styleId="119">
    <w:name w:val="z-窗体顶端 Char1"/>
    <w:basedOn w:val="54"/>
    <w:semiHidden/>
    <w:qFormat/>
    <w:uiPriority w:val="99"/>
    <w:rPr>
      <w:rFonts w:ascii="Arial" w:hAnsi="Arial" w:eastAsia="宋体" w:cs="Arial"/>
      <w:vanish/>
      <w:sz w:val="16"/>
      <w:szCs w:val="16"/>
    </w:rPr>
  </w:style>
  <w:style w:type="character" w:customStyle="1" w:styleId="120">
    <w:name w:val="062"/>
    <w:qFormat/>
    <w:uiPriority w:val="0"/>
    <w:rPr>
      <w:rFonts w:ascii="宋体" w:hAnsi="宋体"/>
      <w:b/>
      <w:bCs/>
      <w:sz w:val="32"/>
    </w:rPr>
  </w:style>
  <w:style w:type="character" w:customStyle="1" w:styleId="121">
    <w:name w:val="纯文本 Char1"/>
    <w:qFormat/>
    <w:uiPriority w:val="99"/>
    <w:rPr>
      <w:rFonts w:ascii="宋体" w:hAnsi="Courier New" w:eastAsia="宋体" w:cs="Courier New"/>
      <w:kern w:val="2"/>
      <w:sz w:val="21"/>
      <w:szCs w:val="21"/>
      <w:lang w:val="en-US" w:eastAsia="zh-CN" w:bidi="ar-SA"/>
    </w:rPr>
  </w:style>
  <w:style w:type="paragraph" w:customStyle="1" w:styleId="12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3">
    <w:name w:val="默认段落字体 Para Char"/>
    <w:basedOn w:val="1"/>
    <w:qFormat/>
    <w:uiPriority w:val="0"/>
    <w:pPr>
      <w:adjustRightInd w:val="0"/>
      <w:spacing w:line="360" w:lineRule="auto"/>
    </w:pPr>
    <w:rPr>
      <w:kern w:val="0"/>
      <w:sz w:val="24"/>
      <w:szCs w:val="20"/>
    </w:rPr>
  </w:style>
  <w:style w:type="paragraph" w:customStyle="1" w:styleId="124">
    <w:name w:val="1"/>
    <w:basedOn w:val="1"/>
    <w:next w:val="27"/>
    <w:qFormat/>
    <w:uiPriority w:val="0"/>
    <w:rPr>
      <w:rFonts w:ascii="宋体" w:hAnsi="Courier New"/>
      <w:szCs w:val="20"/>
    </w:rPr>
  </w:style>
  <w:style w:type="paragraph" w:customStyle="1" w:styleId="125">
    <w:name w:val="Char21"/>
    <w:basedOn w:val="1"/>
    <w:qFormat/>
    <w:uiPriority w:val="0"/>
    <w:pPr>
      <w:widowControl/>
      <w:spacing w:after="160" w:line="240" w:lineRule="exact"/>
      <w:jc w:val="left"/>
    </w:pPr>
    <w:rPr>
      <w:rFonts w:ascii="Verdana" w:hAnsi="Verdana"/>
      <w:kern w:val="0"/>
      <w:szCs w:val="20"/>
      <w:lang w:eastAsia="en-US"/>
    </w:rPr>
  </w:style>
  <w:style w:type="paragraph" w:styleId="126">
    <w:name w:val="List Paragraph"/>
    <w:basedOn w:val="1"/>
    <w:qFormat/>
    <w:uiPriority w:val="34"/>
    <w:pPr>
      <w:ind w:firstLine="420" w:firstLineChars="200"/>
    </w:pPr>
    <w:rPr>
      <w:rFonts w:ascii="Calibri" w:hAnsi="Calibri"/>
      <w:szCs w:val="22"/>
    </w:rPr>
  </w:style>
  <w:style w:type="paragraph" w:customStyle="1" w:styleId="127">
    <w:name w:val="正文首行缩进两字符"/>
    <w:basedOn w:val="1"/>
    <w:qFormat/>
    <w:uiPriority w:val="0"/>
    <w:pPr>
      <w:spacing w:line="360" w:lineRule="auto"/>
      <w:ind w:firstLine="200" w:firstLineChars="200"/>
    </w:pPr>
  </w:style>
  <w:style w:type="paragraph" w:customStyle="1" w:styleId="128">
    <w:name w:val="次小点说明 Char"/>
    <w:basedOn w:val="7"/>
    <w:qFormat/>
    <w:uiPriority w:val="0"/>
    <w:pPr>
      <w:ind w:firstLine="0"/>
    </w:pPr>
    <w:rPr>
      <w:sz w:val="24"/>
      <w:szCs w:val="24"/>
    </w:rPr>
  </w:style>
  <w:style w:type="paragraph" w:customStyle="1" w:styleId="129">
    <w:name w:val="默认段落字体 Para Char Char Char Char Char Char Char Char Char1 Char Char Char Char"/>
    <w:basedOn w:val="1"/>
    <w:qFormat/>
    <w:uiPriority w:val="0"/>
    <w:rPr>
      <w:rFonts w:ascii="Tahoma" w:hAnsi="Tahoma"/>
      <w:sz w:val="24"/>
      <w:szCs w:val="20"/>
    </w:rPr>
  </w:style>
  <w:style w:type="paragraph" w:customStyle="1" w:styleId="13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Char"/>
    <w:basedOn w:val="1"/>
    <w:qFormat/>
    <w:uiPriority w:val="0"/>
    <w:pPr>
      <w:tabs>
        <w:tab w:val="left" w:pos="360"/>
      </w:tabs>
      <w:ind w:left="252" w:hanging="252" w:hangingChars="140"/>
    </w:pPr>
    <w:rPr>
      <w:rFonts w:ascii="宋体"/>
      <w:sz w:val="18"/>
      <w:szCs w:val="18"/>
    </w:rPr>
  </w:style>
  <w:style w:type="paragraph" w:customStyle="1" w:styleId="133">
    <w:name w:val="表格"/>
    <w:basedOn w:val="1"/>
    <w:qFormat/>
    <w:uiPriority w:val="0"/>
    <w:pPr>
      <w:spacing w:line="400" w:lineRule="exact"/>
    </w:pPr>
    <w:rPr>
      <w:sz w:val="24"/>
    </w:rPr>
  </w:style>
  <w:style w:type="paragraph" w:customStyle="1" w:styleId="13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5">
    <w:name w:val="F2"/>
    <w:basedOn w:val="1"/>
    <w:qFormat/>
    <w:uiPriority w:val="0"/>
    <w:pPr>
      <w:autoSpaceDE w:val="0"/>
      <w:autoSpaceDN w:val="0"/>
      <w:adjustRightInd w:val="0"/>
      <w:ind w:firstLine="601"/>
      <w:textAlignment w:val="baseline"/>
    </w:pPr>
    <w:rPr>
      <w:kern w:val="0"/>
      <w:sz w:val="24"/>
      <w:szCs w:val="20"/>
    </w:rPr>
  </w:style>
  <w:style w:type="paragraph" w:customStyle="1" w:styleId="13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444"/>
    <w:basedOn w:val="1"/>
    <w:qFormat/>
    <w:uiPriority w:val="0"/>
    <w:pPr>
      <w:adjustRightInd w:val="0"/>
      <w:spacing w:line="312" w:lineRule="atLeast"/>
      <w:jc w:val="center"/>
      <w:textAlignment w:val="baseline"/>
    </w:pPr>
    <w:rPr>
      <w:b/>
      <w:kern w:val="0"/>
      <w:sz w:val="36"/>
      <w:szCs w:val="36"/>
    </w:rPr>
  </w:style>
  <w:style w:type="paragraph" w:customStyle="1" w:styleId="142">
    <w:name w:val="样式 首行缩进:  2 字符"/>
    <w:basedOn w:val="1"/>
    <w:qFormat/>
    <w:uiPriority w:val="0"/>
    <w:pPr>
      <w:spacing w:line="400" w:lineRule="exact"/>
      <w:ind w:firstLine="200" w:firstLineChars="200"/>
    </w:pPr>
    <w:rPr>
      <w:rFonts w:cs="宋体"/>
      <w:sz w:val="24"/>
    </w:rPr>
  </w:style>
  <w:style w:type="paragraph" w:customStyle="1" w:styleId="143">
    <w:name w:val="Char Char Char Char Char Char Char"/>
    <w:basedOn w:val="1"/>
    <w:qFormat/>
    <w:uiPriority w:val="0"/>
  </w:style>
  <w:style w:type="paragraph" w:customStyle="1" w:styleId="144">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45">
    <w:name w:val="正文文本缩进1"/>
    <w:basedOn w:val="1"/>
    <w:qFormat/>
    <w:uiPriority w:val="0"/>
    <w:pPr>
      <w:ind w:firstLine="645"/>
    </w:pPr>
    <w:rPr>
      <w:rFonts w:ascii="楷体_GB2312" w:eastAsia="楷体_GB2312"/>
      <w:sz w:val="32"/>
    </w:rPr>
  </w:style>
  <w:style w:type="paragraph" w:customStyle="1" w:styleId="14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9">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50">
    <w:name w:val="List Paragraph1"/>
    <w:basedOn w:val="1"/>
    <w:qFormat/>
    <w:uiPriority w:val="0"/>
    <w:pPr>
      <w:ind w:firstLine="420" w:firstLineChars="200"/>
    </w:pPr>
    <w:rPr>
      <w:rFonts w:ascii="Calibri" w:hAnsi="Calibri"/>
      <w:szCs w:val="22"/>
    </w:rPr>
  </w:style>
  <w:style w:type="paragraph" w:customStyle="1" w:styleId="15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3">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5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5">
    <w:name w:val="tgt1"/>
    <w:basedOn w:val="1"/>
    <w:qFormat/>
    <w:uiPriority w:val="0"/>
    <w:pPr>
      <w:widowControl/>
      <w:spacing w:after="150"/>
      <w:jc w:val="left"/>
    </w:pPr>
    <w:rPr>
      <w:rFonts w:ascii="宋体" w:hAnsi="宋体" w:cs="宋体"/>
      <w:kern w:val="0"/>
      <w:sz w:val="24"/>
    </w:rPr>
  </w:style>
  <w:style w:type="paragraph" w:customStyle="1" w:styleId="1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7">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5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9">
    <w:name w:val="Char4"/>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0">
    <w:name w:val="五号正文（标准）"/>
    <w:basedOn w:val="1"/>
    <w:qFormat/>
    <w:uiPriority w:val="0"/>
    <w:pPr>
      <w:spacing w:line="360" w:lineRule="auto"/>
      <w:ind w:right="55" w:firstLine="560" w:firstLineChars="200"/>
    </w:pPr>
    <w:rPr>
      <w:rFonts w:eastAsia="仿宋_GB2312"/>
      <w:sz w:val="28"/>
      <w:szCs w:val="20"/>
    </w:rPr>
  </w:style>
  <w:style w:type="paragraph" w:customStyle="1" w:styleId="161">
    <w:name w:val="Char1"/>
    <w:basedOn w:val="1"/>
    <w:qFormat/>
    <w:uiPriority w:val="0"/>
    <w:rPr>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65">
    <w:name w:val="正文段"/>
    <w:basedOn w:val="1"/>
    <w:qFormat/>
    <w:uiPriority w:val="0"/>
    <w:pPr>
      <w:widowControl/>
      <w:snapToGrid w:val="0"/>
      <w:spacing w:afterLines="50"/>
      <w:ind w:firstLine="200" w:firstLineChars="200"/>
    </w:pPr>
    <w:rPr>
      <w:kern w:val="0"/>
      <w:sz w:val="24"/>
      <w:szCs w:val="20"/>
    </w:rPr>
  </w:style>
  <w:style w:type="paragraph" w:customStyle="1" w:styleId="166">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Char Char Char Char Char Char Char1"/>
    <w:basedOn w:val="1"/>
    <w:qFormat/>
    <w:uiPriority w:val="0"/>
  </w:style>
  <w:style w:type="paragraph" w:customStyle="1" w:styleId="17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7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2">
    <w:name w:val="样式1"/>
    <w:basedOn w:val="1"/>
    <w:qFormat/>
    <w:uiPriority w:val="0"/>
    <w:pPr>
      <w:spacing w:before="120" w:after="120" w:line="300" w:lineRule="auto"/>
    </w:pPr>
    <w:rPr>
      <w:rFonts w:ascii="宋体" w:hAnsi="宋体"/>
      <w:b/>
      <w:sz w:val="24"/>
      <w:szCs w:val="20"/>
    </w:rPr>
  </w:style>
  <w:style w:type="paragraph" w:customStyle="1" w:styleId="17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7">
    <w:name w:val="Char Char Char2"/>
    <w:basedOn w:val="1"/>
    <w:qFormat/>
    <w:uiPriority w:val="0"/>
    <w:rPr>
      <w:rFonts w:ascii="Tahoma" w:hAnsi="Tahoma"/>
      <w:sz w:val="24"/>
      <w:szCs w:val="20"/>
    </w:rPr>
  </w:style>
  <w:style w:type="paragraph" w:customStyle="1" w:styleId="1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179">
    <w:name w:val="网格型1"/>
    <w:basedOn w:val="52"/>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0">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81">
    <w:name w:val="Default_0"/>
    <w:qFormat/>
    <w:uiPriority w:val="0"/>
    <w:pPr>
      <w:widowControl w:val="0"/>
      <w:autoSpaceDE w:val="0"/>
      <w:autoSpaceDN w:val="0"/>
      <w:adjustRightInd w:val="0"/>
    </w:pPr>
    <w:rPr>
      <w:rFonts w:ascii="......." w:hAnsi="Calibr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22242</Words>
  <Characters>23833</Characters>
  <Lines>305</Lines>
  <Paragraphs>86</Paragraphs>
  <TotalTime>9</TotalTime>
  <ScaleCrop>false</ScaleCrop>
  <LinksUpToDate>false</LinksUpToDate>
  <CharactersWithSpaces>23941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2023-07-17T12:46:00Z</dcterms:created>
  <dc:creator>Windows 用户</dc:creator>
  <cp:lastModifiedBy>A瑜</cp:lastModifiedBy>
  <cp:lastPrinted>2024-11-21T03:17:00Z</cp:lastPrinted>
  <dcterms:modified xsi:type="dcterms:W3CDTF">2025-02-21T07:43:05Z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5DD29FEB7D30496B9E6B463798CF36C3_13</vt:lpwstr>
  </property>
  <property fmtid="{D5CDD505-2E9C-101B-9397-08002B2CF9AE}" pid="4" name="KSOTemplateDocerSaveRecord">
    <vt:lpwstr>eyJoZGlkIjoiZmQ0OGQyMjJmMGVjMWYwNzZhMTAzNzgzODliNjQ0N2MiLCJ1c2VySWQiOiIxMTIxNDMwMDc2In0=</vt:lpwstr>
  </property>
</Properties>
</file>