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061032F">
      <w:pPr>
        <w:jc w:val="left"/>
        <w:rPr>
          <w:rFonts w:hint="eastAsia" w:ascii="宋体" w:hAnsi="宋体" w:eastAsia="宋体" w:cs="宋体"/>
          <w:sz w:val="18"/>
          <w:szCs w:val="18"/>
          <w:highlight w:val="none"/>
        </w:rPr>
      </w:pPr>
    </w:p>
    <w:p w14:paraId="23A4CBF9">
      <w:pPr>
        <w:pStyle w:val="19"/>
        <w:spacing w:line="140" w:lineRule="exact"/>
        <w:ind w:left="5250"/>
        <w:rPr>
          <w:rFonts w:hint="eastAsia" w:ascii="宋体" w:hAnsi="宋体" w:eastAsia="宋体" w:cs="宋体"/>
          <w:sz w:val="10"/>
          <w:highlight w:val="none"/>
        </w:rPr>
      </w:pPr>
    </w:p>
    <w:p w14:paraId="7DA0F8ED">
      <w:pPr>
        <w:pStyle w:val="19"/>
        <w:spacing w:line="180" w:lineRule="exact"/>
        <w:rPr>
          <w:rFonts w:hint="eastAsia" w:ascii="宋体" w:hAnsi="宋体" w:eastAsia="宋体" w:cs="宋体"/>
          <w:sz w:val="13"/>
          <w:highlight w:val="none"/>
        </w:rPr>
      </w:pPr>
    </w:p>
    <w:p w14:paraId="5618705B">
      <w:pPr>
        <w:pStyle w:val="19"/>
        <w:spacing w:line="180" w:lineRule="exact"/>
        <w:rPr>
          <w:rFonts w:hint="eastAsia" w:ascii="宋体" w:hAnsi="宋体" w:eastAsia="宋体" w:cs="宋体"/>
          <w:sz w:val="24"/>
          <w:highlight w:val="none"/>
        </w:rPr>
      </w:pPr>
      <w:r>
        <w:rPr>
          <w:rFonts w:hint="eastAsia" w:ascii="宋体" w:hAnsi="宋体" w:eastAsia="宋体" w:cs="宋体"/>
          <w:highlight w:val="none"/>
        </w:rPr>
        <w:drawing>
          <wp:anchor distT="0" distB="0" distL="114300" distR="114300" simplePos="0" relativeHeight="251660288" behindDoc="0" locked="0" layoutInCell="1" allowOverlap="1">
            <wp:simplePos x="0" y="0"/>
            <wp:positionH relativeFrom="column">
              <wp:posOffset>93980</wp:posOffset>
            </wp:positionH>
            <wp:positionV relativeFrom="paragraph">
              <wp:posOffset>-401320</wp:posOffset>
            </wp:positionV>
            <wp:extent cx="571500" cy="457200"/>
            <wp:effectExtent l="0" t="0" r="0" b="0"/>
            <wp:wrapSquare wrapText="bothSides"/>
            <wp:docPr id="9" name="图片 25" descr="中信标志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25" descr="中信标志03"/>
                    <pic:cNvPicPr>
                      <a:picLocks noChangeAspect="1"/>
                    </pic:cNvPicPr>
                  </pic:nvPicPr>
                  <pic:blipFill>
                    <a:blip r:embed="rId10"/>
                    <a:stretch>
                      <a:fillRect/>
                    </a:stretch>
                  </pic:blipFill>
                  <pic:spPr>
                    <a:xfrm>
                      <a:off x="0" y="0"/>
                      <a:ext cx="571500" cy="457200"/>
                    </a:xfrm>
                    <a:prstGeom prst="rect">
                      <a:avLst/>
                    </a:prstGeom>
                    <a:noFill/>
                    <a:ln>
                      <a:noFill/>
                    </a:ln>
                  </pic:spPr>
                </pic:pic>
              </a:graphicData>
            </a:graphic>
          </wp:anchor>
        </w:drawing>
      </w:r>
    </w:p>
    <w:p w14:paraId="18EC98B1">
      <w:pPr>
        <w:pStyle w:val="19"/>
        <w:spacing w:line="180" w:lineRule="exact"/>
        <w:rPr>
          <w:rFonts w:hint="eastAsia" w:ascii="宋体" w:hAnsi="宋体" w:eastAsia="宋体" w:cs="宋体"/>
          <w:sz w:val="24"/>
          <w:highlight w:val="none"/>
        </w:rPr>
      </w:pPr>
    </w:p>
    <w:p w14:paraId="24FFE589">
      <w:pPr>
        <w:pStyle w:val="19"/>
        <w:spacing w:line="180" w:lineRule="exact"/>
        <w:rPr>
          <w:rFonts w:hint="eastAsia" w:ascii="宋体" w:hAnsi="宋体" w:eastAsia="宋体" w:cs="宋体"/>
          <w:sz w:val="15"/>
          <w:szCs w:val="15"/>
          <w:highlight w:val="none"/>
        </w:rPr>
      </w:pPr>
      <w:r>
        <w:rPr>
          <w:rFonts w:hint="eastAsia" w:ascii="宋体" w:hAnsi="宋体" w:eastAsia="宋体" w:cs="宋体"/>
          <w:sz w:val="15"/>
          <w:szCs w:val="15"/>
          <w:highlight w:val="none"/>
        </w:rPr>
        <w:t>吉林中信工程建设咨询有限公司</w:t>
      </w:r>
    </w:p>
    <w:p w14:paraId="45A12E51">
      <w:pPr>
        <w:pStyle w:val="19"/>
        <w:spacing w:line="180" w:lineRule="exact"/>
        <w:rPr>
          <w:rFonts w:hint="eastAsia" w:ascii="宋体" w:hAnsi="宋体" w:eastAsia="宋体" w:cs="宋体"/>
          <w:sz w:val="13"/>
          <w:szCs w:val="13"/>
          <w:highlight w:val="none"/>
        </w:rPr>
      </w:pPr>
      <w:r>
        <w:rPr>
          <w:rFonts w:hint="eastAsia" w:ascii="宋体" w:hAnsi="宋体" w:eastAsia="宋体" w:cs="宋体"/>
          <w:sz w:val="13"/>
          <w:szCs w:val="13"/>
          <w:highlight w:val="none"/>
        </w:rPr>
        <w:t xml:space="preserve">地址：长春市临河街5062号   </w:t>
      </w:r>
    </w:p>
    <w:p w14:paraId="7A7CC6A8">
      <w:pPr>
        <w:pStyle w:val="19"/>
        <w:spacing w:line="180" w:lineRule="exact"/>
        <w:rPr>
          <w:rFonts w:hint="eastAsia" w:ascii="宋体" w:hAnsi="宋体" w:eastAsia="宋体" w:cs="宋体"/>
          <w:sz w:val="13"/>
          <w:szCs w:val="13"/>
          <w:highlight w:val="none"/>
        </w:rPr>
      </w:pPr>
      <w:r>
        <w:rPr>
          <w:rFonts w:hint="eastAsia" w:ascii="宋体" w:hAnsi="宋体" w:eastAsia="宋体" w:cs="宋体"/>
          <w:sz w:val="13"/>
          <w:szCs w:val="13"/>
          <w:highlight w:val="none"/>
        </w:rPr>
        <w:t>邮编：130033</w:t>
      </w:r>
    </w:p>
    <w:p w14:paraId="6964015C">
      <w:pPr>
        <w:jc w:val="left"/>
        <w:rPr>
          <w:rFonts w:hint="eastAsia" w:ascii="宋体" w:hAnsi="宋体" w:eastAsia="宋体" w:cs="宋体"/>
          <w:b/>
          <w:bCs/>
          <w:sz w:val="50"/>
          <w:szCs w:val="50"/>
          <w:highlight w:val="none"/>
        </w:rPr>
      </w:pPr>
      <w:r>
        <w:rPr>
          <w:rFonts w:hint="eastAsia" w:ascii="宋体" w:hAnsi="宋体" w:eastAsia="宋体" w:cs="宋体"/>
          <w:sz w:val="13"/>
          <w:szCs w:val="13"/>
          <w:highlight w:val="none"/>
        </w:rPr>
        <w:t>电话：0431-84998807</w:t>
      </w:r>
      <w:r>
        <w:rPr>
          <w:rFonts w:hint="eastAsia" w:ascii="宋体" w:hAnsi="宋体" w:eastAsia="宋体" w:cs="宋体"/>
          <w:b/>
          <w:bCs/>
          <w:sz w:val="50"/>
          <w:szCs w:val="50"/>
          <w:highlight w:val="none"/>
        </w:rPr>
        <w:t xml:space="preserve"> </w:t>
      </w:r>
    </w:p>
    <w:p w14:paraId="56107FC3">
      <w:pPr>
        <w:spacing w:line="400" w:lineRule="exact"/>
        <w:jc w:val="center"/>
        <w:rPr>
          <w:rFonts w:hint="eastAsia" w:ascii="宋体" w:hAnsi="宋体" w:eastAsia="宋体" w:cs="宋体"/>
          <w:b/>
          <w:bCs/>
          <w:sz w:val="36"/>
          <w:szCs w:val="36"/>
          <w:highlight w:val="none"/>
        </w:rPr>
      </w:pPr>
    </w:p>
    <w:p w14:paraId="3D060503">
      <w:pPr>
        <w:jc w:val="center"/>
        <w:rPr>
          <w:rFonts w:hint="eastAsia" w:ascii="宋体" w:hAnsi="宋体" w:eastAsia="宋体" w:cs="宋体"/>
          <w:b/>
          <w:bCs/>
          <w:sz w:val="36"/>
          <w:szCs w:val="36"/>
          <w:highlight w:val="none"/>
        </w:rPr>
      </w:pPr>
    </w:p>
    <w:p w14:paraId="73E22FC2">
      <w:pPr>
        <w:jc w:val="center"/>
        <w:rPr>
          <w:rFonts w:hint="eastAsia" w:ascii="宋体" w:hAnsi="宋体" w:eastAsia="宋体" w:cs="宋体"/>
          <w:b/>
          <w:bCs/>
          <w:sz w:val="36"/>
          <w:szCs w:val="36"/>
          <w:highlight w:val="none"/>
        </w:rPr>
      </w:pPr>
      <w:r>
        <w:rPr>
          <w:rFonts w:hint="eastAsia" w:ascii="宋体" w:hAnsi="宋体" w:eastAsia="宋体" w:cs="宋体"/>
          <w:b/>
          <w:bCs/>
          <w:sz w:val="36"/>
          <w:szCs w:val="36"/>
          <w:highlight w:val="none"/>
        </w:rPr>
        <w:t>吉林省博物院馆藏文物预防性保护项目</w:t>
      </w:r>
    </w:p>
    <w:p w14:paraId="6FFA1357">
      <w:pPr>
        <w:jc w:val="center"/>
        <w:rPr>
          <w:rFonts w:hint="eastAsia" w:ascii="宋体" w:hAnsi="宋体" w:eastAsia="宋体" w:cs="宋体"/>
          <w:b/>
          <w:bCs/>
          <w:sz w:val="36"/>
          <w:szCs w:val="36"/>
          <w:highlight w:val="none"/>
        </w:rPr>
      </w:pPr>
    </w:p>
    <w:p w14:paraId="7D684D5B">
      <w:pPr>
        <w:rPr>
          <w:rFonts w:hint="eastAsia" w:ascii="宋体" w:hAnsi="宋体" w:eastAsia="宋体" w:cs="宋体"/>
          <w:b/>
          <w:bCs/>
          <w:sz w:val="28"/>
          <w:szCs w:val="28"/>
          <w:highlight w:val="none"/>
        </w:rPr>
      </w:pPr>
    </w:p>
    <w:p w14:paraId="1F0D726E">
      <w:pPr>
        <w:rPr>
          <w:rFonts w:hint="eastAsia" w:ascii="宋体" w:hAnsi="宋体" w:eastAsia="宋体" w:cs="宋体"/>
          <w:b/>
          <w:bCs/>
          <w:sz w:val="28"/>
          <w:szCs w:val="28"/>
          <w:highlight w:val="none"/>
        </w:rPr>
      </w:pPr>
    </w:p>
    <w:p w14:paraId="2EEEE6B3">
      <w:pPr>
        <w:rPr>
          <w:rFonts w:hint="eastAsia" w:ascii="宋体" w:hAnsi="宋体" w:eastAsia="宋体" w:cs="宋体"/>
          <w:b/>
          <w:bCs/>
          <w:sz w:val="28"/>
          <w:szCs w:val="28"/>
          <w:highlight w:val="none"/>
        </w:rPr>
      </w:pPr>
    </w:p>
    <w:p w14:paraId="3ADAD6EC">
      <w:pPr>
        <w:jc w:val="center"/>
        <w:rPr>
          <w:rFonts w:hint="eastAsia" w:ascii="宋体" w:hAnsi="宋体" w:eastAsia="宋体" w:cs="宋体"/>
          <w:b/>
          <w:bCs/>
          <w:sz w:val="72"/>
          <w:szCs w:val="72"/>
          <w:highlight w:val="none"/>
          <w:lang w:eastAsia="zh-CN"/>
        </w:rPr>
      </w:pPr>
      <w:r>
        <w:rPr>
          <w:rFonts w:hint="eastAsia" w:ascii="宋体" w:hAnsi="宋体" w:cs="宋体"/>
          <w:b/>
          <w:bCs/>
          <w:sz w:val="72"/>
          <w:szCs w:val="72"/>
          <w:highlight w:val="none"/>
          <w:lang w:eastAsia="zh-CN"/>
        </w:rPr>
        <w:t>采购文件</w:t>
      </w:r>
    </w:p>
    <w:p w14:paraId="632AB28D">
      <w:pPr>
        <w:spacing w:line="400" w:lineRule="exact"/>
        <w:jc w:val="center"/>
        <w:rPr>
          <w:rFonts w:hint="eastAsia" w:ascii="宋体" w:hAnsi="宋体" w:eastAsia="宋体" w:cs="宋体"/>
          <w:b/>
          <w:bCs/>
          <w:sz w:val="24"/>
          <w:highlight w:val="none"/>
        </w:rPr>
      </w:pPr>
    </w:p>
    <w:p w14:paraId="2AF1AD5E">
      <w:pPr>
        <w:spacing w:line="400" w:lineRule="exact"/>
        <w:jc w:val="center"/>
        <w:rPr>
          <w:rFonts w:hint="eastAsia" w:ascii="宋体" w:hAnsi="宋体" w:eastAsia="宋体" w:cs="宋体"/>
          <w:b/>
          <w:bCs/>
          <w:highlight w:val="none"/>
        </w:rPr>
      </w:pPr>
      <w:r>
        <w:rPr>
          <w:rFonts w:hint="eastAsia" w:ascii="宋体" w:hAnsi="宋体" w:eastAsia="宋体" w:cs="宋体"/>
          <w:b/>
          <w:bCs/>
          <w:sz w:val="24"/>
          <w:highlight w:val="none"/>
        </w:rPr>
        <w:t xml:space="preserve"> </w:t>
      </w:r>
      <w:r>
        <w:rPr>
          <w:rFonts w:hint="eastAsia" w:ascii="宋体" w:hAnsi="宋体" w:eastAsia="宋体" w:cs="宋体"/>
          <w:b/>
          <w:bCs/>
          <w:sz w:val="28"/>
          <w:highlight w:val="none"/>
        </w:rPr>
        <w:t>项目编号：采购计划-[2025]-01743号</w:t>
      </w:r>
    </w:p>
    <w:p w14:paraId="213A72B9">
      <w:pPr>
        <w:spacing w:line="400" w:lineRule="exact"/>
        <w:rPr>
          <w:rFonts w:hint="eastAsia" w:ascii="宋体" w:hAnsi="宋体" w:eastAsia="宋体" w:cs="宋体"/>
          <w:b/>
          <w:bCs/>
          <w:highlight w:val="none"/>
        </w:rPr>
      </w:pPr>
    </w:p>
    <w:p w14:paraId="49D01598">
      <w:pPr>
        <w:spacing w:line="400" w:lineRule="exact"/>
        <w:rPr>
          <w:rFonts w:hint="eastAsia" w:ascii="宋体" w:hAnsi="宋体" w:eastAsia="宋体" w:cs="宋体"/>
          <w:b/>
          <w:bCs/>
          <w:highlight w:val="none"/>
        </w:rPr>
      </w:pPr>
    </w:p>
    <w:p w14:paraId="6484EEC0">
      <w:pPr>
        <w:spacing w:line="400" w:lineRule="exact"/>
        <w:rPr>
          <w:rFonts w:hint="eastAsia" w:ascii="宋体" w:hAnsi="宋体" w:eastAsia="宋体" w:cs="宋体"/>
          <w:b/>
          <w:bCs/>
          <w:highlight w:val="none"/>
        </w:rPr>
      </w:pPr>
    </w:p>
    <w:p w14:paraId="61A22415">
      <w:pPr>
        <w:spacing w:line="400" w:lineRule="exact"/>
        <w:rPr>
          <w:rFonts w:hint="eastAsia" w:ascii="宋体" w:hAnsi="宋体" w:eastAsia="宋体" w:cs="宋体"/>
          <w:b/>
          <w:bCs/>
          <w:highlight w:val="none"/>
        </w:rPr>
      </w:pPr>
    </w:p>
    <w:p w14:paraId="1F68337B">
      <w:pPr>
        <w:spacing w:line="400" w:lineRule="exact"/>
        <w:rPr>
          <w:rFonts w:hint="eastAsia" w:ascii="宋体" w:hAnsi="宋体" w:eastAsia="宋体" w:cs="宋体"/>
          <w:b/>
          <w:bCs/>
          <w:highlight w:val="none"/>
        </w:rPr>
      </w:pPr>
    </w:p>
    <w:p w14:paraId="64C8470A">
      <w:pPr>
        <w:spacing w:line="400" w:lineRule="exact"/>
        <w:rPr>
          <w:rFonts w:hint="eastAsia" w:ascii="宋体" w:hAnsi="宋体" w:eastAsia="宋体" w:cs="宋体"/>
          <w:b/>
          <w:bCs/>
          <w:highlight w:val="none"/>
        </w:rPr>
      </w:pPr>
    </w:p>
    <w:p w14:paraId="67032194">
      <w:pPr>
        <w:spacing w:line="400" w:lineRule="exact"/>
        <w:rPr>
          <w:rFonts w:hint="eastAsia" w:ascii="宋体" w:hAnsi="宋体" w:eastAsia="宋体" w:cs="宋体"/>
          <w:b/>
          <w:bCs/>
          <w:highlight w:val="none"/>
        </w:rPr>
      </w:pPr>
    </w:p>
    <w:p w14:paraId="536C62B8">
      <w:pPr>
        <w:spacing w:line="400" w:lineRule="exact"/>
        <w:rPr>
          <w:rFonts w:hint="eastAsia" w:ascii="宋体" w:hAnsi="宋体" w:eastAsia="宋体" w:cs="宋体"/>
          <w:b/>
          <w:bCs/>
          <w:highlight w:val="none"/>
        </w:rPr>
      </w:pPr>
    </w:p>
    <w:p w14:paraId="42F56D19">
      <w:pPr>
        <w:spacing w:line="400" w:lineRule="exact"/>
        <w:rPr>
          <w:rFonts w:hint="eastAsia" w:ascii="宋体" w:hAnsi="宋体" w:eastAsia="宋体" w:cs="宋体"/>
          <w:b/>
          <w:bCs/>
          <w:highlight w:val="none"/>
        </w:rPr>
      </w:pPr>
    </w:p>
    <w:p w14:paraId="0226FB14">
      <w:pPr>
        <w:spacing w:line="360" w:lineRule="auto"/>
        <w:ind w:firstLine="1420" w:firstLineChars="442"/>
        <w:rPr>
          <w:rFonts w:hint="eastAsia" w:ascii="宋体" w:hAnsi="宋体" w:eastAsia="宋体" w:cs="宋体"/>
          <w:b/>
          <w:bCs/>
          <w:sz w:val="32"/>
          <w:szCs w:val="28"/>
          <w:highlight w:val="none"/>
          <w:lang w:eastAsia="zh-CN"/>
        </w:rPr>
      </w:pPr>
      <w:r>
        <w:rPr>
          <w:rFonts w:hint="eastAsia" w:ascii="宋体" w:hAnsi="宋体" w:eastAsia="宋体" w:cs="宋体"/>
          <w:b/>
          <w:bCs/>
          <w:sz w:val="32"/>
          <w:szCs w:val="28"/>
          <w:highlight w:val="none"/>
        </w:rPr>
        <w:t>采购人：</w:t>
      </w:r>
      <w:r>
        <w:rPr>
          <w:rFonts w:hint="eastAsia" w:ascii="宋体" w:hAnsi="宋体" w:eastAsia="宋体" w:cs="宋体"/>
          <w:b/>
          <w:bCs/>
          <w:sz w:val="32"/>
          <w:szCs w:val="28"/>
          <w:highlight w:val="none"/>
          <w:lang w:val="en-US" w:eastAsia="zh-CN"/>
        </w:rPr>
        <w:t>吉林省博物院（东北抗日联军纪念馆）</w:t>
      </w:r>
    </w:p>
    <w:p w14:paraId="05011814">
      <w:pPr>
        <w:spacing w:line="360" w:lineRule="auto"/>
        <w:rPr>
          <w:rFonts w:hint="eastAsia" w:ascii="宋体" w:hAnsi="宋体" w:eastAsia="宋体" w:cs="宋体"/>
          <w:b/>
          <w:bCs/>
          <w:sz w:val="32"/>
          <w:szCs w:val="28"/>
          <w:highlight w:val="none"/>
        </w:rPr>
      </w:pPr>
    </w:p>
    <w:p w14:paraId="68687633">
      <w:pPr>
        <w:spacing w:line="360" w:lineRule="auto"/>
        <w:ind w:firstLine="1423" w:firstLineChars="443"/>
        <w:rPr>
          <w:rFonts w:hint="eastAsia" w:ascii="宋体" w:hAnsi="宋体" w:eastAsia="宋体" w:cs="宋体"/>
          <w:b/>
          <w:bCs/>
          <w:sz w:val="32"/>
          <w:szCs w:val="28"/>
          <w:highlight w:val="none"/>
        </w:rPr>
      </w:pPr>
      <w:r>
        <w:rPr>
          <w:rFonts w:hint="eastAsia" w:ascii="宋体" w:hAnsi="宋体" w:eastAsia="宋体" w:cs="宋体"/>
          <w:b/>
          <w:bCs/>
          <w:sz w:val="32"/>
          <w:szCs w:val="28"/>
          <w:highlight w:val="none"/>
        </w:rPr>
        <w:t>采购代理机构：</w:t>
      </w:r>
      <w:r>
        <w:rPr>
          <w:rFonts w:hint="eastAsia" w:ascii="宋体" w:hAnsi="宋体" w:eastAsia="宋体" w:cs="宋体"/>
          <w:b/>
          <w:bCs/>
          <w:sz w:val="32"/>
          <w:szCs w:val="28"/>
          <w:highlight w:val="none"/>
          <w:u w:val="none"/>
        </w:rPr>
        <w:t>吉林中信工程建设咨询有限公司</w:t>
      </w:r>
    </w:p>
    <w:p w14:paraId="53BAF784">
      <w:pPr>
        <w:spacing w:line="360" w:lineRule="auto"/>
        <w:ind w:firstLine="3092" w:firstLineChars="1100"/>
        <w:jc w:val="center"/>
        <w:rPr>
          <w:rFonts w:hint="eastAsia" w:ascii="宋体" w:hAnsi="宋体" w:eastAsia="宋体" w:cs="宋体"/>
          <w:b/>
          <w:bCs/>
          <w:sz w:val="28"/>
          <w:szCs w:val="28"/>
          <w:highlight w:val="none"/>
          <w:u w:val="single"/>
        </w:rPr>
      </w:pPr>
    </w:p>
    <w:p w14:paraId="5CDE4114">
      <w:pPr>
        <w:pStyle w:val="28"/>
        <w:rPr>
          <w:rFonts w:hint="eastAsia" w:ascii="宋体" w:hAnsi="宋体" w:eastAsia="宋体" w:cs="宋体"/>
          <w:bCs/>
          <w:szCs w:val="28"/>
          <w:highlight w:val="none"/>
        </w:rPr>
        <w:sectPr>
          <w:headerReference r:id="rId5" w:type="first"/>
          <w:headerReference r:id="rId3" w:type="default"/>
          <w:footerReference r:id="rId6" w:type="default"/>
          <w:headerReference r:id="rId4" w:type="even"/>
          <w:footerReference r:id="rId7" w:type="even"/>
          <w:pgSz w:w="11906" w:h="16838"/>
          <w:pgMar w:top="1418" w:right="1133" w:bottom="993" w:left="1134" w:header="851" w:footer="992" w:gutter="0"/>
          <w:pgNumType w:start="1"/>
          <w:cols w:space="720" w:num="1"/>
          <w:titlePg/>
          <w:docGrid w:linePitch="312" w:charSpace="0"/>
        </w:sectPr>
      </w:pPr>
      <w:r>
        <w:rPr>
          <w:rFonts w:hint="eastAsia" w:ascii="宋体" w:hAnsi="宋体" w:eastAsia="宋体" w:cs="宋体"/>
          <w:bCs/>
          <w:szCs w:val="28"/>
          <w:highlight w:val="none"/>
        </w:rPr>
        <w:t>二○二</w:t>
      </w:r>
      <w:r>
        <w:rPr>
          <w:rFonts w:hint="eastAsia" w:ascii="宋体" w:hAnsi="宋体" w:eastAsia="宋体" w:cs="宋体"/>
          <w:bCs/>
          <w:szCs w:val="28"/>
          <w:highlight w:val="none"/>
          <w:lang w:eastAsia="zh-CN"/>
        </w:rPr>
        <w:t>五</w:t>
      </w:r>
      <w:r>
        <w:rPr>
          <w:rFonts w:hint="eastAsia" w:ascii="宋体" w:hAnsi="宋体" w:eastAsia="宋体" w:cs="宋体"/>
          <w:bCs/>
          <w:szCs w:val="28"/>
          <w:highlight w:val="none"/>
        </w:rPr>
        <w:t>年</w:t>
      </w:r>
      <w:r>
        <w:rPr>
          <w:rFonts w:hint="eastAsia" w:ascii="宋体" w:hAnsi="宋体" w:eastAsia="宋体" w:cs="宋体"/>
          <w:bCs/>
          <w:szCs w:val="28"/>
          <w:highlight w:val="none"/>
          <w:lang w:eastAsia="zh-CN"/>
        </w:rPr>
        <w:t>三</w:t>
      </w:r>
      <w:r>
        <w:rPr>
          <w:rFonts w:hint="eastAsia" w:ascii="宋体" w:hAnsi="宋体" w:eastAsia="宋体" w:cs="宋体"/>
          <w:bCs/>
          <w:szCs w:val="28"/>
          <w:highlight w:val="none"/>
        </w:rPr>
        <w:t>月</w:t>
      </w:r>
    </w:p>
    <w:p w14:paraId="1E4D647B">
      <w:pPr>
        <w:pStyle w:val="28"/>
        <w:ind w:left="440" w:hanging="79"/>
        <w:rPr>
          <w:rFonts w:hint="eastAsia" w:ascii="宋体" w:hAnsi="宋体" w:eastAsia="宋体" w:cs="宋体"/>
          <w:bCs/>
          <w:sz w:val="28"/>
          <w:szCs w:val="28"/>
          <w:highlight w:val="none"/>
        </w:rPr>
      </w:pPr>
    </w:p>
    <w:p w14:paraId="729C4D38">
      <w:pPr>
        <w:jc w:val="center"/>
        <w:rPr>
          <w:rFonts w:hint="eastAsia" w:ascii="宋体" w:hAnsi="宋体" w:eastAsia="宋体" w:cs="宋体"/>
          <w:b/>
          <w:sz w:val="44"/>
          <w:highlight w:val="none"/>
        </w:rPr>
      </w:pPr>
      <w:r>
        <w:rPr>
          <w:rFonts w:hint="eastAsia" w:ascii="宋体" w:hAnsi="宋体" w:eastAsia="宋体" w:cs="宋体"/>
          <w:b/>
          <w:sz w:val="44"/>
          <w:highlight w:val="none"/>
        </w:rPr>
        <w:t>目   录</w:t>
      </w:r>
    </w:p>
    <w:p w14:paraId="23A61F9A">
      <w:pPr>
        <w:pStyle w:val="28"/>
        <w:ind w:left="0" w:leftChars="0" w:firstLine="0" w:firstLineChars="0"/>
        <w:jc w:val="both"/>
        <w:rPr>
          <w:rFonts w:hint="eastAsia" w:ascii="宋体" w:hAnsi="宋体" w:eastAsia="宋体" w:cs="宋体"/>
          <w:highlight w:val="none"/>
        </w:rPr>
      </w:pPr>
    </w:p>
    <w:p w14:paraId="5568F2B8">
      <w:pPr>
        <w:pStyle w:val="25"/>
        <w:tabs>
          <w:tab w:val="right" w:leader="dot" w:pos="9629"/>
        </w:tabs>
        <w:spacing w:line="360" w:lineRule="auto"/>
        <w:rPr>
          <w:rFonts w:hint="eastAsia" w:ascii="宋体" w:hAnsi="宋体" w:eastAsia="宋体" w:cs="宋体"/>
          <w:b w:val="0"/>
          <w:bCs w:val="0"/>
          <w:caps w:val="0"/>
          <w:kern w:val="2"/>
          <w:sz w:val="21"/>
          <w:szCs w:val="22"/>
          <w:highlight w:val="none"/>
          <w:lang w:val="en-US"/>
        </w:rPr>
      </w:pPr>
      <w:r>
        <w:rPr>
          <w:rFonts w:hint="eastAsia" w:ascii="宋体" w:hAnsi="宋体" w:eastAsia="宋体" w:cs="宋体"/>
          <w:b w:val="0"/>
          <w:szCs w:val="28"/>
          <w:highlight w:val="none"/>
        </w:rPr>
        <w:fldChar w:fldCharType="begin"/>
      </w:r>
      <w:r>
        <w:rPr>
          <w:rFonts w:hint="eastAsia" w:ascii="宋体" w:hAnsi="宋体" w:eastAsia="宋体" w:cs="宋体"/>
          <w:b w:val="0"/>
          <w:szCs w:val="28"/>
          <w:highlight w:val="none"/>
        </w:rPr>
        <w:instrText xml:space="preserve">TOC \o "1-3" \h \z \u</w:instrText>
      </w:r>
      <w:r>
        <w:rPr>
          <w:rFonts w:hint="eastAsia" w:ascii="宋体" w:hAnsi="宋体" w:eastAsia="宋体" w:cs="宋体"/>
          <w:b w:val="0"/>
          <w:szCs w:val="28"/>
          <w:highlight w:val="none"/>
        </w:rPr>
        <w:fldChar w:fldCharType="separate"/>
      </w: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"_Toc62484133" </w:instrText>
      </w:r>
      <w:r>
        <w:rPr>
          <w:rFonts w:hint="eastAsia" w:ascii="宋体" w:hAnsi="宋体" w:eastAsia="宋体" w:cs="宋体"/>
          <w:highlight w:val="none"/>
        </w:rPr>
        <w:fldChar w:fldCharType="separate"/>
      </w:r>
      <w:r>
        <w:rPr>
          <w:rStyle w:val="42"/>
          <w:rFonts w:hint="eastAsia" w:ascii="宋体" w:hAnsi="宋体" w:eastAsia="宋体" w:cs="宋体"/>
          <w:color w:val="auto"/>
          <w:highlight w:val="none"/>
        </w:rPr>
        <w:t>第一章  招标公告（资格后审）</w:t>
      </w:r>
      <w:r>
        <w:rPr>
          <w:rFonts w:hint="eastAsia" w:ascii="宋体" w:hAnsi="宋体" w:eastAsia="宋体" w:cs="宋体"/>
          <w:highlight w:val="none"/>
        </w:rPr>
        <w:tab/>
      </w:r>
      <w:r>
        <w:rPr>
          <w:rFonts w:hint="eastAsia" w:ascii="宋体" w:hAnsi="宋体" w:eastAsia="宋体" w:cs="宋体"/>
          <w:highlight w:val="none"/>
          <w:lang w:val="en-US" w:eastAsia="zh-CN"/>
        </w:rPr>
        <w:t>1</w:t>
      </w:r>
      <w:r>
        <w:rPr>
          <w:rFonts w:hint="eastAsia" w:ascii="宋体" w:hAnsi="宋体" w:eastAsia="宋体" w:cs="宋体"/>
          <w:highlight w:val="none"/>
        </w:rPr>
        <w:fldChar w:fldCharType="end"/>
      </w:r>
    </w:p>
    <w:p w14:paraId="616D952F">
      <w:pPr>
        <w:pStyle w:val="25"/>
        <w:tabs>
          <w:tab w:val="right" w:leader="dot" w:pos="9629"/>
        </w:tabs>
        <w:spacing w:line="360" w:lineRule="auto"/>
        <w:rPr>
          <w:rFonts w:hint="eastAsia" w:ascii="宋体" w:hAnsi="宋体" w:eastAsia="宋体" w:cs="宋体"/>
          <w:b w:val="0"/>
          <w:bCs w:val="0"/>
          <w:caps w:val="0"/>
          <w:kern w:val="2"/>
          <w:sz w:val="21"/>
          <w:szCs w:val="22"/>
          <w:highlight w:val="none"/>
          <w:lang w:val="en-US"/>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"_Toc62484142" </w:instrText>
      </w:r>
      <w:r>
        <w:rPr>
          <w:rFonts w:hint="eastAsia" w:ascii="宋体" w:hAnsi="宋体" w:eastAsia="宋体" w:cs="宋体"/>
          <w:highlight w:val="none"/>
        </w:rPr>
        <w:fldChar w:fldCharType="separate"/>
      </w:r>
      <w:r>
        <w:rPr>
          <w:rStyle w:val="42"/>
          <w:rFonts w:hint="eastAsia" w:ascii="宋体" w:hAnsi="宋体" w:eastAsia="宋体" w:cs="宋体"/>
          <w:color w:val="auto"/>
          <w:highlight w:val="none"/>
        </w:rPr>
        <w:t xml:space="preserve">第二章  </w:t>
      </w:r>
      <w:r>
        <w:rPr>
          <w:rStyle w:val="42"/>
          <w:rFonts w:hint="eastAsia" w:ascii="宋体" w:hAnsi="宋体" w:eastAsia="宋体" w:cs="宋体"/>
          <w:color w:val="auto"/>
          <w:highlight w:val="none"/>
          <w:lang w:eastAsia="zh-CN"/>
        </w:rPr>
        <w:t>供应商</w:t>
      </w:r>
      <w:r>
        <w:rPr>
          <w:rStyle w:val="42"/>
          <w:rFonts w:hint="eastAsia" w:ascii="宋体" w:hAnsi="宋体" w:eastAsia="宋体" w:cs="宋体"/>
          <w:color w:val="auto"/>
          <w:highlight w:val="none"/>
        </w:rPr>
        <w:t>须知</w:t>
      </w:r>
      <w:r>
        <w:rPr>
          <w:rFonts w:hint="eastAsia" w:ascii="宋体" w:hAnsi="宋体" w:eastAsia="宋体" w:cs="宋体"/>
          <w:highlight w:val="none"/>
        </w:rPr>
        <w:tab/>
      </w:r>
      <w:r>
        <w:rPr>
          <w:rFonts w:hint="eastAsia" w:ascii="宋体" w:hAnsi="宋体" w:eastAsia="宋体" w:cs="宋体"/>
          <w:highlight w:val="none"/>
          <w:lang w:val="en-US" w:eastAsia="zh-CN"/>
        </w:rPr>
        <w:t>3</w:t>
      </w:r>
      <w:r>
        <w:rPr>
          <w:rFonts w:hint="eastAsia" w:ascii="宋体" w:hAnsi="宋体" w:eastAsia="宋体" w:cs="宋体"/>
          <w:highlight w:val="none"/>
        </w:rPr>
        <w:fldChar w:fldCharType="end"/>
      </w:r>
    </w:p>
    <w:p w14:paraId="4F3D4C9E">
      <w:pPr>
        <w:pStyle w:val="25"/>
        <w:tabs>
          <w:tab w:val="right" w:leader="dot" w:pos="9629"/>
        </w:tabs>
        <w:spacing w:line="360" w:lineRule="auto"/>
        <w:rPr>
          <w:rFonts w:hint="eastAsia" w:ascii="宋体" w:hAnsi="宋体" w:eastAsia="宋体" w:cs="宋体"/>
          <w:b w:val="0"/>
          <w:bCs w:val="0"/>
          <w:caps w:val="0"/>
          <w:kern w:val="2"/>
          <w:sz w:val="21"/>
          <w:szCs w:val="22"/>
          <w:highlight w:val="none"/>
          <w:lang w:val="en-US" w:eastAsia="zh-CN"/>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"_Toc62484144" </w:instrText>
      </w:r>
      <w:r>
        <w:rPr>
          <w:rFonts w:hint="eastAsia" w:ascii="宋体" w:hAnsi="宋体" w:eastAsia="宋体" w:cs="宋体"/>
          <w:highlight w:val="none"/>
        </w:rPr>
        <w:fldChar w:fldCharType="separate"/>
      </w:r>
      <w:r>
        <w:rPr>
          <w:rStyle w:val="42"/>
          <w:rFonts w:hint="eastAsia" w:ascii="宋体" w:hAnsi="宋体" w:eastAsia="宋体" w:cs="宋体"/>
          <w:color w:val="auto"/>
          <w:highlight w:val="none"/>
        </w:rPr>
        <w:t>第三章  评标办法（综合评分法）</w:t>
      </w:r>
      <w:r>
        <w:rPr>
          <w:rFonts w:hint="eastAsia" w:ascii="宋体" w:hAnsi="宋体" w:eastAsia="宋体" w:cs="宋体"/>
          <w:highlight w:val="none"/>
        </w:rPr>
        <w:tab/>
      </w:r>
      <w:r>
        <w:rPr>
          <w:rFonts w:hint="eastAsia" w:ascii="宋体" w:hAnsi="宋体" w:eastAsia="宋体" w:cs="宋体"/>
          <w:highlight w:val="none"/>
          <w:lang w:val="en-US" w:eastAsia="zh-CN"/>
        </w:rPr>
        <w:t>1</w:t>
      </w:r>
      <w:r>
        <w:rPr>
          <w:rFonts w:hint="eastAsia" w:ascii="宋体" w:hAnsi="宋体" w:eastAsia="宋体" w:cs="宋体"/>
          <w:highlight w:val="none"/>
        </w:rPr>
        <w:fldChar w:fldCharType="end"/>
      </w:r>
      <w:r>
        <w:rPr>
          <w:rFonts w:hint="eastAsia" w:ascii="宋体" w:hAnsi="宋体" w:eastAsia="宋体" w:cs="宋体"/>
          <w:highlight w:val="none"/>
          <w:lang w:val="en-US" w:eastAsia="zh-CN"/>
        </w:rPr>
        <w:t>3</w:t>
      </w:r>
    </w:p>
    <w:p w14:paraId="7D0479AC">
      <w:pPr>
        <w:pStyle w:val="25"/>
        <w:tabs>
          <w:tab w:val="right" w:leader="dot" w:pos="9629"/>
        </w:tabs>
        <w:spacing w:line="360" w:lineRule="auto"/>
        <w:rPr>
          <w:rFonts w:hint="eastAsia" w:ascii="宋体" w:hAnsi="宋体" w:eastAsia="宋体" w:cs="宋体"/>
          <w:b w:val="0"/>
          <w:bCs w:val="0"/>
          <w:caps w:val="0"/>
          <w:kern w:val="2"/>
          <w:sz w:val="21"/>
          <w:szCs w:val="22"/>
          <w:highlight w:val="none"/>
          <w:lang w:val="en-US" w:eastAsia="zh-CN"/>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"_Toc62484147" </w:instrText>
      </w:r>
      <w:r>
        <w:rPr>
          <w:rFonts w:hint="eastAsia" w:ascii="宋体" w:hAnsi="宋体" w:eastAsia="宋体" w:cs="宋体"/>
          <w:highlight w:val="none"/>
        </w:rPr>
        <w:fldChar w:fldCharType="separate"/>
      </w:r>
      <w:r>
        <w:rPr>
          <w:rStyle w:val="42"/>
          <w:rFonts w:hint="eastAsia" w:ascii="宋体" w:hAnsi="宋体" w:eastAsia="宋体" w:cs="宋体"/>
          <w:color w:val="auto"/>
          <w:highlight w:val="none"/>
        </w:rPr>
        <w:t>第四章  合同条款及格式</w:t>
      </w:r>
      <w:r>
        <w:rPr>
          <w:rFonts w:hint="eastAsia" w:ascii="宋体" w:hAnsi="宋体" w:eastAsia="宋体" w:cs="宋体"/>
          <w:highlight w:val="none"/>
        </w:rPr>
        <w:tab/>
      </w:r>
      <w:r>
        <w:rPr>
          <w:rFonts w:hint="eastAsia" w:ascii="宋体" w:hAnsi="宋体" w:cs="宋体"/>
          <w:highlight w:val="none"/>
          <w:lang w:val="en-US" w:eastAsia="zh-CN"/>
        </w:rPr>
        <w:t>2</w:t>
      </w:r>
      <w:r>
        <w:rPr>
          <w:rFonts w:hint="eastAsia" w:ascii="宋体" w:hAnsi="宋体" w:eastAsia="宋体" w:cs="宋体"/>
          <w:highlight w:val="none"/>
        </w:rPr>
        <w:fldChar w:fldCharType="end"/>
      </w:r>
      <w:r>
        <w:rPr>
          <w:rFonts w:hint="eastAsia" w:ascii="宋体" w:hAnsi="宋体" w:cs="宋体"/>
          <w:highlight w:val="none"/>
          <w:lang w:val="en-US" w:eastAsia="zh-CN"/>
        </w:rPr>
        <w:t>2</w:t>
      </w:r>
    </w:p>
    <w:p w14:paraId="1175A235">
      <w:pPr>
        <w:pStyle w:val="25"/>
        <w:tabs>
          <w:tab w:val="right" w:leader="dot" w:pos="9629"/>
        </w:tabs>
        <w:spacing w:line="360" w:lineRule="auto"/>
        <w:rPr>
          <w:rFonts w:hint="eastAsia" w:ascii="宋体" w:hAnsi="宋体" w:eastAsia="宋体" w:cs="宋体"/>
          <w:b w:val="0"/>
          <w:bCs w:val="0"/>
          <w:caps w:val="0"/>
          <w:kern w:val="2"/>
          <w:sz w:val="21"/>
          <w:szCs w:val="22"/>
          <w:highlight w:val="none"/>
          <w:lang w:val="en-US" w:eastAsia="zh-CN"/>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"_Toc62484148" </w:instrText>
      </w:r>
      <w:r>
        <w:rPr>
          <w:rFonts w:hint="eastAsia" w:ascii="宋体" w:hAnsi="宋体" w:eastAsia="宋体" w:cs="宋体"/>
          <w:highlight w:val="none"/>
        </w:rPr>
        <w:fldChar w:fldCharType="separate"/>
      </w:r>
      <w:r>
        <w:rPr>
          <w:rStyle w:val="42"/>
          <w:rFonts w:hint="eastAsia" w:ascii="宋体" w:hAnsi="宋体" w:eastAsia="宋体" w:cs="宋体"/>
          <w:color w:val="auto"/>
          <w:highlight w:val="none"/>
        </w:rPr>
        <w:t>第五章  技术参数</w:t>
      </w:r>
      <w:r>
        <w:rPr>
          <w:rFonts w:hint="eastAsia" w:ascii="宋体" w:hAnsi="宋体" w:eastAsia="宋体" w:cs="宋体"/>
          <w:highlight w:val="none"/>
        </w:rPr>
        <w:tab/>
      </w:r>
      <w:r>
        <w:rPr>
          <w:rFonts w:hint="eastAsia" w:ascii="宋体" w:hAnsi="宋体" w:cs="宋体"/>
          <w:highlight w:val="none"/>
          <w:lang w:val="en-US" w:eastAsia="zh-CN"/>
        </w:rPr>
        <w:t>3</w:t>
      </w:r>
      <w:r>
        <w:rPr>
          <w:rFonts w:hint="eastAsia" w:ascii="宋体" w:hAnsi="宋体" w:eastAsia="宋体" w:cs="宋体"/>
          <w:highlight w:val="none"/>
        </w:rPr>
        <w:fldChar w:fldCharType="end"/>
      </w:r>
      <w:r>
        <w:rPr>
          <w:rFonts w:hint="eastAsia" w:ascii="宋体" w:hAnsi="宋体" w:cs="宋体"/>
          <w:highlight w:val="none"/>
          <w:lang w:val="en-US" w:eastAsia="zh-CN"/>
        </w:rPr>
        <w:t>2</w:t>
      </w:r>
    </w:p>
    <w:p w14:paraId="2EF425DF">
      <w:pPr>
        <w:pStyle w:val="25"/>
        <w:tabs>
          <w:tab w:val="right" w:leader="dot" w:pos="9629"/>
        </w:tabs>
        <w:spacing w:line="360" w:lineRule="auto"/>
        <w:rPr>
          <w:rFonts w:hint="eastAsia" w:ascii="宋体" w:hAnsi="宋体" w:eastAsia="宋体" w:cs="宋体"/>
          <w:b w:val="0"/>
          <w:bCs w:val="0"/>
          <w:caps w:val="0"/>
          <w:kern w:val="2"/>
          <w:sz w:val="21"/>
          <w:szCs w:val="22"/>
          <w:highlight w:val="none"/>
          <w:lang w:val="en-US" w:eastAsia="zh-CN"/>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"_Toc62484149" </w:instrText>
      </w:r>
      <w:r>
        <w:rPr>
          <w:rFonts w:hint="eastAsia" w:ascii="宋体" w:hAnsi="宋体" w:eastAsia="宋体" w:cs="宋体"/>
          <w:highlight w:val="none"/>
        </w:rPr>
        <w:fldChar w:fldCharType="separate"/>
      </w:r>
      <w:r>
        <w:rPr>
          <w:rStyle w:val="42"/>
          <w:rFonts w:hint="eastAsia" w:ascii="宋体" w:hAnsi="宋体" w:eastAsia="宋体" w:cs="宋体"/>
          <w:color w:val="auto"/>
          <w:highlight w:val="none"/>
        </w:rPr>
        <w:t>第六章  投标文件格式</w:t>
      </w:r>
      <w:r>
        <w:rPr>
          <w:rFonts w:hint="eastAsia" w:ascii="宋体" w:hAnsi="宋体" w:eastAsia="宋体" w:cs="宋体"/>
          <w:highlight w:val="none"/>
        </w:rPr>
        <w:tab/>
      </w:r>
      <w:r>
        <w:rPr>
          <w:rFonts w:hint="eastAsia" w:ascii="宋体" w:hAnsi="宋体" w:cs="宋体"/>
          <w:highlight w:val="none"/>
          <w:lang w:val="en-US" w:eastAsia="zh-CN"/>
        </w:rPr>
        <w:t>4</w:t>
      </w:r>
      <w:r>
        <w:rPr>
          <w:rFonts w:hint="eastAsia" w:ascii="宋体" w:hAnsi="宋体" w:eastAsia="宋体" w:cs="宋体"/>
          <w:highlight w:val="none"/>
        </w:rPr>
        <w:fldChar w:fldCharType="end"/>
      </w:r>
      <w:r>
        <w:rPr>
          <w:rFonts w:hint="eastAsia" w:ascii="宋体" w:hAnsi="宋体" w:cs="宋体"/>
          <w:highlight w:val="none"/>
          <w:lang w:val="en-US" w:eastAsia="zh-CN"/>
        </w:rPr>
        <w:t>0</w:t>
      </w:r>
    </w:p>
    <w:p w14:paraId="498EC7FA">
      <w:pPr>
        <w:spacing w:before="100" w:beforeAutospacing="1" w:after="100" w:afterAutospacing="1" w:line="360" w:lineRule="auto"/>
        <w:jc w:val="center"/>
        <w:rPr>
          <w:rFonts w:hint="eastAsia" w:ascii="宋体" w:hAnsi="宋体" w:eastAsia="宋体" w:cs="宋体"/>
          <w:szCs w:val="21"/>
          <w:highlight w:val="none"/>
        </w:rPr>
      </w:pPr>
      <w:r>
        <w:rPr>
          <w:rFonts w:hint="eastAsia" w:ascii="宋体" w:hAnsi="宋体" w:eastAsia="宋体" w:cs="宋体"/>
          <w:sz w:val="28"/>
          <w:szCs w:val="28"/>
          <w:highlight w:val="none"/>
        </w:rPr>
        <w:fldChar w:fldCharType="end"/>
      </w:r>
    </w:p>
    <w:p w14:paraId="214C569D">
      <w:pPr>
        <w:spacing w:before="100" w:beforeAutospacing="1" w:after="100" w:afterAutospacing="1" w:line="480" w:lineRule="auto"/>
        <w:jc w:val="center"/>
        <w:rPr>
          <w:rFonts w:hint="eastAsia" w:ascii="宋体" w:hAnsi="宋体" w:eastAsia="宋体" w:cs="宋体"/>
          <w:szCs w:val="21"/>
          <w:highlight w:val="none"/>
        </w:rPr>
      </w:pPr>
    </w:p>
    <w:p w14:paraId="31D66659">
      <w:pPr>
        <w:spacing w:before="100" w:beforeAutospacing="1" w:after="100" w:afterAutospacing="1" w:line="480" w:lineRule="auto"/>
        <w:jc w:val="center"/>
        <w:rPr>
          <w:rFonts w:hint="eastAsia" w:ascii="宋体" w:hAnsi="宋体" w:eastAsia="宋体" w:cs="宋体"/>
          <w:szCs w:val="21"/>
          <w:highlight w:val="none"/>
        </w:rPr>
      </w:pPr>
    </w:p>
    <w:p w14:paraId="4F86DCBB">
      <w:pPr>
        <w:topLinePunct/>
        <w:adjustRightInd w:val="0"/>
        <w:snapToGrid w:val="0"/>
        <w:spacing w:before="46" w:beforeLines="15" w:line="360" w:lineRule="auto"/>
        <w:jc w:val="center"/>
        <w:outlineLvl w:val="0"/>
        <w:rPr>
          <w:rFonts w:hint="eastAsia" w:ascii="宋体" w:hAnsi="宋体" w:eastAsia="宋体" w:cs="宋体"/>
          <w:b/>
          <w:sz w:val="36"/>
          <w:szCs w:val="36"/>
          <w:highlight w:val="none"/>
        </w:rPr>
        <w:sectPr>
          <w:pgSz w:w="11906" w:h="16838"/>
          <w:pgMar w:top="1418" w:right="1133" w:bottom="993" w:left="1134" w:header="851" w:footer="992" w:gutter="0"/>
          <w:pgNumType w:start="1"/>
          <w:cols w:space="720" w:num="1"/>
          <w:docGrid w:linePitch="312" w:charSpace="0"/>
        </w:sectPr>
      </w:pPr>
      <w:bookmarkStart w:id="0" w:name="_Toc62484133"/>
    </w:p>
    <w:p w14:paraId="379C3A7C">
      <w:pPr>
        <w:topLinePunct/>
        <w:adjustRightInd w:val="0"/>
        <w:snapToGrid w:val="0"/>
        <w:spacing w:before="46" w:beforeLines="15" w:line="360" w:lineRule="auto"/>
        <w:jc w:val="center"/>
        <w:outlineLvl w:val="0"/>
        <w:rPr>
          <w:rFonts w:hint="eastAsia" w:ascii="宋体" w:hAnsi="宋体" w:eastAsia="宋体" w:cs="宋体"/>
          <w:b/>
          <w:bCs/>
          <w:sz w:val="36"/>
          <w:szCs w:val="36"/>
        </w:rPr>
      </w:pPr>
      <w:r>
        <w:rPr>
          <w:rFonts w:hint="eastAsia" w:ascii="宋体" w:hAnsi="宋体" w:eastAsia="宋体" w:cs="宋体"/>
          <w:b/>
          <w:sz w:val="36"/>
          <w:szCs w:val="36"/>
          <w:highlight w:val="none"/>
        </w:rPr>
        <w:t xml:space="preserve">第一章  </w:t>
      </w:r>
      <w:bookmarkEnd w:id="0"/>
      <w:r>
        <w:rPr>
          <w:rFonts w:hint="eastAsia" w:ascii="宋体" w:hAnsi="宋体" w:eastAsia="宋体" w:cs="宋体"/>
          <w:b/>
          <w:bCs/>
          <w:sz w:val="36"/>
          <w:szCs w:val="36"/>
        </w:rPr>
        <w:t>招标公告（资格后审）</w:t>
      </w:r>
    </w:p>
    <w:p w14:paraId="5CA745B4">
      <w:pPr>
        <w:pBdr>
          <w:top w:val="single" w:color="auto" w:sz="4" w:space="1"/>
          <w:left w:val="single" w:color="auto" w:sz="4" w:space="4"/>
          <w:bottom w:val="single" w:color="auto" w:sz="4" w:space="1"/>
          <w:right w:val="single" w:color="auto" w:sz="4" w:space="4"/>
        </w:pBdr>
        <w:spacing w:line="420" w:lineRule="exact"/>
        <w:ind w:firstLine="482" w:firstLineChars="200"/>
        <w:rPr>
          <w:rFonts w:hint="eastAsia" w:ascii="宋体" w:hAnsi="宋体" w:eastAsia="宋体" w:cs="宋体"/>
          <w:b/>
          <w:color w:val="auto"/>
          <w:sz w:val="24"/>
        </w:rPr>
      </w:pPr>
      <w:r>
        <w:rPr>
          <w:rFonts w:hint="eastAsia" w:ascii="宋体" w:hAnsi="宋体" w:eastAsia="宋体" w:cs="宋体"/>
          <w:b/>
          <w:color w:val="auto"/>
          <w:sz w:val="24"/>
        </w:rPr>
        <w:t>项目概况</w:t>
      </w:r>
    </w:p>
    <w:p w14:paraId="1061FA10">
      <w:pPr>
        <w:pBdr>
          <w:top w:val="single" w:color="auto" w:sz="4" w:space="1"/>
          <w:left w:val="single" w:color="auto" w:sz="4" w:space="4"/>
          <w:bottom w:val="single" w:color="auto" w:sz="4" w:space="1"/>
          <w:right w:val="single" w:color="auto" w:sz="4" w:space="4"/>
        </w:pBdr>
        <w:spacing w:line="42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lang w:eastAsia="zh-CN"/>
        </w:rPr>
        <w:fldChar w:fldCharType="begin"/>
      </w:r>
      <w:r>
        <w:rPr>
          <w:rFonts w:hint="eastAsia" w:ascii="宋体" w:hAnsi="宋体" w:eastAsia="宋体" w:cs="宋体"/>
          <w:color w:val="auto"/>
          <w:sz w:val="24"/>
          <w:lang w:eastAsia="zh-CN"/>
        </w:rPr>
        <w:instrText xml:space="preserve"> HYPERLINK "mailto:长春市建设工程质量监督站向社会购买检测服务的潜在供应商应在411157357@qq.com登记获取采购文件，并于2021年8月" </w:instrText>
      </w:r>
      <w:r>
        <w:rPr>
          <w:rFonts w:hint="eastAsia" w:ascii="宋体" w:hAnsi="宋体" w:eastAsia="宋体" w:cs="宋体"/>
          <w:color w:val="auto"/>
          <w:sz w:val="24"/>
          <w:lang w:eastAsia="zh-CN"/>
        </w:rPr>
        <w:fldChar w:fldCharType="separate"/>
      </w:r>
      <w:r>
        <w:rPr>
          <w:rFonts w:hint="eastAsia" w:ascii="宋体" w:hAnsi="宋体" w:eastAsia="宋体" w:cs="宋体"/>
          <w:color w:val="auto"/>
          <w:sz w:val="24"/>
        </w:rPr>
        <w:t>吉林省博物院馆藏文物预防性保护项目的潜在供应商应在</w:t>
      </w:r>
      <w:r>
        <w:rPr>
          <w:rFonts w:hint="eastAsia" w:ascii="宋体" w:hAnsi="宋体" w:eastAsia="宋体" w:cs="宋体"/>
          <w:color w:val="auto"/>
          <w:sz w:val="24"/>
          <w:lang w:val="zh-CN"/>
        </w:rPr>
        <w:t>“政采云”平台（http：//www.zcygov.cn）</w:t>
      </w:r>
      <w:r>
        <w:rPr>
          <w:rFonts w:hint="eastAsia" w:ascii="宋体" w:hAnsi="宋体" w:eastAsia="宋体" w:cs="宋体"/>
          <w:color w:val="auto"/>
          <w:sz w:val="24"/>
          <w:lang w:val="en-US" w:eastAsia="zh-CN"/>
        </w:rPr>
        <w:t>登记</w:t>
      </w:r>
      <w:r>
        <w:rPr>
          <w:rFonts w:hint="eastAsia" w:ascii="宋体" w:hAnsi="宋体" w:eastAsia="宋体" w:cs="宋体"/>
          <w:color w:val="auto"/>
          <w:sz w:val="24"/>
        </w:rPr>
        <w:t>获取采购文件，并于</w:t>
      </w:r>
      <w:r>
        <w:rPr>
          <w:rFonts w:hint="eastAsia" w:ascii="宋体" w:hAnsi="宋体" w:eastAsia="宋体" w:cs="宋体"/>
          <w:color w:val="auto"/>
          <w:sz w:val="24"/>
          <w:lang w:eastAsia="zh-CN"/>
        </w:rPr>
        <w:t>202</w:t>
      </w:r>
      <w:r>
        <w:rPr>
          <w:rFonts w:hint="eastAsia" w:ascii="宋体" w:hAnsi="宋体" w:eastAsia="宋体" w:cs="宋体"/>
          <w:color w:val="auto"/>
          <w:sz w:val="24"/>
          <w:lang w:val="en-US" w:eastAsia="zh-CN"/>
        </w:rPr>
        <w:t>5</w:t>
      </w:r>
      <w:r>
        <w:rPr>
          <w:rFonts w:hint="eastAsia" w:ascii="宋体" w:hAnsi="宋体" w:eastAsia="宋体" w:cs="宋体"/>
          <w:color w:val="auto"/>
          <w:sz w:val="24"/>
        </w:rPr>
        <w:t>年</w:t>
      </w:r>
      <w:r>
        <w:rPr>
          <w:rFonts w:hint="eastAsia" w:ascii="宋体" w:hAnsi="宋体" w:cs="宋体"/>
          <w:color w:val="auto"/>
          <w:sz w:val="24"/>
          <w:lang w:val="en-US" w:eastAsia="zh-CN"/>
        </w:rPr>
        <w:t>4</w:t>
      </w:r>
      <w:r>
        <w:rPr>
          <w:rFonts w:hint="eastAsia" w:ascii="宋体" w:hAnsi="宋体" w:eastAsia="宋体" w:cs="宋体"/>
          <w:color w:val="auto"/>
          <w:sz w:val="24"/>
        </w:rPr>
        <w:t>月</w:t>
      </w:r>
      <w:r>
        <w:rPr>
          <w:rFonts w:hint="eastAsia" w:ascii="宋体" w:hAnsi="宋体" w:eastAsia="宋体" w:cs="宋体"/>
          <w:color w:val="auto"/>
          <w:sz w:val="24"/>
          <w:lang w:eastAsia="zh-CN"/>
        </w:rPr>
        <w:fldChar w:fldCharType="end"/>
      </w:r>
      <w:r>
        <w:rPr>
          <w:rFonts w:hint="eastAsia" w:ascii="宋体" w:hAnsi="宋体" w:cs="宋体"/>
          <w:color w:val="auto"/>
          <w:sz w:val="24"/>
          <w:lang w:val="en-US" w:eastAsia="zh-CN"/>
        </w:rPr>
        <w:t>17</w:t>
      </w:r>
      <w:r>
        <w:rPr>
          <w:rFonts w:hint="eastAsia" w:ascii="宋体" w:hAnsi="宋体" w:eastAsia="宋体" w:cs="宋体"/>
          <w:color w:val="auto"/>
          <w:sz w:val="24"/>
        </w:rPr>
        <w:t>日</w:t>
      </w:r>
      <w:r>
        <w:rPr>
          <w:rFonts w:hint="eastAsia" w:ascii="宋体" w:hAnsi="宋体" w:eastAsia="宋体" w:cs="宋体"/>
          <w:color w:val="auto"/>
          <w:sz w:val="24"/>
          <w:lang w:val="en-US" w:eastAsia="zh-CN"/>
        </w:rPr>
        <w:t>13</w:t>
      </w:r>
      <w:r>
        <w:rPr>
          <w:rFonts w:hint="eastAsia" w:ascii="宋体" w:hAnsi="宋体" w:eastAsia="宋体" w:cs="宋体"/>
          <w:color w:val="auto"/>
          <w:sz w:val="24"/>
        </w:rPr>
        <w:t>点</w:t>
      </w:r>
      <w:r>
        <w:rPr>
          <w:rFonts w:hint="eastAsia" w:ascii="宋体" w:hAnsi="宋体" w:eastAsia="宋体" w:cs="宋体"/>
          <w:color w:val="auto"/>
          <w:sz w:val="24"/>
          <w:lang w:val="en-US" w:eastAsia="zh-CN"/>
        </w:rPr>
        <w:t>30</w:t>
      </w:r>
      <w:r>
        <w:rPr>
          <w:rFonts w:hint="eastAsia" w:ascii="宋体" w:hAnsi="宋体" w:eastAsia="宋体" w:cs="宋体"/>
          <w:color w:val="auto"/>
          <w:sz w:val="24"/>
        </w:rPr>
        <w:t>分（北京时间）前递交响应文件。</w:t>
      </w:r>
    </w:p>
    <w:p w14:paraId="5C142C7A">
      <w:pPr>
        <w:keepNext w:val="0"/>
        <w:keepLines w:val="0"/>
        <w:pageBreakBefore w:val="0"/>
        <w:widowControl w:val="0"/>
        <w:kinsoku/>
        <w:wordWrap/>
        <w:overflowPunct/>
        <w:topLinePunct w:val="0"/>
        <w:autoSpaceDE/>
        <w:autoSpaceDN/>
        <w:bidi w:val="0"/>
        <w:spacing w:line="500" w:lineRule="exact"/>
        <w:textAlignment w:val="auto"/>
        <w:rPr>
          <w:rFonts w:hint="eastAsia" w:ascii="宋体" w:hAnsi="宋体" w:eastAsia="宋体" w:cs="宋体"/>
          <w:b/>
          <w:color w:val="auto"/>
          <w:sz w:val="24"/>
        </w:rPr>
      </w:pPr>
      <w:r>
        <w:rPr>
          <w:rFonts w:hint="eastAsia" w:ascii="宋体" w:hAnsi="宋体" w:eastAsia="宋体" w:cs="宋体"/>
          <w:b/>
          <w:color w:val="auto"/>
          <w:sz w:val="24"/>
        </w:rPr>
        <w:t xml:space="preserve"> 一、项目基本情况</w:t>
      </w:r>
    </w:p>
    <w:p w14:paraId="7AAC72F0">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1.1项目编号：采购计划-[2025]-01743号；</w:t>
      </w:r>
    </w:p>
    <w:p w14:paraId="3CFF3932">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1.2项目名称：吉林省博物院馆藏文物预防性保护项目；</w:t>
      </w:r>
    </w:p>
    <w:p w14:paraId="6A5A74FE">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1.3预算金额：</w:t>
      </w:r>
      <w:r>
        <w:rPr>
          <w:rFonts w:hint="eastAsia" w:ascii="宋体" w:hAnsi="宋体" w:eastAsia="宋体" w:cs="宋体"/>
          <w:color w:val="auto"/>
          <w:sz w:val="24"/>
          <w:lang w:val="en-US" w:eastAsia="zh-CN"/>
        </w:rPr>
        <w:t>272</w:t>
      </w:r>
      <w:r>
        <w:rPr>
          <w:rFonts w:hint="eastAsia" w:ascii="宋体" w:hAnsi="宋体" w:eastAsia="宋体" w:cs="宋体"/>
          <w:color w:val="auto"/>
          <w:sz w:val="24"/>
        </w:rPr>
        <w:t>万元；</w:t>
      </w:r>
    </w:p>
    <w:p w14:paraId="3C141F75">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color w:val="auto"/>
          <w:sz w:val="24"/>
          <w:lang w:eastAsia="zh-CN"/>
        </w:rPr>
      </w:pPr>
      <w:r>
        <w:rPr>
          <w:rFonts w:hint="eastAsia" w:ascii="宋体" w:hAnsi="宋体" w:eastAsia="宋体" w:cs="宋体"/>
          <w:color w:val="auto"/>
          <w:sz w:val="24"/>
        </w:rPr>
        <w:t>1.</w:t>
      </w:r>
      <w:r>
        <w:rPr>
          <w:rFonts w:hint="eastAsia" w:ascii="宋体" w:hAnsi="宋体" w:eastAsia="宋体" w:cs="宋体"/>
          <w:color w:val="auto"/>
          <w:sz w:val="24"/>
          <w:lang w:val="en-US" w:eastAsia="zh-CN"/>
        </w:rPr>
        <w:t>4</w:t>
      </w:r>
      <w:r>
        <w:rPr>
          <w:rFonts w:hint="eastAsia" w:ascii="宋体" w:hAnsi="宋体" w:eastAsia="宋体" w:cs="宋体"/>
          <w:color w:val="auto"/>
          <w:sz w:val="24"/>
        </w:rPr>
        <w:t>采购需求：为吉林省博物院（东北抗日联军纪念馆）展柜改造及设备采购，旨在通过升级文物展陈设施，确保文物保存环境安全、稳定</w:t>
      </w:r>
      <w:r>
        <w:rPr>
          <w:rFonts w:hint="eastAsia" w:ascii="宋体" w:hAnsi="宋体" w:eastAsia="宋体" w:cs="宋体"/>
          <w:color w:val="auto"/>
          <w:sz w:val="24"/>
          <w:lang w:eastAsia="zh-CN"/>
        </w:rPr>
        <w:t>，详细采购需求见第五章技术参数；</w:t>
      </w:r>
    </w:p>
    <w:p w14:paraId="47083492">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color w:val="auto"/>
          <w:sz w:val="24"/>
          <w:lang w:eastAsia="zh-CN"/>
        </w:rPr>
      </w:pPr>
      <w:r>
        <w:rPr>
          <w:rFonts w:hint="eastAsia" w:ascii="宋体" w:hAnsi="宋体" w:eastAsia="宋体" w:cs="宋体"/>
          <w:color w:val="auto"/>
          <w:sz w:val="24"/>
        </w:rPr>
        <w:t>1.</w:t>
      </w:r>
      <w:r>
        <w:rPr>
          <w:rFonts w:hint="eastAsia" w:ascii="宋体" w:hAnsi="宋体" w:eastAsia="宋体" w:cs="宋体"/>
          <w:color w:val="auto"/>
          <w:sz w:val="24"/>
          <w:lang w:val="en-US" w:eastAsia="zh-CN"/>
        </w:rPr>
        <w:t>5</w:t>
      </w:r>
      <w:r>
        <w:rPr>
          <w:rFonts w:hint="eastAsia" w:ascii="宋体" w:hAnsi="宋体" w:eastAsia="宋体" w:cs="宋体"/>
          <w:color w:val="auto"/>
          <w:sz w:val="24"/>
        </w:rPr>
        <w:t>合同履行期限：</w:t>
      </w:r>
      <w:r>
        <w:rPr>
          <w:rFonts w:hint="eastAsia" w:ascii="宋体" w:hAnsi="宋体" w:eastAsia="宋体" w:cs="宋体"/>
          <w:color w:val="auto"/>
          <w:sz w:val="24"/>
          <w:lang w:val="zh-CN"/>
        </w:rPr>
        <w:t>自合同签订之日起180日历日内</w:t>
      </w:r>
      <w:r>
        <w:rPr>
          <w:rFonts w:hint="eastAsia" w:ascii="宋体" w:hAnsi="宋体" w:eastAsia="宋体" w:cs="宋体"/>
          <w:color w:val="auto"/>
          <w:sz w:val="24"/>
          <w:lang w:eastAsia="zh-CN"/>
        </w:rPr>
        <w:t>；</w:t>
      </w:r>
    </w:p>
    <w:p w14:paraId="7569A431">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w:t>
      </w:r>
      <w:r>
        <w:rPr>
          <w:rFonts w:hint="eastAsia" w:ascii="宋体" w:hAnsi="宋体" w:eastAsia="宋体" w:cs="宋体"/>
          <w:color w:val="auto"/>
          <w:sz w:val="24"/>
          <w:lang w:val="en-US" w:eastAsia="zh-CN"/>
        </w:rPr>
        <w:t>6</w:t>
      </w:r>
      <w:r>
        <w:rPr>
          <w:rFonts w:hint="eastAsia" w:ascii="宋体" w:hAnsi="宋体" w:eastAsia="宋体" w:cs="宋体"/>
          <w:color w:val="auto"/>
          <w:sz w:val="24"/>
        </w:rPr>
        <w:t>本项目不接受联合体投标。</w:t>
      </w:r>
    </w:p>
    <w:p w14:paraId="28564419">
      <w:pPr>
        <w:keepNext w:val="0"/>
        <w:keepLines w:val="0"/>
        <w:pageBreakBefore w:val="0"/>
        <w:widowControl w:val="0"/>
        <w:kinsoku/>
        <w:wordWrap/>
        <w:overflowPunct/>
        <w:topLinePunct w:val="0"/>
        <w:autoSpaceDE/>
        <w:autoSpaceDN/>
        <w:bidi w:val="0"/>
        <w:spacing w:line="500" w:lineRule="exact"/>
        <w:textAlignment w:val="auto"/>
        <w:rPr>
          <w:rFonts w:hint="eastAsia" w:ascii="宋体" w:hAnsi="宋体" w:eastAsia="宋体" w:cs="宋体"/>
          <w:b/>
          <w:color w:val="auto"/>
          <w:sz w:val="24"/>
        </w:rPr>
      </w:pPr>
      <w:r>
        <w:rPr>
          <w:rFonts w:hint="eastAsia" w:ascii="宋体" w:hAnsi="宋体" w:eastAsia="宋体" w:cs="宋体"/>
          <w:b/>
          <w:color w:val="auto"/>
          <w:sz w:val="24"/>
        </w:rPr>
        <w:t>二、申请人的资格要求</w:t>
      </w:r>
    </w:p>
    <w:p w14:paraId="5D657CE9">
      <w:pPr>
        <w:keepNext w:val="0"/>
        <w:keepLines w:val="0"/>
        <w:pageBreakBefore w:val="0"/>
        <w:widowControl w:val="0"/>
        <w:kinsoku/>
        <w:wordWrap/>
        <w:overflowPunct/>
        <w:topLinePunct w:val="0"/>
        <w:autoSpaceDE/>
        <w:autoSpaceDN/>
        <w:bidi w:val="0"/>
        <w:spacing w:line="50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2.1满足《中华人民共和国政府采购法》第二十二条规定；</w:t>
      </w:r>
    </w:p>
    <w:p w14:paraId="630FBCDA">
      <w:pPr>
        <w:keepNext w:val="0"/>
        <w:keepLines w:val="0"/>
        <w:pageBreakBefore w:val="0"/>
        <w:widowControl w:val="0"/>
        <w:kinsoku/>
        <w:wordWrap/>
        <w:overflowPunct/>
        <w:topLinePunct w:val="0"/>
        <w:autoSpaceDE/>
        <w:autoSpaceDN/>
        <w:bidi w:val="0"/>
        <w:spacing w:line="50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2.2落实政府采购政策需满足的资格要求：</w:t>
      </w:r>
      <w:r>
        <w:rPr>
          <w:rFonts w:hint="eastAsia" w:ascii="宋体" w:hAnsi="宋体" w:eastAsia="宋体" w:cs="宋体"/>
          <w:sz w:val="24"/>
          <w:highlight w:val="none"/>
        </w:rPr>
        <w:t>本项目属于专门面向中小企业采购的项目,供应商应为中小微企业，残疾人福利性单位、监狱单位视同小型、微型企业，享受本项目专门面向中小企业采购的政策。（中小微企业投标的出具中小企业声明函、残疾人福利性单位投标的出具残疾人福利性单位声明函、监狱企业投标的提供由省级以上监狱管理局、戒毒管理局(含新疆生产建设兵团)出具的属于监狱企业的证明文件）</w:t>
      </w:r>
      <w:r>
        <w:rPr>
          <w:rFonts w:hint="eastAsia" w:ascii="宋体" w:hAnsi="宋体" w:eastAsia="宋体" w:cs="宋体"/>
          <w:color w:val="auto"/>
          <w:sz w:val="24"/>
          <w:highlight w:val="none"/>
        </w:rPr>
        <w:t>。</w:t>
      </w:r>
    </w:p>
    <w:p w14:paraId="13D01E1A">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0" w:leftChars="0" w:firstLine="480" w:firstLineChars="200"/>
        <w:textAlignment w:val="auto"/>
        <w:rPr>
          <w:rFonts w:hint="eastAsia" w:ascii="宋体" w:hAnsi="宋体" w:eastAsia="宋体" w:cs="宋体"/>
          <w:sz w:val="24"/>
          <w:highlight w:val="none"/>
          <w:lang w:eastAsia="zh-CN"/>
        </w:rPr>
      </w:pPr>
      <w:r>
        <w:rPr>
          <w:rFonts w:hint="eastAsia" w:ascii="宋体" w:hAnsi="宋体" w:eastAsia="宋体" w:cs="宋体"/>
          <w:color w:val="auto"/>
          <w:sz w:val="24"/>
        </w:rPr>
        <w:t>2.3本项目的特定资格要求：</w:t>
      </w:r>
      <w:r>
        <w:rPr>
          <w:rFonts w:hint="eastAsia" w:ascii="宋体" w:hAnsi="宋体" w:eastAsia="宋体" w:cs="宋体"/>
          <w:color w:val="auto"/>
          <w:sz w:val="24"/>
          <w:lang w:eastAsia="zh-CN"/>
        </w:rPr>
        <w:t>无</w:t>
      </w:r>
      <w:r>
        <w:rPr>
          <w:rFonts w:hint="eastAsia" w:ascii="宋体" w:hAnsi="宋体" w:eastAsia="宋体" w:cs="宋体"/>
          <w:sz w:val="24"/>
          <w:lang w:eastAsia="zh-CN"/>
        </w:rPr>
        <w:t>。</w:t>
      </w:r>
    </w:p>
    <w:p w14:paraId="1C363E90">
      <w:pPr>
        <w:keepNext w:val="0"/>
        <w:keepLines w:val="0"/>
        <w:pageBreakBefore w:val="0"/>
        <w:widowControl w:val="0"/>
        <w:kinsoku/>
        <w:wordWrap/>
        <w:overflowPunct/>
        <w:topLinePunct w:val="0"/>
        <w:autoSpaceDE/>
        <w:autoSpaceDN/>
        <w:bidi w:val="0"/>
        <w:spacing w:line="500" w:lineRule="exact"/>
        <w:textAlignment w:val="auto"/>
        <w:rPr>
          <w:rFonts w:hint="eastAsia" w:ascii="宋体" w:hAnsi="宋体" w:eastAsia="宋体" w:cs="宋体"/>
          <w:b/>
          <w:color w:val="auto"/>
          <w:sz w:val="24"/>
        </w:rPr>
      </w:pPr>
      <w:r>
        <w:rPr>
          <w:rFonts w:hint="eastAsia" w:ascii="宋体" w:hAnsi="宋体" w:eastAsia="宋体" w:cs="宋体"/>
          <w:b/>
          <w:color w:val="auto"/>
          <w:sz w:val="24"/>
        </w:rPr>
        <w:t>三、获取采购文件</w:t>
      </w:r>
    </w:p>
    <w:p w14:paraId="094F3A10">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color w:val="auto"/>
          <w:sz w:val="24"/>
          <w:lang w:val="zh-CN" w:eastAsia="zh-CN"/>
        </w:rPr>
      </w:pPr>
      <w:r>
        <w:rPr>
          <w:rFonts w:hint="eastAsia" w:ascii="宋体" w:hAnsi="宋体" w:eastAsia="宋体" w:cs="宋体"/>
          <w:color w:val="auto"/>
          <w:sz w:val="24"/>
          <w:lang w:val="zh-CN" w:eastAsia="zh-CN"/>
        </w:rPr>
        <w:t>时间：202</w:t>
      </w:r>
      <w:r>
        <w:rPr>
          <w:rFonts w:hint="eastAsia" w:ascii="宋体" w:hAnsi="宋体" w:eastAsia="宋体" w:cs="宋体"/>
          <w:color w:val="auto"/>
          <w:sz w:val="24"/>
          <w:lang w:val="en-US" w:eastAsia="zh-CN"/>
        </w:rPr>
        <w:t>5</w:t>
      </w:r>
      <w:r>
        <w:rPr>
          <w:rFonts w:hint="eastAsia" w:ascii="宋体" w:hAnsi="宋体" w:eastAsia="宋体" w:cs="宋体"/>
          <w:color w:val="auto"/>
          <w:sz w:val="24"/>
          <w:lang w:val="zh-CN" w:eastAsia="zh-CN"/>
        </w:rPr>
        <w:t>年</w:t>
      </w:r>
      <w:r>
        <w:rPr>
          <w:rFonts w:hint="eastAsia" w:ascii="宋体" w:hAnsi="宋体" w:cs="宋体"/>
          <w:color w:val="auto"/>
          <w:sz w:val="24"/>
          <w:lang w:val="en-US" w:eastAsia="zh-CN"/>
        </w:rPr>
        <w:t>3</w:t>
      </w:r>
      <w:r>
        <w:rPr>
          <w:rFonts w:hint="eastAsia" w:ascii="宋体" w:hAnsi="宋体" w:eastAsia="宋体" w:cs="宋体"/>
          <w:color w:val="auto"/>
          <w:sz w:val="24"/>
          <w:lang w:val="zh-CN" w:eastAsia="zh-CN"/>
        </w:rPr>
        <w:t>月</w:t>
      </w:r>
      <w:r>
        <w:rPr>
          <w:rFonts w:hint="eastAsia" w:ascii="宋体" w:hAnsi="宋体" w:cs="宋体"/>
          <w:color w:val="auto"/>
          <w:sz w:val="24"/>
          <w:lang w:val="en-US" w:eastAsia="zh-CN"/>
        </w:rPr>
        <w:t>28</w:t>
      </w:r>
      <w:r>
        <w:rPr>
          <w:rFonts w:hint="eastAsia" w:ascii="宋体" w:hAnsi="宋体" w:eastAsia="宋体" w:cs="宋体"/>
          <w:color w:val="auto"/>
          <w:sz w:val="24"/>
          <w:lang w:val="zh-CN" w:eastAsia="zh-CN"/>
        </w:rPr>
        <w:t>日至202</w:t>
      </w:r>
      <w:r>
        <w:rPr>
          <w:rFonts w:hint="eastAsia" w:ascii="宋体" w:hAnsi="宋体" w:eastAsia="宋体" w:cs="宋体"/>
          <w:color w:val="auto"/>
          <w:sz w:val="24"/>
          <w:lang w:val="en-US" w:eastAsia="zh-CN"/>
        </w:rPr>
        <w:t>5</w:t>
      </w:r>
      <w:r>
        <w:rPr>
          <w:rFonts w:hint="eastAsia" w:ascii="宋体" w:hAnsi="宋体" w:eastAsia="宋体" w:cs="宋体"/>
          <w:color w:val="auto"/>
          <w:sz w:val="24"/>
          <w:lang w:val="zh-CN" w:eastAsia="zh-CN"/>
        </w:rPr>
        <w:t>年</w:t>
      </w:r>
      <w:r>
        <w:rPr>
          <w:rFonts w:hint="eastAsia" w:ascii="宋体" w:hAnsi="宋体" w:cs="宋体"/>
          <w:color w:val="auto"/>
          <w:sz w:val="24"/>
          <w:lang w:val="en-US" w:eastAsia="zh-CN"/>
        </w:rPr>
        <w:t>4</w:t>
      </w:r>
      <w:r>
        <w:rPr>
          <w:rFonts w:hint="eastAsia" w:ascii="宋体" w:hAnsi="宋体" w:eastAsia="宋体" w:cs="宋体"/>
          <w:color w:val="auto"/>
          <w:sz w:val="24"/>
          <w:lang w:val="zh-CN" w:eastAsia="zh-CN"/>
        </w:rPr>
        <w:t>月</w:t>
      </w:r>
      <w:r>
        <w:rPr>
          <w:rFonts w:hint="eastAsia" w:ascii="宋体" w:hAnsi="宋体" w:cs="宋体"/>
          <w:color w:val="auto"/>
          <w:sz w:val="24"/>
          <w:lang w:val="en-US" w:eastAsia="zh-CN"/>
        </w:rPr>
        <w:t>3</w:t>
      </w:r>
      <w:r>
        <w:rPr>
          <w:rFonts w:hint="eastAsia" w:ascii="宋体" w:hAnsi="宋体" w:eastAsia="宋体" w:cs="宋体"/>
          <w:color w:val="auto"/>
          <w:sz w:val="24"/>
          <w:lang w:val="zh-CN" w:eastAsia="zh-CN"/>
        </w:rPr>
        <w:t>日，每天上午8:30至11:30，下午13:30至16:00（北京时间，法定节假日除外）</w:t>
      </w:r>
    </w:p>
    <w:p w14:paraId="5CCF1312">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color w:val="auto"/>
          <w:sz w:val="24"/>
          <w:lang w:val="zh-CN"/>
        </w:rPr>
      </w:pPr>
      <w:r>
        <w:rPr>
          <w:rFonts w:hint="eastAsia" w:ascii="宋体" w:hAnsi="宋体" w:eastAsia="宋体" w:cs="宋体"/>
          <w:color w:val="auto"/>
          <w:sz w:val="24"/>
          <w:lang w:val="zh-CN"/>
        </w:rPr>
        <w:t>地点：“政采云”平台（http：//www.zcygov.cn）</w:t>
      </w:r>
    </w:p>
    <w:p w14:paraId="4E8129D4">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color w:val="auto"/>
          <w:sz w:val="24"/>
          <w:lang w:val="zh-CN" w:eastAsia="zh-CN"/>
        </w:rPr>
      </w:pPr>
      <w:r>
        <w:rPr>
          <w:rFonts w:hint="eastAsia" w:ascii="宋体" w:hAnsi="宋体" w:eastAsia="宋体" w:cs="宋体"/>
          <w:color w:val="auto"/>
          <w:sz w:val="24"/>
          <w:lang w:val="zh-CN"/>
        </w:rPr>
        <w:t>方式：供应商获取采购文件前，应当注册成为“政采云”平台供应商。凡已注册的供应商，按照授予的操作权限自行在“政采云”平台（http：//www.zcygov.cn）（操作路径：登录“政采云”平台-项目采购-获取采购文件-找到本项目-点击“申请获取采购文件”）</w:t>
      </w:r>
      <w:r>
        <w:rPr>
          <w:rFonts w:hint="eastAsia" w:ascii="宋体" w:hAnsi="宋体" w:eastAsia="宋体" w:cs="宋体"/>
          <w:color w:val="auto"/>
          <w:sz w:val="24"/>
          <w:lang w:val="zh-CN"/>
        </w:rPr>
        <w:fldChar w:fldCharType="begin"/>
      </w:r>
      <w:r>
        <w:rPr>
          <w:rFonts w:hint="eastAsia" w:ascii="宋体" w:hAnsi="宋体" w:eastAsia="宋体" w:cs="宋体"/>
          <w:color w:val="auto"/>
          <w:sz w:val="24"/>
          <w:lang w:val="zh-CN"/>
        </w:rPr>
        <w:instrText xml:space="preserve"> HYPERLINK "http://www.ccggzy.com.cn,下同）按采购包下载征集文件并点击下载确认参加本项目征集活动。具体注册及下载征集文件方法请访问长春市公共资源交易网查询相关信息。" </w:instrText>
      </w:r>
      <w:r>
        <w:rPr>
          <w:rFonts w:hint="eastAsia" w:ascii="宋体" w:hAnsi="宋体" w:eastAsia="宋体" w:cs="宋体"/>
          <w:color w:val="auto"/>
          <w:sz w:val="24"/>
          <w:lang w:val="zh-CN"/>
        </w:rPr>
        <w:fldChar w:fldCharType="separate"/>
      </w:r>
      <w:r>
        <w:rPr>
          <w:rFonts w:hint="eastAsia" w:ascii="宋体" w:hAnsi="宋体" w:eastAsia="宋体" w:cs="宋体"/>
          <w:color w:val="auto"/>
          <w:sz w:val="24"/>
          <w:lang w:val="zh-CN"/>
        </w:rPr>
        <w:t>按采购包下载采购文件并点击下载确认参加本项目采购活动。具体注册及下载</w:t>
      </w:r>
      <w:r>
        <w:rPr>
          <w:rFonts w:hint="eastAsia" w:ascii="宋体" w:hAnsi="宋体" w:eastAsia="宋体" w:cs="宋体"/>
          <w:color w:val="auto"/>
          <w:sz w:val="24"/>
          <w:lang w:val="zh-CN" w:eastAsia="zh-CN"/>
        </w:rPr>
        <w:t>采购</w:t>
      </w:r>
      <w:r>
        <w:rPr>
          <w:rFonts w:hint="eastAsia" w:ascii="宋体" w:hAnsi="宋体" w:eastAsia="宋体" w:cs="宋体"/>
          <w:color w:val="auto"/>
          <w:sz w:val="24"/>
          <w:lang w:val="zh-CN"/>
        </w:rPr>
        <w:t>文件方法请访问“政采云”平台查询相关信息。</w:t>
      </w:r>
      <w:r>
        <w:rPr>
          <w:rFonts w:hint="eastAsia" w:ascii="宋体" w:hAnsi="宋体" w:eastAsia="宋体" w:cs="宋体"/>
          <w:color w:val="auto"/>
          <w:sz w:val="24"/>
          <w:lang w:val="zh-CN"/>
        </w:rPr>
        <w:fldChar w:fldCharType="end"/>
      </w:r>
      <w:r>
        <w:rPr>
          <w:rFonts w:hint="eastAsia" w:ascii="宋体" w:hAnsi="宋体" w:eastAsia="宋体" w:cs="宋体"/>
          <w:color w:val="auto"/>
          <w:sz w:val="24"/>
          <w:lang w:val="zh-CN"/>
        </w:rPr>
        <w:t>未进行网上注册</w:t>
      </w:r>
      <w:r>
        <w:rPr>
          <w:rFonts w:hint="eastAsia" w:ascii="宋体" w:hAnsi="宋体" w:eastAsia="宋体" w:cs="宋体"/>
          <w:color w:val="auto"/>
          <w:sz w:val="24"/>
          <w:lang w:val="zh-CN" w:eastAsia="zh-CN"/>
        </w:rPr>
        <w:t>的供应商将无法参与本次</w:t>
      </w:r>
      <w:r>
        <w:rPr>
          <w:rFonts w:hint="eastAsia" w:ascii="宋体" w:hAnsi="宋体" w:eastAsia="宋体" w:cs="宋体"/>
          <w:sz w:val="24"/>
          <w:szCs w:val="24"/>
          <w:highlight w:val="none"/>
          <w:lang w:val="zh-CN" w:eastAsia="zh-CN"/>
        </w:rPr>
        <w:t>开标</w:t>
      </w:r>
      <w:r>
        <w:rPr>
          <w:rFonts w:hint="eastAsia" w:ascii="宋体" w:hAnsi="宋体" w:eastAsia="宋体" w:cs="宋体"/>
          <w:color w:val="auto"/>
          <w:sz w:val="24"/>
          <w:lang w:val="zh-CN" w:eastAsia="zh-CN"/>
        </w:rPr>
        <w:t>活动。</w:t>
      </w:r>
    </w:p>
    <w:p w14:paraId="4B9EE62D">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val="zh-CN"/>
        </w:rPr>
        <w:t>售价：免费。</w:t>
      </w:r>
    </w:p>
    <w:p w14:paraId="01053E8F">
      <w:pPr>
        <w:keepNext w:val="0"/>
        <w:keepLines w:val="0"/>
        <w:pageBreakBefore w:val="0"/>
        <w:widowControl w:val="0"/>
        <w:kinsoku/>
        <w:wordWrap/>
        <w:overflowPunct/>
        <w:topLinePunct w:val="0"/>
        <w:autoSpaceDE/>
        <w:autoSpaceDN/>
        <w:bidi w:val="0"/>
        <w:spacing w:line="500" w:lineRule="exact"/>
        <w:textAlignment w:val="auto"/>
        <w:rPr>
          <w:rFonts w:hint="eastAsia" w:ascii="宋体" w:hAnsi="宋体" w:eastAsia="宋体" w:cs="宋体"/>
          <w:b/>
          <w:color w:val="auto"/>
          <w:sz w:val="24"/>
          <w:lang w:val="zh-CN" w:eastAsia="zh-CN"/>
        </w:rPr>
      </w:pPr>
      <w:r>
        <w:rPr>
          <w:rFonts w:hint="eastAsia" w:ascii="宋体" w:hAnsi="宋体" w:eastAsia="宋体" w:cs="宋体"/>
          <w:b/>
          <w:color w:val="auto"/>
          <w:sz w:val="24"/>
          <w:lang w:val="zh-CN" w:eastAsia="zh-CN"/>
        </w:rPr>
        <w:t>四、响应文件提交</w:t>
      </w:r>
    </w:p>
    <w:p w14:paraId="18B3E388">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zh-CN" w:eastAsia="zh-CN"/>
        </w:rPr>
        <w:t>截止时间：202</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lang w:val="zh-CN" w:eastAsia="zh-CN"/>
        </w:rPr>
        <w:t>年</w:t>
      </w:r>
      <w:r>
        <w:rPr>
          <w:rFonts w:hint="eastAsia" w:ascii="宋体" w:hAnsi="宋体" w:cs="宋体"/>
          <w:sz w:val="24"/>
          <w:szCs w:val="24"/>
          <w:highlight w:val="none"/>
          <w:lang w:val="en-US" w:eastAsia="zh-CN"/>
        </w:rPr>
        <w:t>4</w:t>
      </w:r>
      <w:r>
        <w:rPr>
          <w:rFonts w:hint="eastAsia" w:ascii="宋体" w:hAnsi="宋体" w:eastAsia="宋体" w:cs="宋体"/>
          <w:sz w:val="24"/>
          <w:szCs w:val="24"/>
          <w:highlight w:val="none"/>
          <w:lang w:val="zh-CN" w:eastAsia="zh-CN"/>
        </w:rPr>
        <w:t>月</w:t>
      </w:r>
      <w:r>
        <w:rPr>
          <w:rFonts w:hint="eastAsia" w:ascii="宋体" w:hAnsi="宋体" w:cs="宋体"/>
          <w:sz w:val="24"/>
          <w:szCs w:val="24"/>
          <w:highlight w:val="none"/>
          <w:lang w:val="en-US" w:eastAsia="zh-CN"/>
        </w:rPr>
        <w:t>17</w:t>
      </w:r>
      <w:r>
        <w:rPr>
          <w:rFonts w:hint="eastAsia" w:ascii="宋体" w:hAnsi="宋体" w:eastAsia="宋体" w:cs="宋体"/>
          <w:sz w:val="24"/>
          <w:szCs w:val="24"/>
          <w:highlight w:val="none"/>
          <w:lang w:val="zh-CN" w:eastAsia="zh-CN"/>
        </w:rPr>
        <w:t>日</w:t>
      </w:r>
      <w:r>
        <w:rPr>
          <w:rFonts w:hint="eastAsia" w:ascii="宋体" w:hAnsi="宋体" w:eastAsia="宋体" w:cs="宋体"/>
          <w:sz w:val="24"/>
          <w:szCs w:val="24"/>
          <w:highlight w:val="none"/>
          <w:lang w:val="en-US" w:eastAsia="zh-CN"/>
        </w:rPr>
        <w:t>13</w:t>
      </w:r>
      <w:r>
        <w:rPr>
          <w:rFonts w:hint="eastAsia" w:ascii="宋体" w:hAnsi="宋体" w:eastAsia="宋体" w:cs="宋体"/>
          <w:sz w:val="24"/>
          <w:szCs w:val="24"/>
          <w:highlight w:val="none"/>
          <w:lang w:val="zh-CN" w:eastAsia="zh-CN"/>
        </w:rPr>
        <w:t>时</w:t>
      </w:r>
      <w:r>
        <w:rPr>
          <w:rFonts w:hint="eastAsia" w:ascii="宋体" w:hAnsi="宋体" w:eastAsia="宋体" w:cs="宋体"/>
          <w:sz w:val="24"/>
          <w:szCs w:val="24"/>
          <w:highlight w:val="none"/>
          <w:lang w:val="en-US" w:eastAsia="zh-CN"/>
        </w:rPr>
        <w:t>30</w:t>
      </w:r>
      <w:r>
        <w:rPr>
          <w:rFonts w:hint="eastAsia" w:ascii="宋体" w:hAnsi="宋体" w:eastAsia="宋体" w:cs="宋体"/>
          <w:sz w:val="24"/>
          <w:szCs w:val="24"/>
          <w:highlight w:val="none"/>
          <w:lang w:val="zh-CN" w:eastAsia="zh-CN"/>
        </w:rPr>
        <w:t>分（北京时间）</w:t>
      </w:r>
    </w:p>
    <w:p w14:paraId="48B6903F">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zh-CN" w:eastAsia="zh-CN"/>
        </w:rPr>
        <w:t>地点：长春市二道区凯利中心</w:t>
      </w:r>
      <w:r>
        <w:rPr>
          <w:rFonts w:hint="eastAsia" w:ascii="宋体" w:hAnsi="宋体" w:eastAsia="宋体" w:cs="宋体"/>
          <w:sz w:val="24"/>
          <w:szCs w:val="24"/>
          <w:highlight w:val="none"/>
          <w:lang w:val="en-US" w:eastAsia="zh-CN"/>
        </w:rPr>
        <w:t>AB栋开标四</w:t>
      </w:r>
      <w:r>
        <w:rPr>
          <w:rFonts w:hint="eastAsia" w:ascii="宋体" w:hAnsi="宋体" w:eastAsia="宋体" w:cs="宋体"/>
          <w:sz w:val="24"/>
          <w:szCs w:val="24"/>
          <w:highlight w:val="none"/>
          <w:lang w:val="zh-CN" w:eastAsia="zh-CN"/>
        </w:rPr>
        <w:t>室。</w:t>
      </w:r>
    </w:p>
    <w:p w14:paraId="01B95F4D">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zh-CN" w:eastAsia="zh-CN"/>
        </w:rPr>
        <w:t>提交方式：本项目为全流程电子化项目，通过“政采云”平台（http：//www.zcygov.cn）实行在线电子投标，供应商应先安装“政采云投标客户端”（请自行前往“政采云”平台进行下载），并按照本项目采购文件和“政采云”平台的要求编制、加密后在投标截止时间前通过网络上传至“政采云”平台，供应商在“政采云”平台提交电子版响应文件时，请填写参加开标活动经办人联系方式。</w:t>
      </w:r>
    </w:p>
    <w:p w14:paraId="4B980CB0">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cs="宋体"/>
          <w:kern w:val="44"/>
          <w:sz w:val="24"/>
          <w:szCs w:val="24"/>
          <w:highlight w:val="none"/>
        </w:rPr>
      </w:pPr>
      <w:r>
        <w:rPr>
          <w:rFonts w:hint="eastAsia" w:ascii="宋体" w:hAnsi="宋体" w:eastAsia="宋体" w:cs="宋体"/>
          <w:sz w:val="24"/>
          <w:szCs w:val="24"/>
          <w:highlight w:val="none"/>
          <w:lang w:val="zh-CN" w:eastAsia="zh-CN"/>
        </w:rPr>
        <w:t>电子响应文件解密期限及方式：本项目采用全流程电子化采购，需通过政府采购云平台（http：//www.zcygov.cn）递交电子版投标文件，开启时间后</w:t>
      </w:r>
      <w:r>
        <w:rPr>
          <w:rFonts w:hint="eastAsia" w:ascii="宋体" w:hAnsi="宋体" w:eastAsia="宋体" w:cs="宋体"/>
          <w:sz w:val="24"/>
          <w:szCs w:val="24"/>
          <w:highlight w:val="none"/>
          <w:lang w:val="en-US" w:eastAsia="zh-CN"/>
        </w:rPr>
        <w:t>30</w:t>
      </w:r>
      <w:r>
        <w:rPr>
          <w:rFonts w:hint="eastAsia" w:ascii="宋体" w:hAnsi="宋体" w:eastAsia="宋体" w:cs="宋体"/>
          <w:sz w:val="24"/>
          <w:szCs w:val="24"/>
          <w:highlight w:val="none"/>
          <w:lang w:val="zh-CN" w:eastAsia="zh-CN"/>
        </w:rPr>
        <w:t>分钟内</w:t>
      </w:r>
      <w:r>
        <w:rPr>
          <w:rFonts w:hint="eastAsia" w:ascii="宋体" w:hAnsi="宋体" w:eastAsia="宋体" w:cs="宋体"/>
          <w:sz w:val="24"/>
          <w:szCs w:val="24"/>
          <w:highlight w:val="none"/>
          <w:lang w:val="en-US" w:eastAsia="zh-CN"/>
        </w:rPr>
        <w:t>完成解密</w:t>
      </w:r>
      <w:r>
        <w:rPr>
          <w:rFonts w:hint="eastAsia" w:ascii="宋体" w:hAnsi="宋体" w:eastAsia="宋体" w:cs="宋体"/>
          <w:sz w:val="24"/>
          <w:szCs w:val="24"/>
          <w:highlight w:val="none"/>
          <w:lang w:val="zh-CN" w:eastAsia="zh-CN"/>
        </w:rPr>
        <w:t>。响应文件解密截止时间后，“政采云”平台手动公布响应报价信息，供应商登录“政采云”平台在线查询响应报价信息。</w:t>
      </w:r>
    </w:p>
    <w:p w14:paraId="3141A2A8">
      <w:pPr>
        <w:keepNext w:val="0"/>
        <w:keepLines w:val="0"/>
        <w:pageBreakBefore w:val="0"/>
        <w:widowControl w:val="0"/>
        <w:kinsoku/>
        <w:wordWrap/>
        <w:overflowPunct/>
        <w:topLinePunct w:val="0"/>
        <w:autoSpaceDE/>
        <w:autoSpaceDN/>
        <w:bidi w:val="0"/>
        <w:spacing w:line="500" w:lineRule="exact"/>
        <w:textAlignment w:val="auto"/>
        <w:rPr>
          <w:rFonts w:hint="eastAsia" w:ascii="宋体" w:hAnsi="宋体" w:eastAsia="宋体" w:cs="宋体"/>
          <w:b/>
          <w:color w:val="auto"/>
          <w:sz w:val="24"/>
        </w:rPr>
      </w:pPr>
      <w:r>
        <w:rPr>
          <w:rFonts w:hint="eastAsia" w:ascii="宋体" w:hAnsi="宋体" w:eastAsia="宋体" w:cs="宋体"/>
          <w:b/>
          <w:color w:val="auto"/>
          <w:sz w:val="24"/>
          <w:lang w:val="zh-CN"/>
        </w:rPr>
        <w:t>五、开启时间、地点</w:t>
      </w:r>
    </w:p>
    <w:p w14:paraId="0CA363D6">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cs="宋体"/>
          <w:kern w:val="44"/>
          <w:sz w:val="24"/>
          <w:szCs w:val="24"/>
          <w:highlight w:val="none"/>
        </w:rPr>
      </w:pPr>
      <w:r>
        <w:rPr>
          <w:rFonts w:hint="eastAsia" w:ascii="宋体" w:hAnsi="宋体" w:eastAsia="宋体" w:cs="宋体"/>
          <w:kern w:val="44"/>
          <w:sz w:val="24"/>
          <w:szCs w:val="24"/>
          <w:highlight w:val="none"/>
        </w:rPr>
        <w:t>时间 ：</w:t>
      </w:r>
      <w:r>
        <w:rPr>
          <w:rFonts w:hint="eastAsia" w:ascii="宋体" w:hAnsi="宋体" w:eastAsia="宋体" w:cs="宋体"/>
          <w:sz w:val="24"/>
          <w:szCs w:val="24"/>
          <w:highlight w:val="none"/>
          <w:u w:val="single"/>
        </w:rPr>
        <w:t>202</w:t>
      </w:r>
      <w:r>
        <w:rPr>
          <w:rFonts w:hint="eastAsia" w:ascii="宋体" w:hAnsi="宋体" w:eastAsia="宋体" w:cs="宋体"/>
          <w:sz w:val="24"/>
          <w:szCs w:val="24"/>
          <w:highlight w:val="none"/>
          <w:u w:val="single"/>
          <w:lang w:val="en-US" w:eastAsia="zh-CN"/>
        </w:rPr>
        <w:t>5</w:t>
      </w:r>
      <w:r>
        <w:rPr>
          <w:rFonts w:hint="eastAsia" w:ascii="宋体" w:hAnsi="宋体" w:eastAsia="宋体" w:cs="宋体"/>
          <w:sz w:val="24"/>
          <w:szCs w:val="24"/>
          <w:highlight w:val="none"/>
          <w:u w:val="single"/>
        </w:rPr>
        <w:t>年</w:t>
      </w:r>
      <w:r>
        <w:rPr>
          <w:rFonts w:hint="eastAsia" w:ascii="宋体" w:hAnsi="宋体" w:cs="宋体"/>
          <w:sz w:val="24"/>
          <w:szCs w:val="24"/>
          <w:highlight w:val="none"/>
          <w:u w:val="single"/>
          <w:lang w:val="en-US" w:eastAsia="zh-CN"/>
        </w:rPr>
        <w:t>4</w:t>
      </w:r>
      <w:r>
        <w:rPr>
          <w:rFonts w:hint="eastAsia" w:ascii="宋体" w:hAnsi="宋体" w:eastAsia="宋体" w:cs="宋体"/>
          <w:sz w:val="24"/>
          <w:szCs w:val="24"/>
          <w:highlight w:val="none"/>
          <w:u w:val="single"/>
        </w:rPr>
        <w:t>月</w:t>
      </w:r>
      <w:r>
        <w:rPr>
          <w:rFonts w:hint="eastAsia" w:ascii="宋体" w:hAnsi="宋体" w:cs="宋体"/>
          <w:sz w:val="24"/>
          <w:szCs w:val="24"/>
          <w:highlight w:val="none"/>
          <w:u w:val="single"/>
          <w:lang w:val="en-US" w:eastAsia="zh-CN"/>
        </w:rPr>
        <w:t>17</w:t>
      </w:r>
      <w:r>
        <w:rPr>
          <w:rFonts w:hint="eastAsia" w:ascii="宋体" w:hAnsi="宋体" w:eastAsia="宋体" w:cs="宋体"/>
          <w:sz w:val="24"/>
          <w:szCs w:val="24"/>
          <w:highlight w:val="none"/>
          <w:u w:val="single"/>
        </w:rPr>
        <w:t>日</w:t>
      </w:r>
      <w:r>
        <w:rPr>
          <w:rFonts w:hint="eastAsia" w:ascii="宋体" w:hAnsi="宋体" w:eastAsia="宋体" w:cs="宋体"/>
          <w:sz w:val="24"/>
          <w:szCs w:val="24"/>
          <w:highlight w:val="none"/>
          <w:u w:val="single"/>
          <w:lang w:val="en-US" w:eastAsia="zh-CN"/>
        </w:rPr>
        <w:t>13</w:t>
      </w:r>
      <w:r>
        <w:rPr>
          <w:rFonts w:hint="eastAsia" w:ascii="宋体" w:hAnsi="宋体" w:eastAsia="宋体" w:cs="宋体"/>
          <w:sz w:val="24"/>
          <w:szCs w:val="24"/>
          <w:highlight w:val="none"/>
          <w:u w:val="single"/>
        </w:rPr>
        <w:t>点30分</w:t>
      </w:r>
      <w:r>
        <w:rPr>
          <w:rFonts w:hint="eastAsia" w:ascii="宋体" w:hAnsi="宋体" w:eastAsia="宋体" w:cs="宋体"/>
          <w:kern w:val="44"/>
          <w:sz w:val="24"/>
          <w:szCs w:val="24"/>
          <w:highlight w:val="none"/>
        </w:rPr>
        <w:t>（北京时间）</w:t>
      </w:r>
    </w:p>
    <w:p w14:paraId="3E42D9D0">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cs="宋体"/>
          <w:kern w:val="44"/>
          <w:sz w:val="24"/>
          <w:szCs w:val="24"/>
          <w:highlight w:val="none"/>
        </w:rPr>
      </w:pPr>
      <w:r>
        <w:rPr>
          <w:rFonts w:hint="eastAsia" w:ascii="宋体" w:hAnsi="宋体" w:eastAsia="宋体" w:cs="宋体"/>
          <w:kern w:val="44"/>
          <w:sz w:val="24"/>
          <w:szCs w:val="24"/>
          <w:highlight w:val="none"/>
        </w:rPr>
        <w:t>地点 ：</w:t>
      </w:r>
      <w:r>
        <w:rPr>
          <w:rFonts w:hint="eastAsia" w:ascii="宋体" w:hAnsi="宋体" w:eastAsia="宋体" w:cs="宋体"/>
          <w:sz w:val="24"/>
          <w:szCs w:val="24"/>
          <w:highlight w:val="none"/>
          <w:lang w:val="zh-CN" w:eastAsia="zh-CN"/>
        </w:rPr>
        <w:t>长春市二道区凯利中心</w:t>
      </w:r>
      <w:r>
        <w:rPr>
          <w:rFonts w:hint="eastAsia" w:ascii="宋体" w:hAnsi="宋体" w:eastAsia="宋体" w:cs="宋体"/>
          <w:sz w:val="24"/>
          <w:szCs w:val="24"/>
          <w:highlight w:val="none"/>
          <w:lang w:val="en-US" w:eastAsia="zh-CN"/>
        </w:rPr>
        <w:t>AB栋开标四</w:t>
      </w:r>
      <w:r>
        <w:rPr>
          <w:rFonts w:hint="eastAsia" w:ascii="宋体" w:hAnsi="宋体" w:eastAsia="宋体" w:cs="宋体"/>
          <w:sz w:val="24"/>
          <w:szCs w:val="24"/>
          <w:highlight w:val="none"/>
          <w:lang w:val="zh-CN" w:eastAsia="zh-CN"/>
        </w:rPr>
        <w:t>室</w:t>
      </w:r>
    </w:p>
    <w:p w14:paraId="0BAD6FF1">
      <w:pPr>
        <w:keepNext w:val="0"/>
        <w:keepLines w:val="0"/>
        <w:pageBreakBefore w:val="0"/>
        <w:widowControl w:val="0"/>
        <w:kinsoku/>
        <w:wordWrap/>
        <w:overflowPunct/>
        <w:topLinePunct w:val="0"/>
        <w:autoSpaceDE/>
        <w:autoSpaceDN/>
        <w:bidi w:val="0"/>
        <w:spacing w:line="500" w:lineRule="exact"/>
        <w:textAlignment w:val="auto"/>
        <w:rPr>
          <w:rFonts w:hint="eastAsia" w:ascii="宋体" w:hAnsi="宋体" w:eastAsia="宋体" w:cs="宋体"/>
          <w:b/>
          <w:color w:val="auto"/>
          <w:sz w:val="24"/>
          <w:lang w:val="zh-CN"/>
        </w:rPr>
      </w:pPr>
      <w:bookmarkStart w:id="1" w:name="_Toc28359084"/>
      <w:bookmarkStart w:id="2" w:name="_Toc28359007"/>
      <w:r>
        <w:rPr>
          <w:rFonts w:hint="eastAsia" w:ascii="宋体" w:hAnsi="宋体" w:eastAsia="宋体" w:cs="宋体"/>
          <w:b/>
          <w:color w:val="auto"/>
          <w:sz w:val="24"/>
          <w:lang w:val="zh-CN"/>
        </w:rPr>
        <w:t>六、公告期限</w:t>
      </w:r>
      <w:bookmarkEnd w:id="1"/>
      <w:bookmarkEnd w:id="2"/>
    </w:p>
    <w:p w14:paraId="20C4ACFD">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cs="宋体"/>
          <w:kern w:val="44"/>
          <w:sz w:val="24"/>
          <w:szCs w:val="24"/>
          <w:highlight w:val="none"/>
        </w:rPr>
      </w:pPr>
      <w:r>
        <w:rPr>
          <w:rFonts w:hint="eastAsia" w:ascii="宋体" w:hAnsi="宋体" w:eastAsia="宋体" w:cs="宋体"/>
          <w:kern w:val="44"/>
          <w:sz w:val="24"/>
          <w:szCs w:val="24"/>
          <w:highlight w:val="none"/>
        </w:rPr>
        <w:t>自本公告发布之日起</w:t>
      </w:r>
      <w:r>
        <w:rPr>
          <w:rFonts w:hint="eastAsia" w:ascii="宋体" w:hAnsi="宋体" w:eastAsia="宋体" w:cs="宋体"/>
          <w:kern w:val="44"/>
          <w:sz w:val="24"/>
          <w:szCs w:val="24"/>
          <w:highlight w:val="none"/>
          <w:lang w:val="en-US" w:eastAsia="zh-CN"/>
        </w:rPr>
        <w:t>5</w:t>
      </w:r>
      <w:r>
        <w:rPr>
          <w:rFonts w:hint="eastAsia" w:ascii="宋体" w:hAnsi="宋体" w:eastAsia="宋体" w:cs="宋体"/>
          <w:kern w:val="44"/>
          <w:sz w:val="24"/>
          <w:szCs w:val="24"/>
          <w:highlight w:val="none"/>
        </w:rPr>
        <w:t>个工作日。</w:t>
      </w:r>
    </w:p>
    <w:p w14:paraId="710C8524">
      <w:pPr>
        <w:keepNext w:val="0"/>
        <w:keepLines w:val="0"/>
        <w:pageBreakBefore w:val="0"/>
        <w:widowControl w:val="0"/>
        <w:kinsoku/>
        <w:wordWrap/>
        <w:overflowPunct/>
        <w:topLinePunct w:val="0"/>
        <w:autoSpaceDE/>
        <w:autoSpaceDN/>
        <w:bidi w:val="0"/>
        <w:spacing w:line="500" w:lineRule="exact"/>
        <w:textAlignment w:val="auto"/>
        <w:rPr>
          <w:rFonts w:hint="eastAsia" w:ascii="宋体" w:hAnsi="宋体" w:eastAsia="宋体" w:cs="宋体"/>
          <w:b/>
          <w:color w:val="auto"/>
          <w:sz w:val="24"/>
        </w:rPr>
      </w:pPr>
      <w:r>
        <w:rPr>
          <w:rFonts w:hint="eastAsia" w:ascii="宋体" w:hAnsi="宋体" w:eastAsia="宋体" w:cs="宋体"/>
          <w:b/>
          <w:color w:val="auto"/>
          <w:sz w:val="24"/>
          <w:lang w:val="zh-CN"/>
        </w:rPr>
        <w:t>七、其他补充事宜</w:t>
      </w:r>
    </w:p>
    <w:p w14:paraId="4DDC964A">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cs="宋体"/>
          <w:sz w:val="24"/>
          <w:szCs w:val="24"/>
          <w:highlight w:val="none"/>
          <w:lang w:val="zh-CN" w:eastAsia="zh-CN"/>
        </w:rPr>
      </w:pPr>
      <w:bookmarkStart w:id="3" w:name="_Toc28359008"/>
      <w:bookmarkStart w:id="4" w:name="_Toc28359085"/>
      <w:r>
        <w:rPr>
          <w:rFonts w:hint="eastAsia" w:ascii="宋体" w:hAnsi="宋体" w:eastAsia="宋体" w:cs="宋体"/>
          <w:sz w:val="24"/>
          <w:szCs w:val="24"/>
          <w:highlight w:val="none"/>
          <w:lang w:val="zh-CN" w:eastAsia="zh-CN"/>
        </w:rPr>
        <w:t>1.采购项目执行政府采购政策</w:t>
      </w:r>
    </w:p>
    <w:p w14:paraId="56DA06DA">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zh-CN" w:eastAsia="zh-CN"/>
        </w:rPr>
        <w:t>（1）优先采购节能环保产品（注：所采购的货物在政府采购节能产品、环境标志产品实施品目清单范围内，且具有国家确定的认证机构出具的、处于有效期之内的节能产品、环境标志产品认证证书）。</w:t>
      </w:r>
    </w:p>
    <w:p w14:paraId="0FA6CA21">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zh-CN" w:eastAsia="zh-CN"/>
        </w:rPr>
        <w:t>2.本项目投标截止期前被“信用中国”网站（www.creditchina.gov.cn）中列入失信被执行人和/或重大税收违法案件当事人名单的供应商、被中国政府采购网（www.ccgp.gov.cn）列入政府采购严重违法失信行为记录名单中被财政部门禁止参加政府采购活动的供应商（处罚决定规定的时间和地域范围内），无资格参加本项目的采购活动。</w:t>
      </w:r>
    </w:p>
    <w:p w14:paraId="0C4F8F8C">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zh-CN" w:eastAsia="zh-CN"/>
        </w:rPr>
        <w:t>3.单位负责人为同一人或者存在控股、管理关系的不同单位，不得同时参加本项目的投标。为本项目提供整体设计、规范编制或者项目管理、监理、检测等服务的供应商，不得再参加本项目投标。</w:t>
      </w:r>
    </w:p>
    <w:p w14:paraId="4FB83A87">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4.发布媒介：“政采云 ”平台（http:// www.zcygov.cn），同步推送到吉林省政府采购网（</w:t>
      </w:r>
      <w:r>
        <w:rPr>
          <w:rFonts w:hint="eastAsia" w:ascii="宋体" w:hAnsi="宋体" w:eastAsia="宋体" w:cs="宋体"/>
          <w:sz w:val="24"/>
          <w:szCs w:val="24"/>
          <w:highlight w:val="none"/>
          <w:lang w:val="en-US" w:eastAsia="zh-CN"/>
        </w:rPr>
        <w:fldChar w:fldCharType="begin"/>
      </w:r>
      <w:r>
        <w:rPr>
          <w:rFonts w:hint="eastAsia" w:ascii="宋体" w:hAnsi="宋体" w:eastAsia="宋体" w:cs="宋体"/>
          <w:sz w:val="24"/>
          <w:szCs w:val="24"/>
          <w:highlight w:val="none"/>
          <w:lang w:val="en-US" w:eastAsia="zh-CN"/>
        </w:rPr>
        <w:instrText xml:space="preserve"> HYPERLINK "http://www.ccgp-jilin.gov.cn/" </w:instrText>
      </w:r>
      <w:r>
        <w:rPr>
          <w:rFonts w:hint="eastAsia" w:ascii="宋体" w:hAnsi="宋体" w:eastAsia="宋体" w:cs="宋体"/>
          <w:sz w:val="24"/>
          <w:szCs w:val="24"/>
          <w:highlight w:val="none"/>
          <w:lang w:val="en-US" w:eastAsia="zh-CN"/>
        </w:rPr>
        <w:fldChar w:fldCharType="separate"/>
      </w:r>
      <w:r>
        <w:rPr>
          <w:rFonts w:hint="eastAsia" w:ascii="宋体" w:hAnsi="宋体" w:eastAsia="宋体" w:cs="宋体"/>
          <w:sz w:val="24"/>
          <w:szCs w:val="24"/>
          <w:highlight w:val="none"/>
          <w:lang w:val="en-US" w:eastAsia="zh-CN"/>
        </w:rPr>
        <w:t>http://www.ccgp-jilin.gov.cn/</w:t>
      </w:r>
      <w:r>
        <w:rPr>
          <w:rFonts w:hint="eastAsia" w:ascii="宋体" w:hAnsi="宋体" w:eastAsia="宋体" w:cs="宋体"/>
          <w:sz w:val="24"/>
          <w:szCs w:val="24"/>
          <w:highlight w:val="none"/>
          <w:lang w:val="en-US" w:eastAsia="zh-CN"/>
        </w:rPr>
        <w:fldChar w:fldCharType="end"/>
      </w:r>
      <w:r>
        <w:rPr>
          <w:rFonts w:hint="eastAsia" w:ascii="宋体" w:hAnsi="宋体" w:eastAsia="宋体" w:cs="宋体"/>
          <w:sz w:val="24"/>
          <w:szCs w:val="24"/>
          <w:highlight w:val="none"/>
          <w:lang w:val="en-US" w:eastAsia="zh-CN"/>
        </w:rPr>
        <w:t>），并同时在中国政府采购网发布。</w:t>
      </w:r>
    </w:p>
    <w:p w14:paraId="79DC633E">
      <w:pPr>
        <w:keepNext w:val="0"/>
        <w:keepLines w:val="0"/>
        <w:pageBreakBefore w:val="0"/>
        <w:widowControl w:val="0"/>
        <w:kinsoku/>
        <w:wordWrap/>
        <w:overflowPunct/>
        <w:topLinePunct w:val="0"/>
        <w:autoSpaceDE/>
        <w:autoSpaceDN/>
        <w:bidi w:val="0"/>
        <w:adjustRightInd w:val="0"/>
        <w:snapToGrid w:val="0"/>
        <w:spacing w:line="500" w:lineRule="exact"/>
        <w:textAlignment w:val="auto"/>
        <w:rPr>
          <w:rFonts w:hint="eastAsia" w:ascii="宋体" w:hAnsi="宋体" w:eastAsia="宋体" w:cs="宋体"/>
          <w:kern w:val="44"/>
          <w:szCs w:val="24"/>
          <w:highlight w:val="none"/>
        </w:rPr>
      </w:pPr>
      <w:r>
        <w:rPr>
          <w:rFonts w:hint="eastAsia" w:ascii="宋体" w:hAnsi="宋体" w:eastAsia="宋体" w:cs="宋体"/>
          <w:b/>
          <w:color w:val="auto"/>
          <w:sz w:val="24"/>
          <w:lang w:val="zh-CN"/>
        </w:rPr>
        <w:t>八、对本次招标提出询问，请按以下方式联系。</w:t>
      </w:r>
      <w:bookmarkEnd w:id="3"/>
      <w:bookmarkEnd w:id="4"/>
      <w:r>
        <w:rPr>
          <w:rFonts w:hint="eastAsia" w:ascii="宋体" w:hAnsi="宋体" w:eastAsia="宋体" w:cs="宋体"/>
          <w:b/>
          <w:color w:val="auto"/>
          <w:sz w:val="24"/>
        </w:rPr>
        <w:tab/>
      </w:r>
      <w:r>
        <w:rPr>
          <w:rFonts w:hint="eastAsia" w:ascii="宋体" w:hAnsi="宋体" w:eastAsia="宋体" w:cs="宋体"/>
          <w:b/>
          <w:color w:val="auto"/>
          <w:sz w:val="24"/>
        </w:rPr>
        <w:t>　</w:t>
      </w:r>
      <w:r>
        <w:rPr>
          <w:rFonts w:hint="eastAsia" w:ascii="宋体" w:hAnsi="宋体" w:eastAsia="宋体" w:cs="宋体"/>
          <w:kern w:val="44"/>
          <w:szCs w:val="24"/>
          <w:highlight w:val="none"/>
        </w:rPr>
        <w:t xml:space="preserve">　 </w:t>
      </w:r>
    </w:p>
    <w:p w14:paraId="12932415">
      <w:pPr>
        <w:keepNext w:val="0"/>
        <w:keepLines w:val="0"/>
        <w:pageBreakBefore w:val="0"/>
        <w:widowControl w:val="0"/>
        <w:kinsoku/>
        <w:wordWrap/>
        <w:overflowPunct/>
        <w:topLinePunct w:val="0"/>
        <w:autoSpaceDE/>
        <w:autoSpaceDN/>
        <w:bidi w:val="0"/>
        <w:spacing w:line="500" w:lineRule="exact"/>
        <w:textAlignment w:val="auto"/>
        <w:rPr>
          <w:rFonts w:hint="eastAsia" w:ascii="宋体" w:hAnsi="宋体" w:eastAsia="宋体" w:cs="宋体"/>
          <w:sz w:val="24"/>
          <w:highlight w:val="none"/>
        </w:rPr>
      </w:pPr>
      <w:r>
        <w:rPr>
          <w:rFonts w:hint="eastAsia" w:ascii="宋体" w:hAnsi="宋体" w:eastAsia="宋体" w:cs="宋体"/>
          <w:sz w:val="24"/>
          <w:highlight w:val="none"/>
        </w:rPr>
        <w:t>1.采购人信息</w:t>
      </w:r>
    </w:p>
    <w:p w14:paraId="0024D151">
      <w:pPr>
        <w:keepNext w:val="0"/>
        <w:keepLines w:val="0"/>
        <w:pageBreakBefore w:val="0"/>
        <w:widowControl w:val="0"/>
        <w:kinsoku/>
        <w:wordWrap/>
        <w:overflowPunct/>
        <w:topLinePunct w:val="0"/>
        <w:autoSpaceDE/>
        <w:autoSpaceDN/>
        <w:bidi w:val="0"/>
        <w:spacing w:line="500" w:lineRule="exact"/>
        <w:ind w:firstLine="720" w:firstLineChars="300"/>
        <w:textAlignment w:val="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名 称：吉林省博物院（东北抗日联军纪念馆）</w:t>
      </w:r>
    </w:p>
    <w:p w14:paraId="3D666C2B">
      <w:pPr>
        <w:keepNext w:val="0"/>
        <w:keepLines w:val="0"/>
        <w:pageBreakBefore w:val="0"/>
        <w:widowControl w:val="0"/>
        <w:kinsoku/>
        <w:wordWrap/>
        <w:overflowPunct/>
        <w:topLinePunct w:val="0"/>
        <w:autoSpaceDE/>
        <w:autoSpaceDN/>
        <w:bidi w:val="0"/>
        <w:spacing w:line="500" w:lineRule="exact"/>
        <w:ind w:firstLine="720" w:firstLineChars="300"/>
        <w:textAlignment w:val="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地址：吉林省长春市净月国家高新技术产业开发区永顺路1666号</w:t>
      </w:r>
    </w:p>
    <w:p w14:paraId="71354023">
      <w:pPr>
        <w:keepNext w:val="0"/>
        <w:keepLines w:val="0"/>
        <w:pageBreakBefore w:val="0"/>
        <w:widowControl w:val="0"/>
        <w:kinsoku/>
        <w:wordWrap/>
        <w:overflowPunct/>
        <w:topLinePunct w:val="0"/>
        <w:autoSpaceDE/>
        <w:autoSpaceDN/>
        <w:bidi w:val="0"/>
        <w:spacing w:line="500" w:lineRule="exact"/>
        <w:ind w:firstLine="720" w:firstLineChars="300"/>
        <w:textAlignment w:val="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联系人：郝秀龙</w:t>
      </w:r>
    </w:p>
    <w:p w14:paraId="5CDD464E">
      <w:pPr>
        <w:keepNext w:val="0"/>
        <w:keepLines w:val="0"/>
        <w:pageBreakBefore w:val="0"/>
        <w:widowControl w:val="0"/>
        <w:kinsoku/>
        <w:wordWrap/>
        <w:overflowPunct/>
        <w:topLinePunct w:val="0"/>
        <w:autoSpaceDE/>
        <w:autoSpaceDN/>
        <w:bidi w:val="0"/>
        <w:spacing w:line="500" w:lineRule="exact"/>
        <w:ind w:firstLine="720" w:firstLineChars="300"/>
        <w:textAlignment w:val="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电话：0431-81959588</w:t>
      </w:r>
    </w:p>
    <w:p w14:paraId="7ECF9F0D">
      <w:pPr>
        <w:keepNext w:val="0"/>
        <w:keepLines w:val="0"/>
        <w:pageBreakBefore w:val="0"/>
        <w:widowControl w:val="0"/>
        <w:kinsoku/>
        <w:wordWrap/>
        <w:overflowPunct/>
        <w:topLinePunct w:val="0"/>
        <w:autoSpaceDE/>
        <w:autoSpaceDN/>
        <w:bidi w:val="0"/>
        <w:spacing w:line="500" w:lineRule="exact"/>
        <w:textAlignment w:val="auto"/>
        <w:rPr>
          <w:rFonts w:hint="eastAsia" w:ascii="宋体" w:hAnsi="宋体" w:eastAsia="宋体" w:cs="宋体"/>
          <w:sz w:val="24"/>
          <w:highlight w:val="none"/>
        </w:rPr>
      </w:pPr>
      <w:r>
        <w:rPr>
          <w:rFonts w:hint="eastAsia" w:ascii="宋体" w:hAnsi="宋体" w:eastAsia="宋体" w:cs="宋体"/>
          <w:sz w:val="24"/>
          <w:highlight w:val="none"/>
        </w:rPr>
        <w:t>2.采购代理机构信息</w:t>
      </w:r>
    </w:p>
    <w:p w14:paraId="26955E27">
      <w:pPr>
        <w:keepNext w:val="0"/>
        <w:keepLines w:val="0"/>
        <w:pageBreakBefore w:val="0"/>
        <w:widowControl w:val="0"/>
        <w:kinsoku/>
        <w:wordWrap/>
        <w:overflowPunct/>
        <w:topLinePunct w:val="0"/>
        <w:autoSpaceDE/>
        <w:autoSpaceDN/>
        <w:bidi w:val="0"/>
        <w:spacing w:line="500" w:lineRule="exact"/>
        <w:ind w:firstLine="720" w:firstLineChars="300"/>
        <w:textAlignment w:val="auto"/>
        <w:rPr>
          <w:rFonts w:hint="eastAsia" w:ascii="宋体" w:hAnsi="宋体" w:eastAsia="宋体" w:cs="宋体"/>
          <w:sz w:val="24"/>
          <w:highlight w:val="none"/>
        </w:rPr>
      </w:pPr>
      <w:r>
        <w:rPr>
          <w:rFonts w:hint="eastAsia" w:ascii="宋体" w:hAnsi="宋体" w:eastAsia="宋体" w:cs="宋体"/>
          <w:sz w:val="24"/>
          <w:highlight w:val="none"/>
        </w:rPr>
        <w:t>名 称：吉林中信工程建设咨询有限公司</w:t>
      </w:r>
    </w:p>
    <w:p w14:paraId="59BA49A3">
      <w:pPr>
        <w:keepNext w:val="0"/>
        <w:keepLines w:val="0"/>
        <w:pageBreakBefore w:val="0"/>
        <w:widowControl w:val="0"/>
        <w:kinsoku/>
        <w:wordWrap/>
        <w:overflowPunct/>
        <w:topLinePunct w:val="0"/>
        <w:autoSpaceDE/>
        <w:autoSpaceDN/>
        <w:bidi w:val="0"/>
        <w:spacing w:line="500" w:lineRule="exact"/>
        <w:ind w:firstLine="720" w:firstLineChars="300"/>
        <w:textAlignment w:val="auto"/>
        <w:rPr>
          <w:rFonts w:hint="eastAsia" w:ascii="宋体" w:hAnsi="宋体" w:eastAsia="宋体" w:cs="宋体"/>
          <w:sz w:val="24"/>
          <w:highlight w:val="none"/>
        </w:rPr>
      </w:pPr>
      <w:r>
        <w:rPr>
          <w:rFonts w:hint="eastAsia" w:ascii="宋体" w:hAnsi="宋体" w:eastAsia="宋体" w:cs="宋体"/>
          <w:sz w:val="24"/>
          <w:highlight w:val="none"/>
        </w:rPr>
        <w:t>地 址：长春市临河街5062号A座</w:t>
      </w:r>
      <w:r>
        <w:rPr>
          <w:rFonts w:hint="eastAsia" w:ascii="宋体" w:hAnsi="宋体" w:eastAsia="宋体" w:cs="宋体"/>
          <w:sz w:val="24"/>
          <w:highlight w:val="none"/>
          <w:lang w:val="en-US" w:eastAsia="zh-CN"/>
        </w:rPr>
        <w:t>6</w:t>
      </w:r>
      <w:r>
        <w:rPr>
          <w:rFonts w:hint="eastAsia" w:ascii="宋体" w:hAnsi="宋体" w:eastAsia="宋体" w:cs="宋体"/>
          <w:sz w:val="24"/>
          <w:highlight w:val="none"/>
        </w:rPr>
        <w:t xml:space="preserve">12 </w:t>
      </w:r>
    </w:p>
    <w:p w14:paraId="7CAF81F9">
      <w:pPr>
        <w:keepNext w:val="0"/>
        <w:keepLines w:val="0"/>
        <w:pageBreakBefore w:val="0"/>
        <w:widowControl w:val="0"/>
        <w:kinsoku/>
        <w:wordWrap/>
        <w:overflowPunct/>
        <w:topLinePunct w:val="0"/>
        <w:autoSpaceDE/>
        <w:autoSpaceDN/>
        <w:bidi w:val="0"/>
        <w:spacing w:line="500" w:lineRule="exact"/>
        <w:ind w:firstLine="720" w:firstLineChars="300"/>
        <w:textAlignment w:val="auto"/>
        <w:rPr>
          <w:rFonts w:hint="eastAsia" w:ascii="宋体" w:hAnsi="宋体" w:eastAsia="宋体" w:cs="宋体"/>
          <w:sz w:val="24"/>
          <w:highlight w:val="none"/>
        </w:rPr>
      </w:pPr>
      <w:r>
        <w:rPr>
          <w:rFonts w:hint="eastAsia" w:ascii="宋体" w:hAnsi="宋体" w:eastAsia="宋体" w:cs="宋体"/>
          <w:sz w:val="24"/>
          <w:highlight w:val="none"/>
        </w:rPr>
        <w:t>联系方式：0431-84998673</w:t>
      </w:r>
    </w:p>
    <w:p w14:paraId="386DE2BC">
      <w:pPr>
        <w:keepNext w:val="0"/>
        <w:keepLines w:val="0"/>
        <w:pageBreakBefore w:val="0"/>
        <w:widowControl w:val="0"/>
        <w:kinsoku/>
        <w:wordWrap/>
        <w:overflowPunct/>
        <w:topLinePunct w:val="0"/>
        <w:autoSpaceDE/>
        <w:autoSpaceDN/>
        <w:bidi w:val="0"/>
        <w:spacing w:line="500" w:lineRule="exact"/>
        <w:textAlignment w:val="auto"/>
        <w:rPr>
          <w:rFonts w:hint="eastAsia" w:ascii="宋体" w:hAnsi="宋体" w:eastAsia="宋体" w:cs="宋体"/>
          <w:sz w:val="24"/>
          <w:highlight w:val="none"/>
        </w:rPr>
      </w:pPr>
      <w:r>
        <w:rPr>
          <w:rFonts w:hint="eastAsia" w:ascii="宋体" w:hAnsi="宋体" w:eastAsia="宋体" w:cs="宋体"/>
          <w:sz w:val="24"/>
          <w:highlight w:val="none"/>
        </w:rPr>
        <w:t>3.项目联系方式</w:t>
      </w:r>
    </w:p>
    <w:p w14:paraId="54354F22">
      <w:pPr>
        <w:keepNext w:val="0"/>
        <w:keepLines w:val="0"/>
        <w:pageBreakBefore w:val="0"/>
        <w:widowControl w:val="0"/>
        <w:kinsoku/>
        <w:wordWrap/>
        <w:overflowPunct/>
        <w:topLinePunct w:val="0"/>
        <w:autoSpaceDE/>
        <w:autoSpaceDN/>
        <w:bidi w:val="0"/>
        <w:spacing w:line="500" w:lineRule="exact"/>
        <w:ind w:firstLine="720" w:firstLineChars="300"/>
        <w:textAlignment w:val="auto"/>
        <w:rPr>
          <w:rFonts w:hint="eastAsia" w:ascii="宋体" w:hAnsi="宋体" w:eastAsia="宋体" w:cs="宋体"/>
          <w:sz w:val="24"/>
          <w:highlight w:val="none"/>
        </w:rPr>
      </w:pPr>
      <w:r>
        <w:rPr>
          <w:rFonts w:hint="eastAsia" w:ascii="宋体" w:hAnsi="宋体" w:eastAsia="宋体" w:cs="宋体"/>
          <w:sz w:val="24"/>
          <w:highlight w:val="none"/>
        </w:rPr>
        <w:t>项目联系人：郭佳明</w:t>
      </w:r>
    </w:p>
    <w:p w14:paraId="721C00A2">
      <w:pPr>
        <w:keepNext w:val="0"/>
        <w:keepLines w:val="0"/>
        <w:pageBreakBefore w:val="0"/>
        <w:widowControl w:val="0"/>
        <w:kinsoku/>
        <w:wordWrap/>
        <w:overflowPunct/>
        <w:topLinePunct w:val="0"/>
        <w:autoSpaceDE/>
        <w:autoSpaceDN/>
        <w:bidi w:val="0"/>
        <w:spacing w:line="500" w:lineRule="exact"/>
        <w:ind w:firstLine="720" w:firstLineChars="300"/>
        <w:textAlignment w:val="auto"/>
        <w:rPr>
          <w:rFonts w:hint="eastAsia" w:ascii="宋体" w:hAnsi="宋体" w:eastAsia="宋体" w:cs="宋体"/>
          <w:sz w:val="24"/>
          <w:highlight w:val="none"/>
        </w:rPr>
        <w:sectPr>
          <w:footerReference r:id="rId8" w:type="default"/>
          <w:pgSz w:w="11906" w:h="16838"/>
          <w:pgMar w:top="1418" w:right="1133" w:bottom="993" w:left="1134" w:header="851" w:footer="992" w:gutter="0"/>
          <w:pgNumType w:fmt="decimal" w:start="1"/>
          <w:cols w:space="720" w:num="1"/>
          <w:docGrid w:linePitch="312" w:charSpace="0"/>
        </w:sectPr>
      </w:pPr>
      <w:r>
        <w:rPr>
          <w:rFonts w:hint="eastAsia" w:ascii="宋体" w:hAnsi="宋体" w:eastAsia="宋体" w:cs="宋体"/>
          <w:sz w:val="24"/>
          <w:highlight w:val="none"/>
        </w:rPr>
        <w:t>电 话：0431-84998673</w:t>
      </w:r>
    </w:p>
    <w:p w14:paraId="3C780364">
      <w:pPr>
        <w:topLinePunct/>
        <w:adjustRightInd w:val="0"/>
        <w:snapToGrid w:val="0"/>
        <w:spacing w:before="36" w:beforeLines="15" w:line="276" w:lineRule="auto"/>
        <w:jc w:val="center"/>
        <w:outlineLvl w:val="0"/>
        <w:rPr>
          <w:rFonts w:hint="eastAsia" w:ascii="宋体" w:hAnsi="宋体" w:eastAsia="宋体" w:cs="宋体"/>
          <w:b/>
          <w:sz w:val="36"/>
          <w:szCs w:val="36"/>
          <w:highlight w:val="none"/>
        </w:rPr>
      </w:pPr>
      <w:bookmarkStart w:id="5" w:name="_Toc62484142"/>
      <w:r>
        <w:rPr>
          <w:rFonts w:hint="eastAsia" w:ascii="宋体" w:hAnsi="宋体" w:eastAsia="宋体" w:cs="宋体"/>
          <w:b/>
          <w:sz w:val="36"/>
          <w:szCs w:val="36"/>
          <w:highlight w:val="none"/>
        </w:rPr>
        <w:t xml:space="preserve">第二章  </w:t>
      </w:r>
      <w:r>
        <w:rPr>
          <w:rFonts w:hint="eastAsia" w:ascii="宋体" w:hAnsi="宋体" w:eastAsia="宋体" w:cs="宋体"/>
          <w:b/>
          <w:sz w:val="36"/>
          <w:szCs w:val="36"/>
          <w:highlight w:val="none"/>
          <w:lang w:eastAsia="zh-CN"/>
        </w:rPr>
        <w:t>供应商</w:t>
      </w:r>
      <w:r>
        <w:rPr>
          <w:rFonts w:hint="eastAsia" w:ascii="宋体" w:hAnsi="宋体" w:eastAsia="宋体" w:cs="宋体"/>
          <w:b/>
          <w:sz w:val="36"/>
          <w:szCs w:val="36"/>
          <w:highlight w:val="none"/>
        </w:rPr>
        <w:t>须知</w:t>
      </w:r>
      <w:bookmarkEnd w:id="5"/>
    </w:p>
    <w:p w14:paraId="1B2B411E">
      <w:pPr>
        <w:topLinePunct/>
        <w:adjustRightInd w:val="0"/>
        <w:snapToGrid w:val="0"/>
        <w:spacing w:before="36" w:beforeLines="15" w:line="276" w:lineRule="auto"/>
        <w:jc w:val="center"/>
        <w:outlineLvl w:val="0"/>
        <w:rPr>
          <w:rFonts w:hint="eastAsia" w:ascii="宋体" w:hAnsi="宋体" w:eastAsia="宋体" w:cs="宋体"/>
          <w:b/>
          <w:sz w:val="24"/>
          <w:highlight w:val="none"/>
        </w:rPr>
      </w:pPr>
      <w:bookmarkStart w:id="6" w:name="_Toc62484143"/>
      <w:bookmarkStart w:id="7" w:name="_Toc2211"/>
      <w:bookmarkStart w:id="8" w:name="_Toc26767"/>
      <w:r>
        <w:rPr>
          <w:rFonts w:hint="eastAsia" w:ascii="宋体" w:hAnsi="宋体" w:eastAsia="宋体" w:cs="宋体"/>
          <w:b/>
          <w:sz w:val="24"/>
          <w:highlight w:val="none"/>
          <w:lang w:eastAsia="zh-CN"/>
        </w:rPr>
        <w:t>供应商</w:t>
      </w:r>
      <w:r>
        <w:rPr>
          <w:rFonts w:hint="eastAsia" w:ascii="宋体" w:hAnsi="宋体" w:eastAsia="宋体" w:cs="宋体"/>
          <w:b/>
          <w:sz w:val="24"/>
          <w:highlight w:val="none"/>
        </w:rPr>
        <w:t>须知前附表</w:t>
      </w:r>
      <w:bookmarkEnd w:id="6"/>
      <w:bookmarkEnd w:id="7"/>
      <w:bookmarkEnd w:id="8"/>
    </w:p>
    <w:tbl>
      <w:tblPr>
        <w:tblStyle w:val="36"/>
        <w:tblW w:w="100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0"/>
        <w:gridCol w:w="2522"/>
        <w:gridCol w:w="6584"/>
      </w:tblGrid>
      <w:tr w14:paraId="70590C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blHeader/>
          <w:jc w:val="center"/>
        </w:trPr>
        <w:tc>
          <w:tcPr>
            <w:tcW w:w="910" w:type="dxa"/>
            <w:vAlign w:val="center"/>
          </w:tcPr>
          <w:p w14:paraId="7769302F">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条款号</w:t>
            </w:r>
          </w:p>
        </w:tc>
        <w:tc>
          <w:tcPr>
            <w:tcW w:w="2522" w:type="dxa"/>
            <w:vAlign w:val="center"/>
          </w:tcPr>
          <w:p w14:paraId="09C2C0F2">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条款名称</w:t>
            </w:r>
          </w:p>
        </w:tc>
        <w:tc>
          <w:tcPr>
            <w:tcW w:w="6584" w:type="dxa"/>
            <w:vAlign w:val="center"/>
          </w:tcPr>
          <w:p w14:paraId="29CCF5B0">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编列内容</w:t>
            </w:r>
          </w:p>
        </w:tc>
      </w:tr>
      <w:tr w14:paraId="089D2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atLeast"/>
          <w:jc w:val="center"/>
        </w:trPr>
        <w:tc>
          <w:tcPr>
            <w:tcW w:w="910" w:type="dxa"/>
            <w:vAlign w:val="center"/>
          </w:tcPr>
          <w:p w14:paraId="760B1BD1">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1.1.2</w:t>
            </w:r>
          </w:p>
        </w:tc>
        <w:tc>
          <w:tcPr>
            <w:tcW w:w="2522" w:type="dxa"/>
            <w:vAlign w:val="center"/>
          </w:tcPr>
          <w:p w14:paraId="1CB4BF80">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采购人</w:t>
            </w:r>
          </w:p>
        </w:tc>
        <w:tc>
          <w:tcPr>
            <w:tcW w:w="6584" w:type="dxa"/>
            <w:vAlign w:val="center"/>
          </w:tcPr>
          <w:p w14:paraId="45CF350D">
            <w:pPr>
              <w:topLinePunct/>
              <w:adjustRightInd w:val="0"/>
              <w:snapToGrid w:val="0"/>
              <w:spacing w:before="36" w:beforeLines="15" w:line="26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名 称：吉林省博物院（东北抗日联军纪念馆）</w:t>
            </w:r>
          </w:p>
          <w:p w14:paraId="061ED51E">
            <w:pPr>
              <w:topLinePunct/>
              <w:adjustRightInd w:val="0"/>
              <w:snapToGrid w:val="0"/>
              <w:spacing w:before="36" w:beforeLines="15" w:line="26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地址：吉林省长春市净月国家高新技术产业开发区永顺路1666号</w:t>
            </w:r>
          </w:p>
          <w:p w14:paraId="034161AD">
            <w:pPr>
              <w:topLinePunct/>
              <w:adjustRightInd w:val="0"/>
              <w:snapToGrid w:val="0"/>
              <w:spacing w:before="36" w:beforeLines="15" w:line="26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联系人：郝秀龙</w:t>
            </w:r>
          </w:p>
          <w:p w14:paraId="573B2A64">
            <w:pPr>
              <w:topLinePunct/>
              <w:adjustRightInd w:val="0"/>
              <w:snapToGrid w:val="0"/>
              <w:spacing w:before="36" w:beforeLines="15" w:line="260" w:lineRule="exact"/>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电话：0431-81959588</w:t>
            </w:r>
          </w:p>
        </w:tc>
      </w:tr>
      <w:tr w14:paraId="213126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jc w:val="center"/>
        </w:trPr>
        <w:tc>
          <w:tcPr>
            <w:tcW w:w="910" w:type="dxa"/>
            <w:vAlign w:val="center"/>
          </w:tcPr>
          <w:p w14:paraId="32081C66">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1.1.3</w:t>
            </w:r>
          </w:p>
        </w:tc>
        <w:tc>
          <w:tcPr>
            <w:tcW w:w="2522" w:type="dxa"/>
            <w:vAlign w:val="center"/>
          </w:tcPr>
          <w:p w14:paraId="2E32F65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采购代理机构</w:t>
            </w:r>
          </w:p>
        </w:tc>
        <w:tc>
          <w:tcPr>
            <w:tcW w:w="6584" w:type="dxa"/>
            <w:vAlign w:val="center"/>
          </w:tcPr>
          <w:p w14:paraId="034135AC">
            <w:pPr>
              <w:snapToGrid w:val="0"/>
              <w:spacing w:line="260" w:lineRule="exact"/>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采购代理机构：吉林中信工程建设咨询有限公司</w:t>
            </w:r>
          </w:p>
          <w:p w14:paraId="4939872A">
            <w:pPr>
              <w:snapToGrid w:val="0"/>
              <w:spacing w:line="260" w:lineRule="exact"/>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联系人：郭佳明</w:t>
            </w:r>
          </w:p>
          <w:p w14:paraId="30A1AF35">
            <w:pPr>
              <w:snapToGrid w:val="0"/>
              <w:spacing w:line="260" w:lineRule="exact"/>
              <w:rPr>
                <w:rFonts w:hint="eastAsia" w:ascii="宋体" w:hAnsi="宋体" w:eastAsia="宋体" w:cs="宋体"/>
                <w:sz w:val="24"/>
                <w:szCs w:val="24"/>
                <w:highlight w:val="none"/>
              </w:rPr>
            </w:pPr>
            <w:r>
              <w:rPr>
                <w:rFonts w:hint="eastAsia" w:ascii="宋体" w:hAnsi="宋体" w:eastAsia="宋体" w:cs="宋体"/>
                <w:sz w:val="24"/>
                <w:szCs w:val="24"/>
                <w:highlight w:val="none"/>
                <w:lang w:val="zh-CN"/>
              </w:rPr>
              <w:t>联系电话：</w:t>
            </w:r>
            <w:r>
              <w:rPr>
                <w:rFonts w:hint="eastAsia" w:ascii="宋体" w:hAnsi="宋体" w:eastAsia="宋体" w:cs="宋体"/>
                <w:sz w:val="24"/>
                <w:szCs w:val="24"/>
                <w:highlight w:val="none"/>
              </w:rPr>
              <w:t>0431-84998673</w:t>
            </w:r>
          </w:p>
          <w:p w14:paraId="67C5BD41">
            <w:pPr>
              <w:snapToGrid w:val="0"/>
              <w:spacing w:line="260" w:lineRule="exact"/>
              <w:rPr>
                <w:rFonts w:hint="eastAsia" w:ascii="宋体" w:hAnsi="宋体" w:eastAsia="宋体" w:cs="宋体"/>
                <w:sz w:val="24"/>
                <w:szCs w:val="24"/>
                <w:highlight w:val="none"/>
              </w:rPr>
            </w:pPr>
            <w:r>
              <w:rPr>
                <w:rFonts w:hint="eastAsia" w:ascii="宋体" w:hAnsi="宋体" w:eastAsia="宋体" w:cs="宋体"/>
                <w:sz w:val="24"/>
                <w:szCs w:val="24"/>
                <w:highlight w:val="none"/>
                <w:lang w:val="zh-CN"/>
              </w:rPr>
              <w:t>地址：长春市经济技术开发区临河街</w:t>
            </w:r>
            <w:r>
              <w:rPr>
                <w:rFonts w:hint="eastAsia" w:ascii="宋体" w:hAnsi="宋体" w:eastAsia="宋体" w:cs="宋体"/>
                <w:sz w:val="24"/>
                <w:szCs w:val="24"/>
                <w:highlight w:val="none"/>
              </w:rPr>
              <w:t>5062号</w:t>
            </w:r>
          </w:p>
        </w:tc>
      </w:tr>
      <w:tr w14:paraId="0E7ED8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exact"/>
          <w:jc w:val="center"/>
        </w:trPr>
        <w:tc>
          <w:tcPr>
            <w:tcW w:w="910" w:type="dxa"/>
            <w:vAlign w:val="center"/>
          </w:tcPr>
          <w:p w14:paraId="1461D97B">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1.1.4</w:t>
            </w:r>
          </w:p>
        </w:tc>
        <w:tc>
          <w:tcPr>
            <w:tcW w:w="2522" w:type="dxa"/>
            <w:vAlign w:val="center"/>
          </w:tcPr>
          <w:p w14:paraId="76A8918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项目名称</w:t>
            </w:r>
          </w:p>
        </w:tc>
        <w:tc>
          <w:tcPr>
            <w:tcW w:w="6584" w:type="dxa"/>
            <w:vAlign w:val="center"/>
          </w:tcPr>
          <w:p w14:paraId="689F799B">
            <w:pPr>
              <w:rPr>
                <w:rFonts w:hint="eastAsia" w:ascii="宋体" w:hAnsi="宋体" w:eastAsia="宋体" w:cs="宋体"/>
                <w:sz w:val="24"/>
                <w:szCs w:val="24"/>
                <w:highlight w:val="none"/>
              </w:rPr>
            </w:pPr>
            <w:r>
              <w:rPr>
                <w:rFonts w:hint="eastAsia" w:ascii="宋体" w:hAnsi="宋体" w:eastAsia="宋体" w:cs="宋体"/>
                <w:sz w:val="24"/>
                <w:szCs w:val="24"/>
                <w:highlight w:val="none"/>
              </w:rPr>
              <w:t>吉林省博物院馆藏文物预防性保护项目</w:t>
            </w:r>
          </w:p>
        </w:tc>
      </w:tr>
      <w:tr w14:paraId="14A78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exact"/>
          <w:jc w:val="center"/>
        </w:trPr>
        <w:tc>
          <w:tcPr>
            <w:tcW w:w="910" w:type="dxa"/>
            <w:vAlign w:val="center"/>
          </w:tcPr>
          <w:p w14:paraId="70D43A9B">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1.1.5</w:t>
            </w:r>
          </w:p>
        </w:tc>
        <w:tc>
          <w:tcPr>
            <w:tcW w:w="2522" w:type="dxa"/>
            <w:vAlign w:val="center"/>
          </w:tcPr>
          <w:p w14:paraId="7BB8E9D0">
            <w:pPr>
              <w:jc w:val="center"/>
              <w:rPr>
                <w:rFonts w:hint="eastAsia" w:ascii="宋体" w:hAnsi="宋体" w:eastAsia="宋体" w:cs="宋体"/>
                <w:sz w:val="24"/>
                <w:szCs w:val="24"/>
                <w:highlight w:val="none"/>
              </w:rPr>
            </w:pPr>
            <w:r>
              <w:rPr>
                <w:rFonts w:hint="eastAsia" w:ascii="宋体" w:hAnsi="宋体" w:eastAsia="宋体" w:cs="宋体"/>
                <w:bCs/>
                <w:sz w:val="24"/>
                <w:szCs w:val="24"/>
                <w:highlight w:val="none"/>
                <w:lang w:val="zh-CN"/>
              </w:rPr>
              <w:t>供货地点</w:t>
            </w:r>
          </w:p>
        </w:tc>
        <w:tc>
          <w:tcPr>
            <w:tcW w:w="6584" w:type="dxa"/>
            <w:vAlign w:val="center"/>
          </w:tcPr>
          <w:p w14:paraId="7A84BF0D">
            <w:pPr>
              <w:rPr>
                <w:rFonts w:hint="eastAsia" w:ascii="宋体" w:hAnsi="宋体" w:eastAsia="宋体" w:cs="宋体"/>
                <w:sz w:val="24"/>
                <w:szCs w:val="24"/>
                <w:highlight w:val="none"/>
              </w:rPr>
            </w:pPr>
            <w:r>
              <w:rPr>
                <w:rFonts w:hint="eastAsia" w:ascii="宋体" w:hAnsi="宋体" w:eastAsia="宋体" w:cs="宋体"/>
                <w:sz w:val="24"/>
                <w:szCs w:val="24"/>
                <w:highlight w:val="none"/>
              </w:rPr>
              <w:t>吉林省博物院（东北抗日联军纪念馆）</w:t>
            </w:r>
          </w:p>
        </w:tc>
      </w:tr>
      <w:tr w14:paraId="7EB39C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exact"/>
          <w:jc w:val="center"/>
        </w:trPr>
        <w:tc>
          <w:tcPr>
            <w:tcW w:w="910" w:type="dxa"/>
            <w:vAlign w:val="center"/>
          </w:tcPr>
          <w:p w14:paraId="034F76DD">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1.2.1</w:t>
            </w:r>
          </w:p>
        </w:tc>
        <w:tc>
          <w:tcPr>
            <w:tcW w:w="2522" w:type="dxa"/>
            <w:vAlign w:val="center"/>
          </w:tcPr>
          <w:p w14:paraId="447BDEBF">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资金来源</w:t>
            </w:r>
          </w:p>
        </w:tc>
        <w:tc>
          <w:tcPr>
            <w:tcW w:w="6584" w:type="dxa"/>
            <w:vAlign w:val="center"/>
          </w:tcPr>
          <w:p w14:paraId="46ED6086">
            <w:pPr>
              <w:rPr>
                <w:rFonts w:hint="eastAsia" w:ascii="宋体" w:hAnsi="宋体" w:eastAsia="宋体" w:cs="宋体"/>
                <w:sz w:val="24"/>
                <w:szCs w:val="24"/>
                <w:highlight w:val="none"/>
              </w:rPr>
            </w:pPr>
            <w:r>
              <w:rPr>
                <w:rFonts w:hint="eastAsia" w:ascii="宋体" w:hAnsi="宋体" w:eastAsia="宋体" w:cs="宋体"/>
                <w:sz w:val="24"/>
                <w:szCs w:val="24"/>
                <w:highlight w:val="none"/>
              </w:rPr>
              <w:t>财政资金。</w:t>
            </w:r>
          </w:p>
        </w:tc>
      </w:tr>
      <w:tr w14:paraId="49427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10" w:type="dxa"/>
            <w:vAlign w:val="center"/>
          </w:tcPr>
          <w:p w14:paraId="1A11790A">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1.2.2</w:t>
            </w:r>
          </w:p>
        </w:tc>
        <w:tc>
          <w:tcPr>
            <w:tcW w:w="2522" w:type="dxa"/>
            <w:vAlign w:val="center"/>
          </w:tcPr>
          <w:p w14:paraId="2B1438F3">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出资比例</w:t>
            </w:r>
          </w:p>
        </w:tc>
        <w:tc>
          <w:tcPr>
            <w:tcW w:w="6584" w:type="dxa"/>
            <w:vAlign w:val="center"/>
          </w:tcPr>
          <w:p w14:paraId="6A13D77B">
            <w:pPr>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100% </w:t>
            </w:r>
          </w:p>
        </w:tc>
      </w:tr>
      <w:tr w14:paraId="7386E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10" w:type="dxa"/>
            <w:vAlign w:val="center"/>
          </w:tcPr>
          <w:p w14:paraId="4D02D39F">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1.2.3</w:t>
            </w:r>
          </w:p>
        </w:tc>
        <w:tc>
          <w:tcPr>
            <w:tcW w:w="2522" w:type="dxa"/>
            <w:vAlign w:val="center"/>
          </w:tcPr>
          <w:p w14:paraId="40AFC6E1">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资金落实情况</w:t>
            </w:r>
          </w:p>
        </w:tc>
        <w:tc>
          <w:tcPr>
            <w:tcW w:w="6584" w:type="dxa"/>
            <w:vAlign w:val="center"/>
          </w:tcPr>
          <w:p w14:paraId="33A60A28">
            <w:pPr>
              <w:rPr>
                <w:rFonts w:hint="eastAsia" w:ascii="宋体" w:hAnsi="宋体" w:eastAsia="宋体" w:cs="宋体"/>
                <w:sz w:val="24"/>
                <w:szCs w:val="24"/>
                <w:highlight w:val="none"/>
              </w:rPr>
            </w:pPr>
            <w:r>
              <w:rPr>
                <w:rFonts w:hint="eastAsia" w:ascii="宋体" w:hAnsi="宋体" w:eastAsia="宋体" w:cs="宋体"/>
                <w:sz w:val="24"/>
                <w:szCs w:val="24"/>
                <w:highlight w:val="none"/>
              </w:rPr>
              <w:t>已落实。</w:t>
            </w:r>
          </w:p>
        </w:tc>
      </w:tr>
      <w:tr w14:paraId="3A9CAB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910" w:type="dxa"/>
            <w:vAlign w:val="center"/>
          </w:tcPr>
          <w:p w14:paraId="5DF6C568">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1.3.1</w:t>
            </w:r>
          </w:p>
        </w:tc>
        <w:tc>
          <w:tcPr>
            <w:tcW w:w="2522" w:type="dxa"/>
            <w:vAlign w:val="center"/>
          </w:tcPr>
          <w:p w14:paraId="42BCE471">
            <w:pPr>
              <w:jc w:val="center"/>
              <w:rPr>
                <w:rFonts w:hint="eastAsia" w:ascii="宋体" w:hAnsi="宋体" w:eastAsia="宋体" w:cs="宋体"/>
                <w:sz w:val="24"/>
                <w:szCs w:val="24"/>
                <w:highlight w:val="none"/>
              </w:rPr>
            </w:pPr>
            <w:r>
              <w:rPr>
                <w:rFonts w:hint="eastAsia" w:ascii="宋体" w:hAnsi="宋体" w:eastAsia="宋体" w:cs="宋体"/>
                <w:bCs/>
                <w:sz w:val="24"/>
                <w:szCs w:val="24"/>
                <w:highlight w:val="none"/>
              </w:rPr>
              <w:t>采购需求</w:t>
            </w:r>
          </w:p>
        </w:tc>
        <w:tc>
          <w:tcPr>
            <w:tcW w:w="6584" w:type="dxa"/>
            <w:vAlign w:val="center"/>
          </w:tcPr>
          <w:p w14:paraId="4AF3E71B">
            <w:pP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为吉林省博物院（东北抗日联军纪念馆）展柜改造及设备采购，旨在通过升级文物展陈设施，确保文物保存环境安全、稳定</w:t>
            </w:r>
            <w:r>
              <w:rPr>
                <w:rFonts w:hint="eastAsia" w:ascii="宋体" w:hAnsi="宋体" w:eastAsia="宋体" w:cs="宋体"/>
                <w:bCs/>
                <w:sz w:val="24"/>
                <w:szCs w:val="24"/>
                <w:highlight w:val="none"/>
                <w:lang w:val="zh-CN" w:eastAsia="zh-CN"/>
              </w:rPr>
              <w:t>，详细采购需求见第五章技术参数；</w:t>
            </w:r>
          </w:p>
        </w:tc>
      </w:tr>
      <w:tr w14:paraId="75944A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jc w:val="center"/>
        </w:trPr>
        <w:tc>
          <w:tcPr>
            <w:tcW w:w="910" w:type="dxa"/>
            <w:vAlign w:val="center"/>
          </w:tcPr>
          <w:p w14:paraId="335D099A">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1.3.2</w:t>
            </w:r>
          </w:p>
        </w:tc>
        <w:tc>
          <w:tcPr>
            <w:tcW w:w="2522" w:type="dxa"/>
            <w:vAlign w:val="center"/>
          </w:tcPr>
          <w:p w14:paraId="3521E5D4">
            <w:pPr>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供货期限</w:t>
            </w:r>
          </w:p>
        </w:tc>
        <w:tc>
          <w:tcPr>
            <w:tcW w:w="6584" w:type="dxa"/>
            <w:vAlign w:val="center"/>
          </w:tcPr>
          <w:p w14:paraId="45BACC78">
            <w:pPr>
              <w:ind w:left="1575" w:hanging="1800" w:hangingChars="750"/>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自合同签订之日起180日历日内。</w:t>
            </w:r>
          </w:p>
        </w:tc>
      </w:tr>
      <w:tr w14:paraId="7C474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910" w:type="dxa"/>
            <w:vAlign w:val="center"/>
          </w:tcPr>
          <w:p w14:paraId="46CBBD7F">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1.3.3</w:t>
            </w:r>
          </w:p>
        </w:tc>
        <w:tc>
          <w:tcPr>
            <w:tcW w:w="2522" w:type="dxa"/>
            <w:vAlign w:val="center"/>
          </w:tcPr>
          <w:p w14:paraId="53BF5F8B">
            <w:pPr>
              <w:jc w:val="center"/>
              <w:rPr>
                <w:rFonts w:hint="eastAsia" w:ascii="宋体" w:hAnsi="宋体" w:eastAsia="宋体" w:cs="宋体"/>
                <w:sz w:val="24"/>
                <w:szCs w:val="24"/>
                <w:highlight w:val="none"/>
              </w:rPr>
            </w:pPr>
            <w:r>
              <w:rPr>
                <w:rFonts w:hint="eastAsia" w:ascii="宋体" w:hAnsi="宋体" w:eastAsia="宋体" w:cs="宋体"/>
                <w:bCs/>
                <w:sz w:val="24"/>
                <w:szCs w:val="24"/>
                <w:highlight w:val="none"/>
                <w:lang w:val="zh-CN"/>
              </w:rPr>
              <w:t>质量标准</w:t>
            </w:r>
          </w:p>
        </w:tc>
        <w:tc>
          <w:tcPr>
            <w:tcW w:w="6584" w:type="dxa"/>
            <w:vAlign w:val="center"/>
          </w:tcPr>
          <w:p w14:paraId="2887BDE3">
            <w:pPr>
              <w:spacing w:line="312" w:lineRule="auto"/>
              <w:ind w:left="-6" w:leftChars="-3"/>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rPr>
              <w:t>符合国家及相关行业标准的合格标准；</w:t>
            </w:r>
          </w:p>
        </w:tc>
      </w:tr>
      <w:tr w14:paraId="6C2C0F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910" w:type="dxa"/>
            <w:vAlign w:val="center"/>
          </w:tcPr>
          <w:p w14:paraId="74F0FC7C">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1.4.1</w:t>
            </w:r>
          </w:p>
        </w:tc>
        <w:tc>
          <w:tcPr>
            <w:tcW w:w="2522" w:type="dxa"/>
            <w:vAlign w:val="center"/>
          </w:tcPr>
          <w:p w14:paraId="5BBADDD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资质条件、能力和信誉</w:t>
            </w:r>
          </w:p>
        </w:tc>
        <w:tc>
          <w:tcPr>
            <w:tcW w:w="6584" w:type="dxa"/>
            <w:vAlign w:val="center"/>
          </w:tcPr>
          <w:p w14:paraId="07EB9DB0">
            <w:pP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1满足《中华人民共和国政府采购法》第二十二条规定；</w:t>
            </w:r>
          </w:p>
          <w:p w14:paraId="0195AFB0">
            <w:pP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2落实政府采购政策需满足的资格要求：本项目属于专门面向中小企业采购的项目,供应商应为中小微企业，残疾人福利性单位、监狱单位视同小型、微型企业，享受本项目专门面向中小企业采购的政策。（中小微企业投标的出具中小企业声明函、残疾人福利性单位投标的出具残疾人福利性单位声明函、监狱企业投标的提供由省级以上监狱管理局、戒毒管理局(含新疆生产建设兵团)出具的属于监狱企业的证明文件）。</w:t>
            </w:r>
          </w:p>
          <w:p w14:paraId="47F6DE5A">
            <w:pP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3本项目的特定资格要求：</w:t>
            </w:r>
            <w:r>
              <w:rPr>
                <w:rFonts w:hint="eastAsia" w:ascii="宋体" w:hAnsi="宋体" w:eastAsia="宋体" w:cs="宋体"/>
                <w:bCs/>
                <w:sz w:val="24"/>
                <w:szCs w:val="24"/>
                <w:highlight w:val="none"/>
                <w:lang w:val="zh-CN" w:eastAsia="zh-CN"/>
              </w:rPr>
              <w:t>无。</w:t>
            </w:r>
          </w:p>
        </w:tc>
      </w:tr>
      <w:tr w14:paraId="71B020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910" w:type="dxa"/>
            <w:vAlign w:val="center"/>
          </w:tcPr>
          <w:p w14:paraId="7BDBCF12">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1.4.2</w:t>
            </w:r>
          </w:p>
        </w:tc>
        <w:tc>
          <w:tcPr>
            <w:tcW w:w="2522" w:type="dxa"/>
            <w:vAlign w:val="center"/>
          </w:tcPr>
          <w:p w14:paraId="09FDEFF7">
            <w:pPr>
              <w:autoSpaceDE w:val="0"/>
              <w:autoSpaceDN w:val="0"/>
              <w:adjustRightInd w:val="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是否接受联合体投标</w:t>
            </w:r>
          </w:p>
        </w:tc>
        <w:tc>
          <w:tcPr>
            <w:tcW w:w="6584" w:type="dxa"/>
            <w:vAlign w:val="center"/>
          </w:tcPr>
          <w:p w14:paraId="7FB4022B">
            <w:pPr>
              <w:autoSpaceDE w:val="0"/>
              <w:autoSpaceDN w:val="0"/>
              <w:adjustRightInd w:val="0"/>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不接受。</w:t>
            </w:r>
          </w:p>
        </w:tc>
      </w:tr>
      <w:tr w14:paraId="13D3D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910" w:type="dxa"/>
            <w:vAlign w:val="center"/>
          </w:tcPr>
          <w:p w14:paraId="78C99366">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1.9.1</w:t>
            </w:r>
          </w:p>
        </w:tc>
        <w:tc>
          <w:tcPr>
            <w:tcW w:w="2522" w:type="dxa"/>
            <w:vAlign w:val="center"/>
          </w:tcPr>
          <w:p w14:paraId="6B5A3F4B">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踏勘现场</w:t>
            </w:r>
          </w:p>
        </w:tc>
        <w:tc>
          <w:tcPr>
            <w:tcW w:w="6584" w:type="dxa"/>
            <w:vAlign w:val="center"/>
          </w:tcPr>
          <w:p w14:paraId="03811EA4">
            <w:pPr>
              <w:rPr>
                <w:rFonts w:hint="eastAsia" w:ascii="宋体" w:hAnsi="宋体" w:eastAsia="宋体" w:cs="宋体"/>
                <w:sz w:val="24"/>
                <w:szCs w:val="24"/>
                <w:highlight w:val="none"/>
              </w:rPr>
            </w:pPr>
            <w:r>
              <w:rPr>
                <w:rFonts w:hint="eastAsia" w:ascii="宋体" w:hAnsi="宋体" w:eastAsia="宋体" w:cs="宋体"/>
                <w:sz w:val="24"/>
                <w:szCs w:val="24"/>
                <w:highlight w:val="none"/>
              </w:rPr>
              <w:t>不组织。</w:t>
            </w:r>
          </w:p>
        </w:tc>
      </w:tr>
      <w:tr w14:paraId="56BBD7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8" w:hRule="atLeast"/>
          <w:jc w:val="center"/>
        </w:trPr>
        <w:tc>
          <w:tcPr>
            <w:tcW w:w="910" w:type="dxa"/>
            <w:vAlign w:val="center"/>
          </w:tcPr>
          <w:p w14:paraId="7B5151BE">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1.10.1</w:t>
            </w:r>
          </w:p>
        </w:tc>
        <w:tc>
          <w:tcPr>
            <w:tcW w:w="2522" w:type="dxa"/>
            <w:vAlign w:val="center"/>
          </w:tcPr>
          <w:p w14:paraId="38BED325">
            <w:pPr>
              <w:spacing w:line="276"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投标答疑会</w:t>
            </w:r>
          </w:p>
        </w:tc>
        <w:tc>
          <w:tcPr>
            <w:tcW w:w="6584" w:type="dxa"/>
            <w:vAlign w:val="center"/>
          </w:tcPr>
          <w:p w14:paraId="314C5A1E">
            <w:pPr>
              <w:spacing w:line="276"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不召开。</w:t>
            </w:r>
          </w:p>
        </w:tc>
      </w:tr>
      <w:tr w14:paraId="0B2D2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910" w:type="dxa"/>
            <w:vAlign w:val="center"/>
          </w:tcPr>
          <w:p w14:paraId="4CC977F2">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1.10.2</w:t>
            </w:r>
          </w:p>
        </w:tc>
        <w:tc>
          <w:tcPr>
            <w:tcW w:w="2522" w:type="dxa"/>
            <w:vAlign w:val="center"/>
          </w:tcPr>
          <w:p w14:paraId="413C087D">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提出问题</w:t>
            </w:r>
          </w:p>
          <w:p w14:paraId="4C9CA14B">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的截止时间</w:t>
            </w:r>
          </w:p>
        </w:tc>
        <w:tc>
          <w:tcPr>
            <w:tcW w:w="6584" w:type="dxa"/>
            <w:vAlign w:val="center"/>
          </w:tcPr>
          <w:p w14:paraId="15350868">
            <w:pPr>
              <w:pStyle w:val="96"/>
              <w:rPr>
                <w:rFonts w:hint="eastAsia" w:ascii="宋体" w:hAnsi="宋体" w:eastAsia="宋体" w:cs="宋体"/>
                <w:sz w:val="24"/>
                <w:szCs w:val="24"/>
                <w:highlight w:val="none"/>
              </w:rPr>
            </w:pPr>
            <w:r>
              <w:rPr>
                <w:rFonts w:hint="eastAsia" w:ascii="宋体" w:hAnsi="宋体" w:eastAsia="宋体" w:cs="宋体"/>
                <w:sz w:val="24"/>
                <w:szCs w:val="24"/>
                <w:highlight w:val="none"/>
              </w:rPr>
              <w:t>提交投标疑问截止时间：投标截止时间前10天；</w:t>
            </w:r>
          </w:p>
          <w:p w14:paraId="4C06C94B">
            <w:pPr>
              <w:pStyle w:val="96"/>
              <w:rPr>
                <w:rFonts w:hint="eastAsia" w:ascii="宋体" w:hAnsi="宋体" w:eastAsia="宋体" w:cs="宋体"/>
                <w:sz w:val="24"/>
                <w:szCs w:val="24"/>
                <w:highlight w:val="none"/>
              </w:rPr>
            </w:pPr>
            <w:r>
              <w:rPr>
                <w:rFonts w:hint="eastAsia" w:ascii="宋体" w:hAnsi="宋体" w:eastAsia="宋体" w:cs="宋体"/>
                <w:sz w:val="24"/>
                <w:szCs w:val="24"/>
                <w:highlight w:val="none"/>
              </w:rPr>
              <w:t>提交地址：吉林中信工程建设咨询有限公司，同时将电子版 word 版发送到招标代理公司邮箱（</w:t>
            </w:r>
            <w:r>
              <w:rPr>
                <w:rFonts w:hint="eastAsia" w:ascii="宋体" w:hAnsi="宋体" w:eastAsia="宋体" w:cs="宋体"/>
                <w:sz w:val="24"/>
                <w:szCs w:val="24"/>
                <w:highlight w:val="none"/>
                <w:lang w:val="en-US"/>
              </w:rPr>
              <w:t>838079001@qq.com</w:t>
            </w:r>
            <w:r>
              <w:rPr>
                <w:rFonts w:hint="eastAsia" w:ascii="宋体" w:hAnsi="宋体" w:eastAsia="宋体" w:cs="宋体"/>
                <w:sz w:val="24"/>
                <w:szCs w:val="24"/>
                <w:highlight w:val="none"/>
              </w:rPr>
              <w:t>）。</w:t>
            </w:r>
          </w:p>
          <w:p w14:paraId="5F1A1940">
            <w:pPr>
              <w:pStyle w:val="96"/>
              <w:rPr>
                <w:rFonts w:hint="eastAsia" w:ascii="宋体" w:hAnsi="宋体" w:eastAsia="宋体" w:cs="宋体"/>
                <w:sz w:val="24"/>
                <w:szCs w:val="24"/>
                <w:highlight w:val="none"/>
              </w:rPr>
            </w:pPr>
            <w:r>
              <w:rPr>
                <w:rFonts w:hint="eastAsia" w:ascii="宋体" w:hAnsi="宋体" w:eastAsia="宋体" w:cs="宋体"/>
                <w:sz w:val="24"/>
                <w:szCs w:val="24"/>
                <w:highlight w:val="none"/>
              </w:rPr>
              <w:t>联系人：郭佳明</w:t>
            </w:r>
          </w:p>
          <w:p w14:paraId="4462BAB3">
            <w:pPr>
              <w:pStyle w:val="96"/>
              <w:rPr>
                <w:rFonts w:hint="eastAsia" w:ascii="宋体" w:hAnsi="宋体" w:eastAsia="宋体" w:cs="宋体"/>
                <w:sz w:val="24"/>
                <w:szCs w:val="24"/>
                <w:highlight w:val="none"/>
                <w:lang w:val="en-US"/>
              </w:rPr>
            </w:pPr>
            <w:r>
              <w:rPr>
                <w:rFonts w:hint="eastAsia" w:ascii="宋体" w:hAnsi="宋体" w:eastAsia="宋体" w:cs="宋体"/>
                <w:sz w:val="24"/>
                <w:szCs w:val="24"/>
                <w:highlight w:val="none"/>
              </w:rPr>
              <w:t>电话：0431-</w:t>
            </w:r>
            <w:r>
              <w:rPr>
                <w:rFonts w:hint="eastAsia" w:ascii="宋体" w:hAnsi="宋体" w:eastAsia="宋体" w:cs="宋体"/>
                <w:sz w:val="24"/>
                <w:szCs w:val="24"/>
                <w:highlight w:val="none"/>
                <w:lang w:val="en-US"/>
              </w:rPr>
              <w:t>84998673</w:t>
            </w:r>
          </w:p>
          <w:p w14:paraId="1CAAA2EF">
            <w:pPr>
              <w:pStyle w:val="96"/>
              <w:rPr>
                <w:rFonts w:hint="eastAsia" w:ascii="宋体" w:hAnsi="宋体" w:eastAsia="宋体" w:cs="宋体"/>
                <w:sz w:val="24"/>
                <w:szCs w:val="24"/>
                <w:highlight w:val="none"/>
              </w:rPr>
            </w:pPr>
            <w:r>
              <w:rPr>
                <w:rFonts w:hint="eastAsia" w:ascii="宋体" w:hAnsi="宋体" w:eastAsia="宋体" w:cs="宋体"/>
                <w:sz w:val="24"/>
                <w:szCs w:val="24"/>
                <w:highlight w:val="none"/>
              </w:rPr>
              <w:t>用 A4 纸打印，一式三份，并加盖公章，格式见附页1；</w:t>
            </w:r>
          </w:p>
          <w:p w14:paraId="4C7A8BD8">
            <w:pPr>
              <w:snapToGrid w:val="0"/>
              <w:spacing w:before="36" w:beforeLines="15" w:line="24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若</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未按规定提交，则视为其无疑问。</w:t>
            </w:r>
          </w:p>
        </w:tc>
      </w:tr>
      <w:tr w14:paraId="36EF7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910" w:type="dxa"/>
            <w:vAlign w:val="center"/>
          </w:tcPr>
          <w:p w14:paraId="1B355286">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1.10.3</w:t>
            </w:r>
          </w:p>
        </w:tc>
        <w:tc>
          <w:tcPr>
            <w:tcW w:w="2522" w:type="dxa"/>
            <w:vAlign w:val="center"/>
          </w:tcPr>
          <w:p w14:paraId="53589FC4">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采购人书面澄清的时间</w:t>
            </w:r>
          </w:p>
        </w:tc>
        <w:tc>
          <w:tcPr>
            <w:tcW w:w="6584" w:type="dxa"/>
            <w:vAlign w:val="center"/>
          </w:tcPr>
          <w:p w14:paraId="0C41562E">
            <w:pPr>
              <w:spacing w:line="312"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投标截止时间前15日</w:t>
            </w:r>
          </w:p>
        </w:tc>
      </w:tr>
      <w:tr w14:paraId="6DA788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910" w:type="dxa"/>
            <w:vAlign w:val="center"/>
          </w:tcPr>
          <w:p w14:paraId="50EE94C8">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1.11</w:t>
            </w:r>
          </w:p>
        </w:tc>
        <w:tc>
          <w:tcPr>
            <w:tcW w:w="2522" w:type="dxa"/>
            <w:vAlign w:val="center"/>
          </w:tcPr>
          <w:p w14:paraId="35775921">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分包、转包</w:t>
            </w:r>
          </w:p>
        </w:tc>
        <w:tc>
          <w:tcPr>
            <w:tcW w:w="6584" w:type="dxa"/>
            <w:vAlign w:val="center"/>
          </w:tcPr>
          <w:p w14:paraId="7673AA0B">
            <w:pPr>
              <w:rPr>
                <w:rFonts w:hint="eastAsia" w:ascii="宋体" w:hAnsi="宋体" w:eastAsia="宋体" w:cs="宋体"/>
                <w:sz w:val="24"/>
                <w:szCs w:val="24"/>
                <w:highlight w:val="none"/>
              </w:rPr>
            </w:pPr>
            <w:r>
              <w:rPr>
                <w:rFonts w:hint="eastAsia" w:ascii="宋体" w:hAnsi="宋体" w:eastAsia="宋体" w:cs="宋体"/>
                <w:sz w:val="24"/>
                <w:szCs w:val="24"/>
                <w:highlight w:val="none"/>
              </w:rPr>
              <w:t>不允许</w:t>
            </w:r>
          </w:p>
        </w:tc>
      </w:tr>
      <w:tr w14:paraId="24787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10" w:type="dxa"/>
            <w:vAlign w:val="center"/>
          </w:tcPr>
          <w:p w14:paraId="03BE2B7B">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2.1</w:t>
            </w:r>
          </w:p>
        </w:tc>
        <w:tc>
          <w:tcPr>
            <w:tcW w:w="2522" w:type="dxa"/>
            <w:vAlign w:val="center"/>
          </w:tcPr>
          <w:p w14:paraId="1433D4C9">
            <w:pPr>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构成</w:t>
            </w:r>
            <w:r>
              <w:rPr>
                <w:rFonts w:hint="eastAsia" w:ascii="宋体" w:hAnsi="宋体" w:cs="宋体"/>
                <w:sz w:val="24"/>
                <w:szCs w:val="24"/>
                <w:highlight w:val="none"/>
                <w:lang w:eastAsia="zh-CN"/>
              </w:rPr>
              <w:t>采购文件</w:t>
            </w:r>
          </w:p>
          <w:p w14:paraId="1DCDEA7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的其他材料</w:t>
            </w:r>
          </w:p>
        </w:tc>
        <w:tc>
          <w:tcPr>
            <w:tcW w:w="6584" w:type="dxa"/>
            <w:vAlign w:val="center"/>
          </w:tcPr>
          <w:p w14:paraId="08155F96">
            <w:pPr>
              <w:spacing w:line="288"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w:t>
            </w:r>
          </w:p>
        </w:tc>
      </w:tr>
      <w:tr w14:paraId="2B553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10" w:type="dxa"/>
            <w:vAlign w:val="center"/>
          </w:tcPr>
          <w:p w14:paraId="1B1ABE66">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2.2.2</w:t>
            </w:r>
          </w:p>
        </w:tc>
        <w:tc>
          <w:tcPr>
            <w:tcW w:w="2522" w:type="dxa"/>
            <w:vAlign w:val="center"/>
          </w:tcPr>
          <w:p w14:paraId="3D12E8FC">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投标截止时间</w:t>
            </w:r>
          </w:p>
        </w:tc>
        <w:tc>
          <w:tcPr>
            <w:tcW w:w="6584" w:type="dxa"/>
            <w:vAlign w:val="center"/>
          </w:tcPr>
          <w:p w14:paraId="220E6985">
            <w:pPr>
              <w:spacing w:line="288" w:lineRule="auto"/>
              <w:rPr>
                <w:rFonts w:hint="eastAsia" w:ascii="宋体" w:hAnsi="宋体" w:eastAsia="宋体" w:cs="宋体"/>
                <w:b/>
                <w:sz w:val="24"/>
                <w:szCs w:val="24"/>
                <w:highlight w:val="none"/>
              </w:rPr>
            </w:pPr>
            <w:r>
              <w:rPr>
                <w:rFonts w:hint="eastAsia" w:ascii="宋体" w:hAnsi="宋体" w:eastAsia="宋体" w:cs="宋体"/>
                <w:sz w:val="24"/>
                <w:szCs w:val="24"/>
                <w:highlight w:val="none"/>
                <w:u w:val="single"/>
              </w:rPr>
              <w:t>202</w:t>
            </w:r>
            <w:r>
              <w:rPr>
                <w:rFonts w:hint="eastAsia" w:ascii="宋体" w:hAnsi="宋体" w:eastAsia="宋体" w:cs="宋体"/>
                <w:sz w:val="24"/>
                <w:szCs w:val="24"/>
                <w:highlight w:val="none"/>
                <w:u w:val="single"/>
                <w:lang w:val="en-US" w:eastAsia="zh-CN"/>
              </w:rPr>
              <w:t>5</w:t>
            </w:r>
            <w:r>
              <w:rPr>
                <w:rFonts w:hint="eastAsia" w:ascii="宋体" w:hAnsi="宋体" w:eastAsia="宋体" w:cs="宋体"/>
                <w:sz w:val="24"/>
                <w:szCs w:val="24"/>
                <w:highlight w:val="none"/>
                <w:u w:val="single"/>
              </w:rPr>
              <w:t>年</w:t>
            </w:r>
            <w:r>
              <w:rPr>
                <w:rFonts w:hint="eastAsia" w:ascii="宋体" w:hAnsi="宋体" w:cs="宋体"/>
                <w:sz w:val="24"/>
                <w:szCs w:val="24"/>
                <w:highlight w:val="none"/>
                <w:u w:val="single"/>
                <w:lang w:val="en-US" w:eastAsia="zh-CN"/>
              </w:rPr>
              <w:t>4</w:t>
            </w:r>
            <w:r>
              <w:rPr>
                <w:rFonts w:hint="eastAsia" w:ascii="宋体" w:hAnsi="宋体" w:eastAsia="宋体" w:cs="宋体"/>
                <w:sz w:val="24"/>
                <w:szCs w:val="24"/>
                <w:highlight w:val="none"/>
                <w:u w:val="single"/>
              </w:rPr>
              <w:t>月</w:t>
            </w:r>
            <w:r>
              <w:rPr>
                <w:rFonts w:hint="eastAsia" w:ascii="宋体" w:hAnsi="宋体" w:cs="宋体"/>
                <w:sz w:val="24"/>
                <w:szCs w:val="24"/>
                <w:highlight w:val="none"/>
                <w:u w:val="single"/>
                <w:lang w:val="en-US" w:eastAsia="zh-CN"/>
              </w:rPr>
              <w:t>17</w:t>
            </w:r>
            <w:r>
              <w:rPr>
                <w:rFonts w:hint="eastAsia" w:ascii="宋体" w:hAnsi="宋体" w:eastAsia="宋体" w:cs="宋体"/>
                <w:sz w:val="24"/>
                <w:szCs w:val="24"/>
                <w:highlight w:val="none"/>
                <w:u w:val="single"/>
              </w:rPr>
              <w:t>日</w:t>
            </w:r>
            <w:r>
              <w:rPr>
                <w:rFonts w:hint="eastAsia" w:ascii="宋体" w:hAnsi="宋体" w:cs="宋体"/>
                <w:sz w:val="24"/>
                <w:szCs w:val="24"/>
                <w:highlight w:val="none"/>
                <w:u w:val="single"/>
                <w:lang w:val="en-US" w:eastAsia="zh-CN"/>
              </w:rPr>
              <w:t>13</w:t>
            </w:r>
            <w:r>
              <w:rPr>
                <w:rFonts w:hint="eastAsia" w:ascii="宋体" w:hAnsi="宋体" w:eastAsia="宋体" w:cs="宋体"/>
                <w:sz w:val="24"/>
                <w:szCs w:val="24"/>
                <w:highlight w:val="none"/>
                <w:u w:val="single"/>
              </w:rPr>
              <w:t>时</w:t>
            </w:r>
            <w:r>
              <w:rPr>
                <w:rFonts w:hint="eastAsia" w:ascii="宋体" w:hAnsi="宋体" w:cs="宋体"/>
                <w:sz w:val="24"/>
                <w:szCs w:val="24"/>
                <w:highlight w:val="none"/>
                <w:u w:val="single"/>
                <w:lang w:val="en-US" w:eastAsia="zh-CN"/>
              </w:rPr>
              <w:t>30</w:t>
            </w:r>
            <w:r>
              <w:rPr>
                <w:rFonts w:hint="eastAsia" w:ascii="宋体" w:hAnsi="宋体" w:eastAsia="宋体" w:cs="宋体"/>
                <w:sz w:val="24"/>
                <w:szCs w:val="24"/>
                <w:highlight w:val="none"/>
                <w:u w:val="single"/>
              </w:rPr>
              <w:t>分</w:t>
            </w:r>
          </w:p>
        </w:tc>
      </w:tr>
      <w:tr w14:paraId="13A6E2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10" w:type="dxa"/>
            <w:vAlign w:val="center"/>
          </w:tcPr>
          <w:p w14:paraId="0399D08B">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2.2.3</w:t>
            </w:r>
          </w:p>
        </w:tc>
        <w:tc>
          <w:tcPr>
            <w:tcW w:w="2522" w:type="dxa"/>
            <w:vAlign w:val="center"/>
          </w:tcPr>
          <w:p w14:paraId="391AE8A2">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确认收到</w:t>
            </w:r>
            <w:r>
              <w:rPr>
                <w:rFonts w:hint="eastAsia" w:ascii="宋体" w:hAnsi="宋体" w:cs="宋体"/>
                <w:sz w:val="24"/>
                <w:szCs w:val="24"/>
                <w:highlight w:val="none"/>
                <w:lang w:eastAsia="zh-CN"/>
              </w:rPr>
              <w:t>采购文件</w:t>
            </w:r>
            <w:r>
              <w:rPr>
                <w:rFonts w:hint="eastAsia" w:ascii="宋体" w:hAnsi="宋体" w:eastAsia="宋体" w:cs="宋体"/>
                <w:sz w:val="24"/>
                <w:szCs w:val="24"/>
                <w:highlight w:val="none"/>
              </w:rPr>
              <w:t>澄清的时间</w:t>
            </w:r>
          </w:p>
        </w:tc>
        <w:tc>
          <w:tcPr>
            <w:tcW w:w="6584" w:type="dxa"/>
            <w:vAlign w:val="center"/>
          </w:tcPr>
          <w:p w14:paraId="7F8B3DB8">
            <w:pPr>
              <w:spacing w:line="288" w:lineRule="auto"/>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在收到相应澄清文件后</w:t>
            </w:r>
            <w:r>
              <w:rPr>
                <w:rFonts w:hint="eastAsia" w:ascii="宋体" w:hAnsi="宋体" w:eastAsia="宋体" w:cs="宋体"/>
                <w:sz w:val="24"/>
                <w:szCs w:val="24"/>
                <w:highlight w:val="none"/>
                <w:u w:val="single"/>
              </w:rPr>
              <w:t xml:space="preserve"> 24 </w:t>
            </w:r>
            <w:r>
              <w:rPr>
                <w:rFonts w:hint="eastAsia" w:ascii="宋体" w:hAnsi="宋体" w:eastAsia="宋体" w:cs="宋体"/>
                <w:sz w:val="24"/>
                <w:szCs w:val="24"/>
                <w:highlight w:val="none"/>
              </w:rPr>
              <w:t>小时内</w:t>
            </w:r>
          </w:p>
        </w:tc>
      </w:tr>
      <w:tr w14:paraId="36D3D0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10" w:type="dxa"/>
            <w:vAlign w:val="center"/>
          </w:tcPr>
          <w:p w14:paraId="342D7F3B">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2.3.2</w:t>
            </w:r>
          </w:p>
        </w:tc>
        <w:tc>
          <w:tcPr>
            <w:tcW w:w="2522" w:type="dxa"/>
            <w:vAlign w:val="center"/>
          </w:tcPr>
          <w:p w14:paraId="7B5E7CB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确认收到</w:t>
            </w:r>
            <w:r>
              <w:rPr>
                <w:rFonts w:hint="eastAsia" w:ascii="宋体" w:hAnsi="宋体" w:cs="宋体"/>
                <w:sz w:val="24"/>
                <w:szCs w:val="24"/>
                <w:highlight w:val="none"/>
                <w:lang w:eastAsia="zh-CN"/>
              </w:rPr>
              <w:t>采购文件</w:t>
            </w:r>
            <w:r>
              <w:rPr>
                <w:rFonts w:hint="eastAsia" w:ascii="宋体" w:hAnsi="宋体" w:eastAsia="宋体" w:cs="宋体"/>
                <w:sz w:val="24"/>
                <w:szCs w:val="24"/>
                <w:highlight w:val="none"/>
              </w:rPr>
              <w:t>修改的时间</w:t>
            </w:r>
          </w:p>
        </w:tc>
        <w:tc>
          <w:tcPr>
            <w:tcW w:w="6584" w:type="dxa"/>
            <w:vAlign w:val="center"/>
          </w:tcPr>
          <w:p w14:paraId="23F50365">
            <w:pPr>
              <w:spacing w:line="288"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在收到相应修改文件后</w:t>
            </w:r>
            <w:r>
              <w:rPr>
                <w:rFonts w:hint="eastAsia" w:ascii="宋体" w:hAnsi="宋体" w:eastAsia="宋体" w:cs="宋体"/>
                <w:sz w:val="24"/>
                <w:szCs w:val="24"/>
                <w:highlight w:val="none"/>
                <w:u w:val="single"/>
              </w:rPr>
              <w:t xml:space="preserve"> 24 </w:t>
            </w:r>
            <w:r>
              <w:rPr>
                <w:rFonts w:hint="eastAsia" w:ascii="宋体" w:hAnsi="宋体" w:eastAsia="宋体" w:cs="宋体"/>
                <w:sz w:val="24"/>
                <w:szCs w:val="24"/>
                <w:highlight w:val="none"/>
              </w:rPr>
              <w:t>小时内</w:t>
            </w:r>
          </w:p>
        </w:tc>
      </w:tr>
      <w:tr w14:paraId="798BB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10" w:type="dxa"/>
            <w:vAlign w:val="center"/>
          </w:tcPr>
          <w:p w14:paraId="7FAC455B">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3.2</w:t>
            </w:r>
          </w:p>
        </w:tc>
        <w:tc>
          <w:tcPr>
            <w:tcW w:w="2522" w:type="dxa"/>
            <w:vAlign w:val="center"/>
          </w:tcPr>
          <w:p w14:paraId="1114D852">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采购预算</w:t>
            </w:r>
          </w:p>
        </w:tc>
        <w:tc>
          <w:tcPr>
            <w:tcW w:w="6584" w:type="dxa"/>
          </w:tcPr>
          <w:p w14:paraId="60EDD391">
            <w:pPr>
              <w:topLinePunct/>
              <w:adjustRightInd w:val="0"/>
              <w:snapToGrid w:val="0"/>
              <w:spacing w:before="36" w:beforeLines="15" w:line="34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lang w:val="en-US" w:eastAsia="zh-CN"/>
              </w:rPr>
              <w:t>272</w:t>
            </w:r>
            <w:r>
              <w:rPr>
                <w:rFonts w:hint="eastAsia" w:ascii="宋体" w:hAnsi="宋体" w:eastAsia="宋体" w:cs="宋体"/>
                <w:bCs/>
                <w:sz w:val="24"/>
                <w:szCs w:val="24"/>
                <w:highlight w:val="none"/>
                <w:lang w:eastAsia="zh-CN"/>
              </w:rPr>
              <w:t>万元；，供应商</w:t>
            </w:r>
            <w:r>
              <w:rPr>
                <w:rFonts w:hint="eastAsia" w:ascii="宋体" w:hAnsi="宋体" w:eastAsia="宋体" w:cs="宋体"/>
                <w:bCs/>
                <w:sz w:val="24"/>
                <w:szCs w:val="24"/>
                <w:highlight w:val="none"/>
              </w:rPr>
              <w:t>的投标报价不得超过采购预算，高于采购预算的投标无效。</w:t>
            </w:r>
          </w:p>
        </w:tc>
      </w:tr>
      <w:tr w14:paraId="097F2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10" w:type="dxa"/>
            <w:vAlign w:val="center"/>
          </w:tcPr>
          <w:p w14:paraId="6DAB8266">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3.3.1</w:t>
            </w:r>
          </w:p>
        </w:tc>
        <w:tc>
          <w:tcPr>
            <w:tcW w:w="2522" w:type="dxa"/>
            <w:vAlign w:val="center"/>
          </w:tcPr>
          <w:p w14:paraId="279E9A14">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投标有效期</w:t>
            </w:r>
          </w:p>
        </w:tc>
        <w:tc>
          <w:tcPr>
            <w:tcW w:w="6584" w:type="dxa"/>
            <w:vAlign w:val="center"/>
          </w:tcPr>
          <w:p w14:paraId="0BEA0AC0">
            <w:pPr>
              <w:spacing w:line="288" w:lineRule="auto"/>
              <w:rPr>
                <w:rFonts w:hint="eastAsia" w:ascii="宋体" w:hAnsi="宋体" w:eastAsia="宋体" w:cs="宋体"/>
                <w:sz w:val="24"/>
                <w:szCs w:val="24"/>
                <w:highlight w:val="none"/>
              </w:rPr>
            </w:pPr>
            <w:r>
              <w:rPr>
                <w:rFonts w:hint="eastAsia" w:ascii="宋体" w:hAnsi="宋体" w:eastAsia="宋体" w:cs="宋体"/>
                <w:sz w:val="24"/>
                <w:szCs w:val="24"/>
                <w:highlight w:val="none"/>
                <w:shd w:val="clear" w:color="auto" w:fill="FFFFFF"/>
              </w:rPr>
              <w:t>投标截止之日起90天。</w:t>
            </w:r>
          </w:p>
        </w:tc>
      </w:tr>
      <w:tr w14:paraId="5FE6D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910" w:type="dxa"/>
            <w:vAlign w:val="center"/>
          </w:tcPr>
          <w:p w14:paraId="28B0B804">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3.4.1</w:t>
            </w:r>
          </w:p>
        </w:tc>
        <w:tc>
          <w:tcPr>
            <w:tcW w:w="2522" w:type="dxa"/>
            <w:vAlign w:val="center"/>
          </w:tcPr>
          <w:p w14:paraId="63705D55">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投标保证金</w:t>
            </w:r>
          </w:p>
        </w:tc>
        <w:tc>
          <w:tcPr>
            <w:tcW w:w="6584" w:type="dxa"/>
            <w:vAlign w:val="center"/>
          </w:tcPr>
          <w:p w14:paraId="02CC98F7">
            <w:pPr>
              <w:autoSpaceDE/>
              <w:autoSpaceDN/>
              <w:adjustRightInd/>
              <w:snapToGrid/>
              <w:spacing w:line="340" w:lineRule="exact"/>
              <w:jc w:val="left"/>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信记录良好的供应商不收取</w:t>
            </w:r>
            <w:r>
              <w:rPr>
                <w:rFonts w:hint="eastAsia" w:ascii="宋体" w:hAnsi="宋体" w:cs="宋体"/>
                <w:bCs/>
                <w:color w:val="auto"/>
                <w:sz w:val="24"/>
                <w:szCs w:val="24"/>
                <w:highlight w:val="none"/>
                <w:lang w:val="zh-CN"/>
              </w:rPr>
              <w:t>投标</w:t>
            </w:r>
            <w:r>
              <w:rPr>
                <w:rFonts w:hint="eastAsia" w:ascii="宋体" w:hAnsi="宋体" w:eastAsia="宋体" w:cs="宋体"/>
                <w:bCs/>
                <w:color w:val="auto"/>
                <w:sz w:val="24"/>
                <w:szCs w:val="24"/>
                <w:highlight w:val="none"/>
                <w:lang w:val="zh-CN"/>
              </w:rPr>
              <w:t>保证金。</w:t>
            </w:r>
          </w:p>
          <w:p w14:paraId="5BDE579E">
            <w:pPr>
              <w:autoSpaceDE/>
              <w:autoSpaceDN/>
              <w:adjustRightInd/>
              <w:snapToGrid/>
              <w:spacing w:line="340" w:lineRule="exact"/>
              <w:jc w:val="left"/>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zh-CN" w:eastAsia="zh-CN"/>
              </w:rPr>
              <w:t>根据“长春市财政局关于取消政府采购投标保证金及采购文件工本费等有关事项的通知”（长财采购〔2021〕695号）规定经“信用中国”网站查询不存在行政处罚信息的供应商，不收取投标保证金。</w:t>
            </w:r>
          </w:p>
          <w:p w14:paraId="1599B8FC">
            <w:pPr>
              <w:autoSpaceDE w:val="0"/>
              <w:autoSpaceDN w:val="0"/>
              <w:adjustRightInd w:val="0"/>
              <w:rPr>
                <w:rFonts w:hint="eastAsia" w:ascii="宋体" w:hAnsi="宋体" w:eastAsia="宋体" w:cs="宋体"/>
                <w:bCs/>
                <w:sz w:val="24"/>
                <w:szCs w:val="24"/>
                <w:highlight w:val="none"/>
                <w:lang w:val="en-US" w:eastAsia="zh-CN"/>
              </w:rPr>
            </w:pPr>
            <w:r>
              <w:rPr>
                <w:rFonts w:hint="eastAsia" w:ascii="宋体" w:hAnsi="宋体" w:eastAsia="宋体" w:cs="宋体"/>
                <w:bCs/>
                <w:color w:val="auto"/>
                <w:sz w:val="24"/>
                <w:szCs w:val="24"/>
                <w:highlight w:val="none"/>
                <w:lang w:val="zh-CN"/>
              </w:rPr>
              <w:t>投标保证金的金额：无</w:t>
            </w:r>
          </w:p>
        </w:tc>
      </w:tr>
      <w:tr w14:paraId="6A89E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jc w:val="center"/>
        </w:trPr>
        <w:tc>
          <w:tcPr>
            <w:tcW w:w="910" w:type="dxa"/>
            <w:vAlign w:val="center"/>
          </w:tcPr>
          <w:p w14:paraId="4D1FA9C0">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3.5.2</w:t>
            </w:r>
          </w:p>
        </w:tc>
        <w:tc>
          <w:tcPr>
            <w:tcW w:w="2522" w:type="dxa"/>
            <w:vAlign w:val="center"/>
          </w:tcPr>
          <w:p w14:paraId="70CED618">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近年财务状况</w:t>
            </w:r>
          </w:p>
          <w:p w14:paraId="30A3FB0F">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的年份要求</w:t>
            </w:r>
          </w:p>
        </w:tc>
        <w:tc>
          <w:tcPr>
            <w:tcW w:w="6584" w:type="dxa"/>
            <w:vAlign w:val="center"/>
          </w:tcPr>
          <w:p w14:paraId="6A23137F">
            <w:pPr>
              <w:spacing w:line="288"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一</w:t>
            </w:r>
            <w:r>
              <w:rPr>
                <w:rFonts w:hint="eastAsia" w:ascii="宋体" w:hAnsi="宋体" w:eastAsia="宋体" w:cs="宋体"/>
                <w:sz w:val="24"/>
                <w:szCs w:val="24"/>
                <w:highlight w:val="none"/>
              </w:rPr>
              <w:t>年，指</w:t>
            </w:r>
            <w:r>
              <w:rPr>
                <w:rFonts w:hint="eastAsia" w:ascii="宋体" w:hAnsi="宋体" w:eastAsia="宋体" w:cs="宋体"/>
                <w:sz w:val="24"/>
                <w:szCs w:val="24"/>
                <w:highlight w:val="none"/>
                <w:u w:val="single"/>
              </w:rPr>
              <w:t>20</w:t>
            </w:r>
            <w:r>
              <w:rPr>
                <w:rFonts w:hint="eastAsia" w:ascii="宋体" w:hAnsi="宋体" w:eastAsia="宋体" w:cs="宋体"/>
                <w:sz w:val="24"/>
                <w:szCs w:val="24"/>
                <w:highlight w:val="none"/>
                <w:u w:val="single"/>
                <w:lang w:val="en-US" w:eastAsia="zh-CN"/>
              </w:rPr>
              <w:t>23</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single"/>
              </w:rPr>
              <w:t>1</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single"/>
              </w:rPr>
              <w:t>1</w:t>
            </w:r>
            <w:r>
              <w:rPr>
                <w:rFonts w:hint="eastAsia" w:ascii="宋体" w:hAnsi="宋体" w:eastAsia="宋体" w:cs="宋体"/>
                <w:sz w:val="24"/>
                <w:szCs w:val="24"/>
                <w:highlight w:val="none"/>
              </w:rPr>
              <w:t>日起至</w:t>
            </w:r>
            <w:r>
              <w:rPr>
                <w:rFonts w:hint="eastAsia" w:ascii="宋体" w:hAnsi="宋体" w:eastAsia="宋体" w:cs="宋体"/>
                <w:sz w:val="24"/>
                <w:szCs w:val="24"/>
                <w:highlight w:val="none"/>
                <w:u w:val="single"/>
              </w:rPr>
              <w:t>202</w:t>
            </w:r>
            <w:r>
              <w:rPr>
                <w:rFonts w:hint="eastAsia" w:ascii="宋体" w:hAnsi="宋体" w:eastAsia="宋体" w:cs="宋体"/>
                <w:sz w:val="24"/>
                <w:szCs w:val="24"/>
                <w:highlight w:val="none"/>
                <w:u w:val="single"/>
                <w:lang w:val="en-US" w:eastAsia="zh-CN"/>
              </w:rPr>
              <w:t>3</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single"/>
              </w:rPr>
              <w:t>12</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single"/>
              </w:rPr>
              <w:t>31</w:t>
            </w:r>
            <w:r>
              <w:rPr>
                <w:rFonts w:hint="eastAsia" w:ascii="宋体" w:hAnsi="宋体" w:eastAsia="宋体" w:cs="宋体"/>
                <w:sz w:val="24"/>
                <w:szCs w:val="24"/>
                <w:highlight w:val="none"/>
              </w:rPr>
              <w:t>日止（以上年份要求新成立的公司以成立之年起算）。</w:t>
            </w:r>
          </w:p>
        </w:tc>
      </w:tr>
      <w:tr w14:paraId="2333A9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910" w:type="dxa"/>
            <w:vAlign w:val="center"/>
          </w:tcPr>
          <w:p w14:paraId="1E571C98">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3.5.3</w:t>
            </w:r>
          </w:p>
        </w:tc>
        <w:tc>
          <w:tcPr>
            <w:tcW w:w="2522" w:type="dxa"/>
            <w:vAlign w:val="center"/>
          </w:tcPr>
          <w:p w14:paraId="2B50E0A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近年完成的类似项目</w:t>
            </w:r>
          </w:p>
          <w:p w14:paraId="012FD716">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的年份要求</w:t>
            </w:r>
          </w:p>
        </w:tc>
        <w:tc>
          <w:tcPr>
            <w:tcW w:w="6584" w:type="dxa"/>
            <w:vAlign w:val="center"/>
          </w:tcPr>
          <w:p w14:paraId="315EB89B">
            <w:pPr>
              <w:spacing w:line="288" w:lineRule="auto"/>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近年，指</w:t>
            </w:r>
            <w:r>
              <w:rPr>
                <w:rFonts w:hint="eastAsia" w:ascii="宋体" w:hAnsi="宋体" w:eastAsia="宋体" w:cs="宋体"/>
                <w:sz w:val="24"/>
                <w:szCs w:val="24"/>
                <w:highlight w:val="none"/>
                <w:u w:val="single"/>
              </w:rPr>
              <w:t>202</w:t>
            </w:r>
            <w:r>
              <w:rPr>
                <w:rFonts w:hint="eastAsia" w:ascii="宋体" w:hAnsi="宋体" w:eastAsia="宋体" w:cs="宋体"/>
                <w:sz w:val="24"/>
                <w:szCs w:val="24"/>
                <w:highlight w:val="none"/>
                <w:u w:val="single"/>
                <w:lang w:val="en-US" w:eastAsia="zh-CN"/>
              </w:rPr>
              <w:t>2</w:t>
            </w:r>
            <w:r>
              <w:rPr>
                <w:rFonts w:hint="eastAsia" w:ascii="宋体" w:hAnsi="宋体" w:eastAsia="宋体" w:cs="宋体"/>
                <w:sz w:val="24"/>
                <w:szCs w:val="24"/>
                <w:highlight w:val="none"/>
                <w:u w:val="single"/>
              </w:rPr>
              <w:t>年1月1日至投标截止时间前</w:t>
            </w:r>
            <w:r>
              <w:rPr>
                <w:rFonts w:hint="eastAsia" w:ascii="宋体" w:hAnsi="宋体" w:eastAsia="宋体" w:cs="宋体"/>
                <w:sz w:val="24"/>
                <w:szCs w:val="24"/>
                <w:highlight w:val="none"/>
              </w:rPr>
              <w:t>（以上年份要求新成立的公司以成立之年起算）。</w:t>
            </w:r>
          </w:p>
        </w:tc>
      </w:tr>
      <w:tr w14:paraId="439D9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910" w:type="dxa"/>
            <w:vAlign w:val="center"/>
          </w:tcPr>
          <w:p w14:paraId="294740E2">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3.5.4</w:t>
            </w:r>
          </w:p>
        </w:tc>
        <w:tc>
          <w:tcPr>
            <w:tcW w:w="2522" w:type="dxa"/>
            <w:vAlign w:val="center"/>
          </w:tcPr>
          <w:p w14:paraId="132AC0DF">
            <w:pPr>
              <w:jc w:val="center"/>
              <w:rPr>
                <w:rFonts w:hint="eastAsia" w:ascii="宋体" w:hAnsi="宋体" w:eastAsia="宋体" w:cs="宋体"/>
                <w:sz w:val="24"/>
                <w:szCs w:val="24"/>
                <w:highlight w:val="none"/>
                <w:shd w:val="clear" w:color="auto" w:fill="FFFFFF"/>
              </w:rPr>
            </w:pPr>
            <w:r>
              <w:rPr>
                <w:rFonts w:hint="eastAsia" w:ascii="宋体" w:hAnsi="宋体" w:eastAsia="宋体" w:cs="宋体"/>
                <w:sz w:val="24"/>
                <w:szCs w:val="24"/>
                <w:highlight w:val="none"/>
              </w:rPr>
              <w:t>近年发生的诉讼及仲裁情况的年份要求</w:t>
            </w:r>
          </w:p>
        </w:tc>
        <w:tc>
          <w:tcPr>
            <w:tcW w:w="6584" w:type="dxa"/>
            <w:vAlign w:val="center"/>
          </w:tcPr>
          <w:p w14:paraId="2CFF05E4">
            <w:pPr>
              <w:spacing w:line="288" w:lineRule="auto"/>
              <w:rPr>
                <w:rFonts w:hint="eastAsia" w:ascii="宋体" w:hAnsi="宋体" w:eastAsia="宋体" w:cs="宋体"/>
                <w:sz w:val="24"/>
                <w:szCs w:val="24"/>
                <w:highlight w:val="none"/>
                <w:shd w:val="clear" w:color="auto" w:fill="FFFFFF"/>
              </w:rPr>
            </w:pPr>
            <w:r>
              <w:rPr>
                <w:rFonts w:hint="eastAsia" w:ascii="宋体" w:hAnsi="宋体" w:eastAsia="宋体" w:cs="宋体"/>
                <w:sz w:val="24"/>
                <w:szCs w:val="24"/>
                <w:highlight w:val="none"/>
              </w:rPr>
              <w:t>202</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年1月1日起至202</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年12月31日止（以上年份要求新成立的公司以成立之年起算）。</w:t>
            </w:r>
          </w:p>
        </w:tc>
      </w:tr>
      <w:tr w14:paraId="4D7B9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910" w:type="dxa"/>
            <w:vAlign w:val="center"/>
          </w:tcPr>
          <w:p w14:paraId="45A69A70">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3.6</w:t>
            </w:r>
          </w:p>
        </w:tc>
        <w:tc>
          <w:tcPr>
            <w:tcW w:w="2522" w:type="dxa"/>
            <w:vAlign w:val="center"/>
          </w:tcPr>
          <w:p w14:paraId="331C22E6">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是否允许递交</w:t>
            </w:r>
          </w:p>
          <w:p w14:paraId="12BD3EE0">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备选投标方案</w:t>
            </w:r>
          </w:p>
        </w:tc>
        <w:tc>
          <w:tcPr>
            <w:tcW w:w="6584" w:type="dxa"/>
            <w:vAlign w:val="center"/>
          </w:tcPr>
          <w:p w14:paraId="74204396">
            <w:pPr>
              <w:spacing w:line="288"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不允许。</w:t>
            </w:r>
          </w:p>
        </w:tc>
      </w:tr>
      <w:tr w14:paraId="27055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0" w:type="dxa"/>
            <w:vAlign w:val="center"/>
          </w:tcPr>
          <w:p w14:paraId="0A52C02C">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3.7.3</w:t>
            </w:r>
          </w:p>
        </w:tc>
        <w:tc>
          <w:tcPr>
            <w:tcW w:w="2522" w:type="dxa"/>
            <w:vAlign w:val="center"/>
          </w:tcPr>
          <w:p w14:paraId="7D57B9D0">
            <w:pPr>
              <w:autoSpaceDE w:val="0"/>
              <w:autoSpaceDN w:val="0"/>
              <w:adjustRightInd w:val="0"/>
              <w:snapToGrid w:val="0"/>
              <w:jc w:val="center"/>
              <w:rPr>
                <w:rFonts w:hint="eastAsia" w:ascii="宋体" w:hAnsi="宋体" w:eastAsia="宋体" w:cs="宋体"/>
                <w:sz w:val="24"/>
                <w:szCs w:val="24"/>
                <w:highlight w:val="none"/>
              </w:rPr>
            </w:pPr>
            <w:r>
              <w:rPr>
                <w:rFonts w:hint="eastAsia" w:ascii="宋体" w:hAnsi="宋体" w:eastAsia="宋体" w:cs="宋体"/>
                <w:color w:val="auto"/>
                <w:sz w:val="24"/>
                <w:szCs w:val="24"/>
                <w:highlight w:val="none"/>
              </w:rPr>
              <w:t>签字或盖章要求</w:t>
            </w:r>
          </w:p>
        </w:tc>
        <w:tc>
          <w:tcPr>
            <w:tcW w:w="6584" w:type="dxa"/>
            <w:vAlign w:val="center"/>
          </w:tcPr>
          <w:p w14:paraId="5E07EF9F">
            <w:pPr>
              <w:spacing w:line="340" w:lineRule="exact"/>
              <w:rPr>
                <w:rFonts w:hint="eastAsia" w:ascii="宋体" w:hAnsi="宋体" w:eastAsia="宋体" w:cs="宋体"/>
                <w:sz w:val="24"/>
                <w:szCs w:val="24"/>
                <w:highlight w:val="none"/>
              </w:rPr>
            </w:pPr>
            <w:r>
              <w:rPr>
                <w:rFonts w:hint="eastAsia" w:ascii="宋体" w:hAnsi="宋体" w:eastAsia="宋体" w:cs="宋体"/>
                <w:color w:val="auto"/>
                <w:sz w:val="24"/>
                <w:szCs w:val="24"/>
                <w:highlight w:val="none"/>
              </w:rPr>
              <w:t>响应文件规定格式签字或盖章。</w:t>
            </w:r>
          </w:p>
        </w:tc>
      </w:tr>
      <w:tr w14:paraId="2AADE9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910" w:type="dxa"/>
            <w:vAlign w:val="center"/>
          </w:tcPr>
          <w:p w14:paraId="39C9BA46">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3.7.4</w:t>
            </w:r>
          </w:p>
        </w:tc>
        <w:tc>
          <w:tcPr>
            <w:tcW w:w="2522" w:type="dxa"/>
            <w:vAlign w:val="center"/>
          </w:tcPr>
          <w:p w14:paraId="3FFE7B53">
            <w:pPr>
              <w:pStyle w:val="97"/>
              <w:adjustRightInd/>
              <w:spacing w:line="360" w:lineRule="auto"/>
              <w:contextualSpacing/>
              <w:jc w:val="center"/>
              <w:rPr>
                <w:rFonts w:hint="eastAsia" w:ascii="宋体" w:hAnsi="宋体" w:eastAsia="宋体" w:cs="宋体"/>
                <w:sz w:val="24"/>
                <w:szCs w:val="24"/>
                <w:highlight w:val="none"/>
                <w:shd w:val="clear" w:color="auto" w:fill="FFFFFF"/>
              </w:rPr>
            </w:pPr>
            <w:r>
              <w:rPr>
                <w:rFonts w:hint="eastAsia" w:ascii="宋体" w:hAnsi="宋体" w:eastAsia="宋体" w:cs="宋体"/>
                <w:sz w:val="24"/>
                <w:szCs w:val="24"/>
                <w:highlight w:val="none"/>
                <w:shd w:val="clear" w:color="auto" w:fill="FFFFFF"/>
              </w:rPr>
              <w:t>投标文件份数</w:t>
            </w:r>
          </w:p>
        </w:tc>
        <w:tc>
          <w:tcPr>
            <w:tcW w:w="6584" w:type="dxa"/>
            <w:vAlign w:val="center"/>
          </w:tcPr>
          <w:p w14:paraId="50C24BE9">
            <w:pPr>
              <w:pStyle w:val="97"/>
              <w:adjustRightInd/>
              <w:spacing w:line="360" w:lineRule="auto"/>
              <w:contextualSpacing/>
              <w:rPr>
                <w:rFonts w:hint="eastAsia" w:ascii="宋体" w:hAnsi="宋体" w:eastAsia="宋体" w:cs="宋体"/>
                <w:sz w:val="24"/>
                <w:szCs w:val="24"/>
                <w:highlight w:val="none"/>
                <w:shd w:val="clear" w:color="auto" w:fill="FFFFFF"/>
                <w:lang w:val="zh-CN"/>
              </w:rPr>
            </w:pPr>
            <w:r>
              <w:rPr>
                <w:rFonts w:hint="eastAsia" w:ascii="宋体" w:hAnsi="宋体" w:eastAsia="宋体" w:cs="宋体"/>
                <w:sz w:val="24"/>
                <w:szCs w:val="24"/>
                <w:highlight w:val="none"/>
                <w:shd w:val="clear" w:color="auto" w:fill="FFFFFF"/>
                <w:lang w:val="zh-CN"/>
              </w:rPr>
              <w:t>无须递交纸质版响应文件。</w:t>
            </w:r>
          </w:p>
          <w:p w14:paraId="4D3CB4DD">
            <w:pPr>
              <w:pStyle w:val="97"/>
              <w:adjustRightInd/>
              <w:spacing w:line="360" w:lineRule="auto"/>
              <w:contextualSpacing/>
              <w:rPr>
                <w:rFonts w:hint="eastAsia" w:ascii="宋体" w:hAnsi="宋体" w:eastAsia="宋体" w:cs="宋体"/>
                <w:sz w:val="24"/>
                <w:szCs w:val="24"/>
                <w:highlight w:val="none"/>
                <w:shd w:val="clear" w:color="auto" w:fill="FFFFFF"/>
                <w:lang w:val="zh-CN"/>
              </w:rPr>
            </w:pPr>
            <w:r>
              <w:rPr>
                <w:rFonts w:hint="eastAsia" w:ascii="宋体" w:hAnsi="宋体" w:eastAsia="宋体" w:cs="宋体"/>
                <w:sz w:val="24"/>
                <w:szCs w:val="24"/>
                <w:highlight w:val="none"/>
                <w:shd w:val="clear" w:color="auto" w:fill="FFFFFF"/>
                <w:lang w:val="zh-CN"/>
              </w:rPr>
              <w:t>提供2份电子版响应文件</w:t>
            </w:r>
          </w:p>
          <w:p w14:paraId="2806F3D9">
            <w:pPr>
              <w:pStyle w:val="97"/>
              <w:adjustRightInd/>
              <w:spacing w:line="360" w:lineRule="auto"/>
              <w:contextualSpacing/>
              <w:rPr>
                <w:rFonts w:hint="eastAsia" w:ascii="宋体" w:hAnsi="宋体" w:eastAsia="宋体" w:cs="宋体"/>
                <w:sz w:val="24"/>
                <w:szCs w:val="24"/>
                <w:highlight w:val="none"/>
                <w:shd w:val="clear" w:color="auto" w:fill="FFFFFF"/>
              </w:rPr>
            </w:pPr>
            <w:r>
              <w:rPr>
                <w:rFonts w:hint="eastAsia" w:ascii="宋体" w:hAnsi="宋体" w:eastAsia="宋体" w:cs="宋体"/>
                <w:sz w:val="24"/>
                <w:szCs w:val="24"/>
                <w:highlight w:val="none"/>
                <w:shd w:val="clear" w:color="auto" w:fill="FFFFFF"/>
                <w:lang w:val="zh-CN"/>
              </w:rPr>
              <w:t>注：所有供应商需在开标结束后将响应文件电子版发至</w:t>
            </w:r>
            <w:r>
              <w:rPr>
                <w:rFonts w:hint="eastAsia" w:ascii="宋体" w:hAnsi="宋体" w:eastAsia="宋体" w:cs="宋体"/>
                <w:sz w:val="24"/>
                <w:szCs w:val="24"/>
                <w:highlight w:val="none"/>
                <w:shd w:val="clear" w:color="auto" w:fill="FFFFFF"/>
                <w:lang w:val="en-US" w:eastAsia="zh-CN"/>
              </w:rPr>
              <w:t>838079001@qq</w:t>
            </w:r>
            <w:r>
              <w:rPr>
                <w:rFonts w:hint="eastAsia" w:ascii="宋体" w:hAnsi="宋体" w:eastAsia="宋体" w:cs="宋体"/>
                <w:sz w:val="24"/>
                <w:szCs w:val="24"/>
                <w:highlight w:val="none"/>
                <w:shd w:val="clear" w:color="auto" w:fill="FFFFFF"/>
                <w:lang w:val="zh-CN"/>
              </w:rPr>
              <w:t>.com邮箱；响应文件电子版内容：（响应文件电子版需与解密响应文件内容一致、1份PDF格式(须带投标单位公章)、1份Word可编辑版本）。</w:t>
            </w:r>
          </w:p>
        </w:tc>
      </w:tr>
      <w:tr w14:paraId="78D36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910" w:type="dxa"/>
            <w:vAlign w:val="center"/>
          </w:tcPr>
          <w:p w14:paraId="52D7723B">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3.7.5</w:t>
            </w:r>
          </w:p>
        </w:tc>
        <w:tc>
          <w:tcPr>
            <w:tcW w:w="2522" w:type="dxa"/>
            <w:vAlign w:val="center"/>
          </w:tcPr>
          <w:p w14:paraId="3A830E6C">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装订要求</w:t>
            </w:r>
          </w:p>
        </w:tc>
        <w:tc>
          <w:tcPr>
            <w:tcW w:w="6584" w:type="dxa"/>
            <w:vAlign w:val="center"/>
          </w:tcPr>
          <w:p w14:paraId="72E127EF">
            <w:pP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无</w:t>
            </w:r>
          </w:p>
        </w:tc>
      </w:tr>
      <w:tr w14:paraId="077B9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0" w:hRule="atLeast"/>
          <w:jc w:val="center"/>
        </w:trPr>
        <w:tc>
          <w:tcPr>
            <w:tcW w:w="910" w:type="dxa"/>
            <w:vAlign w:val="center"/>
          </w:tcPr>
          <w:p w14:paraId="15F2F02F">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4.1.2</w:t>
            </w:r>
          </w:p>
        </w:tc>
        <w:tc>
          <w:tcPr>
            <w:tcW w:w="2522" w:type="dxa"/>
            <w:vAlign w:val="center"/>
          </w:tcPr>
          <w:p w14:paraId="46AB865E">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封套上写明</w:t>
            </w:r>
          </w:p>
        </w:tc>
        <w:tc>
          <w:tcPr>
            <w:tcW w:w="6584" w:type="dxa"/>
            <w:vAlign w:val="center"/>
          </w:tcPr>
          <w:p w14:paraId="5987D023">
            <w:pPr>
              <w:snapToGrid w:val="0"/>
              <w:rPr>
                <w:rFonts w:hint="eastAsia" w:ascii="宋体" w:hAnsi="宋体" w:eastAsia="宋体" w:cs="宋体"/>
                <w:sz w:val="24"/>
                <w:szCs w:val="24"/>
                <w:highlight w:val="none"/>
              </w:rPr>
            </w:pPr>
            <w:r>
              <w:rPr>
                <w:rFonts w:hint="eastAsia" w:ascii="宋体" w:hAnsi="宋体" w:eastAsia="宋体" w:cs="宋体"/>
                <w:sz w:val="24"/>
                <w:szCs w:val="24"/>
                <w:highlight w:val="none"/>
                <w:lang w:val="zh-CN"/>
              </w:rPr>
              <w:t>“政采云”平台（http：//www.zcygov.cn）</w:t>
            </w:r>
            <w:r>
              <w:rPr>
                <w:rFonts w:hint="eastAsia" w:ascii="宋体" w:hAnsi="宋体" w:cs="宋体"/>
                <w:sz w:val="24"/>
                <w:szCs w:val="24"/>
                <w:highlight w:val="none"/>
                <w:lang w:val="zh-CN"/>
              </w:rPr>
              <w:t>线上投标，无封套要求</w:t>
            </w:r>
          </w:p>
        </w:tc>
      </w:tr>
      <w:tr w14:paraId="371E66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10" w:type="dxa"/>
            <w:vAlign w:val="center"/>
          </w:tcPr>
          <w:p w14:paraId="6348E09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4.2.2</w:t>
            </w:r>
          </w:p>
        </w:tc>
        <w:tc>
          <w:tcPr>
            <w:tcW w:w="2522" w:type="dxa"/>
            <w:vAlign w:val="center"/>
          </w:tcPr>
          <w:p w14:paraId="6C1B92EE">
            <w:pPr>
              <w:autoSpaceDE w:val="0"/>
              <w:autoSpaceDN w:val="0"/>
              <w:adjustRightInd w:val="0"/>
              <w:snapToGrid w:val="0"/>
              <w:jc w:val="center"/>
              <w:rPr>
                <w:rFonts w:hint="eastAsia" w:ascii="宋体" w:hAnsi="宋体" w:eastAsia="宋体" w:cs="宋体"/>
                <w:sz w:val="24"/>
                <w:szCs w:val="24"/>
                <w:highlight w:val="none"/>
              </w:rPr>
            </w:pPr>
            <w:r>
              <w:rPr>
                <w:rFonts w:hint="eastAsia" w:ascii="宋体" w:hAnsi="宋体" w:eastAsia="宋体" w:cs="宋体"/>
                <w:bCs/>
                <w:color w:val="auto"/>
                <w:sz w:val="24"/>
                <w:szCs w:val="24"/>
                <w:highlight w:val="none"/>
                <w:lang w:val="zh-CN"/>
              </w:rPr>
              <w:t>递交文件地点</w:t>
            </w:r>
          </w:p>
        </w:tc>
        <w:tc>
          <w:tcPr>
            <w:tcW w:w="6584" w:type="dxa"/>
            <w:vAlign w:val="center"/>
          </w:tcPr>
          <w:p w14:paraId="61F7C748">
            <w:pPr>
              <w:autoSpaceDE w:val="0"/>
              <w:autoSpaceDN w:val="0"/>
              <w:adjustRightInd w:val="0"/>
              <w:snapToGrid w:val="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zh-CN"/>
              </w:rPr>
              <w:t>地点：</w:t>
            </w:r>
            <w:r>
              <w:rPr>
                <w:rFonts w:hint="eastAsia" w:ascii="宋体" w:hAnsi="宋体" w:eastAsia="宋体" w:cs="宋体"/>
                <w:color w:val="auto"/>
                <w:sz w:val="24"/>
                <w:szCs w:val="24"/>
                <w:highlight w:val="none"/>
                <w:lang w:val="zh-CN"/>
              </w:rPr>
              <w:t>“政采云”平台（http：//www.zcygov.cn）</w:t>
            </w:r>
          </w:p>
          <w:p w14:paraId="1F52D5D5">
            <w:pPr>
              <w:autoSpaceDE w:val="0"/>
              <w:autoSpaceDN w:val="0"/>
              <w:adjustRightInd w:val="0"/>
              <w:snapToGrid w:val="0"/>
              <w:jc w:val="left"/>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收件人：吉林中信工程建设咨询有限公司</w:t>
            </w:r>
          </w:p>
          <w:p w14:paraId="2B6CBF9A">
            <w:pPr>
              <w:autoSpaceDE w:val="0"/>
              <w:autoSpaceDN w:val="0"/>
              <w:adjustRightInd w:val="0"/>
              <w:snapToGrid w:val="0"/>
              <w:jc w:val="left"/>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提交开始时间： 20</w:t>
            </w:r>
            <w:r>
              <w:rPr>
                <w:rFonts w:hint="eastAsia" w:ascii="宋体" w:hAnsi="宋体" w:eastAsia="宋体" w:cs="宋体"/>
                <w:bCs/>
                <w:color w:val="auto"/>
                <w:sz w:val="24"/>
                <w:szCs w:val="24"/>
                <w:highlight w:val="none"/>
              </w:rPr>
              <w:t>2</w:t>
            </w:r>
            <w:r>
              <w:rPr>
                <w:rFonts w:hint="eastAsia" w:ascii="宋体" w:hAnsi="宋体" w:eastAsia="宋体" w:cs="宋体"/>
                <w:bCs/>
                <w:color w:val="auto"/>
                <w:sz w:val="24"/>
                <w:szCs w:val="24"/>
                <w:highlight w:val="none"/>
                <w:lang w:val="zh-CN"/>
              </w:rPr>
              <w:t>年</w:t>
            </w:r>
            <w:r>
              <w:rPr>
                <w:rFonts w:hint="eastAsia" w:ascii="宋体" w:hAnsi="宋体" w:cs="宋体"/>
                <w:bCs/>
                <w:color w:val="auto"/>
                <w:sz w:val="24"/>
                <w:szCs w:val="24"/>
                <w:highlight w:val="none"/>
                <w:lang w:val="en-US" w:eastAsia="zh-CN"/>
              </w:rPr>
              <w:t>4</w:t>
            </w:r>
            <w:r>
              <w:rPr>
                <w:rFonts w:hint="eastAsia" w:ascii="宋体" w:hAnsi="宋体" w:eastAsia="宋体" w:cs="宋体"/>
                <w:bCs/>
                <w:color w:val="auto"/>
                <w:sz w:val="24"/>
                <w:szCs w:val="24"/>
                <w:highlight w:val="none"/>
                <w:lang w:val="zh-CN"/>
              </w:rPr>
              <w:t>月</w:t>
            </w:r>
            <w:r>
              <w:rPr>
                <w:rFonts w:hint="eastAsia" w:ascii="宋体" w:hAnsi="宋体" w:cs="宋体"/>
                <w:bCs/>
                <w:color w:val="auto"/>
                <w:sz w:val="24"/>
                <w:szCs w:val="24"/>
                <w:highlight w:val="none"/>
                <w:lang w:val="en-US" w:eastAsia="zh-CN"/>
              </w:rPr>
              <w:t>17</w:t>
            </w:r>
            <w:r>
              <w:rPr>
                <w:rFonts w:hint="eastAsia" w:ascii="宋体" w:hAnsi="宋体" w:eastAsia="宋体" w:cs="宋体"/>
                <w:bCs/>
                <w:color w:val="auto"/>
                <w:sz w:val="24"/>
                <w:szCs w:val="24"/>
                <w:highlight w:val="none"/>
              </w:rPr>
              <w:t>日</w:t>
            </w:r>
            <w:r>
              <w:rPr>
                <w:rFonts w:hint="eastAsia" w:ascii="宋体" w:hAnsi="宋体" w:eastAsia="宋体" w:cs="宋体"/>
                <w:bCs/>
                <w:color w:val="auto"/>
                <w:sz w:val="24"/>
                <w:szCs w:val="24"/>
                <w:highlight w:val="none"/>
                <w:lang w:val="en-US" w:eastAsia="zh-CN"/>
              </w:rPr>
              <w:t>13</w:t>
            </w:r>
            <w:r>
              <w:rPr>
                <w:rFonts w:hint="eastAsia" w:ascii="宋体" w:hAnsi="宋体" w:eastAsia="宋体" w:cs="宋体"/>
                <w:bCs/>
                <w:color w:val="auto"/>
                <w:sz w:val="24"/>
                <w:szCs w:val="24"/>
                <w:highlight w:val="none"/>
                <w:lang w:val="zh-CN"/>
              </w:rPr>
              <w:t>时00分</w:t>
            </w:r>
          </w:p>
          <w:p w14:paraId="3F882B9B">
            <w:pPr>
              <w:autoSpaceDE w:val="0"/>
              <w:autoSpaceDN w:val="0"/>
              <w:adjustRightInd w:val="0"/>
              <w:snapToGrid w:val="0"/>
              <w:jc w:val="left"/>
              <w:rPr>
                <w:rFonts w:hint="eastAsia" w:ascii="宋体" w:hAnsi="宋体" w:eastAsia="宋体" w:cs="宋体"/>
                <w:bCs/>
                <w:kern w:val="15"/>
                <w:sz w:val="24"/>
                <w:szCs w:val="24"/>
                <w:highlight w:val="none"/>
              </w:rPr>
            </w:pPr>
            <w:r>
              <w:rPr>
                <w:rFonts w:hint="eastAsia" w:ascii="宋体" w:hAnsi="宋体" w:eastAsia="宋体" w:cs="宋体"/>
                <w:bCs/>
                <w:color w:val="auto"/>
                <w:sz w:val="24"/>
                <w:szCs w:val="24"/>
                <w:highlight w:val="none"/>
                <w:lang w:val="zh-CN"/>
              </w:rPr>
              <w:t>提交截止时间： 20</w:t>
            </w:r>
            <w:r>
              <w:rPr>
                <w:rFonts w:hint="eastAsia" w:ascii="宋体" w:hAnsi="宋体" w:eastAsia="宋体" w:cs="宋体"/>
                <w:bCs/>
                <w:color w:val="auto"/>
                <w:sz w:val="24"/>
                <w:szCs w:val="24"/>
                <w:highlight w:val="none"/>
              </w:rPr>
              <w:t>2</w:t>
            </w:r>
            <w:r>
              <w:rPr>
                <w:rFonts w:hint="eastAsia" w:ascii="宋体" w:hAnsi="宋体" w:eastAsia="宋体" w:cs="宋体"/>
                <w:bCs/>
                <w:color w:val="auto"/>
                <w:sz w:val="24"/>
                <w:szCs w:val="24"/>
                <w:highlight w:val="none"/>
                <w:lang w:val="zh-CN"/>
              </w:rPr>
              <w:t>年</w:t>
            </w:r>
            <w:r>
              <w:rPr>
                <w:rFonts w:hint="eastAsia" w:ascii="宋体" w:hAnsi="宋体" w:cs="宋体"/>
                <w:bCs/>
                <w:color w:val="auto"/>
                <w:sz w:val="24"/>
                <w:szCs w:val="24"/>
                <w:highlight w:val="none"/>
                <w:lang w:val="en-US" w:eastAsia="zh-CN"/>
              </w:rPr>
              <w:t>4</w:t>
            </w:r>
            <w:r>
              <w:rPr>
                <w:rFonts w:hint="eastAsia" w:ascii="宋体" w:hAnsi="宋体" w:eastAsia="宋体" w:cs="宋体"/>
                <w:bCs/>
                <w:color w:val="auto"/>
                <w:sz w:val="24"/>
                <w:szCs w:val="24"/>
                <w:highlight w:val="none"/>
                <w:lang w:val="zh-CN"/>
              </w:rPr>
              <w:t>月</w:t>
            </w:r>
            <w:r>
              <w:rPr>
                <w:rFonts w:hint="eastAsia" w:ascii="宋体" w:hAnsi="宋体" w:cs="宋体"/>
                <w:bCs/>
                <w:color w:val="auto"/>
                <w:sz w:val="24"/>
                <w:szCs w:val="24"/>
                <w:highlight w:val="none"/>
                <w:lang w:val="en-US" w:eastAsia="zh-CN"/>
              </w:rPr>
              <w:t>17</w:t>
            </w:r>
            <w:r>
              <w:rPr>
                <w:rFonts w:hint="eastAsia" w:ascii="宋体" w:hAnsi="宋体" w:eastAsia="宋体" w:cs="宋体"/>
                <w:bCs/>
                <w:color w:val="auto"/>
                <w:sz w:val="24"/>
                <w:szCs w:val="24"/>
                <w:highlight w:val="none"/>
                <w:lang w:val="zh-CN"/>
              </w:rPr>
              <w:t>日</w:t>
            </w:r>
            <w:r>
              <w:rPr>
                <w:rFonts w:hint="eastAsia" w:ascii="宋体" w:hAnsi="宋体" w:cs="宋体"/>
                <w:bCs/>
                <w:color w:val="auto"/>
                <w:sz w:val="24"/>
                <w:szCs w:val="24"/>
                <w:highlight w:val="none"/>
                <w:lang w:val="en-US" w:eastAsia="zh-CN"/>
              </w:rPr>
              <w:t>13</w:t>
            </w:r>
            <w:r>
              <w:rPr>
                <w:rFonts w:hint="eastAsia" w:ascii="宋体" w:hAnsi="宋体" w:eastAsia="宋体" w:cs="宋体"/>
                <w:bCs/>
                <w:color w:val="auto"/>
                <w:sz w:val="24"/>
                <w:szCs w:val="24"/>
                <w:highlight w:val="none"/>
                <w:lang w:val="zh-CN"/>
              </w:rPr>
              <w:t>时</w:t>
            </w:r>
            <w:r>
              <w:rPr>
                <w:rFonts w:hint="eastAsia" w:ascii="宋体" w:hAnsi="宋体" w:cs="宋体"/>
                <w:bCs/>
                <w:color w:val="auto"/>
                <w:sz w:val="24"/>
                <w:szCs w:val="24"/>
                <w:highlight w:val="none"/>
                <w:lang w:val="en-US" w:eastAsia="zh-CN"/>
              </w:rPr>
              <w:t>30</w:t>
            </w:r>
            <w:r>
              <w:rPr>
                <w:rFonts w:hint="eastAsia" w:ascii="宋体" w:hAnsi="宋体" w:eastAsia="宋体" w:cs="宋体"/>
                <w:bCs/>
                <w:color w:val="auto"/>
                <w:sz w:val="24"/>
                <w:szCs w:val="24"/>
                <w:highlight w:val="none"/>
                <w:lang w:val="zh-CN"/>
              </w:rPr>
              <w:t>分</w:t>
            </w:r>
          </w:p>
        </w:tc>
      </w:tr>
      <w:tr w14:paraId="2DBF54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910" w:type="dxa"/>
            <w:vAlign w:val="center"/>
          </w:tcPr>
          <w:p w14:paraId="353A602A">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4.2.3</w:t>
            </w:r>
          </w:p>
        </w:tc>
        <w:tc>
          <w:tcPr>
            <w:tcW w:w="2522" w:type="dxa"/>
            <w:vAlign w:val="center"/>
          </w:tcPr>
          <w:p w14:paraId="6430DC86">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是否退还投标文件</w:t>
            </w:r>
          </w:p>
        </w:tc>
        <w:tc>
          <w:tcPr>
            <w:tcW w:w="6584" w:type="dxa"/>
            <w:vAlign w:val="center"/>
          </w:tcPr>
          <w:p w14:paraId="4555D855">
            <w:pPr>
              <w:spacing w:line="288"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否。</w:t>
            </w:r>
          </w:p>
        </w:tc>
      </w:tr>
      <w:tr w14:paraId="45CFC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910" w:type="dxa"/>
            <w:vAlign w:val="center"/>
          </w:tcPr>
          <w:p w14:paraId="16680A01">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5.1</w:t>
            </w:r>
          </w:p>
        </w:tc>
        <w:tc>
          <w:tcPr>
            <w:tcW w:w="2522" w:type="dxa"/>
            <w:vAlign w:val="center"/>
          </w:tcPr>
          <w:p w14:paraId="04B3516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开标时间和地点</w:t>
            </w:r>
          </w:p>
        </w:tc>
        <w:tc>
          <w:tcPr>
            <w:tcW w:w="6584" w:type="dxa"/>
            <w:vAlign w:val="center"/>
          </w:tcPr>
          <w:p w14:paraId="78517350">
            <w:pPr>
              <w:adjustRightInd w:val="0"/>
              <w:snapToGrid w:val="0"/>
              <w:spacing w:before="36" w:beforeLines="15"/>
              <w:rPr>
                <w:rFonts w:hint="eastAsia" w:ascii="宋体" w:hAnsi="宋体" w:eastAsia="宋体" w:cs="宋体"/>
                <w:sz w:val="24"/>
                <w:szCs w:val="24"/>
                <w:highlight w:val="none"/>
              </w:rPr>
            </w:pPr>
            <w:r>
              <w:rPr>
                <w:rFonts w:hint="eastAsia" w:ascii="宋体" w:hAnsi="宋体" w:eastAsia="宋体" w:cs="宋体"/>
                <w:sz w:val="24"/>
                <w:szCs w:val="24"/>
                <w:highlight w:val="none"/>
              </w:rPr>
              <w:t>开标时间：同投标截止时间；</w:t>
            </w:r>
          </w:p>
          <w:p w14:paraId="35265AF7">
            <w:pPr>
              <w:spacing w:line="288" w:lineRule="auto"/>
              <w:ind w:left="1025" w:hanging="1171" w:hangingChars="488"/>
              <w:rPr>
                <w:rFonts w:hint="eastAsia" w:ascii="宋体" w:hAnsi="宋体" w:eastAsia="宋体" w:cs="宋体"/>
                <w:sz w:val="24"/>
                <w:szCs w:val="24"/>
                <w:highlight w:val="none"/>
              </w:rPr>
            </w:pPr>
            <w:r>
              <w:rPr>
                <w:rFonts w:hint="eastAsia" w:ascii="宋体" w:hAnsi="宋体" w:eastAsia="宋体" w:cs="宋体"/>
                <w:sz w:val="24"/>
                <w:szCs w:val="24"/>
                <w:highlight w:val="none"/>
              </w:rPr>
              <w:t>开标地点：</w:t>
            </w:r>
            <w:r>
              <w:rPr>
                <w:rFonts w:hint="eastAsia" w:ascii="宋体" w:hAnsi="宋体" w:eastAsia="宋体" w:cs="宋体"/>
                <w:sz w:val="24"/>
                <w:szCs w:val="24"/>
                <w:highlight w:val="none"/>
                <w:lang w:val="zh-CN"/>
              </w:rPr>
              <w:t>“政采云”平台（http：//www.zcygov.cn）</w:t>
            </w:r>
          </w:p>
        </w:tc>
      </w:tr>
      <w:tr w14:paraId="5CEFA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910" w:type="dxa"/>
            <w:vAlign w:val="center"/>
          </w:tcPr>
          <w:p w14:paraId="1EAE9A4F">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6.1.1</w:t>
            </w:r>
          </w:p>
        </w:tc>
        <w:tc>
          <w:tcPr>
            <w:tcW w:w="2522" w:type="dxa"/>
            <w:vAlign w:val="center"/>
          </w:tcPr>
          <w:p w14:paraId="32FBEB60">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评标委员会的组建</w:t>
            </w:r>
          </w:p>
        </w:tc>
        <w:tc>
          <w:tcPr>
            <w:tcW w:w="6584" w:type="dxa"/>
            <w:vAlign w:val="center"/>
          </w:tcPr>
          <w:p w14:paraId="27F6E8C3">
            <w:pPr>
              <w:adjustRightInd w:val="0"/>
              <w:snapToGrid w:val="0"/>
              <w:spacing w:before="36" w:beforeLines="15"/>
              <w:rPr>
                <w:rFonts w:hint="eastAsia" w:ascii="宋体" w:hAnsi="宋体" w:eastAsia="宋体" w:cs="宋体"/>
                <w:sz w:val="24"/>
                <w:szCs w:val="24"/>
                <w:highlight w:val="none"/>
              </w:rPr>
            </w:pPr>
            <w:r>
              <w:rPr>
                <w:rFonts w:hint="eastAsia" w:ascii="宋体" w:hAnsi="宋体" w:eastAsia="宋体" w:cs="宋体"/>
                <w:sz w:val="24"/>
                <w:szCs w:val="24"/>
                <w:highlight w:val="none"/>
              </w:rPr>
              <w:t>评标委员会构成：</w:t>
            </w:r>
            <w:r>
              <w:rPr>
                <w:rFonts w:hint="eastAsia" w:ascii="宋体" w:hAnsi="宋体" w:eastAsia="宋体" w:cs="宋体"/>
                <w:sz w:val="24"/>
                <w:szCs w:val="24"/>
                <w:highlight w:val="none"/>
                <w:u w:val="single"/>
              </w:rPr>
              <w:t>5</w:t>
            </w:r>
            <w:r>
              <w:rPr>
                <w:rFonts w:hint="eastAsia" w:ascii="宋体" w:hAnsi="宋体" w:eastAsia="宋体" w:cs="宋体"/>
                <w:sz w:val="24"/>
                <w:szCs w:val="24"/>
                <w:highlight w:val="none"/>
              </w:rPr>
              <w:t>人，业主评委1人，技术、经济方面专家4人；</w:t>
            </w:r>
          </w:p>
          <w:p w14:paraId="5F572DF2">
            <w:pPr>
              <w:spacing w:line="288"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评标专家确定方式：</w:t>
            </w:r>
            <w:r>
              <w:rPr>
                <w:rFonts w:hint="eastAsia" w:ascii="宋体" w:hAnsi="宋体" w:eastAsia="宋体" w:cs="宋体"/>
                <w:bCs/>
                <w:sz w:val="24"/>
                <w:szCs w:val="24"/>
                <w:highlight w:val="none"/>
              </w:rPr>
              <w:t>从依法设立的评标专家库中随机抽取。</w:t>
            </w:r>
          </w:p>
        </w:tc>
      </w:tr>
      <w:tr w14:paraId="011FA5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910" w:type="dxa"/>
            <w:vAlign w:val="center"/>
          </w:tcPr>
          <w:p w14:paraId="0809FB0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7.1</w:t>
            </w:r>
          </w:p>
        </w:tc>
        <w:tc>
          <w:tcPr>
            <w:tcW w:w="2522" w:type="dxa"/>
            <w:vAlign w:val="center"/>
          </w:tcPr>
          <w:p w14:paraId="7F7CCE13">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是否授权评标委员会确定中标人</w:t>
            </w:r>
          </w:p>
        </w:tc>
        <w:tc>
          <w:tcPr>
            <w:tcW w:w="6584" w:type="dxa"/>
            <w:vAlign w:val="center"/>
          </w:tcPr>
          <w:p w14:paraId="1546CF3B">
            <w:pPr>
              <w:pStyle w:val="97"/>
              <w:adjustRightInd/>
              <w:spacing w:line="360" w:lineRule="auto"/>
              <w:contextualSpacing/>
              <w:rPr>
                <w:rFonts w:hint="eastAsia" w:ascii="宋体" w:hAnsi="宋体" w:eastAsia="宋体" w:cs="宋体"/>
                <w:sz w:val="24"/>
                <w:szCs w:val="24"/>
                <w:highlight w:val="none"/>
                <w:shd w:val="clear" w:color="auto" w:fill="FFFFFF"/>
              </w:rPr>
            </w:pPr>
            <w:r>
              <w:rPr>
                <w:rFonts w:hint="eastAsia" w:ascii="宋体" w:hAnsi="宋体" w:eastAsia="宋体" w:cs="宋体"/>
                <w:sz w:val="24"/>
                <w:szCs w:val="24"/>
                <w:highlight w:val="none"/>
                <w:shd w:val="clear" w:color="auto" w:fill="FFFFFF"/>
              </w:rPr>
              <w:t>□是；</w:t>
            </w:r>
          </w:p>
          <w:p w14:paraId="1FDB6953">
            <w:pPr>
              <w:spacing w:line="288" w:lineRule="auto"/>
              <w:rPr>
                <w:rFonts w:hint="eastAsia" w:ascii="宋体" w:hAnsi="宋体" w:eastAsia="宋体" w:cs="宋体"/>
                <w:sz w:val="24"/>
                <w:szCs w:val="24"/>
                <w:highlight w:val="none"/>
              </w:rPr>
            </w:pPr>
            <w:r>
              <w:rPr>
                <w:rFonts w:hint="eastAsia" w:ascii="宋体" w:hAnsi="宋体" w:eastAsia="宋体" w:cs="宋体"/>
                <w:sz w:val="24"/>
                <w:szCs w:val="24"/>
                <w:highlight w:val="none"/>
                <w:shd w:val="clear" w:color="auto" w:fill="FFFFFF"/>
              </w:rPr>
              <w:t>■否，推荐的中标候选人数：3人。</w:t>
            </w:r>
          </w:p>
        </w:tc>
      </w:tr>
      <w:tr w14:paraId="43F69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910" w:type="dxa"/>
            <w:vAlign w:val="center"/>
          </w:tcPr>
          <w:p w14:paraId="2B054EE4">
            <w:pPr>
              <w:adjustRightInd w:val="0"/>
              <w:snapToGrid w:val="0"/>
              <w:spacing w:before="36" w:beforeLines="15" w:line="276"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7.2</w:t>
            </w:r>
          </w:p>
        </w:tc>
        <w:tc>
          <w:tcPr>
            <w:tcW w:w="2522" w:type="dxa"/>
            <w:vAlign w:val="center"/>
          </w:tcPr>
          <w:p w14:paraId="2BB12F21">
            <w:pPr>
              <w:adjustRightInd w:val="0"/>
              <w:snapToGrid w:val="0"/>
              <w:spacing w:before="36" w:beforeLines="15" w:line="276" w:lineRule="auto"/>
              <w:jc w:val="center"/>
              <w:rPr>
                <w:rFonts w:hint="eastAsia" w:ascii="宋体" w:hAnsi="宋体" w:eastAsia="宋体" w:cs="宋体"/>
                <w:sz w:val="24"/>
                <w:szCs w:val="24"/>
                <w:highlight w:val="none"/>
              </w:rPr>
            </w:pPr>
            <w:r>
              <w:rPr>
                <w:rFonts w:hint="eastAsia" w:ascii="宋体" w:hAnsi="宋体" w:eastAsia="宋体" w:cs="宋体"/>
                <w:bCs/>
                <w:sz w:val="24"/>
                <w:szCs w:val="24"/>
                <w:highlight w:val="none"/>
              </w:rPr>
              <w:t>中标结果公告媒介</w:t>
            </w:r>
          </w:p>
        </w:tc>
        <w:tc>
          <w:tcPr>
            <w:tcW w:w="6584" w:type="dxa"/>
            <w:vAlign w:val="center"/>
          </w:tcPr>
          <w:p w14:paraId="4CE8B1CF">
            <w:pPr>
              <w:adjustRightInd w:val="0"/>
              <w:snapToGrid w:val="0"/>
              <w:spacing w:before="36" w:beforeLines="15"/>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“政采云 ”平台（http:// www.zcygov.cn），同步推送到吉林省政府采购网（</w:t>
            </w:r>
            <w:r>
              <w:rPr>
                <w:rFonts w:hint="eastAsia" w:ascii="宋体" w:hAnsi="宋体" w:eastAsia="宋体" w:cs="宋体"/>
                <w:sz w:val="24"/>
                <w:szCs w:val="24"/>
                <w:highlight w:val="none"/>
                <w:lang w:val="en-US" w:eastAsia="zh-CN"/>
              </w:rPr>
              <w:fldChar w:fldCharType="begin"/>
            </w:r>
            <w:r>
              <w:rPr>
                <w:rFonts w:hint="eastAsia" w:ascii="宋体" w:hAnsi="宋体" w:eastAsia="宋体" w:cs="宋体"/>
                <w:sz w:val="24"/>
                <w:szCs w:val="24"/>
                <w:highlight w:val="none"/>
                <w:lang w:val="en-US" w:eastAsia="zh-CN"/>
              </w:rPr>
              <w:instrText xml:space="preserve"> HYPERLINK "http://www.ccgp-jilin.gov.cn/" </w:instrText>
            </w:r>
            <w:r>
              <w:rPr>
                <w:rFonts w:hint="eastAsia" w:ascii="宋体" w:hAnsi="宋体" w:eastAsia="宋体" w:cs="宋体"/>
                <w:sz w:val="24"/>
                <w:szCs w:val="24"/>
                <w:highlight w:val="none"/>
                <w:lang w:val="en-US" w:eastAsia="zh-CN"/>
              </w:rPr>
              <w:fldChar w:fldCharType="separate"/>
            </w:r>
            <w:r>
              <w:rPr>
                <w:rFonts w:hint="eastAsia" w:ascii="宋体" w:hAnsi="宋体" w:eastAsia="宋体" w:cs="宋体"/>
                <w:sz w:val="24"/>
                <w:szCs w:val="24"/>
                <w:highlight w:val="none"/>
                <w:lang w:val="en-US" w:eastAsia="zh-CN"/>
              </w:rPr>
              <w:t>http://www.ccgp-jilin.gov.cn/</w:t>
            </w:r>
            <w:r>
              <w:rPr>
                <w:rFonts w:hint="eastAsia" w:ascii="宋体" w:hAnsi="宋体" w:eastAsia="宋体" w:cs="宋体"/>
                <w:sz w:val="24"/>
                <w:szCs w:val="24"/>
                <w:highlight w:val="none"/>
                <w:lang w:val="en-US" w:eastAsia="zh-CN"/>
              </w:rPr>
              <w:fldChar w:fldCharType="end"/>
            </w:r>
            <w:r>
              <w:rPr>
                <w:rFonts w:hint="eastAsia" w:ascii="宋体" w:hAnsi="宋体" w:eastAsia="宋体" w:cs="宋体"/>
                <w:sz w:val="24"/>
                <w:szCs w:val="24"/>
                <w:highlight w:val="none"/>
                <w:lang w:val="en-US" w:eastAsia="zh-CN"/>
              </w:rPr>
              <w:t>），并同时在中国政府采购网发布。</w:t>
            </w:r>
          </w:p>
        </w:tc>
      </w:tr>
      <w:tr w14:paraId="1D6C47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910" w:type="dxa"/>
            <w:vAlign w:val="center"/>
          </w:tcPr>
          <w:p w14:paraId="20B3F898">
            <w:pPr>
              <w:adjustRightInd w:val="0"/>
              <w:snapToGrid w:val="0"/>
              <w:spacing w:before="36" w:beforeLines="15" w:line="276"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10</w:t>
            </w:r>
          </w:p>
        </w:tc>
        <w:tc>
          <w:tcPr>
            <w:tcW w:w="9106" w:type="dxa"/>
            <w:gridSpan w:val="2"/>
            <w:vAlign w:val="center"/>
          </w:tcPr>
          <w:p w14:paraId="7B5E65C4">
            <w:pPr>
              <w:spacing w:line="312"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需要补充的其他内容</w:t>
            </w:r>
          </w:p>
        </w:tc>
      </w:tr>
      <w:tr w14:paraId="3DA23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10" w:type="dxa"/>
            <w:vAlign w:val="center"/>
          </w:tcPr>
          <w:p w14:paraId="6C021C4C">
            <w:pPr>
              <w:pStyle w:val="45"/>
              <w:snapToGrid w:val="0"/>
              <w:spacing w:before="36" w:beforeLines="15" w:line="276"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10.1</w:t>
            </w:r>
          </w:p>
        </w:tc>
        <w:tc>
          <w:tcPr>
            <w:tcW w:w="2522" w:type="dxa"/>
            <w:vAlign w:val="center"/>
          </w:tcPr>
          <w:p w14:paraId="1D0C3B46">
            <w:pPr>
              <w:spacing w:line="312"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质保期及质量保证金</w:t>
            </w:r>
          </w:p>
        </w:tc>
        <w:tc>
          <w:tcPr>
            <w:tcW w:w="6584" w:type="dxa"/>
            <w:vAlign w:val="center"/>
          </w:tcPr>
          <w:p w14:paraId="1168B586">
            <w:pPr>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质保期：两年，质保金：无。</w:t>
            </w:r>
          </w:p>
        </w:tc>
      </w:tr>
      <w:tr w14:paraId="7E26B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910" w:type="dxa"/>
            <w:vAlign w:val="center"/>
          </w:tcPr>
          <w:p w14:paraId="75526F8B">
            <w:pPr>
              <w:adjustRightInd w:val="0"/>
              <w:snapToGrid w:val="0"/>
              <w:spacing w:before="36" w:beforeLines="15" w:line="276"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10.2</w:t>
            </w:r>
          </w:p>
        </w:tc>
        <w:tc>
          <w:tcPr>
            <w:tcW w:w="2522" w:type="dxa"/>
            <w:vAlign w:val="center"/>
          </w:tcPr>
          <w:p w14:paraId="0F4F143B">
            <w:pPr>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付款方式</w:t>
            </w:r>
          </w:p>
        </w:tc>
        <w:tc>
          <w:tcPr>
            <w:tcW w:w="6584" w:type="dxa"/>
            <w:vAlign w:val="center"/>
          </w:tcPr>
          <w:p w14:paraId="6BBC916A">
            <w:pPr>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合同生效后十五日内，中标单位向甲方支付合同总金额3%的履约保证金，甲方支付合同总金额50%的货款；货物交付完成经甲方确认签收后十五日内，甲方支付合同总金额30%的货款；项目验收后十五日内，甲方支付合同总金额20%的货款；项目验收之日起2年后，甲方无息退还中标单位合同总金额3%的履约保证金。</w:t>
            </w:r>
          </w:p>
        </w:tc>
      </w:tr>
      <w:tr w14:paraId="6BFA61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910" w:type="dxa"/>
            <w:vAlign w:val="center"/>
          </w:tcPr>
          <w:p w14:paraId="18893960">
            <w:pPr>
              <w:adjustRightInd w:val="0"/>
              <w:snapToGrid w:val="0"/>
              <w:spacing w:before="36" w:beforeLines="15" w:line="276"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10.3</w:t>
            </w:r>
          </w:p>
        </w:tc>
        <w:tc>
          <w:tcPr>
            <w:tcW w:w="2522" w:type="dxa"/>
            <w:vAlign w:val="center"/>
          </w:tcPr>
          <w:p w14:paraId="3D4BB406">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招标代理服务费</w:t>
            </w:r>
          </w:p>
        </w:tc>
        <w:tc>
          <w:tcPr>
            <w:tcW w:w="6584" w:type="dxa"/>
            <w:vAlign w:val="center"/>
          </w:tcPr>
          <w:p w14:paraId="46825A86">
            <w:pPr>
              <w:jc w:val="left"/>
              <w:rPr>
                <w:rFonts w:hint="eastAsia" w:ascii="宋体" w:hAnsi="宋体" w:eastAsia="宋体" w:cs="宋体"/>
                <w:sz w:val="24"/>
                <w:szCs w:val="24"/>
                <w:highlight w:val="none"/>
              </w:rPr>
            </w:pPr>
            <w:r>
              <w:rPr>
                <w:rFonts w:hint="eastAsia" w:ascii="宋体" w:hAnsi="宋体" w:eastAsia="宋体" w:cs="宋体"/>
                <w:sz w:val="24"/>
                <w:szCs w:val="24"/>
                <w:highlight w:val="none"/>
                <w:shd w:val="clear" w:color="auto" w:fill="FFFFFF"/>
              </w:rPr>
              <w:t>采购代理机构参照国家计委计价格[2002]1980号文件及国家发改委发改办价格[2003]857号文件，执行发改价格</w:t>
            </w:r>
            <w:bookmarkStart w:id="296" w:name="_GoBack"/>
            <w:bookmarkEnd w:id="296"/>
            <w:r>
              <w:rPr>
                <w:rFonts w:hint="eastAsia" w:ascii="宋体" w:hAnsi="宋体" w:eastAsia="宋体" w:cs="宋体"/>
                <w:sz w:val="24"/>
                <w:szCs w:val="24"/>
                <w:highlight w:val="none"/>
                <w:shd w:val="clear" w:color="auto" w:fill="FFFFFF"/>
              </w:rPr>
              <w:t>[2015]299号文件规定取费标准计费，向中标人一次性收取招标代理服务费。</w:t>
            </w:r>
          </w:p>
        </w:tc>
      </w:tr>
      <w:tr w14:paraId="46D362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910" w:type="dxa"/>
            <w:vAlign w:val="center"/>
          </w:tcPr>
          <w:p w14:paraId="63F8BD3D">
            <w:pPr>
              <w:adjustRightInd w:val="0"/>
              <w:snapToGrid w:val="0"/>
              <w:spacing w:before="36" w:beforeLines="15" w:line="276"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10.4</w:t>
            </w:r>
          </w:p>
        </w:tc>
        <w:tc>
          <w:tcPr>
            <w:tcW w:w="2522" w:type="dxa"/>
            <w:vAlign w:val="center"/>
          </w:tcPr>
          <w:p w14:paraId="1EAF31A8">
            <w:pPr>
              <w:jc w:val="center"/>
              <w:rPr>
                <w:rFonts w:hint="eastAsia" w:ascii="宋体" w:hAnsi="宋体" w:eastAsia="宋体" w:cs="宋体"/>
                <w:sz w:val="24"/>
                <w:szCs w:val="24"/>
                <w:highlight w:val="yellow"/>
              </w:rPr>
            </w:pPr>
            <w:r>
              <w:rPr>
                <w:rFonts w:hint="eastAsia" w:ascii="宋体" w:hAnsi="宋体" w:eastAsia="宋体" w:cs="宋体"/>
                <w:sz w:val="24"/>
                <w:szCs w:val="24"/>
                <w:highlight w:val="none"/>
              </w:rPr>
              <w:t>履约保证金</w:t>
            </w:r>
          </w:p>
        </w:tc>
        <w:tc>
          <w:tcPr>
            <w:tcW w:w="6584" w:type="dxa"/>
            <w:vAlign w:val="center"/>
          </w:tcPr>
          <w:p w14:paraId="6A563715">
            <w:pPr>
              <w:jc w:val="left"/>
              <w:rPr>
                <w:rFonts w:hint="eastAsia" w:ascii="宋体" w:hAnsi="宋体" w:eastAsia="宋体" w:cs="宋体"/>
                <w:sz w:val="24"/>
                <w:szCs w:val="24"/>
                <w:highlight w:val="yellow"/>
                <w:lang w:val="en-US" w:eastAsia="zh-CN"/>
              </w:rPr>
            </w:pPr>
            <w:r>
              <w:rPr>
                <w:rFonts w:hint="eastAsia" w:ascii="宋体" w:hAnsi="宋体" w:eastAsia="宋体" w:cs="宋体"/>
                <w:sz w:val="24"/>
                <w:szCs w:val="24"/>
                <w:highlight w:val="none"/>
                <w:lang w:val="en-US" w:eastAsia="zh-CN"/>
              </w:rPr>
              <w:t>3%</w:t>
            </w:r>
          </w:p>
        </w:tc>
      </w:tr>
      <w:tr w14:paraId="6BC9DB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910" w:type="dxa"/>
            <w:vAlign w:val="center"/>
          </w:tcPr>
          <w:p w14:paraId="3D1CFBF9">
            <w:pPr>
              <w:adjustRightInd w:val="0"/>
              <w:snapToGrid w:val="0"/>
              <w:spacing w:before="36" w:beforeLines="15" w:line="276" w:lineRule="auto"/>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10.5</w:t>
            </w:r>
          </w:p>
        </w:tc>
        <w:tc>
          <w:tcPr>
            <w:tcW w:w="2522" w:type="dxa"/>
            <w:vAlign w:val="center"/>
          </w:tcPr>
          <w:p w14:paraId="685DBEA9">
            <w:pPr>
              <w:autoSpaceDE w:val="0"/>
              <w:autoSpaceDN w:val="0"/>
              <w:adjustRightInd w:val="0"/>
              <w:snapToGrid w:val="0"/>
              <w:jc w:val="left"/>
              <w:rPr>
                <w:rFonts w:hint="eastAsia" w:ascii="宋体" w:hAnsi="宋体" w:eastAsia="宋体" w:cs="宋体"/>
                <w:sz w:val="24"/>
                <w:szCs w:val="24"/>
                <w:highlight w:val="none"/>
              </w:rPr>
            </w:pPr>
            <w:r>
              <w:rPr>
                <w:rFonts w:hint="eastAsia" w:ascii="宋体" w:hAnsi="宋体" w:eastAsia="宋体" w:cs="宋体"/>
                <w:color w:val="auto"/>
                <w:sz w:val="24"/>
                <w:szCs w:val="24"/>
                <w:highlight w:val="none"/>
              </w:rPr>
              <w:t>中小微企业相关政策</w:t>
            </w:r>
          </w:p>
        </w:tc>
        <w:tc>
          <w:tcPr>
            <w:tcW w:w="6584" w:type="dxa"/>
            <w:vAlign w:val="center"/>
          </w:tcPr>
          <w:p w14:paraId="624EFC1D">
            <w:pPr>
              <w:spacing w:line="340" w:lineRule="exac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zh-CN"/>
              </w:rPr>
              <w:t>根据工信部等部委发布的《关于印发中小企业划型标准规定的通知》（工信部联企业〔2011〕300号），符合相关条件的为中小微型企业。本项目所属行业为：工业。</w:t>
            </w:r>
          </w:p>
          <w:p w14:paraId="0B721DA1">
            <w:pPr>
              <w:spacing w:line="340" w:lineRule="exac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CN"/>
              </w:rPr>
              <w:t>本项目为专门面向中小企业。</w:t>
            </w:r>
          </w:p>
          <w:p w14:paraId="3A3B1575">
            <w:pPr>
              <w:spacing w:line="340" w:lineRule="exac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zh-CN"/>
              </w:rPr>
              <w:t>符合要求的中小企业应当按照《政府采购促进中小企业发展管理办法》（财库[2020]46号）的要求提供《中小企业声明函》（格式见</w:t>
            </w:r>
            <w:r>
              <w:rPr>
                <w:rFonts w:hint="eastAsia" w:ascii="宋体" w:hAnsi="宋体" w:cs="宋体"/>
                <w:color w:val="auto"/>
                <w:sz w:val="24"/>
                <w:szCs w:val="24"/>
                <w:highlight w:val="none"/>
                <w:lang w:val="zh-CN"/>
              </w:rPr>
              <w:t>采购</w:t>
            </w:r>
            <w:r>
              <w:rPr>
                <w:rFonts w:hint="eastAsia" w:ascii="宋体" w:hAnsi="宋体" w:eastAsia="宋体" w:cs="宋体"/>
                <w:color w:val="auto"/>
                <w:sz w:val="24"/>
                <w:szCs w:val="24"/>
                <w:highlight w:val="none"/>
                <w:lang w:val="zh-CN"/>
              </w:rPr>
              <w:t>文件第六章），否则不享受相关中小企业扶持政策。</w:t>
            </w:r>
          </w:p>
          <w:p w14:paraId="4B24B145">
            <w:pPr>
              <w:spacing w:line="340" w:lineRule="exac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zh-CN"/>
              </w:rPr>
              <w:t>根据财政部等部位发布的《关于促进残疾人就业政府采购政策的通知》（财库〔2017〕141）号，符合通知内条件的为残疾人福利性单位，视同小型、微型企业。符合条件的残疾人福利性单位应当提供本办法规定的《残疾人福利性单位声明函》（格式见</w:t>
            </w:r>
            <w:r>
              <w:rPr>
                <w:rFonts w:hint="eastAsia" w:ascii="宋体" w:hAnsi="宋体" w:cs="宋体"/>
                <w:color w:val="auto"/>
                <w:sz w:val="24"/>
                <w:szCs w:val="24"/>
                <w:highlight w:val="none"/>
                <w:lang w:val="zh-CN"/>
              </w:rPr>
              <w:t>采购</w:t>
            </w:r>
            <w:r>
              <w:rPr>
                <w:rFonts w:hint="eastAsia" w:ascii="宋体" w:hAnsi="宋体" w:eastAsia="宋体" w:cs="宋体"/>
                <w:color w:val="auto"/>
                <w:sz w:val="24"/>
                <w:szCs w:val="24"/>
                <w:highlight w:val="none"/>
                <w:lang w:val="zh-CN"/>
              </w:rPr>
              <w:t>文件第六章）。</w:t>
            </w:r>
          </w:p>
          <w:p w14:paraId="5D2ED216">
            <w:pPr>
              <w:autoSpaceDE w:val="0"/>
              <w:autoSpaceDN w:val="0"/>
              <w:adjustRightInd w:val="0"/>
              <w:snapToGrid w:val="0"/>
              <w:jc w:val="left"/>
              <w:rPr>
                <w:rFonts w:hint="eastAsia" w:ascii="宋体" w:hAnsi="宋体" w:eastAsia="宋体" w:cs="宋体"/>
                <w:sz w:val="24"/>
                <w:szCs w:val="24"/>
                <w:highlight w:val="none"/>
                <w:lang w:val="en-US" w:eastAsia="zh-CN"/>
              </w:rPr>
            </w:pP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val="zh-CN"/>
              </w:rPr>
              <w:t>按照《政府采购促进中小企业发展管理办法》（财库[2020]46号）规定，享受扶持政策获得政府采购合同的，小微企业不得将合同分包给大中型企业，中型企业不得将合同分包给大型企业。</w:t>
            </w:r>
          </w:p>
        </w:tc>
      </w:tr>
    </w:tbl>
    <w:p w14:paraId="49B0F960">
      <w:pPr>
        <w:jc w:val="left"/>
        <w:rPr>
          <w:rFonts w:hint="eastAsia" w:ascii="宋体" w:hAnsi="宋体" w:eastAsia="宋体" w:cs="宋体"/>
          <w:highlight w:val="none"/>
        </w:rPr>
      </w:pPr>
      <w:r>
        <w:rPr>
          <w:rFonts w:hint="eastAsia" w:ascii="宋体" w:hAnsi="宋体" w:eastAsia="宋体" w:cs="宋体"/>
          <w:szCs w:val="21"/>
          <w:highlight w:val="none"/>
        </w:rPr>
        <w:t>招标公告与</w:t>
      </w:r>
      <w:r>
        <w:rPr>
          <w:rFonts w:hint="eastAsia" w:ascii="宋体" w:hAnsi="宋体" w:cs="宋体"/>
          <w:szCs w:val="21"/>
          <w:highlight w:val="none"/>
          <w:lang w:eastAsia="zh-CN"/>
        </w:rPr>
        <w:t>采购文件</w:t>
      </w:r>
      <w:r>
        <w:rPr>
          <w:rFonts w:hint="eastAsia" w:ascii="宋体" w:hAnsi="宋体" w:eastAsia="宋体" w:cs="宋体"/>
          <w:szCs w:val="21"/>
          <w:highlight w:val="none"/>
        </w:rPr>
        <w:t>不一致之处以</w:t>
      </w:r>
      <w:r>
        <w:rPr>
          <w:rFonts w:hint="eastAsia" w:ascii="宋体" w:hAnsi="宋体" w:cs="宋体"/>
          <w:szCs w:val="21"/>
          <w:highlight w:val="none"/>
          <w:lang w:eastAsia="zh-CN"/>
        </w:rPr>
        <w:t>采购文件</w:t>
      </w:r>
      <w:r>
        <w:rPr>
          <w:rFonts w:hint="eastAsia" w:ascii="宋体" w:hAnsi="宋体" w:eastAsia="宋体" w:cs="宋体"/>
          <w:szCs w:val="21"/>
          <w:highlight w:val="none"/>
        </w:rPr>
        <w:t>为准</w:t>
      </w:r>
      <w:r>
        <w:rPr>
          <w:rFonts w:hint="eastAsia" w:ascii="宋体" w:hAnsi="宋体" w:eastAsia="宋体" w:cs="宋体"/>
          <w:sz w:val="28"/>
          <w:szCs w:val="28"/>
          <w:highlight w:val="none"/>
        </w:rPr>
        <w:t>。</w:t>
      </w:r>
      <w:r>
        <w:rPr>
          <w:rFonts w:hint="eastAsia" w:ascii="宋体" w:hAnsi="宋体" w:eastAsia="宋体" w:cs="宋体"/>
          <w:sz w:val="28"/>
          <w:szCs w:val="28"/>
          <w:highlight w:val="none"/>
        </w:rPr>
        <w:tab/>
      </w:r>
      <w:r>
        <w:rPr>
          <w:rFonts w:hint="eastAsia" w:ascii="宋体" w:hAnsi="宋体" w:eastAsia="宋体" w:cs="宋体"/>
          <w:sz w:val="28"/>
          <w:szCs w:val="28"/>
          <w:highlight w:val="none"/>
        </w:rPr>
        <w:br w:type="page"/>
      </w:r>
      <w:bookmarkStart w:id="9" w:name="_Toc306265817"/>
      <w:bookmarkStart w:id="10" w:name="_Toc320302488"/>
      <w:bookmarkStart w:id="11" w:name="_Toc350863145"/>
      <w:bookmarkStart w:id="12" w:name="_Toc425747845"/>
      <w:bookmarkStart w:id="13" w:name="_Toc288035415"/>
      <w:bookmarkStart w:id="14" w:name="_Toc350511400"/>
      <w:r>
        <w:rPr>
          <w:rFonts w:hint="eastAsia" w:ascii="宋体" w:hAnsi="宋体" w:eastAsia="宋体" w:cs="宋体"/>
          <w:highlight w:val="none"/>
        </w:rPr>
        <w:t>附页1</w:t>
      </w:r>
      <w:bookmarkEnd w:id="9"/>
      <w:bookmarkEnd w:id="10"/>
      <w:bookmarkEnd w:id="11"/>
      <w:bookmarkEnd w:id="12"/>
      <w:bookmarkEnd w:id="13"/>
      <w:bookmarkEnd w:id="14"/>
    </w:p>
    <w:p w14:paraId="2062193A">
      <w:pPr>
        <w:spacing w:before="240" w:beforeLines="100" w:after="240" w:afterLines="100"/>
        <w:jc w:val="center"/>
        <w:rPr>
          <w:rFonts w:hint="eastAsia" w:ascii="宋体" w:hAnsi="宋体" w:eastAsia="宋体" w:cs="宋体"/>
          <w:b/>
          <w:sz w:val="36"/>
          <w:szCs w:val="36"/>
          <w:highlight w:val="none"/>
        </w:rPr>
      </w:pPr>
      <w:r>
        <w:rPr>
          <w:rFonts w:hint="eastAsia" w:ascii="宋体" w:hAnsi="宋体" w:eastAsia="宋体" w:cs="宋体"/>
          <w:b/>
          <w:sz w:val="36"/>
          <w:szCs w:val="36"/>
          <w:highlight w:val="none"/>
        </w:rPr>
        <w:t>投标疑问</w:t>
      </w:r>
    </w:p>
    <w:p w14:paraId="5D249852">
      <w:pPr>
        <w:snapToGrid w:val="0"/>
        <w:spacing w:line="360" w:lineRule="auto"/>
        <w:rPr>
          <w:rFonts w:hint="eastAsia" w:ascii="宋体" w:hAnsi="宋体" w:eastAsia="宋体" w:cs="宋体"/>
          <w:highlight w:val="none"/>
        </w:rPr>
      </w:pPr>
      <w:r>
        <w:rPr>
          <w:rFonts w:hint="eastAsia" w:ascii="宋体" w:hAnsi="宋体" w:eastAsia="宋体" w:cs="宋体"/>
          <w:highlight w:val="none"/>
        </w:rPr>
        <w:t>项目名称：</w:t>
      </w:r>
    </w:p>
    <w:p w14:paraId="2AAC62C5">
      <w:pPr>
        <w:snapToGrid w:val="0"/>
        <w:spacing w:line="360" w:lineRule="auto"/>
        <w:rPr>
          <w:rFonts w:hint="eastAsia" w:ascii="宋体" w:hAnsi="宋体" w:eastAsia="宋体" w:cs="宋体"/>
          <w:highlight w:val="none"/>
        </w:rPr>
      </w:pPr>
      <w:r>
        <w:rPr>
          <w:rFonts w:hint="eastAsia" w:ascii="宋体" w:hAnsi="宋体" w:eastAsia="宋体" w:cs="宋体"/>
          <w:highlight w:val="none"/>
        </w:rPr>
        <w:t>投标编号：</w:t>
      </w:r>
    </w:p>
    <w:tbl>
      <w:tblPr>
        <w:tblStyle w:val="36"/>
        <w:tblW w:w="9408" w:type="dxa"/>
        <w:tblInd w:w="108"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560"/>
        <w:gridCol w:w="7848"/>
      </w:tblGrid>
      <w:tr w14:paraId="4825254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23" w:hRule="atLeast"/>
        </w:trPr>
        <w:tc>
          <w:tcPr>
            <w:tcW w:w="1560" w:type="dxa"/>
            <w:vAlign w:val="center"/>
          </w:tcPr>
          <w:p w14:paraId="70C34477">
            <w:pPr>
              <w:snapToGrid w:val="0"/>
              <w:spacing w:line="360" w:lineRule="auto"/>
              <w:rPr>
                <w:rFonts w:hint="eastAsia" w:ascii="宋体" w:hAnsi="宋体" w:eastAsia="宋体" w:cs="宋体"/>
                <w:b/>
                <w:bCs/>
                <w:highlight w:val="none"/>
              </w:rPr>
            </w:pPr>
            <w:r>
              <w:rPr>
                <w:rFonts w:hint="eastAsia" w:ascii="宋体" w:hAnsi="宋体" w:eastAsia="宋体" w:cs="宋体"/>
                <w:b/>
                <w:bCs/>
                <w:highlight w:val="none"/>
              </w:rPr>
              <w:t>投标单位名称</w:t>
            </w:r>
          </w:p>
        </w:tc>
        <w:tc>
          <w:tcPr>
            <w:tcW w:w="7848" w:type="dxa"/>
            <w:vAlign w:val="center"/>
          </w:tcPr>
          <w:p w14:paraId="568FDEFB">
            <w:pPr>
              <w:snapToGrid w:val="0"/>
              <w:spacing w:line="360" w:lineRule="auto"/>
              <w:rPr>
                <w:rFonts w:hint="eastAsia" w:ascii="宋体" w:hAnsi="宋体" w:eastAsia="宋体" w:cs="宋体"/>
                <w:b/>
                <w:bCs/>
                <w:highlight w:val="none"/>
              </w:rPr>
            </w:pPr>
          </w:p>
        </w:tc>
      </w:tr>
      <w:tr w14:paraId="389B68C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168" w:hRule="atLeast"/>
        </w:trPr>
        <w:tc>
          <w:tcPr>
            <w:tcW w:w="9408" w:type="dxa"/>
            <w:gridSpan w:val="2"/>
          </w:tcPr>
          <w:p w14:paraId="2237BBBC">
            <w:pPr>
              <w:snapToGrid w:val="0"/>
              <w:spacing w:line="360" w:lineRule="auto"/>
              <w:rPr>
                <w:rFonts w:hint="eastAsia" w:ascii="宋体" w:hAnsi="宋体" w:eastAsia="宋体" w:cs="宋体"/>
                <w:b/>
                <w:bCs/>
                <w:highlight w:val="none"/>
              </w:rPr>
            </w:pPr>
          </w:p>
          <w:p w14:paraId="1CBAEBB3">
            <w:pPr>
              <w:rPr>
                <w:rFonts w:hint="eastAsia" w:ascii="宋体" w:hAnsi="宋体" w:eastAsia="宋体" w:cs="宋体"/>
                <w:highlight w:val="none"/>
              </w:rPr>
            </w:pPr>
          </w:p>
        </w:tc>
      </w:tr>
    </w:tbl>
    <w:p w14:paraId="61026B40">
      <w:pPr>
        <w:snapToGrid w:val="0"/>
        <w:spacing w:line="360" w:lineRule="auto"/>
        <w:jc w:val="right"/>
        <w:rPr>
          <w:rFonts w:hint="eastAsia" w:ascii="宋体" w:hAnsi="宋体" w:eastAsia="宋体" w:cs="宋体"/>
          <w:highlight w:val="none"/>
        </w:rPr>
      </w:pPr>
    </w:p>
    <w:p w14:paraId="42EB1DE0">
      <w:pPr>
        <w:wordWrap w:val="0"/>
        <w:snapToGrid w:val="0"/>
        <w:spacing w:line="360" w:lineRule="auto"/>
        <w:ind w:right="210"/>
        <w:jc w:val="right"/>
        <w:rPr>
          <w:rFonts w:hint="eastAsia" w:ascii="宋体" w:hAnsi="宋体" w:eastAsia="宋体" w:cs="宋体"/>
          <w:highlight w:val="none"/>
        </w:rPr>
      </w:pPr>
      <w:r>
        <w:rPr>
          <w:rFonts w:hint="eastAsia" w:ascii="宋体" w:hAnsi="宋体" w:eastAsia="宋体" w:cs="宋体"/>
          <w:highlight w:val="none"/>
        </w:rPr>
        <w:t>投标单位：（公章）</w:t>
      </w:r>
    </w:p>
    <w:p w14:paraId="5DD6CE5C">
      <w:pPr>
        <w:snapToGrid w:val="0"/>
        <w:spacing w:line="360" w:lineRule="auto"/>
        <w:jc w:val="right"/>
        <w:rPr>
          <w:rFonts w:hint="eastAsia" w:ascii="宋体" w:hAnsi="宋体" w:eastAsia="宋体" w:cs="宋体"/>
          <w:highlight w:val="none"/>
        </w:rPr>
      </w:pPr>
    </w:p>
    <w:p w14:paraId="78AAE0F4">
      <w:pPr>
        <w:pStyle w:val="20"/>
        <w:spacing w:line="300" w:lineRule="exact"/>
        <w:ind w:left="3780" w:leftChars="1800" w:right="420" w:firstLine="1213" w:firstLineChars="578"/>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                    日    期：                          </w:t>
      </w:r>
    </w:p>
    <w:p w14:paraId="35A38A4A">
      <w:pPr>
        <w:pStyle w:val="20"/>
        <w:spacing w:line="300" w:lineRule="exact"/>
        <w:ind w:left="5250"/>
        <w:jc w:val="center"/>
        <w:rPr>
          <w:rFonts w:hint="eastAsia" w:ascii="宋体" w:hAnsi="宋体" w:eastAsia="宋体" w:cs="宋体"/>
          <w:highlight w:val="none"/>
        </w:rPr>
      </w:pPr>
    </w:p>
    <w:p w14:paraId="0485AD14">
      <w:pPr>
        <w:spacing w:line="400" w:lineRule="exact"/>
        <w:rPr>
          <w:rFonts w:hint="eastAsia" w:ascii="宋体" w:hAnsi="宋体" w:eastAsia="宋体" w:cs="宋体"/>
          <w:kern w:val="0"/>
          <w:sz w:val="24"/>
          <w:szCs w:val="24"/>
          <w:highlight w:val="none"/>
        </w:rPr>
      </w:pPr>
      <w:r>
        <w:rPr>
          <w:rFonts w:hint="eastAsia" w:ascii="宋体" w:hAnsi="宋体" w:eastAsia="宋体" w:cs="宋体"/>
          <w:kern w:val="0"/>
          <w:szCs w:val="21"/>
          <w:highlight w:val="none"/>
        </w:rPr>
        <w:br w:type="page"/>
      </w:r>
      <w:r>
        <w:rPr>
          <w:rFonts w:hint="eastAsia" w:ascii="宋体" w:hAnsi="宋体" w:eastAsia="宋体" w:cs="宋体"/>
          <w:kern w:val="0"/>
          <w:sz w:val="24"/>
          <w:szCs w:val="24"/>
          <w:highlight w:val="none"/>
        </w:rPr>
        <w:t>1. 总则</w:t>
      </w:r>
    </w:p>
    <w:p w14:paraId="74C7E418">
      <w:pPr>
        <w:autoSpaceDE w:val="0"/>
        <w:autoSpaceDN w:val="0"/>
        <w:adjustRightInd w:val="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1.1 项目概况</w:t>
      </w:r>
    </w:p>
    <w:p w14:paraId="3EEEA4E8">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1.1.1</w:t>
      </w:r>
      <w:r>
        <w:rPr>
          <w:rFonts w:hint="eastAsia" w:ascii="宋体" w:hAnsi="宋体" w:eastAsia="宋体" w:cs="宋体"/>
          <w:sz w:val="24"/>
          <w:szCs w:val="24"/>
          <w:highlight w:val="none"/>
        </w:rPr>
        <w:t>根据《中华人民共和国政府采购法》等有关法律、法规和规章的规定，本招标项目已具备招标条件，</w:t>
      </w:r>
      <w:r>
        <w:rPr>
          <w:rFonts w:hint="eastAsia" w:ascii="宋体" w:hAnsi="宋体" w:eastAsia="宋体" w:cs="宋体"/>
          <w:kern w:val="0"/>
          <w:sz w:val="24"/>
          <w:szCs w:val="24"/>
          <w:highlight w:val="none"/>
        </w:rPr>
        <w:t>现对本项目进行招标。</w:t>
      </w:r>
    </w:p>
    <w:p w14:paraId="51CB5507">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1.1.2 本招标项目采购人：见</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须知前附表。</w:t>
      </w:r>
    </w:p>
    <w:p w14:paraId="23C225B2">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1.1.3 本招标项目采购代理机构：见</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须知前附表。</w:t>
      </w:r>
    </w:p>
    <w:p w14:paraId="0BBB594C">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1.1.4 本招标项目名称：见</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须知前附表。</w:t>
      </w:r>
    </w:p>
    <w:p w14:paraId="2510A713">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1.1.5 本招标项目供货地点：见</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须知前附表。</w:t>
      </w:r>
    </w:p>
    <w:p w14:paraId="66291B8B">
      <w:pPr>
        <w:autoSpaceDE w:val="0"/>
        <w:autoSpaceDN w:val="0"/>
        <w:adjustRightInd w:val="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1.2 资金来源、出资比例和资金落实情况</w:t>
      </w:r>
    </w:p>
    <w:p w14:paraId="23704EAF">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1.2.1 本招标项目的资金来源：见</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须知前附表。</w:t>
      </w:r>
    </w:p>
    <w:p w14:paraId="2D983994">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1.2.2 本招标项目的出资比例：见</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须知前附表。</w:t>
      </w:r>
    </w:p>
    <w:p w14:paraId="7E60692C">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1.2.3 本招标项目的资金落实情况：见</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须知前附表。</w:t>
      </w:r>
    </w:p>
    <w:p w14:paraId="70074554">
      <w:pPr>
        <w:autoSpaceDE w:val="0"/>
        <w:autoSpaceDN w:val="0"/>
        <w:adjustRightInd w:val="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1.3 采购需求、供货期限和质量标准</w:t>
      </w:r>
    </w:p>
    <w:p w14:paraId="6C9464F5">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1.3.1 本次招标项目的</w:t>
      </w:r>
      <w:r>
        <w:rPr>
          <w:rFonts w:hint="eastAsia" w:ascii="宋体" w:hAnsi="宋体" w:eastAsia="宋体" w:cs="宋体"/>
          <w:bCs/>
          <w:sz w:val="24"/>
          <w:szCs w:val="24"/>
          <w:highlight w:val="none"/>
        </w:rPr>
        <w:t>采购需求</w:t>
      </w:r>
      <w:r>
        <w:rPr>
          <w:rFonts w:hint="eastAsia" w:ascii="宋体" w:hAnsi="宋体" w:eastAsia="宋体" w:cs="宋体"/>
          <w:kern w:val="0"/>
          <w:sz w:val="24"/>
          <w:szCs w:val="24"/>
          <w:highlight w:val="none"/>
        </w:rPr>
        <w:t>：见</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须知前附表。</w:t>
      </w:r>
    </w:p>
    <w:p w14:paraId="665FF2FE">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1.3.2 本招标项目的供货期限：见</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须知前附表。</w:t>
      </w:r>
    </w:p>
    <w:p w14:paraId="378D9DF0">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1.3.3 本招标项目的</w:t>
      </w:r>
      <w:r>
        <w:rPr>
          <w:rFonts w:hint="eastAsia" w:ascii="宋体" w:hAnsi="宋体" w:eastAsia="宋体" w:cs="宋体"/>
          <w:bCs/>
          <w:sz w:val="24"/>
          <w:szCs w:val="24"/>
          <w:highlight w:val="none"/>
          <w:lang w:val="zh-CN"/>
        </w:rPr>
        <w:t>质量标准</w:t>
      </w:r>
      <w:r>
        <w:rPr>
          <w:rFonts w:hint="eastAsia" w:ascii="宋体" w:hAnsi="宋体" w:eastAsia="宋体" w:cs="宋体"/>
          <w:kern w:val="0"/>
          <w:sz w:val="24"/>
          <w:szCs w:val="24"/>
          <w:highlight w:val="none"/>
        </w:rPr>
        <w:t>：见</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须知前附表。</w:t>
      </w:r>
    </w:p>
    <w:p w14:paraId="60A06894">
      <w:pPr>
        <w:autoSpaceDE w:val="0"/>
        <w:autoSpaceDN w:val="0"/>
        <w:adjustRightInd w:val="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1.4 </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资格要求</w:t>
      </w:r>
    </w:p>
    <w:p w14:paraId="621F6F97">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1.4.1 </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应具备的资质条件、能力和信誉。</w:t>
      </w:r>
    </w:p>
    <w:p w14:paraId="3B553200">
      <w:pPr>
        <w:autoSpaceDE w:val="0"/>
        <w:autoSpaceDN w:val="0"/>
        <w:adjustRightInd w:val="0"/>
        <w:spacing w:line="300" w:lineRule="auto"/>
        <w:ind w:firstLine="960" w:firstLineChars="4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（1）资质条件：见</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须知前附表；</w:t>
      </w:r>
    </w:p>
    <w:p w14:paraId="3CEC292F">
      <w:pPr>
        <w:autoSpaceDE w:val="0"/>
        <w:autoSpaceDN w:val="0"/>
        <w:adjustRightInd w:val="0"/>
        <w:spacing w:line="300" w:lineRule="auto"/>
        <w:ind w:firstLine="960" w:firstLineChars="4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（2）财务要求：见</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须知前附表；</w:t>
      </w:r>
    </w:p>
    <w:p w14:paraId="4B66D4E9">
      <w:pPr>
        <w:autoSpaceDE w:val="0"/>
        <w:autoSpaceDN w:val="0"/>
        <w:adjustRightInd w:val="0"/>
        <w:spacing w:line="300" w:lineRule="auto"/>
        <w:ind w:firstLine="960" w:firstLineChars="4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（3）信誉要求：见</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须知前附表。</w:t>
      </w:r>
    </w:p>
    <w:p w14:paraId="614B3CD8">
      <w:pPr>
        <w:widowControl/>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（4）其他要求：见</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须知前附表。</w:t>
      </w:r>
    </w:p>
    <w:p w14:paraId="39987340">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1.4.2 不接受联合体投标。</w:t>
      </w:r>
    </w:p>
    <w:p w14:paraId="38201FB1">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1.4.3 </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不得存在下列情形之一：</w:t>
      </w:r>
    </w:p>
    <w:p w14:paraId="68111AF4">
      <w:pPr>
        <w:autoSpaceDE w:val="0"/>
        <w:autoSpaceDN w:val="0"/>
        <w:adjustRightInd w:val="0"/>
        <w:spacing w:line="300" w:lineRule="auto"/>
        <w:ind w:firstLine="960" w:firstLineChars="4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（1）为采购人不具有独立法人资格的附属机构（单位）；</w:t>
      </w:r>
    </w:p>
    <w:p w14:paraId="666BB023">
      <w:pPr>
        <w:autoSpaceDE w:val="0"/>
        <w:autoSpaceDN w:val="0"/>
        <w:adjustRightInd w:val="0"/>
        <w:spacing w:line="300" w:lineRule="auto"/>
        <w:ind w:firstLine="960" w:firstLineChars="4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（2）被责令停业的；</w:t>
      </w:r>
    </w:p>
    <w:p w14:paraId="479C42A5">
      <w:pPr>
        <w:autoSpaceDE w:val="0"/>
        <w:autoSpaceDN w:val="0"/>
        <w:adjustRightInd w:val="0"/>
        <w:spacing w:line="300" w:lineRule="auto"/>
        <w:ind w:firstLine="960" w:firstLineChars="4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（3）被暂停或取消投标资格的；</w:t>
      </w:r>
    </w:p>
    <w:p w14:paraId="2CE9D59F">
      <w:pPr>
        <w:autoSpaceDE w:val="0"/>
        <w:autoSpaceDN w:val="0"/>
        <w:adjustRightInd w:val="0"/>
        <w:spacing w:line="300" w:lineRule="auto"/>
        <w:ind w:firstLine="960" w:firstLineChars="4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（4）财产被接管或冻结的；</w:t>
      </w:r>
    </w:p>
    <w:p w14:paraId="501F9054">
      <w:pPr>
        <w:autoSpaceDE w:val="0"/>
        <w:autoSpaceDN w:val="0"/>
        <w:adjustRightInd w:val="0"/>
        <w:spacing w:line="300" w:lineRule="auto"/>
        <w:ind w:firstLine="960" w:firstLineChars="4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（5）在最近三年内有骗取中标或严重违约或重大质量问题的。</w:t>
      </w:r>
    </w:p>
    <w:p w14:paraId="2FE550AF">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1.4.4 单位负责人为同一人或者存在控股、管理关系的不同</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，不得参加同一合同项下的政府采购活动。</w:t>
      </w:r>
    </w:p>
    <w:p w14:paraId="7FCCCF86">
      <w:pPr>
        <w:autoSpaceDE w:val="0"/>
        <w:autoSpaceDN w:val="0"/>
        <w:adjustRightInd w:val="0"/>
        <w:spacing w:line="300" w:lineRule="auto"/>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1.5 费用承担</w:t>
      </w:r>
    </w:p>
    <w:p w14:paraId="3370CEF8">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准备和参加投标活动发生的费用自理。</w:t>
      </w:r>
    </w:p>
    <w:p w14:paraId="6CB77FC4">
      <w:pPr>
        <w:autoSpaceDE w:val="0"/>
        <w:autoSpaceDN w:val="0"/>
        <w:adjustRightInd w:val="0"/>
        <w:spacing w:line="300" w:lineRule="auto"/>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1.6 保密</w:t>
      </w:r>
    </w:p>
    <w:p w14:paraId="74E35E82">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参与招标投标活动的各方应对</w:t>
      </w:r>
      <w:r>
        <w:rPr>
          <w:rFonts w:hint="eastAsia" w:ascii="宋体" w:hAnsi="宋体" w:cs="宋体"/>
          <w:kern w:val="0"/>
          <w:sz w:val="24"/>
          <w:szCs w:val="24"/>
          <w:highlight w:val="none"/>
          <w:lang w:eastAsia="zh-CN"/>
        </w:rPr>
        <w:t>采购文件</w:t>
      </w:r>
      <w:r>
        <w:rPr>
          <w:rFonts w:hint="eastAsia" w:ascii="宋体" w:hAnsi="宋体" w:eastAsia="宋体" w:cs="宋体"/>
          <w:kern w:val="0"/>
          <w:sz w:val="24"/>
          <w:szCs w:val="24"/>
          <w:highlight w:val="none"/>
        </w:rPr>
        <w:t>和投标文件中的商业和技术等秘密保密，违者应对由此造成的后果承担法律责任。</w:t>
      </w:r>
    </w:p>
    <w:p w14:paraId="156C356A">
      <w:pPr>
        <w:autoSpaceDE w:val="0"/>
        <w:autoSpaceDN w:val="0"/>
        <w:adjustRightInd w:val="0"/>
        <w:spacing w:line="300" w:lineRule="auto"/>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1.7 语言文字</w:t>
      </w:r>
    </w:p>
    <w:p w14:paraId="28A348BF">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除专用术语外，与招标投标有关的语言均使用中文。必要时专用术语应附有中文注释。</w:t>
      </w:r>
    </w:p>
    <w:p w14:paraId="4EF2F290">
      <w:pPr>
        <w:autoSpaceDE w:val="0"/>
        <w:autoSpaceDN w:val="0"/>
        <w:adjustRightInd w:val="0"/>
        <w:spacing w:line="300" w:lineRule="auto"/>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1.8 计量单位</w:t>
      </w:r>
    </w:p>
    <w:p w14:paraId="3E1E1636">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所有计量均采用中华人民共和国法定计量单位。</w:t>
      </w:r>
    </w:p>
    <w:p w14:paraId="13C8F954">
      <w:pPr>
        <w:autoSpaceDE w:val="0"/>
        <w:autoSpaceDN w:val="0"/>
        <w:adjustRightInd w:val="0"/>
        <w:spacing w:line="300" w:lineRule="auto"/>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1.9 踏勘现场</w:t>
      </w:r>
    </w:p>
    <w:p w14:paraId="3F9F64CB">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不组织。</w:t>
      </w:r>
    </w:p>
    <w:p w14:paraId="7EDF04DD">
      <w:pPr>
        <w:autoSpaceDE w:val="0"/>
        <w:autoSpaceDN w:val="0"/>
        <w:adjustRightInd w:val="0"/>
        <w:spacing w:line="300" w:lineRule="auto"/>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1.10 投标答疑会</w:t>
      </w:r>
    </w:p>
    <w:p w14:paraId="4235EFFF">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1.10.1 不召开答疑会。</w:t>
      </w:r>
    </w:p>
    <w:p w14:paraId="42A9A761">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1.10.2 </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应在</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须知前附表规定的时间前，以书面形式将提出的问题送达采购人，以便采购人在会议期间澄清。</w:t>
      </w:r>
    </w:p>
    <w:p w14:paraId="333559DC">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1.10.3 采购人在</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须知前附表规定的时间内，将对</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所提问题的澄清，以书面方式通知所有购买</w:t>
      </w:r>
      <w:r>
        <w:rPr>
          <w:rFonts w:hint="eastAsia" w:ascii="宋体" w:hAnsi="宋体" w:cs="宋体"/>
          <w:kern w:val="0"/>
          <w:sz w:val="24"/>
          <w:szCs w:val="24"/>
          <w:highlight w:val="none"/>
          <w:lang w:eastAsia="zh-CN"/>
        </w:rPr>
        <w:t>采购文件</w:t>
      </w:r>
      <w:r>
        <w:rPr>
          <w:rFonts w:hint="eastAsia" w:ascii="宋体" w:hAnsi="宋体" w:eastAsia="宋体" w:cs="宋体"/>
          <w:kern w:val="0"/>
          <w:sz w:val="24"/>
          <w:szCs w:val="24"/>
          <w:highlight w:val="none"/>
        </w:rPr>
        <w:t>的</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。该澄清内容为</w:t>
      </w:r>
      <w:r>
        <w:rPr>
          <w:rFonts w:hint="eastAsia" w:ascii="宋体" w:hAnsi="宋体" w:cs="宋体"/>
          <w:kern w:val="0"/>
          <w:sz w:val="24"/>
          <w:szCs w:val="24"/>
          <w:highlight w:val="none"/>
          <w:lang w:eastAsia="zh-CN"/>
        </w:rPr>
        <w:t>采购文件</w:t>
      </w:r>
      <w:r>
        <w:rPr>
          <w:rFonts w:hint="eastAsia" w:ascii="宋体" w:hAnsi="宋体" w:eastAsia="宋体" w:cs="宋体"/>
          <w:kern w:val="0"/>
          <w:sz w:val="24"/>
          <w:szCs w:val="24"/>
          <w:highlight w:val="none"/>
        </w:rPr>
        <w:t>的组成部分。</w:t>
      </w:r>
    </w:p>
    <w:p w14:paraId="418838DD">
      <w:pPr>
        <w:autoSpaceDE w:val="0"/>
        <w:autoSpaceDN w:val="0"/>
        <w:adjustRightInd w:val="0"/>
        <w:spacing w:line="300" w:lineRule="auto"/>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1.11</w:t>
      </w:r>
      <w:r>
        <w:rPr>
          <w:rFonts w:hint="eastAsia" w:ascii="宋体" w:hAnsi="宋体" w:eastAsia="宋体" w:cs="宋体"/>
          <w:sz w:val="24"/>
          <w:szCs w:val="24"/>
          <w:highlight w:val="none"/>
        </w:rPr>
        <w:t>分包、转包</w:t>
      </w:r>
    </w:p>
    <w:p w14:paraId="24911335">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不允许。</w:t>
      </w:r>
    </w:p>
    <w:p w14:paraId="71F3487F">
      <w:pPr>
        <w:autoSpaceDE w:val="0"/>
        <w:autoSpaceDN w:val="0"/>
        <w:adjustRightInd w:val="0"/>
        <w:spacing w:line="300" w:lineRule="auto"/>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1.12偏离</w:t>
      </w:r>
    </w:p>
    <w:p w14:paraId="76038CB5">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本项目不接受负偏离，接受正偏离。（负偏离将导致否决其投标）*指标，代表最关键指标，不满足该指标项将导致投标被拒绝。</w:t>
      </w:r>
    </w:p>
    <w:p w14:paraId="513DCDE1">
      <w:pPr>
        <w:autoSpaceDE w:val="0"/>
        <w:autoSpaceDN w:val="0"/>
        <w:adjustRightInd w:val="0"/>
        <w:spacing w:line="300" w:lineRule="auto"/>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2. </w:t>
      </w:r>
      <w:r>
        <w:rPr>
          <w:rFonts w:hint="eastAsia" w:ascii="宋体" w:hAnsi="宋体" w:cs="宋体"/>
          <w:kern w:val="0"/>
          <w:sz w:val="24"/>
          <w:szCs w:val="24"/>
          <w:highlight w:val="none"/>
          <w:lang w:eastAsia="zh-CN"/>
        </w:rPr>
        <w:t>采购文件</w:t>
      </w:r>
      <w:r>
        <w:rPr>
          <w:rFonts w:hint="eastAsia" w:ascii="宋体" w:hAnsi="宋体" w:eastAsia="宋体" w:cs="宋体"/>
          <w:kern w:val="0"/>
          <w:sz w:val="24"/>
          <w:szCs w:val="24"/>
          <w:highlight w:val="none"/>
        </w:rPr>
        <w:t xml:space="preserve">2.1 </w:t>
      </w:r>
      <w:r>
        <w:rPr>
          <w:rFonts w:hint="eastAsia" w:ascii="宋体" w:hAnsi="宋体" w:cs="宋体"/>
          <w:kern w:val="0"/>
          <w:sz w:val="24"/>
          <w:szCs w:val="24"/>
          <w:highlight w:val="none"/>
          <w:lang w:eastAsia="zh-CN"/>
        </w:rPr>
        <w:t>采购文件</w:t>
      </w:r>
      <w:r>
        <w:rPr>
          <w:rFonts w:hint="eastAsia" w:ascii="宋体" w:hAnsi="宋体" w:eastAsia="宋体" w:cs="宋体"/>
          <w:kern w:val="0"/>
          <w:sz w:val="24"/>
          <w:szCs w:val="24"/>
          <w:highlight w:val="none"/>
        </w:rPr>
        <w:t>的组成</w:t>
      </w:r>
    </w:p>
    <w:p w14:paraId="792D3E62">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本</w:t>
      </w:r>
      <w:r>
        <w:rPr>
          <w:rFonts w:hint="eastAsia" w:ascii="宋体" w:hAnsi="宋体" w:cs="宋体"/>
          <w:kern w:val="0"/>
          <w:sz w:val="24"/>
          <w:szCs w:val="24"/>
          <w:highlight w:val="none"/>
          <w:lang w:eastAsia="zh-CN"/>
        </w:rPr>
        <w:t>采购文件</w:t>
      </w:r>
      <w:r>
        <w:rPr>
          <w:rFonts w:hint="eastAsia" w:ascii="宋体" w:hAnsi="宋体" w:eastAsia="宋体" w:cs="宋体"/>
          <w:kern w:val="0"/>
          <w:sz w:val="24"/>
          <w:szCs w:val="24"/>
          <w:highlight w:val="none"/>
        </w:rPr>
        <w:t>包括：</w:t>
      </w:r>
    </w:p>
    <w:p w14:paraId="1C3F7FB0">
      <w:pPr>
        <w:spacing w:line="384"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第一章  招标公告</w:t>
      </w:r>
    </w:p>
    <w:p w14:paraId="13A2F7B4">
      <w:pPr>
        <w:spacing w:line="384"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第二章  </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须知</w:t>
      </w:r>
    </w:p>
    <w:p w14:paraId="0A6460F1">
      <w:pPr>
        <w:spacing w:line="384"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第三章  评标办法</w:t>
      </w:r>
    </w:p>
    <w:p w14:paraId="4AD5CE1E">
      <w:pPr>
        <w:spacing w:line="384"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第四章  合同条款及格式</w:t>
      </w:r>
    </w:p>
    <w:p w14:paraId="4FB8348E">
      <w:pPr>
        <w:spacing w:line="384"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第五章  技术参数</w:t>
      </w:r>
    </w:p>
    <w:p w14:paraId="31CD1DE0">
      <w:pPr>
        <w:spacing w:line="384"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第六章  投标文件格式</w:t>
      </w:r>
    </w:p>
    <w:p w14:paraId="5003A442">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根据本章第1.9款、第2.2 款和第2.3 款对</w:t>
      </w:r>
      <w:r>
        <w:rPr>
          <w:rFonts w:hint="eastAsia" w:ascii="宋体" w:hAnsi="宋体" w:cs="宋体"/>
          <w:kern w:val="0"/>
          <w:sz w:val="24"/>
          <w:szCs w:val="24"/>
          <w:highlight w:val="none"/>
          <w:lang w:eastAsia="zh-CN"/>
        </w:rPr>
        <w:t>采购文件</w:t>
      </w:r>
      <w:r>
        <w:rPr>
          <w:rFonts w:hint="eastAsia" w:ascii="宋体" w:hAnsi="宋体" w:eastAsia="宋体" w:cs="宋体"/>
          <w:kern w:val="0"/>
          <w:sz w:val="24"/>
          <w:szCs w:val="24"/>
          <w:highlight w:val="none"/>
        </w:rPr>
        <w:t>所作的澄清、修改，构成</w:t>
      </w:r>
      <w:r>
        <w:rPr>
          <w:rFonts w:hint="eastAsia" w:ascii="宋体" w:hAnsi="宋体" w:cs="宋体"/>
          <w:kern w:val="0"/>
          <w:sz w:val="24"/>
          <w:szCs w:val="24"/>
          <w:highlight w:val="none"/>
          <w:lang w:eastAsia="zh-CN"/>
        </w:rPr>
        <w:t>采购文件</w:t>
      </w:r>
      <w:r>
        <w:rPr>
          <w:rFonts w:hint="eastAsia" w:ascii="宋体" w:hAnsi="宋体" w:eastAsia="宋体" w:cs="宋体"/>
          <w:kern w:val="0"/>
          <w:sz w:val="24"/>
          <w:szCs w:val="24"/>
          <w:highlight w:val="none"/>
        </w:rPr>
        <w:t>的组成部分。</w:t>
      </w:r>
    </w:p>
    <w:p w14:paraId="75A488B3">
      <w:pPr>
        <w:autoSpaceDE w:val="0"/>
        <w:autoSpaceDN w:val="0"/>
        <w:adjustRightInd w:val="0"/>
        <w:spacing w:line="300" w:lineRule="auto"/>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2.2 </w:t>
      </w:r>
      <w:r>
        <w:rPr>
          <w:rFonts w:hint="eastAsia" w:ascii="宋体" w:hAnsi="宋体" w:cs="宋体"/>
          <w:kern w:val="0"/>
          <w:sz w:val="24"/>
          <w:szCs w:val="24"/>
          <w:highlight w:val="none"/>
          <w:lang w:eastAsia="zh-CN"/>
        </w:rPr>
        <w:t>采购文件</w:t>
      </w:r>
      <w:r>
        <w:rPr>
          <w:rFonts w:hint="eastAsia" w:ascii="宋体" w:hAnsi="宋体" w:eastAsia="宋体" w:cs="宋体"/>
          <w:kern w:val="0"/>
          <w:sz w:val="24"/>
          <w:szCs w:val="24"/>
          <w:highlight w:val="none"/>
        </w:rPr>
        <w:t>的澄清</w:t>
      </w:r>
    </w:p>
    <w:p w14:paraId="22380024">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2.2.1 </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应仔细阅读和检查</w:t>
      </w:r>
      <w:r>
        <w:rPr>
          <w:rFonts w:hint="eastAsia" w:ascii="宋体" w:hAnsi="宋体" w:cs="宋体"/>
          <w:kern w:val="0"/>
          <w:sz w:val="24"/>
          <w:szCs w:val="24"/>
          <w:highlight w:val="none"/>
          <w:lang w:eastAsia="zh-CN"/>
        </w:rPr>
        <w:t>采购文件</w:t>
      </w:r>
      <w:r>
        <w:rPr>
          <w:rFonts w:hint="eastAsia" w:ascii="宋体" w:hAnsi="宋体" w:eastAsia="宋体" w:cs="宋体"/>
          <w:kern w:val="0"/>
          <w:sz w:val="24"/>
          <w:szCs w:val="24"/>
          <w:highlight w:val="none"/>
        </w:rPr>
        <w:t>的全部内容。如发现缺页或附件不全，应及时向采购人提出，以便补齐。如有疑问，应在</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须知前附表规定的时间前以书面形式（包括信函、电报、传真等可以有形地表现所载内容的形式，下同），要求采购人对</w:t>
      </w:r>
      <w:r>
        <w:rPr>
          <w:rFonts w:hint="eastAsia" w:ascii="宋体" w:hAnsi="宋体" w:cs="宋体"/>
          <w:kern w:val="0"/>
          <w:sz w:val="24"/>
          <w:szCs w:val="24"/>
          <w:highlight w:val="none"/>
          <w:lang w:eastAsia="zh-CN"/>
        </w:rPr>
        <w:t>采购文件</w:t>
      </w:r>
      <w:r>
        <w:rPr>
          <w:rFonts w:hint="eastAsia" w:ascii="宋体" w:hAnsi="宋体" w:eastAsia="宋体" w:cs="宋体"/>
          <w:kern w:val="0"/>
          <w:sz w:val="24"/>
          <w:szCs w:val="24"/>
          <w:highlight w:val="none"/>
        </w:rPr>
        <w:t>予以澄清。</w:t>
      </w:r>
    </w:p>
    <w:p w14:paraId="042E4CC4">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2.2.2 </w:t>
      </w:r>
      <w:r>
        <w:rPr>
          <w:rFonts w:hint="eastAsia" w:ascii="宋体" w:hAnsi="宋体" w:cs="宋体"/>
          <w:kern w:val="0"/>
          <w:sz w:val="24"/>
          <w:szCs w:val="24"/>
          <w:highlight w:val="none"/>
          <w:lang w:eastAsia="zh-CN"/>
        </w:rPr>
        <w:t>采购文件</w:t>
      </w:r>
      <w:r>
        <w:rPr>
          <w:rFonts w:hint="eastAsia" w:ascii="宋体" w:hAnsi="宋体" w:eastAsia="宋体" w:cs="宋体"/>
          <w:kern w:val="0"/>
          <w:sz w:val="24"/>
          <w:szCs w:val="24"/>
          <w:highlight w:val="none"/>
        </w:rPr>
        <w:t>的澄清将在</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须知前附表规定的投标截止时间15天前以书面形式发给所有购买</w:t>
      </w:r>
      <w:r>
        <w:rPr>
          <w:rFonts w:hint="eastAsia" w:ascii="宋体" w:hAnsi="宋体" w:cs="宋体"/>
          <w:kern w:val="0"/>
          <w:sz w:val="24"/>
          <w:szCs w:val="24"/>
          <w:highlight w:val="none"/>
          <w:lang w:eastAsia="zh-CN"/>
        </w:rPr>
        <w:t>采购文件</w:t>
      </w:r>
      <w:r>
        <w:rPr>
          <w:rFonts w:hint="eastAsia" w:ascii="宋体" w:hAnsi="宋体" w:eastAsia="宋体" w:cs="宋体"/>
          <w:kern w:val="0"/>
          <w:sz w:val="24"/>
          <w:szCs w:val="24"/>
          <w:highlight w:val="none"/>
        </w:rPr>
        <w:t>的</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，但不指明澄清问题的来源。如果澄清发出的时间距投标截止时间不足15天，且澄清的内容影响投标文件编制的，相应延长投标截止时间。</w:t>
      </w:r>
    </w:p>
    <w:p w14:paraId="255B492F">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2.2.3 </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在收到澄清后，应在</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须知前附表规定的时间内以书面形式通知采购人，确认已收到该澄清。</w:t>
      </w:r>
    </w:p>
    <w:p w14:paraId="1A80AD39">
      <w:pPr>
        <w:autoSpaceDE w:val="0"/>
        <w:autoSpaceDN w:val="0"/>
        <w:adjustRightInd w:val="0"/>
        <w:spacing w:line="300" w:lineRule="auto"/>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2.3 </w:t>
      </w:r>
      <w:r>
        <w:rPr>
          <w:rFonts w:hint="eastAsia" w:ascii="宋体" w:hAnsi="宋体" w:cs="宋体"/>
          <w:kern w:val="0"/>
          <w:sz w:val="24"/>
          <w:szCs w:val="24"/>
          <w:highlight w:val="none"/>
          <w:lang w:eastAsia="zh-CN"/>
        </w:rPr>
        <w:t>采购文件</w:t>
      </w:r>
      <w:r>
        <w:rPr>
          <w:rFonts w:hint="eastAsia" w:ascii="宋体" w:hAnsi="宋体" w:eastAsia="宋体" w:cs="宋体"/>
          <w:kern w:val="0"/>
          <w:sz w:val="24"/>
          <w:szCs w:val="24"/>
          <w:highlight w:val="none"/>
        </w:rPr>
        <w:t>的修改</w:t>
      </w:r>
    </w:p>
    <w:p w14:paraId="58570486">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2.3.1 在投标截止时间前，采购人可以书面形式修改</w:t>
      </w:r>
      <w:r>
        <w:rPr>
          <w:rFonts w:hint="eastAsia" w:ascii="宋体" w:hAnsi="宋体" w:cs="宋体"/>
          <w:kern w:val="0"/>
          <w:sz w:val="24"/>
          <w:szCs w:val="24"/>
          <w:highlight w:val="none"/>
          <w:lang w:eastAsia="zh-CN"/>
        </w:rPr>
        <w:t>采购文件</w:t>
      </w:r>
      <w:r>
        <w:rPr>
          <w:rFonts w:hint="eastAsia" w:ascii="宋体" w:hAnsi="宋体" w:eastAsia="宋体" w:cs="宋体"/>
          <w:kern w:val="0"/>
          <w:sz w:val="24"/>
          <w:szCs w:val="24"/>
          <w:highlight w:val="none"/>
        </w:rPr>
        <w:t>，并通知所有已购买</w:t>
      </w:r>
      <w:r>
        <w:rPr>
          <w:rFonts w:hint="eastAsia" w:ascii="宋体" w:hAnsi="宋体" w:cs="宋体"/>
          <w:kern w:val="0"/>
          <w:sz w:val="24"/>
          <w:szCs w:val="24"/>
          <w:highlight w:val="none"/>
          <w:lang w:eastAsia="zh-CN"/>
        </w:rPr>
        <w:t>采购文件</w:t>
      </w:r>
      <w:r>
        <w:rPr>
          <w:rFonts w:hint="eastAsia" w:ascii="宋体" w:hAnsi="宋体" w:eastAsia="宋体" w:cs="宋体"/>
          <w:kern w:val="0"/>
          <w:sz w:val="24"/>
          <w:szCs w:val="24"/>
          <w:highlight w:val="none"/>
        </w:rPr>
        <w:t>的</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。如果修改</w:t>
      </w:r>
      <w:r>
        <w:rPr>
          <w:rFonts w:hint="eastAsia" w:ascii="宋体" w:hAnsi="宋体" w:cs="宋体"/>
          <w:kern w:val="0"/>
          <w:sz w:val="24"/>
          <w:szCs w:val="24"/>
          <w:highlight w:val="none"/>
          <w:lang w:eastAsia="zh-CN"/>
        </w:rPr>
        <w:t>采购文件</w:t>
      </w:r>
      <w:r>
        <w:rPr>
          <w:rFonts w:hint="eastAsia" w:ascii="宋体" w:hAnsi="宋体" w:eastAsia="宋体" w:cs="宋体"/>
          <w:kern w:val="0"/>
          <w:sz w:val="24"/>
          <w:szCs w:val="24"/>
          <w:highlight w:val="none"/>
        </w:rPr>
        <w:t>的时间距投标截止时间不足15天，且修改的内容影响投标文件编制的，相应延长投标截止时间。</w:t>
      </w:r>
    </w:p>
    <w:p w14:paraId="40052596">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2.3.2 </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收到修改内容后，应在</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须知前附表规定的时间内以书面形式通知采购人，确认已收到该修改。</w:t>
      </w:r>
    </w:p>
    <w:p w14:paraId="300E86FD">
      <w:pPr>
        <w:autoSpaceDE w:val="0"/>
        <w:autoSpaceDN w:val="0"/>
        <w:adjustRightInd w:val="0"/>
        <w:spacing w:line="300" w:lineRule="auto"/>
        <w:jc w:val="left"/>
        <w:rPr>
          <w:rFonts w:hint="eastAsia" w:ascii="宋体" w:hAnsi="宋体" w:eastAsia="宋体" w:cs="宋体"/>
          <w:b/>
          <w:kern w:val="0"/>
          <w:sz w:val="24"/>
          <w:szCs w:val="24"/>
          <w:highlight w:val="none"/>
        </w:rPr>
      </w:pPr>
      <w:r>
        <w:rPr>
          <w:rFonts w:hint="eastAsia" w:ascii="宋体" w:hAnsi="宋体" w:eastAsia="宋体" w:cs="宋体"/>
          <w:b/>
          <w:kern w:val="0"/>
          <w:sz w:val="24"/>
          <w:szCs w:val="24"/>
          <w:highlight w:val="none"/>
        </w:rPr>
        <w:t>3. 投标文件</w:t>
      </w:r>
    </w:p>
    <w:p w14:paraId="39C34ECA">
      <w:pPr>
        <w:autoSpaceDE w:val="0"/>
        <w:autoSpaceDN w:val="0"/>
        <w:adjustRightInd w:val="0"/>
        <w:spacing w:line="300" w:lineRule="auto"/>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3.1 投标文件的组成</w:t>
      </w:r>
    </w:p>
    <w:p w14:paraId="5A6DCD0E">
      <w:pPr>
        <w:adjustRightInd w:val="0"/>
        <w:snapToGrid w:val="0"/>
        <w:spacing w:line="360" w:lineRule="auto"/>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投标文件应包括下列内容：</w:t>
      </w:r>
    </w:p>
    <w:p w14:paraId="252A4D0E">
      <w:pPr>
        <w:adjustRightInd w:val="0"/>
        <w:snapToGrid w:val="0"/>
        <w:spacing w:line="360" w:lineRule="auto"/>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w:t>
      </w:r>
      <w:r>
        <w:rPr>
          <w:rFonts w:hint="eastAsia" w:ascii="宋体" w:hAnsi="宋体" w:eastAsia="宋体" w:cs="宋体"/>
          <w:sz w:val="24"/>
          <w:szCs w:val="24"/>
          <w:highlight w:val="none"/>
        </w:rPr>
        <w:t xml:space="preserve"> 投标函及投标函附录</w:t>
      </w:r>
    </w:p>
    <w:p w14:paraId="2ECEDAE8">
      <w:pPr>
        <w:adjustRightInd w:val="0"/>
        <w:snapToGrid w:val="0"/>
        <w:spacing w:line="360" w:lineRule="auto"/>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(2) 开标一览表</w:t>
      </w:r>
    </w:p>
    <w:p w14:paraId="32E00644">
      <w:pPr>
        <w:adjustRightInd w:val="0"/>
        <w:snapToGrid w:val="0"/>
        <w:spacing w:line="360" w:lineRule="auto"/>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w:t>
      </w:r>
      <w:r>
        <w:rPr>
          <w:rFonts w:hint="eastAsia" w:ascii="宋体" w:hAnsi="宋体" w:eastAsia="宋体" w:cs="宋体"/>
          <w:sz w:val="24"/>
          <w:szCs w:val="24"/>
          <w:highlight w:val="none"/>
        </w:rPr>
        <w:t xml:space="preserve"> 法定代表人身份证明或附有法定代表人身份证明的授权委托书</w:t>
      </w:r>
    </w:p>
    <w:p w14:paraId="2A699504">
      <w:pPr>
        <w:adjustRightInd w:val="0"/>
        <w:snapToGrid w:val="0"/>
        <w:spacing w:line="360" w:lineRule="auto"/>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w:t>
      </w:r>
      <w:r>
        <w:rPr>
          <w:rFonts w:hint="eastAsia" w:ascii="宋体" w:hAnsi="宋体" w:cs="宋体"/>
          <w:kern w:val="0"/>
          <w:sz w:val="24"/>
          <w:szCs w:val="24"/>
          <w:highlight w:val="none"/>
          <w:lang w:val="en-US" w:eastAsia="zh-CN"/>
        </w:rPr>
        <w:t>4</w:t>
      </w:r>
      <w:r>
        <w:rPr>
          <w:rFonts w:hint="eastAsia" w:ascii="宋体" w:hAnsi="宋体" w:eastAsia="宋体" w:cs="宋体"/>
          <w:kern w:val="0"/>
          <w:sz w:val="24"/>
          <w:szCs w:val="24"/>
          <w:highlight w:val="none"/>
        </w:rPr>
        <w:t>) 投标报价明细表</w:t>
      </w:r>
    </w:p>
    <w:p w14:paraId="4BFD28B6">
      <w:pPr>
        <w:adjustRightInd w:val="0"/>
        <w:snapToGrid w:val="0"/>
        <w:spacing w:line="360" w:lineRule="auto"/>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w:t>
      </w:r>
      <w:r>
        <w:rPr>
          <w:rFonts w:hint="eastAsia" w:ascii="宋体" w:hAnsi="宋体" w:cs="宋体"/>
          <w:kern w:val="0"/>
          <w:sz w:val="24"/>
          <w:szCs w:val="24"/>
          <w:highlight w:val="none"/>
          <w:lang w:val="en-US" w:eastAsia="zh-CN"/>
        </w:rPr>
        <w:t>5</w:t>
      </w:r>
      <w:r>
        <w:rPr>
          <w:rFonts w:hint="eastAsia" w:ascii="宋体" w:hAnsi="宋体" w:eastAsia="宋体" w:cs="宋体"/>
          <w:kern w:val="0"/>
          <w:sz w:val="24"/>
          <w:szCs w:val="24"/>
          <w:highlight w:val="none"/>
        </w:rPr>
        <w:t>) 商务偏离表</w:t>
      </w:r>
    </w:p>
    <w:p w14:paraId="6F06646A">
      <w:pPr>
        <w:pStyle w:val="15"/>
        <w:rPr>
          <w:rFonts w:hint="default" w:eastAsia="宋体"/>
          <w:lang w:val="en-US" w:eastAsia="zh-CN"/>
        </w:rPr>
      </w:pPr>
      <w:r>
        <w:rPr>
          <w:rFonts w:hint="eastAsia" w:ascii="宋体" w:hAnsi="宋体" w:cs="宋体"/>
          <w:kern w:val="0"/>
          <w:sz w:val="24"/>
          <w:szCs w:val="24"/>
          <w:highlight w:val="none"/>
          <w:lang w:val="en-US" w:eastAsia="zh-CN"/>
        </w:rPr>
        <w:t xml:space="preserve">   （6）</w:t>
      </w:r>
      <w:r>
        <w:rPr>
          <w:rFonts w:hint="eastAsia" w:ascii="宋体" w:hAnsi="宋体" w:cs="宋体"/>
          <w:kern w:val="0"/>
          <w:sz w:val="24"/>
          <w:szCs w:val="24"/>
          <w:highlight w:val="none"/>
          <w:lang w:eastAsia="zh-CN"/>
        </w:rPr>
        <w:t>技术</w:t>
      </w:r>
      <w:r>
        <w:rPr>
          <w:rFonts w:hint="eastAsia" w:ascii="宋体" w:hAnsi="宋体" w:eastAsia="宋体" w:cs="宋体"/>
          <w:kern w:val="0"/>
          <w:sz w:val="24"/>
          <w:szCs w:val="24"/>
          <w:highlight w:val="none"/>
        </w:rPr>
        <w:t>偏离表</w:t>
      </w:r>
    </w:p>
    <w:p w14:paraId="2C04C512">
      <w:pPr>
        <w:adjustRightInd w:val="0"/>
        <w:snapToGrid w:val="0"/>
        <w:spacing w:line="360" w:lineRule="auto"/>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w:t>
      </w:r>
      <w:r>
        <w:rPr>
          <w:rFonts w:hint="eastAsia" w:ascii="宋体" w:hAnsi="宋体" w:cs="宋体"/>
          <w:kern w:val="0"/>
          <w:sz w:val="24"/>
          <w:szCs w:val="24"/>
          <w:highlight w:val="none"/>
          <w:lang w:val="en-US" w:eastAsia="zh-CN"/>
        </w:rPr>
        <w:t>7</w:t>
      </w:r>
      <w:r>
        <w:rPr>
          <w:rFonts w:hint="eastAsia" w:ascii="宋体" w:hAnsi="宋体" w:eastAsia="宋体" w:cs="宋体"/>
          <w:kern w:val="0"/>
          <w:sz w:val="24"/>
          <w:szCs w:val="24"/>
          <w:highlight w:val="none"/>
        </w:rPr>
        <w:t>) 技术部分</w:t>
      </w:r>
    </w:p>
    <w:p w14:paraId="21EEF60D">
      <w:pPr>
        <w:adjustRightInd w:val="0"/>
        <w:snapToGrid w:val="0"/>
        <w:spacing w:line="360" w:lineRule="auto"/>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w:t>
      </w:r>
      <w:r>
        <w:rPr>
          <w:rFonts w:hint="eastAsia" w:ascii="宋体" w:hAnsi="宋体" w:cs="宋体"/>
          <w:kern w:val="0"/>
          <w:sz w:val="24"/>
          <w:szCs w:val="24"/>
          <w:highlight w:val="none"/>
          <w:lang w:val="en-US" w:eastAsia="zh-CN"/>
        </w:rPr>
        <w:t>8）</w:t>
      </w:r>
      <w:r>
        <w:rPr>
          <w:rFonts w:hint="eastAsia" w:ascii="宋体" w:hAnsi="宋体" w:eastAsia="宋体" w:cs="宋体"/>
          <w:sz w:val="24"/>
          <w:szCs w:val="24"/>
          <w:highlight w:val="none"/>
        </w:rPr>
        <w:t>资格审查资料</w:t>
      </w:r>
    </w:p>
    <w:p w14:paraId="6EEE8387">
      <w:pPr>
        <w:adjustRightInd w:val="0"/>
        <w:snapToGrid w:val="0"/>
        <w:spacing w:line="360" w:lineRule="auto"/>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w:t>
      </w:r>
      <w:r>
        <w:rPr>
          <w:rFonts w:hint="eastAsia" w:ascii="宋体" w:hAnsi="宋体" w:cs="宋体"/>
          <w:kern w:val="0"/>
          <w:sz w:val="24"/>
          <w:szCs w:val="24"/>
          <w:highlight w:val="none"/>
          <w:lang w:val="en-US" w:eastAsia="zh-CN"/>
        </w:rPr>
        <w:t>9</w:t>
      </w:r>
      <w:r>
        <w:rPr>
          <w:rFonts w:hint="eastAsia" w:ascii="宋体" w:hAnsi="宋体" w:eastAsia="宋体" w:cs="宋体"/>
          <w:kern w:val="0"/>
          <w:sz w:val="24"/>
          <w:szCs w:val="24"/>
          <w:highlight w:val="none"/>
        </w:rPr>
        <w:t>)</w:t>
      </w:r>
      <w:r>
        <w:rPr>
          <w:rFonts w:hint="eastAsia" w:ascii="宋体" w:hAnsi="宋体" w:eastAsia="宋体" w:cs="宋体"/>
          <w:sz w:val="24"/>
          <w:szCs w:val="24"/>
          <w:highlight w:val="none"/>
        </w:rPr>
        <w:t xml:space="preserve"> 其他材料</w:t>
      </w:r>
    </w:p>
    <w:p w14:paraId="48F64B4F">
      <w:pPr>
        <w:autoSpaceDE w:val="0"/>
        <w:autoSpaceDN w:val="0"/>
        <w:adjustRightInd w:val="0"/>
        <w:spacing w:line="300" w:lineRule="auto"/>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3.2 投标报价</w:t>
      </w:r>
    </w:p>
    <w:p w14:paraId="4E70244D">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3.2.1 </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所报价格在合同执行过程中是固定不变的，不得以任何理由予以变更。任何包含价格调整要求的投标，将被认为是非响应性投标而予以拒绝。</w:t>
      </w:r>
    </w:p>
    <w:p w14:paraId="0A3F2DAB">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3.2.2 </w:t>
      </w:r>
      <w:r>
        <w:rPr>
          <w:rFonts w:hint="eastAsia" w:ascii="宋体" w:hAnsi="宋体" w:eastAsia="宋体" w:cs="宋体"/>
          <w:sz w:val="24"/>
          <w:szCs w:val="24"/>
          <w:highlight w:val="none"/>
        </w:rPr>
        <w:t>采购人设有采购预算的，</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的投标报价不得超过采购预算，采购预算在</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须知前附表中载明。</w:t>
      </w:r>
    </w:p>
    <w:p w14:paraId="3C6FC073">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3.2.3 </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不得以低于成本的报价竞标。最低投标价不是被授予合同的唯一保证。</w:t>
      </w:r>
    </w:p>
    <w:p w14:paraId="0F351D36">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3.2.4 报价应一次性报定。</w:t>
      </w:r>
    </w:p>
    <w:p w14:paraId="62F1B633">
      <w:pPr>
        <w:autoSpaceDE w:val="0"/>
        <w:autoSpaceDN w:val="0"/>
        <w:adjustRightInd w:val="0"/>
        <w:spacing w:line="300" w:lineRule="auto"/>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3.3 投标有效期</w:t>
      </w:r>
    </w:p>
    <w:p w14:paraId="7C788767">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3.3.1 在</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须知前附表规定的投标有效期内，</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不得要求撤销或修改其投标文件。</w:t>
      </w:r>
    </w:p>
    <w:p w14:paraId="7ECDC6B6">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3.3.2 出现特殊情况需要延长投标有效期的，采购人以书面形式通知所有</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延长投标有效期。</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同意延长的，应相应延长其投标保证金的有效期，但不得要求或被允许修改或撤销其投标文件；</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拒绝延长的，其投标失效，但</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有权收回其投标保证金。</w:t>
      </w:r>
    </w:p>
    <w:p w14:paraId="1AA3B102">
      <w:pPr>
        <w:autoSpaceDE w:val="0"/>
        <w:autoSpaceDN w:val="0"/>
        <w:adjustRightInd w:val="0"/>
        <w:spacing w:line="300" w:lineRule="auto"/>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3.4 投标保证金</w:t>
      </w:r>
    </w:p>
    <w:p w14:paraId="5764C4B6">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3.4.1 </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在递交投标文件的同时，应按</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须知前附表规定的金额、递交投标保证金，并作为其投标文件的组成部分。</w:t>
      </w:r>
    </w:p>
    <w:p w14:paraId="460D4A26">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3.4.2 </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不按本章第3.4.1项要求提交投标保证金的，</w:t>
      </w:r>
      <w:r>
        <w:rPr>
          <w:rFonts w:hint="eastAsia" w:ascii="宋体" w:hAnsi="宋体" w:eastAsia="宋体" w:cs="宋体"/>
          <w:spacing w:val="14"/>
          <w:sz w:val="24"/>
          <w:szCs w:val="24"/>
          <w:highlight w:val="none"/>
        </w:rPr>
        <w:t>相关投标无效</w:t>
      </w:r>
      <w:r>
        <w:rPr>
          <w:rFonts w:hint="eastAsia" w:ascii="宋体" w:hAnsi="宋体" w:eastAsia="宋体" w:cs="宋体"/>
          <w:kern w:val="0"/>
          <w:sz w:val="24"/>
          <w:szCs w:val="24"/>
          <w:highlight w:val="none"/>
        </w:rPr>
        <w:t>。</w:t>
      </w:r>
    </w:p>
    <w:p w14:paraId="41EDEAC8">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3.4.3 采购人向中标人发放中标通知书后五个工作日内，退还未中标</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的投标保证金，采购人与中标人签订合同后五个工作日内，退还中标人的投标保证金。</w:t>
      </w:r>
    </w:p>
    <w:p w14:paraId="1B30F0EF">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3.4.4 有下列情形之一的，投标保证金将不予退还：</w:t>
      </w:r>
    </w:p>
    <w:p w14:paraId="00194853">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在规定的投标有效期内撤销或修改其投标文件；</w:t>
      </w:r>
    </w:p>
    <w:p w14:paraId="2D4EFE1D">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（2）中标人在收到中标通知书后，无正当理由拒签合同协议书或未按</w:t>
      </w:r>
      <w:r>
        <w:rPr>
          <w:rFonts w:hint="eastAsia" w:ascii="宋体" w:hAnsi="宋体" w:cs="宋体"/>
          <w:kern w:val="0"/>
          <w:sz w:val="24"/>
          <w:szCs w:val="24"/>
          <w:highlight w:val="none"/>
          <w:lang w:eastAsia="zh-CN"/>
        </w:rPr>
        <w:t>采购文件</w:t>
      </w:r>
      <w:r>
        <w:rPr>
          <w:rFonts w:hint="eastAsia" w:ascii="宋体" w:hAnsi="宋体" w:eastAsia="宋体" w:cs="宋体"/>
          <w:kern w:val="0"/>
          <w:sz w:val="24"/>
          <w:szCs w:val="24"/>
          <w:highlight w:val="none"/>
        </w:rPr>
        <w:t>规定提交履约担保；</w:t>
      </w:r>
    </w:p>
    <w:p w14:paraId="6868921F">
      <w:pPr>
        <w:widowControl/>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（3）违反其他法律法规规定的情形。</w:t>
      </w:r>
    </w:p>
    <w:p w14:paraId="057B3BAE">
      <w:pPr>
        <w:autoSpaceDE w:val="0"/>
        <w:autoSpaceDN w:val="0"/>
        <w:adjustRightInd w:val="0"/>
        <w:spacing w:line="300" w:lineRule="auto"/>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3.5 资格审查资料</w:t>
      </w:r>
    </w:p>
    <w:p w14:paraId="61B1556A">
      <w:pPr>
        <w:spacing w:line="288" w:lineRule="auto"/>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3.5.1 应附</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营业执照副本等材料复印件。</w:t>
      </w:r>
    </w:p>
    <w:p w14:paraId="5CC75F20">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3.5.2“类似项目业绩”应附中标通知书或合同复印件，具体年份要求见</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须知前附表。每张表格只填写一个项目，并标明序号。</w:t>
      </w:r>
    </w:p>
    <w:p w14:paraId="39B78A58">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3.5.3近年财务状况的年份要求</w:t>
      </w:r>
      <w:r>
        <w:rPr>
          <w:rFonts w:hint="eastAsia" w:ascii="宋体" w:hAnsi="宋体" w:cs="宋体"/>
          <w:kern w:val="0"/>
          <w:sz w:val="24"/>
          <w:szCs w:val="24"/>
          <w:highlight w:val="none"/>
          <w:lang w:eastAsia="zh-CN"/>
        </w:rPr>
        <w:t>：</w:t>
      </w:r>
      <w:r>
        <w:rPr>
          <w:rFonts w:hint="eastAsia" w:ascii="宋体" w:hAnsi="宋体" w:eastAsia="宋体" w:cs="宋体"/>
          <w:sz w:val="24"/>
          <w:szCs w:val="24"/>
          <w:highlight w:val="none"/>
          <w:lang w:eastAsia="zh-CN"/>
        </w:rPr>
        <w:t>一</w:t>
      </w:r>
      <w:r>
        <w:rPr>
          <w:rFonts w:hint="eastAsia" w:ascii="宋体" w:hAnsi="宋体" w:eastAsia="宋体" w:cs="宋体"/>
          <w:sz w:val="24"/>
          <w:szCs w:val="24"/>
          <w:highlight w:val="none"/>
        </w:rPr>
        <w:t>年，指</w:t>
      </w:r>
      <w:r>
        <w:rPr>
          <w:rFonts w:hint="eastAsia" w:ascii="宋体" w:hAnsi="宋体" w:eastAsia="宋体" w:cs="宋体"/>
          <w:sz w:val="24"/>
          <w:szCs w:val="24"/>
          <w:highlight w:val="none"/>
          <w:u w:val="single"/>
        </w:rPr>
        <w:t>20</w:t>
      </w:r>
      <w:r>
        <w:rPr>
          <w:rFonts w:hint="eastAsia" w:ascii="宋体" w:hAnsi="宋体" w:eastAsia="宋体" w:cs="宋体"/>
          <w:sz w:val="24"/>
          <w:szCs w:val="24"/>
          <w:highlight w:val="none"/>
          <w:u w:val="single"/>
          <w:lang w:val="en-US" w:eastAsia="zh-CN"/>
        </w:rPr>
        <w:t>23</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single"/>
        </w:rPr>
        <w:t>1</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single"/>
        </w:rPr>
        <w:t>1</w:t>
      </w:r>
      <w:r>
        <w:rPr>
          <w:rFonts w:hint="eastAsia" w:ascii="宋体" w:hAnsi="宋体" w:eastAsia="宋体" w:cs="宋体"/>
          <w:sz w:val="24"/>
          <w:szCs w:val="24"/>
          <w:highlight w:val="none"/>
        </w:rPr>
        <w:t>日起至</w:t>
      </w:r>
      <w:r>
        <w:rPr>
          <w:rFonts w:hint="eastAsia" w:ascii="宋体" w:hAnsi="宋体" w:eastAsia="宋体" w:cs="宋体"/>
          <w:sz w:val="24"/>
          <w:szCs w:val="24"/>
          <w:highlight w:val="none"/>
          <w:u w:val="single"/>
        </w:rPr>
        <w:t>202</w:t>
      </w:r>
      <w:r>
        <w:rPr>
          <w:rFonts w:hint="eastAsia" w:ascii="宋体" w:hAnsi="宋体" w:eastAsia="宋体" w:cs="宋体"/>
          <w:sz w:val="24"/>
          <w:szCs w:val="24"/>
          <w:highlight w:val="none"/>
          <w:u w:val="single"/>
          <w:lang w:val="en-US" w:eastAsia="zh-CN"/>
        </w:rPr>
        <w:t>3</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single"/>
        </w:rPr>
        <w:t>12</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single"/>
        </w:rPr>
        <w:t>31</w:t>
      </w:r>
      <w:r>
        <w:rPr>
          <w:rFonts w:hint="eastAsia" w:ascii="宋体" w:hAnsi="宋体" w:eastAsia="宋体" w:cs="宋体"/>
          <w:sz w:val="24"/>
          <w:szCs w:val="24"/>
          <w:highlight w:val="none"/>
        </w:rPr>
        <w:t>日止（以上年份要求新成立的公司以成立之年起算），具体年份要求见</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须知前附表。</w:t>
      </w:r>
    </w:p>
    <w:p w14:paraId="3107DE03">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3.6 备选投标方案</w:t>
      </w:r>
    </w:p>
    <w:p w14:paraId="409F8F9A">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不允许。</w:t>
      </w:r>
    </w:p>
    <w:p w14:paraId="20C9D9B3">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3.7 投标文件的编制</w:t>
      </w:r>
    </w:p>
    <w:p w14:paraId="56D451E3">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3.7.1 投标文件应按第六章“投标文件格式”进行编写，如有必要，可以增加附页，作为投标文件的组成部分。</w:t>
      </w:r>
      <w:r>
        <w:rPr>
          <w:rFonts w:hint="eastAsia" w:ascii="宋体" w:hAnsi="宋体" w:eastAsia="宋体" w:cs="宋体"/>
          <w:sz w:val="24"/>
          <w:szCs w:val="24"/>
          <w:highlight w:val="none"/>
        </w:rPr>
        <w:t>其中，投标函附录在满足</w:t>
      </w:r>
      <w:r>
        <w:rPr>
          <w:rFonts w:hint="eastAsia" w:ascii="宋体" w:hAnsi="宋体" w:cs="宋体"/>
          <w:sz w:val="24"/>
          <w:szCs w:val="24"/>
          <w:highlight w:val="none"/>
          <w:lang w:eastAsia="zh-CN"/>
        </w:rPr>
        <w:t>采购文件</w:t>
      </w:r>
      <w:r>
        <w:rPr>
          <w:rFonts w:hint="eastAsia" w:ascii="宋体" w:hAnsi="宋体" w:eastAsia="宋体" w:cs="宋体"/>
          <w:sz w:val="24"/>
          <w:szCs w:val="24"/>
          <w:highlight w:val="none"/>
        </w:rPr>
        <w:t>实质性要求的基础上，可以提出比</w:t>
      </w:r>
      <w:r>
        <w:rPr>
          <w:rFonts w:hint="eastAsia" w:ascii="宋体" w:hAnsi="宋体" w:cs="宋体"/>
          <w:sz w:val="24"/>
          <w:szCs w:val="24"/>
          <w:highlight w:val="none"/>
          <w:lang w:eastAsia="zh-CN"/>
        </w:rPr>
        <w:t>采购文件</w:t>
      </w:r>
      <w:r>
        <w:rPr>
          <w:rFonts w:hint="eastAsia" w:ascii="宋体" w:hAnsi="宋体" w:eastAsia="宋体" w:cs="宋体"/>
          <w:sz w:val="24"/>
          <w:szCs w:val="24"/>
          <w:highlight w:val="none"/>
        </w:rPr>
        <w:t>要求更有利于采购人的承诺。</w:t>
      </w:r>
    </w:p>
    <w:p w14:paraId="5AC52F78">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3.7.2 投标文件应当对</w:t>
      </w:r>
      <w:r>
        <w:rPr>
          <w:rFonts w:hint="eastAsia" w:ascii="宋体" w:hAnsi="宋体" w:cs="宋体"/>
          <w:kern w:val="0"/>
          <w:sz w:val="24"/>
          <w:szCs w:val="24"/>
          <w:highlight w:val="none"/>
          <w:lang w:eastAsia="zh-CN"/>
        </w:rPr>
        <w:t>采购文件</w:t>
      </w:r>
      <w:r>
        <w:rPr>
          <w:rFonts w:hint="eastAsia" w:ascii="宋体" w:hAnsi="宋体" w:eastAsia="宋体" w:cs="宋体"/>
          <w:kern w:val="0"/>
          <w:sz w:val="24"/>
          <w:szCs w:val="24"/>
          <w:highlight w:val="none"/>
        </w:rPr>
        <w:t>有关</w:t>
      </w:r>
      <w:r>
        <w:rPr>
          <w:rFonts w:hint="eastAsia" w:ascii="宋体" w:hAnsi="宋体" w:eastAsia="宋体" w:cs="宋体"/>
          <w:bCs/>
          <w:sz w:val="24"/>
          <w:szCs w:val="24"/>
          <w:highlight w:val="none"/>
          <w:lang w:val="zh-CN"/>
        </w:rPr>
        <w:t>供货期限</w:t>
      </w:r>
      <w:r>
        <w:rPr>
          <w:rFonts w:hint="eastAsia" w:ascii="宋体" w:hAnsi="宋体" w:eastAsia="宋体" w:cs="宋体"/>
          <w:kern w:val="0"/>
          <w:sz w:val="24"/>
          <w:szCs w:val="24"/>
          <w:highlight w:val="none"/>
        </w:rPr>
        <w:t>、投标有效期、</w:t>
      </w:r>
      <w:r>
        <w:rPr>
          <w:rFonts w:hint="eastAsia" w:ascii="宋体" w:hAnsi="宋体" w:eastAsia="宋体" w:cs="宋体"/>
          <w:bCs/>
          <w:sz w:val="24"/>
          <w:szCs w:val="24"/>
          <w:highlight w:val="none"/>
          <w:lang w:val="zh-CN"/>
        </w:rPr>
        <w:t>质量标准</w:t>
      </w:r>
      <w:r>
        <w:rPr>
          <w:rFonts w:hint="eastAsia" w:ascii="宋体" w:hAnsi="宋体" w:eastAsia="宋体" w:cs="宋体"/>
          <w:kern w:val="0"/>
          <w:sz w:val="24"/>
          <w:szCs w:val="24"/>
          <w:highlight w:val="none"/>
        </w:rPr>
        <w:t>、技术参数、采购需求等实质性内容作出响应。</w:t>
      </w:r>
    </w:p>
    <w:p w14:paraId="0289AA47">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3.7.3 签字或盖章的具体要求见</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须知前附表。</w:t>
      </w:r>
    </w:p>
    <w:p w14:paraId="753BDB5B">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3.7.4 </w:t>
      </w:r>
      <w:r>
        <w:rPr>
          <w:rFonts w:hint="eastAsia" w:ascii="宋体" w:hAnsi="宋体" w:eastAsia="宋体" w:cs="宋体"/>
          <w:kern w:val="0"/>
          <w:sz w:val="24"/>
          <w:szCs w:val="24"/>
          <w:highlight w:val="none"/>
          <w:lang w:val="zh-CN"/>
        </w:rPr>
        <w:t>无须递交纸质版响应文件。提供2份电子版响应文件注：所有供应商需在开标结束后将响应文件电子版发至</w:t>
      </w:r>
      <w:r>
        <w:rPr>
          <w:rFonts w:hint="eastAsia" w:ascii="宋体" w:hAnsi="宋体" w:eastAsia="宋体" w:cs="宋体"/>
          <w:kern w:val="0"/>
          <w:sz w:val="24"/>
          <w:szCs w:val="24"/>
          <w:highlight w:val="none"/>
          <w:lang w:val="en-US" w:eastAsia="zh-CN"/>
        </w:rPr>
        <w:t>838079001@qq</w:t>
      </w:r>
      <w:r>
        <w:rPr>
          <w:rFonts w:hint="eastAsia" w:ascii="宋体" w:hAnsi="宋体" w:eastAsia="宋体" w:cs="宋体"/>
          <w:kern w:val="0"/>
          <w:sz w:val="24"/>
          <w:szCs w:val="24"/>
          <w:highlight w:val="none"/>
          <w:lang w:val="zh-CN"/>
        </w:rPr>
        <w:t>.com邮箱；响应文件电子版内容：（响应文件电子版需与解密响应文件内容一致、1份PDF格式(须带投标单位公章)、1份Word可编辑版本）。</w:t>
      </w:r>
    </w:p>
    <w:p w14:paraId="5D58552A">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3.7.5 </w:t>
      </w:r>
      <w:r>
        <w:rPr>
          <w:rFonts w:hint="eastAsia" w:ascii="宋体" w:hAnsi="宋体" w:cs="宋体"/>
          <w:kern w:val="0"/>
          <w:sz w:val="24"/>
          <w:szCs w:val="24"/>
          <w:highlight w:val="none"/>
          <w:lang w:eastAsia="zh-CN"/>
        </w:rPr>
        <w:t>装订要求：无</w:t>
      </w:r>
      <w:r>
        <w:rPr>
          <w:rFonts w:hint="eastAsia" w:ascii="宋体" w:hAnsi="宋体" w:eastAsia="宋体" w:cs="宋体"/>
          <w:kern w:val="0"/>
          <w:sz w:val="24"/>
          <w:szCs w:val="24"/>
          <w:highlight w:val="none"/>
        </w:rPr>
        <w:t>。</w:t>
      </w:r>
    </w:p>
    <w:p w14:paraId="3CD303EF">
      <w:pPr>
        <w:spacing w:line="384" w:lineRule="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3.8证明</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合格和资格的文件</w:t>
      </w:r>
    </w:p>
    <w:p w14:paraId="53AE27FB">
      <w:pPr>
        <w:spacing w:line="384"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3.8.1</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应提交证明其有资格参加投标和中标后有能力履行合同的文件，并作为其投标文件的一部分。</w:t>
      </w:r>
    </w:p>
    <w:p w14:paraId="5F4C621D">
      <w:pPr>
        <w:spacing w:line="384"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3.8.2</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提交的合格性证明文件应使招标方满意，</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在投标时应符合本须知的规定。</w:t>
      </w:r>
    </w:p>
    <w:p w14:paraId="1D7D9268">
      <w:pPr>
        <w:spacing w:line="384"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3.8.3</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提交的证明其中标后能履行合同的资格证明文件应使招标方满意，即</w:t>
      </w:r>
    </w:p>
    <w:p w14:paraId="13FB7FD2">
      <w:pPr>
        <w:spacing w:line="384" w:lineRule="auto"/>
        <w:ind w:firstLine="360" w:firstLineChars="150"/>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已具备履行合同所需的财务和技术；</w:t>
      </w:r>
    </w:p>
    <w:p w14:paraId="5AEA52FC">
      <w:pPr>
        <w:spacing w:line="384" w:lineRule="auto"/>
        <w:ind w:firstLine="360" w:firstLineChars="150"/>
        <w:rPr>
          <w:rFonts w:hint="eastAsia" w:ascii="宋体" w:hAnsi="宋体" w:eastAsia="宋体" w:cs="宋体"/>
          <w:sz w:val="24"/>
          <w:szCs w:val="24"/>
          <w:highlight w:val="none"/>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满足“</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须知前附表”中列出的资格标准及业绩要求。</w:t>
      </w:r>
    </w:p>
    <w:p w14:paraId="2E2D182E">
      <w:pPr>
        <w:autoSpaceDE w:val="0"/>
        <w:autoSpaceDN w:val="0"/>
        <w:adjustRightInd w:val="0"/>
        <w:spacing w:line="300" w:lineRule="auto"/>
        <w:jc w:val="left"/>
        <w:rPr>
          <w:rFonts w:hint="eastAsia" w:ascii="宋体" w:hAnsi="宋体" w:eastAsia="宋体" w:cs="宋体"/>
          <w:b/>
          <w:kern w:val="0"/>
          <w:sz w:val="24"/>
          <w:szCs w:val="24"/>
          <w:highlight w:val="none"/>
        </w:rPr>
      </w:pPr>
      <w:r>
        <w:rPr>
          <w:rFonts w:hint="eastAsia" w:ascii="宋体" w:hAnsi="宋体" w:eastAsia="宋体" w:cs="宋体"/>
          <w:b/>
          <w:kern w:val="0"/>
          <w:sz w:val="24"/>
          <w:szCs w:val="24"/>
          <w:highlight w:val="none"/>
        </w:rPr>
        <w:t>4. 投标</w:t>
      </w:r>
    </w:p>
    <w:p w14:paraId="66076D0D">
      <w:pPr>
        <w:autoSpaceDE w:val="0"/>
        <w:autoSpaceDN w:val="0"/>
        <w:adjustRightInd w:val="0"/>
        <w:spacing w:line="300" w:lineRule="auto"/>
        <w:jc w:val="left"/>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rPr>
        <w:t>4.1 投标文件的密封和标记</w:t>
      </w:r>
    </w:p>
    <w:p w14:paraId="71C4AA97">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4.1.1</w:t>
      </w:r>
      <w:r>
        <w:rPr>
          <w:rFonts w:hint="eastAsia" w:ascii="宋体" w:hAnsi="宋体" w:eastAsia="宋体" w:cs="宋体"/>
          <w:kern w:val="0"/>
          <w:sz w:val="24"/>
          <w:szCs w:val="24"/>
          <w:highlight w:val="none"/>
          <w:lang w:val="zh-CN"/>
        </w:rPr>
        <w:t>无须递交纸质版响应文件。提供2份电子版响应文件注：所有供应商需在开标结束后将响应文件电子版发至</w:t>
      </w:r>
      <w:r>
        <w:rPr>
          <w:rFonts w:hint="eastAsia" w:ascii="宋体" w:hAnsi="宋体" w:eastAsia="宋体" w:cs="宋体"/>
          <w:kern w:val="0"/>
          <w:sz w:val="24"/>
          <w:szCs w:val="24"/>
          <w:highlight w:val="none"/>
          <w:lang w:val="en-US" w:eastAsia="zh-CN"/>
        </w:rPr>
        <w:t>838079001@qq</w:t>
      </w:r>
      <w:r>
        <w:rPr>
          <w:rFonts w:hint="eastAsia" w:ascii="宋体" w:hAnsi="宋体" w:eastAsia="宋体" w:cs="宋体"/>
          <w:kern w:val="0"/>
          <w:sz w:val="24"/>
          <w:szCs w:val="24"/>
          <w:highlight w:val="none"/>
          <w:lang w:val="zh-CN"/>
        </w:rPr>
        <w:t>.com邮箱；响应文件电子版内容：（响应文件电子版需与解密响应文件内容一致、1份PDF格式(须带投标单位公章)、1份Word可编辑版本）</w:t>
      </w:r>
      <w:r>
        <w:rPr>
          <w:rFonts w:hint="eastAsia" w:ascii="宋体" w:hAnsi="宋体" w:eastAsia="宋体" w:cs="宋体"/>
          <w:kern w:val="0"/>
          <w:sz w:val="24"/>
          <w:szCs w:val="24"/>
          <w:highlight w:val="none"/>
        </w:rPr>
        <w:t>。</w:t>
      </w:r>
    </w:p>
    <w:p w14:paraId="0CCB5677">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4.1.</w:t>
      </w:r>
      <w:r>
        <w:rPr>
          <w:rFonts w:hint="eastAsia" w:ascii="宋体" w:hAnsi="宋体" w:cs="宋体"/>
          <w:kern w:val="0"/>
          <w:sz w:val="24"/>
          <w:szCs w:val="24"/>
          <w:highlight w:val="none"/>
          <w:lang w:val="en-US" w:eastAsia="zh-CN"/>
        </w:rPr>
        <w:t>2</w:t>
      </w:r>
      <w:r>
        <w:rPr>
          <w:rFonts w:hint="eastAsia" w:ascii="宋体" w:hAnsi="宋体" w:eastAsia="宋体" w:cs="宋体"/>
          <w:kern w:val="0"/>
          <w:sz w:val="24"/>
          <w:szCs w:val="24"/>
          <w:highlight w:val="none"/>
        </w:rPr>
        <w:t xml:space="preserve"> 未按</w:t>
      </w:r>
      <w:r>
        <w:rPr>
          <w:rFonts w:hint="eastAsia" w:ascii="宋体" w:hAnsi="宋体" w:cs="宋体"/>
          <w:kern w:val="0"/>
          <w:sz w:val="24"/>
          <w:szCs w:val="24"/>
          <w:highlight w:val="none"/>
          <w:lang w:eastAsia="zh-CN"/>
        </w:rPr>
        <w:t>采购文件要求</w:t>
      </w:r>
      <w:r>
        <w:rPr>
          <w:rFonts w:hint="eastAsia" w:ascii="宋体" w:hAnsi="宋体" w:eastAsia="宋体" w:cs="宋体"/>
          <w:kern w:val="0"/>
          <w:sz w:val="24"/>
          <w:szCs w:val="24"/>
          <w:highlight w:val="none"/>
        </w:rPr>
        <w:t>标记的投标文件，采购人应予拒收。</w:t>
      </w:r>
    </w:p>
    <w:p w14:paraId="1208E689">
      <w:pPr>
        <w:autoSpaceDE w:val="0"/>
        <w:autoSpaceDN w:val="0"/>
        <w:adjustRightInd w:val="0"/>
        <w:spacing w:line="300" w:lineRule="auto"/>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4.2 投标文件的递交</w:t>
      </w:r>
    </w:p>
    <w:p w14:paraId="7AD1BA8E">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4.2.1 </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应在本章第2.2.2项规定的投标截止时间前递交投标文件。</w:t>
      </w:r>
    </w:p>
    <w:p w14:paraId="345C8F36">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4.2.2 </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递交投标文件的地点：见</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须知前附表。</w:t>
      </w:r>
    </w:p>
    <w:p w14:paraId="49A9923D">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4.2.3 除</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须知前附表另有规定外，</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所递交的投标文件不予退还。</w:t>
      </w:r>
    </w:p>
    <w:p w14:paraId="2EAF4FB0">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4.2.</w:t>
      </w:r>
      <w:r>
        <w:rPr>
          <w:rFonts w:hint="eastAsia" w:ascii="宋体" w:hAnsi="宋体" w:cs="宋体"/>
          <w:kern w:val="0"/>
          <w:sz w:val="24"/>
          <w:szCs w:val="24"/>
          <w:highlight w:val="none"/>
          <w:lang w:val="en-US" w:eastAsia="zh-CN"/>
        </w:rPr>
        <w:t>4</w:t>
      </w:r>
      <w:r>
        <w:rPr>
          <w:rFonts w:hint="eastAsia" w:ascii="宋体" w:hAnsi="宋体" w:eastAsia="宋体" w:cs="宋体"/>
          <w:kern w:val="0"/>
          <w:sz w:val="24"/>
          <w:szCs w:val="24"/>
          <w:highlight w:val="none"/>
        </w:rPr>
        <w:t>逾期送达的或者未送达指定地点的投标文件，采购人不予受理。</w:t>
      </w:r>
    </w:p>
    <w:p w14:paraId="553D5B31">
      <w:pPr>
        <w:autoSpaceDE w:val="0"/>
        <w:autoSpaceDN w:val="0"/>
        <w:adjustRightInd w:val="0"/>
        <w:spacing w:line="300" w:lineRule="auto"/>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4.3 投标文件的修改与撤回</w:t>
      </w:r>
    </w:p>
    <w:p w14:paraId="217E6FD6">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4.3.1 在第二章第2.2.2项规定的投标截止时间前，</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可以修改或撤回已递交的投标文件，但应以书面形式通知采购人。</w:t>
      </w:r>
    </w:p>
    <w:p w14:paraId="414E1BE6">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4.3.2 </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修改或撤回已递交投标文件的书面通知应按照本章第3.7.3项的要求签字或盖章。采购人收到书面通知后，向</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出具签收凭证。</w:t>
      </w:r>
    </w:p>
    <w:p w14:paraId="4543870F">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4.3.3 </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撤回投标文件的，采购人自收到</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书面撤回通知之日起5日内退还已收取的投标保证金。</w:t>
      </w:r>
    </w:p>
    <w:p w14:paraId="38F1BE65">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4.3.4 修改的内容为投标文件的组成部分。修改的投标文件应按照本章第3条、第4条规定进行编制、密封、标记和递交，并标明“修改”字样。</w:t>
      </w:r>
    </w:p>
    <w:p w14:paraId="2F4251DF">
      <w:pPr>
        <w:autoSpaceDE w:val="0"/>
        <w:autoSpaceDN w:val="0"/>
        <w:adjustRightInd w:val="0"/>
        <w:spacing w:line="300" w:lineRule="auto"/>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5. 开标</w:t>
      </w:r>
    </w:p>
    <w:p w14:paraId="4C6533FE">
      <w:pPr>
        <w:autoSpaceDE w:val="0"/>
        <w:autoSpaceDN w:val="0"/>
        <w:adjustRightInd w:val="0"/>
        <w:spacing w:line="300" w:lineRule="auto"/>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5.1 开标时间和地点</w:t>
      </w:r>
    </w:p>
    <w:p w14:paraId="39AB0485">
      <w:pPr>
        <w:adjustRightInd w:val="0"/>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采购人在第二章第2.2.2项规定的投标截止时间（开标时间）和</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须知前附表规定的地点进行开标，并邀请所有</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的法定代表人或其委托代理人准时参加视频会议。</w:t>
      </w:r>
    </w:p>
    <w:p w14:paraId="44A9A8F7">
      <w:pPr>
        <w:autoSpaceDE w:val="0"/>
        <w:autoSpaceDN w:val="0"/>
        <w:adjustRightInd w:val="0"/>
        <w:spacing w:line="300" w:lineRule="auto"/>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5.2 开标程序</w:t>
      </w:r>
    </w:p>
    <w:p w14:paraId="64359DFC">
      <w:pPr>
        <w:adjustRightInd w:val="0"/>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主持人按下列程序进行开标：</w:t>
      </w:r>
    </w:p>
    <w:p w14:paraId="3EEA2E51">
      <w:pPr>
        <w:adjustRightInd w:val="0"/>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（1）宣布开标纪律；</w:t>
      </w:r>
    </w:p>
    <w:p w14:paraId="31C92B24">
      <w:pPr>
        <w:adjustRightInd w:val="0"/>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（2）公布在投标截止时间前递交投标文件的</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名称，并确认</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的法定代表人或其委托代理人是否进入直播会议，；</w:t>
      </w:r>
    </w:p>
    <w:p w14:paraId="168A4287">
      <w:pPr>
        <w:adjustRightInd w:val="0"/>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（3）宣布有关人员姓名；</w:t>
      </w:r>
    </w:p>
    <w:p w14:paraId="7816AE10">
      <w:pPr>
        <w:adjustRightInd w:val="0"/>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（4）检查密封情况；</w:t>
      </w:r>
    </w:p>
    <w:p w14:paraId="0127128F">
      <w:pPr>
        <w:adjustRightInd w:val="0"/>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（5）宣布投标文件开启顺序；</w:t>
      </w:r>
    </w:p>
    <w:p w14:paraId="0726B9C7">
      <w:pPr>
        <w:adjustRightInd w:val="0"/>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（6）唱标并做记录；</w:t>
      </w:r>
    </w:p>
    <w:p w14:paraId="6AC729B5">
      <w:pPr>
        <w:adjustRightInd w:val="0"/>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（7）有关人员在开标记录表上签字确认；</w:t>
      </w:r>
    </w:p>
    <w:p w14:paraId="51D0E72E">
      <w:pPr>
        <w:adjustRightInd w:val="0"/>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（8）开标结束。</w:t>
      </w:r>
    </w:p>
    <w:p w14:paraId="5D02F2D9">
      <w:pPr>
        <w:autoSpaceDE w:val="0"/>
        <w:autoSpaceDN w:val="0"/>
        <w:adjustRightInd w:val="0"/>
        <w:spacing w:line="300" w:lineRule="auto"/>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6. 评标</w:t>
      </w:r>
    </w:p>
    <w:p w14:paraId="7294E9FC">
      <w:pPr>
        <w:autoSpaceDE w:val="0"/>
        <w:autoSpaceDN w:val="0"/>
        <w:adjustRightInd w:val="0"/>
        <w:spacing w:line="300" w:lineRule="auto"/>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6.1 评标委员会</w:t>
      </w:r>
    </w:p>
    <w:p w14:paraId="43381061">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6.1.1 评标由采购人依法组建的评标委员会负责</w:t>
      </w:r>
      <w:r>
        <w:rPr>
          <w:rFonts w:hint="eastAsia" w:ascii="宋体" w:hAnsi="宋体" w:eastAsia="宋体" w:cs="宋体"/>
          <w:sz w:val="24"/>
          <w:szCs w:val="24"/>
          <w:highlight w:val="none"/>
        </w:rPr>
        <w:t>。评标委员会由采购人熟悉相关业务的代表，以及有关技术、经济等方面的专家组成。评标委员会成员人数以及技术、经济等方面专家的确定方式见</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须知前附表。</w:t>
      </w:r>
    </w:p>
    <w:p w14:paraId="4C719DB9">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6.1.2 评标委员会成员有下列情形之一的，应当回避：</w:t>
      </w:r>
    </w:p>
    <w:p w14:paraId="270DD572">
      <w:pPr>
        <w:autoSpaceDE w:val="0"/>
        <w:autoSpaceDN w:val="0"/>
        <w:adjustRightInd w:val="0"/>
        <w:spacing w:line="300" w:lineRule="auto"/>
        <w:ind w:firstLine="960" w:firstLineChars="4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或</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主要负责人的近亲属；</w:t>
      </w:r>
    </w:p>
    <w:p w14:paraId="6ED59D35">
      <w:pPr>
        <w:autoSpaceDE w:val="0"/>
        <w:autoSpaceDN w:val="0"/>
        <w:adjustRightInd w:val="0"/>
        <w:spacing w:line="300" w:lineRule="auto"/>
        <w:ind w:firstLine="960" w:firstLineChars="4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（2）项目主管部门或者行政监督部门的人员；</w:t>
      </w:r>
    </w:p>
    <w:p w14:paraId="11DC5CE1">
      <w:pPr>
        <w:autoSpaceDE w:val="0"/>
        <w:autoSpaceDN w:val="0"/>
        <w:adjustRightInd w:val="0"/>
        <w:spacing w:line="300" w:lineRule="auto"/>
        <w:ind w:firstLine="960" w:firstLineChars="4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（3）与</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有经济利益关系；</w:t>
      </w:r>
    </w:p>
    <w:p w14:paraId="0E9EC198">
      <w:pPr>
        <w:autoSpaceDE w:val="0"/>
        <w:autoSpaceDN w:val="0"/>
        <w:adjustRightInd w:val="0"/>
        <w:spacing w:line="300" w:lineRule="auto"/>
        <w:ind w:firstLine="960" w:firstLineChars="4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（4）曾因在招标、评标以及其他与招标投标有关活动中从事违法行为而受过行政处罚或刑事处罚的；</w:t>
      </w:r>
    </w:p>
    <w:p w14:paraId="0D5B1EEA">
      <w:pPr>
        <w:autoSpaceDE w:val="0"/>
        <w:autoSpaceDN w:val="0"/>
        <w:adjustRightInd w:val="0"/>
        <w:spacing w:line="300" w:lineRule="auto"/>
        <w:ind w:firstLine="960" w:firstLineChars="4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（5）与</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有其他利害关系。</w:t>
      </w:r>
    </w:p>
    <w:p w14:paraId="4D11F842">
      <w:pPr>
        <w:autoSpaceDE w:val="0"/>
        <w:autoSpaceDN w:val="0"/>
        <w:adjustRightInd w:val="0"/>
        <w:spacing w:line="300" w:lineRule="auto"/>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6.2 评标原则</w:t>
      </w:r>
    </w:p>
    <w:p w14:paraId="2433DE82">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评标活动遵循公平、公正、科学和择优的原则。</w:t>
      </w:r>
    </w:p>
    <w:p w14:paraId="68F8E17E">
      <w:pPr>
        <w:autoSpaceDE w:val="0"/>
        <w:autoSpaceDN w:val="0"/>
        <w:adjustRightInd w:val="0"/>
        <w:spacing w:line="300" w:lineRule="auto"/>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6.3 评标</w:t>
      </w:r>
    </w:p>
    <w:p w14:paraId="5837244E">
      <w:pPr>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评标委员会按照第三章“评标办法”规定的方法、评审因素、标准和程序对投标文件进行评审。第三章“评标办法”没有规定的方法、评审因素和标准，不作为评标依据。</w:t>
      </w:r>
    </w:p>
    <w:p w14:paraId="10460E98">
      <w:pPr>
        <w:autoSpaceDE w:val="0"/>
        <w:autoSpaceDN w:val="0"/>
        <w:adjustRightInd w:val="0"/>
        <w:spacing w:line="300" w:lineRule="auto"/>
        <w:jc w:val="left"/>
        <w:rPr>
          <w:rFonts w:hint="eastAsia" w:ascii="宋体" w:hAnsi="宋体" w:eastAsia="宋体" w:cs="宋体"/>
          <w:b/>
          <w:kern w:val="0"/>
          <w:sz w:val="24"/>
          <w:szCs w:val="24"/>
          <w:highlight w:val="none"/>
        </w:rPr>
      </w:pPr>
      <w:r>
        <w:rPr>
          <w:rFonts w:hint="eastAsia" w:ascii="宋体" w:hAnsi="宋体" w:eastAsia="宋体" w:cs="宋体"/>
          <w:b/>
          <w:kern w:val="0"/>
          <w:sz w:val="24"/>
          <w:szCs w:val="24"/>
          <w:highlight w:val="none"/>
        </w:rPr>
        <w:t>7. 合同授予</w:t>
      </w:r>
    </w:p>
    <w:p w14:paraId="5D4246D1">
      <w:pPr>
        <w:autoSpaceDE w:val="0"/>
        <w:autoSpaceDN w:val="0"/>
        <w:adjustRightInd w:val="0"/>
        <w:spacing w:line="300" w:lineRule="auto"/>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7.1 定标方式</w:t>
      </w:r>
    </w:p>
    <w:p w14:paraId="24606B57">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除</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须知前附表规定评标委员会直接确定中标人外，采购人依据评标委员会推荐的中标候选人确定中标人，评标委员会推荐中标候选人的人数见</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须知前附表。</w:t>
      </w:r>
    </w:p>
    <w:p w14:paraId="1C39ADDB">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7.2 中标结果公告媒介</w:t>
      </w:r>
    </w:p>
    <w:p w14:paraId="04C4C1FD">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采购人在</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须知前附表规定的媒介公示中标结果。</w:t>
      </w:r>
    </w:p>
    <w:p w14:paraId="1133E50A">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7.3中标通知</w:t>
      </w:r>
    </w:p>
    <w:p w14:paraId="7B06C9F4">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在本章第3.3款规定的投标有效期内，采购人以书面形式向中标人发出中标通知书，同时将中标结果通知未中标的</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w:t>
      </w:r>
    </w:p>
    <w:p w14:paraId="3BDC4753">
      <w:pPr>
        <w:rPr>
          <w:rFonts w:hint="eastAsia" w:ascii="宋体" w:hAnsi="宋体" w:eastAsia="宋体" w:cs="宋体"/>
          <w:sz w:val="24"/>
          <w:szCs w:val="24"/>
          <w:highlight w:val="none"/>
        </w:rPr>
      </w:pPr>
      <w:r>
        <w:rPr>
          <w:rFonts w:hint="eastAsia" w:ascii="宋体" w:hAnsi="宋体" w:eastAsia="宋体" w:cs="宋体"/>
          <w:sz w:val="24"/>
          <w:szCs w:val="24"/>
          <w:highlight w:val="none"/>
        </w:rPr>
        <w:t>7.4履约担保</w:t>
      </w:r>
    </w:p>
    <w:p w14:paraId="27A7C631">
      <w:pPr>
        <w:autoSpaceDE w:val="0"/>
        <w:autoSpaceDN w:val="0"/>
        <w:adjustRightInd w:val="0"/>
        <w:spacing w:line="400" w:lineRule="exact"/>
        <w:ind w:firstLine="480" w:firstLineChars="200"/>
        <w:jc w:val="left"/>
        <w:rPr>
          <w:rFonts w:hint="eastAsia" w:ascii="宋体" w:hAnsi="宋体" w:eastAsia="宋体" w:cs="宋体"/>
          <w:b/>
          <w:sz w:val="24"/>
          <w:szCs w:val="24"/>
          <w:highlight w:val="none"/>
        </w:rPr>
      </w:pPr>
      <w:r>
        <w:rPr>
          <w:rFonts w:hint="eastAsia" w:ascii="宋体" w:hAnsi="宋体" w:eastAsia="宋体" w:cs="宋体"/>
          <w:sz w:val="24"/>
          <w:szCs w:val="24"/>
          <w:highlight w:val="none"/>
        </w:rPr>
        <w:t>合同价款的</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w:t>
      </w:r>
    </w:p>
    <w:p w14:paraId="54600C24">
      <w:pPr>
        <w:adjustRightInd w:val="0"/>
        <w:snapToGrid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7.5签订合同</w:t>
      </w:r>
    </w:p>
    <w:p w14:paraId="18DD342B">
      <w:pPr>
        <w:adjustRightInd w:val="0"/>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7.5.1采购人和中标人应当自中标通知书发出之日起30天内，根据</w:t>
      </w:r>
      <w:r>
        <w:rPr>
          <w:rFonts w:hint="eastAsia" w:ascii="宋体" w:hAnsi="宋体" w:cs="宋体"/>
          <w:sz w:val="24"/>
          <w:szCs w:val="24"/>
          <w:highlight w:val="none"/>
          <w:lang w:eastAsia="zh-CN"/>
        </w:rPr>
        <w:t>采购文件</w:t>
      </w:r>
      <w:r>
        <w:rPr>
          <w:rFonts w:hint="eastAsia" w:ascii="宋体" w:hAnsi="宋体" w:eastAsia="宋体" w:cs="宋体"/>
          <w:sz w:val="24"/>
          <w:szCs w:val="24"/>
          <w:highlight w:val="none"/>
        </w:rPr>
        <w:t>和中标人的投标文件订立书面合同。中标人无正当理由拒签合同的，采购人取消其中标资格，其投标保证金不予退还；给采购人造成的损失超过投标保证金数额的，中标人还应当对超过部分予以赔偿。</w:t>
      </w:r>
    </w:p>
    <w:p w14:paraId="1DFC8B36">
      <w:pPr>
        <w:spacing w:line="384"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7.5.2 发出中标通知书后，采购人无正当理由拒签合同的，采购人向中标人退还投标保证金；给中标人造成损失的，还应当赔偿损失。</w:t>
      </w:r>
    </w:p>
    <w:p w14:paraId="3CEFC9CA">
      <w:pPr>
        <w:autoSpaceDE w:val="0"/>
        <w:autoSpaceDN w:val="0"/>
        <w:adjustRightInd w:val="0"/>
        <w:spacing w:line="300" w:lineRule="auto"/>
        <w:jc w:val="left"/>
        <w:rPr>
          <w:rFonts w:hint="eastAsia" w:ascii="宋体" w:hAnsi="宋体" w:eastAsia="宋体" w:cs="宋体"/>
          <w:b/>
          <w:kern w:val="0"/>
          <w:sz w:val="24"/>
          <w:szCs w:val="24"/>
          <w:highlight w:val="none"/>
        </w:rPr>
      </w:pPr>
      <w:r>
        <w:rPr>
          <w:rFonts w:hint="eastAsia" w:ascii="宋体" w:hAnsi="宋体" w:eastAsia="宋体" w:cs="宋体"/>
          <w:b/>
          <w:kern w:val="0"/>
          <w:sz w:val="24"/>
          <w:szCs w:val="24"/>
          <w:highlight w:val="none"/>
        </w:rPr>
        <w:t>8. 重新招标</w:t>
      </w:r>
    </w:p>
    <w:p w14:paraId="4E7EFF69">
      <w:pPr>
        <w:autoSpaceDE w:val="0"/>
        <w:autoSpaceDN w:val="0"/>
        <w:adjustRightInd w:val="0"/>
        <w:spacing w:line="30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8.1 重新招标</w:t>
      </w:r>
    </w:p>
    <w:p w14:paraId="6B727121">
      <w:pPr>
        <w:autoSpaceDE w:val="0"/>
        <w:autoSpaceDN w:val="0"/>
        <w:adjustRightInd w:val="0"/>
        <w:spacing w:line="30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有下列情形之一的，采购人将重新招标：</w:t>
      </w:r>
    </w:p>
    <w:p w14:paraId="3542275F">
      <w:pPr>
        <w:autoSpaceDE w:val="0"/>
        <w:autoSpaceDN w:val="0"/>
        <w:adjustRightInd w:val="0"/>
        <w:spacing w:line="30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（1）投标截止时间止，</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少于3个的；</w:t>
      </w:r>
    </w:p>
    <w:p w14:paraId="19FF36E0">
      <w:pPr>
        <w:autoSpaceDE w:val="0"/>
        <w:autoSpaceDN w:val="0"/>
        <w:adjustRightInd w:val="0"/>
        <w:spacing w:line="30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（2）符合专业条件的</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或者对</w:t>
      </w:r>
      <w:r>
        <w:rPr>
          <w:rFonts w:hint="eastAsia" w:ascii="宋体" w:hAnsi="宋体" w:cs="宋体"/>
          <w:sz w:val="24"/>
          <w:szCs w:val="24"/>
          <w:highlight w:val="none"/>
          <w:lang w:eastAsia="zh-CN"/>
        </w:rPr>
        <w:t>采购文件</w:t>
      </w:r>
      <w:r>
        <w:rPr>
          <w:rFonts w:hint="eastAsia" w:ascii="宋体" w:hAnsi="宋体" w:eastAsia="宋体" w:cs="宋体"/>
          <w:sz w:val="24"/>
          <w:szCs w:val="24"/>
          <w:highlight w:val="none"/>
        </w:rPr>
        <w:t>作实质响应的</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不足三家的；</w:t>
      </w:r>
    </w:p>
    <w:p w14:paraId="1B0A0C91">
      <w:pPr>
        <w:autoSpaceDE w:val="0"/>
        <w:autoSpaceDN w:val="0"/>
        <w:adjustRightInd w:val="0"/>
        <w:spacing w:line="30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（3）其他法律法规相关要求。</w:t>
      </w:r>
    </w:p>
    <w:p w14:paraId="36C603FD">
      <w:pPr>
        <w:autoSpaceDE w:val="0"/>
        <w:autoSpaceDN w:val="0"/>
        <w:adjustRightInd w:val="0"/>
        <w:spacing w:line="300" w:lineRule="auto"/>
        <w:jc w:val="left"/>
        <w:rPr>
          <w:rFonts w:hint="eastAsia" w:ascii="宋体" w:hAnsi="宋体" w:eastAsia="宋体" w:cs="宋体"/>
          <w:b/>
          <w:kern w:val="0"/>
          <w:sz w:val="24"/>
          <w:szCs w:val="24"/>
          <w:highlight w:val="none"/>
        </w:rPr>
      </w:pPr>
      <w:r>
        <w:rPr>
          <w:rFonts w:hint="eastAsia" w:ascii="宋体" w:hAnsi="宋体" w:eastAsia="宋体" w:cs="宋体"/>
          <w:b/>
          <w:kern w:val="0"/>
          <w:sz w:val="24"/>
          <w:szCs w:val="24"/>
          <w:highlight w:val="none"/>
        </w:rPr>
        <w:t>9. 纪律和监督</w:t>
      </w:r>
    </w:p>
    <w:p w14:paraId="799C89CC">
      <w:pPr>
        <w:autoSpaceDE w:val="0"/>
        <w:autoSpaceDN w:val="0"/>
        <w:adjustRightInd w:val="0"/>
        <w:spacing w:line="300" w:lineRule="auto"/>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9.1 对采购人的纪律要求</w:t>
      </w:r>
    </w:p>
    <w:p w14:paraId="358D4F83">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采购人不得泄漏招标投标活动中应当保密的情况和资料，不得与</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串通损害国家利益、社会公共利益或者他人合法权益。</w:t>
      </w:r>
    </w:p>
    <w:p w14:paraId="627964DF">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9.2 对</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的纪律要求</w:t>
      </w:r>
    </w:p>
    <w:p w14:paraId="7E5F1391">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不得相互串通投标或者与采购人串通投标，不得向采购人或者评标委员会成员行贿谋取中标，不得以他人名义投标或者以其他方式弄虚作假骗取中标；</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不得以任何方式干扰、影响评标工作。</w:t>
      </w:r>
    </w:p>
    <w:p w14:paraId="67B9C52E">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9.3 对评标委员会成员的纪律要求</w:t>
      </w:r>
    </w:p>
    <w:p w14:paraId="098BFF20">
      <w:pPr>
        <w:autoSpaceDE w:val="0"/>
        <w:autoSpaceDN w:val="0"/>
        <w:adjustRightInd w:val="0"/>
        <w:spacing w:line="30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评标委员会成员不得收受他人的财物或者其他好处，不得向他人透漏对投标文件的评审和比较、中标候选人的推荐情况以及评标有关的其他情况。在评标活动中，评标委员会成员应当客观、公正地履行职责，遵守职业道德，不得擅离职守，影响评标程序正常进行，不得使用第七章“评标办法”没有规定的评审因素和标准进行评标。</w:t>
      </w:r>
    </w:p>
    <w:p w14:paraId="5473F74E">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9.4 对与评标活动有关的工作人员的纪律要求</w:t>
      </w:r>
    </w:p>
    <w:p w14:paraId="1C68A1C2">
      <w:pPr>
        <w:autoSpaceDE w:val="0"/>
        <w:autoSpaceDN w:val="0"/>
        <w:adjustRightInd w:val="0"/>
        <w:spacing w:line="30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14:paraId="1F3DCD84">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9.5 投诉</w:t>
      </w:r>
    </w:p>
    <w:p w14:paraId="389E9B96">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和其他利害关系人认为本次招标活动违反法律、法规和规章规定的，有权向有关行政监督部门投诉。</w:t>
      </w:r>
    </w:p>
    <w:p w14:paraId="1252D617">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10. 需要补充的其他内容</w:t>
      </w:r>
    </w:p>
    <w:p w14:paraId="79663747">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见</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须知前附表。</w:t>
      </w:r>
    </w:p>
    <w:p w14:paraId="5EA0F1ED">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p>
    <w:p w14:paraId="7987B494">
      <w:pPr>
        <w:autoSpaceDE w:val="0"/>
        <w:autoSpaceDN w:val="0"/>
        <w:adjustRightInd w:val="0"/>
        <w:spacing w:line="300" w:lineRule="auto"/>
        <w:ind w:firstLine="480" w:firstLineChars="200"/>
        <w:jc w:val="left"/>
        <w:rPr>
          <w:rFonts w:hint="eastAsia" w:ascii="宋体" w:hAnsi="宋体" w:eastAsia="宋体" w:cs="宋体"/>
          <w:kern w:val="0"/>
          <w:sz w:val="24"/>
          <w:szCs w:val="24"/>
          <w:highlight w:val="none"/>
        </w:rPr>
      </w:pPr>
    </w:p>
    <w:p w14:paraId="5873FBFF">
      <w:pPr>
        <w:spacing w:line="384" w:lineRule="auto"/>
        <w:ind w:firstLine="420" w:firstLineChars="200"/>
        <w:rPr>
          <w:rFonts w:hint="eastAsia" w:ascii="宋体" w:hAnsi="宋体" w:eastAsia="宋体" w:cs="宋体"/>
          <w:kern w:val="0"/>
          <w:szCs w:val="21"/>
          <w:highlight w:val="none"/>
        </w:rPr>
      </w:pPr>
    </w:p>
    <w:p w14:paraId="097FD518">
      <w:pPr>
        <w:spacing w:line="400" w:lineRule="exact"/>
        <w:jc w:val="left"/>
        <w:rPr>
          <w:rFonts w:hint="eastAsia" w:ascii="宋体" w:hAnsi="宋体" w:eastAsia="宋体" w:cs="宋体"/>
          <w:szCs w:val="21"/>
          <w:highlight w:val="none"/>
        </w:rPr>
      </w:pPr>
      <w:r>
        <w:rPr>
          <w:rFonts w:hint="eastAsia" w:ascii="宋体" w:hAnsi="宋体" w:eastAsia="宋体" w:cs="宋体"/>
          <w:b/>
          <w:sz w:val="24"/>
          <w:highlight w:val="none"/>
        </w:rPr>
        <w:br w:type="page"/>
      </w:r>
    </w:p>
    <w:p w14:paraId="7BE58083">
      <w:pPr>
        <w:topLinePunct/>
        <w:adjustRightInd w:val="0"/>
        <w:snapToGrid w:val="0"/>
        <w:spacing w:before="36" w:beforeLines="15" w:line="360" w:lineRule="auto"/>
        <w:jc w:val="center"/>
        <w:outlineLvl w:val="0"/>
        <w:rPr>
          <w:rFonts w:hint="eastAsia" w:ascii="宋体" w:hAnsi="宋体" w:eastAsia="宋体" w:cs="宋体"/>
          <w:b/>
          <w:sz w:val="36"/>
          <w:szCs w:val="36"/>
          <w:highlight w:val="none"/>
        </w:rPr>
      </w:pPr>
      <w:bookmarkStart w:id="15" w:name="_Toc62484144"/>
      <w:r>
        <w:rPr>
          <w:rFonts w:hint="eastAsia" w:ascii="宋体" w:hAnsi="宋体" w:eastAsia="宋体" w:cs="宋体"/>
          <w:b/>
          <w:sz w:val="36"/>
          <w:szCs w:val="36"/>
          <w:highlight w:val="none"/>
        </w:rPr>
        <w:t>第三章 评标办法（综合评分法）</w:t>
      </w:r>
      <w:bookmarkEnd w:id="15"/>
    </w:p>
    <w:p w14:paraId="07EAE9D2">
      <w:pPr>
        <w:numPr>
          <w:ilvl w:val="0"/>
          <w:numId w:val="1"/>
        </w:numPr>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初步审查</w:t>
      </w:r>
    </w:p>
    <w:p w14:paraId="61DC04AB">
      <w:pPr>
        <w:rPr>
          <w:rFonts w:hint="eastAsia" w:ascii="宋体" w:hAnsi="宋体" w:eastAsia="宋体" w:cs="宋体"/>
          <w:b/>
          <w:color w:val="auto"/>
          <w:spacing w:val="-6"/>
          <w:sz w:val="24"/>
          <w:szCs w:val="24"/>
          <w:highlight w:val="none"/>
        </w:rPr>
      </w:pPr>
      <w:r>
        <w:rPr>
          <w:rFonts w:hint="eastAsia" w:ascii="宋体" w:hAnsi="宋体" w:eastAsia="宋体" w:cs="宋体"/>
          <w:b/>
          <w:color w:val="auto"/>
          <w:spacing w:val="-6"/>
          <w:highlight w:val="none"/>
        </w:rPr>
        <w:t>1</w:t>
      </w:r>
      <w:r>
        <w:rPr>
          <w:rFonts w:hint="eastAsia" w:ascii="宋体" w:hAnsi="宋体" w:eastAsia="宋体" w:cs="宋体"/>
          <w:b/>
          <w:color w:val="auto"/>
          <w:spacing w:val="-6"/>
          <w:sz w:val="24"/>
          <w:szCs w:val="24"/>
          <w:highlight w:val="none"/>
        </w:rPr>
        <w:t>、资格性审查表</w:t>
      </w:r>
    </w:p>
    <w:tbl>
      <w:tblPr>
        <w:tblStyle w:val="36"/>
        <w:tblW w:w="97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9"/>
        <w:gridCol w:w="5262"/>
        <w:gridCol w:w="3847"/>
      </w:tblGrid>
      <w:tr w14:paraId="0C4C07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689" w:type="dxa"/>
            <w:noWrap w:val="0"/>
            <w:vAlign w:val="center"/>
          </w:tcPr>
          <w:p w14:paraId="27F47D9A">
            <w:pPr>
              <w:spacing w:line="290" w:lineRule="exact"/>
              <w:jc w:val="center"/>
              <w:rPr>
                <w:rFonts w:hint="eastAsia" w:ascii="宋体" w:hAnsi="宋体" w:eastAsia="宋体" w:cs="宋体"/>
                <w:color w:val="auto"/>
                <w:spacing w:val="-6"/>
                <w:sz w:val="24"/>
                <w:szCs w:val="24"/>
                <w:highlight w:val="none"/>
              </w:rPr>
            </w:pPr>
            <w:r>
              <w:rPr>
                <w:rFonts w:hint="eastAsia" w:ascii="宋体" w:hAnsi="宋体" w:eastAsia="宋体" w:cs="宋体"/>
                <w:b/>
                <w:color w:val="auto"/>
                <w:sz w:val="24"/>
                <w:szCs w:val="24"/>
                <w:highlight w:val="none"/>
              </w:rPr>
              <w:t>序号</w:t>
            </w:r>
          </w:p>
        </w:tc>
        <w:tc>
          <w:tcPr>
            <w:tcW w:w="5262" w:type="dxa"/>
            <w:noWrap w:val="0"/>
            <w:vAlign w:val="center"/>
          </w:tcPr>
          <w:p w14:paraId="08BD2537">
            <w:pPr>
              <w:spacing w:line="290" w:lineRule="exact"/>
              <w:jc w:val="center"/>
              <w:rPr>
                <w:rFonts w:hint="eastAsia" w:ascii="宋体" w:hAnsi="宋体" w:eastAsia="宋体" w:cs="宋体"/>
                <w:color w:val="auto"/>
                <w:spacing w:val="-6"/>
                <w:sz w:val="24"/>
                <w:szCs w:val="24"/>
                <w:highlight w:val="none"/>
              </w:rPr>
            </w:pPr>
            <w:r>
              <w:rPr>
                <w:rFonts w:hint="eastAsia" w:ascii="宋体" w:hAnsi="宋体" w:eastAsia="宋体" w:cs="宋体"/>
                <w:b/>
                <w:color w:val="auto"/>
                <w:sz w:val="24"/>
                <w:szCs w:val="24"/>
                <w:highlight w:val="none"/>
              </w:rPr>
              <w:t>资格审查内容</w:t>
            </w:r>
          </w:p>
        </w:tc>
        <w:tc>
          <w:tcPr>
            <w:tcW w:w="3847" w:type="dxa"/>
            <w:noWrap w:val="0"/>
            <w:vAlign w:val="center"/>
          </w:tcPr>
          <w:p w14:paraId="1B2FF65A">
            <w:pPr>
              <w:spacing w:line="290" w:lineRule="exact"/>
              <w:jc w:val="center"/>
              <w:rPr>
                <w:rFonts w:hint="eastAsia" w:ascii="宋体" w:hAnsi="宋体" w:eastAsia="宋体" w:cs="宋体"/>
                <w:b/>
                <w:color w:val="auto"/>
                <w:spacing w:val="-6"/>
                <w:sz w:val="24"/>
                <w:szCs w:val="24"/>
                <w:highlight w:val="none"/>
              </w:rPr>
            </w:pPr>
            <w:r>
              <w:rPr>
                <w:rFonts w:hint="eastAsia" w:ascii="宋体" w:hAnsi="宋体" w:eastAsia="宋体" w:cs="宋体"/>
                <w:b/>
                <w:color w:val="auto"/>
                <w:spacing w:val="-6"/>
                <w:sz w:val="24"/>
                <w:szCs w:val="24"/>
                <w:highlight w:val="none"/>
              </w:rPr>
              <w:t>要求</w:t>
            </w:r>
          </w:p>
        </w:tc>
      </w:tr>
      <w:tr w14:paraId="37152D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89" w:type="dxa"/>
            <w:noWrap w:val="0"/>
            <w:vAlign w:val="center"/>
          </w:tcPr>
          <w:p w14:paraId="62DAC0BE">
            <w:pPr>
              <w:spacing w:line="360" w:lineRule="exact"/>
              <w:ind w:firstLine="114" w:firstLineChars="50"/>
              <w:jc w:val="center"/>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lang w:bidi="ar"/>
              </w:rPr>
              <w:t>1</w:t>
            </w:r>
          </w:p>
        </w:tc>
        <w:tc>
          <w:tcPr>
            <w:tcW w:w="5262" w:type="dxa"/>
            <w:noWrap w:val="0"/>
            <w:vAlign w:val="center"/>
          </w:tcPr>
          <w:p w14:paraId="1C7F89D2">
            <w:pPr>
              <w:spacing w:line="280" w:lineRule="exact"/>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lang w:bidi="ar"/>
              </w:rPr>
              <w:t>企业营业执照副本</w:t>
            </w:r>
          </w:p>
        </w:tc>
        <w:tc>
          <w:tcPr>
            <w:tcW w:w="3847" w:type="dxa"/>
            <w:noWrap w:val="0"/>
            <w:vAlign w:val="center"/>
          </w:tcPr>
          <w:p w14:paraId="6C03F0BC">
            <w:pPr>
              <w:spacing w:line="280" w:lineRule="exact"/>
              <w:jc w:val="center"/>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lang w:bidi="ar"/>
              </w:rPr>
              <w:t>复印件加盖公章</w:t>
            </w:r>
          </w:p>
        </w:tc>
      </w:tr>
      <w:tr w14:paraId="799991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7" w:hRule="atLeast"/>
        </w:trPr>
        <w:tc>
          <w:tcPr>
            <w:tcW w:w="689" w:type="dxa"/>
            <w:noWrap w:val="0"/>
            <w:vAlign w:val="center"/>
          </w:tcPr>
          <w:p w14:paraId="262BC881">
            <w:pPr>
              <w:spacing w:line="360" w:lineRule="exact"/>
              <w:ind w:firstLine="114" w:firstLineChars="50"/>
              <w:jc w:val="center"/>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lang w:bidi="ar"/>
              </w:rPr>
              <w:t>2</w:t>
            </w:r>
          </w:p>
        </w:tc>
        <w:tc>
          <w:tcPr>
            <w:tcW w:w="5262" w:type="dxa"/>
            <w:noWrap w:val="0"/>
            <w:vAlign w:val="center"/>
          </w:tcPr>
          <w:p w14:paraId="20E1F4EF">
            <w:pPr>
              <w:spacing w:line="280" w:lineRule="exact"/>
              <w:rPr>
                <w:rFonts w:hint="eastAsia" w:ascii="宋体" w:hAnsi="宋体" w:eastAsia="宋体" w:cs="宋体"/>
                <w:color w:val="auto"/>
                <w:spacing w:val="-6"/>
                <w:sz w:val="24"/>
                <w:szCs w:val="24"/>
                <w:highlight w:val="none"/>
              </w:rPr>
            </w:pPr>
            <w:r>
              <w:rPr>
                <w:rFonts w:hint="eastAsia" w:ascii="宋体" w:hAnsi="宋体" w:eastAsia="宋体" w:cs="宋体"/>
                <w:color w:val="auto"/>
                <w:sz w:val="24"/>
                <w:szCs w:val="24"/>
                <w:highlight w:val="none"/>
                <w:shd w:val="clear" w:color="auto" w:fill="FFFFFF"/>
                <w:lang w:val="zh-CN" w:bidi="ar"/>
              </w:rPr>
              <w:t>供应商是法人的，应提供20</w:t>
            </w:r>
            <w:r>
              <w:rPr>
                <w:rFonts w:hint="eastAsia" w:ascii="宋体" w:hAnsi="宋体" w:eastAsia="宋体" w:cs="宋体"/>
                <w:color w:val="auto"/>
                <w:sz w:val="24"/>
                <w:szCs w:val="24"/>
                <w:highlight w:val="none"/>
                <w:shd w:val="clear" w:color="auto" w:fill="FFFFFF"/>
                <w:lang w:bidi="ar"/>
              </w:rPr>
              <w:t>2</w:t>
            </w:r>
            <w:r>
              <w:rPr>
                <w:rFonts w:hint="eastAsia" w:ascii="宋体" w:hAnsi="宋体" w:eastAsia="宋体" w:cs="宋体"/>
                <w:color w:val="auto"/>
                <w:sz w:val="24"/>
                <w:szCs w:val="24"/>
                <w:highlight w:val="none"/>
                <w:shd w:val="clear" w:color="auto" w:fill="FFFFFF"/>
                <w:lang w:val="en-US" w:eastAsia="zh-CN" w:bidi="ar"/>
              </w:rPr>
              <w:t>3</w:t>
            </w:r>
            <w:r>
              <w:rPr>
                <w:rFonts w:hint="eastAsia" w:ascii="宋体" w:hAnsi="宋体" w:eastAsia="宋体" w:cs="宋体"/>
                <w:color w:val="auto"/>
                <w:sz w:val="24"/>
                <w:szCs w:val="24"/>
                <w:highlight w:val="none"/>
                <w:shd w:val="clear" w:color="auto" w:fill="FFFFFF"/>
                <w:lang w:val="zh-CN" w:bidi="ar"/>
              </w:rPr>
              <w:t>年度经审计的财务报告或其基本开户银行出具的资信证明；其他组织和自然人，可以提供银行出具的资信证明；供应商提供财政部门认可的政府采购专业担保机构出具的投标担保函，则不需要提供其他财务状况报告。</w:t>
            </w:r>
          </w:p>
        </w:tc>
        <w:tc>
          <w:tcPr>
            <w:tcW w:w="3847" w:type="dxa"/>
            <w:noWrap w:val="0"/>
            <w:vAlign w:val="center"/>
          </w:tcPr>
          <w:p w14:paraId="051ECA2E">
            <w:pPr>
              <w:spacing w:line="280" w:lineRule="exact"/>
              <w:jc w:val="center"/>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lang w:bidi="ar"/>
              </w:rPr>
              <w:t>复印件加盖公章，如提供“资信证明”或“投标担保函”须附原件。</w:t>
            </w:r>
          </w:p>
        </w:tc>
      </w:tr>
      <w:tr w14:paraId="3236DB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689" w:type="dxa"/>
            <w:noWrap w:val="0"/>
            <w:vAlign w:val="center"/>
          </w:tcPr>
          <w:p w14:paraId="1FA406E3">
            <w:pPr>
              <w:spacing w:line="360" w:lineRule="exact"/>
              <w:ind w:firstLine="114" w:firstLineChars="50"/>
              <w:jc w:val="center"/>
              <w:rPr>
                <w:rFonts w:hint="eastAsia" w:ascii="宋体" w:hAnsi="宋体" w:eastAsia="宋体" w:cs="宋体"/>
                <w:color w:val="auto"/>
                <w:spacing w:val="-6"/>
                <w:sz w:val="24"/>
                <w:szCs w:val="24"/>
                <w:highlight w:val="none"/>
                <w:lang w:bidi="ar"/>
              </w:rPr>
            </w:pPr>
            <w:r>
              <w:rPr>
                <w:rFonts w:hint="eastAsia" w:ascii="宋体" w:hAnsi="宋体" w:eastAsia="宋体" w:cs="宋体"/>
                <w:color w:val="auto"/>
                <w:spacing w:val="-6"/>
                <w:sz w:val="24"/>
                <w:szCs w:val="24"/>
                <w:highlight w:val="none"/>
                <w:lang w:bidi="ar"/>
              </w:rPr>
              <w:t>3</w:t>
            </w:r>
          </w:p>
        </w:tc>
        <w:tc>
          <w:tcPr>
            <w:tcW w:w="5262" w:type="dxa"/>
            <w:noWrap w:val="0"/>
            <w:vAlign w:val="center"/>
          </w:tcPr>
          <w:p w14:paraId="08C5DB4F">
            <w:pPr>
              <w:spacing w:line="280" w:lineRule="exac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shd w:val="clear" w:color="auto" w:fill="FFFFFF"/>
                <w:lang w:val="zh-CN" w:bidi="ar"/>
              </w:rPr>
              <w:t>供应商须具备履行合同所必需的的设备和专业技术能力承诺书</w:t>
            </w:r>
          </w:p>
        </w:tc>
        <w:tc>
          <w:tcPr>
            <w:tcW w:w="3847" w:type="dxa"/>
            <w:noWrap w:val="0"/>
            <w:vAlign w:val="center"/>
          </w:tcPr>
          <w:p w14:paraId="42B282F2">
            <w:pPr>
              <w:spacing w:line="28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lang w:val="zh-CN" w:bidi="ar"/>
              </w:rPr>
              <w:t>复印件加盖公章</w:t>
            </w:r>
          </w:p>
        </w:tc>
      </w:tr>
      <w:tr w14:paraId="29BA2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4" w:hRule="atLeast"/>
        </w:trPr>
        <w:tc>
          <w:tcPr>
            <w:tcW w:w="689" w:type="dxa"/>
            <w:noWrap w:val="0"/>
            <w:vAlign w:val="center"/>
          </w:tcPr>
          <w:p w14:paraId="0BB347CD">
            <w:pPr>
              <w:spacing w:line="360" w:lineRule="exact"/>
              <w:ind w:firstLine="114" w:firstLineChars="50"/>
              <w:jc w:val="center"/>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lang w:bidi="ar"/>
              </w:rPr>
              <w:t>4</w:t>
            </w:r>
          </w:p>
        </w:tc>
        <w:tc>
          <w:tcPr>
            <w:tcW w:w="5262" w:type="dxa"/>
            <w:noWrap w:val="0"/>
            <w:vAlign w:val="center"/>
          </w:tcPr>
          <w:p w14:paraId="3E508C50">
            <w:pPr>
              <w:spacing w:line="280" w:lineRule="exact"/>
              <w:rPr>
                <w:rFonts w:hint="eastAsia" w:ascii="宋体" w:hAnsi="宋体" w:eastAsia="宋体" w:cs="宋体"/>
                <w:color w:val="auto"/>
                <w:kern w:val="0"/>
                <w:sz w:val="24"/>
                <w:szCs w:val="24"/>
                <w:highlight w:val="none"/>
                <w:shd w:val="clear" w:color="auto" w:fill="FFFFFF"/>
              </w:rPr>
            </w:pPr>
            <w:r>
              <w:rPr>
                <w:rFonts w:hint="eastAsia" w:ascii="宋体" w:hAnsi="宋体" w:eastAsia="宋体" w:cs="宋体"/>
                <w:color w:val="auto"/>
                <w:sz w:val="24"/>
                <w:szCs w:val="24"/>
                <w:highlight w:val="none"/>
                <w:shd w:val="clear" w:color="auto" w:fill="FFFFFF"/>
                <w:lang w:val="zh-CN" w:bidi="ar"/>
              </w:rPr>
              <w:t>供应商应提供202</w:t>
            </w:r>
            <w:r>
              <w:rPr>
                <w:rFonts w:hint="eastAsia" w:ascii="宋体" w:hAnsi="宋体" w:eastAsia="宋体" w:cs="宋体"/>
                <w:color w:val="auto"/>
                <w:sz w:val="24"/>
                <w:szCs w:val="24"/>
                <w:highlight w:val="none"/>
                <w:shd w:val="clear" w:color="auto" w:fill="FFFFFF"/>
                <w:lang w:val="en-US" w:eastAsia="zh-CN" w:bidi="ar"/>
              </w:rPr>
              <w:t>4</w:t>
            </w:r>
            <w:r>
              <w:rPr>
                <w:rFonts w:hint="eastAsia" w:ascii="宋体" w:hAnsi="宋体" w:eastAsia="宋体" w:cs="宋体"/>
                <w:color w:val="auto"/>
                <w:sz w:val="24"/>
                <w:szCs w:val="24"/>
                <w:highlight w:val="none"/>
                <w:shd w:val="clear" w:color="auto" w:fill="FFFFFF"/>
                <w:lang w:val="zh-CN" w:bidi="ar"/>
              </w:rPr>
              <w:t>年至今任意一个月依法缴纳税收的证明材料。依法免税或不需要缴纳社会保障资金的供应商，应提供相应文件证明。</w:t>
            </w:r>
          </w:p>
        </w:tc>
        <w:tc>
          <w:tcPr>
            <w:tcW w:w="3847" w:type="dxa"/>
            <w:noWrap w:val="0"/>
            <w:vAlign w:val="center"/>
          </w:tcPr>
          <w:p w14:paraId="3200EC65">
            <w:pPr>
              <w:spacing w:line="280" w:lineRule="exact"/>
              <w:jc w:val="center"/>
              <w:rPr>
                <w:rFonts w:hint="eastAsia" w:ascii="宋体" w:hAnsi="宋体" w:eastAsia="宋体" w:cs="宋体"/>
                <w:color w:val="auto"/>
                <w:spacing w:val="-6"/>
                <w:sz w:val="24"/>
                <w:szCs w:val="24"/>
                <w:highlight w:val="none"/>
              </w:rPr>
            </w:pPr>
            <w:r>
              <w:rPr>
                <w:rFonts w:hint="eastAsia" w:ascii="宋体" w:hAnsi="宋体" w:eastAsia="宋体" w:cs="宋体"/>
                <w:color w:val="auto"/>
                <w:sz w:val="24"/>
                <w:szCs w:val="24"/>
                <w:highlight w:val="none"/>
                <w:shd w:val="clear" w:color="auto" w:fill="FFFFFF"/>
                <w:lang w:val="zh-CN" w:bidi="ar"/>
              </w:rPr>
              <w:t>缴纳增值税、企业所得税的凭据复印件并加盖公章。</w:t>
            </w:r>
          </w:p>
        </w:tc>
      </w:tr>
      <w:tr w14:paraId="0075C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trPr>
        <w:tc>
          <w:tcPr>
            <w:tcW w:w="689" w:type="dxa"/>
            <w:noWrap w:val="0"/>
            <w:vAlign w:val="center"/>
          </w:tcPr>
          <w:p w14:paraId="665052F8">
            <w:pPr>
              <w:spacing w:line="360" w:lineRule="exact"/>
              <w:ind w:firstLine="114" w:firstLineChars="50"/>
              <w:jc w:val="center"/>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lang w:bidi="ar"/>
              </w:rPr>
              <w:t>5</w:t>
            </w:r>
          </w:p>
        </w:tc>
        <w:tc>
          <w:tcPr>
            <w:tcW w:w="5262" w:type="dxa"/>
            <w:noWrap w:val="0"/>
            <w:vAlign w:val="center"/>
          </w:tcPr>
          <w:p w14:paraId="5594D9D4">
            <w:pPr>
              <w:spacing w:line="280" w:lineRule="exact"/>
              <w:rPr>
                <w:rFonts w:hint="eastAsia" w:ascii="宋体" w:hAnsi="宋体" w:eastAsia="宋体" w:cs="宋体"/>
                <w:color w:val="auto"/>
                <w:spacing w:val="-6"/>
                <w:sz w:val="24"/>
                <w:szCs w:val="24"/>
                <w:highlight w:val="none"/>
              </w:rPr>
            </w:pPr>
            <w:r>
              <w:rPr>
                <w:rFonts w:hint="eastAsia" w:ascii="宋体" w:hAnsi="宋体" w:eastAsia="宋体" w:cs="宋体"/>
                <w:color w:val="auto"/>
                <w:sz w:val="24"/>
                <w:szCs w:val="24"/>
                <w:highlight w:val="none"/>
                <w:shd w:val="clear" w:color="auto" w:fill="FFFFFF"/>
                <w:lang w:val="zh-CN" w:bidi="ar"/>
              </w:rPr>
              <w:t>供应商应提供202</w:t>
            </w:r>
            <w:r>
              <w:rPr>
                <w:rFonts w:hint="eastAsia" w:ascii="宋体" w:hAnsi="宋体" w:eastAsia="宋体" w:cs="宋体"/>
                <w:color w:val="auto"/>
                <w:sz w:val="24"/>
                <w:szCs w:val="24"/>
                <w:highlight w:val="none"/>
                <w:shd w:val="clear" w:color="auto" w:fill="FFFFFF"/>
                <w:lang w:val="en-US" w:eastAsia="zh-CN" w:bidi="ar"/>
              </w:rPr>
              <w:t>4</w:t>
            </w:r>
            <w:r>
              <w:rPr>
                <w:rFonts w:hint="eastAsia" w:ascii="宋体" w:hAnsi="宋体" w:eastAsia="宋体" w:cs="宋体"/>
                <w:color w:val="auto"/>
                <w:sz w:val="24"/>
                <w:szCs w:val="24"/>
                <w:highlight w:val="none"/>
                <w:shd w:val="clear" w:color="auto" w:fill="FFFFFF"/>
                <w:lang w:val="zh-CN" w:bidi="ar"/>
              </w:rPr>
              <w:t>年至今任意一个月缴纳社会保障资金的证明材料。依法不需要缴纳社会保障资金的供应商，应提供相应文件证明。</w:t>
            </w:r>
          </w:p>
        </w:tc>
        <w:tc>
          <w:tcPr>
            <w:tcW w:w="3847" w:type="dxa"/>
            <w:noWrap w:val="0"/>
            <w:vAlign w:val="center"/>
          </w:tcPr>
          <w:p w14:paraId="3E8548EE">
            <w:pPr>
              <w:spacing w:line="280" w:lineRule="exact"/>
              <w:jc w:val="center"/>
              <w:rPr>
                <w:rFonts w:hint="eastAsia" w:ascii="宋体" w:hAnsi="宋体" w:eastAsia="宋体" w:cs="宋体"/>
                <w:color w:val="auto"/>
                <w:spacing w:val="-6"/>
                <w:sz w:val="24"/>
                <w:szCs w:val="24"/>
                <w:highlight w:val="none"/>
              </w:rPr>
            </w:pPr>
            <w:r>
              <w:rPr>
                <w:rFonts w:hint="eastAsia" w:ascii="宋体" w:hAnsi="宋体" w:eastAsia="宋体" w:cs="宋体"/>
                <w:color w:val="auto"/>
                <w:sz w:val="24"/>
                <w:szCs w:val="24"/>
                <w:highlight w:val="none"/>
                <w:shd w:val="clear" w:color="auto" w:fill="FFFFFF"/>
                <w:lang w:val="zh-CN" w:bidi="ar"/>
              </w:rPr>
              <w:t>缴纳社会保险的凭据复印件并加盖公章（专用收据或社会保险缴纳清单）。</w:t>
            </w:r>
          </w:p>
        </w:tc>
      </w:tr>
      <w:tr w14:paraId="151A4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trPr>
        <w:tc>
          <w:tcPr>
            <w:tcW w:w="689" w:type="dxa"/>
            <w:noWrap w:val="0"/>
            <w:vAlign w:val="center"/>
          </w:tcPr>
          <w:p w14:paraId="37701F13">
            <w:pPr>
              <w:spacing w:line="360" w:lineRule="exact"/>
              <w:ind w:firstLine="114" w:firstLineChars="50"/>
              <w:jc w:val="center"/>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lang w:bidi="ar"/>
              </w:rPr>
              <w:t>6</w:t>
            </w:r>
          </w:p>
        </w:tc>
        <w:tc>
          <w:tcPr>
            <w:tcW w:w="5262" w:type="dxa"/>
            <w:noWrap w:val="0"/>
            <w:vAlign w:val="center"/>
          </w:tcPr>
          <w:p w14:paraId="7D1E4299">
            <w:pPr>
              <w:spacing w:line="280" w:lineRule="exact"/>
              <w:rPr>
                <w:rFonts w:hint="eastAsia" w:ascii="宋体" w:hAnsi="宋体" w:eastAsia="宋体" w:cs="宋体"/>
                <w:color w:val="auto"/>
                <w:sz w:val="24"/>
                <w:szCs w:val="24"/>
                <w:highlight w:val="none"/>
                <w:shd w:val="clear" w:color="auto" w:fill="FFFFFF"/>
                <w:lang w:val="zh-CN"/>
              </w:rPr>
            </w:pPr>
            <w:r>
              <w:rPr>
                <w:rFonts w:hint="eastAsia" w:ascii="宋体" w:hAnsi="宋体" w:eastAsia="宋体" w:cs="宋体"/>
                <w:color w:val="auto"/>
                <w:sz w:val="24"/>
                <w:szCs w:val="24"/>
                <w:highlight w:val="none"/>
                <w:shd w:val="clear" w:color="auto" w:fill="FFFFFF"/>
                <w:lang w:val="zh-CN" w:bidi="ar"/>
              </w:rPr>
              <w:t>供应商参加政府采购活动前三年内，在经营活动中没有重大违法记录</w:t>
            </w:r>
            <w:r>
              <w:rPr>
                <w:rFonts w:hint="eastAsia" w:ascii="宋体" w:hAnsi="宋体" w:eastAsia="宋体" w:cs="宋体"/>
                <w:color w:val="auto"/>
                <w:sz w:val="24"/>
                <w:szCs w:val="24"/>
                <w:highlight w:val="none"/>
                <w:shd w:val="clear" w:color="auto" w:fill="FFFFFF"/>
                <w:lang w:bidi="ar"/>
              </w:rPr>
              <w:t>的声明函</w:t>
            </w:r>
            <w:r>
              <w:rPr>
                <w:rFonts w:hint="eastAsia" w:ascii="宋体" w:hAnsi="宋体" w:eastAsia="宋体" w:cs="宋体"/>
                <w:color w:val="auto"/>
                <w:sz w:val="24"/>
                <w:szCs w:val="24"/>
                <w:highlight w:val="none"/>
                <w:shd w:val="clear" w:color="auto" w:fill="FFFFFF"/>
                <w:lang w:val="zh-CN" w:bidi="ar"/>
              </w:rPr>
              <w:t>。</w:t>
            </w:r>
          </w:p>
        </w:tc>
        <w:tc>
          <w:tcPr>
            <w:tcW w:w="3847" w:type="dxa"/>
            <w:noWrap w:val="0"/>
            <w:vAlign w:val="center"/>
          </w:tcPr>
          <w:p w14:paraId="5E8F29DA">
            <w:pPr>
              <w:spacing w:line="280" w:lineRule="exact"/>
              <w:jc w:val="center"/>
              <w:rPr>
                <w:rFonts w:hint="eastAsia" w:ascii="宋体" w:hAnsi="宋体" w:eastAsia="宋体" w:cs="宋体"/>
                <w:color w:val="auto"/>
                <w:spacing w:val="-6"/>
                <w:sz w:val="24"/>
                <w:szCs w:val="24"/>
                <w:highlight w:val="none"/>
              </w:rPr>
            </w:pPr>
            <w:r>
              <w:rPr>
                <w:rFonts w:hint="eastAsia" w:ascii="宋体" w:hAnsi="宋体" w:eastAsia="宋体" w:cs="宋体"/>
                <w:color w:val="auto"/>
                <w:sz w:val="24"/>
                <w:szCs w:val="24"/>
                <w:highlight w:val="none"/>
                <w:shd w:val="clear" w:color="auto" w:fill="FFFFFF"/>
                <w:lang w:bidi="ar"/>
              </w:rPr>
              <w:t>提供</w:t>
            </w:r>
            <w:r>
              <w:rPr>
                <w:rFonts w:hint="eastAsia" w:ascii="宋体" w:hAnsi="宋体" w:eastAsia="宋体" w:cs="宋体"/>
                <w:color w:val="auto"/>
                <w:sz w:val="24"/>
                <w:szCs w:val="24"/>
                <w:highlight w:val="none"/>
                <w:shd w:val="clear" w:color="auto" w:fill="FFFFFF"/>
                <w:lang w:val="zh-CN" w:bidi="ar"/>
              </w:rPr>
              <w:t>声明函（截至开标日成立不足3年的供应商可提供自成立以来无重大违法记录的书面声明）</w:t>
            </w:r>
          </w:p>
        </w:tc>
      </w:tr>
      <w:tr w14:paraId="721F5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trPr>
        <w:tc>
          <w:tcPr>
            <w:tcW w:w="689" w:type="dxa"/>
            <w:noWrap w:val="0"/>
            <w:vAlign w:val="center"/>
          </w:tcPr>
          <w:p w14:paraId="15853B3B">
            <w:pPr>
              <w:spacing w:line="360" w:lineRule="exact"/>
              <w:ind w:firstLine="114" w:firstLineChars="50"/>
              <w:jc w:val="center"/>
              <w:rPr>
                <w:rFonts w:hint="eastAsia" w:ascii="宋体" w:hAnsi="宋体" w:eastAsia="宋体" w:cs="宋体"/>
                <w:color w:val="auto"/>
                <w:spacing w:val="-6"/>
                <w:sz w:val="24"/>
                <w:szCs w:val="24"/>
                <w:highlight w:val="none"/>
                <w:lang w:bidi="ar"/>
              </w:rPr>
            </w:pPr>
            <w:r>
              <w:rPr>
                <w:rFonts w:hint="eastAsia" w:ascii="宋体" w:hAnsi="宋体" w:eastAsia="宋体" w:cs="宋体"/>
                <w:color w:val="auto"/>
                <w:spacing w:val="-6"/>
                <w:sz w:val="24"/>
                <w:szCs w:val="24"/>
                <w:highlight w:val="none"/>
                <w:lang w:bidi="ar"/>
              </w:rPr>
              <w:t>7</w:t>
            </w:r>
          </w:p>
        </w:tc>
        <w:tc>
          <w:tcPr>
            <w:tcW w:w="5262" w:type="dxa"/>
            <w:noWrap w:val="0"/>
            <w:vAlign w:val="center"/>
          </w:tcPr>
          <w:p w14:paraId="6B13FF22">
            <w:pPr>
              <w:spacing w:line="280" w:lineRule="exact"/>
              <w:rPr>
                <w:rFonts w:hint="eastAsia" w:ascii="宋体" w:hAnsi="宋体" w:eastAsia="宋体" w:cs="宋体"/>
                <w:color w:val="auto"/>
                <w:sz w:val="24"/>
                <w:szCs w:val="24"/>
                <w:highlight w:val="none"/>
                <w:shd w:val="clear" w:color="auto" w:fill="FFFFFF"/>
                <w:lang w:val="zh-CN" w:bidi="ar"/>
              </w:rPr>
            </w:pPr>
            <w:r>
              <w:rPr>
                <w:rFonts w:hint="eastAsia" w:ascii="宋体" w:hAnsi="宋体" w:eastAsia="宋体" w:cs="宋体"/>
                <w:color w:val="auto"/>
                <w:sz w:val="24"/>
                <w:szCs w:val="24"/>
                <w:highlight w:val="none"/>
                <w:shd w:val="clear" w:color="auto" w:fill="FFFFFF"/>
                <w:lang w:val="zh-CN" w:bidi="ar"/>
              </w:rPr>
              <w:t>本项目属于专门面向中小企业采购的项目,供应商应为中小微企业，残疾人福利性单位、监狱单位视同小型、微型企业，享受本项目专门面向中小企业采购的政策。</w:t>
            </w:r>
          </w:p>
        </w:tc>
        <w:tc>
          <w:tcPr>
            <w:tcW w:w="3847" w:type="dxa"/>
            <w:noWrap w:val="0"/>
            <w:vAlign w:val="center"/>
          </w:tcPr>
          <w:p w14:paraId="2B2A922E">
            <w:pPr>
              <w:spacing w:line="280" w:lineRule="exact"/>
              <w:rPr>
                <w:rFonts w:hint="eastAsia" w:ascii="宋体" w:hAnsi="宋体" w:eastAsia="宋体" w:cs="宋体"/>
                <w:color w:val="auto"/>
                <w:sz w:val="24"/>
                <w:szCs w:val="24"/>
                <w:highlight w:val="none"/>
                <w:shd w:val="clear" w:color="auto" w:fill="FFFFFF"/>
                <w:lang w:bidi="ar"/>
              </w:rPr>
            </w:pPr>
            <w:r>
              <w:rPr>
                <w:rFonts w:hint="eastAsia" w:ascii="宋体" w:hAnsi="宋体" w:eastAsia="宋体" w:cs="宋体"/>
                <w:color w:val="auto"/>
                <w:sz w:val="24"/>
                <w:szCs w:val="24"/>
                <w:highlight w:val="none"/>
                <w:shd w:val="clear" w:color="auto" w:fill="FFFFFF"/>
                <w:lang w:val="zh-CN" w:bidi="ar"/>
              </w:rPr>
              <w:t>中小微企业投标的标书内出具中小企业声明函、残疾人福利性单位标书内出具残疾人福利性单位声明函、监狱企业投标的标书内提供由省级以上监狱管理局、戒毒管理局(含新疆生产建设兵团)出具的属于监狱企业的证明文件。</w:t>
            </w:r>
          </w:p>
        </w:tc>
      </w:tr>
      <w:tr w14:paraId="215EA6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0" w:hRule="atLeast"/>
        </w:trPr>
        <w:tc>
          <w:tcPr>
            <w:tcW w:w="689" w:type="dxa"/>
            <w:noWrap w:val="0"/>
            <w:vAlign w:val="center"/>
          </w:tcPr>
          <w:p w14:paraId="2C0F919E">
            <w:pPr>
              <w:spacing w:line="360" w:lineRule="exact"/>
              <w:ind w:firstLine="114" w:firstLineChars="50"/>
              <w:jc w:val="center"/>
              <w:rPr>
                <w:rFonts w:hint="eastAsia" w:ascii="宋体" w:hAnsi="宋体" w:eastAsia="宋体" w:cs="宋体"/>
                <w:color w:val="auto"/>
                <w:spacing w:val="-6"/>
                <w:sz w:val="24"/>
                <w:szCs w:val="24"/>
                <w:highlight w:val="none"/>
                <w:lang w:bidi="ar"/>
              </w:rPr>
            </w:pPr>
            <w:r>
              <w:rPr>
                <w:rFonts w:hint="eastAsia" w:ascii="宋体" w:hAnsi="宋体" w:eastAsia="宋体" w:cs="宋体"/>
                <w:color w:val="auto"/>
                <w:spacing w:val="-6"/>
                <w:sz w:val="24"/>
                <w:szCs w:val="24"/>
                <w:highlight w:val="none"/>
                <w:lang w:bidi="ar"/>
              </w:rPr>
              <w:t>8</w:t>
            </w:r>
          </w:p>
        </w:tc>
        <w:tc>
          <w:tcPr>
            <w:tcW w:w="5262" w:type="dxa"/>
            <w:noWrap w:val="0"/>
            <w:vAlign w:val="center"/>
          </w:tcPr>
          <w:p w14:paraId="6725BED9">
            <w:pPr>
              <w:spacing w:line="280" w:lineRule="exact"/>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lang w:bidi="ar"/>
              </w:rPr>
              <w:t>1.</w:t>
            </w:r>
            <w:r>
              <w:rPr>
                <w:rFonts w:hint="eastAsia" w:ascii="宋体" w:hAnsi="宋体" w:eastAsia="宋体" w:cs="宋体"/>
                <w:color w:val="auto"/>
                <w:sz w:val="24"/>
                <w:szCs w:val="24"/>
                <w:highlight w:val="none"/>
                <w:shd w:val="clear" w:color="auto" w:fill="FFFFFF"/>
                <w:lang w:val="zh-CN" w:bidi="ar"/>
              </w:rPr>
              <w:t>未被</w:t>
            </w:r>
            <w:r>
              <w:rPr>
                <w:rFonts w:hint="eastAsia" w:ascii="宋体" w:hAnsi="宋体" w:eastAsia="宋体" w:cs="宋体"/>
                <w:color w:val="auto"/>
                <w:sz w:val="24"/>
                <w:szCs w:val="24"/>
                <w:highlight w:val="none"/>
                <w:shd w:val="clear" w:color="auto" w:fill="FFFFFF"/>
                <w:lang w:bidi="ar"/>
              </w:rPr>
              <w:t>“</w:t>
            </w:r>
            <w:r>
              <w:rPr>
                <w:rFonts w:hint="eastAsia" w:ascii="宋体" w:hAnsi="宋体" w:eastAsia="宋体" w:cs="宋体"/>
                <w:color w:val="auto"/>
                <w:sz w:val="24"/>
                <w:szCs w:val="24"/>
                <w:highlight w:val="none"/>
                <w:shd w:val="clear" w:color="auto" w:fill="FFFFFF"/>
                <w:lang w:val="zh-CN" w:bidi="ar"/>
              </w:rPr>
              <w:t>信用中国</w:t>
            </w:r>
            <w:r>
              <w:rPr>
                <w:rFonts w:hint="eastAsia" w:ascii="宋体" w:hAnsi="宋体" w:eastAsia="宋体" w:cs="宋体"/>
                <w:color w:val="auto"/>
                <w:sz w:val="24"/>
                <w:szCs w:val="24"/>
                <w:highlight w:val="none"/>
                <w:shd w:val="clear" w:color="auto" w:fill="FFFFFF"/>
                <w:lang w:bidi="ar"/>
              </w:rPr>
              <w:t>”（www.creditchina.gov.cn）</w:t>
            </w:r>
            <w:r>
              <w:rPr>
                <w:rFonts w:hint="eastAsia" w:ascii="宋体" w:hAnsi="宋体" w:eastAsia="宋体" w:cs="宋体"/>
                <w:color w:val="auto"/>
                <w:sz w:val="24"/>
                <w:szCs w:val="24"/>
                <w:highlight w:val="none"/>
                <w:shd w:val="clear" w:color="auto" w:fill="FFFFFF"/>
                <w:lang w:val="zh-CN" w:bidi="ar"/>
              </w:rPr>
              <w:t>网站、</w:t>
            </w:r>
            <w:r>
              <w:rPr>
                <w:rFonts w:hint="eastAsia" w:ascii="宋体" w:hAnsi="宋体" w:eastAsia="宋体" w:cs="宋体"/>
                <w:color w:val="auto"/>
                <w:sz w:val="24"/>
                <w:szCs w:val="24"/>
                <w:highlight w:val="none"/>
                <w:shd w:val="clear" w:color="auto" w:fill="FFFFFF"/>
                <w:lang w:bidi="ar"/>
              </w:rPr>
              <w:t>“</w:t>
            </w:r>
            <w:r>
              <w:rPr>
                <w:rFonts w:hint="eastAsia" w:ascii="宋体" w:hAnsi="宋体" w:eastAsia="宋体" w:cs="宋体"/>
                <w:color w:val="auto"/>
                <w:sz w:val="24"/>
                <w:szCs w:val="24"/>
                <w:highlight w:val="none"/>
                <w:shd w:val="clear" w:color="auto" w:fill="FFFFFF"/>
                <w:lang w:val="zh-CN" w:bidi="ar"/>
              </w:rPr>
              <w:t>中国政府采购网</w:t>
            </w:r>
            <w:r>
              <w:rPr>
                <w:rFonts w:hint="eastAsia" w:ascii="宋体" w:hAnsi="宋体" w:eastAsia="宋体" w:cs="宋体"/>
                <w:color w:val="auto"/>
                <w:sz w:val="24"/>
                <w:szCs w:val="24"/>
                <w:highlight w:val="none"/>
                <w:shd w:val="clear" w:color="auto" w:fill="FFFFFF"/>
                <w:lang w:bidi="ar"/>
              </w:rPr>
              <w:t>”（www.ccgp.gov.cn）</w:t>
            </w:r>
            <w:r>
              <w:rPr>
                <w:rFonts w:hint="eastAsia" w:ascii="宋体" w:hAnsi="宋体" w:eastAsia="宋体" w:cs="宋体"/>
                <w:color w:val="auto"/>
                <w:sz w:val="24"/>
                <w:szCs w:val="24"/>
                <w:highlight w:val="none"/>
                <w:shd w:val="clear" w:color="auto" w:fill="FFFFFF"/>
                <w:lang w:val="zh-CN" w:bidi="ar"/>
              </w:rPr>
              <w:t>列入失信被执行人、重大税收违法案件当事人、政府采购严重违法失信行为记录名单</w:t>
            </w:r>
            <w:r>
              <w:rPr>
                <w:rFonts w:hint="eastAsia" w:ascii="宋体" w:hAnsi="宋体" w:eastAsia="宋体" w:cs="宋体"/>
                <w:color w:val="auto"/>
                <w:sz w:val="24"/>
                <w:szCs w:val="24"/>
                <w:highlight w:val="none"/>
                <w:shd w:val="clear" w:color="auto" w:fill="FFFFFF"/>
                <w:lang w:bidi="ar"/>
              </w:rPr>
              <w:t>；</w:t>
            </w:r>
          </w:p>
          <w:p w14:paraId="5CA6B676">
            <w:pPr>
              <w:spacing w:line="280" w:lineRule="exact"/>
              <w:rPr>
                <w:rFonts w:hint="eastAsia" w:ascii="宋体" w:hAnsi="宋体" w:eastAsia="宋体" w:cs="宋体"/>
                <w:color w:val="auto"/>
                <w:sz w:val="24"/>
                <w:szCs w:val="24"/>
                <w:highlight w:val="none"/>
                <w:shd w:val="clear" w:color="auto" w:fill="FFFFFF"/>
                <w:lang w:val="zh-CN"/>
              </w:rPr>
            </w:pPr>
            <w:r>
              <w:rPr>
                <w:rFonts w:hint="eastAsia" w:ascii="宋体" w:hAnsi="宋体" w:eastAsia="宋体" w:cs="宋体"/>
                <w:color w:val="auto"/>
                <w:sz w:val="24"/>
                <w:szCs w:val="24"/>
                <w:highlight w:val="none"/>
                <w:shd w:val="clear" w:color="auto" w:fill="FFFFFF"/>
                <w:lang w:val="zh-CN" w:bidi="ar"/>
              </w:rPr>
              <w:t>2.拒绝列入政府取消投标资格期间的企业或个人投标。</w:t>
            </w:r>
          </w:p>
        </w:tc>
        <w:tc>
          <w:tcPr>
            <w:tcW w:w="3847" w:type="dxa"/>
            <w:noWrap w:val="0"/>
            <w:vAlign w:val="center"/>
          </w:tcPr>
          <w:p w14:paraId="323B78E9">
            <w:pPr>
              <w:spacing w:line="280" w:lineRule="exact"/>
              <w:jc w:val="center"/>
              <w:rPr>
                <w:rFonts w:hint="eastAsia" w:ascii="宋体" w:hAnsi="宋体" w:eastAsia="宋体" w:cs="宋体"/>
                <w:color w:val="auto"/>
                <w:spacing w:val="-6"/>
                <w:sz w:val="24"/>
                <w:szCs w:val="24"/>
                <w:highlight w:val="none"/>
              </w:rPr>
            </w:pPr>
            <w:r>
              <w:rPr>
                <w:rFonts w:hint="eastAsia" w:ascii="宋体" w:hAnsi="宋体" w:eastAsia="宋体" w:cs="宋体"/>
                <w:color w:val="auto"/>
                <w:sz w:val="24"/>
                <w:szCs w:val="24"/>
                <w:highlight w:val="none"/>
                <w:shd w:val="clear" w:color="auto" w:fill="FFFFFF"/>
                <w:lang w:val="zh-CN" w:bidi="ar"/>
              </w:rPr>
              <w:t>采购代理机构将通过</w:t>
            </w:r>
            <w:r>
              <w:rPr>
                <w:rFonts w:hint="eastAsia" w:ascii="宋体" w:hAnsi="宋体" w:eastAsia="宋体" w:cs="宋体"/>
                <w:color w:val="auto"/>
                <w:sz w:val="24"/>
                <w:szCs w:val="24"/>
                <w:highlight w:val="none"/>
                <w:shd w:val="clear" w:color="auto" w:fill="FFFFFF"/>
                <w:lang w:bidi="ar"/>
              </w:rPr>
              <w:t>“</w:t>
            </w:r>
            <w:r>
              <w:rPr>
                <w:rFonts w:hint="eastAsia" w:ascii="宋体" w:hAnsi="宋体" w:eastAsia="宋体" w:cs="宋体"/>
                <w:color w:val="auto"/>
                <w:sz w:val="24"/>
                <w:szCs w:val="24"/>
                <w:highlight w:val="none"/>
                <w:shd w:val="clear" w:color="auto" w:fill="FFFFFF"/>
                <w:lang w:val="zh-CN" w:bidi="ar"/>
              </w:rPr>
              <w:t>信用中国</w:t>
            </w:r>
            <w:r>
              <w:rPr>
                <w:rFonts w:hint="eastAsia" w:ascii="宋体" w:hAnsi="宋体" w:eastAsia="宋体" w:cs="宋体"/>
                <w:color w:val="auto"/>
                <w:sz w:val="24"/>
                <w:szCs w:val="24"/>
                <w:highlight w:val="none"/>
                <w:shd w:val="clear" w:color="auto" w:fill="FFFFFF"/>
                <w:lang w:bidi="ar"/>
              </w:rPr>
              <w:t>”</w:t>
            </w:r>
            <w:r>
              <w:rPr>
                <w:rFonts w:hint="eastAsia" w:ascii="宋体" w:hAnsi="宋体" w:eastAsia="宋体" w:cs="宋体"/>
                <w:color w:val="auto"/>
                <w:sz w:val="24"/>
                <w:szCs w:val="24"/>
                <w:highlight w:val="none"/>
                <w:shd w:val="clear" w:color="auto" w:fill="FFFFFF"/>
                <w:lang w:val="zh-CN" w:bidi="ar"/>
              </w:rPr>
              <w:t>网站</w:t>
            </w:r>
            <w:r>
              <w:rPr>
                <w:rFonts w:hint="eastAsia" w:ascii="宋体" w:hAnsi="宋体" w:eastAsia="宋体" w:cs="宋体"/>
                <w:color w:val="auto"/>
                <w:sz w:val="24"/>
                <w:szCs w:val="24"/>
                <w:highlight w:val="none"/>
                <w:shd w:val="clear" w:color="auto" w:fill="FFFFFF"/>
                <w:lang w:bidi="ar"/>
              </w:rPr>
              <w:t>（www.creditchina.gov.cn）</w:t>
            </w:r>
            <w:r>
              <w:rPr>
                <w:rFonts w:hint="eastAsia" w:ascii="宋体" w:hAnsi="宋体" w:eastAsia="宋体" w:cs="宋体"/>
                <w:color w:val="auto"/>
                <w:sz w:val="24"/>
                <w:szCs w:val="24"/>
                <w:highlight w:val="none"/>
                <w:shd w:val="clear" w:color="auto" w:fill="FFFFFF"/>
                <w:lang w:val="zh-CN" w:bidi="ar"/>
              </w:rPr>
              <w:t>、中国政府采购网</w:t>
            </w:r>
            <w:r>
              <w:rPr>
                <w:rFonts w:hint="eastAsia" w:ascii="宋体" w:hAnsi="宋体" w:eastAsia="宋体" w:cs="宋体"/>
                <w:color w:val="auto"/>
                <w:sz w:val="24"/>
                <w:szCs w:val="24"/>
                <w:highlight w:val="none"/>
                <w:shd w:val="clear" w:color="auto" w:fill="FFFFFF"/>
                <w:lang w:bidi="ar"/>
              </w:rPr>
              <w:t>（www.ccgp.gov.cn）</w:t>
            </w:r>
            <w:r>
              <w:rPr>
                <w:rFonts w:hint="eastAsia" w:ascii="宋体" w:hAnsi="宋体" w:eastAsia="宋体" w:cs="宋体"/>
                <w:color w:val="auto"/>
                <w:sz w:val="24"/>
                <w:szCs w:val="24"/>
                <w:highlight w:val="none"/>
                <w:shd w:val="clear" w:color="auto" w:fill="FFFFFF"/>
                <w:lang w:val="zh-CN" w:bidi="ar"/>
              </w:rPr>
              <w:t>查询供应商信用记录</w:t>
            </w:r>
            <w:r>
              <w:rPr>
                <w:rFonts w:hint="eastAsia" w:ascii="宋体" w:hAnsi="宋体" w:eastAsia="宋体" w:cs="宋体"/>
                <w:color w:val="auto"/>
                <w:sz w:val="24"/>
                <w:szCs w:val="24"/>
                <w:highlight w:val="none"/>
                <w:shd w:val="clear" w:color="auto" w:fill="FFFFFF"/>
                <w:lang w:bidi="ar"/>
              </w:rPr>
              <w:t>，</w:t>
            </w:r>
            <w:r>
              <w:rPr>
                <w:rFonts w:hint="eastAsia" w:ascii="宋体" w:hAnsi="宋体" w:eastAsia="宋体" w:cs="宋体"/>
                <w:color w:val="auto"/>
                <w:sz w:val="24"/>
                <w:szCs w:val="24"/>
                <w:highlight w:val="none"/>
                <w:shd w:val="clear" w:color="auto" w:fill="FFFFFF"/>
                <w:lang w:val="zh-CN" w:bidi="ar"/>
              </w:rPr>
              <w:t>此项供应商不需要提供证明材料。</w:t>
            </w:r>
          </w:p>
        </w:tc>
      </w:tr>
      <w:tr w14:paraId="1BE3D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7" w:hRule="atLeast"/>
        </w:trPr>
        <w:tc>
          <w:tcPr>
            <w:tcW w:w="689" w:type="dxa"/>
            <w:noWrap w:val="0"/>
            <w:vAlign w:val="center"/>
          </w:tcPr>
          <w:p w14:paraId="0B636E4B">
            <w:pPr>
              <w:spacing w:line="360" w:lineRule="exact"/>
              <w:ind w:firstLine="114" w:firstLineChars="50"/>
              <w:jc w:val="center"/>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lang w:bidi="ar"/>
              </w:rPr>
              <w:t>9</w:t>
            </w:r>
          </w:p>
        </w:tc>
        <w:tc>
          <w:tcPr>
            <w:tcW w:w="5262" w:type="dxa"/>
            <w:noWrap w:val="0"/>
            <w:vAlign w:val="center"/>
          </w:tcPr>
          <w:p w14:paraId="25B4A645">
            <w:pPr>
              <w:wordWrap w:val="0"/>
              <w:spacing w:line="280" w:lineRule="exact"/>
              <w:rPr>
                <w:rFonts w:hint="eastAsia" w:ascii="宋体" w:hAnsi="宋体" w:eastAsia="宋体" w:cs="宋体"/>
                <w:color w:val="auto"/>
                <w:spacing w:val="-6"/>
                <w:sz w:val="24"/>
                <w:szCs w:val="24"/>
                <w:highlight w:val="none"/>
              </w:rPr>
            </w:pPr>
            <w:r>
              <w:rPr>
                <w:rFonts w:hint="eastAsia" w:ascii="宋体" w:hAnsi="宋体" w:eastAsia="宋体" w:cs="宋体"/>
                <w:color w:val="auto"/>
                <w:sz w:val="24"/>
                <w:szCs w:val="24"/>
                <w:highlight w:val="none"/>
                <w:shd w:val="clear" w:color="auto" w:fill="FFFFFF"/>
                <w:lang w:bidi="ar"/>
              </w:rPr>
              <w:t>与采购人存在利害关系可能影响采购公正性的法人、其他组织或者个人，不得参加投标；单位负责人为同一人或者存在控股、管理关系的不同单位，不得参加同一标段投标或者未划分标段的同一采购项目投标。违反这两款规定的，相关投标均无效。</w:t>
            </w:r>
          </w:p>
        </w:tc>
        <w:tc>
          <w:tcPr>
            <w:tcW w:w="3847" w:type="dxa"/>
            <w:noWrap w:val="0"/>
            <w:vAlign w:val="center"/>
          </w:tcPr>
          <w:p w14:paraId="075BB542">
            <w:pPr>
              <w:spacing w:line="280" w:lineRule="exact"/>
              <w:jc w:val="center"/>
              <w:rPr>
                <w:rFonts w:hint="eastAsia" w:ascii="宋体" w:hAnsi="宋体" w:eastAsia="宋体" w:cs="宋体"/>
                <w:color w:val="auto"/>
                <w:spacing w:val="-6"/>
                <w:sz w:val="24"/>
                <w:szCs w:val="24"/>
                <w:highlight w:val="none"/>
              </w:rPr>
            </w:pPr>
            <w:r>
              <w:rPr>
                <w:rFonts w:hint="eastAsia" w:ascii="宋体" w:hAnsi="宋体" w:eastAsia="宋体" w:cs="宋体"/>
                <w:color w:val="auto"/>
                <w:sz w:val="24"/>
                <w:szCs w:val="24"/>
                <w:highlight w:val="none"/>
                <w:shd w:val="clear" w:color="auto" w:fill="FFFFFF"/>
                <w:lang w:bidi="ar"/>
              </w:rPr>
              <w:t>承诺函并加盖公章。</w:t>
            </w:r>
          </w:p>
        </w:tc>
      </w:tr>
    </w:tbl>
    <w:p w14:paraId="6466035E">
      <w:pPr>
        <w:spacing w:line="300" w:lineRule="exact"/>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t>注：上述审查项目中，有一项不符合</w:t>
      </w:r>
      <w:r>
        <w:rPr>
          <w:rFonts w:hint="eastAsia" w:ascii="宋体" w:hAnsi="宋体" w:cs="宋体"/>
          <w:color w:val="auto"/>
          <w:spacing w:val="-6"/>
          <w:szCs w:val="21"/>
          <w:highlight w:val="none"/>
          <w:lang w:eastAsia="zh-CN"/>
        </w:rPr>
        <w:t>采购</w:t>
      </w:r>
      <w:r>
        <w:rPr>
          <w:rFonts w:hint="eastAsia" w:ascii="宋体" w:hAnsi="宋体" w:eastAsia="宋体" w:cs="宋体"/>
          <w:color w:val="auto"/>
          <w:spacing w:val="-6"/>
          <w:szCs w:val="21"/>
          <w:highlight w:val="none"/>
        </w:rPr>
        <w:t>文件要求，该响应文件则作无效投标处理，不再进入符合性审查。</w:t>
      </w:r>
    </w:p>
    <w:p w14:paraId="3DB7D347">
      <w:pPr>
        <w:rPr>
          <w:rFonts w:hint="eastAsia" w:ascii="宋体" w:hAnsi="宋体" w:eastAsia="宋体" w:cs="宋体"/>
          <w:color w:val="auto"/>
          <w:spacing w:val="-6"/>
          <w:szCs w:val="21"/>
          <w:highlight w:val="none"/>
        </w:rPr>
      </w:pPr>
      <w:r>
        <w:rPr>
          <w:rFonts w:hint="eastAsia" w:ascii="宋体" w:hAnsi="宋体" w:eastAsia="宋体" w:cs="宋体"/>
          <w:color w:val="auto"/>
          <w:spacing w:val="-6"/>
          <w:szCs w:val="21"/>
          <w:highlight w:val="none"/>
        </w:rPr>
        <w:br w:type="page"/>
      </w:r>
    </w:p>
    <w:p w14:paraId="7F7D9422">
      <w:pPr>
        <w:spacing w:line="500" w:lineRule="exact"/>
        <w:rPr>
          <w:rFonts w:hint="eastAsia" w:ascii="宋体" w:hAnsi="宋体" w:eastAsia="宋体" w:cs="宋体"/>
          <w:b/>
          <w:color w:val="auto"/>
          <w:spacing w:val="-6"/>
          <w:highlight w:val="none"/>
        </w:rPr>
      </w:pPr>
      <w:r>
        <w:rPr>
          <w:rFonts w:hint="eastAsia" w:ascii="宋体" w:hAnsi="宋体" w:eastAsia="宋体" w:cs="宋体"/>
          <w:b/>
          <w:color w:val="auto"/>
          <w:spacing w:val="-6"/>
          <w:highlight w:val="none"/>
        </w:rPr>
        <w:t>2、符合性审查表</w:t>
      </w:r>
    </w:p>
    <w:tbl>
      <w:tblPr>
        <w:tblStyle w:val="36"/>
        <w:tblW w:w="92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8453"/>
      </w:tblGrid>
      <w:tr w14:paraId="155BE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846" w:type="dxa"/>
            <w:noWrap w:val="0"/>
            <w:vAlign w:val="center"/>
          </w:tcPr>
          <w:p w14:paraId="757A914E">
            <w:pPr>
              <w:spacing w:line="50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8453" w:type="dxa"/>
            <w:noWrap w:val="0"/>
            <w:vAlign w:val="center"/>
          </w:tcPr>
          <w:p w14:paraId="4820F9B3">
            <w:pPr>
              <w:spacing w:line="50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评审内容</w:t>
            </w:r>
          </w:p>
        </w:tc>
      </w:tr>
      <w:tr w14:paraId="23CD6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846" w:type="dxa"/>
            <w:noWrap w:val="0"/>
            <w:vAlign w:val="center"/>
          </w:tcPr>
          <w:p w14:paraId="09C9B28A">
            <w:pPr>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8453" w:type="dxa"/>
            <w:noWrap w:val="0"/>
            <w:vAlign w:val="center"/>
          </w:tcPr>
          <w:p w14:paraId="67833CBC">
            <w:pPr>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响应文件是否按照</w:t>
            </w:r>
            <w:r>
              <w:rPr>
                <w:rFonts w:hint="eastAsia" w:ascii="宋体" w:hAnsi="宋体" w:cs="宋体"/>
                <w:color w:val="auto"/>
                <w:sz w:val="24"/>
                <w:szCs w:val="24"/>
                <w:highlight w:val="none"/>
                <w:lang w:eastAsia="zh-CN"/>
              </w:rPr>
              <w:t>采购文件</w:t>
            </w:r>
            <w:r>
              <w:rPr>
                <w:rFonts w:hint="eastAsia" w:ascii="宋体" w:hAnsi="宋体" w:eastAsia="宋体" w:cs="宋体"/>
                <w:color w:val="auto"/>
                <w:sz w:val="24"/>
                <w:szCs w:val="24"/>
                <w:highlight w:val="none"/>
              </w:rPr>
              <w:t>规定要求编制、装订、签署、盖章</w:t>
            </w:r>
          </w:p>
        </w:tc>
      </w:tr>
      <w:tr w14:paraId="779B7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846" w:type="dxa"/>
            <w:noWrap w:val="0"/>
            <w:vAlign w:val="center"/>
          </w:tcPr>
          <w:p w14:paraId="7A46505F">
            <w:pPr>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8453" w:type="dxa"/>
            <w:noWrap w:val="0"/>
            <w:vAlign w:val="center"/>
          </w:tcPr>
          <w:p w14:paraId="0635C74E">
            <w:pPr>
              <w:spacing w:line="500" w:lineRule="exac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投标</w:t>
            </w:r>
            <w:r>
              <w:rPr>
                <w:rFonts w:hint="eastAsia" w:ascii="宋体" w:hAnsi="宋体" w:eastAsia="宋体" w:cs="宋体"/>
                <w:color w:val="auto"/>
                <w:sz w:val="24"/>
                <w:szCs w:val="24"/>
                <w:highlight w:val="none"/>
              </w:rPr>
              <w:t>有效期是否满足采购文件要求</w:t>
            </w:r>
          </w:p>
        </w:tc>
      </w:tr>
      <w:tr w14:paraId="5E530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846" w:type="dxa"/>
            <w:noWrap w:val="0"/>
            <w:vAlign w:val="center"/>
          </w:tcPr>
          <w:p w14:paraId="08516E3E">
            <w:pPr>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8453" w:type="dxa"/>
            <w:noWrap w:val="0"/>
            <w:vAlign w:val="center"/>
          </w:tcPr>
          <w:p w14:paraId="66F80A2B">
            <w:pPr>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有无提交两个以上不同的响应文件</w:t>
            </w:r>
          </w:p>
        </w:tc>
      </w:tr>
      <w:tr w14:paraId="0F2C3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846" w:type="dxa"/>
            <w:noWrap w:val="0"/>
            <w:vAlign w:val="center"/>
          </w:tcPr>
          <w:p w14:paraId="545326A0">
            <w:pPr>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8453" w:type="dxa"/>
            <w:noWrap w:val="0"/>
            <w:vAlign w:val="center"/>
          </w:tcPr>
          <w:p w14:paraId="3498CF17">
            <w:pPr>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合同履行期限是否满足</w:t>
            </w:r>
            <w:r>
              <w:rPr>
                <w:rFonts w:hint="eastAsia" w:ascii="宋体" w:hAnsi="宋体" w:cs="宋体"/>
                <w:color w:val="auto"/>
                <w:sz w:val="24"/>
                <w:szCs w:val="24"/>
                <w:highlight w:val="none"/>
                <w:lang w:eastAsia="zh-CN"/>
              </w:rPr>
              <w:t>采购文件</w:t>
            </w:r>
            <w:r>
              <w:rPr>
                <w:rFonts w:hint="eastAsia" w:ascii="宋体" w:hAnsi="宋体" w:eastAsia="宋体" w:cs="宋体"/>
                <w:color w:val="auto"/>
                <w:sz w:val="24"/>
                <w:szCs w:val="24"/>
                <w:highlight w:val="none"/>
              </w:rPr>
              <w:t>要求</w:t>
            </w:r>
          </w:p>
        </w:tc>
      </w:tr>
      <w:tr w14:paraId="653C9C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846" w:type="dxa"/>
            <w:noWrap w:val="0"/>
            <w:vAlign w:val="center"/>
          </w:tcPr>
          <w:p w14:paraId="26018F0A">
            <w:pPr>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8453" w:type="dxa"/>
            <w:noWrap w:val="0"/>
            <w:vAlign w:val="center"/>
          </w:tcPr>
          <w:p w14:paraId="1207AC60">
            <w:pPr>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是否有采购人不能接受的条件</w:t>
            </w:r>
          </w:p>
        </w:tc>
      </w:tr>
      <w:tr w14:paraId="6592F8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846" w:type="dxa"/>
            <w:noWrap w:val="0"/>
            <w:vAlign w:val="center"/>
          </w:tcPr>
          <w:p w14:paraId="41E995DD">
            <w:pPr>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8453" w:type="dxa"/>
            <w:noWrap w:val="0"/>
            <w:vAlign w:val="center"/>
          </w:tcPr>
          <w:p w14:paraId="4168098D">
            <w:pPr>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是否存在拒绝修正报价算术错误的情形</w:t>
            </w:r>
          </w:p>
        </w:tc>
      </w:tr>
      <w:tr w14:paraId="2027D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846" w:type="dxa"/>
            <w:noWrap w:val="0"/>
            <w:vAlign w:val="center"/>
          </w:tcPr>
          <w:p w14:paraId="1FC66480">
            <w:pPr>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8453" w:type="dxa"/>
            <w:noWrap w:val="0"/>
            <w:vAlign w:val="center"/>
          </w:tcPr>
          <w:p w14:paraId="4A069E60">
            <w:pPr>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是否存在拒按</w:t>
            </w:r>
            <w:r>
              <w:rPr>
                <w:rFonts w:hint="eastAsia" w:ascii="宋体" w:hAnsi="宋体" w:cs="宋体"/>
                <w:color w:val="auto"/>
                <w:sz w:val="24"/>
                <w:szCs w:val="24"/>
                <w:highlight w:val="none"/>
                <w:lang w:eastAsia="zh-CN"/>
              </w:rPr>
              <w:t>评标委会</w:t>
            </w:r>
            <w:r>
              <w:rPr>
                <w:rFonts w:hint="eastAsia" w:ascii="宋体" w:hAnsi="宋体" w:eastAsia="宋体" w:cs="宋体"/>
                <w:color w:val="auto"/>
                <w:sz w:val="24"/>
                <w:szCs w:val="24"/>
                <w:highlight w:val="none"/>
              </w:rPr>
              <w:t>要求澄清、说明或纠正的情形</w:t>
            </w:r>
          </w:p>
        </w:tc>
      </w:tr>
      <w:tr w14:paraId="5989EE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846" w:type="dxa"/>
            <w:noWrap w:val="0"/>
            <w:vAlign w:val="center"/>
          </w:tcPr>
          <w:p w14:paraId="328D227B">
            <w:pPr>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8453" w:type="dxa"/>
            <w:noWrap w:val="0"/>
            <w:vAlign w:val="center"/>
          </w:tcPr>
          <w:p w14:paraId="5945373C">
            <w:pPr>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是否有串通投标、弄虚作假或行贿等违法行为</w:t>
            </w:r>
          </w:p>
        </w:tc>
      </w:tr>
      <w:tr w14:paraId="74D31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846" w:type="dxa"/>
            <w:noWrap w:val="0"/>
            <w:vAlign w:val="center"/>
          </w:tcPr>
          <w:p w14:paraId="4D543EA9">
            <w:pPr>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w:t>
            </w:r>
          </w:p>
        </w:tc>
        <w:tc>
          <w:tcPr>
            <w:tcW w:w="8453" w:type="dxa"/>
            <w:noWrap w:val="0"/>
            <w:vAlign w:val="center"/>
          </w:tcPr>
          <w:p w14:paraId="6385D6B4">
            <w:pPr>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是否有其他不符合法律法规和</w:t>
            </w:r>
            <w:r>
              <w:rPr>
                <w:rFonts w:hint="eastAsia" w:ascii="宋体" w:hAnsi="宋体" w:cs="宋体"/>
                <w:color w:val="auto"/>
                <w:sz w:val="24"/>
                <w:szCs w:val="24"/>
                <w:highlight w:val="none"/>
                <w:lang w:eastAsia="zh-CN"/>
              </w:rPr>
              <w:t>采购文件</w:t>
            </w:r>
            <w:r>
              <w:rPr>
                <w:rFonts w:hint="eastAsia" w:ascii="宋体" w:hAnsi="宋体" w:eastAsia="宋体" w:cs="宋体"/>
                <w:color w:val="auto"/>
                <w:sz w:val="24"/>
                <w:szCs w:val="24"/>
                <w:highlight w:val="none"/>
              </w:rPr>
              <w:t>中规定予以否决的情形</w:t>
            </w:r>
          </w:p>
        </w:tc>
      </w:tr>
      <w:tr w14:paraId="3D13A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846" w:type="dxa"/>
            <w:noWrap w:val="0"/>
            <w:vAlign w:val="center"/>
          </w:tcPr>
          <w:p w14:paraId="473D584E">
            <w:pPr>
              <w:spacing w:line="500" w:lineRule="exact"/>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10</w:t>
            </w:r>
          </w:p>
        </w:tc>
        <w:tc>
          <w:tcPr>
            <w:tcW w:w="8453" w:type="dxa"/>
            <w:noWrap w:val="0"/>
            <w:vAlign w:val="center"/>
          </w:tcPr>
          <w:p w14:paraId="7EA40F0B">
            <w:pPr>
              <w:spacing w:line="500" w:lineRule="exact"/>
              <w:rPr>
                <w:rFonts w:hint="eastAsia" w:ascii="宋体" w:hAnsi="宋体" w:eastAsia="宋体" w:cs="宋体"/>
                <w:b/>
                <w:bCs/>
                <w:color w:val="auto"/>
                <w:sz w:val="24"/>
                <w:szCs w:val="24"/>
                <w:highlight w:val="none"/>
                <w:lang w:eastAsia="zh-CN"/>
              </w:rPr>
            </w:pPr>
            <w:r>
              <w:rPr>
                <w:rFonts w:ascii="Segoe UI" w:hAnsi="Segoe UI" w:eastAsia="Segoe UI" w:cs="Segoe UI"/>
                <w:i w:val="0"/>
                <w:iCs w:val="0"/>
                <w:caps w:val="0"/>
                <w:spacing w:val="0"/>
                <w:sz w:val="24"/>
                <w:szCs w:val="24"/>
                <w:shd w:val="clear" w:fill="FCFCFC"/>
              </w:rPr>
              <w:t>未按</w:t>
            </w:r>
            <w:r>
              <w:rPr>
                <w:rFonts w:hint="eastAsia" w:ascii="Segoe UI" w:hAnsi="Segoe UI" w:eastAsia="宋体" w:cs="Segoe UI"/>
                <w:i w:val="0"/>
                <w:iCs w:val="0"/>
                <w:caps w:val="0"/>
                <w:spacing w:val="0"/>
                <w:sz w:val="24"/>
                <w:szCs w:val="24"/>
                <w:shd w:val="clear" w:fill="FCFCFC"/>
                <w:lang w:eastAsia="zh-CN"/>
              </w:rPr>
              <w:t>采购</w:t>
            </w:r>
            <w:r>
              <w:rPr>
                <w:rFonts w:ascii="Segoe UI" w:hAnsi="Segoe UI" w:eastAsia="Segoe UI" w:cs="Segoe UI"/>
                <w:i w:val="0"/>
                <w:iCs w:val="0"/>
                <w:caps w:val="0"/>
                <w:spacing w:val="0"/>
                <w:sz w:val="24"/>
                <w:szCs w:val="24"/>
                <w:shd w:val="clear" w:fill="FCFCFC"/>
              </w:rPr>
              <w:t>文件要求逐项填写《技术</w:t>
            </w:r>
            <w:r>
              <w:rPr>
                <w:rFonts w:hint="eastAsia" w:ascii="Segoe UI" w:hAnsi="Segoe UI" w:eastAsia="宋体" w:cs="Segoe UI"/>
                <w:i w:val="0"/>
                <w:iCs w:val="0"/>
                <w:caps w:val="0"/>
                <w:spacing w:val="0"/>
                <w:sz w:val="24"/>
                <w:szCs w:val="24"/>
                <w:shd w:val="clear" w:fill="FCFCFC"/>
                <w:lang w:eastAsia="zh-CN"/>
              </w:rPr>
              <w:t>偏离</w:t>
            </w:r>
            <w:r>
              <w:rPr>
                <w:rFonts w:ascii="Segoe UI" w:hAnsi="Segoe UI" w:eastAsia="Segoe UI" w:cs="Segoe UI"/>
                <w:i w:val="0"/>
                <w:iCs w:val="0"/>
                <w:caps w:val="0"/>
                <w:spacing w:val="0"/>
                <w:sz w:val="24"/>
                <w:szCs w:val="24"/>
                <w:shd w:val="clear" w:fill="FCFCFC"/>
              </w:rPr>
              <w:t>表》，或未提供技术偏离说明</w:t>
            </w:r>
            <w:r>
              <w:rPr>
                <w:rFonts w:hint="eastAsia" w:ascii="Segoe UI" w:hAnsi="Segoe UI" w:eastAsia="宋体" w:cs="Segoe UI"/>
                <w:i w:val="0"/>
                <w:iCs w:val="0"/>
                <w:caps w:val="0"/>
                <w:spacing w:val="0"/>
                <w:sz w:val="24"/>
                <w:szCs w:val="24"/>
                <w:shd w:val="clear" w:fill="FCFCFC"/>
                <w:lang w:eastAsia="zh-CN"/>
              </w:rPr>
              <w:t>。</w:t>
            </w:r>
          </w:p>
        </w:tc>
      </w:tr>
    </w:tbl>
    <w:p w14:paraId="59DE7D1A">
      <w:pPr>
        <w:spacing w:line="500" w:lineRule="exact"/>
        <w:rPr>
          <w:rFonts w:hint="eastAsia" w:ascii="宋体" w:hAnsi="宋体" w:eastAsia="宋体" w:cs="宋体"/>
          <w:b/>
          <w:color w:val="auto"/>
          <w:spacing w:val="-6"/>
          <w:szCs w:val="21"/>
          <w:highlight w:val="none"/>
        </w:rPr>
      </w:pPr>
      <w:r>
        <w:rPr>
          <w:rFonts w:hint="eastAsia" w:ascii="宋体" w:hAnsi="宋体" w:eastAsia="宋体" w:cs="宋体"/>
          <w:color w:val="auto"/>
          <w:spacing w:val="-6"/>
          <w:szCs w:val="21"/>
          <w:highlight w:val="none"/>
        </w:rPr>
        <w:t>注：响应文件不符合以上条件之一的，则其初步评审不能通过，该投标文件作无效处理。不再进入详细评审。</w:t>
      </w:r>
    </w:p>
    <w:p w14:paraId="73E2A6DE">
      <w:pPr>
        <w:jc w:val="left"/>
        <w:rPr>
          <w:rFonts w:hint="eastAsia" w:ascii="宋体" w:hAnsi="宋体" w:eastAsia="宋体" w:cs="宋体"/>
          <w:color w:val="auto"/>
          <w:highlight w:val="none"/>
        </w:rPr>
        <w:sectPr>
          <w:pgSz w:w="11906" w:h="16838"/>
          <w:pgMar w:top="1247" w:right="964" w:bottom="1134" w:left="964" w:header="851" w:footer="992" w:gutter="0"/>
          <w:cols w:space="720" w:num="1"/>
          <w:titlePg/>
          <w:docGrid w:type="lines" w:linePitch="312" w:charSpace="0"/>
        </w:sectPr>
      </w:pPr>
    </w:p>
    <w:p w14:paraId="1A17A33B">
      <w:pPr>
        <w:spacing w:line="360" w:lineRule="auto"/>
        <w:jc w:val="center"/>
        <w:rPr>
          <w:rFonts w:hint="eastAsia" w:ascii="宋体" w:hAnsi="宋体" w:eastAsia="宋体" w:cs="宋体"/>
          <w:szCs w:val="21"/>
          <w:highlight w:val="none"/>
        </w:rPr>
      </w:pPr>
      <w:r>
        <w:rPr>
          <w:rFonts w:hint="eastAsia" w:ascii="宋体" w:hAnsi="宋体" w:eastAsia="宋体" w:cs="宋体"/>
          <w:color w:val="auto"/>
          <w:sz w:val="28"/>
          <w:szCs w:val="28"/>
          <w:highlight w:val="none"/>
        </w:rPr>
        <w:t>（二）详细评审</w:t>
      </w:r>
    </w:p>
    <w:tbl>
      <w:tblPr>
        <w:tblStyle w:val="36"/>
        <w:tblW w:w="9216"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1"/>
        <w:gridCol w:w="957"/>
        <w:gridCol w:w="7338"/>
      </w:tblGrid>
      <w:tr w14:paraId="50860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1878" w:type="dxa"/>
            <w:gridSpan w:val="2"/>
            <w:tcBorders>
              <w:top w:val="single" w:color="auto" w:sz="4" w:space="0"/>
              <w:left w:val="single" w:color="auto" w:sz="4" w:space="0"/>
              <w:right w:val="single" w:color="auto" w:sz="4" w:space="0"/>
            </w:tcBorders>
            <w:vAlign w:val="center"/>
          </w:tcPr>
          <w:p w14:paraId="33BD10AB">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评分因素</w:t>
            </w:r>
          </w:p>
        </w:tc>
        <w:tc>
          <w:tcPr>
            <w:tcW w:w="7338" w:type="dxa"/>
            <w:tcBorders>
              <w:top w:val="single" w:color="auto" w:sz="4" w:space="0"/>
              <w:left w:val="single" w:color="auto" w:sz="4" w:space="0"/>
              <w:right w:val="single" w:color="auto" w:sz="4" w:space="0"/>
            </w:tcBorders>
            <w:vAlign w:val="center"/>
          </w:tcPr>
          <w:p w14:paraId="77353D85">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                      计分依据</w:t>
            </w:r>
          </w:p>
        </w:tc>
      </w:tr>
      <w:tr w14:paraId="417887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921" w:type="dxa"/>
            <w:tcBorders>
              <w:top w:val="single" w:color="auto" w:sz="4" w:space="0"/>
              <w:left w:val="single" w:color="auto" w:sz="4" w:space="0"/>
              <w:right w:val="single" w:color="auto" w:sz="4" w:space="0"/>
            </w:tcBorders>
            <w:vAlign w:val="center"/>
          </w:tcPr>
          <w:p w14:paraId="4127932C">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投标报价</w:t>
            </w:r>
          </w:p>
        </w:tc>
        <w:tc>
          <w:tcPr>
            <w:tcW w:w="957" w:type="dxa"/>
            <w:tcBorders>
              <w:top w:val="single" w:color="auto" w:sz="4" w:space="0"/>
              <w:left w:val="single" w:color="auto" w:sz="4" w:space="0"/>
              <w:right w:val="single" w:color="auto" w:sz="4" w:space="0"/>
            </w:tcBorders>
            <w:vAlign w:val="center"/>
          </w:tcPr>
          <w:p w14:paraId="2645DBBF">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30分</w:t>
            </w:r>
          </w:p>
        </w:tc>
        <w:tc>
          <w:tcPr>
            <w:tcW w:w="7338" w:type="dxa"/>
            <w:tcBorders>
              <w:top w:val="single" w:color="auto" w:sz="4" w:space="0"/>
              <w:left w:val="single" w:color="auto" w:sz="4" w:space="0"/>
              <w:right w:val="single" w:color="auto" w:sz="4" w:space="0"/>
            </w:tcBorders>
            <w:vAlign w:val="center"/>
          </w:tcPr>
          <w:p w14:paraId="6B48F382">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综合评分法中的价格分统一采用低价优先法计算，即满足采购文件要求（通过资格、符合性审查）且投标报价最低的有效投标报价为评标基准价，其价格得分为满分。其他供应商的价格得分统一按照下列公式计算：</w:t>
            </w:r>
          </w:p>
          <w:p w14:paraId="2BD23E35">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rPr>
              <w:t>投标报价得分=（基准价／投标报价）×</w:t>
            </w:r>
            <w:r>
              <w:rPr>
                <w:rFonts w:hint="eastAsia" w:ascii="宋体" w:hAnsi="宋体" w:cs="宋体"/>
                <w:color w:val="000000"/>
                <w:sz w:val="24"/>
                <w:szCs w:val="24"/>
                <w:lang w:val="en-US" w:eastAsia="zh-CN"/>
              </w:rPr>
              <w:t>30</w:t>
            </w:r>
            <w:r>
              <w:rPr>
                <w:rFonts w:hint="eastAsia" w:ascii="宋体" w:hAnsi="宋体" w:eastAsia="宋体" w:cs="宋体"/>
                <w:color w:val="000000"/>
                <w:sz w:val="24"/>
                <w:szCs w:val="24"/>
              </w:rPr>
              <w:t>。</w:t>
            </w:r>
          </w:p>
          <w:p w14:paraId="76E8E29F">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如果评标委员会认为最低的投标报价明显低于供应商其成本价格,有可能影响服务质量和不能诚信履约的，应当要求该供应商在规定的期限内予以解释说明并提供相关证明材料，供应商不能合理解释或提供相关证明材料的，则评委会认定其以低于成本价投标，其报价不能作为基准价,不计入报价计算（其报价为0分）。报价得分精确到小数点后二位。 </w:t>
            </w:r>
          </w:p>
        </w:tc>
      </w:tr>
      <w:tr w14:paraId="136C2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6" w:hRule="atLeast"/>
        </w:trPr>
        <w:tc>
          <w:tcPr>
            <w:tcW w:w="921" w:type="dxa"/>
            <w:vMerge w:val="restart"/>
            <w:tcBorders>
              <w:top w:val="single" w:color="auto" w:sz="4" w:space="0"/>
              <w:left w:val="single" w:color="auto" w:sz="4" w:space="0"/>
              <w:right w:val="single" w:color="auto" w:sz="4" w:space="0"/>
            </w:tcBorders>
            <w:vAlign w:val="center"/>
          </w:tcPr>
          <w:p w14:paraId="47F8075A">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技术部分</w:t>
            </w:r>
          </w:p>
        </w:tc>
        <w:tc>
          <w:tcPr>
            <w:tcW w:w="957" w:type="dxa"/>
            <w:tcBorders>
              <w:top w:val="single" w:color="auto" w:sz="4" w:space="0"/>
              <w:left w:val="single" w:color="auto" w:sz="4" w:space="0"/>
              <w:right w:val="single" w:color="auto" w:sz="4" w:space="0"/>
            </w:tcBorders>
            <w:vAlign w:val="center"/>
          </w:tcPr>
          <w:p w14:paraId="113ED5B3">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15分</w:t>
            </w:r>
          </w:p>
        </w:tc>
        <w:tc>
          <w:tcPr>
            <w:tcW w:w="7338" w:type="dxa"/>
            <w:tcBorders>
              <w:top w:val="single" w:color="auto" w:sz="4" w:space="0"/>
              <w:left w:val="single" w:color="auto" w:sz="4" w:space="0"/>
              <w:bottom w:val="single" w:color="auto" w:sz="4" w:space="0"/>
              <w:right w:val="single" w:color="auto" w:sz="4" w:space="0"/>
            </w:tcBorders>
          </w:tcPr>
          <w:p w14:paraId="434D6F73">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b/>
                <w:bCs/>
                <w:sz w:val="24"/>
                <w:szCs w:val="24"/>
              </w:rPr>
            </w:pPr>
            <w:r>
              <w:rPr>
                <w:rFonts w:hint="eastAsia" w:ascii="宋体" w:hAnsi="宋体" w:eastAsia="宋体" w:cs="宋体"/>
                <w:b/>
                <w:bCs/>
                <w:sz w:val="24"/>
                <w:szCs w:val="24"/>
              </w:rPr>
              <w:t>技术方案：</w:t>
            </w:r>
          </w:p>
          <w:p w14:paraId="78BF3C21">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sz w:val="24"/>
                <w:szCs w:val="24"/>
              </w:rPr>
            </w:pPr>
            <w:r>
              <w:rPr>
                <w:rFonts w:hint="eastAsia" w:ascii="宋体" w:hAnsi="宋体" w:eastAsia="宋体" w:cs="宋体"/>
                <w:sz w:val="24"/>
                <w:szCs w:val="24"/>
              </w:rPr>
              <w:t>方案包含但不限于：1.需求分析方案；2.展柜改造方案；3.展柜调控方案；4.设备配置方案；5.相关设计图纸等。</w:t>
            </w:r>
          </w:p>
          <w:p w14:paraId="73D31914">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sz w:val="24"/>
                <w:szCs w:val="24"/>
              </w:rPr>
            </w:pPr>
            <w:r>
              <w:rPr>
                <w:rFonts w:hint="eastAsia" w:ascii="宋体" w:hAnsi="宋体" w:eastAsia="宋体" w:cs="宋体"/>
                <w:sz w:val="24"/>
                <w:szCs w:val="24"/>
              </w:rPr>
              <w:t>方案合理、完善程度高，要点描述详尽，均符合项目需求，完全适用每项得</w:t>
            </w:r>
            <w:r>
              <w:rPr>
                <w:rFonts w:hint="eastAsia" w:ascii="宋体" w:hAnsi="宋体" w:cs="宋体"/>
                <w:sz w:val="24"/>
                <w:szCs w:val="24"/>
                <w:lang w:val="en-US" w:eastAsia="zh-CN"/>
              </w:rPr>
              <w:t>3</w:t>
            </w:r>
            <w:r>
              <w:rPr>
                <w:rFonts w:hint="eastAsia" w:ascii="宋体" w:hAnsi="宋体" w:eastAsia="宋体" w:cs="宋体"/>
                <w:sz w:val="24"/>
                <w:szCs w:val="24"/>
              </w:rPr>
              <w:t>分，提供方案内容</w:t>
            </w:r>
            <w:r>
              <w:rPr>
                <w:rFonts w:hint="eastAsia" w:ascii="宋体" w:hAnsi="宋体" w:eastAsia="宋体" w:cs="宋体"/>
                <w:sz w:val="24"/>
                <w:szCs w:val="24"/>
                <w:lang w:eastAsia="zh-CN"/>
              </w:rPr>
              <w:t>有</w:t>
            </w:r>
            <w:r>
              <w:rPr>
                <w:rFonts w:hint="eastAsia" w:ascii="宋体" w:hAnsi="宋体" w:eastAsia="宋体" w:cs="宋体"/>
                <w:sz w:val="24"/>
                <w:szCs w:val="24"/>
              </w:rPr>
              <w:t>部分缺失、未提供方案、方案不合理</w:t>
            </w:r>
            <w:r>
              <w:rPr>
                <w:rFonts w:hint="eastAsia" w:ascii="宋体" w:hAnsi="宋体" w:eastAsia="宋体" w:cs="宋体"/>
                <w:sz w:val="24"/>
                <w:szCs w:val="24"/>
                <w:lang w:eastAsia="zh-CN"/>
              </w:rPr>
              <w:t>的该项</w:t>
            </w:r>
            <w:r>
              <w:rPr>
                <w:rFonts w:hint="eastAsia" w:ascii="宋体" w:hAnsi="宋体" w:eastAsia="宋体" w:cs="宋体"/>
                <w:sz w:val="24"/>
                <w:szCs w:val="24"/>
              </w:rPr>
              <w:t>不得分。</w:t>
            </w:r>
          </w:p>
        </w:tc>
      </w:tr>
      <w:tr w14:paraId="769E1D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5" w:hRule="atLeast"/>
        </w:trPr>
        <w:tc>
          <w:tcPr>
            <w:tcW w:w="921" w:type="dxa"/>
            <w:vMerge w:val="continue"/>
            <w:tcBorders>
              <w:top w:val="single" w:color="auto" w:sz="4" w:space="0"/>
              <w:left w:val="single" w:color="auto" w:sz="4" w:space="0"/>
              <w:right w:val="single" w:color="auto" w:sz="4" w:space="0"/>
            </w:tcBorders>
            <w:vAlign w:val="center"/>
          </w:tcPr>
          <w:p w14:paraId="6FB340F1">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4"/>
                <w:szCs w:val="24"/>
              </w:rPr>
            </w:pPr>
          </w:p>
        </w:tc>
        <w:tc>
          <w:tcPr>
            <w:tcW w:w="957" w:type="dxa"/>
            <w:tcBorders>
              <w:top w:val="single" w:color="auto" w:sz="4" w:space="0"/>
              <w:left w:val="single" w:color="auto" w:sz="4" w:space="0"/>
              <w:right w:val="single" w:color="auto" w:sz="4" w:space="0"/>
            </w:tcBorders>
            <w:vAlign w:val="center"/>
          </w:tcPr>
          <w:p w14:paraId="4ACF5B81">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10分</w:t>
            </w:r>
          </w:p>
        </w:tc>
        <w:tc>
          <w:tcPr>
            <w:tcW w:w="7338" w:type="dxa"/>
            <w:tcBorders>
              <w:top w:val="single" w:color="auto" w:sz="4" w:space="0"/>
              <w:left w:val="single" w:color="auto" w:sz="4" w:space="0"/>
              <w:bottom w:val="single" w:color="auto" w:sz="4" w:space="0"/>
              <w:right w:val="single" w:color="auto" w:sz="4" w:space="0"/>
            </w:tcBorders>
          </w:tcPr>
          <w:p w14:paraId="45315F28">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rPr>
              <w:t>系统、设备兼容性方案：</w:t>
            </w:r>
          </w:p>
          <w:p w14:paraId="5E7FAE21">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为确保本项目采购设备能够兼容馆内现有系统，且设备及系统对接过程中不会产生因第三方提出侵犯其专利权、商标权或其他知识产权而引起的法律或经济纠纷，提供合理的兼容性解决方案。方案包含但不限于：兼容性解决方案；兼容性承诺函。</w:t>
            </w:r>
          </w:p>
          <w:p w14:paraId="38D6FF28">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①提供兼容性解决方案，方案合理、详细、可行性高，提供具体实施细节及措施的，得</w:t>
            </w:r>
            <w:r>
              <w:rPr>
                <w:rFonts w:hint="eastAsia" w:ascii="宋体" w:hAnsi="宋体" w:cs="宋体"/>
                <w:color w:val="000000"/>
                <w:sz w:val="24"/>
                <w:szCs w:val="24"/>
                <w:lang w:val="en-US" w:eastAsia="zh-CN"/>
              </w:rPr>
              <w:t>5</w:t>
            </w:r>
            <w:r>
              <w:rPr>
                <w:rFonts w:hint="eastAsia" w:ascii="宋体" w:hAnsi="宋体" w:eastAsia="宋体" w:cs="宋体"/>
                <w:color w:val="000000"/>
                <w:sz w:val="24"/>
                <w:szCs w:val="24"/>
              </w:rPr>
              <w:t>分；兼容性解决方案内容撰写不完善、未细化、不符合项目实际情况</w:t>
            </w:r>
            <w:r>
              <w:rPr>
                <w:rFonts w:hint="eastAsia" w:ascii="宋体" w:hAnsi="宋体" w:cs="宋体"/>
                <w:color w:val="000000"/>
                <w:sz w:val="24"/>
                <w:szCs w:val="24"/>
                <w:lang w:eastAsia="zh-CN"/>
              </w:rPr>
              <w:t>或</w:t>
            </w:r>
            <w:r>
              <w:rPr>
                <w:rFonts w:hint="eastAsia" w:ascii="宋体" w:hAnsi="宋体" w:eastAsia="宋体" w:cs="宋体"/>
                <w:color w:val="000000"/>
                <w:sz w:val="24"/>
                <w:szCs w:val="24"/>
              </w:rPr>
              <w:t>未提供具体实施细节及措施， 得 0 分。</w:t>
            </w:r>
          </w:p>
          <w:p w14:paraId="62ED6223">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②提供兼容性承诺函，得</w:t>
            </w:r>
            <w:r>
              <w:rPr>
                <w:rFonts w:hint="eastAsia" w:ascii="宋体" w:hAnsi="宋体" w:cs="宋体"/>
                <w:color w:val="000000"/>
                <w:sz w:val="24"/>
                <w:szCs w:val="24"/>
                <w:lang w:val="en-US" w:eastAsia="zh-CN"/>
              </w:rPr>
              <w:t>5</w:t>
            </w:r>
            <w:r>
              <w:rPr>
                <w:rFonts w:hint="eastAsia" w:ascii="宋体" w:hAnsi="宋体" w:eastAsia="宋体" w:cs="宋体"/>
                <w:color w:val="000000"/>
                <w:sz w:val="24"/>
                <w:szCs w:val="24"/>
              </w:rPr>
              <w:t>分。</w:t>
            </w:r>
          </w:p>
        </w:tc>
      </w:tr>
      <w:tr w14:paraId="0D853A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3" w:hRule="atLeast"/>
        </w:trPr>
        <w:tc>
          <w:tcPr>
            <w:tcW w:w="921" w:type="dxa"/>
            <w:vMerge w:val="continue"/>
            <w:tcBorders>
              <w:left w:val="single" w:color="auto" w:sz="4" w:space="0"/>
              <w:right w:val="single" w:color="auto" w:sz="4" w:space="0"/>
            </w:tcBorders>
            <w:vAlign w:val="center"/>
          </w:tcPr>
          <w:p w14:paraId="37C3A23F">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4"/>
                <w:szCs w:val="24"/>
              </w:rPr>
            </w:pPr>
          </w:p>
        </w:tc>
        <w:tc>
          <w:tcPr>
            <w:tcW w:w="957" w:type="dxa"/>
            <w:tcBorders>
              <w:top w:val="single" w:color="auto" w:sz="4" w:space="0"/>
              <w:left w:val="single" w:color="auto" w:sz="4" w:space="0"/>
              <w:right w:val="single" w:color="auto" w:sz="4" w:space="0"/>
            </w:tcBorders>
            <w:vAlign w:val="center"/>
          </w:tcPr>
          <w:p w14:paraId="6734119E">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20分</w:t>
            </w:r>
          </w:p>
        </w:tc>
        <w:tc>
          <w:tcPr>
            <w:tcW w:w="7338" w:type="dxa"/>
            <w:tcBorders>
              <w:top w:val="single" w:color="auto" w:sz="4" w:space="0"/>
              <w:left w:val="single" w:color="auto" w:sz="4" w:space="0"/>
              <w:bottom w:val="single" w:color="auto" w:sz="4" w:space="0"/>
              <w:right w:val="single" w:color="auto" w:sz="4" w:space="0"/>
            </w:tcBorders>
          </w:tcPr>
          <w:p w14:paraId="76836C8E">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rPr>
              <w:t>技术指标：</w:t>
            </w:r>
          </w:p>
          <w:p w14:paraId="1CF9B5CD">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投标文件技术参数★部分每负偏离一项扣2分；非★部分每负偏离一项扣1分；满分20分，扣完为止，不计负分。</w:t>
            </w:r>
          </w:p>
        </w:tc>
      </w:tr>
      <w:tr w14:paraId="32FA13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921" w:type="dxa"/>
            <w:vMerge w:val="restart"/>
            <w:tcBorders>
              <w:left w:val="single" w:color="auto" w:sz="4" w:space="0"/>
              <w:right w:val="single" w:color="auto" w:sz="4" w:space="0"/>
            </w:tcBorders>
            <w:vAlign w:val="center"/>
          </w:tcPr>
          <w:p w14:paraId="6C527635">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商务部分</w:t>
            </w:r>
          </w:p>
        </w:tc>
        <w:tc>
          <w:tcPr>
            <w:tcW w:w="957" w:type="dxa"/>
            <w:tcBorders>
              <w:top w:val="single" w:color="auto" w:sz="4" w:space="0"/>
              <w:left w:val="single" w:color="auto" w:sz="4" w:space="0"/>
              <w:right w:val="single" w:color="auto" w:sz="4" w:space="0"/>
            </w:tcBorders>
            <w:vAlign w:val="center"/>
          </w:tcPr>
          <w:p w14:paraId="328DD12E">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6分</w:t>
            </w:r>
          </w:p>
        </w:tc>
        <w:tc>
          <w:tcPr>
            <w:tcW w:w="7338" w:type="dxa"/>
            <w:tcBorders>
              <w:top w:val="single" w:color="auto" w:sz="4" w:space="0"/>
              <w:left w:val="single" w:color="auto" w:sz="4" w:space="0"/>
              <w:bottom w:val="single" w:color="auto" w:sz="4" w:space="0"/>
              <w:right w:val="single" w:color="auto" w:sz="4" w:space="0"/>
            </w:tcBorders>
          </w:tcPr>
          <w:p w14:paraId="23F43AC0">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b/>
                <w:bCs/>
                <w:color w:val="000000"/>
                <w:sz w:val="24"/>
                <w:szCs w:val="24"/>
              </w:rPr>
            </w:pPr>
            <w:r>
              <w:rPr>
                <w:rFonts w:hint="eastAsia" w:ascii="宋体" w:hAnsi="宋体" w:cs="宋体"/>
                <w:b/>
                <w:bCs/>
                <w:color w:val="000000"/>
                <w:sz w:val="24"/>
                <w:szCs w:val="24"/>
                <w:lang w:eastAsia="zh-CN"/>
              </w:rPr>
              <w:t>供应商</w:t>
            </w:r>
            <w:r>
              <w:rPr>
                <w:rFonts w:hint="eastAsia" w:ascii="宋体" w:hAnsi="宋体" w:eastAsia="宋体" w:cs="宋体"/>
                <w:b/>
                <w:bCs/>
                <w:color w:val="000000"/>
                <w:sz w:val="24"/>
                <w:szCs w:val="24"/>
              </w:rPr>
              <w:t>资质：</w:t>
            </w:r>
          </w:p>
          <w:p w14:paraId="6CD63D94">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1.</w:t>
            </w:r>
            <w:r>
              <w:rPr>
                <w:rFonts w:hint="eastAsia" w:ascii="宋体" w:hAnsi="宋体" w:cs="宋体"/>
                <w:color w:val="000000"/>
                <w:sz w:val="24"/>
                <w:szCs w:val="24"/>
                <w:lang w:eastAsia="zh-CN"/>
              </w:rPr>
              <w:t>供应商</w:t>
            </w:r>
            <w:r>
              <w:rPr>
                <w:rFonts w:hint="eastAsia" w:ascii="宋体" w:hAnsi="宋体" w:eastAsia="宋体" w:cs="宋体"/>
                <w:color w:val="000000"/>
                <w:sz w:val="24"/>
                <w:szCs w:val="24"/>
              </w:rPr>
              <w:t>具备 ISO45001 职业健康安全管理体系认证证书、ISO19001质量管理体系认证证书、ISO14001环境管理体系认证证书，提供 一个证书得 2 分，满分6分（（以上三项认证范围须包含文物保护装备与系统相关内容，否则不得分，提供复印件并加盖公章）。</w:t>
            </w:r>
          </w:p>
        </w:tc>
      </w:tr>
      <w:tr w14:paraId="795CAB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8" w:hRule="atLeast"/>
        </w:trPr>
        <w:tc>
          <w:tcPr>
            <w:tcW w:w="921" w:type="dxa"/>
            <w:vMerge w:val="continue"/>
            <w:tcBorders>
              <w:left w:val="single" w:color="auto" w:sz="4" w:space="0"/>
              <w:right w:val="single" w:color="auto" w:sz="4" w:space="0"/>
            </w:tcBorders>
            <w:vAlign w:val="center"/>
          </w:tcPr>
          <w:p w14:paraId="0ECE2144">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4"/>
                <w:szCs w:val="24"/>
              </w:rPr>
            </w:pPr>
          </w:p>
        </w:tc>
        <w:tc>
          <w:tcPr>
            <w:tcW w:w="957" w:type="dxa"/>
            <w:tcBorders>
              <w:top w:val="single" w:color="auto" w:sz="4" w:space="0"/>
              <w:left w:val="single" w:color="auto" w:sz="4" w:space="0"/>
              <w:right w:val="single" w:color="auto" w:sz="4" w:space="0"/>
            </w:tcBorders>
            <w:vAlign w:val="center"/>
          </w:tcPr>
          <w:p w14:paraId="14DEDA5D">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8分</w:t>
            </w:r>
          </w:p>
        </w:tc>
        <w:tc>
          <w:tcPr>
            <w:tcW w:w="7338" w:type="dxa"/>
            <w:tcBorders>
              <w:top w:val="single" w:color="auto" w:sz="4" w:space="0"/>
              <w:left w:val="single" w:color="auto" w:sz="4" w:space="0"/>
              <w:bottom w:val="single" w:color="auto" w:sz="4" w:space="0"/>
              <w:right w:val="single" w:color="auto" w:sz="4" w:space="0"/>
            </w:tcBorders>
          </w:tcPr>
          <w:p w14:paraId="42539BB6">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rPr>
              <w:t>类似业绩：</w:t>
            </w:r>
          </w:p>
          <w:p w14:paraId="08CDAE5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000000"/>
                <w:sz w:val="24"/>
                <w:szCs w:val="24"/>
              </w:rPr>
            </w:pPr>
            <w:r>
              <w:rPr>
                <w:rFonts w:hint="eastAsia" w:ascii="宋体" w:hAnsi="宋体" w:cs="宋体"/>
                <w:color w:val="000000"/>
                <w:sz w:val="24"/>
                <w:szCs w:val="24"/>
                <w:lang w:eastAsia="zh-CN"/>
              </w:rPr>
              <w:t>供应商</w:t>
            </w:r>
            <w:r>
              <w:rPr>
                <w:rFonts w:hint="eastAsia" w:ascii="宋体" w:hAnsi="宋体" w:eastAsia="宋体" w:cs="宋体"/>
                <w:color w:val="000000"/>
                <w:sz w:val="24"/>
                <w:szCs w:val="24"/>
              </w:rPr>
              <w:t>2022年1月1日至今类似项目业绩，1个得2分，最高8分。（以合同签订日期为准，投标文件中附加盖公章的合同（中标通知书、合同名称、日期、金额、签章页面）复印件，否则不作为评审依据）</w:t>
            </w:r>
          </w:p>
        </w:tc>
      </w:tr>
      <w:tr w14:paraId="194E5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8" w:hRule="atLeast"/>
        </w:trPr>
        <w:tc>
          <w:tcPr>
            <w:tcW w:w="921" w:type="dxa"/>
            <w:vMerge w:val="continue"/>
            <w:tcBorders>
              <w:left w:val="single" w:color="auto" w:sz="4" w:space="0"/>
              <w:right w:val="single" w:color="auto" w:sz="4" w:space="0"/>
            </w:tcBorders>
            <w:vAlign w:val="center"/>
          </w:tcPr>
          <w:p w14:paraId="00A35C10">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4"/>
                <w:szCs w:val="24"/>
              </w:rPr>
            </w:pPr>
          </w:p>
        </w:tc>
        <w:tc>
          <w:tcPr>
            <w:tcW w:w="957" w:type="dxa"/>
            <w:tcBorders>
              <w:top w:val="single" w:color="auto" w:sz="4" w:space="0"/>
              <w:left w:val="single" w:color="auto" w:sz="4" w:space="0"/>
              <w:right w:val="single" w:color="auto" w:sz="4" w:space="0"/>
            </w:tcBorders>
            <w:vAlign w:val="center"/>
          </w:tcPr>
          <w:p w14:paraId="160F8391">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6分</w:t>
            </w:r>
          </w:p>
        </w:tc>
        <w:tc>
          <w:tcPr>
            <w:tcW w:w="7338" w:type="dxa"/>
            <w:tcBorders>
              <w:top w:val="single" w:color="auto" w:sz="4" w:space="0"/>
              <w:left w:val="single" w:color="auto" w:sz="4" w:space="0"/>
              <w:bottom w:val="single" w:color="auto" w:sz="4" w:space="0"/>
              <w:right w:val="single" w:color="auto" w:sz="4" w:space="0"/>
            </w:tcBorders>
          </w:tcPr>
          <w:p w14:paraId="1478AEF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rPr>
              <w:t>项目团队人员：</w:t>
            </w:r>
          </w:p>
          <w:p w14:paraId="0C35238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①</w:t>
            </w:r>
            <w:r>
              <w:rPr>
                <w:rFonts w:hint="eastAsia" w:ascii="宋体" w:hAnsi="宋体" w:cs="宋体"/>
                <w:color w:val="000000"/>
                <w:sz w:val="24"/>
                <w:szCs w:val="24"/>
                <w:lang w:eastAsia="zh-CN"/>
              </w:rPr>
              <w:t>供应商</w:t>
            </w:r>
            <w:r>
              <w:rPr>
                <w:rFonts w:hint="eastAsia" w:ascii="宋体" w:hAnsi="宋体" w:eastAsia="宋体" w:cs="宋体"/>
                <w:color w:val="000000"/>
                <w:sz w:val="24"/>
                <w:szCs w:val="24"/>
              </w:rPr>
              <w:t>具备国家授权具有人员职称评定资格的机构颁发的高级技术职称的成员，并在项目管理中承担实际责任的且专业内容与本项目相关，加2分；具备副高级技术职称的成员，并在项目管理中承担实际责任的且专业内容与本项目相关，加1分；具有中级技术职称的成员，并在项目管理中承担实际责任的且专业内容与本项目相关，加0.5分。以上累计不超过6分，人员从业资格证书不作为技术职称评定，除有通用规定的除外不纳入计分。</w:t>
            </w:r>
          </w:p>
          <w:p w14:paraId="6C6A15B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③项目团队人员配置完善，人员信息齐全（包括但不限于姓名、身份证明、联系方式、社保缴纳证明或聘用合同等材料），人员配置满足项目实际情况。</w:t>
            </w:r>
          </w:p>
        </w:tc>
      </w:tr>
      <w:tr w14:paraId="031969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921" w:type="dxa"/>
            <w:vMerge w:val="continue"/>
            <w:tcBorders>
              <w:left w:val="single" w:color="auto" w:sz="4" w:space="0"/>
              <w:right w:val="single" w:color="auto" w:sz="4" w:space="0"/>
            </w:tcBorders>
            <w:vAlign w:val="center"/>
          </w:tcPr>
          <w:p w14:paraId="2B129055">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4"/>
                <w:szCs w:val="24"/>
              </w:rPr>
            </w:pPr>
          </w:p>
        </w:tc>
        <w:tc>
          <w:tcPr>
            <w:tcW w:w="957" w:type="dxa"/>
            <w:tcBorders>
              <w:top w:val="single" w:color="auto" w:sz="4" w:space="0"/>
              <w:left w:val="single" w:color="auto" w:sz="4" w:space="0"/>
              <w:right w:val="single" w:color="auto" w:sz="4" w:space="0"/>
            </w:tcBorders>
            <w:vAlign w:val="center"/>
          </w:tcPr>
          <w:p w14:paraId="0237D351">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5分</w:t>
            </w:r>
          </w:p>
        </w:tc>
        <w:tc>
          <w:tcPr>
            <w:tcW w:w="7338" w:type="dxa"/>
            <w:tcBorders>
              <w:top w:val="single" w:color="auto" w:sz="4" w:space="0"/>
              <w:left w:val="single" w:color="auto" w:sz="4" w:space="0"/>
              <w:bottom w:val="single" w:color="auto" w:sz="4" w:space="0"/>
              <w:right w:val="single" w:color="auto" w:sz="4" w:space="0"/>
            </w:tcBorders>
            <w:vAlign w:val="center"/>
          </w:tcPr>
          <w:p w14:paraId="4A59A279">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rPr>
              <w:t>售后服务方案</w:t>
            </w:r>
          </w:p>
          <w:p w14:paraId="4D4BFFBB">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①</w:t>
            </w:r>
            <w:r>
              <w:rPr>
                <w:rFonts w:hint="eastAsia" w:ascii="宋体" w:hAnsi="宋体" w:cs="宋体"/>
                <w:color w:val="000000"/>
                <w:sz w:val="24"/>
                <w:szCs w:val="24"/>
                <w:lang w:eastAsia="zh-CN"/>
              </w:rPr>
              <w:t>供应商</w:t>
            </w:r>
            <w:r>
              <w:rPr>
                <w:rFonts w:hint="eastAsia" w:ascii="宋体" w:hAnsi="宋体" w:eastAsia="宋体" w:cs="宋体"/>
                <w:color w:val="000000"/>
                <w:sz w:val="24"/>
                <w:szCs w:val="24"/>
              </w:rPr>
              <w:t>具备五星商品售后服务认证证书（服务能力达到 GB/T 27922-2011《商品售后服务评价体系》，认证范围须包含文物保护装备与系统相关内容）的得2分；</w:t>
            </w:r>
          </w:p>
          <w:p w14:paraId="4C3BBA7B">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②</w:t>
            </w:r>
            <w:r>
              <w:rPr>
                <w:rFonts w:hint="eastAsia" w:ascii="宋体" w:hAnsi="宋体" w:cs="宋体"/>
                <w:color w:val="000000"/>
                <w:sz w:val="24"/>
                <w:szCs w:val="24"/>
                <w:lang w:eastAsia="zh-CN"/>
              </w:rPr>
              <w:t>供应商</w:t>
            </w:r>
            <w:r>
              <w:rPr>
                <w:rFonts w:hint="eastAsia" w:ascii="宋体" w:hAnsi="宋体" w:eastAsia="宋体" w:cs="宋体"/>
                <w:color w:val="000000"/>
                <w:sz w:val="24"/>
                <w:szCs w:val="24"/>
              </w:rPr>
              <w:t>应提供针对本项目的售后服务方案，包括</w:t>
            </w:r>
            <w:r>
              <w:rPr>
                <w:rFonts w:hint="eastAsia" w:ascii="宋体" w:hAnsi="宋体" w:eastAsia="宋体" w:cs="宋体"/>
                <w:sz w:val="24"/>
                <w:szCs w:val="24"/>
              </w:rPr>
              <w:t>1.</w:t>
            </w:r>
            <w:r>
              <w:rPr>
                <w:rFonts w:hint="eastAsia" w:ascii="宋体" w:hAnsi="宋体" w:eastAsia="宋体" w:cs="宋体"/>
                <w:color w:val="000000"/>
                <w:sz w:val="24"/>
                <w:szCs w:val="24"/>
              </w:rPr>
              <w:t>售后服务体系，</w:t>
            </w:r>
            <w:r>
              <w:rPr>
                <w:rFonts w:hint="eastAsia" w:ascii="宋体" w:hAnsi="宋体" w:cs="宋体"/>
                <w:color w:val="000000"/>
                <w:sz w:val="24"/>
                <w:szCs w:val="24"/>
                <w:lang w:val="en-US" w:eastAsia="zh-CN"/>
              </w:rPr>
              <w:t>2</w:t>
            </w:r>
            <w:r>
              <w:rPr>
                <w:rFonts w:hint="eastAsia" w:ascii="宋体" w:hAnsi="宋体" w:eastAsia="宋体" w:cs="宋体"/>
                <w:sz w:val="24"/>
                <w:szCs w:val="24"/>
              </w:rPr>
              <w:t>.</w:t>
            </w:r>
            <w:r>
              <w:rPr>
                <w:rFonts w:hint="eastAsia" w:ascii="宋体" w:hAnsi="宋体" w:eastAsia="宋体" w:cs="宋体"/>
                <w:color w:val="000000"/>
                <w:sz w:val="24"/>
                <w:szCs w:val="24"/>
              </w:rPr>
              <w:t>售后服务内容，</w:t>
            </w:r>
            <w:r>
              <w:rPr>
                <w:rFonts w:hint="eastAsia" w:ascii="宋体" w:hAnsi="宋体" w:cs="宋体"/>
                <w:color w:val="000000"/>
                <w:sz w:val="24"/>
                <w:szCs w:val="24"/>
                <w:lang w:val="en-US" w:eastAsia="zh-CN"/>
              </w:rPr>
              <w:t>3</w:t>
            </w:r>
            <w:r>
              <w:rPr>
                <w:rFonts w:hint="eastAsia" w:ascii="宋体" w:hAnsi="宋体" w:eastAsia="宋体" w:cs="宋体"/>
                <w:sz w:val="24"/>
                <w:szCs w:val="24"/>
              </w:rPr>
              <w:t>.</w:t>
            </w:r>
            <w:r>
              <w:rPr>
                <w:rFonts w:hint="eastAsia" w:ascii="宋体" w:hAnsi="宋体" w:eastAsia="宋体" w:cs="宋体"/>
                <w:color w:val="000000"/>
                <w:sz w:val="24"/>
                <w:szCs w:val="24"/>
              </w:rPr>
              <w:t>服务响应时间等内容。</w:t>
            </w:r>
          </w:p>
          <w:p w14:paraId="3AA472CB">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方案合理、完善程度高，要点描述详尽，均符合项目需求，完全适用每项得</w:t>
            </w:r>
            <w:r>
              <w:rPr>
                <w:rFonts w:hint="eastAsia" w:ascii="宋体" w:hAnsi="宋体" w:eastAsia="宋体" w:cs="宋体"/>
                <w:color w:val="000000"/>
                <w:sz w:val="24"/>
                <w:szCs w:val="24"/>
                <w:lang w:val="en-US" w:eastAsia="zh-CN"/>
              </w:rPr>
              <w:t>1</w:t>
            </w:r>
            <w:r>
              <w:rPr>
                <w:rFonts w:hint="eastAsia" w:ascii="宋体" w:hAnsi="宋体" w:eastAsia="宋体" w:cs="宋体"/>
                <w:color w:val="000000"/>
                <w:sz w:val="24"/>
                <w:szCs w:val="24"/>
              </w:rPr>
              <w:t>分，提供方案内容</w:t>
            </w:r>
            <w:r>
              <w:rPr>
                <w:rFonts w:hint="eastAsia" w:ascii="宋体" w:hAnsi="宋体" w:eastAsia="宋体" w:cs="宋体"/>
                <w:color w:val="000000"/>
                <w:sz w:val="24"/>
                <w:szCs w:val="24"/>
                <w:lang w:eastAsia="zh-CN"/>
              </w:rPr>
              <w:t>有</w:t>
            </w:r>
            <w:r>
              <w:rPr>
                <w:rFonts w:hint="eastAsia" w:ascii="宋体" w:hAnsi="宋体" w:eastAsia="宋体" w:cs="宋体"/>
                <w:color w:val="000000"/>
                <w:sz w:val="24"/>
                <w:szCs w:val="24"/>
              </w:rPr>
              <w:t>部分缺失、未提供方案、方案不合理</w:t>
            </w:r>
            <w:r>
              <w:rPr>
                <w:rFonts w:hint="eastAsia" w:ascii="宋体" w:hAnsi="宋体" w:eastAsia="宋体" w:cs="宋体"/>
                <w:color w:val="000000"/>
                <w:sz w:val="24"/>
                <w:szCs w:val="24"/>
                <w:lang w:eastAsia="zh-CN"/>
              </w:rPr>
              <w:t>的该项</w:t>
            </w:r>
            <w:r>
              <w:rPr>
                <w:rFonts w:hint="eastAsia" w:ascii="宋体" w:hAnsi="宋体" w:eastAsia="宋体" w:cs="宋体"/>
                <w:color w:val="000000"/>
                <w:sz w:val="24"/>
                <w:szCs w:val="24"/>
              </w:rPr>
              <w:t>不得分。</w:t>
            </w:r>
          </w:p>
        </w:tc>
      </w:tr>
    </w:tbl>
    <w:p w14:paraId="2F966C97">
      <w:pPr>
        <w:rPr>
          <w:rFonts w:hint="eastAsia" w:ascii="宋体" w:hAnsi="宋体" w:eastAsia="宋体" w:cs="宋体"/>
          <w:b/>
          <w:sz w:val="24"/>
          <w:szCs w:val="24"/>
          <w:highlight w:val="none"/>
        </w:rPr>
      </w:pPr>
      <w:r>
        <w:rPr>
          <w:rFonts w:hint="eastAsia" w:ascii="宋体" w:hAnsi="宋体" w:eastAsia="宋体" w:cs="宋体"/>
          <w:b/>
          <w:sz w:val="28"/>
          <w:szCs w:val="28"/>
          <w:highlight w:val="none"/>
        </w:rPr>
        <w:br w:type="page"/>
      </w:r>
      <w:bookmarkStart w:id="16" w:name="_Toc34654711"/>
      <w:bookmarkStart w:id="17" w:name="_Toc246996243"/>
      <w:bookmarkStart w:id="18" w:name="_Toc179632618"/>
      <w:bookmarkStart w:id="19" w:name="_Toc246996986"/>
      <w:bookmarkStart w:id="20" w:name="_Toc370292199"/>
      <w:bookmarkStart w:id="21" w:name="_Toc350070662"/>
      <w:bookmarkStart w:id="22" w:name="_Toc152045600"/>
      <w:bookmarkStart w:id="23" w:name="_Toc247085758"/>
      <w:bookmarkStart w:id="24" w:name="_Toc144974567"/>
      <w:bookmarkStart w:id="25" w:name="_Toc152042377"/>
      <w:r>
        <w:rPr>
          <w:rFonts w:hint="eastAsia" w:ascii="宋体" w:hAnsi="宋体" w:eastAsia="宋体" w:cs="宋体"/>
          <w:b/>
          <w:sz w:val="24"/>
          <w:szCs w:val="24"/>
          <w:highlight w:val="none"/>
        </w:rPr>
        <w:t>1. 评标方法</w:t>
      </w:r>
      <w:bookmarkEnd w:id="16"/>
      <w:bookmarkEnd w:id="17"/>
      <w:bookmarkEnd w:id="18"/>
      <w:bookmarkEnd w:id="19"/>
      <w:bookmarkEnd w:id="20"/>
      <w:bookmarkEnd w:id="21"/>
      <w:bookmarkEnd w:id="22"/>
      <w:bookmarkEnd w:id="23"/>
      <w:bookmarkEnd w:id="24"/>
      <w:bookmarkEnd w:id="25"/>
    </w:p>
    <w:p w14:paraId="327F2AE0">
      <w:pPr>
        <w:spacing w:line="4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本次评标采用综合评分法。评标委员会对满足</w:t>
      </w:r>
      <w:r>
        <w:rPr>
          <w:rFonts w:hint="eastAsia" w:ascii="宋体" w:hAnsi="宋体" w:cs="宋体"/>
          <w:sz w:val="24"/>
          <w:szCs w:val="24"/>
          <w:highlight w:val="none"/>
          <w:lang w:eastAsia="zh-CN"/>
        </w:rPr>
        <w:t>采购文件</w:t>
      </w:r>
      <w:r>
        <w:rPr>
          <w:rFonts w:hint="eastAsia" w:ascii="宋体" w:hAnsi="宋体" w:eastAsia="宋体" w:cs="宋体"/>
          <w:sz w:val="24"/>
          <w:szCs w:val="24"/>
          <w:highlight w:val="none"/>
        </w:rPr>
        <w:t>实质性要求的投标文件，按照本章第2.2款规定的评分标准进行打分，并按得分由高到低顺序推荐中标候选人，或根据采购人授权直接确定中标人，但投标报价低于其成本的除外。综合评分相等时，以投标报价低的优先；投标报价也相等的，以技术部分优者优先；技术部分得分也相等的，由采购人或其授权的评标委员会自行确定。</w:t>
      </w:r>
    </w:p>
    <w:p w14:paraId="5C222242">
      <w:pPr>
        <w:rPr>
          <w:rFonts w:hint="eastAsia" w:ascii="宋体" w:hAnsi="宋体" w:eastAsia="宋体" w:cs="宋体"/>
          <w:b/>
          <w:sz w:val="24"/>
          <w:szCs w:val="24"/>
          <w:highlight w:val="none"/>
        </w:rPr>
      </w:pPr>
      <w:bookmarkStart w:id="26" w:name="_Toc246996244"/>
      <w:bookmarkStart w:id="27" w:name="_Toc350070663"/>
      <w:bookmarkStart w:id="28" w:name="_Toc179632619"/>
      <w:bookmarkStart w:id="29" w:name="_Toc34654712"/>
      <w:bookmarkStart w:id="30" w:name="_Toc152045601"/>
      <w:bookmarkStart w:id="31" w:name="_Toc152042378"/>
      <w:bookmarkStart w:id="32" w:name="_Toc246996987"/>
      <w:bookmarkStart w:id="33" w:name="_Toc370292200"/>
      <w:bookmarkStart w:id="34" w:name="_Toc247085759"/>
      <w:bookmarkStart w:id="35" w:name="_Toc144974568"/>
      <w:r>
        <w:rPr>
          <w:rFonts w:hint="eastAsia" w:ascii="宋体" w:hAnsi="宋体" w:eastAsia="宋体" w:cs="宋体"/>
          <w:b/>
          <w:sz w:val="24"/>
          <w:szCs w:val="24"/>
          <w:highlight w:val="none"/>
        </w:rPr>
        <w:t>2. 评审标准</w:t>
      </w:r>
      <w:bookmarkEnd w:id="26"/>
      <w:bookmarkEnd w:id="27"/>
      <w:bookmarkEnd w:id="28"/>
      <w:bookmarkEnd w:id="29"/>
      <w:bookmarkEnd w:id="30"/>
      <w:bookmarkEnd w:id="31"/>
      <w:bookmarkEnd w:id="32"/>
      <w:bookmarkEnd w:id="33"/>
      <w:bookmarkEnd w:id="34"/>
      <w:bookmarkEnd w:id="35"/>
    </w:p>
    <w:p w14:paraId="27D35174">
      <w:pPr>
        <w:rPr>
          <w:rFonts w:hint="eastAsia" w:ascii="宋体" w:hAnsi="宋体" w:eastAsia="宋体" w:cs="宋体"/>
          <w:sz w:val="24"/>
          <w:szCs w:val="24"/>
          <w:highlight w:val="none"/>
        </w:rPr>
      </w:pPr>
      <w:bookmarkStart w:id="36" w:name="_Toc152045602"/>
      <w:bookmarkStart w:id="37" w:name="_Toc247085760"/>
      <w:bookmarkStart w:id="38" w:name="_Toc246996245"/>
      <w:bookmarkStart w:id="39" w:name="_Toc246996988"/>
      <w:bookmarkStart w:id="40" w:name="_Toc179632620"/>
      <w:bookmarkStart w:id="41" w:name="_Toc152042379"/>
      <w:bookmarkStart w:id="42" w:name="_Toc144974569"/>
      <w:r>
        <w:rPr>
          <w:rFonts w:hint="eastAsia" w:ascii="宋体" w:hAnsi="宋体" w:eastAsia="宋体" w:cs="宋体"/>
          <w:sz w:val="24"/>
          <w:szCs w:val="24"/>
          <w:highlight w:val="none"/>
        </w:rPr>
        <w:t>2.1 初步评审标准</w:t>
      </w:r>
      <w:bookmarkEnd w:id="36"/>
      <w:bookmarkEnd w:id="37"/>
      <w:bookmarkEnd w:id="38"/>
      <w:bookmarkEnd w:id="39"/>
      <w:bookmarkEnd w:id="40"/>
      <w:bookmarkEnd w:id="41"/>
      <w:bookmarkEnd w:id="42"/>
    </w:p>
    <w:p w14:paraId="7A7C5EA0">
      <w:pPr>
        <w:spacing w:line="4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2.1.1 资格性审查标准：见评标办法前附表。</w:t>
      </w:r>
    </w:p>
    <w:p w14:paraId="30D05CBA">
      <w:pPr>
        <w:spacing w:line="4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2.1.2 </w:t>
      </w:r>
      <w:r>
        <w:rPr>
          <w:rFonts w:hint="eastAsia" w:ascii="宋体" w:hAnsi="宋体" w:eastAsia="宋体" w:cs="宋体"/>
          <w:sz w:val="24"/>
          <w:szCs w:val="24"/>
          <w:highlight w:val="none"/>
          <w:lang w:eastAsia="zh-CN"/>
        </w:rPr>
        <w:t>符合性审查</w:t>
      </w:r>
      <w:r>
        <w:rPr>
          <w:rFonts w:hint="eastAsia" w:ascii="宋体" w:hAnsi="宋体" w:eastAsia="宋体" w:cs="宋体"/>
          <w:sz w:val="24"/>
          <w:szCs w:val="24"/>
          <w:highlight w:val="none"/>
        </w:rPr>
        <w:t>标准：见评标办法前附表。</w:t>
      </w:r>
    </w:p>
    <w:p w14:paraId="722097AB">
      <w:pPr>
        <w:spacing w:line="400" w:lineRule="exact"/>
        <w:rPr>
          <w:rFonts w:hint="eastAsia" w:ascii="宋体" w:hAnsi="宋体" w:eastAsia="宋体" w:cs="宋体"/>
          <w:sz w:val="24"/>
          <w:szCs w:val="24"/>
          <w:highlight w:val="none"/>
        </w:rPr>
      </w:pPr>
      <w:bookmarkStart w:id="43" w:name="_Toc152042381"/>
      <w:bookmarkStart w:id="44" w:name="_Toc144974571"/>
      <w:bookmarkStart w:id="45" w:name="_Toc370292201"/>
      <w:bookmarkStart w:id="46" w:name="_Toc246996247"/>
      <w:bookmarkStart w:id="47" w:name="_Toc247085762"/>
      <w:bookmarkStart w:id="48" w:name="_Toc246996990"/>
      <w:bookmarkStart w:id="49" w:name="_Toc152045604"/>
      <w:bookmarkStart w:id="50" w:name="_Toc350070664"/>
      <w:bookmarkStart w:id="51" w:name="_Toc179632622"/>
      <w:r>
        <w:rPr>
          <w:rFonts w:hint="eastAsia" w:ascii="宋体" w:hAnsi="宋体" w:eastAsia="宋体" w:cs="宋体"/>
          <w:sz w:val="24"/>
          <w:szCs w:val="24"/>
          <w:highlight w:val="none"/>
        </w:rPr>
        <w:t>2.2 详细评审标准</w:t>
      </w:r>
    </w:p>
    <w:p w14:paraId="51CAD28F">
      <w:pPr>
        <w:spacing w:line="400" w:lineRule="exact"/>
        <w:ind w:firstLine="410" w:firstLineChars="171"/>
        <w:rPr>
          <w:rFonts w:hint="eastAsia" w:ascii="宋体" w:hAnsi="宋体" w:eastAsia="宋体" w:cs="宋体"/>
          <w:sz w:val="24"/>
          <w:szCs w:val="24"/>
          <w:highlight w:val="none"/>
        </w:rPr>
      </w:pPr>
      <w:r>
        <w:rPr>
          <w:rFonts w:hint="eastAsia" w:ascii="宋体" w:hAnsi="宋体" w:eastAsia="宋体" w:cs="宋体"/>
          <w:sz w:val="24"/>
          <w:szCs w:val="24"/>
          <w:highlight w:val="none"/>
        </w:rPr>
        <w:t>2.2.1价格部分评分标准：见评标办法前附表；</w:t>
      </w:r>
    </w:p>
    <w:p w14:paraId="37108FD6">
      <w:pPr>
        <w:spacing w:line="400" w:lineRule="exact"/>
        <w:ind w:firstLine="410" w:firstLineChars="171"/>
        <w:rPr>
          <w:rFonts w:hint="eastAsia" w:ascii="宋体" w:hAnsi="宋体" w:eastAsia="宋体" w:cs="宋体"/>
          <w:sz w:val="24"/>
          <w:szCs w:val="24"/>
          <w:highlight w:val="none"/>
        </w:rPr>
      </w:pPr>
      <w:r>
        <w:rPr>
          <w:rFonts w:hint="eastAsia" w:ascii="宋体" w:hAnsi="宋体" w:eastAsia="宋体" w:cs="宋体"/>
          <w:sz w:val="24"/>
          <w:szCs w:val="24"/>
          <w:highlight w:val="none"/>
        </w:rPr>
        <w:t>2.2.2技术部分评分标准：见评标办法前附表；</w:t>
      </w:r>
    </w:p>
    <w:p w14:paraId="13A99168">
      <w:pPr>
        <w:spacing w:line="400" w:lineRule="exact"/>
        <w:ind w:firstLine="410" w:firstLineChars="171"/>
        <w:rPr>
          <w:rFonts w:hint="eastAsia" w:ascii="宋体" w:hAnsi="宋体" w:eastAsia="宋体" w:cs="宋体"/>
          <w:sz w:val="24"/>
          <w:szCs w:val="24"/>
          <w:highlight w:val="none"/>
        </w:rPr>
      </w:pPr>
      <w:r>
        <w:rPr>
          <w:rFonts w:hint="eastAsia" w:ascii="宋体" w:hAnsi="宋体" w:eastAsia="宋体" w:cs="宋体"/>
          <w:sz w:val="24"/>
          <w:szCs w:val="24"/>
          <w:highlight w:val="none"/>
        </w:rPr>
        <w:t>2.2.3商务部分评分标准：见评标办法前附表；</w:t>
      </w:r>
    </w:p>
    <w:p w14:paraId="7AE4749B">
      <w:pPr>
        <w:rPr>
          <w:rFonts w:hint="eastAsia" w:ascii="宋体" w:hAnsi="宋体" w:eastAsia="宋体" w:cs="宋体"/>
          <w:b/>
          <w:sz w:val="24"/>
          <w:szCs w:val="24"/>
          <w:highlight w:val="none"/>
        </w:rPr>
      </w:pPr>
      <w:bookmarkStart w:id="52" w:name="_Toc34654713"/>
      <w:r>
        <w:rPr>
          <w:rFonts w:hint="eastAsia" w:ascii="宋体" w:hAnsi="宋体" w:eastAsia="宋体" w:cs="宋体"/>
          <w:b/>
          <w:sz w:val="24"/>
          <w:szCs w:val="24"/>
          <w:highlight w:val="none"/>
        </w:rPr>
        <w:t>3. 评标程序</w:t>
      </w:r>
      <w:bookmarkEnd w:id="43"/>
      <w:bookmarkEnd w:id="44"/>
      <w:bookmarkEnd w:id="45"/>
      <w:bookmarkEnd w:id="46"/>
      <w:bookmarkEnd w:id="47"/>
      <w:bookmarkEnd w:id="48"/>
      <w:bookmarkEnd w:id="49"/>
      <w:bookmarkEnd w:id="50"/>
      <w:bookmarkEnd w:id="51"/>
      <w:bookmarkEnd w:id="52"/>
    </w:p>
    <w:p w14:paraId="2E0385A1">
      <w:pPr>
        <w:rPr>
          <w:rFonts w:hint="eastAsia" w:ascii="宋体" w:hAnsi="宋体" w:eastAsia="宋体" w:cs="宋体"/>
          <w:sz w:val="24"/>
          <w:szCs w:val="24"/>
          <w:highlight w:val="none"/>
        </w:rPr>
      </w:pPr>
      <w:bookmarkStart w:id="53" w:name="_Toc246996248"/>
      <w:bookmarkStart w:id="54" w:name="_Toc152042382"/>
      <w:bookmarkStart w:id="55" w:name="_Toc144974572"/>
      <w:bookmarkStart w:id="56" w:name="_Toc179632623"/>
      <w:bookmarkStart w:id="57" w:name="_Toc247085763"/>
      <w:bookmarkStart w:id="58" w:name="_Toc152045605"/>
      <w:bookmarkStart w:id="59" w:name="_Toc246996991"/>
      <w:r>
        <w:rPr>
          <w:rFonts w:hint="eastAsia" w:ascii="宋体" w:hAnsi="宋体" w:eastAsia="宋体" w:cs="宋体"/>
          <w:sz w:val="24"/>
          <w:szCs w:val="24"/>
          <w:highlight w:val="none"/>
        </w:rPr>
        <w:t>3.1 初步评审</w:t>
      </w:r>
      <w:bookmarkEnd w:id="53"/>
      <w:bookmarkEnd w:id="54"/>
      <w:bookmarkEnd w:id="55"/>
      <w:bookmarkEnd w:id="56"/>
      <w:bookmarkEnd w:id="57"/>
      <w:bookmarkEnd w:id="58"/>
      <w:bookmarkEnd w:id="59"/>
    </w:p>
    <w:p w14:paraId="0A535951">
      <w:pPr>
        <w:spacing w:line="4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3.1.1 采购人依据本章第2.1.</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款规定的标准对投标文件进行资格审查。有一项不符合评审标准的，其投标将作废标处理。合格</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不足三家的，不进入后续评审阶段。</w:t>
      </w:r>
    </w:p>
    <w:p w14:paraId="23047BD6">
      <w:pPr>
        <w:spacing w:line="4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3.1.2评标委员会依据规定的标准对投标文件进行</w:t>
      </w:r>
      <w:r>
        <w:rPr>
          <w:rFonts w:hint="eastAsia" w:ascii="宋体" w:hAnsi="宋体" w:eastAsia="宋体" w:cs="宋体"/>
          <w:sz w:val="24"/>
          <w:szCs w:val="24"/>
          <w:highlight w:val="none"/>
          <w:lang w:eastAsia="zh-CN"/>
        </w:rPr>
        <w:t>符合性审查</w:t>
      </w:r>
      <w:r>
        <w:rPr>
          <w:rFonts w:hint="eastAsia" w:ascii="宋体" w:hAnsi="宋体" w:eastAsia="宋体" w:cs="宋体"/>
          <w:sz w:val="24"/>
          <w:szCs w:val="24"/>
          <w:highlight w:val="none"/>
        </w:rPr>
        <w:t>，有一项不符合评审标准的，其投标将作废标处理。合格</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不足三家的，不进入后续评审阶段。</w:t>
      </w:r>
    </w:p>
    <w:p w14:paraId="6E1E6E72">
      <w:pPr>
        <w:spacing w:line="4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3.1.3</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有以下情形之一的，评标委员会应当将其投标将作废标处理：</w:t>
      </w:r>
    </w:p>
    <w:p w14:paraId="24428398">
      <w:pPr>
        <w:spacing w:line="400" w:lineRule="exact"/>
        <w:ind w:firstLine="820" w:firstLineChars="342"/>
        <w:rPr>
          <w:rFonts w:hint="eastAsia" w:ascii="宋体" w:hAnsi="宋体" w:eastAsia="宋体" w:cs="宋体"/>
          <w:sz w:val="24"/>
          <w:szCs w:val="24"/>
          <w:highlight w:val="none"/>
        </w:rPr>
      </w:pPr>
      <w:r>
        <w:rPr>
          <w:rFonts w:hint="eastAsia" w:ascii="宋体" w:hAnsi="宋体" w:eastAsia="宋体" w:cs="宋体"/>
          <w:sz w:val="24"/>
          <w:szCs w:val="24"/>
          <w:highlight w:val="none"/>
        </w:rPr>
        <w:t>（1）第二章“</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须知”第1.4.3项、第1.4.4项规定的任何一种情形的；</w:t>
      </w:r>
    </w:p>
    <w:p w14:paraId="7A5D8225">
      <w:pPr>
        <w:spacing w:line="400" w:lineRule="exact"/>
        <w:ind w:firstLine="820" w:firstLineChars="342"/>
        <w:rPr>
          <w:rFonts w:hint="eastAsia" w:ascii="宋体" w:hAnsi="宋体" w:eastAsia="宋体" w:cs="宋体"/>
          <w:sz w:val="24"/>
          <w:szCs w:val="24"/>
          <w:highlight w:val="none"/>
        </w:rPr>
      </w:pPr>
      <w:r>
        <w:rPr>
          <w:rFonts w:hint="eastAsia" w:ascii="宋体" w:hAnsi="宋体" w:eastAsia="宋体" w:cs="宋体"/>
          <w:sz w:val="24"/>
          <w:szCs w:val="24"/>
          <w:highlight w:val="none"/>
        </w:rPr>
        <w:t>（2）串通投标或弄虚作假或有其他违法行为的；</w:t>
      </w:r>
    </w:p>
    <w:p w14:paraId="1F1AD961">
      <w:pPr>
        <w:spacing w:line="400" w:lineRule="exact"/>
        <w:ind w:firstLine="820" w:firstLineChars="342"/>
        <w:rPr>
          <w:rFonts w:hint="eastAsia" w:ascii="宋体" w:hAnsi="宋体" w:eastAsia="宋体" w:cs="宋体"/>
          <w:sz w:val="24"/>
          <w:szCs w:val="24"/>
          <w:highlight w:val="none"/>
        </w:rPr>
      </w:pPr>
      <w:r>
        <w:rPr>
          <w:rFonts w:hint="eastAsia" w:ascii="宋体" w:hAnsi="宋体" w:eastAsia="宋体" w:cs="宋体"/>
          <w:sz w:val="24"/>
          <w:szCs w:val="24"/>
          <w:highlight w:val="none"/>
        </w:rPr>
        <w:t>（3）不按评标委员会要求澄清、说明或补正的。</w:t>
      </w:r>
    </w:p>
    <w:p w14:paraId="3D1DEE71">
      <w:pPr>
        <w:spacing w:line="400" w:lineRule="exact"/>
        <w:ind w:firstLine="484" w:firstLineChars="202"/>
        <w:rPr>
          <w:rFonts w:hint="eastAsia" w:ascii="宋体" w:hAnsi="宋体" w:eastAsia="宋体" w:cs="宋体"/>
          <w:sz w:val="24"/>
          <w:szCs w:val="24"/>
          <w:highlight w:val="none"/>
        </w:rPr>
      </w:pPr>
      <w:r>
        <w:rPr>
          <w:rFonts w:hint="eastAsia" w:ascii="宋体" w:hAnsi="宋体" w:eastAsia="宋体" w:cs="宋体"/>
          <w:sz w:val="24"/>
          <w:szCs w:val="24"/>
          <w:highlight w:val="none"/>
        </w:rPr>
        <w:t>3.1.4投标文件报价出现前后不一致的，按照下列规定修正：</w:t>
      </w:r>
    </w:p>
    <w:p w14:paraId="348CF371">
      <w:pPr>
        <w:spacing w:line="400" w:lineRule="exact"/>
        <w:ind w:firstLine="820" w:firstLineChars="342"/>
        <w:rPr>
          <w:rFonts w:hint="eastAsia" w:ascii="宋体" w:hAnsi="宋体" w:eastAsia="宋体" w:cs="宋体"/>
          <w:sz w:val="24"/>
          <w:szCs w:val="24"/>
          <w:highlight w:val="none"/>
        </w:rPr>
      </w:pPr>
      <w:r>
        <w:rPr>
          <w:rFonts w:hint="eastAsia" w:ascii="宋体" w:hAnsi="宋体" w:eastAsia="宋体" w:cs="宋体"/>
          <w:sz w:val="24"/>
          <w:szCs w:val="24"/>
          <w:highlight w:val="none"/>
        </w:rPr>
        <w:t>（1）投标文件中开标一览表（报价表）内容与投标文件中相应内容不一致的，以开标一览表（报价表）为准；</w:t>
      </w:r>
    </w:p>
    <w:p w14:paraId="00D49B6F">
      <w:pPr>
        <w:spacing w:line="400" w:lineRule="exact"/>
        <w:ind w:firstLine="820" w:firstLineChars="342"/>
        <w:rPr>
          <w:rFonts w:hint="eastAsia" w:ascii="宋体" w:hAnsi="宋体" w:eastAsia="宋体" w:cs="宋体"/>
          <w:sz w:val="24"/>
          <w:szCs w:val="24"/>
          <w:highlight w:val="none"/>
        </w:rPr>
      </w:pPr>
      <w:r>
        <w:rPr>
          <w:rFonts w:hint="eastAsia" w:ascii="宋体" w:hAnsi="宋体" w:eastAsia="宋体" w:cs="宋体"/>
          <w:sz w:val="24"/>
          <w:szCs w:val="24"/>
          <w:highlight w:val="none"/>
        </w:rPr>
        <w:t>（2）大写金额和小写金额不一致的，以大写金额为准；</w:t>
      </w:r>
    </w:p>
    <w:p w14:paraId="499B9450">
      <w:pPr>
        <w:spacing w:line="400" w:lineRule="exact"/>
        <w:ind w:firstLine="820" w:firstLineChars="342"/>
        <w:rPr>
          <w:rFonts w:hint="eastAsia" w:ascii="宋体" w:hAnsi="宋体" w:eastAsia="宋体" w:cs="宋体"/>
          <w:sz w:val="24"/>
          <w:szCs w:val="24"/>
          <w:highlight w:val="none"/>
        </w:rPr>
      </w:pPr>
      <w:r>
        <w:rPr>
          <w:rFonts w:hint="eastAsia" w:ascii="宋体" w:hAnsi="宋体" w:eastAsia="宋体" w:cs="宋体"/>
          <w:sz w:val="24"/>
          <w:szCs w:val="24"/>
          <w:highlight w:val="none"/>
        </w:rPr>
        <w:t>（3）单价金额小数点或者百分比有明显错位的，以开标一览表的总价为准，并修改单价；</w:t>
      </w:r>
    </w:p>
    <w:p w14:paraId="79D81180">
      <w:pPr>
        <w:spacing w:line="400" w:lineRule="exact"/>
        <w:ind w:firstLine="820" w:firstLineChars="342"/>
        <w:rPr>
          <w:rFonts w:hint="eastAsia" w:ascii="宋体" w:hAnsi="宋体" w:eastAsia="宋体" w:cs="宋体"/>
          <w:sz w:val="24"/>
          <w:szCs w:val="24"/>
          <w:highlight w:val="none"/>
        </w:rPr>
      </w:pPr>
      <w:r>
        <w:rPr>
          <w:rFonts w:hint="eastAsia" w:ascii="宋体" w:hAnsi="宋体" w:eastAsia="宋体" w:cs="宋体"/>
          <w:sz w:val="24"/>
          <w:szCs w:val="24"/>
          <w:highlight w:val="none"/>
        </w:rPr>
        <w:t>（4）总价金额与按单价汇总金额不一致的，以单价金额计算结果为准。</w:t>
      </w:r>
    </w:p>
    <w:p w14:paraId="3D0BD1C4">
      <w:pPr>
        <w:spacing w:line="400" w:lineRule="exact"/>
        <w:ind w:firstLine="820" w:firstLineChars="342"/>
        <w:rPr>
          <w:rFonts w:hint="eastAsia" w:ascii="宋体" w:hAnsi="宋体" w:eastAsia="宋体" w:cs="宋体"/>
          <w:sz w:val="24"/>
          <w:szCs w:val="24"/>
          <w:highlight w:val="none"/>
        </w:rPr>
      </w:pPr>
      <w:r>
        <w:rPr>
          <w:rFonts w:hint="eastAsia" w:ascii="宋体" w:hAnsi="宋体" w:eastAsia="宋体" w:cs="宋体"/>
          <w:sz w:val="24"/>
          <w:szCs w:val="24"/>
          <w:highlight w:val="none"/>
        </w:rPr>
        <w:t>同时出现两种以上不一致的，按照前款规定的顺序修正。修正后的报价经</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确认后产生约束力，</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不确认的，其投标无效。</w:t>
      </w:r>
    </w:p>
    <w:p w14:paraId="08851183">
      <w:pPr>
        <w:spacing w:line="400" w:lineRule="exact"/>
        <w:ind w:firstLine="484" w:firstLineChars="202"/>
        <w:rPr>
          <w:rFonts w:hint="eastAsia" w:ascii="宋体" w:hAnsi="宋体" w:eastAsia="宋体" w:cs="宋体"/>
          <w:sz w:val="24"/>
          <w:szCs w:val="24"/>
          <w:highlight w:val="none"/>
        </w:rPr>
      </w:pPr>
      <w:r>
        <w:rPr>
          <w:rFonts w:hint="eastAsia" w:ascii="宋体" w:hAnsi="宋体" w:eastAsia="宋体" w:cs="宋体"/>
          <w:sz w:val="24"/>
          <w:szCs w:val="24"/>
          <w:highlight w:val="none"/>
        </w:rPr>
        <w:t>3.1.5评标委员会认为</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的报价明显低于其他通过符合性审查</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的报价，有可能影响产品质量或者不能诚信履约的，应当要求其在评标现场合理的时间内提供书面说明，必要时提交相关证明材料；</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不能证明其报价合理性的，评标委员会应当将其作为无效投标处理。</w:t>
      </w:r>
    </w:p>
    <w:p w14:paraId="19730B93">
      <w:pPr>
        <w:rPr>
          <w:rFonts w:hint="eastAsia" w:ascii="宋体" w:hAnsi="宋体" w:eastAsia="宋体" w:cs="宋体"/>
          <w:sz w:val="24"/>
          <w:szCs w:val="24"/>
          <w:highlight w:val="none"/>
        </w:rPr>
      </w:pPr>
      <w:bookmarkStart w:id="60" w:name="_Toc246996992"/>
      <w:bookmarkStart w:id="61" w:name="_Toc246996249"/>
      <w:bookmarkStart w:id="62" w:name="_Toc152045606"/>
      <w:bookmarkStart w:id="63" w:name="_Toc179632624"/>
      <w:bookmarkStart w:id="64" w:name="_Toc152042384"/>
      <w:bookmarkStart w:id="65" w:name="_Toc144974573"/>
      <w:bookmarkStart w:id="66" w:name="_Toc247085764"/>
      <w:r>
        <w:rPr>
          <w:rFonts w:hint="eastAsia" w:ascii="宋体" w:hAnsi="宋体" w:eastAsia="宋体" w:cs="宋体"/>
          <w:sz w:val="24"/>
          <w:szCs w:val="24"/>
          <w:highlight w:val="none"/>
        </w:rPr>
        <w:t>3.2 详细评审</w:t>
      </w:r>
      <w:bookmarkEnd w:id="60"/>
      <w:bookmarkEnd w:id="61"/>
      <w:bookmarkEnd w:id="62"/>
      <w:bookmarkEnd w:id="63"/>
      <w:bookmarkEnd w:id="64"/>
      <w:bookmarkEnd w:id="65"/>
      <w:bookmarkEnd w:id="66"/>
    </w:p>
    <w:p w14:paraId="18488EC1">
      <w:pPr>
        <w:spacing w:line="4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3.2.1 评标委员会按本章第2.2款规定的量化因素和分值进行打分，并计算出综合评估得分。</w:t>
      </w:r>
    </w:p>
    <w:p w14:paraId="61657BE7">
      <w:pPr>
        <w:ind w:firstLine="840" w:firstLineChars="350"/>
        <w:rPr>
          <w:rFonts w:hint="eastAsia" w:ascii="宋体" w:hAnsi="宋体" w:eastAsia="宋体" w:cs="宋体"/>
          <w:sz w:val="24"/>
          <w:szCs w:val="24"/>
          <w:highlight w:val="none"/>
        </w:rPr>
      </w:pPr>
      <w:r>
        <w:rPr>
          <w:rFonts w:hint="eastAsia" w:ascii="宋体" w:hAnsi="宋体" w:eastAsia="宋体" w:cs="宋体"/>
          <w:sz w:val="24"/>
          <w:szCs w:val="24"/>
          <w:highlight w:val="none"/>
        </w:rPr>
        <w:t>（1）按本章第2.2.1目规定的评审因素和分值对价格部分计算出得分A；</w:t>
      </w:r>
    </w:p>
    <w:p w14:paraId="5EAFD77F">
      <w:pPr>
        <w:spacing w:line="400" w:lineRule="exact"/>
        <w:ind w:firstLine="820" w:firstLineChars="342"/>
        <w:rPr>
          <w:rFonts w:hint="eastAsia" w:ascii="宋体" w:hAnsi="宋体" w:eastAsia="宋体" w:cs="宋体"/>
          <w:sz w:val="24"/>
          <w:szCs w:val="24"/>
          <w:highlight w:val="none"/>
        </w:rPr>
      </w:pPr>
      <w:r>
        <w:rPr>
          <w:rFonts w:hint="eastAsia" w:ascii="宋体" w:hAnsi="宋体" w:eastAsia="宋体" w:cs="宋体"/>
          <w:sz w:val="24"/>
          <w:szCs w:val="24"/>
          <w:highlight w:val="none"/>
        </w:rPr>
        <w:t>（2）按本章第2.2.2目规定的评审因素和分值对技术部分计算出得分B；</w:t>
      </w:r>
    </w:p>
    <w:p w14:paraId="239C01EA">
      <w:pPr>
        <w:spacing w:line="400" w:lineRule="exact"/>
        <w:ind w:firstLine="820" w:firstLineChars="342"/>
        <w:rPr>
          <w:rFonts w:hint="eastAsia" w:ascii="宋体" w:hAnsi="宋体" w:eastAsia="宋体" w:cs="宋体"/>
          <w:sz w:val="24"/>
          <w:szCs w:val="24"/>
          <w:highlight w:val="none"/>
        </w:rPr>
      </w:pPr>
      <w:r>
        <w:rPr>
          <w:rFonts w:hint="eastAsia" w:ascii="宋体" w:hAnsi="宋体" w:eastAsia="宋体" w:cs="宋体"/>
          <w:sz w:val="24"/>
          <w:szCs w:val="24"/>
          <w:highlight w:val="none"/>
        </w:rPr>
        <w:t>（3）按本章第2.2.3目规定的评审因素和分值对商务报价计算出得分C。</w:t>
      </w:r>
    </w:p>
    <w:p w14:paraId="327DA94D">
      <w:pPr>
        <w:spacing w:line="4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3.2.2 评分分值计算保留小数点后两位，小数点后第三位“四舍五入”。</w:t>
      </w:r>
    </w:p>
    <w:p w14:paraId="04A77836">
      <w:pPr>
        <w:spacing w:line="4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3.2.3 </w:t>
      </w:r>
      <w:r>
        <w:rPr>
          <w:rFonts w:hint="eastAsia" w:ascii="宋体" w:hAnsi="宋体" w:eastAsia="宋体" w:cs="宋体"/>
          <w:kern w:val="0"/>
          <w:sz w:val="24"/>
          <w:szCs w:val="24"/>
          <w:highlight w:val="none"/>
        </w:rPr>
        <w:t>得分汇总</w:t>
      </w:r>
      <w:r>
        <w:rPr>
          <w:rFonts w:hint="eastAsia" w:ascii="宋体" w:hAnsi="宋体" w:eastAsia="宋体" w:cs="宋体"/>
          <w:sz w:val="24"/>
          <w:szCs w:val="24"/>
          <w:highlight w:val="none"/>
        </w:rPr>
        <w:t>D =A+B+C。</w:t>
      </w:r>
    </w:p>
    <w:p w14:paraId="7ABEBFC7">
      <w:pPr>
        <w:spacing w:line="4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3.2.4</w:t>
      </w:r>
      <w:r>
        <w:rPr>
          <w:rFonts w:hint="eastAsia" w:ascii="宋体" w:hAnsi="宋体" w:eastAsia="宋体" w:cs="宋体"/>
          <w:kern w:val="0"/>
          <w:sz w:val="24"/>
          <w:szCs w:val="24"/>
          <w:highlight w:val="none"/>
        </w:rPr>
        <w:t xml:space="preserve"> </w:t>
      </w:r>
      <w:r>
        <w:rPr>
          <w:rFonts w:hint="eastAsia" w:ascii="宋体" w:hAnsi="宋体" w:eastAsia="宋体" w:cs="宋体"/>
          <w:kern w:val="0"/>
          <w:sz w:val="24"/>
          <w:szCs w:val="24"/>
          <w:highlight w:val="none"/>
          <w:lang w:eastAsia="zh-CN"/>
        </w:rPr>
        <w:t>供应商</w:t>
      </w:r>
      <w:r>
        <w:rPr>
          <w:rFonts w:hint="eastAsia" w:ascii="宋体" w:hAnsi="宋体" w:eastAsia="宋体" w:cs="宋体"/>
          <w:kern w:val="0"/>
          <w:sz w:val="24"/>
          <w:szCs w:val="24"/>
          <w:highlight w:val="none"/>
        </w:rPr>
        <w:t>得分=（D</w:t>
      </w:r>
      <w:r>
        <w:rPr>
          <w:rFonts w:hint="eastAsia" w:ascii="宋体" w:hAnsi="宋体" w:eastAsia="宋体" w:cs="宋体"/>
          <w:kern w:val="0"/>
          <w:sz w:val="24"/>
          <w:szCs w:val="24"/>
          <w:highlight w:val="none"/>
          <w:vertAlign w:val="subscript"/>
        </w:rPr>
        <w:t>1</w:t>
      </w:r>
      <w:r>
        <w:rPr>
          <w:rFonts w:hint="eastAsia" w:ascii="宋体" w:hAnsi="宋体" w:eastAsia="宋体" w:cs="宋体"/>
          <w:kern w:val="0"/>
          <w:sz w:val="24"/>
          <w:szCs w:val="24"/>
          <w:highlight w:val="none"/>
        </w:rPr>
        <w:t>+</w:t>
      </w:r>
      <w:r>
        <w:rPr>
          <w:rFonts w:hint="eastAsia" w:ascii="宋体" w:hAnsi="宋体" w:eastAsia="宋体" w:cs="宋体"/>
          <w:sz w:val="24"/>
          <w:szCs w:val="24"/>
          <w:highlight w:val="none"/>
        </w:rPr>
        <w:t>D</w:t>
      </w:r>
      <w:r>
        <w:rPr>
          <w:rFonts w:hint="eastAsia" w:ascii="宋体" w:hAnsi="宋体" w:eastAsia="宋体" w:cs="宋体"/>
          <w:kern w:val="0"/>
          <w:sz w:val="24"/>
          <w:szCs w:val="24"/>
          <w:highlight w:val="none"/>
          <w:vertAlign w:val="subscript"/>
        </w:rPr>
        <w:t>2</w:t>
      </w:r>
      <w:r>
        <w:rPr>
          <w:rFonts w:hint="eastAsia" w:ascii="宋体" w:hAnsi="宋体" w:eastAsia="宋体" w:cs="宋体"/>
          <w:kern w:val="0"/>
          <w:sz w:val="24"/>
          <w:szCs w:val="24"/>
          <w:highlight w:val="none"/>
        </w:rPr>
        <w:t>+</w:t>
      </w:r>
      <w:r>
        <w:rPr>
          <w:rFonts w:hint="eastAsia" w:ascii="宋体" w:hAnsi="宋体" w:eastAsia="宋体" w:cs="宋体"/>
          <w:sz w:val="24"/>
          <w:szCs w:val="24"/>
          <w:highlight w:val="none"/>
        </w:rPr>
        <w:t>D</w:t>
      </w:r>
      <w:r>
        <w:rPr>
          <w:rFonts w:hint="eastAsia" w:ascii="宋体" w:hAnsi="宋体" w:eastAsia="宋体" w:cs="宋体"/>
          <w:kern w:val="0"/>
          <w:sz w:val="24"/>
          <w:szCs w:val="24"/>
          <w:highlight w:val="none"/>
          <w:vertAlign w:val="subscript"/>
        </w:rPr>
        <w:t>3</w:t>
      </w:r>
      <w:r>
        <w:rPr>
          <w:rFonts w:hint="eastAsia" w:ascii="宋体" w:hAnsi="宋体" w:eastAsia="宋体" w:cs="宋体"/>
          <w:kern w:val="0"/>
          <w:sz w:val="24"/>
          <w:szCs w:val="24"/>
          <w:highlight w:val="none"/>
        </w:rPr>
        <w:t>+</w:t>
      </w:r>
      <w:r>
        <w:rPr>
          <w:rFonts w:hint="eastAsia" w:ascii="宋体" w:hAnsi="宋体" w:eastAsia="宋体" w:cs="宋体"/>
          <w:sz w:val="24"/>
          <w:szCs w:val="24"/>
          <w:highlight w:val="none"/>
        </w:rPr>
        <w:t>D</w:t>
      </w:r>
      <w:r>
        <w:rPr>
          <w:rFonts w:hint="eastAsia" w:ascii="宋体" w:hAnsi="宋体" w:eastAsia="宋体" w:cs="宋体"/>
          <w:kern w:val="0"/>
          <w:sz w:val="24"/>
          <w:szCs w:val="24"/>
          <w:highlight w:val="none"/>
          <w:vertAlign w:val="subscript"/>
        </w:rPr>
        <w:t>4</w:t>
      </w:r>
      <w:r>
        <w:rPr>
          <w:rFonts w:hint="eastAsia" w:ascii="宋体" w:hAnsi="宋体" w:eastAsia="宋体" w:cs="宋体"/>
          <w:kern w:val="0"/>
          <w:sz w:val="24"/>
          <w:szCs w:val="24"/>
          <w:highlight w:val="none"/>
        </w:rPr>
        <w:t>+</w:t>
      </w:r>
      <w:r>
        <w:rPr>
          <w:rFonts w:hint="eastAsia" w:ascii="宋体" w:hAnsi="宋体" w:eastAsia="宋体" w:cs="宋体"/>
          <w:sz w:val="24"/>
          <w:szCs w:val="24"/>
          <w:highlight w:val="none"/>
        </w:rPr>
        <w:t>D</w:t>
      </w:r>
      <w:r>
        <w:rPr>
          <w:rFonts w:hint="eastAsia" w:ascii="宋体" w:hAnsi="宋体" w:eastAsia="宋体" w:cs="宋体"/>
          <w:kern w:val="0"/>
          <w:sz w:val="24"/>
          <w:szCs w:val="24"/>
          <w:highlight w:val="none"/>
          <w:vertAlign w:val="subscript"/>
        </w:rPr>
        <w:t>5</w:t>
      </w:r>
      <w:r>
        <w:rPr>
          <w:rFonts w:hint="eastAsia" w:ascii="宋体" w:hAnsi="宋体" w:eastAsia="宋体" w:cs="宋体"/>
          <w:kern w:val="0"/>
          <w:sz w:val="24"/>
          <w:szCs w:val="24"/>
          <w:highlight w:val="none"/>
        </w:rPr>
        <w:t>）/5</w:t>
      </w:r>
    </w:p>
    <w:p w14:paraId="0CE1D833">
      <w:pPr>
        <w:spacing w:line="4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3.2.5 评标委员会认为</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的报价明显低于其他通过初步审查</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的报价，有可能影响服务质量或者不能诚信履约的，应当要求其在评标现场合理的时间内提供书面说明，必要时提供相关证明材料；</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不能证明其报价合理的，评标委员会应当将其作废标处理。</w:t>
      </w:r>
    </w:p>
    <w:p w14:paraId="6EB45C5A">
      <w:pPr>
        <w:spacing w:line="4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3.2.6对于提供相同品牌产品的处理：提供相同品牌产品且通过资格审查、初步审查的不同</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参加同一合同项下投标的，按一家</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计算，评审后得分最高的同品牌</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获得中标人推荐资格，其他同品牌</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不作为中标候选人；评审得分相同的，以投标报价低者优先推荐；投标报价也相同的，以技术水平、履约能力、售后服务依次考察，以分值高者优先。</w:t>
      </w:r>
    </w:p>
    <w:p w14:paraId="3D13620A">
      <w:pPr>
        <w:rPr>
          <w:rFonts w:hint="eastAsia" w:ascii="宋体" w:hAnsi="宋体" w:eastAsia="宋体" w:cs="宋体"/>
          <w:sz w:val="24"/>
          <w:szCs w:val="24"/>
          <w:highlight w:val="none"/>
        </w:rPr>
      </w:pPr>
      <w:bookmarkStart w:id="67" w:name="_Toc144974575"/>
      <w:bookmarkStart w:id="68" w:name="_Toc152045607"/>
      <w:bookmarkStart w:id="69" w:name="_Toc152042385"/>
      <w:bookmarkStart w:id="70" w:name="_Toc246996250"/>
      <w:bookmarkStart w:id="71" w:name="_Toc246996993"/>
      <w:bookmarkStart w:id="72" w:name="_Toc179632625"/>
      <w:bookmarkStart w:id="73" w:name="_Toc247085765"/>
      <w:r>
        <w:rPr>
          <w:rFonts w:hint="eastAsia" w:ascii="宋体" w:hAnsi="宋体" w:eastAsia="宋体" w:cs="宋体"/>
          <w:sz w:val="24"/>
          <w:szCs w:val="24"/>
          <w:highlight w:val="none"/>
        </w:rPr>
        <w:t>3.3 投标文件的澄清</w:t>
      </w:r>
      <w:bookmarkEnd w:id="67"/>
      <w:r>
        <w:rPr>
          <w:rFonts w:hint="eastAsia" w:ascii="宋体" w:hAnsi="宋体" w:eastAsia="宋体" w:cs="宋体"/>
          <w:sz w:val="24"/>
          <w:szCs w:val="24"/>
          <w:highlight w:val="none"/>
        </w:rPr>
        <w:t>和补正</w:t>
      </w:r>
      <w:bookmarkEnd w:id="68"/>
      <w:bookmarkEnd w:id="69"/>
      <w:bookmarkEnd w:id="70"/>
      <w:bookmarkEnd w:id="71"/>
      <w:bookmarkEnd w:id="72"/>
      <w:bookmarkEnd w:id="73"/>
    </w:p>
    <w:p w14:paraId="0C6D889A">
      <w:pPr>
        <w:spacing w:line="4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3.3.1在评标过程中，评标委员会可以书面形式要求</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对所提交投标文件中不明确的内容进行书面澄清或说明，或者对细微偏差进行补正。评标委员会不接受</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主动提出的澄清、说明或补正。</w:t>
      </w:r>
    </w:p>
    <w:p w14:paraId="34112477">
      <w:pPr>
        <w:spacing w:line="4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3.3.2 澄清、说明和补正不得改变投标文件的实质性内容。</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的书面澄清、说明和补正属于投标文件的组成部分。</w:t>
      </w:r>
    </w:p>
    <w:p w14:paraId="5434DF04">
      <w:pPr>
        <w:spacing w:line="4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3.3.3 评标委员会对</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提交的澄清、说明或补正有疑问的，可以要求</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进一步澄清、说明或补正，直至满足评标委员会的要求。</w:t>
      </w:r>
    </w:p>
    <w:p w14:paraId="36D35F95">
      <w:pPr>
        <w:rPr>
          <w:rFonts w:hint="eastAsia" w:ascii="宋体" w:hAnsi="宋体" w:eastAsia="宋体" w:cs="宋体"/>
          <w:sz w:val="24"/>
          <w:szCs w:val="24"/>
          <w:highlight w:val="none"/>
        </w:rPr>
      </w:pPr>
      <w:bookmarkStart w:id="74" w:name="_Toc179632626"/>
      <w:bookmarkStart w:id="75" w:name="_Toc152045608"/>
      <w:bookmarkStart w:id="76" w:name="_Toc152042386"/>
      <w:bookmarkStart w:id="77" w:name="_Toc246996251"/>
      <w:bookmarkStart w:id="78" w:name="_Toc247085766"/>
      <w:bookmarkStart w:id="79" w:name="_Toc144974576"/>
      <w:bookmarkStart w:id="80" w:name="_Toc246996994"/>
      <w:r>
        <w:rPr>
          <w:rFonts w:hint="eastAsia" w:ascii="宋体" w:hAnsi="宋体" w:eastAsia="宋体" w:cs="宋体"/>
          <w:sz w:val="24"/>
          <w:szCs w:val="24"/>
          <w:highlight w:val="none"/>
        </w:rPr>
        <w:t>3.4 评标结果</w:t>
      </w:r>
      <w:bookmarkEnd w:id="74"/>
      <w:bookmarkEnd w:id="75"/>
      <w:bookmarkEnd w:id="76"/>
      <w:bookmarkEnd w:id="77"/>
      <w:bookmarkEnd w:id="78"/>
      <w:bookmarkEnd w:id="79"/>
      <w:bookmarkEnd w:id="80"/>
    </w:p>
    <w:p w14:paraId="0FA8D2F7">
      <w:pPr>
        <w:spacing w:line="360" w:lineRule="auto"/>
        <w:ind w:firstLine="470" w:firstLineChars="196"/>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3.4.1评标结果按评审后得分由高到低顺序排列。综合评分相等时，以投标报价低的优先；投标报价也相等的，以技术部分优者优先；技术部分得分也相等的，由采购人或其授权的评标委员会自行确定。</w:t>
      </w:r>
    </w:p>
    <w:p w14:paraId="4052BC76">
      <w:pPr>
        <w:spacing w:line="4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3.4.2根据评审结果，评标委员会按照经评审的得分由高到底的顺序</w:t>
      </w:r>
      <w:r>
        <w:rPr>
          <w:rFonts w:hint="eastAsia" w:ascii="宋体" w:hAnsi="宋体" w:eastAsia="宋体" w:cs="宋体"/>
          <w:kern w:val="0"/>
          <w:sz w:val="24"/>
          <w:szCs w:val="24"/>
          <w:highlight w:val="none"/>
        </w:rPr>
        <w:t>推荐三名中标候选人</w:t>
      </w:r>
      <w:r>
        <w:rPr>
          <w:rFonts w:hint="eastAsia" w:ascii="宋体" w:hAnsi="宋体" w:eastAsia="宋体" w:cs="宋体"/>
          <w:sz w:val="24"/>
          <w:szCs w:val="24"/>
          <w:highlight w:val="none"/>
        </w:rPr>
        <w:t>，由评标委员确定中标人。排名第一的中标候选人放弃中标、因不可抗力提出不能履行合同，或者被查实存在影响中标结果的违法行为等情形，不符合中标条件的，采购人可以按照评标委员会提出的中标候选人名单排序依次确定其他中标候选人为中标人，也可以重新招标。</w:t>
      </w:r>
    </w:p>
    <w:p w14:paraId="1303067C">
      <w:pPr>
        <w:spacing w:line="40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3.4.3评标委员会完成评标后，应当向采购人提交书面评标报告。</w:t>
      </w:r>
    </w:p>
    <w:p w14:paraId="73B68E2F">
      <w:pPr>
        <w:widowControl/>
        <w:jc w:val="left"/>
        <w:rPr>
          <w:rFonts w:hint="eastAsia" w:ascii="宋体" w:hAnsi="宋体" w:eastAsia="宋体" w:cs="宋体"/>
          <w:sz w:val="24"/>
          <w:szCs w:val="24"/>
          <w:highlight w:val="none"/>
        </w:rPr>
      </w:pPr>
      <w:r>
        <w:rPr>
          <w:rFonts w:hint="eastAsia" w:ascii="宋体" w:hAnsi="宋体" w:eastAsia="宋体" w:cs="宋体"/>
          <w:sz w:val="24"/>
          <w:szCs w:val="24"/>
          <w:highlight w:val="none"/>
        </w:rPr>
        <w:br w:type="page"/>
      </w:r>
    </w:p>
    <w:p w14:paraId="40A8AC16">
      <w:pPr>
        <w:topLinePunct/>
        <w:adjustRightInd w:val="0"/>
        <w:snapToGrid w:val="0"/>
        <w:spacing w:before="36" w:beforeLines="15" w:line="360" w:lineRule="auto"/>
        <w:jc w:val="center"/>
        <w:outlineLvl w:val="0"/>
        <w:rPr>
          <w:rFonts w:hint="eastAsia" w:ascii="宋体" w:hAnsi="宋体" w:eastAsia="宋体" w:cs="宋体"/>
          <w:b/>
          <w:sz w:val="36"/>
          <w:szCs w:val="36"/>
          <w:highlight w:val="none"/>
        </w:rPr>
      </w:pPr>
      <w:bookmarkStart w:id="81" w:name="_Toc62484147"/>
      <w:r>
        <w:rPr>
          <w:rFonts w:hint="eastAsia" w:ascii="宋体" w:hAnsi="宋体" w:eastAsia="宋体" w:cs="宋体"/>
          <w:b/>
          <w:sz w:val="36"/>
          <w:szCs w:val="36"/>
          <w:highlight w:val="none"/>
        </w:rPr>
        <w:t>第四章 合同条款及格式</w:t>
      </w:r>
      <w:bookmarkEnd w:id="81"/>
    </w:p>
    <w:p w14:paraId="0BB73F5D">
      <w:pPr>
        <w:tabs>
          <w:tab w:val="left" w:pos="5580"/>
        </w:tabs>
        <w:spacing w:line="360" w:lineRule="auto"/>
        <w:jc w:val="center"/>
        <w:rPr>
          <w:rFonts w:hint="eastAsia" w:ascii="宋体" w:hAnsi="宋体" w:eastAsia="宋体" w:cs="宋体"/>
          <w:bCs/>
          <w:sz w:val="24"/>
          <w:highlight w:val="none"/>
        </w:rPr>
      </w:pPr>
      <w:r>
        <w:rPr>
          <w:rFonts w:hint="eastAsia" w:ascii="宋体" w:hAnsi="宋体" w:eastAsia="宋体" w:cs="宋体"/>
          <w:b/>
          <w:sz w:val="28"/>
          <w:szCs w:val="28"/>
          <w:highlight w:val="none"/>
        </w:rPr>
        <w:t>（</w:t>
      </w:r>
      <w:r>
        <w:rPr>
          <w:rFonts w:hint="eastAsia" w:ascii="宋体" w:hAnsi="宋体" w:eastAsia="宋体" w:cs="宋体"/>
          <w:b/>
          <w:sz w:val="24"/>
          <w:highlight w:val="none"/>
        </w:rPr>
        <w:t>注</w:t>
      </w:r>
      <w:r>
        <w:rPr>
          <w:rFonts w:hint="eastAsia" w:ascii="宋体" w:hAnsi="宋体" w:eastAsia="宋体" w:cs="宋体"/>
          <w:sz w:val="24"/>
          <w:highlight w:val="none"/>
        </w:rPr>
        <w:t>：</w:t>
      </w:r>
      <w:r>
        <w:rPr>
          <w:rFonts w:hint="eastAsia" w:ascii="宋体" w:hAnsi="宋体" w:eastAsia="宋体" w:cs="宋体"/>
          <w:b/>
          <w:sz w:val="24"/>
          <w:highlight w:val="none"/>
        </w:rPr>
        <w:t>此合同范本仅供参考，具体合同协议条款由采购人（甲方）与供应商（乙方）结合项目具体情况共同协商后签订。</w:t>
      </w:r>
      <w:r>
        <w:rPr>
          <w:rFonts w:hint="eastAsia" w:ascii="宋体" w:hAnsi="宋体" w:eastAsia="宋体" w:cs="宋体"/>
          <w:b/>
          <w:sz w:val="28"/>
          <w:szCs w:val="28"/>
          <w:highlight w:val="none"/>
        </w:rPr>
        <w:t>）</w:t>
      </w:r>
    </w:p>
    <w:p w14:paraId="25246E57">
      <w:pPr>
        <w:rPr>
          <w:rFonts w:hint="eastAsia" w:ascii="宋体" w:hAnsi="宋体" w:eastAsia="宋体" w:cs="宋体"/>
          <w:highlight w:val="none"/>
        </w:rPr>
      </w:pPr>
    </w:p>
    <w:p w14:paraId="50D1FBB2">
      <w:pPr>
        <w:spacing w:line="360" w:lineRule="auto"/>
        <w:contextualSpacing/>
        <w:jc w:val="center"/>
        <w:rPr>
          <w:rFonts w:hint="eastAsia" w:ascii="宋体" w:hAnsi="宋体" w:eastAsia="宋体" w:cs="宋体"/>
          <w:b/>
          <w:sz w:val="32"/>
          <w:szCs w:val="32"/>
          <w:highlight w:val="none"/>
        </w:rPr>
      </w:pPr>
      <w:bookmarkStart w:id="82" w:name="_Toc329757304"/>
      <w:bookmarkStart w:id="83" w:name="_Toc476566559"/>
      <w:r>
        <w:rPr>
          <w:rFonts w:hint="eastAsia" w:ascii="宋体" w:hAnsi="宋体" w:eastAsia="宋体" w:cs="宋体"/>
          <w:b/>
          <w:sz w:val="32"/>
          <w:szCs w:val="32"/>
          <w:highlight w:val="none"/>
        </w:rPr>
        <w:t>一、合同一般条款</w:t>
      </w:r>
      <w:bookmarkEnd w:id="82"/>
      <w:bookmarkEnd w:id="83"/>
    </w:p>
    <w:p w14:paraId="6EAD717E">
      <w:pPr>
        <w:spacing w:before="120" w:beforeLines="50" w:after="120" w:afterLines="50" w:line="360" w:lineRule="auto"/>
        <w:ind w:firstLine="472" w:firstLineChars="196"/>
        <w:contextualSpacing/>
        <w:rPr>
          <w:rFonts w:hint="eastAsia" w:ascii="宋体" w:hAnsi="宋体" w:eastAsia="宋体" w:cs="宋体"/>
          <w:b/>
          <w:sz w:val="24"/>
          <w:highlight w:val="none"/>
        </w:rPr>
      </w:pPr>
      <w:r>
        <w:rPr>
          <w:rFonts w:hint="eastAsia" w:ascii="宋体" w:hAnsi="宋体" w:eastAsia="宋体" w:cs="宋体"/>
          <w:b/>
          <w:sz w:val="24"/>
          <w:highlight w:val="none"/>
        </w:rPr>
        <w:t>1.定义</w:t>
      </w:r>
    </w:p>
    <w:p w14:paraId="5C8C2185">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1.1本合同下列术语应解释为：</w:t>
      </w:r>
    </w:p>
    <w:p w14:paraId="7A1A0374">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1）“合同”系指买卖双方签署的、合同格式中载明的买卖双方所达成的协议，包括所有的附件、附录和上述文件所提到的构成合同的所有文件。</w:t>
      </w:r>
    </w:p>
    <w:p w14:paraId="04D957B2">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2）“合同价”系指根据本合同规定卖方在正确地完全履行合同义务后买方应支付给卖方的价款。</w:t>
      </w:r>
    </w:p>
    <w:p w14:paraId="501C6306">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3）“货物”系指卖方根据本合同规定须向买方提供的一切产品、设备和/或其它材料。</w:t>
      </w:r>
    </w:p>
    <w:p w14:paraId="4BF9A94E">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4）“服务”系指根据本合同规定卖方承担与供货有关的辅助服务，如运输、保险以及其它的伴随服务，例如安装、调试、提供技术援助、培训和合同中规定卖方应承担的其它义务。</w:t>
      </w:r>
    </w:p>
    <w:p w14:paraId="7A54A19E">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5）“合同条款”系指本合同条款。</w:t>
      </w:r>
    </w:p>
    <w:p w14:paraId="5B0955E7">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6）“买方”系指在合同条款前附表中指明的购买货物和服务的单位。</w:t>
      </w:r>
    </w:p>
    <w:p w14:paraId="6E012D35">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7）“卖方”系指在合同条款前附表中指明的提供本合同项下货物和服务的公司或其它实体。</w:t>
      </w:r>
    </w:p>
    <w:p w14:paraId="3F8581B9">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8）“项目现场”系指本合同项下货物安装、运行的现场，其名称在合同条款前附表中指明。</w:t>
      </w:r>
    </w:p>
    <w:p w14:paraId="3468D985">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9）“天”指日历天数。</w:t>
      </w:r>
    </w:p>
    <w:p w14:paraId="667F63AF">
      <w:pPr>
        <w:spacing w:before="120" w:beforeLines="50" w:after="120" w:afterLines="50" w:line="360" w:lineRule="auto"/>
        <w:ind w:firstLine="472" w:firstLineChars="196"/>
        <w:contextualSpacing/>
        <w:rPr>
          <w:rFonts w:hint="eastAsia" w:ascii="宋体" w:hAnsi="宋体" w:eastAsia="宋体" w:cs="宋体"/>
          <w:b/>
          <w:sz w:val="24"/>
          <w:highlight w:val="none"/>
        </w:rPr>
      </w:pPr>
      <w:r>
        <w:rPr>
          <w:rFonts w:hint="eastAsia" w:ascii="宋体" w:hAnsi="宋体" w:eastAsia="宋体" w:cs="宋体"/>
          <w:b/>
          <w:sz w:val="24"/>
          <w:highlight w:val="none"/>
        </w:rPr>
        <w:t>2.适用性</w:t>
      </w:r>
    </w:p>
    <w:p w14:paraId="2ED0E719">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2.1 本合同条款适用于没有被本合同其他部分的条款所取代的范围。</w:t>
      </w:r>
    </w:p>
    <w:p w14:paraId="040C7DFE">
      <w:pPr>
        <w:spacing w:before="120" w:beforeLines="50" w:after="120" w:afterLines="50" w:line="360" w:lineRule="auto"/>
        <w:ind w:firstLine="472" w:firstLineChars="196"/>
        <w:contextualSpacing/>
        <w:rPr>
          <w:rFonts w:hint="eastAsia" w:ascii="宋体" w:hAnsi="宋体" w:eastAsia="宋体" w:cs="宋体"/>
          <w:b/>
          <w:sz w:val="24"/>
          <w:highlight w:val="none"/>
        </w:rPr>
      </w:pPr>
      <w:r>
        <w:rPr>
          <w:rFonts w:hint="eastAsia" w:ascii="宋体" w:hAnsi="宋体" w:eastAsia="宋体" w:cs="宋体"/>
          <w:b/>
          <w:sz w:val="24"/>
          <w:highlight w:val="none"/>
        </w:rPr>
        <w:t>3.标准</w:t>
      </w:r>
    </w:p>
    <w:p w14:paraId="05C02E15">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3.1 本合同下交付的货物应符合技术规格参数与要求所述的标准。如果没有提及适用标准，则应符合中华人民共和国有关机构发布的最新版本的标准。</w:t>
      </w:r>
    </w:p>
    <w:p w14:paraId="5B0DB977">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3.2 除非技术规格中另有规定，计量单位均采用中华人民共和国法定计量单位。</w:t>
      </w:r>
    </w:p>
    <w:p w14:paraId="2CCEEE74">
      <w:pPr>
        <w:spacing w:before="120" w:beforeLines="50" w:after="120" w:afterLines="50" w:line="360" w:lineRule="auto"/>
        <w:ind w:firstLine="472" w:firstLineChars="196"/>
        <w:contextualSpacing/>
        <w:rPr>
          <w:rFonts w:hint="eastAsia" w:ascii="宋体" w:hAnsi="宋体" w:eastAsia="宋体" w:cs="宋体"/>
          <w:b/>
          <w:sz w:val="24"/>
          <w:highlight w:val="none"/>
        </w:rPr>
      </w:pPr>
      <w:r>
        <w:rPr>
          <w:rFonts w:hint="eastAsia" w:ascii="宋体" w:hAnsi="宋体" w:eastAsia="宋体" w:cs="宋体"/>
          <w:b/>
          <w:sz w:val="24"/>
          <w:highlight w:val="none"/>
        </w:rPr>
        <w:t>4.使用合同文件和资料</w:t>
      </w:r>
    </w:p>
    <w:p w14:paraId="5E145EB1">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4.1 没有买方事先书面同意，卖方不得将由买方或代表买方提供的有关合同或任何合同条文、规格、计划、图纸、模型、样品或资料提供给与履行本合同无关的任何其他人。即使向与履行本合同有关的人员提供，也应注意保密并限于履行合同必须的范围。</w:t>
      </w:r>
    </w:p>
    <w:p w14:paraId="531D2289">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4.2 没有买方事先书面同意，除了履行本合同外，卖方不应使用合同条款第4.1所列举的任何文件和资料。</w:t>
      </w:r>
    </w:p>
    <w:p w14:paraId="41EF9176">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4.3 除了合同本身以外，合同条款第4.1条所列举的任何文件是买方的财产。如果买方有要求，卖方在完成合同后应将这些文件及全部复制件还给买方。</w:t>
      </w:r>
    </w:p>
    <w:p w14:paraId="3DF9F749">
      <w:pPr>
        <w:spacing w:before="120" w:beforeLines="50" w:after="120" w:afterLines="50" w:line="360" w:lineRule="auto"/>
        <w:ind w:firstLine="472" w:firstLineChars="196"/>
        <w:contextualSpacing/>
        <w:rPr>
          <w:rFonts w:hint="eastAsia" w:ascii="宋体" w:hAnsi="宋体" w:eastAsia="宋体" w:cs="宋体"/>
          <w:b/>
          <w:sz w:val="24"/>
          <w:highlight w:val="none"/>
        </w:rPr>
      </w:pPr>
      <w:r>
        <w:rPr>
          <w:rFonts w:hint="eastAsia" w:ascii="宋体" w:hAnsi="宋体" w:eastAsia="宋体" w:cs="宋体"/>
          <w:b/>
          <w:sz w:val="24"/>
          <w:highlight w:val="none"/>
        </w:rPr>
        <w:t>5.专利权</w:t>
      </w:r>
    </w:p>
    <w:p w14:paraId="0A1F31FE">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5.1 卖方应保证，买方使用该货物或货物的任何一部分时，免受第三方提出的侵犯其专利权、商标权、著作权或其它知识产权的起诉。</w:t>
      </w:r>
    </w:p>
    <w:p w14:paraId="04C79977">
      <w:pPr>
        <w:spacing w:before="120" w:beforeLines="50" w:after="120" w:afterLines="50" w:line="360" w:lineRule="auto"/>
        <w:ind w:firstLine="472" w:firstLineChars="196"/>
        <w:contextualSpacing/>
        <w:rPr>
          <w:rFonts w:hint="eastAsia" w:ascii="宋体" w:hAnsi="宋体" w:eastAsia="宋体" w:cs="宋体"/>
          <w:b/>
          <w:sz w:val="24"/>
          <w:highlight w:val="none"/>
        </w:rPr>
      </w:pPr>
      <w:r>
        <w:rPr>
          <w:rFonts w:hint="eastAsia" w:ascii="宋体" w:hAnsi="宋体" w:eastAsia="宋体" w:cs="宋体"/>
          <w:b/>
          <w:sz w:val="24"/>
          <w:highlight w:val="none"/>
        </w:rPr>
        <w:t>6.  合同标的</w:t>
      </w:r>
    </w:p>
    <w:p w14:paraId="48E4246F">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6.1合同标的：见合同特殊条款。</w:t>
      </w:r>
    </w:p>
    <w:p w14:paraId="53B255A4">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6.2 货物规格、型号、数量：见投标文件“投标分项报价表”。</w:t>
      </w:r>
    </w:p>
    <w:p w14:paraId="459279E1">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6.3合同供货范围包括所有货物、配件、技术资料。执行合同过程中如发现任何漏项和短缺，包括发货清单中未列入而确实属于卖方供货范围内或“技术标准及要求”对货物的性能要求所必须的，均应由卖方负责将所缺的货物、技术资料等补齐，且不再发生费用问题。</w:t>
      </w:r>
    </w:p>
    <w:p w14:paraId="46E5D06C">
      <w:pPr>
        <w:spacing w:before="120" w:beforeLines="50" w:after="120" w:afterLines="50" w:line="360" w:lineRule="auto"/>
        <w:ind w:firstLine="472" w:firstLineChars="196"/>
        <w:contextualSpacing/>
        <w:rPr>
          <w:rFonts w:hint="eastAsia" w:ascii="宋体" w:hAnsi="宋体" w:eastAsia="宋体" w:cs="宋体"/>
          <w:b/>
          <w:sz w:val="24"/>
          <w:highlight w:val="none"/>
        </w:rPr>
      </w:pPr>
      <w:r>
        <w:rPr>
          <w:rFonts w:hint="eastAsia" w:ascii="宋体" w:hAnsi="宋体" w:eastAsia="宋体" w:cs="宋体"/>
          <w:b/>
          <w:sz w:val="24"/>
          <w:highlight w:val="none"/>
        </w:rPr>
        <w:t>7.  交货期</w:t>
      </w:r>
    </w:p>
    <w:p w14:paraId="5A6AC42E">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7.1 交货期：见投标须知前附表中规定。</w:t>
      </w:r>
    </w:p>
    <w:p w14:paraId="0BE3181E">
      <w:pPr>
        <w:spacing w:before="120" w:beforeLines="50" w:after="120" w:afterLines="50" w:line="360" w:lineRule="auto"/>
        <w:ind w:firstLine="472" w:firstLineChars="196"/>
        <w:contextualSpacing/>
        <w:rPr>
          <w:rFonts w:hint="eastAsia" w:ascii="宋体" w:hAnsi="宋体" w:eastAsia="宋体" w:cs="宋体"/>
          <w:b/>
          <w:sz w:val="24"/>
          <w:highlight w:val="none"/>
        </w:rPr>
      </w:pPr>
      <w:r>
        <w:rPr>
          <w:rFonts w:hint="eastAsia" w:ascii="宋体" w:hAnsi="宋体" w:eastAsia="宋体" w:cs="宋体"/>
          <w:b/>
          <w:sz w:val="24"/>
          <w:highlight w:val="none"/>
        </w:rPr>
        <w:t>8.  交货地点</w:t>
      </w:r>
    </w:p>
    <w:p w14:paraId="787E58D3">
      <w:pPr>
        <w:tabs>
          <w:tab w:val="left" w:pos="3600"/>
        </w:tabs>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8.1 交货地点：采购人指定地点</w:t>
      </w:r>
    </w:p>
    <w:p w14:paraId="3B9EBCAE">
      <w:pPr>
        <w:spacing w:before="120" w:beforeLines="50" w:after="120" w:afterLines="50" w:line="360" w:lineRule="auto"/>
        <w:ind w:firstLine="472" w:firstLineChars="196"/>
        <w:contextualSpacing/>
        <w:rPr>
          <w:rFonts w:hint="eastAsia" w:ascii="宋体" w:hAnsi="宋体" w:eastAsia="宋体" w:cs="宋体"/>
          <w:b/>
          <w:sz w:val="24"/>
          <w:highlight w:val="none"/>
        </w:rPr>
      </w:pPr>
      <w:r>
        <w:rPr>
          <w:rFonts w:hint="eastAsia" w:ascii="宋体" w:hAnsi="宋体" w:eastAsia="宋体" w:cs="宋体"/>
          <w:b/>
          <w:sz w:val="24"/>
          <w:highlight w:val="none"/>
        </w:rPr>
        <w:t>9.  合同价格</w:t>
      </w:r>
    </w:p>
    <w:p w14:paraId="3E9B6B04">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9.1 本合同价即合同总价为万元(大写:)。</w:t>
      </w:r>
    </w:p>
    <w:p w14:paraId="70D37FDD">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9.2合同的分项价格见投标文件“投标分项报价表”。</w:t>
      </w:r>
    </w:p>
    <w:p w14:paraId="59ED6D44">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9.3本合同总价在合同交货期内为不变价。</w:t>
      </w:r>
    </w:p>
    <w:p w14:paraId="285B188E">
      <w:pPr>
        <w:spacing w:before="120" w:beforeLines="50" w:after="120" w:afterLines="50" w:line="360" w:lineRule="auto"/>
        <w:ind w:firstLine="472" w:firstLineChars="196"/>
        <w:contextualSpacing/>
        <w:rPr>
          <w:rFonts w:hint="eastAsia" w:ascii="宋体" w:hAnsi="宋体" w:eastAsia="宋体" w:cs="宋体"/>
          <w:b/>
          <w:sz w:val="24"/>
          <w:highlight w:val="none"/>
        </w:rPr>
      </w:pPr>
      <w:r>
        <w:rPr>
          <w:rFonts w:hint="eastAsia" w:ascii="宋体" w:hAnsi="宋体" w:eastAsia="宋体" w:cs="宋体"/>
          <w:b/>
          <w:sz w:val="24"/>
          <w:highlight w:val="none"/>
        </w:rPr>
        <w:t>10. 付款</w:t>
      </w:r>
    </w:p>
    <w:p w14:paraId="346CF850">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10.1本合同使用货币种类为人民币。</w:t>
      </w:r>
    </w:p>
    <w:p w14:paraId="21F453E8">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10.2付款形式：见合同特殊条款。</w:t>
      </w:r>
    </w:p>
    <w:p w14:paraId="1E4EF162">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10.3合同价款的支付：见合同特殊条款。</w:t>
      </w:r>
    </w:p>
    <w:p w14:paraId="478B3F06">
      <w:pPr>
        <w:spacing w:before="120" w:beforeLines="50" w:after="120" w:afterLines="50" w:line="360" w:lineRule="auto"/>
        <w:ind w:firstLine="472" w:firstLineChars="196"/>
        <w:contextualSpacing/>
        <w:rPr>
          <w:rFonts w:hint="eastAsia" w:ascii="宋体" w:hAnsi="宋体" w:eastAsia="宋体" w:cs="宋体"/>
          <w:b/>
          <w:sz w:val="24"/>
          <w:highlight w:val="none"/>
        </w:rPr>
      </w:pPr>
      <w:r>
        <w:rPr>
          <w:rFonts w:hint="eastAsia" w:ascii="宋体" w:hAnsi="宋体" w:eastAsia="宋体" w:cs="宋体"/>
          <w:b/>
          <w:sz w:val="24"/>
          <w:highlight w:val="none"/>
        </w:rPr>
        <w:t>11. 检验与验收</w:t>
      </w:r>
    </w:p>
    <w:p w14:paraId="5C880621">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11.1 验收要求</w:t>
      </w:r>
    </w:p>
    <w:p w14:paraId="5420B5CD">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11.1.1由卖方供应的所有合同货物，在生产过程中都必须进行严格的检验和试验。买方可根据需要随时派人到卖方工厂检查生产技术情况或派专人驻厂监造和抽检产品的质量，卖方应予配合，并提供各种便利条件。一切因监造、检验和验收所发生的费用均由卖方支付。</w:t>
      </w:r>
    </w:p>
    <w:p w14:paraId="3472EDEF">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11.1.2 检验、试验和验收程序</w:t>
      </w:r>
    </w:p>
    <w:p w14:paraId="7323C4AF">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合同项下货物的检验、试验和验收程序如下：</w:t>
      </w:r>
    </w:p>
    <w:p w14:paraId="3A9998C2">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1）货物出厂前检查；</w:t>
      </w:r>
    </w:p>
    <w:p w14:paraId="6890BE59">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2）到货验收；</w:t>
      </w:r>
    </w:p>
    <w:p w14:paraId="3DC1E3A5">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3）预验收；（如果需要）</w:t>
      </w:r>
    </w:p>
    <w:p w14:paraId="2C53BCD6">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4）最终验收。</w:t>
      </w:r>
    </w:p>
    <w:p w14:paraId="6892B400">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11.1.3 检验试验根据“技术标准及要求”的要求及国家有关机构发布的最新版本的标准进行。任何情况下，某一步骤检验和试验的结果均不能免除卖方于后续试验、检验和验收程序中的合同责任。</w:t>
      </w:r>
    </w:p>
    <w:p w14:paraId="1C5E6A06">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11.1.4 除合同规定由买方负担检验试验费用的情形外，进行上述检验试验所发生的费用和风险，均由卖方承担。</w:t>
      </w:r>
    </w:p>
    <w:p w14:paraId="006B519E">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11.2 货物出厂前检查</w:t>
      </w:r>
    </w:p>
    <w:p w14:paraId="3F164ACE">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11.2.1货物出厂前检查按“技术标准及要求”执行。卖方对所有试验的结果、步骤、数据等须有原始记录，这些记录必要时由双方代表签字。</w:t>
      </w:r>
    </w:p>
    <w:p w14:paraId="61E4C773">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11.3 到货验收</w:t>
      </w:r>
    </w:p>
    <w:p w14:paraId="42A3619C">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11.3.1货物运到现场后，卖方应及时通知买方并尽快检验货物的数量、规格和质量，并向买方提交证明货物合格的相关文件。</w:t>
      </w:r>
    </w:p>
    <w:p w14:paraId="7BB1113C">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11.3.2现场检验时，如发现货物由于卖方原因(包括运输)有任何损坏、缺陷、短少或不符合质量标准规定时，应做好记录，并由双方代表签字，各执1份。对损坏、短缺或不符合质量标准的货物，卖方接到买方通知后，应及时提供或替换相应的货物，但费用由卖方自负。</w:t>
      </w:r>
    </w:p>
    <w:p w14:paraId="26902836">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11.4 预验收（如果需要）</w:t>
      </w:r>
    </w:p>
    <w:p w14:paraId="5A0919F0">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11.4.1预验收即货物安装调试合格，达到使用标准时的验收。由买方组织，卖方参加。如卖方所供的货物按“技术标准及要求”及国家有关机构发布的最新版本的标准验收合格，则预验收通过。</w:t>
      </w:r>
    </w:p>
    <w:p w14:paraId="7B41A4E2">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11.5 最终验收</w:t>
      </w:r>
    </w:p>
    <w:p w14:paraId="0D3373A4">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11.5.1最终验收指卖方履行完质量保证期的责任和义务，或合同条款前附表规定的期限，由买方主持、卖方参加进行的验收。</w:t>
      </w:r>
    </w:p>
    <w:p w14:paraId="140BED4C">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合同条款第11条的规定不能免除卖方在本合同项下的保证义务或其他义务。</w:t>
      </w:r>
    </w:p>
    <w:p w14:paraId="5721759D">
      <w:pPr>
        <w:spacing w:before="120" w:beforeLines="50" w:after="120" w:afterLines="50" w:line="360" w:lineRule="auto"/>
        <w:ind w:firstLine="472" w:firstLineChars="196"/>
        <w:contextualSpacing/>
        <w:rPr>
          <w:rFonts w:hint="eastAsia" w:ascii="宋体" w:hAnsi="宋体" w:eastAsia="宋体" w:cs="宋体"/>
          <w:b/>
          <w:sz w:val="24"/>
          <w:highlight w:val="none"/>
        </w:rPr>
      </w:pPr>
      <w:r>
        <w:rPr>
          <w:rFonts w:hint="eastAsia" w:ascii="宋体" w:hAnsi="宋体" w:eastAsia="宋体" w:cs="宋体"/>
          <w:b/>
          <w:sz w:val="24"/>
          <w:highlight w:val="none"/>
        </w:rPr>
        <w:t>12. 包装</w:t>
      </w:r>
    </w:p>
    <w:p w14:paraId="65E4EDD7">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12.1 卖方应提供货物运至合同规定的最终目的地所需要的包装，以防止货物在转运中损坏或变质。这类包装应采取防潮、防晒、防锈、防腐蚀、防震动及防止其它损坏的必要保护措施，从而保护货物能够经受多次搬运、装卸及长途运输。卖方应承担由于其包装或其防护措施不妥而引起的货物锈蚀、损坏和丢失的任何损失的责任或费用。</w:t>
      </w:r>
    </w:p>
    <w:p w14:paraId="417089DF">
      <w:pPr>
        <w:spacing w:before="120" w:beforeLines="50" w:after="120" w:afterLines="50" w:line="360" w:lineRule="auto"/>
        <w:ind w:firstLine="472" w:firstLineChars="196"/>
        <w:contextualSpacing/>
        <w:rPr>
          <w:rFonts w:hint="eastAsia" w:ascii="宋体" w:hAnsi="宋体" w:eastAsia="宋体" w:cs="宋体"/>
          <w:b/>
          <w:sz w:val="24"/>
          <w:highlight w:val="none"/>
        </w:rPr>
      </w:pPr>
      <w:r>
        <w:rPr>
          <w:rFonts w:hint="eastAsia" w:ascii="宋体" w:hAnsi="宋体" w:eastAsia="宋体" w:cs="宋体"/>
          <w:b/>
          <w:sz w:val="24"/>
          <w:highlight w:val="none"/>
        </w:rPr>
        <w:t>13. 装运标记</w:t>
      </w:r>
    </w:p>
    <w:p w14:paraId="27F0BCA0">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13.1 卖方应在每一包装箱相邻的四面用不可擦除的油漆和明显的中文字样做出以下标记：</w:t>
      </w:r>
    </w:p>
    <w:p w14:paraId="1225AA42">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收货人：</w:t>
      </w:r>
    </w:p>
    <w:p w14:paraId="33F98415">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合同号：</w:t>
      </w:r>
    </w:p>
    <w:p w14:paraId="5F0ABE28">
      <w:pPr>
        <w:numPr>
          <w:ilvl w:val="1"/>
          <w:numId w:val="2"/>
        </w:numPr>
        <w:spacing w:before="120" w:beforeLines="50" w:after="120" w:afterLines="50" w:line="360" w:lineRule="auto"/>
        <w:contextualSpacing/>
        <w:rPr>
          <w:rFonts w:hint="eastAsia" w:ascii="宋体" w:hAnsi="宋体" w:eastAsia="宋体" w:cs="宋体"/>
          <w:szCs w:val="21"/>
          <w:highlight w:val="none"/>
        </w:rPr>
      </w:pPr>
      <w:r>
        <w:rPr>
          <w:rFonts w:hint="eastAsia" w:ascii="宋体" w:hAnsi="宋体" w:eastAsia="宋体" w:cs="宋体"/>
          <w:szCs w:val="21"/>
          <w:highlight w:val="none"/>
        </w:rPr>
        <w:t>发货标记</w:t>
      </w:r>
    </w:p>
    <w:p w14:paraId="7DF56F1C">
      <w:pPr>
        <w:numPr>
          <w:ilvl w:val="1"/>
          <w:numId w:val="2"/>
        </w:numPr>
        <w:spacing w:before="120" w:beforeLines="50" w:after="120" w:afterLines="50" w:line="360" w:lineRule="auto"/>
        <w:contextualSpacing/>
        <w:rPr>
          <w:rFonts w:hint="eastAsia" w:ascii="宋体" w:hAnsi="宋体" w:eastAsia="宋体" w:cs="宋体"/>
          <w:szCs w:val="21"/>
          <w:highlight w:val="none"/>
        </w:rPr>
      </w:pPr>
      <w:r>
        <w:rPr>
          <w:rFonts w:hint="eastAsia" w:ascii="宋体" w:hAnsi="宋体" w:eastAsia="宋体" w:cs="宋体"/>
          <w:szCs w:val="21"/>
          <w:highlight w:val="none"/>
        </w:rPr>
        <w:t>收货人编号</w:t>
      </w:r>
    </w:p>
    <w:p w14:paraId="1888E35C">
      <w:pPr>
        <w:numPr>
          <w:ilvl w:val="1"/>
          <w:numId w:val="2"/>
        </w:numPr>
        <w:spacing w:before="120" w:beforeLines="50" w:after="120" w:afterLines="50" w:line="360" w:lineRule="auto"/>
        <w:contextualSpacing/>
        <w:rPr>
          <w:rFonts w:hint="eastAsia" w:ascii="宋体" w:hAnsi="宋体" w:eastAsia="宋体" w:cs="宋体"/>
          <w:szCs w:val="21"/>
          <w:highlight w:val="none"/>
        </w:rPr>
      </w:pPr>
      <w:r>
        <w:rPr>
          <w:rFonts w:hint="eastAsia" w:ascii="宋体" w:hAnsi="宋体" w:eastAsia="宋体" w:cs="宋体"/>
          <w:szCs w:val="21"/>
          <w:highlight w:val="none"/>
        </w:rPr>
        <w:t>目的地</w:t>
      </w:r>
    </w:p>
    <w:p w14:paraId="352B3340">
      <w:pPr>
        <w:numPr>
          <w:ilvl w:val="1"/>
          <w:numId w:val="2"/>
        </w:numPr>
        <w:spacing w:before="120" w:beforeLines="50" w:after="120" w:afterLines="50" w:line="360" w:lineRule="auto"/>
        <w:contextualSpacing/>
        <w:rPr>
          <w:rFonts w:hint="eastAsia" w:ascii="宋体" w:hAnsi="宋体" w:eastAsia="宋体" w:cs="宋体"/>
          <w:szCs w:val="21"/>
          <w:highlight w:val="none"/>
        </w:rPr>
      </w:pPr>
      <w:r>
        <w:rPr>
          <w:rFonts w:hint="eastAsia" w:ascii="宋体" w:hAnsi="宋体" w:eastAsia="宋体" w:cs="宋体"/>
          <w:szCs w:val="21"/>
          <w:highlight w:val="none"/>
        </w:rPr>
        <w:t>货物名称、品目号和箱号</w:t>
      </w:r>
    </w:p>
    <w:p w14:paraId="1761298C">
      <w:pPr>
        <w:numPr>
          <w:ilvl w:val="1"/>
          <w:numId w:val="2"/>
        </w:numPr>
        <w:spacing w:before="120" w:beforeLines="50" w:after="120" w:afterLines="50" w:line="360" w:lineRule="auto"/>
        <w:contextualSpacing/>
        <w:rPr>
          <w:rFonts w:hint="eastAsia" w:ascii="宋体" w:hAnsi="宋体" w:eastAsia="宋体" w:cs="宋体"/>
          <w:szCs w:val="21"/>
          <w:highlight w:val="none"/>
        </w:rPr>
      </w:pPr>
      <w:r>
        <w:rPr>
          <w:rFonts w:hint="eastAsia" w:ascii="宋体" w:hAnsi="宋体" w:eastAsia="宋体" w:cs="宋体"/>
          <w:szCs w:val="21"/>
          <w:highlight w:val="none"/>
        </w:rPr>
        <w:t>毛重/净重（用公斤表示）</w:t>
      </w:r>
    </w:p>
    <w:p w14:paraId="4FF0140D">
      <w:pPr>
        <w:numPr>
          <w:ilvl w:val="1"/>
          <w:numId w:val="2"/>
        </w:numPr>
        <w:spacing w:before="120" w:beforeLines="50" w:after="120" w:afterLines="50" w:line="360" w:lineRule="auto"/>
        <w:contextualSpacing/>
        <w:rPr>
          <w:rFonts w:hint="eastAsia" w:ascii="宋体" w:hAnsi="宋体" w:eastAsia="宋体" w:cs="宋体"/>
          <w:szCs w:val="21"/>
          <w:highlight w:val="none"/>
        </w:rPr>
      </w:pPr>
      <w:r>
        <w:rPr>
          <w:rFonts w:hint="eastAsia" w:ascii="宋体" w:hAnsi="宋体" w:eastAsia="宋体" w:cs="宋体"/>
          <w:szCs w:val="21"/>
          <w:highlight w:val="none"/>
        </w:rPr>
        <w:t>尺寸（以长×宽×高用厘米表示）</w:t>
      </w:r>
    </w:p>
    <w:p w14:paraId="0DD8104E">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13.2 如果单件包装箱的重量在2吨或2吨以上，卖方应在包装箱两侧用中文和适当的运输标记标注“重心”和“起吊点”以便装卸和搬运。根据货物的特点和运输的不同要求，卖方应在包装箱上清楚地标注“小心轻放”、“此端朝上，请勿倒置”、“保持干燥”等字样和其他适当标记。</w:t>
      </w:r>
    </w:p>
    <w:p w14:paraId="6F2A0666">
      <w:pPr>
        <w:spacing w:before="120" w:beforeLines="50" w:after="120" w:afterLines="50" w:line="360" w:lineRule="auto"/>
        <w:ind w:firstLine="482" w:firstLineChars="200"/>
        <w:contextualSpacing/>
        <w:rPr>
          <w:rFonts w:hint="eastAsia" w:ascii="宋体" w:hAnsi="宋体" w:eastAsia="宋体" w:cs="宋体"/>
          <w:b/>
          <w:sz w:val="24"/>
          <w:highlight w:val="none"/>
        </w:rPr>
      </w:pPr>
      <w:r>
        <w:rPr>
          <w:rFonts w:hint="eastAsia" w:ascii="宋体" w:hAnsi="宋体" w:eastAsia="宋体" w:cs="宋体"/>
          <w:b/>
          <w:sz w:val="24"/>
          <w:highlight w:val="none"/>
        </w:rPr>
        <w:t>14. 运输和保险</w:t>
      </w:r>
    </w:p>
    <w:p w14:paraId="3658BC0A">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14.1 卖方负责办理将货物运抵</w:t>
      </w:r>
      <w:r>
        <w:rPr>
          <w:rFonts w:hint="eastAsia" w:ascii="宋体" w:hAnsi="宋体" w:cs="宋体"/>
          <w:szCs w:val="21"/>
          <w:highlight w:val="none"/>
          <w:lang w:eastAsia="zh-CN"/>
        </w:rPr>
        <w:t>采购文件</w:t>
      </w:r>
      <w:r>
        <w:rPr>
          <w:rFonts w:hint="eastAsia" w:ascii="宋体" w:hAnsi="宋体" w:eastAsia="宋体" w:cs="宋体"/>
          <w:szCs w:val="21"/>
          <w:highlight w:val="none"/>
        </w:rPr>
        <w:t>规定的交货地点的一切运输事项，相关费用应包括在合同总价中。</w:t>
      </w:r>
    </w:p>
    <w:p w14:paraId="3553C950">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14.2 卖方应向保险公司以买方为受益人投保发运合同设备价格110%的运输一切险。</w:t>
      </w:r>
    </w:p>
    <w:p w14:paraId="7DA8129D">
      <w:pPr>
        <w:spacing w:before="120" w:beforeLines="50" w:after="120" w:afterLines="50" w:line="360" w:lineRule="auto"/>
        <w:ind w:firstLine="482" w:firstLineChars="200"/>
        <w:contextualSpacing/>
        <w:rPr>
          <w:rFonts w:hint="eastAsia" w:ascii="宋体" w:hAnsi="宋体" w:eastAsia="宋体" w:cs="宋体"/>
          <w:b/>
          <w:sz w:val="24"/>
          <w:highlight w:val="none"/>
        </w:rPr>
      </w:pPr>
      <w:r>
        <w:rPr>
          <w:rFonts w:hint="eastAsia" w:ascii="宋体" w:hAnsi="宋体" w:eastAsia="宋体" w:cs="宋体"/>
          <w:b/>
          <w:sz w:val="24"/>
          <w:highlight w:val="none"/>
        </w:rPr>
        <w:t>15. 伴随服务</w:t>
      </w:r>
    </w:p>
    <w:p w14:paraId="6E60E64B">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15.1 卖方可能被要求提供下列服务中的任一或所有服务，包括“合同条款前附表”与第4章“技术标准及要求”规定的附加服务（如有）：</w:t>
      </w:r>
    </w:p>
    <w:p w14:paraId="7F4CE576">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1）实施或监督所供系统的现场安装和/或试运行；</w:t>
      </w:r>
    </w:p>
    <w:p w14:paraId="2496F9E4">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2）提供货物组装和/或维修所需的工具；</w:t>
      </w:r>
    </w:p>
    <w:p w14:paraId="1DAAB327">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3）提供系统详细的操作和维护手册；</w:t>
      </w:r>
    </w:p>
    <w:p w14:paraId="28812DC1">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4）在双方商定的一定期限内对系统实施运行或监督或维护或修理，但前提条件是该服务并不能免除卖方在合同保证期内所承担的义务；</w:t>
      </w:r>
    </w:p>
    <w:p w14:paraId="3D5DAFBD">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5）在卖方或制造厂和/或在项目现场就所供货物的及系统的安装、试运行、运行、维护和/或修理对买方人员进行培训。</w:t>
      </w:r>
    </w:p>
    <w:p w14:paraId="419039CD">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15.2 卖方应提供“合同条款前附表”/“技术标准及要求”中规定的所有服务。伴随服务的费用已包括在合同价中。</w:t>
      </w:r>
    </w:p>
    <w:p w14:paraId="0BBC66E5">
      <w:pPr>
        <w:spacing w:before="120" w:beforeLines="50" w:after="120" w:afterLines="50" w:line="360" w:lineRule="auto"/>
        <w:ind w:firstLine="482" w:firstLineChars="200"/>
        <w:contextualSpacing/>
        <w:rPr>
          <w:rFonts w:hint="eastAsia" w:ascii="宋体" w:hAnsi="宋体" w:eastAsia="宋体" w:cs="宋体"/>
          <w:b/>
          <w:sz w:val="24"/>
          <w:highlight w:val="none"/>
        </w:rPr>
      </w:pPr>
      <w:r>
        <w:rPr>
          <w:rFonts w:hint="eastAsia" w:ascii="宋体" w:hAnsi="宋体" w:eastAsia="宋体" w:cs="宋体"/>
          <w:b/>
          <w:sz w:val="24"/>
          <w:highlight w:val="none"/>
        </w:rPr>
        <w:t>16. 备品备件</w:t>
      </w:r>
    </w:p>
    <w:p w14:paraId="2D3FD659">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16.1卖方应提供下列与备品备件有关的材料、通知和资料：</w:t>
      </w:r>
    </w:p>
    <w:p w14:paraId="4EAC2743">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1）买方可能从卖方选购备品备件，但前提条件是该选择并不能免除卖方在合同保证期内所承担的义务；</w:t>
      </w:r>
    </w:p>
    <w:p w14:paraId="2B5D3B56">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2）在备品备件停止生产的情况下，卖方应事先将要停止生产的计划通知买方使买方有足够的时间采购所需的备品备件；</w:t>
      </w:r>
    </w:p>
    <w:p w14:paraId="3427AC1D">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3）在备品备件停止生产后，如果买方要求，卖方应免费向买方提供备品备件的蓝图、图纸和规格。</w:t>
      </w:r>
    </w:p>
    <w:p w14:paraId="5F81F31A">
      <w:pPr>
        <w:spacing w:before="120" w:beforeLines="50" w:after="120" w:afterLines="50" w:line="360" w:lineRule="auto"/>
        <w:ind w:firstLine="482" w:firstLineChars="200"/>
        <w:contextualSpacing/>
        <w:rPr>
          <w:rFonts w:hint="eastAsia" w:ascii="宋体" w:hAnsi="宋体" w:eastAsia="宋体" w:cs="宋体"/>
          <w:b/>
          <w:sz w:val="24"/>
          <w:highlight w:val="none"/>
        </w:rPr>
      </w:pPr>
      <w:r>
        <w:rPr>
          <w:rFonts w:hint="eastAsia" w:ascii="宋体" w:hAnsi="宋体" w:eastAsia="宋体" w:cs="宋体"/>
          <w:b/>
          <w:sz w:val="24"/>
          <w:highlight w:val="none"/>
        </w:rPr>
        <w:t>17. 质量保证</w:t>
      </w:r>
    </w:p>
    <w:p w14:paraId="13B69EC1">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17.1 卖方应保证合同项下所供货物是全新的、未使用过的，是最新或目前的型号，除非合同另有规定，货物应含有设计上和材料的全部最新改进。卖方进一步保证，合同项下提供的全部货物没有设计、材料或工艺上的缺陷（由于按买方的要求设计或按买方的规格提供的材料所产生的缺陷除外），或者没有因卖方的行为或疏忽而产生的缺陷。</w:t>
      </w:r>
    </w:p>
    <w:p w14:paraId="53B1583B">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17.2 本保证应在合同货物通过验收后的一定期限内保持有效（上述期限见合同特殊条款），且需承诺三年内免费维修及保养。</w:t>
      </w:r>
    </w:p>
    <w:p w14:paraId="304403E9">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17.3 买方应尽快以书面形式通知卖方质量保证期内所发现的缺陷。</w:t>
      </w:r>
    </w:p>
    <w:p w14:paraId="1BECA7DF">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 xml:space="preserve">17.4 卖方收到通知后将在投标文件售后服务措施提出的时间内免费维修或更换有缺陷的货物或部件。 </w:t>
      </w:r>
    </w:p>
    <w:p w14:paraId="529C949D">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17.5 如果卖方收到通知后在承诺的时间内没有以合理的速度弥补缺陷，买方可采取必要的补救措施，但其风险和费用将由卖方承担，买方根据合同规定对卖方行使的其他权力不受影响。</w:t>
      </w:r>
    </w:p>
    <w:p w14:paraId="73A61ED1">
      <w:pPr>
        <w:spacing w:before="120" w:beforeLines="50" w:after="120" w:afterLines="50" w:line="360" w:lineRule="auto"/>
        <w:ind w:firstLine="482" w:firstLineChars="200"/>
        <w:contextualSpacing/>
        <w:rPr>
          <w:rFonts w:hint="eastAsia" w:ascii="宋体" w:hAnsi="宋体" w:eastAsia="宋体" w:cs="宋体"/>
          <w:b/>
          <w:sz w:val="24"/>
          <w:highlight w:val="none"/>
        </w:rPr>
      </w:pPr>
      <w:r>
        <w:rPr>
          <w:rFonts w:hint="eastAsia" w:ascii="宋体" w:hAnsi="宋体" w:eastAsia="宋体" w:cs="宋体"/>
          <w:b/>
          <w:sz w:val="24"/>
          <w:highlight w:val="none"/>
        </w:rPr>
        <w:t>18. 索赔</w:t>
      </w:r>
    </w:p>
    <w:p w14:paraId="7BEA25BE">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18.1 如果卖方对偏差负有责任，而买方在合同条款第17条或合同的其他条款规定的检验、安装、调试、验收和质量保证期内提出了索赔，卖方应按照买方同意的下列一种或几种方式结合起来解决索赔事宜：</w:t>
      </w:r>
    </w:p>
    <w:p w14:paraId="2F1E093B">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1）卖方同意退货并用合同规定的货币将货款退还给买方，并承担由此发生的一切损失和费用，包括利息、银行手续费、运费、保险费、检验费、仓储费、装卸费以及为看管和保护退回货物所需的其它必要费用。</w:t>
      </w:r>
    </w:p>
    <w:p w14:paraId="60725FCB">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2）据货物的偏差情况、损坏程度、以及买方所遭受损失的金额，经买卖双方商定降低货物的价格。</w:t>
      </w:r>
    </w:p>
    <w:p w14:paraId="44760FB0">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3）符合合同规定的规格、质量和性能要求的新零件、部件和/或设备来更换有缺陷的部分和/或修补缺陷部分，卖方应承担一切费用和风险并负担买方蒙受的全部直接损失费用。同时，卖方应按合同条款第13条规定，相应延长所更换货物的质量保证期。</w:t>
      </w:r>
    </w:p>
    <w:p w14:paraId="79ECF8FB">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18.2 如果在买方发出索赔通知后三十（30）天内，卖方未作答复，上述索赔应视为已被卖方接受。如卖方未能在买方发出索赔通知后三十（30）天内或买方同意的延长期限内，按照买方同意的上述规定的任何一种方法解决索赔事宜，买方将从货款或质保金中扣回索赔金额。</w:t>
      </w:r>
    </w:p>
    <w:p w14:paraId="6D38FB11">
      <w:pPr>
        <w:spacing w:before="120" w:beforeLines="50" w:after="120" w:afterLines="50" w:line="360" w:lineRule="auto"/>
        <w:ind w:firstLine="482" w:firstLineChars="200"/>
        <w:contextualSpacing/>
        <w:rPr>
          <w:rFonts w:hint="eastAsia" w:ascii="宋体" w:hAnsi="宋体" w:eastAsia="宋体" w:cs="宋体"/>
          <w:b/>
          <w:sz w:val="24"/>
          <w:highlight w:val="none"/>
        </w:rPr>
      </w:pPr>
      <w:r>
        <w:rPr>
          <w:rFonts w:hint="eastAsia" w:ascii="宋体" w:hAnsi="宋体" w:eastAsia="宋体" w:cs="宋体"/>
          <w:b/>
          <w:sz w:val="24"/>
          <w:highlight w:val="none"/>
        </w:rPr>
        <w:t>19. 变更指令</w:t>
      </w:r>
    </w:p>
    <w:p w14:paraId="38B522F1">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19.1买方可以在任何时候书面向卖方发出指令，在本合同的一般范围内变更下述一项或几项：</w:t>
      </w:r>
    </w:p>
    <w:p w14:paraId="23B4388B">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1）本合同项下提供的货物是专为买方制造时，变更图纸、设计或规格；</w:t>
      </w:r>
    </w:p>
    <w:p w14:paraId="77703E1C">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2）运输或包装的方法；</w:t>
      </w:r>
    </w:p>
    <w:p w14:paraId="658B0EAD">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3）交货期；</w:t>
      </w:r>
    </w:p>
    <w:p w14:paraId="30E5CC0C">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4）交货地点；</w:t>
      </w:r>
    </w:p>
    <w:p w14:paraId="6EDA7126">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5）卖方提供的服务。</w:t>
      </w:r>
    </w:p>
    <w:p w14:paraId="7D0D844E">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19.2 如果上述变更使卖方履行合同义务的费用或时间增加或减少，将对合同价或交货时间或两者进行公平的调整，同时相应修改合同。卖方根据本条进行调整的要求必须在收到买方的变更指令后三十（30）天内提出。</w:t>
      </w:r>
    </w:p>
    <w:p w14:paraId="24DDD28B">
      <w:pPr>
        <w:spacing w:before="120" w:beforeLines="50" w:after="120" w:afterLines="50" w:line="360" w:lineRule="auto"/>
        <w:ind w:firstLine="482" w:firstLineChars="200"/>
        <w:contextualSpacing/>
        <w:rPr>
          <w:rFonts w:hint="eastAsia" w:ascii="宋体" w:hAnsi="宋体" w:eastAsia="宋体" w:cs="宋体"/>
          <w:b/>
          <w:sz w:val="24"/>
          <w:highlight w:val="none"/>
        </w:rPr>
      </w:pPr>
      <w:r>
        <w:rPr>
          <w:rFonts w:hint="eastAsia" w:ascii="宋体" w:hAnsi="宋体" w:eastAsia="宋体" w:cs="宋体"/>
          <w:b/>
          <w:sz w:val="24"/>
          <w:highlight w:val="none"/>
        </w:rPr>
        <w:t>20. 合同修改</w:t>
      </w:r>
    </w:p>
    <w:p w14:paraId="7999D627">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20.1 除了合同条款第19条的情况，不应对合同条款进行任何变更或修改，除非双方同意并签订书面的合同修改书。</w:t>
      </w:r>
    </w:p>
    <w:p w14:paraId="70FB246A">
      <w:pPr>
        <w:spacing w:before="120" w:beforeLines="50" w:after="120" w:afterLines="50" w:line="360" w:lineRule="auto"/>
        <w:ind w:firstLine="482" w:firstLineChars="200"/>
        <w:contextualSpacing/>
        <w:rPr>
          <w:rFonts w:hint="eastAsia" w:ascii="宋体" w:hAnsi="宋体" w:eastAsia="宋体" w:cs="宋体"/>
          <w:b/>
          <w:sz w:val="24"/>
          <w:highlight w:val="none"/>
        </w:rPr>
      </w:pPr>
      <w:r>
        <w:rPr>
          <w:rFonts w:hint="eastAsia" w:ascii="宋体" w:hAnsi="宋体" w:eastAsia="宋体" w:cs="宋体"/>
          <w:b/>
          <w:sz w:val="24"/>
          <w:highlight w:val="none"/>
        </w:rPr>
        <w:t>21. 转让</w:t>
      </w:r>
    </w:p>
    <w:p w14:paraId="021E2A21">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21.1 未经买方事先书面同意，卖方不得部分转让或全部转让其应履行的合同义务。</w:t>
      </w:r>
    </w:p>
    <w:p w14:paraId="5FE45EB3">
      <w:pPr>
        <w:spacing w:before="120" w:beforeLines="50" w:after="120" w:afterLines="50" w:line="360" w:lineRule="auto"/>
        <w:ind w:firstLine="482" w:firstLineChars="200"/>
        <w:contextualSpacing/>
        <w:rPr>
          <w:rFonts w:hint="eastAsia" w:ascii="宋体" w:hAnsi="宋体" w:eastAsia="宋体" w:cs="宋体"/>
          <w:b/>
          <w:sz w:val="24"/>
          <w:highlight w:val="none"/>
        </w:rPr>
      </w:pPr>
      <w:r>
        <w:rPr>
          <w:rFonts w:hint="eastAsia" w:ascii="宋体" w:hAnsi="宋体" w:eastAsia="宋体" w:cs="宋体"/>
          <w:b/>
          <w:sz w:val="24"/>
          <w:highlight w:val="none"/>
        </w:rPr>
        <w:t>22. 分包</w:t>
      </w:r>
    </w:p>
    <w:p w14:paraId="194F9807">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22.1 对投标文件中没有明确分包的合同，卖方应书面通知买方其在本合同中将分包的全部分包合同，并需经买方同意，但此分包通知并不能解除卖方履行本合同的责任和义务。</w:t>
      </w:r>
    </w:p>
    <w:p w14:paraId="3DA3D284">
      <w:pPr>
        <w:spacing w:before="120" w:beforeLines="50" w:after="120" w:afterLines="50" w:line="360" w:lineRule="auto"/>
        <w:ind w:firstLine="482" w:firstLineChars="200"/>
        <w:contextualSpacing/>
        <w:rPr>
          <w:rFonts w:hint="eastAsia" w:ascii="宋体" w:hAnsi="宋体" w:eastAsia="宋体" w:cs="宋体"/>
          <w:b/>
          <w:sz w:val="24"/>
          <w:highlight w:val="none"/>
        </w:rPr>
      </w:pPr>
      <w:r>
        <w:rPr>
          <w:rFonts w:hint="eastAsia" w:ascii="宋体" w:hAnsi="宋体" w:eastAsia="宋体" w:cs="宋体"/>
          <w:b/>
          <w:sz w:val="24"/>
          <w:highlight w:val="none"/>
        </w:rPr>
        <w:t>23. 卖方履约延误</w:t>
      </w:r>
    </w:p>
    <w:p w14:paraId="2520D042">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23.1 卖方应按照</w:t>
      </w:r>
      <w:r>
        <w:rPr>
          <w:rFonts w:hint="eastAsia" w:ascii="宋体" w:hAnsi="宋体" w:cs="宋体"/>
          <w:szCs w:val="21"/>
          <w:highlight w:val="none"/>
          <w:lang w:eastAsia="zh-CN"/>
        </w:rPr>
        <w:t>采购文件</w:t>
      </w:r>
      <w:r>
        <w:rPr>
          <w:rFonts w:hint="eastAsia" w:ascii="宋体" w:hAnsi="宋体" w:eastAsia="宋体" w:cs="宋体"/>
          <w:szCs w:val="21"/>
          <w:highlight w:val="none"/>
        </w:rPr>
        <w:t>中规定的交货时间交货和提供服务。</w:t>
      </w:r>
    </w:p>
    <w:p w14:paraId="16339739">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23.2 在履行合同过程中，如果卖方及其分包人遇到妨碍按时交货和提供服务的情况时，应及时以书面形式将拖延的事实、可能拖延的时间和原因通知买方。买方在收到卖方通知后十五（15）天内对情况进行评价，并书面确定是否同意延长交货时间。延期应通过修改合同的方式由双方认可。</w:t>
      </w:r>
    </w:p>
    <w:p w14:paraId="1D3420B7">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23.3 除了合同条款第27条的情况外，除非拖延是根据合同条款第19条的规定取得同意而不收取误期赔偿费之外，卖方延误交货，将按合同条款第24条的规定被收取误期赔偿费。</w:t>
      </w:r>
    </w:p>
    <w:p w14:paraId="70B02E60">
      <w:pPr>
        <w:spacing w:before="120" w:beforeLines="50" w:after="120" w:afterLines="50" w:line="360" w:lineRule="auto"/>
        <w:ind w:firstLine="482" w:firstLineChars="200"/>
        <w:contextualSpacing/>
        <w:rPr>
          <w:rFonts w:hint="eastAsia" w:ascii="宋体" w:hAnsi="宋体" w:eastAsia="宋体" w:cs="宋体"/>
          <w:b/>
          <w:sz w:val="24"/>
          <w:highlight w:val="none"/>
        </w:rPr>
      </w:pPr>
      <w:r>
        <w:rPr>
          <w:rFonts w:hint="eastAsia" w:ascii="宋体" w:hAnsi="宋体" w:eastAsia="宋体" w:cs="宋体"/>
          <w:b/>
          <w:sz w:val="24"/>
          <w:highlight w:val="none"/>
        </w:rPr>
        <w:t>24. 违约赔偿</w:t>
      </w:r>
    </w:p>
    <w:p w14:paraId="547AF8A2">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24.1 除合同条款第26条规定的情况外，如果卖方没有按照合同规定的时间交货和提供服务，买方应在不影响合同项下的其他补救措施的情况下，从合同价中扣除误期赔偿费。每延误一周，赔偿费按迟交货物交货价或未提供服务的服务费用的百分之零点五（0.5%）计收，直至交货或提供服务为止，不满1周按1周计算。误期赔偿费的最高限额为合同价格的百分之五（5%）。一旦达到误期赔偿费的最高限额，买方可考虑根据合同条款第25条的规定终止合同。</w:t>
      </w:r>
    </w:p>
    <w:p w14:paraId="7F77FE51">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24.2 如果由于买方的原因迟付货款或无故不接收货物,买方须按下列比例支付违约金:</w:t>
      </w:r>
    </w:p>
    <w:p w14:paraId="253938C0">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迟付货款或无故不接收货物1-4周，每周赔偿费为迟付货款或货物金额的0.1%；</w:t>
      </w:r>
    </w:p>
    <w:p w14:paraId="51A9708E">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迟付货款或无故不接收货物5-8周，每周赔偿费为迟付货款或货物金额的0.2%；</w:t>
      </w:r>
    </w:p>
    <w:p w14:paraId="1A795C04">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迟付货款或无故不接收货物9周以上，每周赔偿费为迟付货款或货物金额的0.3%；</w:t>
      </w:r>
    </w:p>
    <w:p w14:paraId="07183110">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不满1周按1周计算。</w:t>
      </w:r>
    </w:p>
    <w:p w14:paraId="36215C1D">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买方支付迟付款违约金总额不超过合同总价的3%。</w:t>
      </w:r>
    </w:p>
    <w:p w14:paraId="6FA3687F">
      <w:pPr>
        <w:spacing w:before="120" w:beforeLines="50" w:after="120" w:afterLines="50" w:line="360" w:lineRule="auto"/>
        <w:ind w:firstLine="482" w:firstLineChars="200"/>
        <w:contextualSpacing/>
        <w:rPr>
          <w:rFonts w:hint="eastAsia" w:ascii="宋体" w:hAnsi="宋体" w:eastAsia="宋体" w:cs="宋体"/>
          <w:b/>
          <w:sz w:val="24"/>
          <w:highlight w:val="none"/>
        </w:rPr>
      </w:pPr>
      <w:r>
        <w:rPr>
          <w:rFonts w:hint="eastAsia" w:ascii="宋体" w:hAnsi="宋体" w:eastAsia="宋体" w:cs="宋体"/>
          <w:b/>
          <w:sz w:val="24"/>
          <w:highlight w:val="none"/>
        </w:rPr>
        <w:t>25. 违约终止合同</w:t>
      </w:r>
    </w:p>
    <w:p w14:paraId="683EAD52">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25.1 在买方对卖方违约而采取的任何补救措施无效的情况下，买方可向卖方发出书面违约通知书，提出终止部分或全部合同：</w:t>
      </w:r>
    </w:p>
    <w:p w14:paraId="32372327">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1）如果卖方未能在合同规定的期限内或买方根据合同条款第19条的规定同意延长的期限内提供部分或全部货物。</w:t>
      </w:r>
    </w:p>
    <w:p w14:paraId="3CE14C0C">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2）如果卖方未能履行合同规定的其它任何义务。</w:t>
      </w:r>
    </w:p>
    <w:p w14:paraId="055E243C">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3）如果买方认为卖方在本合同的竞争和实施过程中有腐败和欺诈行为。为此，定义下述条件。</w:t>
      </w:r>
    </w:p>
    <w:p w14:paraId="0398582B">
      <w:pPr>
        <w:numPr>
          <w:ilvl w:val="2"/>
          <w:numId w:val="3"/>
        </w:numPr>
        <w:tabs>
          <w:tab w:val="left" w:pos="735"/>
        </w:tabs>
        <w:spacing w:before="120" w:beforeLines="50" w:after="120" w:afterLines="50" w:line="360" w:lineRule="auto"/>
        <w:ind w:left="735" w:hanging="315"/>
        <w:contextualSpacing/>
        <w:rPr>
          <w:rFonts w:hint="eastAsia" w:ascii="宋体" w:hAnsi="宋体" w:eastAsia="宋体" w:cs="宋体"/>
          <w:szCs w:val="21"/>
          <w:highlight w:val="none"/>
        </w:rPr>
      </w:pPr>
      <w:r>
        <w:rPr>
          <w:rFonts w:hint="eastAsia" w:ascii="宋体" w:hAnsi="宋体" w:eastAsia="宋体" w:cs="宋体"/>
          <w:szCs w:val="21"/>
          <w:highlight w:val="none"/>
        </w:rPr>
        <w:t>“腐败行为”是指提供、给予、接受或索取任何有价值的物品来影响买方在采购过程或合同实施过程中的行为。</w:t>
      </w:r>
    </w:p>
    <w:p w14:paraId="63FAD4F1">
      <w:pPr>
        <w:numPr>
          <w:ilvl w:val="2"/>
          <w:numId w:val="3"/>
        </w:numPr>
        <w:tabs>
          <w:tab w:val="left" w:pos="735"/>
        </w:tabs>
        <w:spacing w:before="120" w:beforeLines="50" w:after="120" w:afterLines="50" w:line="360" w:lineRule="auto"/>
        <w:ind w:hanging="840"/>
        <w:contextualSpacing/>
        <w:rPr>
          <w:rFonts w:hint="eastAsia" w:ascii="宋体" w:hAnsi="宋体" w:eastAsia="宋体" w:cs="宋体"/>
          <w:szCs w:val="21"/>
          <w:highlight w:val="none"/>
        </w:rPr>
      </w:pPr>
      <w:r>
        <w:rPr>
          <w:rFonts w:hint="eastAsia" w:ascii="宋体" w:hAnsi="宋体" w:eastAsia="宋体" w:cs="宋体"/>
          <w:szCs w:val="21"/>
          <w:highlight w:val="none"/>
        </w:rPr>
        <w:t>“欺诈行为”是指为了影响采购过程或合同实施过程而谎报或隐瞒事实，损害买方利益的行为。</w:t>
      </w:r>
    </w:p>
    <w:p w14:paraId="0E170472">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25.2 如果买方根据上述第23.1条的规定，终止了全部或部分合同，买方可以依其认为适当的条件和方法购买与未交货物类似的货物或服务，卖方应承担买方因购买类似货物或服务而产生的额外支出。但是，卖方应继续执行合同中未终止的部分。</w:t>
      </w:r>
    </w:p>
    <w:p w14:paraId="77F8C2EA">
      <w:pPr>
        <w:spacing w:before="120" w:beforeLines="50" w:after="120" w:afterLines="50" w:line="360" w:lineRule="auto"/>
        <w:ind w:firstLine="482" w:firstLineChars="200"/>
        <w:contextualSpacing/>
        <w:rPr>
          <w:rFonts w:hint="eastAsia" w:ascii="宋体" w:hAnsi="宋体" w:eastAsia="宋体" w:cs="宋体"/>
          <w:b/>
          <w:sz w:val="24"/>
          <w:highlight w:val="none"/>
        </w:rPr>
      </w:pPr>
      <w:r>
        <w:rPr>
          <w:rFonts w:hint="eastAsia" w:ascii="宋体" w:hAnsi="宋体" w:eastAsia="宋体" w:cs="宋体"/>
          <w:b/>
          <w:sz w:val="24"/>
          <w:highlight w:val="none"/>
        </w:rPr>
        <w:t>26. 不可抗力</w:t>
      </w:r>
    </w:p>
    <w:p w14:paraId="3B7914FB">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26.1 签约双方任何一方由于不可抗力事件的影响而不能执行合同时，履行合同的期限应予延长，其延长的期限应相当于事件所影响的时间。不可抗力事件系指买卖双方在缔结合同时所不能预见的，并且它的发生及其后果是无法避免和无法克服的事件，诸如战争、严重火灾、洪水、台风、地震等。</w:t>
      </w:r>
    </w:p>
    <w:p w14:paraId="36FC6304">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26.2 受影响一方应在不可抗力事件发生后尽快用书面形式通知对方，并于不可抗力事件发生后十四（14）天内将有关当局出具的证明文件用特快专递或挂号信寄给对方审阅确认。一旦不可抗力事件的影响持续一百二十天（120）天以上，双方应通过友好协商在合理的时间内达成进一步履行合同的协议。</w:t>
      </w:r>
    </w:p>
    <w:p w14:paraId="65DA81AA">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26.3 因合同一方迟延履行合同后发生不可抗力的，不能免除迟延履行方的相应责任。</w:t>
      </w:r>
    </w:p>
    <w:p w14:paraId="2420C33C">
      <w:pPr>
        <w:spacing w:before="120" w:beforeLines="50" w:after="120" w:afterLines="50" w:line="360" w:lineRule="auto"/>
        <w:ind w:firstLine="482" w:firstLineChars="200"/>
        <w:contextualSpacing/>
        <w:rPr>
          <w:rFonts w:hint="eastAsia" w:ascii="宋体" w:hAnsi="宋体" w:eastAsia="宋体" w:cs="宋体"/>
          <w:b/>
          <w:sz w:val="24"/>
          <w:highlight w:val="none"/>
        </w:rPr>
      </w:pPr>
      <w:r>
        <w:rPr>
          <w:rFonts w:hint="eastAsia" w:ascii="宋体" w:hAnsi="宋体" w:eastAsia="宋体" w:cs="宋体"/>
          <w:b/>
          <w:sz w:val="24"/>
          <w:highlight w:val="none"/>
        </w:rPr>
        <w:t>27. 因破产而终止合同</w:t>
      </w:r>
    </w:p>
    <w:p w14:paraId="144AA53A">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27.1 如果卖方破产或无清偿能力，买方可在任何时候以书面形式通知卖方，提出终止合同而不给卖方补偿。该合同的终止将不损害或影响买方已经采取或将要采取的任何行动或补救措施的权力。</w:t>
      </w:r>
    </w:p>
    <w:p w14:paraId="7B6CEECC">
      <w:pPr>
        <w:spacing w:before="120" w:beforeLines="50" w:after="120" w:afterLines="50" w:line="360" w:lineRule="auto"/>
        <w:ind w:firstLine="482" w:firstLineChars="200"/>
        <w:contextualSpacing/>
        <w:rPr>
          <w:rFonts w:hint="eastAsia" w:ascii="宋体" w:hAnsi="宋体" w:eastAsia="宋体" w:cs="宋体"/>
          <w:b/>
          <w:sz w:val="24"/>
          <w:highlight w:val="none"/>
        </w:rPr>
      </w:pPr>
      <w:r>
        <w:rPr>
          <w:rFonts w:hint="eastAsia" w:ascii="宋体" w:hAnsi="宋体" w:eastAsia="宋体" w:cs="宋体"/>
          <w:b/>
          <w:sz w:val="24"/>
          <w:highlight w:val="none"/>
        </w:rPr>
        <w:t>28．因买方的便利而终止合同</w:t>
      </w:r>
    </w:p>
    <w:p w14:paraId="4D7E6D9F">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28.1 买方可在任何时候出于自身的便利向卖方发出书面通知全部或部分终止合同，终止通知应明确该终止合同是出于买方的便利，并明确合同终止的程度，以及终止的生效日期。</w:t>
      </w:r>
    </w:p>
    <w:p w14:paraId="60AE3670">
      <w:pPr>
        <w:spacing w:before="120" w:beforeLines="50" w:after="120" w:afterLines="50" w:line="360" w:lineRule="auto"/>
        <w:ind w:firstLine="420" w:firstLineChars="200"/>
        <w:contextualSpacing/>
        <w:rPr>
          <w:rFonts w:hint="eastAsia" w:ascii="宋体" w:hAnsi="宋体" w:eastAsia="宋体" w:cs="宋体"/>
          <w:szCs w:val="21"/>
          <w:highlight w:val="none"/>
        </w:rPr>
      </w:pPr>
      <w:r>
        <w:rPr>
          <w:rFonts w:hint="eastAsia" w:ascii="宋体" w:hAnsi="宋体" w:eastAsia="宋体" w:cs="宋体"/>
          <w:szCs w:val="21"/>
          <w:highlight w:val="none"/>
        </w:rPr>
        <w:t>28.2 对卖方收到终止通知后三十（30）天内已完成并准备装运的货物，买方应按原合同价格和条款予以接收，对于剩下的货物，买方可：</w:t>
      </w:r>
    </w:p>
    <w:p w14:paraId="4B407EB5">
      <w:pPr>
        <w:numPr>
          <w:ilvl w:val="3"/>
          <w:numId w:val="4"/>
        </w:numPr>
        <w:tabs>
          <w:tab w:val="left" w:pos="945"/>
        </w:tabs>
        <w:spacing w:before="120" w:beforeLines="50" w:after="120" w:afterLines="50" w:line="360" w:lineRule="auto"/>
        <w:ind w:left="900"/>
        <w:contextualSpacing/>
        <w:rPr>
          <w:rFonts w:hint="eastAsia" w:ascii="宋体" w:hAnsi="宋体" w:eastAsia="宋体" w:cs="宋体"/>
          <w:szCs w:val="21"/>
          <w:highlight w:val="none"/>
        </w:rPr>
      </w:pPr>
      <w:r>
        <w:rPr>
          <w:rFonts w:hint="eastAsia" w:ascii="宋体" w:hAnsi="宋体" w:eastAsia="宋体" w:cs="宋体"/>
          <w:szCs w:val="21"/>
          <w:highlight w:val="none"/>
        </w:rPr>
        <w:t>仅对部分货物按照原来的合同价格和条款予以接受；</w:t>
      </w:r>
    </w:p>
    <w:p w14:paraId="0647D8A5">
      <w:pPr>
        <w:numPr>
          <w:ilvl w:val="3"/>
          <w:numId w:val="4"/>
        </w:numPr>
        <w:tabs>
          <w:tab w:val="left" w:pos="945"/>
        </w:tabs>
        <w:spacing w:before="120" w:beforeLines="50" w:after="120" w:afterLines="50" w:line="360" w:lineRule="auto"/>
        <w:ind w:left="900"/>
        <w:contextualSpacing/>
        <w:rPr>
          <w:rFonts w:hint="eastAsia" w:ascii="宋体" w:hAnsi="宋体" w:eastAsia="宋体" w:cs="宋体"/>
          <w:szCs w:val="21"/>
          <w:highlight w:val="none"/>
        </w:rPr>
      </w:pPr>
      <w:r>
        <w:rPr>
          <w:rFonts w:hint="eastAsia" w:ascii="宋体" w:hAnsi="宋体" w:eastAsia="宋体" w:cs="宋体"/>
          <w:szCs w:val="21"/>
          <w:highlight w:val="none"/>
        </w:rPr>
        <w:t>取消对所剩货物的采购，并按双方商定的金额向卖方支付部分完成的货物和服务以及卖方以前已采购的材料和部件的费用。</w:t>
      </w:r>
    </w:p>
    <w:p w14:paraId="050D5B5F">
      <w:pPr>
        <w:spacing w:before="120" w:beforeLines="50" w:after="120" w:afterLines="50" w:line="360" w:lineRule="auto"/>
        <w:ind w:firstLine="472" w:firstLineChars="196"/>
        <w:contextualSpacing/>
        <w:rPr>
          <w:rFonts w:hint="eastAsia" w:ascii="宋体" w:hAnsi="宋体" w:eastAsia="宋体" w:cs="宋体"/>
          <w:b/>
          <w:sz w:val="24"/>
          <w:highlight w:val="none"/>
        </w:rPr>
      </w:pPr>
      <w:r>
        <w:rPr>
          <w:rFonts w:hint="eastAsia" w:ascii="宋体" w:hAnsi="宋体" w:eastAsia="宋体" w:cs="宋体"/>
          <w:b/>
          <w:sz w:val="24"/>
          <w:highlight w:val="none"/>
        </w:rPr>
        <w:t>29. 争议的解决</w:t>
      </w:r>
    </w:p>
    <w:p w14:paraId="03047327">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29.1 因执行本合同所发生的或与本合同有关的一切争议,双方应通过友好协商解决。如果协商开始后六十（60）天还不能解决，任何一方均可按中华人民共和国有关法律的规定提交仲裁。仲裁地点应在买方单位所在地。</w:t>
      </w:r>
    </w:p>
    <w:p w14:paraId="29AE99D2">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29.2 仲裁裁决应为最终裁决，对双方均具有约束力。</w:t>
      </w:r>
    </w:p>
    <w:p w14:paraId="0DAEF101">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29.3 仲裁费除仲裁机关另有裁决外均应由败诉方负担。</w:t>
      </w:r>
    </w:p>
    <w:p w14:paraId="2A33FC38">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29.4 在仲裁期间，除正在进行仲裁的部分外，本合同其它部分应继续执行。</w:t>
      </w:r>
    </w:p>
    <w:p w14:paraId="19835A53">
      <w:pPr>
        <w:spacing w:before="120" w:beforeLines="50" w:after="120" w:afterLines="50" w:line="360" w:lineRule="auto"/>
        <w:ind w:firstLine="472" w:firstLineChars="196"/>
        <w:contextualSpacing/>
        <w:rPr>
          <w:rFonts w:hint="eastAsia" w:ascii="宋体" w:hAnsi="宋体" w:eastAsia="宋体" w:cs="宋体"/>
          <w:b/>
          <w:sz w:val="24"/>
          <w:highlight w:val="none"/>
        </w:rPr>
      </w:pPr>
      <w:r>
        <w:rPr>
          <w:rFonts w:hint="eastAsia" w:ascii="宋体" w:hAnsi="宋体" w:eastAsia="宋体" w:cs="宋体"/>
          <w:b/>
          <w:sz w:val="24"/>
          <w:highlight w:val="none"/>
        </w:rPr>
        <w:t>30. 合同语言</w:t>
      </w:r>
    </w:p>
    <w:p w14:paraId="32315F65">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30.1 本合同语言为中文。双方交换的与合同有关的信函均用中文书写。</w:t>
      </w:r>
    </w:p>
    <w:p w14:paraId="0C3394D2">
      <w:pPr>
        <w:spacing w:before="120" w:beforeLines="50" w:after="120" w:afterLines="50" w:line="360" w:lineRule="auto"/>
        <w:ind w:firstLine="472" w:firstLineChars="196"/>
        <w:contextualSpacing/>
        <w:rPr>
          <w:rFonts w:hint="eastAsia" w:ascii="宋体" w:hAnsi="宋体" w:eastAsia="宋体" w:cs="宋体"/>
          <w:b/>
          <w:sz w:val="24"/>
          <w:highlight w:val="none"/>
        </w:rPr>
      </w:pPr>
      <w:r>
        <w:rPr>
          <w:rFonts w:hint="eastAsia" w:ascii="宋体" w:hAnsi="宋体" w:eastAsia="宋体" w:cs="宋体"/>
          <w:b/>
          <w:sz w:val="24"/>
          <w:highlight w:val="none"/>
        </w:rPr>
        <w:t>31. 适用法律</w:t>
      </w:r>
    </w:p>
    <w:p w14:paraId="4062C99D">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31.1 本合同应按照中华人民共和国的法律进行解释。</w:t>
      </w:r>
    </w:p>
    <w:p w14:paraId="0C72BC37">
      <w:pPr>
        <w:spacing w:before="120" w:beforeLines="50" w:after="120" w:afterLines="50" w:line="360" w:lineRule="auto"/>
        <w:ind w:firstLine="472" w:firstLineChars="196"/>
        <w:contextualSpacing/>
        <w:rPr>
          <w:rFonts w:hint="eastAsia" w:ascii="宋体" w:hAnsi="宋体" w:eastAsia="宋体" w:cs="宋体"/>
          <w:b/>
          <w:sz w:val="24"/>
          <w:highlight w:val="none"/>
        </w:rPr>
      </w:pPr>
      <w:r>
        <w:rPr>
          <w:rFonts w:hint="eastAsia" w:ascii="宋体" w:hAnsi="宋体" w:eastAsia="宋体" w:cs="宋体"/>
          <w:b/>
          <w:sz w:val="24"/>
          <w:highlight w:val="none"/>
        </w:rPr>
        <w:t>32．通知</w:t>
      </w:r>
    </w:p>
    <w:p w14:paraId="5132B03C">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32.1 本合同一方给对方的通知应用书面形式传真到对方。</w:t>
      </w:r>
    </w:p>
    <w:p w14:paraId="60C8A22E">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32.2 通知以送到日期或通知书的生效日期为生效日期，两者中以晚的一个日期为准。</w:t>
      </w:r>
    </w:p>
    <w:p w14:paraId="0133E84F">
      <w:pPr>
        <w:spacing w:before="120" w:beforeLines="50" w:after="120" w:afterLines="50" w:line="360" w:lineRule="auto"/>
        <w:ind w:firstLine="472" w:firstLineChars="196"/>
        <w:contextualSpacing/>
        <w:rPr>
          <w:rFonts w:hint="eastAsia" w:ascii="宋体" w:hAnsi="宋体" w:eastAsia="宋体" w:cs="宋体"/>
          <w:b/>
          <w:sz w:val="24"/>
          <w:highlight w:val="none"/>
        </w:rPr>
      </w:pPr>
      <w:r>
        <w:rPr>
          <w:rFonts w:hint="eastAsia" w:ascii="宋体" w:hAnsi="宋体" w:eastAsia="宋体" w:cs="宋体"/>
          <w:b/>
          <w:sz w:val="24"/>
          <w:highlight w:val="none"/>
        </w:rPr>
        <w:t>33．税款</w:t>
      </w:r>
    </w:p>
    <w:p w14:paraId="225FB9F8">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33.1 按照中华人民共和国税法和有关部门的规定，买方需交纳的与本合同有关的一切税费均应由买方负担。</w:t>
      </w:r>
    </w:p>
    <w:p w14:paraId="71E0F29F">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33.2按照中华人民共和国税法和有关部门的规定，卖方需交纳的与本合同有关的一切税费均应由卖方负担。</w:t>
      </w:r>
    </w:p>
    <w:p w14:paraId="796FF019">
      <w:pPr>
        <w:spacing w:before="120" w:beforeLines="50" w:after="120" w:afterLines="50" w:line="360" w:lineRule="auto"/>
        <w:ind w:firstLine="472" w:firstLineChars="196"/>
        <w:contextualSpacing/>
        <w:rPr>
          <w:rFonts w:hint="eastAsia" w:ascii="宋体" w:hAnsi="宋体" w:eastAsia="宋体" w:cs="宋体"/>
          <w:b/>
          <w:sz w:val="24"/>
          <w:highlight w:val="none"/>
        </w:rPr>
      </w:pPr>
      <w:r>
        <w:rPr>
          <w:rFonts w:hint="eastAsia" w:ascii="宋体" w:hAnsi="宋体" w:eastAsia="宋体" w:cs="宋体"/>
          <w:b/>
          <w:sz w:val="24"/>
          <w:highlight w:val="none"/>
        </w:rPr>
        <w:t>34．合同生效及其他</w:t>
      </w:r>
    </w:p>
    <w:p w14:paraId="5FDD1B0F">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34.1 本合同应在双方签字并加盖双方公章后生效。</w:t>
      </w:r>
    </w:p>
    <w:p w14:paraId="7EAE9B7F">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34.2 下述合同附件为本合同不可分割的部分并与本合同具有同等效力：</w:t>
      </w:r>
    </w:p>
    <w:p w14:paraId="0764D954">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1）报价函、报价汇总表、分项报价表；</w:t>
      </w:r>
    </w:p>
    <w:p w14:paraId="72551854">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2）中标通知书；</w:t>
      </w:r>
    </w:p>
    <w:p w14:paraId="61897A97">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3）合同条款前附表；</w:t>
      </w:r>
    </w:p>
    <w:p w14:paraId="5BD21432">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4）合同条款及合同附件；</w:t>
      </w:r>
    </w:p>
    <w:p w14:paraId="198DD069">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5）</w:t>
      </w:r>
      <w:r>
        <w:rPr>
          <w:rFonts w:hint="eastAsia" w:ascii="宋体" w:hAnsi="宋体" w:cs="宋体"/>
          <w:szCs w:val="21"/>
          <w:highlight w:val="none"/>
          <w:lang w:eastAsia="zh-CN"/>
        </w:rPr>
        <w:t>采购文件</w:t>
      </w:r>
      <w:r>
        <w:rPr>
          <w:rFonts w:hint="eastAsia" w:ascii="宋体" w:hAnsi="宋体" w:eastAsia="宋体" w:cs="宋体"/>
          <w:szCs w:val="21"/>
          <w:highlight w:val="none"/>
        </w:rPr>
        <w:t>；</w:t>
      </w:r>
    </w:p>
    <w:p w14:paraId="14B496E9">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6）投标文件；</w:t>
      </w:r>
    </w:p>
    <w:p w14:paraId="2581FC51">
      <w:pPr>
        <w:spacing w:before="120" w:beforeLines="50" w:after="120" w:afterLines="50" w:line="360" w:lineRule="auto"/>
        <w:ind w:firstLine="411" w:firstLineChars="196"/>
        <w:contextualSpacing/>
        <w:rPr>
          <w:rFonts w:hint="eastAsia" w:ascii="宋体" w:hAnsi="宋体" w:eastAsia="宋体" w:cs="宋体"/>
          <w:szCs w:val="21"/>
          <w:highlight w:val="none"/>
        </w:rPr>
      </w:pPr>
      <w:r>
        <w:rPr>
          <w:rFonts w:hint="eastAsia" w:ascii="宋体" w:hAnsi="宋体" w:eastAsia="宋体" w:cs="宋体"/>
          <w:szCs w:val="21"/>
          <w:highlight w:val="none"/>
        </w:rPr>
        <w:t>7）其他构成本合同的文件。</w:t>
      </w:r>
      <w:bookmarkStart w:id="84" w:name="_Toc329757305"/>
    </w:p>
    <w:p w14:paraId="3992F614">
      <w:pPr>
        <w:spacing w:line="360" w:lineRule="auto"/>
        <w:contextualSpacing/>
        <w:jc w:val="center"/>
        <w:rPr>
          <w:rFonts w:hint="eastAsia" w:ascii="宋体" w:hAnsi="宋体" w:eastAsia="宋体" w:cs="宋体"/>
          <w:b/>
          <w:sz w:val="32"/>
          <w:szCs w:val="32"/>
          <w:highlight w:val="none"/>
        </w:rPr>
      </w:pPr>
      <w:bookmarkStart w:id="85" w:name="_Toc476566560"/>
    </w:p>
    <w:p w14:paraId="7E0E87F6">
      <w:pPr>
        <w:spacing w:line="360" w:lineRule="auto"/>
        <w:contextualSpacing/>
        <w:jc w:val="center"/>
        <w:rPr>
          <w:rFonts w:hint="eastAsia" w:ascii="宋体" w:hAnsi="宋体" w:eastAsia="宋体" w:cs="宋体"/>
          <w:b/>
          <w:sz w:val="32"/>
          <w:szCs w:val="32"/>
          <w:highlight w:val="none"/>
        </w:rPr>
      </w:pPr>
      <w:r>
        <w:rPr>
          <w:rFonts w:hint="eastAsia" w:ascii="宋体" w:hAnsi="宋体" w:eastAsia="宋体" w:cs="宋体"/>
          <w:b/>
          <w:sz w:val="32"/>
          <w:szCs w:val="32"/>
          <w:highlight w:val="none"/>
        </w:rPr>
        <w:t>二、合同特殊条款</w:t>
      </w:r>
      <w:bookmarkEnd w:id="84"/>
      <w:bookmarkEnd w:id="85"/>
    </w:p>
    <w:p w14:paraId="0E32EEC6">
      <w:pPr>
        <w:spacing w:line="360" w:lineRule="auto"/>
        <w:contextualSpacing/>
        <w:jc w:val="center"/>
        <w:rPr>
          <w:rFonts w:hint="eastAsia" w:ascii="宋体" w:hAnsi="宋体" w:eastAsia="宋体" w:cs="宋体"/>
          <w:b/>
          <w:sz w:val="32"/>
          <w:szCs w:val="32"/>
          <w:highlight w:val="none"/>
        </w:rPr>
      </w:pPr>
    </w:p>
    <w:p w14:paraId="4DE54FAF">
      <w:pPr>
        <w:spacing w:line="360" w:lineRule="auto"/>
        <w:ind w:firstLine="420" w:firstLineChars="200"/>
        <w:contextualSpacing/>
        <w:rPr>
          <w:rFonts w:hint="eastAsia" w:ascii="宋体" w:hAnsi="宋体" w:eastAsia="宋体" w:cs="宋体"/>
          <w:kern w:val="21"/>
          <w:szCs w:val="21"/>
          <w:highlight w:val="none"/>
        </w:rPr>
      </w:pPr>
      <w:r>
        <w:rPr>
          <w:rFonts w:hint="eastAsia" w:ascii="宋体" w:hAnsi="宋体" w:eastAsia="宋体" w:cs="宋体"/>
          <w:kern w:val="21"/>
          <w:szCs w:val="21"/>
          <w:highlight w:val="none"/>
        </w:rPr>
        <w:t>合同特殊条款是合同一般条款的补充和修改。如果两者之间有抵触，应以特殊条款为准。</w:t>
      </w:r>
    </w:p>
    <w:p w14:paraId="4BA68FF5">
      <w:pPr>
        <w:spacing w:line="360" w:lineRule="auto"/>
        <w:ind w:firstLine="413" w:firstLineChars="196"/>
        <w:contextualSpacing/>
        <w:rPr>
          <w:rFonts w:hint="eastAsia" w:ascii="宋体" w:hAnsi="宋体" w:eastAsia="宋体" w:cs="宋体"/>
          <w:b/>
          <w:kern w:val="21"/>
          <w:szCs w:val="21"/>
          <w:highlight w:val="none"/>
        </w:rPr>
      </w:pPr>
      <w:r>
        <w:rPr>
          <w:rFonts w:hint="eastAsia" w:ascii="宋体" w:hAnsi="宋体" w:eastAsia="宋体" w:cs="宋体"/>
          <w:b/>
          <w:kern w:val="21"/>
          <w:szCs w:val="21"/>
          <w:highlight w:val="none"/>
        </w:rPr>
        <w:t>1.交货地点：</w:t>
      </w:r>
      <w:r>
        <w:rPr>
          <w:rFonts w:hint="eastAsia" w:ascii="宋体" w:hAnsi="宋体" w:eastAsia="宋体" w:cs="宋体"/>
          <w:szCs w:val="21"/>
          <w:highlight w:val="none"/>
        </w:rPr>
        <w:t>采购人指定地点</w:t>
      </w:r>
    </w:p>
    <w:p w14:paraId="01E2048A">
      <w:pPr>
        <w:spacing w:line="360" w:lineRule="auto"/>
        <w:ind w:firstLine="413" w:firstLineChars="196"/>
        <w:contextualSpacing/>
        <w:rPr>
          <w:rFonts w:hint="eastAsia" w:ascii="宋体" w:hAnsi="宋体" w:eastAsia="宋体" w:cs="宋体"/>
          <w:b/>
          <w:kern w:val="21"/>
          <w:szCs w:val="21"/>
          <w:highlight w:val="none"/>
        </w:rPr>
      </w:pPr>
      <w:r>
        <w:rPr>
          <w:rFonts w:hint="eastAsia" w:ascii="宋体" w:hAnsi="宋体" w:eastAsia="宋体" w:cs="宋体"/>
          <w:b/>
          <w:kern w:val="21"/>
          <w:szCs w:val="21"/>
          <w:highlight w:val="none"/>
        </w:rPr>
        <w:t>2.交货方式：</w:t>
      </w:r>
      <w:r>
        <w:rPr>
          <w:rFonts w:hint="eastAsia" w:ascii="宋体" w:hAnsi="宋体" w:eastAsia="宋体" w:cs="宋体"/>
          <w:kern w:val="21"/>
          <w:szCs w:val="21"/>
          <w:highlight w:val="none"/>
        </w:rPr>
        <w:t xml:space="preserve"> 按合同约定</w:t>
      </w:r>
    </w:p>
    <w:p w14:paraId="7F013394">
      <w:pPr>
        <w:autoSpaceDE w:val="0"/>
        <w:autoSpaceDN w:val="0"/>
        <w:spacing w:line="360" w:lineRule="auto"/>
        <w:contextualSpacing/>
        <w:jc w:val="center"/>
        <w:rPr>
          <w:rFonts w:hint="eastAsia" w:ascii="宋体" w:hAnsi="宋体" w:eastAsia="宋体" w:cs="宋体"/>
          <w:b/>
          <w:bCs/>
          <w:sz w:val="32"/>
          <w:szCs w:val="32"/>
          <w:highlight w:val="none"/>
          <w:lang w:val="zh-CN"/>
        </w:rPr>
      </w:pPr>
      <w:bookmarkStart w:id="86" w:name="_Toc329757306"/>
      <w:bookmarkStart w:id="87" w:name="_Toc476566561"/>
    </w:p>
    <w:p w14:paraId="3F0C2CA3">
      <w:pPr>
        <w:autoSpaceDE w:val="0"/>
        <w:autoSpaceDN w:val="0"/>
        <w:spacing w:line="360" w:lineRule="auto"/>
        <w:contextualSpacing/>
        <w:jc w:val="center"/>
        <w:rPr>
          <w:rFonts w:hint="eastAsia" w:ascii="宋体" w:hAnsi="宋体" w:eastAsia="宋体" w:cs="宋体"/>
          <w:sz w:val="32"/>
          <w:szCs w:val="32"/>
          <w:highlight w:val="none"/>
          <w:lang w:val="zh-CN"/>
        </w:rPr>
      </w:pPr>
      <w:r>
        <w:rPr>
          <w:rFonts w:hint="eastAsia" w:ascii="宋体" w:hAnsi="宋体" w:eastAsia="宋体" w:cs="宋体"/>
          <w:b/>
          <w:bCs/>
          <w:sz w:val="32"/>
          <w:szCs w:val="32"/>
          <w:highlight w:val="none"/>
          <w:lang w:val="zh-CN"/>
        </w:rPr>
        <w:t>三、采购合同书格式</w:t>
      </w:r>
      <w:bookmarkEnd w:id="86"/>
      <w:bookmarkEnd w:id="87"/>
    </w:p>
    <w:p w14:paraId="05A82187">
      <w:pPr>
        <w:autoSpaceDE w:val="0"/>
        <w:autoSpaceDN w:val="0"/>
        <w:spacing w:line="360" w:lineRule="auto"/>
        <w:contextualSpacing/>
        <w:rPr>
          <w:rFonts w:hint="eastAsia" w:ascii="宋体" w:hAnsi="宋体" w:eastAsia="宋体" w:cs="宋体"/>
          <w:szCs w:val="21"/>
          <w:highlight w:val="none"/>
          <w:lang w:val="zh-CN"/>
        </w:rPr>
      </w:pPr>
    </w:p>
    <w:p w14:paraId="13FF121B">
      <w:pPr>
        <w:autoSpaceDE w:val="0"/>
        <w:autoSpaceDN w:val="0"/>
        <w:spacing w:line="360" w:lineRule="auto"/>
        <w:contextualSpacing/>
        <w:rPr>
          <w:rFonts w:hint="eastAsia" w:ascii="宋体" w:hAnsi="宋体" w:eastAsia="宋体" w:cs="宋体"/>
          <w:szCs w:val="21"/>
          <w:highlight w:val="none"/>
          <w:u w:val="single"/>
          <w:lang w:val="zh-CN"/>
        </w:rPr>
      </w:pPr>
      <w:r>
        <w:rPr>
          <w:rFonts w:hint="eastAsia" w:ascii="宋体" w:hAnsi="宋体" w:eastAsia="宋体" w:cs="宋体"/>
          <w:szCs w:val="21"/>
          <w:highlight w:val="none"/>
          <w:lang w:val="zh-CN"/>
        </w:rPr>
        <w:t xml:space="preserve">合同编号： </w:t>
      </w:r>
    </w:p>
    <w:p w14:paraId="58D68B25">
      <w:pPr>
        <w:autoSpaceDE w:val="0"/>
        <w:autoSpaceDN w:val="0"/>
        <w:spacing w:line="360" w:lineRule="auto"/>
        <w:contextualSpacing/>
        <w:rPr>
          <w:rFonts w:hint="eastAsia" w:ascii="宋体" w:hAnsi="宋体" w:eastAsia="宋体" w:cs="宋体"/>
          <w:szCs w:val="21"/>
          <w:highlight w:val="none"/>
          <w:u w:val="single"/>
          <w:lang w:val="zh-CN"/>
        </w:rPr>
      </w:pPr>
      <w:r>
        <w:rPr>
          <w:rFonts w:hint="eastAsia" w:ascii="宋体" w:hAnsi="宋体" w:eastAsia="宋体" w:cs="宋体"/>
          <w:szCs w:val="21"/>
          <w:highlight w:val="none"/>
          <w:lang w:val="zh-CN"/>
        </w:rPr>
        <w:t xml:space="preserve">签订地点： </w:t>
      </w:r>
    </w:p>
    <w:p w14:paraId="783511A1">
      <w:pPr>
        <w:autoSpaceDE w:val="0"/>
        <w:autoSpaceDN w:val="0"/>
        <w:spacing w:line="360" w:lineRule="auto"/>
        <w:contextualSpacing/>
        <w:rPr>
          <w:rFonts w:hint="eastAsia" w:ascii="宋体" w:hAnsi="宋体" w:eastAsia="宋体" w:cs="宋体"/>
          <w:szCs w:val="21"/>
          <w:highlight w:val="none"/>
          <w:lang w:val="zh-CN"/>
        </w:rPr>
      </w:pPr>
      <w:r>
        <w:rPr>
          <w:rFonts w:hint="eastAsia" w:ascii="宋体" w:hAnsi="宋体" w:eastAsia="宋体" w:cs="宋体"/>
          <w:szCs w:val="21"/>
          <w:highlight w:val="none"/>
          <w:lang w:val="zh-CN"/>
        </w:rPr>
        <w:t xml:space="preserve">签订日期： </w:t>
      </w:r>
    </w:p>
    <w:p w14:paraId="66934F38">
      <w:pPr>
        <w:autoSpaceDE w:val="0"/>
        <w:autoSpaceDN w:val="0"/>
        <w:spacing w:line="360" w:lineRule="auto"/>
        <w:contextualSpacing/>
        <w:rPr>
          <w:rFonts w:hint="eastAsia" w:ascii="宋体" w:hAnsi="宋体" w:eastAsia="宋体" w:cs="宋体"/>
          <w:szCs w:val="21"/>
          <w:highlight w:val="none"/>
          <w:u w:val="single"/>
          <w:lang w:val="zh-CN"/>
        </w:rPr>
      </w:pPr>
      <w:r>
        <w:rPr>
          <w:rFonts w:hint="eastAsia" w:ascii="宋体" w:hAnsi="宋体" w:eastAsia="宋体" w:cs="宋体"/>
          <w:szCs w:val="21"/>
          <w:highlight w:val="none"/>
          <w:lang w:val="zh-CN"/>
        </w:rPr>
        <w:t>采购任务通知书编号：</w:t>
      </w:r>
    </w:p>
    <w:p w14:paraId="63376BFB">
      <w:pPr>
        <w:autoSpaceDE w:val="0"/>
        <w:autoSpaceDN w:val="0"/>
        <w:spacing w:line="360" w:lineRule="auto"/>
        <w:contextualSpacing/>
        <w:rPr>
          <w:rFonts w:hint="eastAsia" w:ascii="宋体" w:hAnsi="宋体" w:eastAsia="宋体" w:cs="宋体"/>
          <w:szCs w:val="21"/>
          <w:highlight w:val="none"/>
          <w:lang w:val="zh-CN"/>
        </w:rPr>
      </w:pPr>
      <w:r>
        <w:rPr>
          <w:rFonts w:hint="eastAsia" w:ascii="宋体" w:hAnsi="宋体" w:eastAsia="宋体" w:cs="宋体"/>
          <w:szCs w:val="21"/>
          <w:highlight w:val="none"/>
          <w:lang w:val="zh-CN"/>
        </w:rPr>
        <w:t>（需方）需求的（货物名称）经以编号为的</w:t>
      </w:r>
      <w:r>
        <w:rPr>
          <w:rFonts w:hint="eastAsia" w:ascii="宋体" w:hAnsi="宋体" w:cs="宋体"/>
          <w:szCs w:val="21"/>
          <w:highlight w:val="none"/>
          <w:lang w:val="zh-CN"/>
        </w:rPr>
        <w:t>采购文件</w:t>
      </w:r>
      <w:r>
        <w:rPr>
          <w:rFonts w:hint="eastAsia" w:ascii="宋体" w:hAnsi="宋体" w:eastAsia="宋体" w:cs="宋体"/>
          <w:szCs w:val="21"/>
          <w:highlight w:val="none"/>
          <w:lang w:val="zh-CN"/>
        </w:rPr>
        <w:t>在国内公开招标，评标委员会评定（供方）为中标供应商。供需双方按照《中华人民共和国合同法》和有关法律法规，遵循平等、自愿、公平和诚实信用原则，同意按照下面的条款和条件订立本合同，共同信守。</w:t>
      </w:r>
    </w:p>
    <w:p w14:paraId="2E7F5DC2">
      <w:pPr>
        <w:autoSpaceDE w:val="0"/>
        <w:autoSpaceDN w:val="0"/>
        <w:spacing w:line="360" w:lineRule="auto"/>
        <w:ind w:firstLine="482"/>
        <w:contextualSpacing/>
        <w:rPr>
          <w:rFonts w:hint="eastAsia" w:ascii="宋体" w:hAnsi="宋体" w:eastAsia="宋体" w:cs="宋体"/>
          <w:szCs w:val="21"/>
          <w:highlight w:val="none"/>
          <w:lang w:val="zh-CN"/>
        </w:rPr>
      </w:pPr>
      <w:r>
        <w:rPr>
          <w:rFonts w:hint="eastAsia" w:ascii="宋体" w:hAnsi="宋体" w:eastAsia="宋体" w:cs="宋体"/>
          <w:b/>
          <w:bCs/>
          <w:szCs w:val="21"/>
          <w:highlight w:val="none"/>
          <w:lang w:val="zh-CN"/>
        </w:rPr>
        <w:t>1.合同标的</w:t>
      </w:r>
      <w:r>
        <w:rPr>
          <w:rFonts w:hint="eastAsia" w:ascii="宋体" w:hAnsi="宋体" w:eastAsia="宋体" w:cs="宋体"/>
          <w:szCs w:val="21"/>
          <w:highlight w:val="none"/>
          <w:lang w:val="zh-CN"/>
        </w:rPr>
        <w:t>：</w:t>
      </w:r>
    </w:p>
    <w:tbl>
      <w:tblPr>
        <w:tblStyle w:val="36"/>
        <w:tblW w:w="9091" w:type="dxa"/>
        <w:jc w:val="center"/>
        <w:tblLayout w:type="fixed"/>
        <w:tblCellMar>
          <w:top w:w="0" w:type="dxa"/>
          <w:left w:w="10" w:type="dxa"/>
          <w:bottom w:w="0" w:type="dxa"/>
          <w:right w:w="10" w:type="dxa"/>
        </w:tblCellMar>
      </w:tblPr>
      <w:tblGrid>
        <w:gridCol w:w="1124"/>
        <w:gridCol w:w="1168"/>
        <w:gridCol w:w="3236"/>
        <w:gridCol w:w="698"/>
        <w:gridCol w:w="1238"/>
        <w:gridCol w:w="1627"/>
      </w:tblGrid>
      <w:tr w14:paraId="1A518C2B">
        <w:tblPrEx>
          <w:tblCellMar>
            <w:top w:w="0" w:type="dxa"/>
            <w:left w:w="10" w:type="dxa"/>
            <w:bottom w:w="0" w:type="dxa"/>
            <w:right w:w="10" w:type="dxa"/>
          </w:tblCellMar>
        </w:tblPrEx>
        <w:trPr>
          <w:trHeight w:val="510" w:hRule="atLeast"/>
          <w:jc w:val="center"/>
        </w:trPr>
        <w:tc>
          <w:tcPr>
            <w:tcW w:w="1124" w:type="dxa"/>
            <w:tcBorders>
              <w:top w:val="single" w:color="000000" w:sz="6" w:space="0"/>
              <w:left w:val="single" w:color="000000" w:sz="6" w:space="0"/>
              <w:bottom w:val="single" w:color="000000" w:sz="6" w:space="0"/>
              <w:right w:val="single" w:color="000000" w:sz="6" w:space="0"/>
            </w:tcBorders>
            <w:vAlign w:val="center"/>
          </w:tcPr>
          <w:p w14:paraId="027144C6">
            <w:pPr>
              <w:autoSpaceDE w:val="0"/>
              <w:autoSpaceDN w:val="0"/>
              <w:spacing w:line="360" w:lineRule="auto"/>
              <w:contextualSpacing/>
              <w:jc w:val="center"/>
              <w:rPr>
                <w:rFonts w:hint="eastAsia" w:ascii="宋体" w:hAnsi="宋体" w:eastAsia="宋体" w:cs="宋体"/>
                <w:szCs w:val="21"/>
                <w:highlight w:val="none"/>
              </w:rPr>
            </w:pPr>
            <w:r>
              <w:rPr>
                <w:rFonts w:hint="eastAsia" w:ascii="宋体" w:hAnsi="宋体" w:eastAsia="宋体" w:cs="宋体"/>
                <w:szCs w:val="21"/>
                <w:highlight w:val="none"/>
                <w:lang w:val="zh-CN"/>
              </w:rPr>
              <w:t>货物名称</w:t>
            </w:r>
          </w:p>
        </w:tc>
        <w:tc>
          <w:tcPr>
            <w:tcW w:w="1168" w:type="dxa"/>
            <w:tcBorders>
              <w:top w:val="single" w:color="000000" w:sz="6" w:space="0"/>
              <w:left w:val="single" w:color="000000" w:sz="6" w:space="0"/>
              <w:bottom w:val="single" w:color="000000" w:sz="6" w:space="0"/>
              <w:right w:val="single" w:color="000000" w:sz="6" w:space="0"/>
            </w:tcBorders>
            <w:vAlign w:val="center"/>
          </w:tcPr>
          <w:p w14:paraId="70BCC9E1">
            <w:pPr>
              <w:autoSpaceDE w:val="0"/>
              <w:autoSpaceDN w:val="0"/>
              <w:spacing w:line="360" w:lineRule="auto"/>
              <w:contextualSpacing/>
              <w:jc w:val="center"/>
              <w:rPr>
                <w:rFonts w:hint="eastAsia" w:ascii="宋体" w:hAnsi="宋体" w:eastAsia="宋体" w:cs="宋体"/>
                <w:szCs w:val="21"/>
                <w:highlight w:val="none"/>
              </w:rPr>
            </w:pPr>
            <w:r>
              <w:rPr>
                <w:rFonts w:hint="eastAsia" w:ascii="宋体" w:hAnsi="宋体" w:eastAsia="宋体" w:cs="宋体"/>
                <w:szCs w:val="21"/>
                <w:highlight w:val="none"/>
                <w:lang w:val="zh-CN"/>
              </w:rPr>
              <w:t>品牌型号</w:t>
            </w:r>
          </w:p>
        </w:tc>
        <w:tc>
          <w:tcPr>
            <w:tcW w:w="3236" w:type="dxa"/>
            <w:tcBorders>
              <w:top w:val="single" w:color="000000" w:sz="6" w:space="0"/>
              <w:left w:val="single" w:color="000000" w:sz="6" w:space="0"/>
              <w:bottom w:val="single" w:color="000000" w:sz="6" w:space="0"/>
              <w:right w:val="single" w:color="000000" w:sz="6" w:space="0"/>
            </w:tcBorders>
            <w:vAlign w:val="center"/>
          </w:tcPr>
          <w:p w14:paraId="5CA7F2DF">
            <w:pPr>
              <w:autoSpaceDE w:val="0"/>
              <w:autoSpaceDN w:val="0"/>
              <w:spacing w:line="360" w:lineRule="auto"/>
              <w:contextualSpacing/>
              <w:jc w:val="center"/>
              <w:rPr>
                <w:rFonts w:hint="eastAsia" w:ascii="宋体" w:hAnsi="宋体" w:eastAsia="宋体" w:cs="宋体"/>
                <w:szCs w:val="21"/>
                <w:highlight w:val="none"/>
              </w:rPr>
            </w:pPr>
            <w:r>
              <w:rPr>
                <w:rFonts w:hint="eastAsia" w:ascii="宋体" w:hAnsi="宋体" w:eastAsia="宋体" w:cs="宋体"/>
                <w:szCs w:val="21"/>
                <w:highlight w:val="none"/>
                <w:lang w:val="zh-CN"/>
              </w:rPr>
              <w:t>详细配置及主要技术参数</w:t>
            </w:r>
          </w:p>
        </w:tc>
        <w:tc>
          <w:tcPr>
            <w:tcW w:w="698" w:type="dxa"/>
            <w:tcBorders>
              <w:top w:val="single" w:color="000000" w:sz="6" w:space="0"/>
              <w:left w:val="single" w:color="000000" w:sz="6" w:space="0"/>
              <w:bottom w:val="single" w:color="000000" w:sz="6" w:space="0"/>
              <w:right w:val="single" w:color="000000" w:sz="6" w:space="0"/>
            </w:tcBorders>
            <w:vAlign w:val="center"/>
          </w:tcPr>
          <w:p w14:paraId="276B446C">
            <w:pPr>
              <w:autoSpaceDE w:val="0"/>
              <w:autoSpaceDN w:val="0"/>
              <w:spacing w:line="360" w:lineRule="auto"/>
              <w:contextualSpacing/>
              <w:jc w:val="center"/>
              <w:rPr>
                <w:rFonts w:hint="eastAsia" w:ascii="宋体" w:hAnsi="宋体" w:eastAsia="宋体" w:cs="宋体"/>
                <w:szCs w:val="21"/>
                <w:highlight w:val="none"/>
              </w:rPr>
            </w:pPr>
            <w:r>
              <w:rPr>
                <w:rFonts w:hint="eastAsia" w:ascii="宋体" w:hAnsi="宋体" w:eastAsia="宋体" w:cs="宋体"/>
                <w:szCs w:val="21"/>
                <w:highlight w:val="none"/>
                <w:lang w:val="zh-CN"/>
              </w:rPr>
              <w:t>数量</w:t>
            </w:r>
          </w:p>
        </w:tc>
        <w:tc>
          <w:tcPr>
            <w:tcW w:w="1238" w:type="dxa"/>
            <w:tcBorders>
              <w:top w:val="single" w:color="000000" w:sz="6" w:space="0"/>
              <w:left w:val="single" w:color="000000" w:sz="6" w:space="0"/>
              <w:bottom w:val="single" w:color="000000" w:sz="6" w:space="0"/>
              <w:right w:val="single" w:color="000000" w:sz="6" w:space="0"/>
            </w:tcBorders>
            <w:vAlign w:val="center"/>
          </w:tcPr>
          <w:p w14:paraId="1658239F">
            <w:pPr>
              <w:autoSpaceDE w:val="0"/>
              <w:autoSpaceDN w:val="0"/>
              <w:spacing w:line="360" w:lineRule="auto"/>
              <w:contextualSpacing/>
              <w:jc w:val="center"/>
              <w:rPr>
                <w:rFonts w:hint="eastAsia" w:ascii="宋体" w:hAnsi="宋体" w:eastAsia="宋体" w:cs="宋体"/>
                <w:szCs w:val="21"/>
                <w:highlight w:val="none"/>
              </w:rPr>
            </w:pPr>
            <w:r>
              <w:rPr>
                <w:rFonts w:hint="eastAsia" w:ascii="宋体" w:hAnsi="宋体" w:eastAsia="宋体" w:cs="宋体"/>
                <w:szCs w:val="21"/>
                <w:highlight w:val="none"/>
                <w:lang w:val="zh-CN"/>
              </w:rPr>
              <w:t>单价</w:t>
            </w:r>
            <w:r>
              <w:rPr>
                <w:rFonts w:hint="eastAsia" w:ascii="宋体" w:hAnsi="宋体" w:eastAsia="宋体" w:cs="宋体"/>
                <w:szCs w:val="21"/>
                <w:highlight w:val="none"/>
              </w:rPr>
              <w:t>(</w:t>
            </w:r>
            <w:r>
              <w:rPr>
                <w:rFonts w:hint="eastAsia" w:ascii="宋体" w:hAnsi="宋体" w:eastAsia="宋体" w:cs="宋体"/>
                <w:szCs w:val="21"/>
                <w:highlight w:val="none"/>
                <w:lang w:val="zh-CN"/>
              </w:rPr>
              <w:t>元</w:t>
            </w:r>
            <w:r>
              <w:rPr>
                <w:rFonts w:hint="eastAsia" w:ascii="宋体" w:hAnsi="宋体" w:eastAsia="宋体" w:cs="宋体"/>
                <w:szCs w:val="21"/>
                <w:highlight w:val="none"/>
              </w:rPr>
              <w:t>)</w:t>
            </w:r>
          </w:p>
        </w:tc>
        <w:tc>
          <w:tcPr>
            <w:tcW w:w="1627" w:type="dxa"/>
            <w:tcBorders>
              <w:top w:val="single" w:color="000000" w:sz="6" w:space="0"/>
              <w:left w:val="single" w:color="000000" w:sz="6" w:space="0"/>
              <w:bottom w:val="single" w:color="000000" w:sz="6" w:space="0"/>
              <w:right w:val="single" w:color="000000" w:sz="6" w:space="0"/>
            </w:tcBorders>
            <w:vAlign w:val="center"/>
          </w:tcPr>
          <w:p w14:paraId="6C1A22E7">
            <w:pPr>
              <w:autoSpaceDE w:val="0"/>
              <w:autoSpaceDN w:val="0"/>
              <w:spacing w:line="360" w:lineRule="auto"/>
              <w:contextualSpacing/>
              <w:jc w:val="center"/>
              <w:rPr>
                <w:rFonts w:hint="eastAsia" w:ascii="宋体" w:hAnsi="宋体" w:eastAsia="宋体" w:cs="宋体"/>
                <w:szCs w:val="21"/>
                <w:highlight w:val="none"/>
              </w:rPr>
            </w:pPr>
            <w:r>
              <w:rPr>
                <w:rFonts w:hint="eastAsia" w:ascii="宋体" w:hAnsi="宋体" w:eastAsia="宋体" w:cs="宋体"/>
                <w:szCs w:val="21"/>
                <w:highlight w:val="none"/>
                <w:lang w:val="zh-CN"/>
              </w:rPr>
              <w:t>小计金额</w:t>
            </w:r>
            <w:r>
              <w:rPr>
                <w:rFonts w:hint="eastAsia" w:ascii="宋体" w:hAnsi="宋体" w:eastAsia="宋体" w:cs="宋体"/>
                <w:szCs w:val="21"/>
                <w:highlight w:val="none"/>
              </w:rPr>
              <w:t>(</w:t>
            </w:r>
            <w:r>
              <w:rPr>
                <w:rFonts w:hint="eastAsia" w:ascii="宋体" w:hAnsi="宋体" w:eastAsia="宋体" w:cs="宋体"/>
                <w:szCs w:val="21"/>
                <w:highlight w:val="none"/>
                <w:lang w:val="zh-CN"/>
              </w:rPr>
              <w:t>元</w:t>
            </w:r>
            <w:r>
              <w:rPr>
                <w:rFonts w:hint="eastAsia" w:ascii="宋体" w:hAnsi="宋体" w:eastAsia="宋体" w:cs="宋体"/>
                <w:szCs w:val="21"/>
                <w:highlight w:val="none"/>
              </w:rPr>
              <w:t>)</w:t>
            </w:r>
          </w:p>
        </w:tc>
      </w:tr>
      <w:tr w14:paraId="7A72C383">
        <w:tblPrEx>
          <w:tblCellMar>
            <w:top w:w="0" w:type="dxa"/>
            <w:left w:w="10" w:type="dxa"/>
            <w:bottom w:w="0" w:type="dxa"/>
            <w:right w:w="10" w:type="dxa"/>
          </w:tblCellMar>
        </w:tblPrEx>
        <w:trPr>
          <w:trHeight w:val="510" w:hRule="atLeast"/>
          <w:jc w:val="center"/>
        </w:trPr>
        <w:tc>
          <w:tcPr>
            <w:tcW w:w="1124" w:type="dxa"/>
            <w:tcBorders>
              <w:top w:val="single" w:color="000000" w:sz="6" w:space="0"/>
              <w:left w:val="single" w:color="000000" w:sz="6" w:space="0"/>
              <w:bottom w:val="single" w:color="000000" w:sz="6" w:space="0"/>
              <w:right w:val="single" w:color="000000" w:sz="6" w:space="0"/>
            </w:tcBorders>
            <w:vAlign w:val="center"/>
          </w:tcPr>
          <w:p w14:paraId="2B80442D">
            <w:pPr>
              <w:autoSpaceDE w:val="0"/>
              <w:autoSpaceDN w:val="0"/>
              <w:spacing w:line="360" w:lineRule="auto"/>
              <w:contextualSpacing/>
              <w:jc w:val="center"/>
              <w:rPr>
                <w:rFonts w:hint="eastAsia" w:ascii="宋体" w:hAnsi="宋体" w:eastAsia="宋体" w:cs="宋体"/>
                <w:szCs w:val="21"/>
                <w:highlight w:val="none"/>
                <w:lang w:val="zh-CN"/>
              </w:rPr>
            </w:pPr>
          </w:p>
        </w:tc>
        <w:tc>
          <w:tcPr>
            <w:tcW w:w="1168" w:type="dxa"/>
            <w:tcBorders>
              <w:top w:val="single" w:color="000000" w:sz="6" w:space="0"/>
              <w:left w:val="single" w:color="000000" w:sz="6" w:space="0"/>
              <w:bottom w:val="single" w:color="000000" w:sz="6" w:space="0"/>
              <w:right w:val="single" w:color="000000" w:sz="6" w:space="0"/>
            </w:tcBorders>
            <w:vAlign w:val="center"/>
          </w:tcPr>
          <w:p w14:paraId="363D471C">
            <w:pPr>
              <w:autoSpaceDE w:val="0"/>
              <w:autoSpaceDN w:val="0"/>
              <w:spacing w:line="360" w:lineRule="auto"/>
              <w:contextualSpacing/>
              <w:jc w:val="center"/>
              <w:rPr>
                <w:rFonts w:hint="eastAsia" w:ascii="宋体" w:hAnsi="宋体" w:eastAsia="宋体" w:cs="宋体"/>
                <w:szCs w:val="21"/>
                <w:highlight w:val="none"/>
                <w:lang w:val="zh-CN"/>
              </w:rPr>
            </w:pPr>
          </w:p>
        </w:tc>
        <w:tc>
          <w:tcPr>
            <w:tcW w:w="3236" w:type="dxa"/>
            <w:tcBorders>
              <w:top w:val="single" w:color="000000" w:sz="6" w:space="0"/>
              <w:left w:val="single" w:color="000000" w:sz="6" w:space="0"/>
              <w:bottom w:val="single" w:color="000000" w:sz="6" w:space="0"/>
              <w:right w:val="single" w:color="000000" w:sz="6" w:space="0"/>
            </w:tcBorders>
            <w:vAlign w:val="center"/>
          </w:tcPr>
          <w:p w14:paraId="5F8910C3">
            <w:pPr>
              <w:autoSpaceDE w:val="0"/>
              <w:autoSpaceDN w:val="0"/>
              <w:spacing w:line="360" w:lineRule="auto"/>
              <w:contextualSpacing/>
              <w:jc w:val="center"/>
              <w:rPr>
                <w:rFonts w:hint="eastAsia" w:ascii="宋体" w:hAnsi="宋体" w:eastAsia="宋体" w:cs="宋体"/>
                <w:szCs w:val="21"/>
                <w:highlight w:val="none"/>
                <w:lang w:val="zh-CN"/>
              </w:rPr>
            </w:pPr>
          </w:p>
        </w:tc>
        <w:tc>
          <w:tcPr>
            <w:tcW w:w="698" w:type="dxa"/>
            <w:tcBorders>
              <w:top w:val="single" w:color="000000" w:sz="6" w:space="0"/>
              <w:left w:val="single" w:color="000000" w:sz="6" w:space="0"/>
              <w:bottom w:val="single" w:color="000000" w:sz="6" w:space="0"/>
              <w:right w:val="single" w:color="000000" w:sz="6" w:space="0"/>
            </w:tcBorders>
            <w:vAlign w:val="center"/>
          </w:tcPr>
          <w:p w14:paraId="5A55F20F">
            <w:pPr>
              <w:autoSpaceDE w:val="0"/>
              <w:autoSpaceDN w:val="0"/>
              <w:spacing w:line="360" w:lineRule="auto"/>
              <w:contextualSpacing/>
              <w:jc w:val="center"/>
              <w:rPr>
                <w:rFonts w:hint="eastAsia" w:ascii="宋体" w:hAnsi="宋体" w:eastAsia="宋体" w:cs="宋体"/>
                <w:szCs w:val="21"/>
                <w:highlight w:val="none"/>
                <w:lang w:val="zh-CN"/>
              </w:rPr>
            </w:pPr>
          </w:p>
        </w:tc>
        <w:tc>
          <w:tcPr>
            <w:tcW w:w="1238" w:type="dxa"/>
            <w:tcBorders>
              <w:top w:val="single" w:color="000000" w:sz="6" w:space="0"/>
              <w:left w:val="single" w:color="000000" w:sz="6" w:space="0"/>
              <w:bottom w:val="single" w:color="000000" w:sz="6" w:space="0"/>
              <w:right w:val="single" w:color="000000" w:sz="6" w:space="0"/>
            </w:tcBorders>
            <w:vAlign w:val="center"/>
          </w:tcPr>
          <w:p w14:paraId="1369910A">
            <w:pPr>
              <w:autoSpaceDE w:val="0"/>
              <w:autoSpaceDN w:val="0"/>
              <w:spacing w:line="360" w:lineRule="auto"/>
              <w:contextualSpacing/>
              <w:jc w:val="center"/>
              <w:rPr>
                <w:rFonts w:hint="eastAsia" w:ascii="宋体" w:hAnsi="宋体" w:eastAsia="宋体" w:cs="宋体"/>
                <w:szCs w:val="21"/>
                <w:highlight w:val="none"/>
                <w:lang w:val="zh-CN"/>
              </w:rPr>
            </w:pPr>
          </w:p>
        </w:tc>
        <w:tc>
          <w:tcPr>
            <w:tcW w:w="1627" w:type="dxa"/>
            <w:tcBorders>
              <w:top w:val="single" w:color="000000" w:sz="6" w:space="0"/>
              <w:left w:val="single" w:color="000000" w:sz="6" w:space="0"/>
              <w:bottom w:val="single" w:color="000000" w:sz="6" w:space="0"/>
              <w:right w:val="single" w:color="000000" w:sz="6" w:space="0"/>
            </w:tcBorders>
            <w:vAlign w:val="center"/>
          </w:tcPr>
          <w:p w14:paraId="7DD0BA59">
            <w:pPr>
              <w:autoSpaceDE w:val="0"/>
              <w:autoSpaceDN w:val="0"/>
              <w:spacing w:line="360" w:lineRule="auto"/>
              <w:contextualSpacing/>
              <w:jc w:val="center"/>
              <w:rPr>
                <w:rFonts w:hint="eastAsia" w:ascii="宋体" w:hAnsi="宋体" w:eastAsia="宋体" w:cs="宋体"/>
                <w:szCs w:val="21"/>
                <w:highlight w:val="none"/>
                <w:lang w:val="zh-CN"/>
              </w:rPr>
            </w:pPr>
          </w:p>
        </w:tc>
      </w:tr>
      <w:tr w14:paraId="40A75E12">
        <w:tblPrEx>
          <w:tblCellMar>
            <w:top w:w="0" w:type="dxa"/>
            <w:left w:w="10" w:type="dxa"/>
            <w:bottom w:w="0" w:type="dxa"/>
            <w:right w:w="10" w:type="dxa"/>
          </w:tblCellMar>
        </w:tblPrEx>
        <w:trPr>
          <w:trHeight w:val="510" w:hRule="atLeast"/>
          <w:jc w:val="center"/>
        </w:trPr>
        <w:tc>
          <w:tcPr>
            <w:tcW w:w="1124" w:type="dxa"/>
            <w:tcBorders>
              <w:top w:val="single" w:color="000000" w:sz="6" w:space="0"/>
              <w:left w:val="single" w:color="000000" w:sz="6" w:space="0"/>
              <w:bottom w:val="single" w:color="000000" w:sz="6" w:space="0"/>
              <w:right w:val="single" w:color="000000" w:sz="6" w:space="0"/>
            </w:tcBorders>
            <w:vAlign w:val="center"/>
          </w:tcPr>
          <w:p w14:paraId="585CCA80">
            <w:pPr>
              <w:autoSpaceDE w:val="0"/>
              <w:autoSpaceDN w:val="0"/>
              <w:spacing w:line="360" w:lineRule="auto"/>
              <w:contextualSpacing/>
              <w:jc w:val="center"/>
              <w:rPr>
                <w:rFonts w:hint="eastAsia" w:ascii="宋体" w:hAnsi="宋体" w:eastAsia="宋体" w:cs="宋体"/>
                <w:szCs w:val="21"/>
                <w:highlight w:val="none"/>
              </w:rPr>
            </w:pPr>
          </w:p>
        </w:tc>
        <w:tc>
          <w:tcPr>
            <w:tcW w:w="1168" w:type="dxa"/>
            <w:tcBorders>
              <w:top w:val="single" w:color="000000" w:sz="6" w:space="0"/>
              <w:left w:val="single" w:color="000000" w:sz="6" w:space="0"/>
              <w:bottom w:val="single" w:color="000000" w:sz="6" w:space="0"/>
              <w:right w:val="single" w:color="000000" w:sz="6" w:space="0"/>
            </w:tcBorders>
            <w:vAlign w:val="center"/>
          </w:tcPr>
          <w:p w14:paraId="041E241C">
            <w:pPr>
              <w:autoSpaceDE w:val="0"/>
              <w:autoSpaceDN w:val="0"/>
              <w:spacing w:line="360" w:lineRule="auto"/>
              <w:contextualSpacing/>
              <w:jc w:val="center"/>
              <w:rPr>
                <w:rFonts w:hint="eastAsia" w:ascii="宋体" w:hAnsi="宋体" w:eastAsia="宋体" w:cs="宋体"/>
                <w:szCs w:val="21"/>
                <w:highlight w:val="none"/>
              </w:rPr>
            </w:pPr>
          </w:p>
        </w:tc>
        <w:tc>
          <w:tcPr>
            <w:tcW w:w="3236" w:type="dxa"/>
            <w:tcBorders>
              <w:top w:val="single" w:color="000000" w:sz="6" w:space="0"/>
              <w:left w:val="single" w:color="000000" w:sz="6" w:space="0"/>
              <w:bottom w:val="single" w:color="000000" w:sz="6" w:space="0"/>
              <w:right w:val="single" w:color="000000" w:sz="6" w:space="0"/>
            </w:tcBorders>
            <w:vAlign w:val="center"/>
          </w:tcPr>
          <w:p w14:paraId="549C5707">
            <w:pPr>
              <w:autoSpaceDE w:val="0"/>
              <w:autoSpaceDN w:val="0"/>
              <w:spacing w:line="360" w:lineRule="auto"/>
              <w:contextualSpacing/>
              <w:jc w:val="center"/>
              <w:rPr>
                <w:rFonts w:hint="eastAsia" w:ascii="宋体" w:hAnsi="宋体" w:eastAsia="宋体" w:cs="宋体"/>
                <w:szCs w:val="21"/>
                <w:highlight w:val="none"/>
              </w:rPr>
            </w:pPr>
          </w:p>
        </w:tc>
        <w:tc>
          <w:tcPr>
            <w:tcW w:w="698" w:type="dxa"/>
            <w:tcBorders>
              <w:top w:val="single" w:color="000000" w:sz="6" w:space="0"/>
              <w:left w:val="single" w:color="000000" w:sz="6" w:space="0"/>
              <w:bottom w:val="single" w:color="000000" w:sz="6" w:space="0"/>
              <w:right w:val="single" w:color="000000" w:sz="6" w:space="0"/>
            </w:tcBorders>
            <w:vAlign w:val="center"/>
          </w:tcPr>
          <w:p w14:paraId="3CE9D100">
            <w:pPr>
              <w:autoSpaceDE w:val="0"/>
              <w:autoSpaceDN w:val="0"/>
              <w:spacing w:line="360" w:lineRule="auto"/>
              <w:contextualSpacing/>
              <w:jc w:val="center"/>
              <w:rPr>
                <w:rFonts w:hint="eastAsia" w:ascii="宋体" w:hAnsi="宋体" w:eastAsia="宋体" w:cs="宋体"/>
                <w:szCs w:val="21"/>
                <w:highlight w:val="none"/>
              </w:rPr>
            </w:pPr>
          </w:p>
        </w:tc>
        <w:tc>
          <w:tcPr>
            <w:tcW w:w="1238" w:type="dxa"/>
            <w:tcBorders>
              <w:top w:val="single" w:color="000000" w:sz="6" w:space="0"/>
              <w:left w:val="single" w:color="000000" w:sz="6" w:space="0"/>
              <w:bottom w:val="single" w:color="000000" w:sz="6" w:space="0"/>
              <w:right w:val="single" w:color="000000" w:sz="6" w:space="0"/>
            </w:tcBorders>
            <w:vAlign w:val="center"/>
          </w:tcPr>
          <w:p w14:paraId="5D168FCB">
            <w:pPr>
              <w:autoSpaceDE w:val="0"/>
              <w:autoSpaceDN w:val="0"/>
              <w:spacing w:line="360" w:lineRule="auto"/>
              <w:contextualSpacing/>
              <w:jc w:val="center"/>
              <w:rPr>
                <w:rFonts w:hint="eastAsia" w:ascii="宋体" w:hAnsi="宋体" w:eastAsia="宋体" w:cs="宋体"/>
                <w:szCs w:val="21"/>
                <w:highlight w:val="none"/>
              </w:rPr>
            </w:pPr>
          </w:p>
        </w:tc>
        <w:tc>
          <w:tcPr>
            <w:tcW w:w="1627" w:type="dxa"/>
            <w:tcBorders>
              <w:top w:val="single" w:color="000000" w:sz="6" w:space="0"/>
              <w:left w:val="single" w:color="000000" w:sz="6" w:space="0"/>
              <w:bottom w:val="single" w:color="000000" w:sz="6" w:space="0"/>
              <w:right w:val="single" w:color="000000" w:sz="6" w:space="0"/>
            </w:tcBorders>
            <w:vAlign w:val="center"/>
          </w:tcPr>
          <w:p w14:paraId="4AC73EDB">
            <w:pPr>
              <w:autoSpaceDE w:val="0"/>
              <w:autoSpaceDN w:val="0"/>
              <w:spacing w:line="360" w:lineRule="auto"/>
              <w:contextualSpacing/>
              <w:jc w:val="center"/>
              <w:rPr>
                <w:rFonts w:hint="eastAsia" w:ascii="宋体" w:hAnsi="宋体" w:eastAsia="宋体" w:cs="宋体"/>
                <w:szCs w:val="21"/>
                <w:highlight w:val="none"/>
              </w:rPr>
            </w:pPr>
          </w:p>
        </w:tc>
      </w:tr>
    </w:tbl>
    <w:p w14:paraId="0BEB2DED">
      <w:pPr>
        <w:autoSpaceDE w:val="0"/>
        <w:autoSpaceDN w:val="0"/>
        <w:spacing w:line="360" w:lineRule="auto"/>
        <w:ind w:firstLine="482"/>
        <w:contextualSpacing/>
        <w:rPr>
          <w:rFonts w:hint="eastAsia" w:ascii="宋体" w:hAnsi="宋体" w:eastAsia="宋体" w:cs="宋体"/>
          <w:b/>
          <w:bCs/>
          <w:szCs w:val="21"/>
          <w:highlight w:val="none"/>
          <w:lang w:val="zh-CN"/>
        </w:rPr>
      </w:pPr>
    </w:p>
    <w:p w14:paraId="10A24848">
      <w:pPr>
        <w:autoSpaceDE w:val="0"/>
        <w:autoSpaceDN w:val="0"/>
        <w:spacing w:line="360" w:lineRule="auto"/>
        <w:ind w:firstLine="482"/>
        <w:contextualSpacing/>
        <w:rPr>
          <w:rFonts w:hint="eastAsia" w:ascii="宋体" w:hAnsi="宋体" w:eastAsia="宋体" w:cs="宋体"/>
          <w:szCs w:val="21"/>
          <w:highlight w:val="none"/>
          <w:lang w:val="zh-CN"/>
        </w:rPr>
      </w:pPr>
      <w:r>
        <w:rPr>
          <w:rFonts w:hint="eastAsia" w:ascii="宋体" w:hAnsi="宋体" w:eastAsia="宋体" w:cs="宋体"/>
          <w:b/>
          <w:bCs/>
          <w:szCs w:val="21"/>
          <w:highlight w:val="none"/>
          <w:lang w:val="zh-CN"/>
        </w:rPr>
        <w:t>2. 合同价格：</w:t>
      </w:r>
      <w:r>
        <w:rPr>
          <w:rFonts w:hint="eastAsia" w:ascii="宋体" w:hAnsi="宋体" w:eastAsia="宋体" w:cs="宋体"/>
          <w:szCs w:val="21"/>
          <w:highlight w:val="none"/>
          <w:lang w:val="zh-CN"/>
        </w:rPr>
        <w:t>人民币（大写）元，（小写）￥:元。</w:t>
      </w:r>
    </w:p>
    <w:p w14:paraId="656313D2">
      <w:pPr>
        <w:autoSpaceDE w:val="0"/>
        <w:autoSpaceDN w:val="0"/>
        <w:spacing w:line="360" w:lineRule="auto"/>
        <w:ind w:firstLine="482"/>
        <w:contextualSpacing/>
        <w:rPr>
          <w:rFonts w:hint="eastAsia" w:ascii="宋体" w:hAnsi="宋体" w:eastAsia="宋体" w:cs="宋体"/>
          <w:b/>
          <w:bCs/>
          <w:szCs w:val="21"/>
          <w:highlight w:val="none"/>
          <w:lang w:val="zh-CN"/>
        </w:rPr>
      </w:pPr>
      <w:r>
        <w:rPr>
          <w:rFonts w:hint="eastAsia" w:ascii="宋体" w:hAnsi="宋体" w:eastAsia="宋体" w:cs="宋体"/>
          <w:b/>
          <w:bCs/>
          <w:szCs w:val="21"/>
          <w:highlight w:val="none"/>
          <w:lang w:val="zh-CN"/>
        </w:rPr>
        <w:t>3. 交货时间、地点、方式</w:t>
      </w:r>
    </w:p>
    <w:p w14:paraId="5D9A2280">
      <w:pPr>
        <w:autoSpaceDE w:val="0"/>
        <w:autoSpaceDN w:val="0"/>
        <w:spacing w:line="360" w:lineRule="auto"/>
        <w:ind w:firstLine="480"/>
        <w:contextualSpacing/>
        <w:rPr>
          <w:rFonts w:hint="eastAsia" w:ascii="宋体" w:hAnsi="宋体" w:eastAsia="宋体" w:cs="宋体"/>
          <w:szCs w:val="21"/>
          <w:highlight w:val="none"/>
          <w:lang w:val="zh-CN"/>
        </w:rPr>
      </w:pPr>
      <w:r>
        <w:rPr>
          <w:rFonts w:hint="eastAsia" w:ascii="宋体" w:hAnsi="宋体" w:eastAsia="宋体" w:cs="宋体"/>
          <w:szCs w:val="21"/>
          <w:highlight w:val="none"/>
          <w:lang w:val="zh-CN"/>
        </w:rPr>
        <w:t>3.1交货时间：合同订立后日。所有货物安装调试完毕、验收合格并交付给需方的日期为交货时间。</w:t>
      </w:r>
    </w:p>
    <w:p w14:paraId="2CC7CE09">
      <w:pPr>
        <w:autoSpaceDE w:val="0"/>
        <w:autoSpaceDN w:val="0"/>
        <w:spacing w:line="360" w:lineRule="auto"/>
        <w:ind w:firstLine="480"/>
        <w:contextualSpacing/>
        <w:rPr>
          <w:rFonts w:hint="eastAsia" w:ascii="宋体" w:hAnsi="宋体" w:eastAsia="宋体" w:cs="宋体"/>
          <w:szCs w:val="21"/>
          <w:highlight w:val="none"/>
          <w:u w:val="single"/>
          <w:lang w:val="zh-CN"/>
        </w:rPr>
      </w:pPr>
      <w:r>
        <w:rPr>
          <w:rFonts w:hint="eastAsia" w:ascii="宋体" w:hAnsi="宋体" w:eastAsia="宋体" w:cs="宋体"/>
          <w:szCs w:val="21"/>
          <w:highlight w:val="none"/>
          <w:lang w:val="zh-CN"/>
        </w:rPr>
        <w:t>3.2交货地点：</w:t>
      </w:r>
    </w:p>
    <w:p w14:paraId="00CDB55C">
      <w:pPr>
        <w:autoSpaceDE w:val="0"/>
        <w:autoSpaceDN w:val="0"/>
        <w:spacing w:line="360" w:lineRule="auto"/>
        <w:ind w:firstLine="480"/>
        <w:contextualSpacing/>
        <w:rPr>
          <w:rFonts w:hint="eastAsia" w:ascii="宋体" w:hAnsi="宋体" w:eastAsia="宋体" w:cs="宋体"/>
          <w:szCs w:val="21"/>
          <w:highlight w:val="none"/>
          <w:lang w:val="zh-CN"/>
        </w:rPr>
      </w:pPr>
      <w:r>
        <w:rPr>
          <w:rFonts w:hint="eastAsia" w:ascii="宋体" w:hAnsi="宋体" w:eastAsia="宋体" w:cs="宋体"/>
          <w:szCs w:val="21"/>
          <w:highlight w:val="none"/>
          <w:lang w:val="zh-CN"/>
        </w:rPr>
        <w:t>3.3交货方式：供方负责将货物安全完好运抵交货地点、安装调试并保证验收合格。</w:t>
      </w:r>
    </w:p>
    <w:p w14:paraId="463D6BC4">
      <w:pPr>
        <w:autoSpaceDE w:val="0"/>
        <w:autoSpaceDN w:val="0"/>
        <w:spacing w:line="360" w:lineRule="auto"/>
        <w:ind w:firstLine="482"/>
        <w:contextualSpacing/>
        <w:rPr>
          <w:rFonts w:hint="eastAsia" w:ascii="宋体" w:hAnsi="宋体" w:eastAsia="宋体" w:cs="宋体"/>
          <w:b/>
          <w:bCs/>
          <w:szCs w:val="21"/>
          <w:highlight w:val="none"/>
          <w:lang w:val="zh-CN"/>
        </w:rPr>
      </w:pPr>
      <w:r>
        <w:rPr>
          <w:rFonts w:hint="eastAsia" w:ascii="宋体" w:hAnsi="宋体" w:eastAsia="宋体" w:cs="宋体"/>
          <w:b/>
          <w:bCs/>
          <w:szCs w:val="21"/>
          <w:highlight w:val="none"/>
          <w:lang w:val="zh-CN"/>
        </w:rPr>
        <w:t>4. 付款方式</w:t>
      </w:r>
    </w:p>
    <w:p w14:paraId="427BE78B">
      <w:pPr>
        <w:autoSpaceDE w:val="0"/>
        <w:autoSpaceDN w:val="0"/>
        <w:spacing w:line="360" w:lineRule="auto"/>
        <w:contextualSpacing/>
        <w:rPr>
          <w:rFonts w:hint="eastAsia" w:ascii="宋体" w:hAnsi="宋体" w:eastAsia="宋体" w:cs="宋体"/>
          <w:szCs w:val="21"/>
          <w:highlight w:val="none"/>
          <w:lang w:val="zh-CN"/>
        </w:rPr>
      </w:pPr>
      <w:r>
        <w:rPr>
          <w:rFonts w:hint="eastAsia" w:ascii="宋体" w:hAnsi="宋体" w:eastAsia="宋体" w:cs="宋体"/>
          <w:szCs w:val="21"/>
          <w:highlight w:val="none"/>
          <w:lang w:val="zh-CN"/>
        </w:rPr>
        <w:t xml:space="preserve">    4.1供方交货时应提交下列文件：销售发票，国家有关质检机构出具的检验报告或证书（如果合同约定有的话），进口产品的报关文件（如果合同约定有的话），制造厂商出具的质量检验证书、产品合格证等。</w:t>
      </w:r>
    </w:p>
    <w:p w14:paraId="26FDE7B9">
      <w:pPr>
        <w:autoSpaceDE w:val="0"/>
        <w:autoSpaceDN w:val="0"/>
        <w:spacing w:line="360" w:lineRule="auto"/>
        <w:ind w:firstLine="480"/>
        <w:contextualSpacing/>
        <w:rPr>
          <w:rFonts w:hint="eastAsia" w:ascii="宋体" w:hAnsi="宋体" w:eastAsia="宋体" w:cs="宋体"/>
          <w:szCs w:val="21"/>
          <w:highlight w:val="none"/>
          <w:lang w:val="zh-CN"/>
        </w:rPr>
      </w:pPr>
      <w:r>
        <w:rPr>
          <w:rFonts w:hint="eastAsia" w:ascii="宋体" w:hAnsi="宋体" w:eastAsia="宋体" w:cs="宋体"/>
          <w:szCs w:val="21"/>
          <w:highlight w:val="none"/>
          <w:lang w:val="zh-CN"/>
        </w:rPr>
        <w:t>4.2</w:t>
      </w:r>
      <w:r>
        <w:rPr>
          <w:rFonts w:hint="eastAsia" w:ascii="宋体" w:hAnsi="宋体" w:eastAsia="宋体" w:cs="宋体"/>
          <w:szCs w:val="21"/>
          <w:highlight w:val="none"/>
        </w:rPr>
        <w:t>合同签订后甲方支付中标人总造价的%，货物送达工程地、设备验收及安装合格并且调试正常运行支付总造价的%，尾款%作为质量保证金在过质保期后一次性支付。</w:t>
      </w:r>
      <w:r>
        <w:rPr>
          <w:rFonts w:hint="eastAsia" w:ascii="宋体" w:hAnsi="宋体" w:eastAsia="宋体" w:cs="宋体"/>
          <w:szCs w:val="21"/>
          <w:highlight w:val="none"/>
          <w:lang w:val="zh-CN"/>
        </w:rPr>
        <w:t>如果需方届时不能支付或者不能全额支付，由需方承担违约责任，供方承担全部收款责任，与招标机构无关。</w:t>
      </w:r>
    </w:p>
    <w:p w14:paraId="69F93A7F">
      <w:pPr>
        <w:autoSpaceDE w:val="0"/>
        <w:autoSpaceDN w:val="0"/>
        <w:spacing w:line="360" w:lineRule="auto"/>
        <w:ind w:firstLine="482"/>
        <w:contextualSpacing/>
        <w:rPr>
          <w:rFonts w:hint="eastAsia" w:ascii="宋体" w:hAnsi="宋体" w:eastAsia="宋体" w:cs="宋体"/>
          <w:b/>
          <w:bCs/>
          <w:szCs w:val="21"/>
          <w:highlight w:val="none"/>
          <w:lang w:val="zh-CN"/>
        </w:rPr>
      </w:pPr>
      <w:r>
        <w:rPr>
          <w:rFonts w:hint="eastAsia" w:ascii="宋体" w:hAnsi="宋体" w:eastAsia="宋体" w:cs="宋体"/>
          <w:b/>
          <w:bCs/>
          <w:szCs w:val="21"/>
          <w:highlight w:val="none"/>
          <w:lang w:val="zh-CN"/>
        </w:rPr>
        <w:t>5．履约保证金</w:t>
      </w:r>
    </w:p>
    <w:p w14:paraId="1866D111">
      <w:pPr>
        <w:autoSpaceDE w:val="0"/>
        <w:autoSpaceDN w:val="0"/>
        <w:spacing w:line="360" w:lineRule="auto"/>
        <w:ind w:firstLine="480"/>
        <w:contextualSpacing/>
        <w:rPr>
          <w:rFonts w:hint="eastAsia" w:ascii="宋体" w:hAnsi="宋体" w:eastAsia="宋体" w:cs="宋体"/>
          <w:szCs w:val="21"/>
          <w:highlight w:val="none"/>
          <w:u w:val="single"/>
        </w:rPr>
      </w:pPr>
      <w:r>
        <w:rPr>
          <w:rFonts w:hint="eastAsia" w:ascii="宋体" w:hAnsi="宋体" w:eastAsia="宋体" w:cs="宋体"/>
          <w:szCs w:val="21"/>
          <w:highlight w:val="none"/>
        </w:rPr>
        <w:t xml:space="preserve">合同价款的 </w:t>
      </w:r>
      <w:r>
        <w:rPr>
          <w:rFonts w:hint="eastAsia" w:ascii="宋体" w:hAnsi="宋体" w:eastAsia="宋体" w:cs="宋体"/>
          <w:szCs w:val="21"/>
          <w:highlight w:val="none"/>
          <w:u w:val="single"/>
        </w:rPr>
        <w:t xml:space="preserve">   </w:t>
      </w:r>
    </w:p>
    <w:p w14:paraId="3C3C31BD">
      <w:pPr>
        <w:autoSpaceDE w:val="0"/>
        <w:autoSpaceDN w:val="0"/>
        <w:spacing w:line="360" w:lineRule="auto"/>
        <w:ind w:firstLine="482"/>
        <w:contextualSpacing/>
        <w:rPr>
          <w:rFonts w:hint="eastAsia" w:ascii="宋体" w:hAnsi="宋体" w:eastAsia="宋体" w:cs="宋体"/>
          <w:b/>
          <w:bCs/>
          <w:szCs w:val="21"/>
          <w:highlight w:val="none"/>
          <w:lang w:val="zh-CN"/>
        </w:rPr>
      </w:pPr>
      <w:r>
        <w:rPr>
          <w:rFonts w:hint="eastAsia" w:ascii="宋体" w:hAnsi="宋体" w:eastAsia="宋体" w:cs="宋体"/>
          <w:b/>
          <w:bCs/>
          <w:szCs w:val="21"/>
          <w:highlight w:val="none"/>
          <w:lang w:val="zh-CN"/>
        </w:rPr>
        <w:t>6.质量保证金</w:t>
      </w:r>
    </w:p>
    <w:p w14:paraId="3474D893">
      <w:pPr>
        <w:autoSpaceDE w:val="0"/>
        <w:autoSpaceDN w:val="0"/>
        <w:spacing w:line="360" w:lineRule="auto"/>
        <w:ind w:firstLine="480"/>
        <w:contextualSpacing/>
        <w:rPr>
          <w:rFonts w:hint="eastAsia" w:ascii="宋体" w:hAnsi="宋体" w:eastAsia="宋体" w:cs="宋体"/>
          <w:szCs w:val="21"/>
          <w:highlight w:val="none"/>
          <w:lang w:val="zh-CN"/>
        </w:rPr>
      </w:pPr>
      <w:r>
        <w:rPr>
          <w:rFonts w:hint="eastAsia" w:ascii="宋体" w:hAnsi="宋体" w:eastAsia="宋体" w:cs="宋体"/>
          <w:szCs w:val="21"/>
          <w:highlight w:val="none"/>
        </w:rPr>
        <w:t xml:space="preserve">合同价款的 </w:t>
      </w:r>
      <w:r>
        <w:rPr>
          <w:rFonts w:hint="eastAsia" w:ascii="宋体" w:hAnsi="宋体" w:eastAsia="宋体" w:cs="宋体"/>
          <w:szCs w:val="21"/>
          <w:highlight w:val="none"/>
          <w:u w:val="single"/>
        </w:rPr>
        <w:t xml:space="preserve">   </w:t>
      </w:r>
    </w:p>
    <w:p w14:paraId="380A9C51">
      <w:pPr>
        <w:autoSpaceDE w:val="0"/>
        <w:autoSpaceDN w:val="0"/>
        <w:spacing w:line="360" w:lineRule="auto"/>
        <w:ind w:firstLine="482"/>
        <w:contextualSpacing/>
        <w:rPr>
          <w:rFonts w:hint="eastAsia" w:ascii="宋体" w:hAnsi="宋体" w:eastAsia="宋体" w:cs="宋体"/>
          <w:b/>
          <w:bCs/>
          <w:szCs w:val="21"/>
          <w:highlight w:val="none"/>
          <w:lang w:val="zh-CN"/>
        </w:rPr>
      </w:pPr>
      <w:r>
        <w:rPr>
          <w:rFonts w:hint="eastAsia" w:ascii="宋体" w:hAnsi="宋体" w:eastAsia="宋体" w:cs="宋体"/>
          <w:b/>
          <w:bCs/>
          <w:szCs w:val="21"/>
          <w:highlight w:val="none"/>
          <w:lang w:val="zh-CN"/>
        </w:rPr>
        <w:t>7.合同补充条款：</w:t>
      </w:r>
    </w:p>
    <w:p w14:paraId="149B3C9C">
      <w:pPr>
        <w:autoSpaceDE w:val="0"/>
        <w:autoSpaceDN w:val="0"/>
        <w:spacing w:line="360" w:lineRule="auto"/>
        <w:ind w:firstLine="482"/>
        <w:contextualSpacing/>
        <w:rPr>
          <w:rFonts w:hint="eastAsia" w:ascii="宋体" w:hAnsi="宋体" w:eastAsia="宋体" w:cs="宋体"/>
          <w:b/>
          <w:bCs/>
          <w:szCs w:val="21"/>
          <w:highlight w:val="none"/>
          <w:lang w:val="zh-CN"/>
        </w:rPr>
      </w:pPr>
      <w:r>
        <w:rPr>
          <w:rFonts w:hint="eastAsia" w:ascii="宋体" w:hAnsi="宋体" w:eastAsia="宋体" w:cs="宋体"/>
          <w:b/>
          <w:bCs/>
          <w:szCs w:val="21"/>
          <w:highlight w:val="none"/>
          <w:lang w:val="zh-CN"/>
        </w:rPr>
        <w:t>8.争议解决方式：</w:t>
      </w:r>
      <w:r>
        <w:rPr>
          <w:rFonts w:hint="eastAsia" w:ascii="宋体" w:hAnsi="宋体" w:eastAsia="宋体" w:cs="宋体"/>
          <w:szCs w:val="21"/>
          <w:highlight w:val="none"/>
          <w:lang w:val="zh-CN"/>
        </w:rPr>
        <w:t>供需双方达成仲裁协议，向长春市仲裁委员会申请仲裁（向合同签定地人民法院提起诉讼）。</w:t>
      </w:r>
    </w:p>
    <w:p w14:paraId="085960E8">
      <w:pPr>
        <w:autoSpaceDE w:val="0"/>
        <w:autoSpaceDN w:val="0"/>
        <w:spacing w:line="360" w:lineRule="auto"/>
        <w:ind w:firstLine="482"/>
        <w:contextualSpacing/>
        <w:rPr>
          <w:rFonts w:hint="eastAsia" w:ascii="宋体" w:hAnsi="宋体" w:eastAsia="宋体" w:cs="宋体"/>
          <w:szCs w:val="21"/>
          <w:highlight w:val="none"/>
          <w:lang w:val="zh-CN"/>
        </w:rPr>
      </w:pPr>
      <w:r>
        <w:rPr>
          <w:rFonts w:hint="eastAsia" w:ascii="宋体" w:hAnsi="宋体" w:eastAsia="宋体" w:cs="宋体"/>
          <w:b/>
          <w:bCs/>
          <w:szCs w:val="21"/>
          <w:highlight w:val="none"/>
          <w:lang w:val="zh-CN"/>
        </w:rPr>
        <w:t>9．合同构成：</w:t>
      </w:r>
      <w:r>
        <w:rPr>
          <w:rFonts w:hint="eastAsia" w:ascii="宋体" w:hAnsi="宋体" w:eastAsia="宋体" w:cs="宋体"/>
          <w:szCs w:val="21"/>
          <w:highlight w:val="none"/>
          <w:lang w:val="zh-CN"/>
        </w:rPr>
        <w:t>下列文件构成本合同不可分割的组成部分，与本合同具有同等法律效力：</w:t>
      </w:r>
    </w:p>
    <w:p w14:paraId="7FA6E278">
      <w:pPr>
        <w:autoSpaceDE w:val="0"/>
        <w:autoSpaceDN w:val="0"/>
        <w:spacing w:line="360" w:lineRule="auto"/>
        <w:ind w:firstLine="480"/>
        <w:contextualSpacing/>
        <w:rPr>
          <w:rFonts w:hint="eastAsia" w:ascii="宋体" w:hAnsi="宋体" w:eastAsia="宋体" w:cs="宋体"/>
          <w:szCs w:val="21"/>
          <w:highlight w:val="none"/>
          <w:lang w:val="zh-CN"/>
        </w:rPr>
      </w:pPr>
      <w:r>
        <w:rPr>
          <w:rFonts w:hint="eastAsia" w:ascii="宋体" w:hAnsi="宋体" w:eastAsia="宋体" w:cs="宋体"/>
          <w:szCs w:val="21"/>
          <w:highlight w:val="none"/>
          <w:lang w:val="zh-CN"/>
        </w:rPr>
        <w:t>9.1本合同书；</w:t>
      </w:r>
    </w:p>
    <w:p w14:paraId="12742CF4">
      <w:pPr>
        <w:autoSpaceDE w:val="0"/>
        <w:autoSpaceDN w:val="0"/>
        <w:spacing w:line="360" w:lineRule="auto"/>
        <w:ind w:firstLine="480"/>
        <w:contextualSpacing/>
        <w:rPr>
          <w:rFonts w:hint="eastAsia" w:ascii="宋体" w:hAnsi="宋体" w:eastAsia="宋体" w:cs="宋体"/>
          <w:szCs w:val="21"/>
          <w:highlight w:val="none"/>
          <w:lang w:val="zh-CN"/>
        </w:rPr>
      </w:pPr>
      <w:r>
        <w:rPr>
          <w:rFonts w:hint="eastAsia" w:ascii="宋体" w:hAnsi="宋体" w:eastAsia="宋体" w:cs="宋体"/>
          <w:szCs w:val="21"/>
          <w:highlight w:val="none"/>
          <w:lang w:val="zh-CN"/>
        </w:rPr>
        <w:t>9.2中标通知书；</w:t>
      </w:r>
    </w:p>
    <w:p w14:paraId="048A9525">
      <w:pPr>
        <w:autoSpaceDE w:val="0"/>
        <w:autoSpaceDN w:val="0"/>
        <w:spacing w:line="360" w:lineRule="auto"/>
        <w:ind w:firstLine="480"/>
        <w:contextualSpacing/>
        <w:rPr>
          <w:rFonts w:hint="eastAsia" w:ascii="宋体" w:hAnsi="宋体" w:eastAsia="宋体" w:cs="宋体"/>
          <w:szCs w:val="21"/>
          <w:highlight w:val="none"/>
          <w:lang w:val="zh-CN"/>
        </w:rPr>
      </w:pPr>
      <w:r>
        <w:rPr>
          <w:rFonts w:hint="eastAsia" w:ascii="宋体" w:hAnsi="宋体" w:eastAsia="宋体" w:cs="宋体"/>
          <w:szCs w:val="21"/>
          <w:highlight w:val="none"/>
          <w:lang w:val="zh-CN"/>
        </w:rPr>
        <w:t>9.3</w:t>
      </w:r>
      <w:r>
        <w:rPr>
          <w:rFonts w:hint="eastAsia" w:ascii="宋体" w:hAnsi="宋体" w:cs="宋体"/>
          <w:szCs w:val="21"/>
          <w:highlight w:val="none"/>
          <w:lang w:val="zh-CN"/>
        </w:rPr>
        <w:t>采购文件</w:t>
      </w:r>
      <w:r>
        <w:rPr>
          <w:rFonts w:hint="eastAsia" w:ascii="宋体" w:hAnsi="宋体" w:eastAsia="宋体" w:cs="宋体"/>
          <w:szCs w:val="21"/>
          <w:highlight w:val="none"/>
          <w:lang w:val="zh-CN"/>
        </w:rPr>
        <w:t>及澄清、修改、补遗文件；</w:t>
      </w:r>
    </w:p>
    <w:p w14:paraId="3C7093EB">
      <w:pPr>
        <w:autoSpaceDE w:val="0"/>
        <w:autoSpaceDN w:val="0"/>
        <w:spacing w:line="360" w:lineRule="auto"/>
        <w:ind w:firstLine="480"/>
        <w:contextualSpacing/>
        <w:rPr>
          <w:rFonts w:hint="eastAsia" w:ascii="宋体" w:hAnsi="宋体" w:eastAsia="宋体" w:cs="宋体"/>
          <w:szCs w:val="21"/>
          <w:highlight w:val="none"/>
          <w:lang w:val="zh-CN"/>
        </w:rPr>
      </w:pPr>
      <w:r>
        <w:rPr>
          <w:rFonts w:hint="eastAsia" w:ascii="宋体" w:hAnsi="宋体" w:eastAsia="宋体" w:cs="宋体"/>
          <w:szCs w:val="21"/>
          <w:highlight w:val="none"/>
          <w:lang w:val="zh-CN"/>
        </w:rPr>
        <w:t>9.4供方的投标文件及书面澄清、说明、补正文件；</w:t>
      </w:r>
    </w:p>
    <w:p w14:paraId="681AD1EF">
      <w:pPr>
        <w:autoSpaceDE w:val="0"/>
        <w:autoSpaceDN w:val="0"/>
        <w:spacing w:line="360" w:lineRule="auto"/>
        <w:ind w:firstLine="480"/>
        <w:contextualSpacing/>
        <w:rPr>
          <w:rFonts w:hint="eastAsia" w:ascii="宋体" w:hAnsi="宋体" w:eastAsia="宋体" w:cs="宋体"/>
          <w:szCs w:val="21"/>
          <w:highlight w:val="none"/>
          <w:lang w:val="zh-CN"/>
        </w:rPr>
      </w:pPr>
      <w:r>
        <w:rPr>
          <w:rFonts w:hint="eastAsia" w:ascii="宋体" w:hAnsi="宋体" w:eastAsia="宋体" w:cs="宋体"/>
          <w:szCs w:val="21"/>
          <w:highlight w:val="none"/>
          <w:lang w:val="zh-CN"/>
        </w:rPr>
        <w:t>9.5产品样本、样品（样机）、说明书、图纸等有关资料；</w:t>
      </w:r>
    </w:p>
    <w:p w14:paraId="52319DC1">
      <w:pPr>
        <w:autoSpaceDE w:val="0"/>
        <w:autoSpaceDN w:val="0"/>
        <w:spacing w:line="360" w:lineRule="auto"/>
        <w:ind w:firstLine="480"/>
        <w:contextualSpacing/>
        <w:rPr>
          <w:rFonts w:hint="eastAsia" w:ascii="宋体" w:hAnsi="宋体" w:eastAsia="宋体" w:cs="宋体"/>
          <w:szCs w:val="21"/>
          <w:highlight w:val="none"/>
          <w:lang w:val="zh-CN"/>
        </w:rPr>
      </w:pPr>
      <w:r>
        <w:rPr>
          <w:rFonts w:hint="eastAsia" w:ascii="宋体" w:hAnsi="宋体" w:eastAsia="宋体" w:cs="宋体"/>
          <w:szCs w:val="21"/>
          <w:highlight w:val="none"/>
          <w:lang w:val="zh-CN"/>
        </w:rPr>
        <w:t>9.6政府采购验收报告单；</w:t>
      </w:r>
    </w:p>
    <w:p w14:paraId="0B19B35E">
      <w:pPr>
        <w:autoSpaceDE w:val="0"/>
        <w:autoSpaceDN w:val="0"/>
        <w:spacing w:line="360" w:lineRule="auto"/>
        <w:ind w:firstLine="480"/>
        <w:contextualSpacing/>
        <w:rPr>
          <w:rFonts w:hint="eastAsia" w:ascii="宋体" w:hAnsi="宋体" w:eastAsia="宋体" w:cs="宋体"/>
          <w:szCs w:val="21"/>
          <w:highlight w:val="none"/>
          <w:lang w:val="zh-CN"/>
        </w:rPr>
      </w:pPr>
      <w:r>
        <w:rPr>
          <w:rFonts w:hint="eastAsia" w:ascii="宋体" w:hAnsi="宋体" w:eastAsia="宋体" w:cs="宋体"/>
          <w:szCs w:val="21"/>
          <w:highlight w:val="none"/>
          <w:lang w:val="zh-CN"/>
        </w:rPr>
        <w:t>9.7合同的其它附件。</w:t>
      </w:r>
    </w:p>
    <w:p w14:paraId="44E3967A">
      <w:pPr>
        <w:autoSpaceDE w:val="0"/>
        <w:autoSpaceDN w:val="0"/>
        <w:spacing w:line="360" w:lineRule="auto"/>
        <w:ind w:firstLine="480"/>
        <w:contextualSpacing/>
        <w:rPr>
          <w:rFonts w:hint="eastAsia" w:ascii="宋体" w:hAnsi="宋体" w:eastAsia="宋体" w:cs="宋体"/>
          <w:szCs w:val="21"/>
          <w:highlight w:val="none"/>
          <w:lang w:val="zh-CN"/>
        </w:rPr>
      </w:pPr>
      <w:r>
        <w:rPr>
          <w:rFonts w:hint="eastAsia" w:ascii="宋体" w:hAnsi="宋体" w:eastAsia="宋体" w:cs="宋体"/>
          <w:szCs w:val="21"/>
          <w:highlight w:val="none"/>
          <w:lang w:val="zh-CN"/>
        </w:rPr>
        <w:t>上述组成合同的文件如有不一致之处，以日期在后的为准。</w:t>
      </w:r>
    </w:p>
    <w:p w14:paraId="7A0C585D">
      <w:pPr>
        <w:autoSpaceDE w:val="0"/>
        <w:autoSpaceDN w:val="0"/>
        <w:spacing w:line="360" w:lineRule="auto"/>
        <w:contextualSpacing/>
        <w:rPr>
          <w:rFonts w:hint="eastAsia" w:ascii="宋体" w:hAnsi="宋体" w:eastAsia="宋体" w:cs="宋体"/>
          <w:szCs w:val="21"/>
          <w:highlight w:val="none"/>
          <w:lang w:val="zh-CN"/>
        </w:rPr>
      </w:pPr>
      <w:r>
        <w:rPr>
          <w:rFonts w:hint="eastAsia" w:ascii="宋体" w:hAnsi="宋体" w:eastAsia="宋体" w:cs="宋体"/>
          <w:b/>
          <w:bCs/>
          <w:szCs w:val="21"/>
          <w:highlight w:val="none"/>
          <w:lang w:val="zh-CN"/>
        </w:rPr>
        <w:t xml:space="preserve"> 10.合同份数：</w:t>
      </w:r>
      <w:r>
        <w:rPr>
          <w:rFonts w:hint="eastAsia" w:ascii="宋体" w:hAnsi="宋体" w:eastAsia="宋体" w:cs="宋体"/>
          <w:szCs w:val="21"/>
          <w:highlight w:val="none"/>
          <w:lang w:val="zh-CN"/>
        </w:rPr>
        <w:t>本合同一式三份，供需双方各执一份，另一份作为需方向开发区财政局提请付款的凭证。</w:t>
      </w:r>
    </w:p>
    <w:p w14:paraId="431C0CB8">
      <w:pPr>
        <w:autoSpaceDE w:val="0"/>
        <w:autoSpaceDN w:val="0"/>
        <w:spacing w:line="360" w:lineRule="auto"/>
        <w:ind w:firstLine="482"/>
        <w:contextualSpacing/>
        <w:rPr>
          <w:rFonts w:hint="eastAsia" w:ascii="宋体" w:hAnsi="宋体" w:eastAsia="宋体" w:cs="宋体"/>
          <w:szCs w:val="21"/>
          <w:highlight w:val="none"/>
          <w:lang w:val="zh-CN"/>
        </w:rPr>
      </w:pPr>
      <w:r>
        <w:rPr>
          <w:rFonts w:hint="eastAsia" w:ascii="宋体" w:hAnsi="宋体" w:eastAsia="宋体" w:cs="宋体"/>
          <w:b/>
          <w:bCs/>
          <w:szCs w:val="21"/>
          <w:highlight w:val="none"/>
          <w:lang w:val="zh-CN"/>
        </w:rPr>
        <w:t>11.合同生效：</w:t>
      </w:r>
      <w:r>
        <w:rPr>
          <w:rFonts w:hint="eastAsia" w:ascii="宋体" w:hAnsi="宋体" w:eastAsia="宋体" w:cs="宋体"/>
          <w:bCs/>
          <w:szCs w:val="21"/>
          <w:highlight w:val="none"/>
          <w:lang w:val="zh-CN"/>
        </w:rPr>
        <w:t>本合同在供需双方法定代表人或其授权代理人签字、加盖双方公章或者合同专用章，并且需方收到供方提交的履约保证金后生效。</w:t>
      </w:r>
    </w:p>
    <w:p w14:paraId="21C05DFC">
      <w:pPr>
        <w:autoSpaceDE w:val="0"/>
        <w:autoSpaceDN w:val="0"/>
        <w:spacing w:line="360" w:lineRule="auto"/>
        <w:ind w:firstLine="482"/>
        <w:contextualSpacing/>
        <w:rPr>
          <w:rFonts w:hint="eastAsia" w:ascii="宋体" w:hAnsi="宋体" w:eastAsia="宋体" w:cs="宋体"/>
          <w:szCs w:val="21"/>
          <w:highlight w:val="none"/>
          <w:lang w:val="zh-CN"/>
        </w:rPr>
      </w:pPr>
      <w:r>
        <w:rPr>
          <w:rFonts w:hint="eastAsia" w:ascii="宋体" w:hAnsi="宋体" w:eastAsia="宋体" w:cs="宋体"/>
          <w:b/>
          <w:bCs/>
          <w:szCs w:val="21"/>
          <w:highlight w:val="none"/>
          <w:lang w:val="zh-CN"/>
        </w:rPr>
        <w:t>12.合同修改：</w:t>
      </w:r>
      <w:r>
        <w:rPr>
          <w:rFonts w:hint="eastAsia" w:ascii="宋体" w:hAnsi="宋体" w:eastAsia="宋体" w:cs="宋体"/>
          <w:szCs w:val="21"/>
          <w:highlight w:val="none"/>
          <w:lang w:val="zh-CN"/>
        </w:rPr>
        <w:t>除供需双方签署书面修改、补充协议外，本合同条件不得有任何变化或修改。</w:t>
      </w:r>
    </w:p>
    <w:p w14:paraId="20B5EC8A">
      <w:pPr>
        <w:autoSpaceDE w:val="0"/>
        <w:autoSpaceDN w:val="0"/>
        <w:spacing w:line="360" w:lineRule="auto"/>
        <w:ind w:firstLine="840" w:firstLineChars="400"/>
        <w:contextualSpacing/>
        <w:rPr>
          <w:rFonts w:hint="eastAsia" w:ascii="宋体" w:hAnsi="宋体" w:eastAsia="宋体" w:cs="宋体"/>
          <w:szCs w:val="21"/>
          <w:highlight w:val="none"/>
          <w:lang w:val="zh-CN"/>
        </w:rPr>
      </w:pPr>
      <w:r>
        <w:rPr>
          <w:rFonts w:hint="eastAsia" w:ascii="宋体" w:hAnsi="宋体" w:eastAsia="宋体" w:cs="宋体"/>
          <w:szCs w:val="21"/>
          <w:highlight w:val="none"/>
          <w:lang w:val="zh-CN"/>
        </w:rPr>
        <w:t>需方：                                                    供方：</w:t>
      </w:r>
    </w:p>
    <w:p w14:paraId="70ADD37C">
      <w:pPr>
        <w:autoSpaceDE w:val="0"/>
        <w:autoSpaceDN w:val="0"/>
        <w:spacing w:line="360" w:lineRule="auto"/>
        <w:ind w:firstLine="735" w:firstLineChars="350"/>
        <w:contextualSpacing/>
        <w:rPr>
          <w:rFonts w:hint="eastAsia" w:ascii="宋体" w:hAnsi="宋体" w:eastAsia="宋体" w:cs="宋体"/>
          <w:szCs w:val="21"/>
          <w:highlight w:val="none"/>
          <w:lang w:val="zh-CN"/>
        </w:rPr>
      </w:pPr>
      <w:r>
        <w:rPr>
          <w:rFonts w:hint="eastAsia" w:ascii="宋体" w:hAnsi="宋体" w:eastAsia="宋体" w:cs="宋体"/>
          <w:szCs w:val="21"/>
          <w:highlight w:val="none"/>
          <w:lang w:val="zh-CN"/>
        </w:rPr>
        <w:t>（加盖公章或合同专用章）                                 （加盖公章或合同专用章）</w:t>
      </w:r>
    </w:p>
    <w:p w14:paraId="44D4477A">
      <w:pPr>
        <w:autoSpaceDE w:val="0"/>
        <w:autoSpaceDN w:val="0"/>
        <w:spacing w:line="360" w:lineRule="auto"/>
        <w:ind w:firstLine="840" w:firstLineChars="400"/>
        <w:contextualSpacing/>
        <w:rPr>
          <w:rFonts w:hint="eastAsia" w:ascii="宋体" w:hAnsi="宋体" w:eastAsia="宋体" w:cs="宋体"/>
          <w:szCs w:val="21"/>
          <w:highlight w:val="none"/>
          <w:lang w:val="zh-CN"/>
        </w:rPr>
      </w:pPr>
      <w:r>
        <w:rPr>
          <w:rFonts w:hint="eastAsia" w:ascii="宋体" w:hAnsi="宋体" w:eastAsia="宋体" w:cs="宋体"/>
          <w:szCs w:val="21"/>
          <w:highlight w:val="none"/>
          <w:lang w:val="zh-CN"/>
        </w:rPr>
        <w:t>地址：                                                     地址：</w:t>
      </w:r>
    </w:p>
    <w:p w14:paraId="55FD29E8">
      <w:pPr>
        <w:autoSpaceDE w:val="0"/>
        <w:autoSpaceDN w:val="0"/>
        <w:spacing w:line="360" w:lineRule="auto"/>
        <w:ind w:firstLine="735" w:firstLineChars="350"/>
        <w:contextualSpacing/>
        <w:rPr>
          <w:rFonts w:hint="eastAsia" w:ascii="宋体" w:hAnsi="宋体" w:eastAsia="宋体" w:cs="宋体"/>
          <w:szCs w:val="21"/>
          <w:highlight w:val="none"/>
          <w:lang w:val="zh-CN"/>
        </w:rPr>
      </w:pPr>
      <w:r>
        <w:rPr>
          <w:rFonts w:hint="eastAsia" w:ascii="宋体" w:hAnsi="宋体" w:eastAsia="宋体" w:cs="宋体"/>
          <w:szCs w:val="21"/>
          <w:highlight w:val="none"/>
          <w:lang w:val="zh-CN"/>
        </w:rPr>
        <w:t>法定代表人                                               法定代表人</w:t>
      </w:r>
    </w:p>
    <w:p w14:paraId="01D8026D">
      <w:pPr>
        <w:autoSpaceDE w:val="0"/>
        <w:autoSpaceDN w:val="0"/>
        <w:spacing w:line="360" w:lineRule="auto"/>
        <w:ind w:firstLine="735" w:firstLineChars="350"/>
        <w:contextualSpacing/>
        <w:rPr>
          <w:rFonts w:hint="eastAsia" w:ascii="宋体" w:hAnsi="宋体" w:eastAsia="宋体" w:cs="宋体"/>
          <w:szCs w:val="21"/>
          <w:highlight w:val="none"/>
          <w:lang w:val="zh-CN"/>
        </w:rPr>
      </w:pPr>
      <w:r>
        <w:rPr>
          <w:rFonts w:hint="eastAsia" w:ascii="宋体" w:hAnsi="宋体" w:eastAsia="宋体" w:cs="宋体"/>
          <w:szCs w:val="21"/>
          <w:highlight w:val="none"/>
          <w:lang w:val="zh-CN"/>
        </w:rPr>
        <w:t>或授权代理人签字：                                       或授权代理人签字：</w:t>
      </w:r>
    </w:p>
    <w:p w14:paraId="0F17CA0A">
      <w:pPr>
        <w:autoSpaceDE w:val="0"/>
        <w:autoSpaceDN w:val="0"/>
        <w:spacing w:line="360" w:lineRule="auto"/>
        <w:ind w:firstLine="735" w:firstLineChars="350"/>
        <w:contextualSpacing/>
        <w:rPr>
          <w:rFonts w:hint="eastAsia" w:ascii="宋体" w:hAnsi="宋体" w:eastAsia="宋体" w:cs="宋体"/>
          <w:szCs w:val="21"/>
          <w:highlight w:val="none"/>
          <w:lang w:val="zh-CN"/>
        </w:rPr>
      </w:pPr>
      <w:r>
        <w:rPr>
          <w:rFonts w:hint="eastAsia" w:ascii="宋体" w:hAnsi="宋体" w:eastAsia="宋体" w:cs="宋体"/>
          <w:szCs w:val="21"/>
          <w:highlight w:val="none"/>
          <w:lang w:val="zh-CN"/>
        </w:rPr>
        <w:t>签字日期：                                               签字日期：</w:t>
      </w:r>
    </w:p>
    <w:p w14:paraId="3A1A6F87">
      <w:pPr>
        <w:autoSpaceDE w:val="0"/>
        <w:autoSpaceDN w:val="0"/>
        <w:spacing w:line="360" w:lineRule="auto"/>
        <w:ind w:firstLine="735" w:firstLineChars="350"/>
        <w:contextualSpacing/>
        <w:rPr>
          <w:rFonts w:hint="eastAsia" w:ascii="宋体" w:hAnsi="宋体" w:eastAsia="宋体" w:cs="宋体"/>
          <w:szCs w:val="21"/>
          <w:highlight w:val="none"/>
          <w:lang w:val="zh-CN"/>
        </w:rPr>
      </w:pPr>
      <w:r>
        <w:rPr>
          <w:rFonts w:hint="eastAsia" w:ascii="宋体" w:hAnsi="宋体" w:eastAsia="宋体" w:cs="宋体"/>
          <w:szCs w:val="21"/>
          <w:highlight w:val="none"/>
          <w:lang w:val="zh-CN"/>
        </w:rPr>
        <w:t>邮政编码：                                               邮政编码：</w:t>
      </w:r>
    </w:p>
    <w:p w14:paraId="5F96D36E">
      <w:pPr>
        <w:autoSpaceDE w:val="0"/>
        <w:autoSpaceDN w:val="0"/>
        <w:spacing w:line="360" w:lineRule="auto"/>
        <w:ind w:firstLine="735" w:firstLineChars="350"/>
        <w:contextualSpacing/>
        <w:rPr>
          <w:rFonts w:hint="eastAsia" w:ascii="宋体" w:hAnsi="宋体" w:eastAsia="宋体" w:cs="宋体"/>
          <w:szCs w:val="21"/>
          <w:highlight w:val="none"/>
          <w:lang w:val="zh-CN"/>
        </w:rPr>
      </w:pPr>
      <w:r>
        <w:rPr>
          <w:rFonts w:hint="eastAsia" w:ascii="宋体" w:hAnsi="宋体" w:eastAsia="宋体" w:cs="宋体"/>
          <w:szCs w:val="21"/>
          <w:highlight w:val="none"/>
          <w:lang w:val="zh-CN"/>
        </w:rPr>
        <w:t>电话：                                                   电话：</w:t>
      </w:r>
    </w:p>
    <w:p w14:paraId="6D29ACF2">
      <w:pPr>
        <w:autoSpaceDE w:val="0"/>
        <w:autoSpaceDN w:val="0"/>
        <w:spacing w:line="360" w:lineRule="auto"/>
        <w:ind w:firstLine="735" w:firstLineChars="350"/>
        <w:contextualSpacing/>
        <w:rPr>
          <w:rFonts w:hint="eastAsia" w:ascii="宋体" w:hAnsi="宋体" w:eastAsia="宋体" w:cs="宋体"/>
          <w:szCs w:val="21"/>
          <w:highlight w:val="none"/>
          <w:lang w:val="zh-CN"/>
        </w:rPr>
      </w:pPr>
      <w:r>
        <w:rPr>
          <w:rFonts w:hint="eastAsia" w:ascii="宋体" w:hAnsi="宋体" w:eastAsia="宋体" w:cs="宋体"/>
          <w:szCs w:val="21"/>
          <w:highlight w:val="none"/>
          <w:lang w:val="zh-CN"/>
        </w:rPr>
        <w:t>联系人：                                                 联系人：</w:t>
      </w:r>
    </w:p>
    <w:p w14:paraId="3879B49D">
      <w:pPr>
        <w:autoSpaceDE w:val="0"/>
        <w:autoSpaceDN w:val="0"/>
        <w:spacing w:line="360" w:lineRule="auto"/>
        <w:ind w:firstLine="735" w:firstLineChars="350"/>
        <w:contextualSpacing/>
        <w:rPr>
          <w:rFonts w:hint="eastAsia" w:ascii="宋体" w:hAnsi="宋体" w:eastAsia="宋体" w:cs="宋体"/>
          <w:szCs w:val="21"/>
          <w:highlight w:val="none"/>
          <w:lang w:val="zh-CN"/>
        </w:rPr>
      </w:pPr>
      <w:r>
        <w:rPr>
          <w:rFonts w:hint="eastAsia" w:ascii="宋体" w:hAnsi="宋体" w:eastAsia="宋体" w:cs="宋体"/>
          <w:szCs w:val="21"/>
          <w:highlight w:val="none"/>
          <w:lang w:val="zh-CN"/>
        </w:rPr>
        <w:t>开户银行：                                               开户银行：</w:t>
      </w:r>
    </w:p>
    <w:p w14:paraId="3744B77E">
      <w:pPr>
        <w:autoSpaceDE w:val="0"/>
        <w:autoSpaceDN w:val="0"/>
        <w:spacing w:line="360" w:lineRule="auto"/>
        <w:ind w:firstLine="735" w:firstLineChars="350"/>
        <w:contextualSpacing/>
        <w:rPr>
          <w:rFonts w:hint="eastAsia" w:ascii="宋体" w:hAnsi="宋体" w:eastAsia="宋体" w:cs="宋体"/>
          <w:szCs w:val="21"/>
          <w:highlight w:val="none"/>
          <w:lang w:val="zh-CN"/>
        </w:rPr>
      </w:pPr>
      <w:r>
        <w:rPr>
          <w:rFonts w:hint="eastAsia" w:ascii="宋体" w:hAnsi="宋体" w:eastAsia="宋体" w:cs="宋体"/>
          <w:szCs w:val="21"/>
          <w:highlight w:val="none"/>
          <w:lang w:val="zh-CN"/>
        </w:rPr>
        <w:t>帐号：                                                   帐号：</w:t>
      </w:r>
    </w:p>
    <w:p w14:paraId="4E7DA73C">
      <w:pPr>
        <w:autoSpaceDE w:val="0"/>
        <w:autoSpaceDN w:val="0"/>
        <w:spacing w:line="360" w:lineRule="auto"/>
        <w:ind w:firstLine="735" w:firstLineChars="350"/>
        <w:contextualSpacing/>
        <w:rPr>
          <w:rFonts w:hint="eastAsia" w:ascii="宋体" w:hAnsi="宋体" w:eastAsia="宋体" w:cs="宋体"/>
          <w:szCs w:val="21"/>
          <w:highlight w:val="none"/>
          <w:lang w:val="zh-CN"/>
        </w:rPr>
      </w:pPr>
    </w:p>
    <w:p w14:paraId="56BB01A6">
      <w:pPr>
        <w:widowControl/>
        <w:jc w:val="left"/>
        <w:rPr>
          <w:rFonts w:hint="eastAsia" w:ascii="宋体" w:hAnsi="宋体" w:eastAsia="宋体" w:cs="宋体"/>
          <w:b/>
          <w:sz w:val="36"/>
          <w:szCs w:val="36"/>
          <w:highlight w:val="none"/>
        </w:rPr>
      </w:pPr>
    </w:p>
    <w:p w14:paraId="7AE13623">
      <w:pPr>
        <w:pStyle w:val="19"/>
        <w:spacing w:before="120" w:beforeLines="50" w:after="120" w:afterLines="50"/>
        <w:rPr>
          <w:rFonts w:hint="eastAsia" w:ascii="宋体" w:hAnsi="宋体" w:eastAsia="宋体" w:cs="宋体"/>
          <w:b/>
          <w:sz w:val="24"/>
          <w:szCs w:val="24"/>
          <w:highlight w:val="none"/>
        </w:rPr>
      </w:pPr>
    </w:p>
    <w:p w14:paraId="15334490">
      <w:pPr>
        <w:pStyle w:val="19"/>
        <w:spacing w:before="120" w:beforeLines="50" w:after="120" w:afterLines="50"/>
        <w:rPr>
          <w:rFonts w:hint="eastAsia" w:ascii="宋体" w:hAnsi="宋体" w:eastAsia="宋体" w:cs="宋体"/>
          <w:highlight w:val="none"/>
        </w:rPr>
      </w:pPr>
    </w:p>
    <w:p w14:paraId="6319EF2E">
      <w:pPr>
        <w:pStyle w:val="19"/>
        <w:spacing w:before="100" w:beforeAutospacing="1" w:after="100" w:afterAutospacing="1"/>
        <w:rPr>
          <w:rFonts w:hint="eastAsia" w:ascii="宋体" w:hAnsi="宋体" w:eastAsia="宋体" w:cs="宋体"/>
          <w:highlight w:val="none"/>
        </w:rPr>
      </w:pPr>
    </w:p>
    <w:p w14:paraId="7885C12A">
      <w:pPr>
        <w:pStyle w:val="19"/>
        <w:spacing w:before="100" w:beforeAutospacing="1" w:after="100" w:afterAutospacing="1"/>
        <w:rPr>
          <w:rFonts w:hint="eastAsia" w:ascii="宋体" w:hAnsi="宋体" w:eastAsia="宋体" w:cs="宋体"/>
          <w:highlight w:val="none"/>
        </w:rPr>
      </w:pPr>
    </w:p>
    <w:p w14:paraId="3F3F3EAA">
      <w:pPr>
        <w:pStyle w:val="19"/>
        <w:spacing w:before="100" w:beforeAutospacing="1" w:after="100" w:afterAutospacing="1"/>
        <w:rPr>
          <w:rFonts w:hint="eastAsia" w:ascii="宋体" w:hAnsi="宋体" w:eastAsia="宋体" w:cs="宋体"/>
          <w:highlight w:val="none"/>
        </w:rPr>
      </w:pPr>
    </w:p>
    <w:p w14:paraId="5042275D">
      <w:pPr>
        <w:pStyle w:val="19"/>
        <w:spacing w:before="100" w:beforeAutospacing="1" w:after="100" w:afterAutospacing="1"/>
        <w:rPr>
          <w:rFonts w:hint="eastAsia" w:ascii="宋体" w:hAnsi="宋体" w:eastAsia="宋体" w:cs="宋体"/>
          <w:b/>
          <w:sz w:val="36"/>
          <w:szCs w:val="36"/>
          <w:highlight w:val="none"/>
        </w:rPr>
      </w:pPr>
    </w:p>
    <w:p w14:paraId="60D3A61A">
      <w:pPr>
        <w:topLinePunct/>
        <w:adjustRightInd w:val="0"/>
        <w:snapToGrid w:val="0"/>
        <w:spacing w:before="36" w:beforeLines="15" w:line="360" w:lineRule="auto"/>
        <w:jc w:val="center"/>
        <w:outlineLvl w:val="0"/>
        <w:rPr>
          <w:rFonts w:hint="eastAsia" w:ascii="宋体" w:hAnsi="宋体" w:eastAsia="宋体" w:cs="宋体"/>
          <w:b/>
          <w:sz w:val="36"/>
          <w:szCs w:val="36"/>
          <w:highlight w:val="none"/>
        </w:rPr>
      </w:pPr>
      <w:r>
        <w:rPr>
          <w:rFonts w:hint="eastAsia" w:ascii="宋体" w:hAnsi="宋体" w:eastAsia="宋体" w:cs="宋体"/>
          <w:highlight w:val="none"/>
        </w:rPr>
        <w:br w:type="page"/>
      </w:r>
      <w:bookmarkStart w:id="88" w:name="_Toc62484148"/>
      <w:r>
        <w:rPr>
          <w:rFonts w:hint="eastAsia" w:ascii="宋体" w:hAnsi="宋体" w:eastAsia="宋体" w:cs="宋体"/>
          <w:b/>
          <w:sz w:val="36"/>
          <w:szCs w:val="36"/>
          <w:highlight w:val="none"/>
        </w:rPr>
        <w:t>第五章  技术参数</w:t>
      </w:r>
      <w:bookmarkEnd w:id="88"/>
    </w:p>
    <w:p w14:paraId="6030DC84">
      <w:pPr>
        <w:pageBreakBefore w:val="0"/>
        <w:tabs>
          <w:tab w:val="left" w:pos="735"/>
        </w:tabs>
        <w:kinsoku/>
        <w:wordWrap/>
        <w:overflowPunct/>
        <w:topLinePunct w:val="0"/>
        <w:autoSpaceDE w:val="0"/>
        <w:autoSpaceDN w:val="0"/>
        <w:bidi w:val="0"/>
        <w:adjustRightInd w:val="0"/>
        <w:snapToGrid w:val="0"/>
        <w:spacing w:line="400" w:lineRule="exact"/>
        <w:ind w:firstLine="482" w:firstLineChars="200"/>
        <w:outlineLvl w:val="0"/>
        <w:rPr>
          <w:rFonts w:hint="eastAsia" w:ascii="宋体" w:hAnsi="宋体" w:eastAsia="宋体" w:cs="宋体"/>
          <w:b/>
          <w:sz w:val="24"/>
          <w:szCs w:val="24"/>
        </w:rPr>
      </w:pPr>
      <w:r>
        <w:rPr>
          <w:rFonts w:hint="eastAsia" w:ascii="宋体" w:hAnsi="宋体" w:eastAsia="宋体" w:cs="宋体"/>
          <w:b/>
          <w:bCs/>
          <w:sz w:val="24"/>
          <w:szCs w:val="24"/>
          <w:lang w:val="zh-CN"/>
        </w:rPr>
        <w:t>一、</w:t>
      </w:r>
      <w:r>
        <w:rPr>
          <w:rFonts w:hint="eastAsia" w:ascii="宋体" w:hAnsi="宋体" w:eastAsia="宋体" w:cs="宋体"/>
          <w:b/>
          <w:sz w:val="24"/>
          <w:szCs w:val="24"/>
        </w:rPr>
        <w:t>合同内容</w:t>
      </w:r>
    </w:p>
    <w:p w14:paraId="27C6A1BE">
      <w:pPr>
        <w:pageBreakBefore w:val="0"/>
        <w:kinsoku/>
        <w:wordWrap/>
        <w:overflowPunct/>
        <w:topLinePunct w:val="0"/>
        <w:bidi w:val="0"/>
        <w:adjustRightInd w:val="0"/>
        <w:snapToGrid w:val="0"/>
        <w:spacing w:line="40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详见货物清单与技术参数。</w:t>
      </w:r>
    </w:p>
    <w:p w14:paraId="023EB113">
      <w:pPr>
        <w:pageBreakBefore w:val="0"/>
        <w:tabs>
          <w:tab w:val="left" w:pos="735"/>
        </w:tabs>
        <w:kinsoku/>
        <w:wordWrap/>
        <w:overflowPunct/>
        <w:topLinePunct w:val="0"/>
        <w:bidi w:val="0"/>
        <w:adjustRightInd w:val="0"/>
        <w:snapToGrid w:val="0"/>
        <w:spacing w:line="400" w:lineRule="exact"/>
        <w:ind w:firstLine="506" w:firstLineChars="210"/>
        <w:outlineLvl w:val="0"/>
        <w:rPr>
          <w:rFonts w:hint="eastAsia" w:ascii="宋体" w:hAnsi="宋体" w:eastAsia="宋体" w:cs="宋体"/>
          <w:sz w:val="24"/>
          <w:szCs w:val="24"/>
        </w:rPr>
      </w:pPr>
      <w:r>
        <w:rPr>
          <w:rFonts w:hint="eastAsia" w:ascii="宋体" w:hAnsi="宋体" w:eastAsia="宋体" w:cs="宋体"/>
          <w:b/>
          <w:sz w:val="24"/>
          <w:szCs w:val="24"/>
        </w:rPr>
        <w:t>二、合同价款</w:t>
      </w:r>
    </w:p>
    <w:p w14:paraId="70190E7E">
      <w:pPr>
        <w:pageBreakBefore w:val="0"/>
        <w:kinsoku/>
        <w:wordWrap/>
        <w:overflowPunct/>
        <w:topLinePunct w:val="0"/>
        <w:bidi w:val="0"/>
        <w:adjustRightInd w:val="0"/>
        <w:snapToGrid w:val="0"/>
        <w:spacing w:line="40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合同总价包括：</w:t>
      </w:r>
      <w:r>
        <w:rPr>
          <w:rFonts w:hint="eastAsia" w:ascii="宋体" w:hAnsi="宋体" w:eastAsia="宋体" w:cs="宋体"/>
          <w:b/>
          <w:sz w:val="24"/>
          <w:szCs w:val="24"/>
        </w:rPr>
        <w:t>本项目所需的所有费用（包含运输，运费、运杂费及保险费、税等一切费用）</w:t>
      </w:r>
      <w:r>
        <w:rPr>
          <w:rFonts w:hint="eastAsia" w:ascii="宋体" w:hAnsi="宋体" w:eastAsia="宋体" w:cs="宋体"/>
          <w:color w:val="000000"/>
          <w:sz w:val="24"/>
          <w:szCs w:val="24"/>
        </w:rPr>
        <w:t>。</w:t>
      </w:r>
    </w:p>
    <w:p w14:paraId="001C9648">
      <w:pPr>
        <w:pageBreakBefore w:val="0"/>
        <w:tabs>
          <w:tab w:val="left" w:pos="735"/>
        </w:tabs>
        <w:kinsoku/>
        <w:wordWrap/>
        <w:overflowPunct/>
        <w:topLinePunct w:val="0"/>
        <w:bidi w:val="0"/>
        <w:adjustRightInd w:val="0"/>
        <w:snapToGrid w:val="0"/>
        <w:spacing w:line="400" w:lineRule="exact"/>
        <w:ind w:firstLine="506" w:firstLineChars="210"/>
        <w:outlineLvl w:val="0"/>
        <w:rPr>
          <w:rFonts w:hint="eastAsia" w:ascii="宋体" w:hAnsi="宋体" w:eastAsia="宋体" w:cs="宋体"/>
          <w:b/>
          <w:color w:val="000000"/>
          <w:sz w:val="24"/>
          <w:szCs w:val="24"/>
        </w:rPr>
      </w:pPr>
      <w:r>
        <w:rPr>
          <w:rFonts w:hint="eastAsia" w:ascii="宋体" w:hAnsi="宋体" w:eastAsia="宋体" w:cs="宋体"/>
          <w:b/>
          <w:color w:val="000000"/>
          <w:sz w:val="24"/>
          <w:szCs w:val="24"/>
        </w:rPr>
        <w:t>三、合同结算</w:t>
      </w:r>
    </w:p>
    <w:p w14:paraId="3D23E148">
      <w:pPr>
        <w:pageBreakBefore w:val="0"/>
        <w:kinsoku/>
        <w:wordWrap/>
        <w:overflowPunct/>
        <w:topLinePunct w:val="0"/>
        <w:bidi w:val="0"/>
        <w:adjustRightInd w:val="0"/>
        <w:snapToGrid w:val="0"/>
        <w:spacing w:line="40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1、付款方式：合同生效后十五日内，中标单位向甲方支付合同总金额3%的履约保证金，甲方支付合同总金额50%的货款；货物交付完成经甲方确认签收后十五日内，甲方支付合同总金额30%的货款；项目验收后十五日内，甲方支付合同总金额20%的货款；项目验收之日起2年后，甲方无息退还中标单位合同总金额3%的履约保证金。</w:t>
      </w:r>
    </w:p>
    <w:p w14:paraId="722FDB33">
      <w:pPr>
        <w:pageBreakBefore w:val="0"/>
        <w:kinsoku/>
        <w:wordWrap/>
        <w:overflowPunct/>
        <w:topLinePunct w:val="0"/>
        <w:bidi w:val="0"/>
        <w:adjustRightInd w:val="0"/>
        <w:snapToGrid w:val="0"/>
        <w:spacing w:line="40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2、结算方式：银行转账，由采购人负责结算，发票直开采购人。</w:t>
      </w:r>
    </w:p>
    <w:p w14:paraId="1708541B">
      <w:pPr>
        <w:pageBreakBefore w:val="0"/>
        <w:kinsoku/>
        <w:wordWrap/>
        <w:overflowPunct/>
        <w:topLinePunct w:val="0"/>
        <w:bidi w:val="0"/>
        <w:adjustRightInd w:val="0"/>
        <w:snapToGrid w:val="0"/>
        <w:spacing w:line="400" w:lineRule="exact"/>
        <w:ind w:firstLine="480" w:firstLineChars="200"/>
        <w:rPr>
          <w:rFonts w:hint="eastAsia" w:ascii="宋体" w:hAnsi="宋体" w:eastAsia="宋体" w:cs="宋体"/>
          <w:sz w:val="24"/>
          <w:szCs w:val="24"/>
        </w:rPr>
      </w:pPr>
      <w:r>
        <w:rPr>
          <w:rFonts w:hint="eastAsia" w:ascii="宋体" w:hAnsi="宋体" w:eastAsia="宋体" w:cs="宋体"/>
          <w:color w:val="000000"/>
          <w:sz w:val="24"/>
          <w:szCs w:val="24"/>
        </w:rPr>
        <w:t>3、结算要求：按照支付金额开具等额发票</w:t>
      </w:r>
      <w:r>
        <w:rPr>
          <w:rFonts w:hint="eastAsia" w:ascii="宋体" w:hAnsi="宋体" w:eastAsia="宋体" w:cs="宋体"/>
          <w:sz w:val="24"/>
          <w:szCs w:val="24"/>
        </w:rPr>
        <w:t>。</w:t>
      </w:r>
    </w:p>
    <w:p w14:paraId="4FDDBEFE">
      <w:pPr>
        <w:pageBreakBefore w:val="0"/>
        <w:tabs>
          <w:tab w:val="left" w:pos="735"/>
        </w:tabs>
        <w:kinsoku/>
        <w:wordWrap/>
        <w:overflowPunct/>
        <w:topLinePunct w:val="0"/>
        <w:autoSpaceDE w:val="0"/>
        <w:autoSpaceDN w:val="0"/>
        <w:bidi w:val="0"/>
        <w:adjustRightInd w:val="0"/>
        <w:snapToGrid w:val="0"/>
        <w:spacing w:line="400" w:lineRule="exact"/>
        <w:ind w:firstLine="482" w:firstLineChars="200"/>
        <w:outlineLvl w:val="0"/>
        <w:rPr>
          <w:rFonts w:hint="eastAsia" w:ascii="宋体" w:hAnsi="宋体" w:eastAsia="宋体" w:cs="宋体"/>
          <w:b/>
          <w:bCs/>
          <w:sz w:val="24"/>
          <w:szCs w:val="24"/>
          <w:lang w:val="zh-CN"/>
        </w:rPr>
      </w:pPr>
      <w:r>
        <w:rPr>
          <w:rFonts w:hint="eastAsia" w:ascii="宋体" w:hAnsi="宋体" w:eastAsia="宋体" w:cs="宋体"/>
          <w:b/>
          <w:bCs/>
          <w:sz w:val="24"/>
          <w:szCs w:val="24"/>
          <w:lang w:val="zh-CN"/>
        </w:rPr>
        <w:t>四、商务条件</w:t>
      </w:r>
    </w:p>
    <w:p w14:paraId="5A6266D2">
      <w:pPr>
        <w:pageBreakBefore w:val="0"/>
        <w:tabs>
          <w:tab w:val="left" w:pos="735"/>
        </w:tabs>
        <w:kinsoku/>
        <w:wordWrap/>
        <w:overflowPunct/>
        <w:topLinePunct w:val="0"/>
        <w:autoSpaceDE w:val="0"/>
        <w:autoSpaceDN w:val="0"/>
        <w:bidi w:val="0"/>
        <w:adjustRightInd w:val="0"/>
        <w:snapToGrid w:val="0"/>
        <w:spacing w:line="400" w:lineRule="exact"/>
        <w:ind w:firstLine="480" w:firstLineChars="200"/>
        <w:rPr>
          <w:rFonts w:hint="eastAsia" w:ascii="宋体" w:hAnsi="宋体" w:eastAsia="宋体" w:cs="宋体"/>
          <w:bCs/>
          <w:sz w:val="24"/>
          <w:szCs w:val="24"/>
          <w:lang w:val="zh-CN"/>
        </w:rPr>
      </w:pPr>
      <w:r>
        <w:rPr>
          <w:rFonts w:hint="eastAsia" w:ascii="宋体" w:hAnsi="宋体" w:eastAsia="宋体" w:cs="宋体"/>
          <w:bCs/>
          <w:sz w:val="24"/>
          <w:szCs w:val="24"/>
          <w:lang w:val="zh-CN"/>
        </w:rPr>
        <w:t>1、交货地点：</w:t>
      </w:r>
      <w:r>
        <w:rPr>
          <w:rFonts w:hint="eastAsia" w:ascii="宋体" w:hAnsi="宋体" w:eastAsia="宋体" w:cs="宋体"/>
          <w:sz w:val="24"/>
          <w:szCs w:val="24"/>
        </w:rPr>
        <w:t>吉林省博物院（东北抗日联军纪念馆）；</w:t>
      </w:r>
    </w:p>
    <w:p w14:paraId="77727B48">
      <w:pPr>
        <w:pageBreakBefore w:val="0"/>
        <w:tabs>
          <w:tab w:val="left" w:pos="735"/>
        </w:tabs>
        <w:kinsoku/>
        <w:wordWrap/>
        <w:overflowPunct/>
        <w:topLinePunct w:val="0"/>
        <w:autoSpaceDE w:val="0"/>
        <w:autoSpaceDN w:val="0"/>
        <w:bidi w:val="0"/>
        <w:adjustRightInd w:val="0"/>
        <w:snapToGrid w:val="0"/>
        <w:spacing w:line="400" w:lineRule="exact"/>
        <w:ind w:firstLine="480" w:firstLineChars="200"/>
        <w:rPr>
          <w:rFonts w:hint="eastAsia" w:ascii="宋体" w:hAnsi="宋体" w:eastAsia="宋体" w:cs="宋体"/>
          <w:bCs/>
          <w:sz w:val="24"/>
          <w:szCs w:val="24"/>
          <w:lang w:val="zh-CN"/>
        </w:rPr>
      </w:pPr>
      <w:r>
        <w:rPr>
          <w:rFonts w:hint="eastAsia" w:ascii="宋体" w:hAnsi="宋体" w:eastAsia="宋体" w:cs="宋体"/>
          <w:bCs/>
          <w:sz w:val="24"/>
          <w:szCs w:val="24"/>
          <w:lang w:val="zh-CN"/>
        </w:rPr>
        <w:t>2、交货时间：自合同签订之日起180日历日内。</w:t>
      </w:r>
    </w:p>
    <w:p w14:paraId="23A231DD">
      <w:pPr>
        <w:pageBreakBefore w:val="0"/>
        <w:kinsoku/>
        <w:wordWrap/>
        <w:overflowPunct/>
        <w:topLinePunct w:val="0"/>
        <w:bidi w:val="0"/>
        <w:adjustRightInd w:val="0"/>
        <w:snapToGrid w:val="0"/>
        <w:spacing w:line="400" w:lineRule="exact"/>
        <w:ind w:firstLine="482" w:firstLineChars="200"/>
        <w:outlineLvl w:val="0"/>
        <w:rPr>
          <w:rFonts w:hint="eastAsia" w:ascii="宋体" w:hAnsi="宋体" w:eastAsia="宋体" w:cs="宋体"/>
          <w:b/>
          <w:sz w:val="24"/>
          <w:szCs w:val="24"/>
        </w:rPr>
      </w:pPr>
      <w:r>
        <w:rPr>
          <w:rFonts w:hint="eastAsia" w:ascii="宋体" w:hAnsi="宋体" w:eastAsia="宋体" w:cs="宋体"/>
          <w:b/>
          <w:sz w:val="24"/>
          <w:szCs w:val="24"/>
        </w:rPr>
        <w:t>五、合同其他事项</w:t>
      </w:r>
    </w:p>
    <w:p w14:paraId="736176F4">
      <w:pPr>
        <w:pageBreakBefore w:val="0"/>
        <w:kinsoku/>
        <w:wordWrap/>
        <w:overflowPunct/>
        <w:topLinePunct w:val="0"/>
        <w:bidi w:val="0"/>
        <w:adjustRightInd w:val="0"/>
        <w:snapToGrid w:val="0"/>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1、成交供应商未经采购人及有关部门同意，不得擅自变更本项目在响应文件中认定的所有内容。</w:t>
      </w:r>
    </w:p>
    <w:p w14:paraId="5C47F181">
      <w:pPr>
        <w:pageBreakBefore w:val="0"/>
        <w:kinsoku/>
        <w:wordWrap/>
        <w:overflowPunct/>
        <w:topLinePunct w:val="0"/>
        <w:bidi w:val="0"/>
        <w:adjustRightInd w:val="0"/>
        <w:snapToGrid w:val="0"/>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2、成交供应商必须自行采购，不得转包、分包。为了确保交货期，中标单位应组织一支强有力的技术骨干队伍，建立严格的质量管理体系，规范操作。</w:t>
      </w:r>
    </w:p>
    <w:p w14:paraId="1FFD544F">
      <w:pPr>
        <w:pageBreakBefore w:val="0"/>
        <w:kinsoku/>
        <w:wordWrap/>
        <w:overflowPunct/>
        <w:topLinePunct w:val="0"/>
        <w:bidi w:val="0"/>
        <w:adjustRightInd w:val="0"/>
        <w:snapToGrid w:val="0"/>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3、中标单位的投标文件和承诺以及补充意见等内容，将作为中标条件列入合同。</w:t>
      </w:r>
    </w:p>
    <w:p w14:paraId="45CACED4">
      <w:pPr>
        <w:pageBreakBefore w:val="0"/>
        <w:kinsoku/>
        <w:wordWrap/>
        <w:overflowPunct/>
        <w:topLinePunct w:val="0"/>
        <w:bidi w:val="0"/>
        <w:adjustRightInd w:val="0"/>
        <w:snapToGrid w:val="0"/>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4、若因不可抗力致使产品实际情况发生变化或其他因素造成需对原方案进行修改、完善、补充时，中标单位需会同采购人协商有关工程事宜。因此发生的费用，由双方协商解决。</w:t>
      </w:r>
    </w:p>
    <w:p w14:paraId="1258E2DF">
      <w:pPr>
        <w:pageBreakBefore w:val="0"/>
        <w:kinsoku/>
        <w:wordWrap/>
        <w:overflowPunct/>
        <w:topLinePunct w:val="0"/>
        <w:bidi w:val="0"/>
        <w:adjustRightInd w:val="0"/>
        <w:snapToGrid w:val="0"/>
        <w:spacing w:line="400" w:lineRule="exact"/>
        <w:ind w:firstLine="482" w:firstLineChars="200"/>
        <w:outlineLvl w:val="0"/>
        <w:rPr>
          <w:rFonts w:hint="eastAsia" w:ascii="宋体" w:hAnsi="宋体" w:eastAsia="宋体" w:cs="宋体"/>
          <w:b/>
          <w:sz w:val="24"/>
          <w:szCs w:val="24"/>
        </w:rPr>
      </w:pPr>
      <w:r>
        <w:rPr>
          <w:rFonts w:hint="eastAsia" w:ascii="宋体" w:hAnsi="宋体" w:eastAsia="宋体" w:cs="宋体"/>
          <w:b/>
          <w:sz w:val="24"/>
          <w:szCs w:val="24"/>
        </w:rPr>
        <w:t>六、质量保证与技术服务</w:t>
      </w:r>
    </w:p>
    <w:p w14:paraId="71B68614">
      <w:pPr>
        <w:pStyle w:val="19"/>
        <w:pageBreakBefore w:val="0"/>
        <w:kinsoku/>
        <w:wordWrap/>
        <w:overflowPunct/>
        <w:topLinePunct w:val="0"/>
        <w:bidi w:val="0"/>
        <w:adjustRightInd w:val="0"/>
        <w:snapToGrid w:val="0"/>
        <w:spacing w:line="400" w:lineRule="exact"/>
        <w:ind w:firstLine="597" w:firstLineChars="249"/>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rPr>
        <w:tab/>
      </w:r>
      <w:r>
        <w:rPr>
          <w:rFonts w:hint="eastAsia" w:ascii="宋体" w:hAnsi="宋体" w:eastAsia="宋体" w:cs="宋体"/>
          <w:sz w:val="24"/>
          <w:szCs w:val="24"/>
        </w:rPr>
        <w:t xml:space="preserve">质保期：两年，质保期自产品验收合格之日开始计算。在质量保证期内，设备发生故障，卖方应在收到买方通知后，8小时内响应，并在一周内排除故障； </w:t>
      </w:r>
    </w:p>
    <w:p w14:paraId="77ED3A26">
      <w:pPr>
        <w:pStyle w:val="19"/>
        <w:pageBreakBefore w:val="0"/>
        <w:kinsoku/>
        <w:wordWrap/>
        <w:overflowPunct/>
        <w:topLinePunct w:val="0"/>
        <w:bidi w:val="0"/>
        <w:adjustRightInd w:val="0"/>
        <w:snapToGrid w:val="0"/>
        <w:spacing w:line="400" w:lineRule="exact"/>
        <w:ind w:firstLine="597" w:firstLineChars="249"/>
        <w:rPr>
          <w:rFonts w:hint="eastAsia" w:ascii="宋体" w:hAnsi="宋体" w:eastAsia="宋体" w:cs="宋体"/>
          <w:sz w:val="24"/>
          <w:szCs w:val="24"/>
        </w:rPr>
      </w:pPr>
      <w:r>
        <w:rPr>
          <w:rFonts w:hint="eastAsia" w:ascii="宋体" w:hAnsi="宋体" w:eastAsia="宋体" w:cs="宋体"/>
          <w:sz w:val="24"/>
          <w:szCs w:val="24"/>
        </w:rPr>
        <w:t>2、在保修期内，负责对提供的设备进行维修和系统维护，不再收取任何费用，但消耗品及人为因素、自然因素（如火灾、雷击等）造成的故障除外。在保修期外，卖方实行有偿终身维修服务，长期成本价供应零部件，实行不定期巡检，终身服务；</w:t>
      </w:r>
    </w:p>
    <w:p w14:paraId="58053798">
      <w:pPr>
        <w:pStyle w:val="19"/>
        <w:pageBreakBefore w:val="0"/>
        <w:kinsoku/>
        <w:wordWrap/>
        <w:overflowPunct/>
        <w:topLinePunct w:val="0"/>
        <w:bidi w:val="0"/>
        <w:adjustRightInd w:val="0"/>
        <w:snapToGrid w:val="0"/>
        <w:spacing w:line="400" w:lineRule="exact"/>
        <w:ind w:firstLine="597" w:firstLineChars="249"/>
        <w:rPr>
          <w:rFonts w:hint="eastAsia"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rPr>
        <w:tab/>
      </w:r>
      <w:r>
        <w:rPr>
          <w:rFonts w:hint="eastAsia" w:ascii="宋体" w:hAnsi="宋体" w:eastAsia="宋体" w:cs="宋体"/>
          <w:sz w:val="24"/>
          <w:szCs w:val="24"/>
        </w:rPr>
        <w:t>保修期时间从最终验收合格报告签署之日起开始计算，其中关键部件若在有关规定中有明确的保修期，则按其规定执行。设备保修期内故障时间累计超过1个月，保修期按照故障时间的2倍顺延；</w:t>
      </w:r>
    </w:p>
    <w:p w14:paraId="40BA9E3C">
      <w:pPr>
        <w:pStyle w:val="19"/>
        <w:pageBreakBefore w:val="0"/>
        <w:kinsoku/>
        <w:wordWrap/>
        <w:overflowPunct/>
        <w:topLinePunct w:val="0"/>
        <w:bidi w:val="0"/>
        <w:adjustRightInd w:val="0"/>
        <w:snapToGrid w:val="0"/>
        <w:spacing w:line="400" w:lineRule="exact"/>
        <w:ind w:firstLine="597" w:firstLineChars="249"/>
        <w:rPr>
          <w:rFonts w:hint="eastAsia" w:ascii="宋体" w:hAnsi="宋体" w:eastAsia="宋体" w:cs="宋体"/>
          <w:sz w:val="24"/>
          <w:szCs w:val="24"/>
        </w:rPr>
      </w:pPr>
      <w:r>
        <w:rPr>
          <w:rFonts w:hint="eastAsia" w:ascii="宋体" w:hAnsi="宋体" w:eastAsia="宋体" w:cs="宋体"/>
          <w:sz w:val="24"/>
          <w:szCs w:val="24"/>
        </w:rPr>
        <w:t>4、</w:t>
      </w:r>
      <w:r>
        <w:rPr>
          <w:rFonts w:hint="eastAsia" w:ascii="宋体" w:hAnsi="宋体" w:eastAsia="宋体" w:cs="宋体"/>
          <w:sz w:val="24"/>
          <w:szCs w:val="24"/>
        </w:rPr>
        <w:tab/>
      </w:r>
      <w:r>
        <w:rPr>
          <w:rFonts w:hint="eastAsia" w:ascii="宋体" w:hAnsi="宋体" w:eastAsia="宋体" w:cs="宋体"/>
          <w:sz w:val="24"/>
          <w:szCs w:val="24"/>
        </w:rPr>
        <w:t>设备因制造不良而发生损坏或不能正常工作，供方免费为用户更换；</w:t>
      </w:r>
    </w:p>
    <w:p w14:paraId="44FCC192">
      <w:pPr>
        <w:pStyle w:val="19"/>
        <w:pageBreakBefore w:val="0"/>
        <w:kinsoku/>
        <w:wordWrap/>
        <w:overflowPunct/>
        <w:topLinePunct w:val="0"/>
        <w:bidi w:val="0"/>
        <w:adjustRightInd w:val="0"/>
        <w:snapToGrid w:val="0"/>
        <w:spacing w:line="400" w:lineRule="exact"/>
        <w:ind w:firstLine="597" w:firstLineChars="249"/>
        <w:rPr>
          <w:rFonts w:hint="eastAsia" w:ascii="宋体" w:hAnsi="宋体" w:eastAsia="宋体" w:cs="宋体"/>
          <w:sz w:val="24"/>
          <w:szCs w:val="24"/>
        </w:rPr>
      </w:pPr>
      <w:r>
        <w:rPr>
          <w:rFonts w:hint="eastAsia" w:ascii="宋体" w:hAnsi="宋体" w:eastAsia="宋体" w:cs="宋体"/>
          <w:sz w:val="24"/>
          <w:szCs w:val="24"/>
        </w:rPr>
        <w:t>5、</w:t>
      </w:r>
      <w:r>
        <w:rPr>
          <w:rFonts w:hint="eastAsia" w:ascii="宋体" w:hAnsi="宋体" w:eastAsia="宋体" w:cs="宋体"/>
          <w:sz w:val="24"/>
          <w:szCs w:val="24"/>
        </w:rPr>
        <w:tab/>
      </w:r>
      <w:r>
        <w:rPr>
          <w:rFonts w:hint="eastAsia" w:ascii="宋体" w:hAnsi="宋体" w:eastAsia="宋体" w:cs="宋体"/>
          <w:sz w:val="24"/>
          <w:szCs w:val="24"/>
        </w:rPr>
        <w:t>软件升级及故障：如由于软件原因发生严重故障造成设备不能工作，供方应免费排除故障、安装软件，或将软件源程序无偿转让给需方；保修期内免费升级，如果保修期内没有提供升级服务，保修期外至少提供一次免费升级服务。</w:t>
      </w:r>
    </w:p>
    <w:p w14:paraId="04A5F7D9">
      <w:pPr>
        <w:pageBreakBefore w:val="0"/>
        <w:kinsoku/>
        <w:wordWrap/>
        <w:overflowPunct/>
        <w:topLinePunct w:val="0"/>
        <w:bidi w:val="0"/>
        <w:adjustRightInd w:val="0"/>
        <w:snapToGrid w:val="0"/>
        <w:spacing w:line="400" w:lineRule="exact"/>
        <w:ind w:firstLine="482" w:firstLineChars="200"/>
        <w:outlineLvl w:val="0"/>
        <w:rPr>
          <w:rFonts w:hint="eastAsia" w:ascii="宋体" w:hAnsi="宋体" w:eastAsia="宋体" w:cs="宋体"/>
          <w:b/>
          <w:color w:val="000000"/>
          <w:sz w:val="24"/>
          <w:szCs w:val="24"/>
        </w:rPr>
      </w:pPr>
      <w:r>
        <w:rPr>
          <w:rFonts w:hint="eastAsia" w:ascii="宋体" w:hAnsi="宋体" w:eastAsia="宋体" w:cs="宋体"/>
          <w:b/>
          <w:color w:val="000000"/>
          <w:sz w:val="24"/>
          <w:szCs w:val="24"/>
        </w:rPr>
        <w:t>七、售后服务</w:t>
      </w:r>
    </w:p>
    <w:p w14:paraId="12488438">
      <w:pPr>
        <w:pStyle w:val="19"/>
        <w:pageBreakBefore w:val="0"/>
        <w:kinsoku/>
        <w:wordWrap/>
        <w:overflowPunct/>
        <w:topLinePunct w:val="0"/>
        <w:bidi w:val="0"/>
        <w:adjustRightInd w:val="0"/>
        <w:snapToGrid w:val="0"/>
        <w:spacing w:line="400" w:lineRule="exact"/>
        <w:ind w:firstLine="597" w:firstLineChars="249"/>
        <w:rPr>
          <w:rFonts w:hint="eastAsia" w:ascii="宋体" w:hAnsi="宋体" w:eastAsia="宋体" w:cs="宋体"/>
          <w:sz w:val="24"/>
          <w:szCs w:val="24"/>
        </w:rPr>
      </w:pPr>
      <w:r>
        <w:rPr>
          <w:rFonts w:hint="eastAsia" w:ascii="宋体" w:hAnsi="宋体" w:eastAsia="宋体" w:cs="宋体"/>
          <w:sz w:val="24"/>
          <w:szCs w:val="24"/>
        </w:rPr>
        <w:t>1、卖方应在拥有便捷、完善的服务网络布局，保证提供及时有效的、长期广泛而优惠的服务，以优惠价格及时提供产品维修所需备件。</w:t>
      </w:r>
    </w:p>
    <w:p w14:paraId="3A3F481F">
      <w:pPr>
        <w:pStyle w:val="19"/>
        <w:pageBreakBefore w:val="0"/>
        <w:kinsoku/>
        <w:wordWrap/>
        <w:overflowPunct/>
        <w:topLinePunct w:val="0"/>
        <w:bidi w:val="0"/>
        <w:adjustRightInd w:val="0"/>
        <w:snapToGrid w:val="0"/>
        <w:spacing w:line="400" w:lineRule="exact"/>
        <w:ind w:firstLine="597" w:firstLineChars="249"/>
        <w:rPr>
          <w:rFonts w:hint="eastAsia" w:ascii="宋体" w:hAnsi="宋体" w:eastAsia="宋体" w:cs="宋体"/>
          <w:b/>
          <w:color w:val="000000"/>
          <w:sz w:val="24"/>
          <w:szCs w:val="24"/>
        </w:rPr>
      </w:pPr>
      <w:r>
        <w:rPr>
          <w:rFonts w:hint="eastAsia" w:ascii="宋体" w:hAnsi="宋体" w:eastAsia="宋体" w:cs="宋体"/>
          <w:sz w:val="24"/>
          <w:szCs w:val="24"/>
        </w:rPr>
        <w:t>2、</w:t>
      </w:r>
      <w:r>
        <w:rPr>
          <w:rFonts w:hint="eastAsia" w:ascii="宋体" w:hAnsi="宋体" w:eastAsia="宋体" w:cs="宋体"/>
          <w:sz w:val="24"/>
          <w:szCs w:val="24"/>
          <w:lang w:eastAsia="zh-CN"/>
        </w:rPr>
        <w:t>供应商</w:t>
      </w:r>
      <w:r>
        <w:rPr>
          <w:rFonts w:hint="eastAsia" w:ascii="宋体" w:hAnsi="宋体" w:eastAsia="宋体" w:cs="宋体"/>
          <w:sz w:val="24"/>
          <w:szCs w:val="24"/>
        </w:rPr>
        <w:t>须提供所投货物的售后服务承诺书原件。</w:t>
      </w:r>
    </w:p>
    <w:p w14:paraId="143769A3">
      <w:pPr>
        <w:pageBreakBefore w:val="0"/>
        <w:kinsoku/>
        <w:wordWrap/>
        <w:overflowPunct/>
        <w:topLinePunct w:val="0"/>
        <w:bidi w:val="0"/>
        <w:adjustRightInd w:val="0"/>
        <w:snapToGrid w:val="0"/>
        <w:spacing w:line="400" w:lineRule="exact"/>
        <w:ind w:firstLine="482" w:firstLineChars="200"/>
        <w:outlineLvl w:val="0"/>
        <w:rPr>
          <w:rFonts w:hint="eastAsia" w:ascii="宋体" w:hAnsi="宋体" w:eastAsia="宋体" w:cs="宋体"/>
          <w:b/>
          <w:color w:val="000000"/>
          <w:sz w:val="24"/>
          <w:szCs w:val="24"/>
        </w:rPr>
      </w:pPr>
      <w:r>
        <w:rPr>
          <w:rFonts w:hint="eastAsia" w:ascii="宋体" w:hAnsi="宋体" w:eastAsia="宋体" w:cs="宋体"/>
          <w:b/>
          <w:color w:val="000000"/>
          <w:sz w:val="24"/>
          <w:szCs w:val="24"/>
        </w:rPr>
        <w:t>八、培训</w:t>
      </w:r>
    </w:p>
    <w:p w14:paraId="5DFAF379">
      <w:pPr>
        <w:pageBreakBefore w:val="0"/>
        <w:kinsoku/>
        <w:wordWrap/>
        <w:overflowPunct/>
        <w:topLinePunct w:val="0"/>
        <w:bidi w:val="0"/>
        <w:snapToGrid w:val="0"/>
        <w:spacing w:line="400" w:lineRule="exact"/>
        <w:ind w:right="-65"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    组织并提供针对本次项目的具体实施培训与运维培训。</w:t>
      </w:r>
    </w:p>
    <w:p w14:paraId="57D974E0">
      <w:pPr>
        <w:pageBreakBefore w:val="0"/>
        <w:kinsoku/>
        <w:wordWrap/>
        <w:overflowPunct/>
        <w:topLinePunct w:val="0"/>
        <w:bidi w:val="0"/>
        <w:adjustRightInd w:val="0"/>
        <w:snapToGrid w:val="0"/>
        <w:spacing w:line="400" w:lineRule="exact"/>
        <w:ind w:firstLine="482" w:firstLineChars="200"/>
        <w:outlineLvl w:val="0"/>
        <w:rPr>
          <w:rFonts w:hint="eastAsia" w:ascii="宋体" w:hAnsi="宋体" w:eastAsia="宋体" w:cs="宋体"/>
          <w:b/>
          <w:sz w:val="24"/>
          <w:szCs w:val="24"/>
        </w:rPr>
      </w:pPr>
      <w:r>
        <w:rPr>
          <w:rFonts w:hint="eastAsia" w:ascii="宋体" w:hAnsi="宋体" w:eastAsia="宋体" w:cs="宋体"/>
          <w:b/>
          <w:sz w:val="24"/>
          <w:szCs w:val="24"/>
        </w:rPr>
        <w:t>九、验收</w:t>
      </w:r>
    </w:p>
    <w:p w14:paraId="56D49D7E">
      <w:pPr>
        <w:pageBreakBefore w:val="0"/>
        <w:kinsoku/>
        <w:wordWrap/>
        <w:overflowPunct/>
        <w:topLinePunct w:val="0"/>
        <w:bidi w:val="0"/>
        <w:snapToGrid w:val="0"/>
        <w:spacing w:line="400" w:lineRule="exact"/>
        <w:ind w:right="-65" w:firstLine="480" w:firstLineChars="200"/>
        <w:rPr>
          <w:rFonts w:hint="eastAsia" w:ascii="宋体" w:hAnsi="宋体" w:eastAsia="宋体" w:cs="宋体"/>
          <w:sz w:val="24"/>
          <w:szCs w:val="24"/>
        </w:rPr>
      </w:pPr>
      <w:r>
        <w:rPr>
          <w:rFonts w:hint="eastAsia" w:ascii="宋体" w:hAnsi="宋体" w:eastAsia="宋体" w:cs="宋体"/>
          <w:sz w:val="24"/>
          <w:szCs w:val="24"/>
        </w:rPr>
        <w:t>1、成果提交后，由采购人对其进行验收，确认成果的规格、技术要求。</w:t>
      </w:r>
    </w:p>
    <w:p w14:paraId="32A136C3">
      <w:pPr>
        <w:pageBreakBefore w:val="0"/>
        <w:kinsoku/>
        <w:wordWrap/>
        <w:overflowPunct/>
        <w:topLinePunct w:val="0"/>
        <w:bidi w:val="0"/>
        <w:snapToGrid w:val="0"/>
        <w:spacing w:line="400" w:lineRule="exact"/>
        <w:ind w:right="-65" w:firstLine="480" w:firstLineChars="200"/>
        <w:rPr>
          <w:rFonts w:hint="eastAsia" w:ascii="宋体" w:hAnsi="宋体" w:eastAsia="宋体" w:cs="宋体"/>
          <w:sz w:val="24"/>
          <w:szCs w:val="24"/>
        </w:rPr>
      </w:pPr>
      <w:r>
        <w:rPr>
          <w:rFonts w:hint="eastAsia" w:ascii="宋体" w:hAnsi="宋体" w:eastAsia="宋体" w:cs="宋体"/>
          <w:sz w:val="24"/>
          <w:szCs w:val="24"/>
        </w:rPr>
        <w:t>2、中标单位整个工程完工后，进行自检，合格后准备验收文件，并书面通知采购人。</w:t>
      </w:r>
    </w:p>
    <w:p w14:paraId="63D3D8D1">
      <w:pPr>
        <w:pageBreakBefore w:val="0"/>
        <w:kinsoku/>
        <w:wordWrap/>
        <w:overflowPunct/>
        <w:topLinePunct w:val="0"/>
        <w:bidi w:val="0"/>
        <w:snapToGrid w:val="0"/>
        <w:spacing w:line="400" w:lineRule="exact"/>
        <w:ind w:right="-65" w:firstLine="480" w:firstLineChars="200"/>
        <w:rPr>
          <w:rFonts w:hint="eastAsia" w:ascii="宋体" w:hAnsi="宋体" w:eastAsia="宋体" w:cs="宋体"/>
          <w:sz w:val="24"/>
          <w:szCs w:val="24"/>
        </w:rPr>
      </w:pPr>
      <w:r>
        <w:rPr>
          <w:rFonts w:hint="eastAsia" w:ascii="宋体" w:hAnsi="宋体" w:eastAsia="宋体" w:cs="宋体"/>
          <w:sz w:val="24"/>
          <w:szCs w:val="24"/>
        </w:rPr>
        <w:t>3、采购人确认中标单位的自检内容，验收合格作为项目的最终认可。</w:t>
      </w:r>
    </w:p>
    <w:p w14:paraId="75425716">
      <w:pPr>
        <w:pageBreakBefore w:val="0"/>
        <w:kinsoku/>
        <w:wordWrap/>
        <w:overflowPunct/>
        <w:topLinePunct w:val="0"/>
        <w:bidi w:val="0"/>
        <w:snapToGrid w:val="0"/>
        <w:spacing w:line="400" w:lineRule="exact"/>
        <w:ind w:right="-65" w:firstLine="480" w:firstLineChars="200"/>
        <w:rPr>
          <w:rFonts w:hint="eastAsia" w:ascii="宋体" w:hAnsi="宋体" w:eastAsia="宋体" w:cs="宋体"/>
          <w:sz w:val="24"/>
          <w:szCs w:val="24"/>
        </w:rPr>
      </w:pPr>
      <w:r>
        <w:rPr>
          <w:rFonts w:hint="eastAsia" w:ascii="宋体" w:hAnsi="宋体" w:eastAsia="宋体" w:cs="宋体"/>
          <w:sz w:val="24"/>
          <w:szCs w:val="24"/>
        </w:rPr>
        <w:t>4、验收合格后，填写政府采购项目验收单，并向采购人提交项目实施过程中的所有资料。以便组织验收及采购人日后管理和维护。</w:t>
      </w:r>
    </w:p>
    <w:p w14:paraId="4CEDC97F">
      <w:pPr>
        <w:pageBreakBefore w:val="0"/>
        <w:kinsoku/>
        <w:wordWrap/>
        <w:overflowPunct/>
        <w:topLinePunct w:val="0"/>
        <w:bidi w:val="0"/>
        <w:snapToGrid w:val="0"/>
        <w:spacing w:line="400" w:lineRule="exact"/>
        <w:ind w:right="893" w:firstLine="480" w:firstLineChars="200"/>
        <w:rPr>
          <w:rFonts w:hint="eastAsia" w:ascii="宋体" w:hAnsi="宋体" w:eastAsia="宋体" w:cs="宋体"/>
          <w:sz w:val="24"/>
          <w:szCs w:val="24"/>
        </w:rPr>
      </w:pPr>
      <w:r>
        <w:rPr>
          <w:rFonts w:hint="eastAsia" w:ascii="宋体" w:hAnsi="宋体" w:eastAsia="宋体" w:cs="宋体"/>
          <w:sz w:val="24"/>
          <w:szCs w:val="24"/>
        </w:rPr>
        <w:t>5、验收依据：</w:t>
      </w:r>
    </w:p>
    <w:p w14:paraId="4CB8D319">
      <w:pPr>
        <w:pageBreakBefore w:val="0"/>
        <w:kinsoku/>
        <w:wordWrap/>
        <w:overflowPunct/>
        <w:topLinePunct w:val="0"/>
        <w:bidi w:val="0"/>
        <w:snapToGrid w:val="0"/>
        <w:spacing w:line="400" w:lineRule="exact"/>
        <w:ind w:right="893" w:firstLine="480" w:firstLineChars="200"/>
        <w:rPr>
          <w:rFonts w:hint="eastAsia" w:ascii="宋体" w:hAnsi="宋体" w:eastAsia="宋体" w:cs="宋体"/>
          <w:sz w:val="24"/>
          <w:szCs w:val="24"/>
        </w:rPr>
      </w:pPr>
      <w:r>
        <w:rPr>
          <w:rFonts w:hint="eastAsia" w:ascii="宋体" w:hAnsi="宋体" w:eastAsia="宋体" w:cs="宋体"/>
          <w:sz w:val="24"/>
          <w:szCs w:val="24"/>
        </w:rPr>
        <w:t>5-1、合同；</w:t>
      </w:r>
    </w:p>
    <w:p w14:paraId="6CFEC888">
      <w:pPr>
        <w:pageBreakBefore w:val="0"/>
        <w:kinsoku/>
        <w:wordWrap/>
        <w:overflowPunct/>
        <w:topLinePunct w:val="0"/>
        <w:bidi w:val="0"/>
        <w:snapToGrid w:val="0"/>
        <w:spacing w:line="400" w:lineRule="exact"/>
        <w:ind w:right="893" w:firstLine="480" w:firstLineChars="200"/>
        <w:rPr>
          <w:rFonts w:hint="eastAsia" w:ascii="宋体" w:hAnsi="宋体" w:eastAsia="宋体" w:cs="宋体"/>
          <w:sz w:val="24"/>
          <w:szCs w:val="24"/>
        </w:rPr>
      </w:pPr>
      <w:r>
        <w:rPr>
          <w:rFonts w:hint="eastAsia" w:ascii="宋体" w:hAnsi="宋体" w:eastAsia="宋体" w:cs="宋体"/>
          <w:sz w:val="24"/>
          <w:szCs w:val="24"/>
        </w:rPr>
        <w:t>5-2、国内相应的标准、规范；</w:t>
      </w:r>
    </w:p>
    <w:p w14:paraId="6AF6B87A">
      <w:pPr>
        <w:pageBreakBefore w:val="0"/>
        <w:kinsoku/>
        <w:wordWrap/>
        <w:overflowPunct/>
        <w:topLinePunct w:val="0"/>
        <w:bidi w:val="0"/>
        <w:snapToGrid w:val="0"/>
        <w:spacing w:line="400" w:lineRule="exact"/>
        <w:ind w:right="-65" w:firstLine="480" w:firstLineChars="200"/>
        <w:rPr>
          <w:rFonts w:hint="eastAsia" w:ascii="宋体" w:hAnsi="宋体" w:eastAsia="宋体" w:cs="宋体"/>
          <w:sz w:val="24"/>
          <w:szCs w:val="24"/>
        </w:rPr>
      </w:pPr>
      <w:r>
        <w:rPr>
          <w:rFonts w:hint="eastAsia" w:ascii="宋体" w:hAnsi="宋体" w:eastAsia="宋体" w:cs="宋体"/>
          <w:sz w:val="24"/>
          <w:szCs w:val="24"/>
        </w:rPr>
        <w:t>5-3、招标文件、投标文件、承诺。</w:t>
      </w:r>
    </w:p>
    <w:p w14:paraId="227E0BD7">
      <w:pPr>
        <w:pageBreakBefore w:val="0"/>
        <w:kinsoku/>
        <w:wordWrap/>
        <w:overflowPunct/>
        <w:topLinePunct w:val="0"/>
        <w:bidi w:val="0"/>
        <w:spacing w:line="400" w:lineRule="exact"/>
        <w:rPr>
          <w:rFonts w:hint="eastAsia" w:ascii="宋体" w:hAnsi="宋体" w:eastAsia="宋体" w:cs="宋体"/>
          <w:sz w:val="24"/>
          <w:szCs w:val="24"/>
        </w:rPr>
      </w:pPr>
      <w:r>
        <w:rPr>
          <w:rFonts w:hint="eastAsia" w:ascii="宋体" w:hAnsi="宋体" w:eastAsia="宋体" w:cs="宋体"/>
          <w:sz w:val="24"/>
          <w:szCs w:val="24"/>
        </w:rPr>
        <w:br w:type="page"/>
      </w:r>
    </w:p>
    <w:p w14:paraId="4435096A">
      <w:pPr>
        <w:pStyle w:val="2"/>
        <w:pageBreakBefore w:val="0"/>
        <w:numPr>
          <w:ilvl w:val="0"/>
          <w:numId w:val="0"/>
        </w:numPr>
        <w:kinsoku/>
        <w:wordWrap/>
        <w:overflowPunct/>
        <w:topLinePunct w:val="0"/>
        <w:bidi w:val="0"/>
        <w:spacing w:before="0" w:after="0" w:line="400" w:lineRule="exact"/>
        <w:ind w:leftChars="0"/>
        <w:jc w:val="center"/>
        <w:rPr>
          <w:rFonts w:hint="eastAsia" w:ascii="宋体" w:hAnsi="宋体" w:eastAsia="宋体" w:cs="宋体"/>
          <w:b/>
          <w:bCs/>
          <w:kern w:val="2"/>
          <w:sz w:val="24"/>
          <w:szCs w:val="24"/>
        </w:rPr>
      </w:pPr>
      <w:r>
        <w:rPr>
          <w:rFonts w:hint="eastAsia" w:ascii="宋体" w:hAnsi="宋体" w:eastAsia="宋体" w:cs="宋体"/>
          <w:b/>
          <w:bCs/>
          <w:kern w:val="2"/>
          <w:sz w:val="24"/>
          <w:szCs w:val="24"/>
        </w:rPr>
        <w:t>采购需求，货物清单与技术参数要求</w:t>
      </w:r>
    </w:p>
    <w:p w14:paraId="19BA2754">
      <w:pPr>
        <w:pStyle w:val="4"/>
        <w:pageBreakBefore w:val="0"/>
        <w:kinsoku/>
        <w:wordWrap/>
        <w:overflowPunct/>
        <w:topLinePunct w:val="0"/>
        <w:bidi w:val="0"/>
        <w:spacing w:before="0" w:after="0" w:line="400" w:lineRule="exact"/>
        <w:rPr>
          <w:rFonts w:hint="eastAsia" w:ascii="宋体" w:hAnsi="宋体" w:eastAsia="宋体" w:cs="宋体"/>
          <w:sz w:val="24"/>
          <w:szCs w:val="24"/>
        </w:rPr>
      </w:pPr>
      <w:r>
        <w:rPr>
          <w:rFonts w:hint="eastAsia" w:ascii="宋体" w:hAnsi="宋体" w:eastAsia="宋体" w:cs="宋体"/>
          <w:sz w:val="24"/>
          <w:szCs w:val="24"/>
        </w:rPr>
        <w:t>总体要求</w:t>
      </w:r>
    </w:p>
    <w:p w14:paraId="38812F50">
      <w:pPr>
        <w:pStyle w:val="34"/>
        <w:pageBreakBefore w:val="0"/>
        <w:kinsoku/>
        <w:wordWrap/>
        <w:overflowPunct/>
        <w:topLinePunct w:val="0"/>
        <w:bidi w:val="0"/>
        <w:spacing w:line="400" w:lineRule="exact"/>
        <w:ind w:firstLine="240"/>
        <w:rPr>
          <w:rFonts w:hint="eastAsia" w:ascii="宋体" w:hAnsi="宋体" w:eastAsia="宋体" w:cs="宋体"/>
          <w:sz w:val="24"/>
          <w:szCs w:val="24"/>
        </w:rPr>
      </w:pPr>
      <w:r>
        <w:rPr>
          <w:rFonts w:hint="eastAsia" w:ascii="宋体" w:hAnsi="宋体" w:eastAsia="宋体" w:cs="宋体"/>
          <w:sz w:val="24"/>
          <w:szCs w:val="24"/>
        </w:rPr>
        <w:t>一、展柜所用材料必须对文物稳定安全；</w:t>
      </w:r>
    </w:p>
    <w:p w14:paraId="678E966F">
      <w:pPr>
        <w:pStyle w:val="34"/>
        <w:pageBreakBefore w:val="0"/>
        <w:kinsoku/>
        <w:wordWrap/>
        <w:overflowPunct/>
        <w:topLinePunct w:val="0"/>
        <w:bidi w:val="0"/>
        <w:spacing w:line="400" w:lineRule="exact"/>
        <w:ind w:firstLine="240"/>
        <w:rPr>
          <w:rFonts w:hint="eastAsia" w:ascii="宋体" w:hAnsi="宋体" w:eastAsia="宋体" w:cs="宋体"/>
          <w:sz w:val="24"/>
          <w:szCs w:val="24"/>
        </w:rPr>
      </w:pPr>
      <w:r>
        <w:rPr>
          <w:rFonts w:hint="eastAsia" w:ascii="宋体" w:hAnsi="宋体" w:eastAsia="宋体" w:cs="宋体"/>
          <w:sz w:val="24"/>
          <w:szCs w:val="24"/>
        </w:rPr>
        <w:t>二、展柜中照明使用灯光必须对文物安全；</w:t>
      </w:r>
    </w:p>
    <w:p w14:paraId="3D14D588">
      <w:pPr>
        <w:pStyle w:val="34"/>
        <w:pageBreakBefore w:val="0"/>
        <w:kinsoku/>
        <w:wordWrap/>
        <w:overflowPunct/>
        <w:topLinePunct w:val="0"/>
        <w:bidi w:val="0"/>
        <w:spacing w:line="400" w:lineRule="exact"/>
        <w:ind w:firstLine="240"/>
        <w:rPr>
          <w:rFonts w:hint="eastAsia" w:ascii="宋体" w:hAnsi="宋体" w:eastAsia="宋体" w:cs="宋体"/>
          <w:sz w:val="24"/>
          <w:szCs w:val="24"/>
        </w:rPr>
      </w:pPr>
      <w:r>
        <w:rPr>
          <w:rFonts w:hint="eastAsia" w:ascii="宋体" w:hAnsi="宋体" w:eastAsia="宋体" w:cs="宋体"/>
          <w:sz w:val="24"/>
          <w:szCs w:val="24"/>
        </w:rPr>
        <w:t>三、展柜材料必须坚固耐用；</w:t>
      </w:r>
    </w:p>
    <w:p w14:paraId="11D70246">
      <w:pPr>
        <w:pStyle w:val="34"/>
        <w:pageBreakBefore w:val="0"/>
        <w:kinsoku/>
        <w:wordWrap/>
        <w:overflowPunct/>
        <w:topLinePunct w:val="0"/>
        <w:bidi w:val="0"/>
        <w:spacing w:line="400" w:lineRule="exact"/>
        <w:ind w:firstLine="240"/>
        <w:rPr>
          <w:rFonts w:hint="eastAsia" w:ascii="宋体" w:hAnsi="宋体" w:eastAsia="宋体" w:cs="宋体"/>
          <w:sz w:val="24"/>
          <w:szCs w:val="24"/>
        </w:rPr>
      </w:pPr>
      <w:r>
        <w:rPr>
          <w:rFonts w:hint="eastAsia" w:ascii="宋体" w:hAnsi="宋体" w:eastAsia="宋体" w:cs="宋体"/>
          <w:sz w:val="24"/>
          <w:szCs w:val="24"/>
        </w:rPr>
        <w:t>四、展柜外观美观大方，颜色均匀统一，表面光滑平整，涂层色泽一致，无划伤、露底、变形等明显缺陷，保持原展陈风格不变；</w:t>
      </w:r>
    </w:p>
    <w:p w14:paraId="607B0797">
      <w:pPr>
        <w:pStyle w:val="34"/>
        <w:pageBreakBefore w:val="0"/>
        <w:kinsoku/>
        <w:wordWrap/>
        <w:overflowPunct/>
        <w:topLinePunct w:val="0"/>
        <w:bidi w:val="0"/>
        <w:spacing w:line="400" w:lineRule="exact"/>
        <w:ind w:firstLine="240"/>
        <w:rPr>
          <w:rFonts w:hint="eastAsia" w:ascii="宋体" w:hAnsi="宋体" w:eastAsia="宋体" w:cs="宋体"/>
          <w:sz w:val="24"/>
          <w:szCs w:val="24"/>
        </w:rPr>
      </w:pPr>
      <w:r>
        <w:rPr>
          <w:rFonts w:hint="eastAsia" w:ascii="宋体" w:hAnsi="宋体" w:eastAsia="宋体" w:cs="宋体"/>
          <w:sz w:val="24"/>
          <w:szCs w:val="24"/>
        </w:rPr>
        <w:t>五、展柜的设计结合原展陈设计及文物特点进行优化设计，满足以文物为中心的要求；</w:t>
      </w:r>
    </w:p>
    <w:p w14:paraId="39B001B9">
      <w:pPr>
        <w:pStyle w:val="34"/>
        <w:pageBreakBefore w:val="0"/>
        <w:kinsoku/>
        <w:wordWrap/>
        <w:overflowPunct/>
        <w:topLinePunct w:val="0"/>
        <w:bidi w:val="0"/>
        <w:spacing w:line="400" w:lineRule="exact"/>
        <w:ind w:firstLine="240"/>
        <w:rPr>
          <w:rFonts w:hint="eastAsia" w:ascii="宋体" w:hAnsi="宋体" w:eastAsia="宋体" w:cs="宋体"/>
          <w:sz w:val="24"/>
          <w:szCs w:val="24"/>
        </w:rPr>
      </w:pPr>
      <w:r>
        <w:rPr>
          <w:rFonts w:hint="eastAsia" w:ascii="宋体" w:hAnsi="宋体" w:eastAsia="宋体" w:cs="宋体"/>
          <w:sz w:val="24"/>
          <w:szCs w:val="24"/>
        </w:rPr>
        <w:t>六、展柜开启采用简便、安全的操作方式，满足一人独立操作开启。展柜门的开启应满足文物安全取放需求；</w:t>
      </w:r>
    </w:p>
    <w:p w14:paraId="57055276">
      <w:pPr>
        <w:pStyle w:val="34"/>
        <w:pageBreakBefore w:val="0"/>
        <w:kinsoku/>
        <w:wordWrap/>
        <w:overflowPunct/>
        <w:topLinePunct w:val="0"/>
        <w:bidi w:val="0"/>
        <w:spacing w:line="400" w:lineRule="exact"/>
        <w:ind w:firstLine="240"/>
        <w:rPr>
          <w:rFonts w:hint="eastAsia" w:ascii="宋体" w:hAnsi="宋体" w:eastAsia="宋体" w:cs="宋体"/>
          <w:sz w:val="24"/>
          <w:szCs w:val="24"/>
        </w:rPr>
      </w:pPr>
      <w:r>
        <w:rPr>
          <w:rFonts w:hint="eastAsia" w:ascii="宋体" w:hAnsi="宋体" w:eastAsia="宋体" w:cs="宋体"/>
          <w:sz w:val="24"/>
          <w:szCs w:val="24"/>
        </w:rPr>
        <w:t>七、展柜内配置的温湿度监测终端、调湿机兼容馆内现有系统，具备无线组网、远程监控功能；</w:t>
      </w:r>
    </w:p>
    <w:p w14:paraId="484FBE74">
      <w:pPr>
        <w:pStyle w:val="34"/>
        <w:pageBreakBefore w:val="0"/>
        <w:kinsoku/>
        <w:wordWrap/>
        <w:overflowPunct/>
        <w:topLinePunct w:val="0"/>
        <w:bidi w:val="0"/>
        <w:spacing w:line="400" w:lineRule="exact"/>
        <w:ind w:firstLine="240"/>
        <w:rPr>
          <w:rFonts w:hint="eastAsia" w:ascii="宋体" w:hAnsi="宋体" w:eastAsia="宋体" w:cs="宋体"/>
          <w:sz w:val="24"/>
          <w:szCs w:val="24"/>
        </w:rPr>
      </w:pPr>
      <w:r>
        <w:rPr>
          <w:rFonts w:hint="eastAsia" w:ascii="宋体" w:hAnsi="宋体" w:eastAsia="宋体" w:cs="宋体"/>
          <w:sz w:val="24"/>
          <w:szCs w:val="24"/>
        </w:rPr>
        <w:t>八、包含原展厅展柜拆除、装修还原等所有费用。</w:t>
      </w:r>
    </w:p>
    <w:p w14:paraId="5BB652A1">
      <w:pPr>
        <w:pStyle w:val="4"/>
        <w:pageBreakBefore w:val="0"/>
        <w:kinsoku/>
        <w:wordWrap/>
        <w:overflowPunct/>
        <w:topLinePunct w:val="0"/>
        <w:bidi w:val="0"/>
        <w:spacing w:before="0" w:after="0" w:line="400" w:lineRule="exact"/>
        <w:rPr>
          <w:rFonts w:hint="eastAsia" w:ascii="宋体" w:hAnsi="宋体" w:eastAsia="宋体" w:cs="宋体"/>
          <w:sz w:val="24"/>
          <w:szCs w:val="24"/>
        </w:rPr>
      </w:pPr>
      <w:r>
        <w:rPr>
          <w:rFonts w:hint="eastAsia" w:ascii="宋体" w:hAnsi="宋体" w:eastAsia="宋体" w:cs="宋体"/>
          <w:sz w:val="24"/>
          <w:szCs w:val="24"/>
        </w:rPr>
        <w:t>沿墙通柜</w:t>
      </w:r>
    </w:p>
    <w:p w14:paraId="7371FCC9">
      <w:pPr>
        <w:pStyle w:val="45"/>
        <w:pageBreakBefore w:val="0"/>
        <w:numPr>
          <w:ilvl w:val="0"/>
          <w:numId w:val="5"/>
        </w:numPr>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展柜基本要求：</w:t>
      </w:r>
    </w:p>
    <w:p w14:paraId="4A0884EA">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（1）展柜结构：展柜骨架采用不低于40*40*3mm规格的镀锌矩形管，焊接间距均匀、牢固。矩管经焊接后，焊接牢固，外表光滑平整，外露焊缝处无焊瘤、毛刺和 焊穿、漏焊等缺陷，焊接后其屈服强度、抗拉强度等性能满足标准要求;外形尺寸公差≤0.5mm，直角误差≤0.5mm；柜体结构水平及垂直度±≤3mm，底板承载能力每平方米大于300kg，外形尺寸最大允许偏差为+3mm或-1mm；</w:t>
      </w:r>
    </w:p>
    <w:p w14:paraId="5A2BCEC8">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2）展柜外饰面要求：展柜外饰面采用不低于1.5mm的钢板，上下检修门采用不低于1.2mm的钢板经专业设备的切割、冲压、刨槽、折弯成型后，采用熔焊焊接等工艺熔焊焊接确保间距均匀、牢固。焊接牢固，外表光滑平整，外露焊缝处不得有焊瘤、毛刺和焊穿、漏焊等缺陷，焊接后其屈服强度、抗拉强度等性能满足标准要求；</w:t>
      </w:r>
    </w:p>
    <w:p w14:paraId="72794027">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3）型材要求：展柜使用的玻璃型材均符合6063牌号，时效状态为T5/T6，壁厚不小于3mm。型材抗拉强度Rm＞160MPa，规定非比例延伸强度Rp0.2＞110MPa，断后伸长率A＞8%，韦氏硬度HW应＞8。框架采用优质冷拔钢型材，外框型材不大于0.5mm的间隙；</w:t>
      </w:r>
    </w:p>
    <w:p w14:paraId="1C27B157">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4）喷涂要求：展柜所有金属材料表面均做防锈防腐蚀处理，采用静电粉末喷涂工艺表面喷涂处理，所有饰面金属色差满足＜0.5，耐盐酸性(NSS)测试达到标准要求,外观等级为10级；耐冲击性达到标准要求，无裂纹无皱纹或剥落等现象；铅笔硬度测试达到标准要求，硬度≥2H；划格试验测试达到标准要求，不产生脱落现象；膜层表面无气泡或其他明显变化，整体光滑平整、无橘皮褶皱等现象；</w:t>
      </w:r>
    </w:p>
    <w:p w14:paraId="7C8361CF">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5）展柜密封胶条要求：密封胶条应采用“O”型有机硅，不含任何酸性物质，表面光滑、平直、无机械杂质。展柜密封胶条拉伸强度不小于9.0MPa；断裂伸长率不小于350%；撕裂强度不小于16KN/M；永久变形率不大于5%；硬度为HA60±5。具备抗振、抗断裂、抗撕裂、抗老化、抗压缩、寿命持久、不易变形；</w:t>
      </w:r>
    </w:p>
    <w:p w14:paraId="7002086E">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（6）展柜内织物要求：柜内使用的织物为纯棉环保材料，满足环保要求，织物无胶固定于面板，所有材料及工序符合博物馆保存标准；</w:t>
      </w:r>
    </w:p>
    <w:p w14:paraId="48AB8574">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7）展柜安全性能：1）展柜结构安全符合标准要求，固定部位牢固无松动；展柜的顶板和底板在持续加载试验后各部位开关灵活性，最大挠度不大于0.5%、强度试验后所有部件无损坏、变形、紧固件无松动；2）展柜防盗安全符合馆藏、展陈专业专用锁具以及文物安全管理要求，锁具具有高性能、防盗窃功能，安装位置具有隐蔽性、防盗性高，钥匙拔出静拉力不大于10N；</w:t>
      </w:r>
    </w:p>
    <w:p w14:paraId="1021F853">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（8）展陈空间空气质量：柜内甲醛含量≤0.05mg/m³、苯含量≤0.01mg/m³、TVOC 含量≤0.05mg/m³；</w:t>
      </w:r>
    </w:p>
    <w:p w14:paraId="209C3E50">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（9）展柜密封性能：展柜整体为密闭型结构，无漏光现象。展柜满足密封性能要求及博物馆需求；展柜内换气率≤0.8d</w:t>
      </w:r>
      <w:r>
        <w:rPr>
          <w:rFonts w:hint="eastAsia" w:ascii="宋体" w:hAnsi="宋体" w:eastAsia="宋体" w:cs="宋体"/>
          <w:color w:val="auto"/>
          <w:sz w:val="24"/>
          <w:szCs w:val="24"/>
          <w:vertAlign w:val="superscript"/>
        </w:rPr>
        <w:t>-1</w:t>
      </w:r>
      <w:r>
        <w:rPr>
          <w:rFonts w:hint="eastAsia" w:ascii="宋体" w:hAnsi="宋体" w:eastAsia="宋体" w:cs="宋体"/>
          <w:color w:val="auto"/>
          <w:sz w:val="24"/>
          <w:szCs w:val="24"/>
        </w:rPr>
        <w:t>；</w:t>
      </w:r>
    </w:p>
    <w:p w14:paraId="67075590">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2、展柜玻璃：</w:t>
      </w:r>
    </w:p>
    <w:p w14:paraId="386237D0">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（1）展柜玻璃采用低反射夹层玻璃，玻璃配置8+0.89+8规格型号，保证展柜的整体安全性；</w:t>
      </w:r>
    </w:p>
    <w:p w14:paraId="6E9BB653">
      <w:pPr>
        <w:pStyle w:val="45"/>
        <w:pageBreakBefore w:val="0"/>
        <w:kinsoku/>
        <w:wordWrap/>
        <w:overflowPunct/>
        <w:topLinePunct w:val="0"/>
        <w:bidi w:val="0"/>
        <w:spacing w:line="400" w:lineRule="exact"/>
        <w:rPr>
          <w:rFonts w:hint="eastAsia" w:ascii="宋体" w:hAnsi="宋体" w:eastAsia="宋体" w:cs="宋体"/>
          <w:color w:val="auto"/>
          <w:sz w:val="24"/>
          <w:szCs w:val="24"/>
        </w:rPr>
      </w:pPr>
      <w:bookmarkStart w:id="89" w:name="_Hlk193890053"/>
      <w:r>
        <w:rPr>
          <w:rFonts w:hint="eastAsia" w:ascii="宋体" w:hAnsi="宋体" w:eastAsia="宋体" w:cs="宋体"/>
          <w:color w:val="auto"/>
          <w:sz w:val="24"/>
          <w:szCs w:val="24"/>
        </w:rPr>
        <w:t>★</w:t>
      </w:r>
      <w:bookmarkEnd w:id="89"/>
      <w:r>
        <w:rPr>
          <w:rFonts w:hint="eastAsia" w:ascii="宋体" w:hAnsi="宋体" w:eastAsia="宋体" w:cs="宋体"/>
          <w:color w:val="auto"/>
          <w:sz w:val="24"/>
          <w:szCs w:val="24"/>
        </w:rPr>
        <w:t>（2）玻璃安全性能满足以下要求：</w:t>
      </w:r>
    </w:p>
    <w:p w14:paraId="3B3AC80B">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耐冲击性能：产品通过落球冲击剥离性能检测、霰弹袋冲击性能检测；</w:t>
      </w:r>
    </w:p>
    <w:p w14:paraId="74B51874">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耐久性能：产品通过耐热、耐湿、耐辐照性检测；</w:t>
      </w:r>
    </w:p>
    <w:p w14:paraId="612E2B5F">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sz w:val="24"/>
          <w:szCs w:val="24"/>
        </w:rPr>
        <w:t>(需提供具有 CMA/CNAS 标识的检测报告)</w:t>
      </w:r>
    </w:p>
    <w:p w14:paraId="5E204F78">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★（3）玻璃光学性能满足以下要求；</w:t>
      </w:r>
    </w:p>
    <w:p w14:paraId="60B5FCD2">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A.可见光透射比≥97%；</w:t>
      </w:r>
    </w:p>
    <w:p w14:paraId="7C304CC9">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 xml:space="preserve">B.可见光反射比≤1%； </w:t>
      </w:r>
    </w:p>
    <w:p w14:paraId="0A8AFC6F">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C.紫外线透射比≤0.1%；</w:t>
      </w:r>
    </w:p>
    <w:p w14:paraId="3FE2AC3B">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D.黄色指数≤1；</w:t>
      </w:r>
    </w:p>
    <w:p w14:paraId="521437D4">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E.雾度≤0.15%；</w:t>
      </w:r>
    </w:p>
    <w:p w14:paraId="7B243A86">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F.显色指数：≥99。</w:t>
      </w:r>
    </w:p>
    <w:p w14:paraId="3C74F8A0">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sz w:val="24"/>
          <w:szCs w:val="24"/>
        </w:rPr>
        <w:t>(需提供具有 CMA/CNAS 标识的检测报告)</w:t>
      </w:r>
    </w:p>
    <w:p w14:paraId="7C9E1463">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 xml:space="preserve">3、展柜内部背板： </w:t>
      </w:r>
    </w:p>
    <w:p w14:paraId="01CE2C8D">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展柜内部背板+底板采用1.2mm钢板+厚度≥15mm的阻燃胶合板，其含水合格指标为8.5%～9.5%；其含水合格率为100%，胶合强度≥1.0Mpa；甲醛含量应满足＜0.02mg/m3；且经防火、防腐、防潮等处理，其外层需全部热压包覆铝膜后包裹织物。</w:t>
      </w:r>
    </w:p>
    <w:p w14:paraId="637FD276">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 xml:space="preserve">4、展柜密封胶、粘接材料： </w:t>
      </w:r>
    </w:p>
    <w:p w14:paraId="1552D8ED">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1）展柜粘结材料应采用双组份环保型密封胶，性能稳定、无溶剂、无异味、不含氰酸盐，不散发任何酸性或有害气体；防龟裂、粉化，热失重比列≦10%；（2）展柜粘接材料的拉伸粘接强度≥0.6Mpa（23℃）；且最大拉伸伸长强度时伸长率≥100%，粘接破坏面积≦5%，具良好的特强粘接力和弹性，外观、下垂度、挤出性、表干时间和硬度；</w:t>
      </w:r>
      <w:r>
        <w:rPr>
          <w:rFonts w:hint="eastAsia" w:ascii="宋体" w:hAnsi="宋体" w:eastAsia="宋体" w:cs="宋体"/>
          <w:sz w:val="24"/>
          <w:szCs w:val="24"/>
        </w:rPr>
        <w:br w:type="textWrapping"/>
      </w:r>
      <w:r>
        <w:rPr>
          <w:rFonts w:hint="eastAsia" w:ascii="宋体" w:hAnsi="宋体" w:eastAsia="宋体" w:cs="宋体"/>
          <w:color w:val="auto"/>
          <w:sz w:val="24"/>
          <w:szCs w:val="24"/>
        </w:rPr>
        <w:t>5、灯光配置</w:t>
      </w:r>
    </w:p>
    <w:p w14:paraId="79E90798">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（1）展柜灯光配置符合相关标准和要求，应结合展陈环境，运用先进的照明设计理念，从文物保护、视觉需求及展示艺术效果出发，合理并有针对性地配置灯光；</w:t>
      </w:r>
    </w:p>
    <w:p w14:paraId="4F644E28">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（2）照明设备合理安装，具有通风散热措施，电器设施空间与展陈空间分离。变压器、控制开关等电器设备应进行过载保护装置；</w:t>
      </w:r>
    </w:p>
    <w:p w14:paraId="46098FEE">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（3）展厅内展品的照明根据展品的类别确定，且照度标准值不大于展厅展品照度标准值规定；</w:t>
      </w:r>
    </w:p>
    <w:p w14:paraId="10AF3D88">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（4）根据展陈环境、展柜设计、展品保护、博物馆运营充分考虑，对展柜进行照明设计，合理设计展柜灯光配置并进行说明；</w:t>
      </w:r>
    </w:p>
    <w:p w14:paraId="5A47E197">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（5）照明设备满足以下要求：</w:t>
      </w:r>
    </w:p>
    <w:p w14:paraId="06C3E478">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 xml:space="preserve">LED轨道射灯：1）功率：24W；2）外壳材质：氧化铝合金，无外露明线，表面喷粉处理，确保颜色持久、耐磨损性强；3）色温： 3000K±300K；4）色容差：SDCM&lt;3；5）显色指数：CRI≥97，RA≥98；6）光束角：8°-50°； 7）调光范围：0%—100%,调光平滑无频闪;8）使用寿命：≥50000H; 9）安装方式：四线三回路轨道; </w:t>
      </w:r>
    </w:p>
    <w:p w14:paraId="47F43C80">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LED轨道洗墙灯：1）功率：10W；2）外壳材质：氧化铝合金，无外露明线，表面喷粉处理，确保颜色持久、耐磨损性强；3）色温： 3000K±300K； 4）显色指数：CRI≥95，RA≥95； 5）调光范围：0%—100%,调光平滑无频闪;6）使用寿命：≥50000H; 7）安装方式：四线三回路轨道;</w:t>
      </w:r>
    </w:p>
    <w:p w14:paraId="1461F62B">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6、开启方式：展柜开启采用简便、安全的操作方式，满足一人独立操作开启。展柜门的开启应满足文物安全取放需求。采用超静音电动推出，手动侧滑，可APP控制；停电配置应急开启方式。</w:t>
      </w:r>
    </w:p>
    <w:p w14:paraId="079E8B7E">
      <w:pPr>
        <w:pStyle w:val="45"/>
        <w:pageBreakBefore w:val="0"/>
        <w:kinsoku/>
        <w:wordWrap/>
        <w:overflowPunct/>
        <w:topLinePunct w:val="0"/>
        <w:bidi w:val="0"/>
        <w:spacing w:line="400" w:lineRule="exact"/>
        <w:rPr>
          <w:rFonts w:hint="eastAsia" w:ascii="宋体" w:hAnsi="宋体" w:eastAsia="宋体" w:cs="宋体"/>
          <w:sz w:val="24"/>
          <w:szCs w:val="24"/>
        </w:rPr>
      </w:pPr>
      <w:r>
        <w:rPr>
          <w:rFonts w:hint="eastAsia" w:ascii="宋体" w:hAnsi="宋体" w:eastAsia="宋体" w:cs="宋体"/>
          <w:color w:val="auto"/>
          <w:sz w:val="24"/>
          <w:szCs w:val="24"/>
        </w:rPr>
        <w:t>★</w:t>
      </w:r>
      <w:r>
        <w:rPr>
          <w:rFonts w:hint="eastAsia" w:ascii="宋体" w:hAnsi="宋体" w:eastAsia="宋体" w:cs="宋体"/>
          <w:sz w:val="24"/>
          <w:szCs w:val="24"/>
        </w:rPr>
        <w:t>7、展柜配置温湿度监测终端，可与控制中心预防性保护系统互联互通。温度测量范围：-5～+50℃，温度测量准确度：±0.3 (10℃～30℃)，±0.9 (10℃以下或30℃以上)；湿度测量范围：10-90％RH，湿度测量准确度±2 (40%RH～80%RH)，±4 (40%RH 以下或80%RH 以上)。(需提供具有 CMA/CNAS 标识的检测报告)</w:t>
      </w:r>
    </w:p>
    <w:p w14:paraId="42F7C9C2">
      <w:pPr>
        <w:pStyle w:val="34"/>
        <w:pageBreakBefore w:val="0"/>
        <w:kinsoku/>
        <w:wordWrap/>
        <w:overflowPunct/>
        <w:topLinePunct w:val="0"/>
        <w:bidi w:val="0"/>
        <w:spacing w:line="400" w:lineRule="exact"/>
        <w:ind w:firstLine="0" w:firstLineChars="0"/>
        <w:rPr>
          <w:rFonts w:hint="eastAsia" w:ascii="宋体" w:hAnsi="宋体" w:eastAsia="宋体" w:cs="宋体"/>
          <w:sz w:val="24"/>
          <w:szCs w:val="24"/>
        </w:rPr>
      </w:pPr>
      <w:r>
        <w:rPr>
          <w:rFonts w:hint="eastAsia" w:ascii="宋体" w:hAnsi="宋体" w:eastAsia="宋体" w:cs="宋体"/>
          <w:sz w:val="24"/>
          <w:szCs w:val="24"/>
        </w:rPr>
        <w:t>8、展柜配置可视化控制面板，可显示柜内环境数据（不限于温湿度、甲醛、VOC、光照紫外等数据），可控制展柜照明、亮度、玻璃门开关、调控设备运行状态，可与控制中心预防性保护系统互联互通；</w:t>
      </w:r>
    </w:p>
    <w:p w14:paraId="068356C6">
      <w:pPr>
        <w:pStyle w:val="4"/>
        <w:pageBreakBefore w:val="0"/>
        <w:kinsoku/>
        <w:wordWrap/>
        <w:overflowPunct/>
        <w:topLinePunct w:val="0"/>
        <w:bidi w:val="0"/>
        <w:spacing w:before="0" w:after="0" w:line="400" w:lineRule="exact"/>
        <w:rPr>
          <w:rFonts w:hint="eastAsia" w:ascii="宋体" w:hAnsi="宋体" w:eastAsia="宋体" w:cs="宋体"/>
          <w:sz w:val="24"/>
          <w:szCs w:val="24"/>
        </w:rPr>
      </w:pPr>
      <w:r>
        <w:rPr>
          <w:rFonts w:hint="eastAsia" w:ascii="宋体" w:hAnsi="宋体" w:eastAsia="宋体" w:cs="宋体"/>
          <w:sz w:val="24"/>
          <w:szCs w:val="24"/>
        </w:rPr>
        <w:t>独立展柜</w:t>
      </w:r>
    </w:p>
    <w:p w14:paraId="4A866A06">
      <w:pPr>
        <w:pStyle w:val="45"/>
        <w:pageBreakBefore w:val="0"/>
        <w:numPr>
          <w:ilvl w:val="0"/>
          <w:numId w:val="6"/>
        </w:numPr>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展柜基本要求：</w:t>
      </w:r>
    </w:p>
    <w:p w14:paraId="708CBC78">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（1）展柜结构：展柜骨架采用不低于40*40*3mm规格的镀锌矩形管，焊接间距均匀、牢固。矩管经焊接后，焊接牢固，外表光滑平整，外露焊缝处无焊瘤、毛刺和 焊穿、漏焊等缺陷，焊接后其屈服强度、抗拉强度等性能满足标准要求;外形尺寸公差≤0.5mm，直角误差≤0.5mm；柜体结构水平及垂直度±≤3mm，底板承载能力每平方米大于300kg，外形尺寸最大允许偏差为+3mm或-1mm；</w:t>
      </w:r>
    </w:p>
    <w:p w14:paraId="323C974F">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2）展柜外饰面要求：展柜外饰面采用不低于1.5mm的钢板，下检修门采用不低于1.2mm的钢板经专业设备的切割、冲压、刨槽、折弯成型后，采用熔焊焊接等工艺熔焊焊接确保间距均匀、牢固。焊接牢固，外表光滑平整，外露焊缝处不得有焊瘤、毛刺和焊穿、漏焊等缺陷，焊接后其屈服强度、抗拉强度等性能满足标准要求；</w:t>
      </w:r>
    </w:p>
    <w:p w14:paraId="06B5FA1F">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3）型材要求：展柜使用的玻璃型材均符合6063牌号，时效状态为T5/T6，壁厚不小于3mm。型材抗拉强度Rm＞160MPa，规定非比例延伸强度Rp0.2＞110MPa，断后伸长率A＞8%，韦氏硬度HW应＞8。框架采用优质冷拔钢型材，外框型材不大于0.5mm的间隙；</w:t>
      </w:r>
    </w:p>
    <w:p w14:paraId="182EA6F3">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4）喷涂要求：展柜所有金属材料表面均做防锈防腐蚀处理，采用静电粉末喷涂工艺表面喷涂处理，所有饰面金属色差满足＜0.5，耐盐酸性(NSS)测试达到标准要求,外观等级为10级；耐冲击性达到标准要求，无裂纹无皱纹或剥落等现象；铅笔硬度测试达到标准要求，硬度≥2H；划格试验测试达到标准要求，不产生脱落现象；膜层表面无气泡或其他明显变化，整体光滑平整、无橘皮褶皱等现象；</w:t>
      </w:r>
    </w:p>
    <w:p w14:paraId="143953E5">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5）展柜密封胶条要求：密封胶条应采用“O”型有机硅，不含任何酸性物质，表面光滑、平直、无机械杂质。展柜密封胶条拉伸强度不小于9.0MPa；断裂伸长率不小于350%；撕裂强度不小于16KN/M；永久变形率不大于5%；硬度为HA60±5。具备抗振、抗断裂、抗撕裂、抗老化、抗压缩、寿命持久、不易变形；</w:t>
      </w:r>
    </w:p>
    <w:p w14:paraId="29E965FC">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（6）展柜内织物要求：柜内使用的织物为纯棉环保材料，满足环保要求，织物无胶固定于面板，所有材料及工序符合博物馆保存标准；</w:t>
      </w:r>
    </w:p>
    <w:p w14:paraId="495B6E24">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7）展柜安全性能：1）展柜结构安全符合标准要求，固定部位牢固无松动；展柜的顶板和底板在持续加载试验后各部位开关灵活性，最大挠度不大于0.5%、强度试验后所有部件无损坏、变形、紧固件无松动；2）展柜防盗安全符合馆藏、展陈专业专用锁具以及文物安全管理要求，锁具具有高性能、防盗窃功能，安装位置具有隐蔽性、防盗性高，钥匙拔出静拉力不大于10N；</w:t>
      </w:r>
    </w:p>
    <w:p w14:paraId="73A87141">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（8）展陈空间空气质量：柜内甲醛含量≤0.05mg/m³、苯含量≤0.01mg/m³、TVOC 含量≤0.05mg/m³；</w:t>
      </w:r>
    </w:p>
    <w:p w14:paraId="583D0781">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（9）展柜密封性能：展柜整体为密闭型结构，无漏光现象。展柜满足密封性能要求及博物馆需求；展柜内换气率≤0.5d</w:t>
      </w:r>
      <w:r>
        <w:rPr>
          <w:rFonts w:hint="eastAsia" w:ascii="宋体" w:hAnsi="宋体" w:eastAsia="宋体" w:cs="宋体"/>
          <w:color w:val="auto"/>
          <w:sz w:val="24"/>
          <w:szCs w:val="24"/>
          <w:vertAlign w:val="superscript"/>
        </w:rPr>
        <w:t>-1</w:t>
      </w:r>
      <w:r>
        <w:rPr>
          <w:rFonts w:hint="eastAsia" w:ascii="宋体" w:hAnsi="宋体" w:eastAsia="宋体" w:cs="宋体"/>
          <w:color w:val="auto"/>
          <w:sz w:val="24"/>
          <w:szCs w:val="24"/>
        </w:rPr>
        <w:t>；</w:t>
      </w:r>
    </w:p>
    <w:p w14:paraId="28A80DA8">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2、展柜玻璃：</w:t>
      </w:r>
    </w:p>
    <w:p w14:paraId="2FA0C317">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（1）展柜玻璃采用低反射夹层玻璃，玻璃配置6+0.89+6规格型号，保证展柜的整体安全性；</w:t>
      </w:r>
    </w:p>
    <w:p w14:paraId="22296A92">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★（2）玻璃安全性能满足以下要求：</w:t>
      </w:r>
    </w:p>
    <w:p w14:paraId="27D1EF5C">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耐冲击性能：产品通过落球冲击剥离性能检测、霰弹袋冲击性能检测；</w:t>
      </w:r>
    </w:p>
    <w:p w14:paraId="104DD6B3">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耐久性能：产品通过耐热、耐湿、耐辐照性检测；</w:t>
      </w:r>
    </w:p>
    <w:p w14:paraId="6FB7AF60">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sz w:val="24"/>
          <w:szCs w:val="24"/>
        </w:rPr>
        <w:t>(需提供具有 CMA/CNAS 标识的检测报告)</w:t>
      </w:r>
    </w:p>
    <w:p w14:paraId="6E018AE6">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★（3）玻璃光学性能满足以下要求；</w:t>
      </w:r>
    </w:p>
    <w:p w14:paraId="41218321">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A.可见光透射比≥97.5%；</w:t>
      </w:r>
    </w:p>
    <w:p w14:paraId="0127D092">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 xml:space="preserve">B.可见光反射比≤0.6%； </w:t>
      </w:r>
    </w:p>
    <w:p w14:paraId="7947A7EF">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C.紫外线透射比≤0.3%；</w:t>
      </w:r>
    </w:p>
    <w:p w14:paraId="66D0E1F0">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D.黄色指数≤0.1；</w:t>
      </w:r>
    </w:p>
    <w:p w14:paraId="380B28C8">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E.雾度≤0.1%；</w:t>
      </w:r>
    </w:p>
    <w:p w14:paraId="15171C9C">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F.显色指数：≥99。</w:t>
      </w:r>
    </w:p>
    <w:p w14:paraId="701902AB">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sz w:val="24"/>
          <w:szCs w:val="24"/>
        </w:rPr>
        <w:t>(需提供具有 CMA/CNAS 标识的检测报告)</w:t>
      </w:r>
    </w:p>
    <w:p w14:paraId="560242E1">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 xml:space="preserve">3、展柜内部底板： </w:t>
      </w:r>
    </w:p>
    <w:p w14:paraId="135D38D2">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采用1.2mm钢板+厚度≥15mm的阻燃胶合板，其含水合格指标为8.5%～9.5%；其含水合格率为100%，胶合强度≥1.0Mpa；甲醛含量应满足＜0.02mg/m3；且经防火、防腐、防潮等处理，其外层需全部热压包覆铝膜后包裹织物。</w:t>
      </w:r>
    </w:p>
    <w:p w14:paraId="27B467E9">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 xml:space="preserve">4、展柜密封胶、粘接材料： </w:t>
      </w:r>
    </w:p>
    <w:p w14:paraId="3675433C">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1）展柜粘结材料应采用双组份环保型密封胶，性能稳定、无溶剂、无异味、不含氰酸盐，不散发任何酸性或有害气体；防龟裂、粉化，热失重比列≦10%；（2）展柜粘接材料的拉伸粘接强度≥0.6Mpa（23℃）；且最大拉伸伸长强度时伸长率≥100%，粘接破坏面积≦5%，具良好的特强粘接力和弹性，外观、下垂度、挤出性、表干时间和硬度；</w:t>
      </w:r>
      <w:r>
        <w:rPr>
          <w:rFonts w:hint="eastAsia" w:ascii="宋体" w:hAnsi="宋体" w:eastAsia="宋体" w:cs="宋体"/>
          <w:sz w:val="24"/>
          <w:szCs w:val="24"/>
        </w:rPr>
        <w:br w:type="textWrapping"/>
      </w:r>
      <w:r>
        <w:rPr>
          <w:rFonts w:hint="eastAsia" w:ascii="宋体" w:hAnsi="宋体" w:eastAsia="宋体" w:cs="宋体"/>
          <w:color w:val="auto"/>
          <w:sz w:val="24"/>
          <w:szCs w:val="24"/>
        </w:rPr>
        <w:t>5、灯光配置</w:t>
      </w:r>
    </w:p>
    <w:p w14:paraId="4F75AEAD">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（1）展柜灯光配置符合相关标准和要求，应结合展陈环境，运用先进的照明设计理念，从文物保护、视觉需求及展示艺术效果出发，合理并有针对性地配置灯光；</w:t>
      </w:r>
    </w:p>
    <w:p w14:paraId="1C17755D">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（2）照明设备合理安装，具有通风散热措施，电器设施空间与展陈空间分离。变压器、控制开关等电器设备应进行过载保护装置；</w:t>
      </w:r>
    </w:p>
    <w:p w14:paraId="22CB7E1E">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（3）展厅内展品的照明根据展品的类别确定，且照度标准值不大于展厅展品照度标准值规定；</w:t>
      </w:r>
    </w:p>
    <w:p w14:paraId="50E9674D">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（4）根据展陈环境、展柜设计、展品保护、博物馆运营充分考虑，对展柜进行照明设计，合理设计展柜灯光配置并进行说明；</w:t>
      </w:r>
    </w:p>
    <w:p w14:paraId="3320C8F9">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（5）照明设备满足以下要求：</w:t>
      </w:r>
    </w:p>
    <w:p w14:paraId="43E2CEAF">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LED嵌入式射灯：1）功率：3W；2）外壳材质：氧化铝合金，无外露明线，表面喷粉处理，确保颜色持久、耐磨损性强；3）色温： 3000K±300K； 4）显色指数：CRI≥95，RA≥95； 5）调光范围：0%—100%,调光平滑无频闪;6）使用寿命：≥50000H; 7）安装方式：嵌入式;</w:t>
      </w:r>
    </w:p>
    <w:p w14:paraId="5FFA1E4C">
      <w:pPr>
        <w:pStyle w:val="45"/>
        <w:pageBreakBefore w:val="0"/>
        <w:kinsoku/>
        <w:wordWrap/>
        <w:overflowPunct/>
        <w:topLinePunct w:val="0"/>
        <w:bidi w:val="0"/>
        <w:spacing w:line="400" w:lineRule="exact"/>
        <w:rPr>
          <w:rFonts w:hint="eastAsia" w:ascii="宋体" w:hAnsi="宋体" w:eastAsia="宋体" w:cs="宋体"/>
          <w:color w:val="auto"/>
          <w:sz w:val="24"/>
          <w:szCs w:val="24"/>
        </w:rPr>
      </w:pPr>
      <w:r>
        <w:rPr>
          <w:rFonts w:hint="eastAsia" w:ascii="宋体" w:hAnsi="宋体" w:eastAsia="宋体" w:cs="宋体"/>
          <w:color w:val="auto"/>
          <w:sz w:val="24"/>
          <w:szCs w:val="24"/>
        </w:rPr>
        <w:t>6、开启方式：展柜开启采用简便、安全的操作方式，满足一人独立操作开启。展柜门的开启应满足文物安全取放需求。采用平开门方式开启。</w:t>
      </w:r>
    </w:p>
    <w:p w14:paraId="44A1ED3B">
      <w:pPr>
        <w:pStyle w:val="45"/>
        <w:pageBreakBefore w:val="0"/>
        <w:kinsoku/>
        <w:wordWrap/>
        <w:overflowPunct/>
        <w:topLinePunct w:val="0"/>
        <w:bidi w:val="0"/>
        <w:spacing w:line="400" w:lineRule="exact"/>
        <w:rPr>
          <w:rFonts w:hint="eastAsia" w:ascii="宋体" w:hAnsi="宋体" w:eastAsia="宋体" w:cs="宋体"/>
          <w:sz w:val="24"/>
          <w:szCs w:val="24"/>
        </w:rPr>
      </w:pPr>
      <w:r>
        <w:rPr>
          <w:rFonts w:hint="eastAsia" w:ascii="宋体" w:hAnsi="宋体" w:eastAsia="宋体" w:cs="宋体"/>
          <w:sz w:val="24"/>
          <w:szCs w:val="24"/>
        </w:rPr>
        <w:t>7、展柜配置温湿度监测终端，可与控制中心预防性保护系统互联互通。温度测量范围：-5～+50℃，温度测量准确度：±0.3 (10℃～30℃)，±0.9 (10℃以下或30℃以上)；湿度测量范围：10-90％RH，湿度测量准确度±2 (40%RH～80%RH)，±4 (40%RH 以下或80%RH 以上)。</w:t>
      </w:r>
    </w:p>
    <w:p w14:paraId="55280CC4">
      <w:pPr>
        <w:pStyle w:val="34"/>
        <w:pageBreakBefore w:val="0"/>
        <w:kinsoku/>
        <w:wordWrap/>
        <w:overflowPunct/>
        <w:topLinePunct w:val="0"/>
        <w:bidi w:val="0"/>
        <w:spacing w:line="400" w:lineRule="exact"/>
        <w:ind w:firstLine="0" w:firstLineChars="0"/>
        <w:rPr>
          <w:rFonts w:hint="eastAsia" w:ascii="宋体" w:hAnsi="宋体" w:eastAsia="宋体" w:cs="宋体"/>
          <w:sz w:val="24"/>
          <w:szCs w:val="24"/>
        </w:rPr>
      </w:pPr>
      <w:r>
        <w:rPr>
          <w:rFonts w:hint="eastAsia" w:ascii="宋体" w:hAnsi="宋体" w:eastAsia="宋体" w:cs="宋体"/>
          <w:sz w:val="24"/>
          <w:szCs w:val="24"/>
        </w:rPr>
        <w:t>8、展柜配置可视化控制面板，可显示柜内环境数据（不限于温湿度、甲醛、VOC、光照紫外等数据），可控制展柜照明、亮度、玻璃门开关、调控设备运行状态，可与控制中心预防性保护系统互联互通；</w:t>
      </w:r>
    </w:p>
    <w:p w14:paraId="4314DA32">
      <w:pPr>
        <w:pStyle w:val="4"/>
        <w:pageBreakBefore w:val="0"/>
        <w:kinsoku/>
        <w:wordWrap/>
        <w:overflowPunct/>
        <w:topLinePunct w:val="0"/>
        <w:bidi w:val="0"/>
        <w:spacing w:before="0" w:after="0" w:line="400" w:lineRule="exact"/>
        <w:rPr>
          <w:rFonts w:hint="eastAsia" w:ascii="宋体" w:hAnsi="宋体" w:eastAsia="宋体" w:cs="宋体"/>
          <w:sz w:val="24"/>
          <w:szCs w:val="24"/>
        </w:rPr>
      </w:pPr>
      <w:r>
        <w:rPr>
          <w:rFonts w:hint="eastAsia" w:ascii="宋体" w:hAnsi="宋体" w:eastAsia="宋体" w:cs="宋体"/>
          <w:sz w:val="24"/>
          <w:szCs w:val="24"/>
        </w:rPr>
        <w:t>调湿机</w:t>
      </w:r>
    </w:p>
    <w:p w14:paraId="0380E0E9">
      <w:pPr>
        <w:pStyle w:val="34"/>
        <w:pageBreakBefore w:val="0"/>
        <w:kinsoku/>
        <w:wordWrap/>
        <w:overflowPunct/>
        <w:topLinePunct w:val="0"/>
        <w:bidi w:val="0"/>
        <w:spacing w:after="0" w:line="400" w:lineRule="exact"/>
        <w:ind w:firstLine="0" w:firstLineChars="0"/>
        <w:rPr>
          <w:rFonts w:hint="eastAsia" w:ascii="宋体" w:hAnsi="宋体" w:eastAsia="宋体" w:cs="宋体"/>
          <w:kern w:val="0"/>
          <w:sz w:val="24"/>
          <w:szCs w:val="24"/>
        </w:rPr>
      </w:pPr>
      <w:r>
        <w:rPr>
          <w:rFonts w:hint="eastAsia" w:ascii="宋体" w:hAnsi="宋体" w:eastAsia="宋体" w:cs="宋体"/>
          <w:kern w:val="0"/>
          <w:sz w:val="24"/>
          <w:szCs w:val="24"/>
        </w:rPr>
        <w:t>1.适用环境：20%RH-90%RH；5℃-40℃；</w:t>
      </w:r>
      <w:r>
        <w:rPr>
          <w:rFonts w:hint="eastAsia" w:ascii="宋体" w:hAnsi="宋体" w:eastAsia="宋体" w:cs="宋体"/>
          <w:kern w:val="0"/>
          <w:sz w:val="24"/>
          <w:szCs w:val="24"/>
        </w:rPr>
        <w:br w:type="textWrapping"/>
      </w:r>
      <w:r>
        <w:rPr>
          <w:rFonts w:hint="eastAsia" w:ascii="宋体" w:hAnsi="宋体" w:eastAsia="宋体" w:cs="宋体"/>
          <w:kern w:val="0"/>
          <w:sz w:val="24"/>
          <w:szCs w:val="24"/>
        </w:rPr>
        <w:t>2.调控精度：优于±3%RH；</w:t>
      </w:r>
      <w:r>
        <w:rPr>
          <w:rFonts w:hint="eastAsia" w:ascii="宋体" w:hAnsi="宋体" w:eastAsia="宋体" w:cs="宋体"/>
          <w:kern w:val="0"/>
          <w:sz w:val="24"/>
          <w:szCs w:val="24"/>
        </w:rPr>
        <w:br w:type="textWrapping"/>
      </w:r>
      <w:r>
        <w:rPr>
          <w:rFonts w:hint="eastAsia" w:ascii="宋体" w:hAnsi="宋体" w:eastAsia="宋体" w:cs="宋体"/>
          <w:kern w:val="0"/>
          <w:sz w:val="24"/>
          <w:szCs w:val="24"/>
        </w:rPr>
        <w:t>3.调控范围：30%RH-70%RH；</w:t>
      </w:r>
      <w:r>
        <w:rPr>
          <w:rFonts w:hint="eastAsia" w:ascii="宋体" w:hAnsi="宋体" w:eastAsia="宋体" w:cs="宋体"/>
          <w:kern w:val="0"/>
          <w:sz w:val="24"/>
          <w:szCs w:val="24"/>
        </w:rPr>
        <w:br w:type="textWrapping"/>
      </w:r>
      <w:r>
        <w:rPr>
          <w:rFonts w:hint="eastAsia" w:ascii="宋体" w:hAnsi="宋体" w:eastAsia="宋体" w:cs="宋体"/>
          <w:kern w:val="0"/>
          <w:sz w:val="24"/>
          <w:szCs w:val="24"/>
        </w:rPr>
        <w:t>4.组网通讯：2.4G或433MHz,自动组网，设备数据无线传输</w:t>
      </w:r>
      <w:r>
        <w:rPr>
          <w:rFonts w:hint="eastAsia" w:ascii="宋体" w:hAnsi="宋体" w:eastAsia="宋体" w:cs="宋体"/>
          <w:kern w:val="0"/>
          <w:sz w:val="24"/>
          <w:szCs w:val="24"/>
        </w:rPr>
        <w:br w:type="textWrapping"/>
      </w:r>
      <w:r>
        <w:rPr>
          <w:rFonts w:hint="eastAsia" w:ascii="宋体" w:hAnsi="宋体" w:eastAsia="宋体" w:cs="宋体"/>
          <w:kern w:val="0"/>
          <w:sz w:val="24"/>
          <w:szCs w:val="24"/>
        </w:rPr>
        <w:t>★5. 具有掉电数据存储功能。应具有掉电数据存储功能。掉电时，应能自动保存装置中的数据和动态运行参数。再次上电后，应能自动恢复掉电前的数据参数并正常工作。(需提供具有 CMA/CNAS 标识的检测报告)</w:t>
      </w:r>
      <w:r>
        <w:rPr>
          <w:rFonts w:hint="eastAsia" w:ascii="宋体" w:hAnsi="宋体" w:eastAsia="宋体" w:cs="宋体"/>
          <w:kern w:val="0"/>
          <w:sz w:val="24"/>
          <w:szCs w:val="24"/>
        </w:rPr>
        <w:br w:type="textWrapping"/>
      </w:r>
      <w:r>
        <w:rPr>
          <w:rFonts w:hint="eastAsia" w:ascii="宋体" w:hAnsi="宋体" w:eastAsia="宋体" w:cs="宋体"/>
          <w:kern w:val="0"/>
          <w:sz w:val="24"/>
          <w:szCs w:val="24"/>
        </w:rPr>
        <w:t>★6. 设备无水箱，设备不使用、不产生液态水。(需提供具有 CMA/CNAS 标识的检测报告)</w:t>
      </w:r>
      <w:r>
        <w:rPr>
          <w:rFonts w:hint="eastAsia" w:ascii="宋体" w:hAnsi="宋体" w:eastAsia="宋体" w:cs="宋体"/>
          <w:kern w:val="0"/>
          <w:sz w:val="24"/>
          <w:szCs w:val="24"/>
        </w:rPr>
        <w:br w:type="textWrapping"/>
      </w:r>
      <w:r>
        <w:rPr>
          <w:rFonts w:hint="eastAsia" w:ascii="宋体" w:hAnsi="宋体" w:eastAsia="宋体" w:cs="宋体"/>
          <w:kern w:val="0"/>
          <w:sz w:val="24"/>
          <w:szCs w:val="24"/>
        </w:rPr>
        <w:t>7.能接入博物馆文物保存环境监测平台，平台系统能够对无水调湿机进行远程控制；</w:t>
      </w:r>
    </w:p>
    <w:p w14:paraId="0C30DB42">
      <w:pPr>
        <w:pStyle w:val="34"/>
        <w:pageBreakBefore w:val="0"/>
        <w:kinsoku/>
        <w:wordWrap/>
        <w:overflowPunct/>
        <w:topLinePunct w:val="0"/>
        <w:bidi w:val="0"/>
        <w:spacing w:after="0" w:line="400" w:lineRule="exact"/>
        <w:ind w:firstLine="0" w:firstLineChars="0"/>
        <w:rPr>
          <w:rFonts w:hint="eastAsia" w:ascii="宋体" w:hAnsi="宋体" w:eastAsia="宋体" w:cs="宋体"/>
          <w:kern w:val="0"/>
          <w:sz w:val="24"/>
          <w:szCs w:val="24"/>
        </w:rPr>
      </w:pPr>
      <w:r>
        <w:rPr>
          <w:rFonts w:hint="eastAsia" w:ascii="宋体" w:hAnsi="宋体" w:eastAsia="宋体" w:cs="宋体"/>
          <w:kern w:val="0"/>
          <w:sz w:val="24"/>
          <w:szCs w:val="24"/>
        </w:rPr>
        <w:t>8. 具有按照设定的工作周期定期上传工作状态及湿度等调控环境监测数据的能力。湿度监测的最大允许误差为±2.0%RH。</w:t>
      </w:r>
    </w:p>
    <w:p w14:paraId="723D32F2">
      <w:pPr>
        <w:pStyle w:val="34"/>
        <w:pageBreakBefore w:val="0"/>
        <w:kinsoku/>
        <w:wordWrap/>
        <w:overflowPunct/>
        <w:topLinePunct w:val="0"/>
        <w:bidi w:val="0"/>
        <w:spacing w:after="0" w:line="400" w:lineRule="exact"/>
        <w:ind w:firstLine="0" w:firstLineChars="0"/>
        <w:rPr>
          <w:rFonts w:hint="eastAsia" w:ascii="宋体" w:hAnsi="宋体" w:eastAsia="宋体" w:cs="宋体"/>
          <w:kern w:val="0"/>
          <w:sz w:val="24"/>
          <w:szCs w:val="24"/>
        </w:rPr>
      </w:pPr>
      <w:r>
        <w:rPr>
          <w:rFonts w:hint="eastAsia" w:ascii="宋体" w:hAnsi="宋体" w:eastAsia="宋体" w:cs="宋体"/>
          <w:kern w:val="0"/>
          <w:sz w:val="24"/>
          <w:szCs w:val="24"/>
        </w:rPr>
        <w:t>★9.配置微环境熏蒸器，对文物保存微环境具有消毒功能。（需提供具有 CMA/CNAS 标识或第三方科研机构出具的检测报告）</w:t>
      </w:r>
    </w:p>
    <w:p w14:paraId="37896D22">
      <w:pPr>
        <w:pStyle w:val="34"/>
        <w:pageBreakBefore w:val="0"/>
        <w:kinsoku/>
        <w:wordWrap/>
        <w:overflowPunct/>
        <w:topLinePunct w:val="0"/>
        <w:bidi w:val="0"/>
        <w:spacing w:after="0" w:line="400" w:lineRule="exact"/>
        <w:ind w:firstLine="0" w:firstLineChars="0"/>
        <w:rPr>
          <w:rFonts w:hint="eastAsia" w:ascii="宋体" w:hAnsi="宋体" w:eastAsia="宋体" w:cs="宋体"/>
          <w:kern w:val="0"/>
          <w:sz w:val="24"/>
          <w:szCs w:val="24"/>
        </w:rPr>
      </w:pPr>
      <w:r>
        <w:rPr>
          <w:rFonts w:hint="eastAsia" w:ascii="宋体" w:hAnsi="宋体" w:eastAsia="宋体" w:cs="宋体"/>
          <w:kern w:val="0"/>
          <w:sz w:val="24"/>
          <w:szCs w:val="24"/>
        </w:rPr>
        <w:t>10. 可与控制中心预防性保护系统互联互通。</w:t>
      </w:r>
    </w:p>
    <w:p w14:paraId="698922EF">
      <w:pPr>
        <w:pStyle w:val="4"/>
        <w:pageBreakBefore w:val="0"/>
        <w:kinsoku/>
        <w:wordWrap/>
        <w:overflowPunct/>
        <w:topLinePunct w:val="0"/>
        <w:bidi w:val="0"/>
        <w:spacing w:before="0" w:after="0" w:line="400" w:lineRule="exact"/>
        <w:rPr>
          <w:rFonts w:hint="eastAsia" w:ascii="宋体" w:hAnsi="宋体" w:eastAsia="宋体" w:cs="宋体"/>
          <w:sz w:val="24"/>
          <w:szCs w:val="24"/>
        </w:rPr>
      </w:pPr>
      <w:r>
        <w:rPr>
          <w:rFonts w:hint="eastAsia" w:ascii="宋体" w:hAnsi="宋体" w:eastAsia="宋体" w:cs="宋体"/>
          <w:sz w:val="24"/>
          <w:szCs w:val="24"/>
        </w:rPr>
        <w:t>货物清单</w:t>
      </w:r>
    </w:p>
    <w:tbl>
      <w:tblPr>
        <w:tblStyle w:val="3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1"/>
        <w:gridCol w:w="3296"/>
        <w:gridCol w:w="3296"/>
        <w:gridCol w:w="1220"/>
        <w:gridCol w:w="1022"/>
      </w:tblGrid>
      <w:tr w14:paraId="331EF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518" w:type="pct"/>
            <w:shd w:val="clear" w:color="auto" w:fill="auto"/>
            <w:vAlign w:val="center"/>
          </w:tcPr>
          <w:p w14:paraId="18F833D5">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序号</w:t>
            </w:r>
          </w:p>
        </w:tc>
        <w:tc>
          <w:tcPr>
            <w:tcW w:w="1672" w:type="pct"/>
            <w:shd w:val="clear" w:color="auto" w:fill="auto"/>
            <w:vAlign w:val="center"/>
          </w:tcPr>
          <w:p w14:paraId="1BC42CCC">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材料/工器具名称</w:t>
            </w:r>
          </w:p>
        </w:tc>
        <w:tc>
          <w:tcPr>
            <w:tcW w:w="1672" w:type="pct"/>
            <w:shd w:val="clear" w:color="auto" w:fill="auto"/>
            <w:vAlign w:val="center"/>
          </w:tcPr>
          <w:p w14:paraId="7917D4BC">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规格型号</w:t>
            </w:r>
          </w:p>
        </w:tc>
        <w:tc>
          <w:tcPr>
            <w:tcW w:w="619" w:type="pct"/>
            <w:shd w:val="clear" w:color="auto" w:fill="auto"/>
            <w:vAlign w:val="center"/>
          </w:tcPr>
          <w:p w14:paraId="2103725D">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单位</w:t>
            </w:r>
          </w:p>
        </w:tc>
        <w:tc>
          <w:tcPr>
            <w:tcW w:w="518" w:type="pct"/>
            <w:shd w:val="clear" w:color="auto" w:fill="auto"/>
            <w:vAlign w:val="center"/>
          </w:tcPr>
          <w:p w14:paraId="7A3B1D7B">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数量</w:t>
            </w:r>
          </w:p>
        </w:tc>
      </w:tr>
      <w:tr w14:paraId="761BA4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518" w:type="pct"/>
            <w:shd w:val="clear" w:color="auto" w:fill="auto"/>
            <w:vAlign w:val="center"/>
          </w:tcPr>
          <w:p w14:paraId="7D8BDD8C">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1672" w:type="pct"/>
            <w:shd w:val="clear" w:color="auto" w:fill="auto"/>
            <w:vAlign w:val="center"/>
          </w:tcPr>
          <w:p w14:paraId="213432AC">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沿墙通柜</w:t>
            </w:r>
          </w:p>
        </w:tc>
        <w:tc>
          <w:tcPr>
            <w:tcW w:w="1672" w:type="pct"/>
            <w:shd w:val="clear" w:color="auto" w:fill="auto"/>
            <w:vAlign w:val="center"/>
          </w:tcPr>
          <w:p w14:paraId="05745C1A">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7000*800* 3800</w:t>
            </w:r>
          </w:p>
        </w:tc>
        <w:tc>
          <w:tcPr>
            <w:tcW w:w="619" w:type="pct"/>
            <w:shd w:val="clear" w:color="auto" w:fill="auto"/>
            <w:vAlign w:val="center"/>
          </w:tcPr>
          <w:p w14:paraId="138037FF">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台/套</w:t>
            </w:r>
          </w:p>
        </w:tc>
        <w:tc>
          <w:tcPr>
            <w:tcW w:w="518" w:type="pct"/>
            <w:shd w:val="clear" w:color="auto" w:fill="auto"/>
            <w:vAlign w:val="center"/>
          </w:tcPr>
          <w:p w14:paraId="0A772296">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r>
      <w:tr w14:paraId="7A774A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518" w:type="pct"/>
            <w:shd w:val="clear" w:color="auto" w:fill="auto"/>
            <w:vAlign w:val="center"/>
          </w:tcPr>
          <w:p w14:paraId="4B7AF96F">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p>
        </w:tc>
        <w:tc>
          <w:tcPr>
            <w:tcW w:w="1672" w:type="pct"/>
            <w:shd w:val="clear" w:color="auto" w:fill="auto"/>
            <w:vAlign w:val="center"/>
          </w:tcPr>
          <w:p w14:paraId="1F105B74">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沿墙通柜</w:t>
            </w:r>
          </w:p>
        </w:tc>
        <w:tc>
          <w:tcPr>
            <w:tcW w:w="1672" w:type="pct"/>
            <w:shd w:val="clear" w:color="auto" w:fill="auto"/>
            <w:vAlign w:val="center"/>
          </w:tcPr>
          <w:p w14:paraId="26044F0D">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8500*800* 3800</w:t>
            </w:r>
          </w:p>
        </w:tc>
        <w:tc>
          <w:tcPr>
            <w:tcW w:w="619" w:type="pct"/>
            <w:shd w:val="clear" w:color="auto" w:fill="auto"/>
            <w:vAlign w:val="center"/>
          </w:tcPr>
          <w:p w14:paraId="1308458D">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台/套</w:t>
            </w:r>
          </w:p>
        </w:tc>
        <w:tc>
          <w:tcPr>
            <w:tcW w:w="518" w:type="pct"/>
            <w:shd w:val="clear" w:color="auto" w:fill="auto"/>
            <w:vAlign w:val="center"/>
          </w:tcPr>
          <w:p w14:paraId="7772A227">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p>
        </w:tc>
      </w:tr>
      <w:tr w14:paraId="2F7A5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518" w:type="pct"/>
            <w:shd w:val="clear" w:color="auto" w:fill="auto"/>
            <w:vAlign w:val="center"/>
          </w:tcPr>
          <w:p w14:paraId="1A7BABE7">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w:t>
            </w:r>
          </w:p>
        </w:tc>
        <w:tc>
          <w:tcPr>
            <w:tcW w:w="1672" w:type="pct"/>
            <w:shd w:val="clear" w:color="auto" w:fill="auto"/>
            <w:vAlign w:val="center"/>
          </w:tcPr>
          <w:p w14:paraId="4243DBAD">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沿墙通柜</w:t>
            </w:r>
          </w:p>
        </w:tc>
        <w:tc>
          <w:tcPr>
            <w:tcW w:w="1672" w:type="pct"/>
            <w:shd w:val="clear" w:color="auto" w:fill="auto"/>
            <w:vAlign w:val="center"/>
          </w:tcPr>
          <w:p w14:paraId="2328B109">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12000*800* 3800</w:t>
            </w:r>
          </w:p>
        </w:tc>
        <w:tc>
          <w:tcPr>
            <w:tcW w:w="619" w:type="pct"/>
            <w:shd w:val="clear" w:color="auto" w:fill="auto"/>
            <w:vAlign w:val="center"/>
          </w:tcPr>
          <w:p w14:paraId="4C1BE726">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台/套</w:t>
            </w:r>
          </w:p>
        </w:tc>
        <w:tc>
          <w:tcPr>
            <w:tcW w:w="518" w:type="pct"/>
            <w:shd w:val="clear" w:color="auto" w:fill="auto"/>
            <w:vAlign w:val="center"/>
          </w:tcPr>
          <w:p w14:paraId="0502036B">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p>
        </w:tc>
      </w:tr>
      <w:tr w14:paraId="65102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518" w:type="pct"/>
            <w:shd w:val="clear" w:color="auto" w:fill="auto"/>
            <w:vAlign w:val="center"/>
          </w:tcPr>
          <w:p w14:paraId="14FA3597">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w:t>
            </w:r>
          </w:p>
        </w:tc>
        <w:tc>
          <w:tcPr>
            <w:tcW w:w="1672" w:type="pct"/>
            <w:shd w:val="clear" w:color="auto" w:fill="auto"/>
            <w:vAlign w:val="center"/>
          </w:tcPr>
          <w:p w14:paraId="5B46ED31">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沿墙通柜</w:t>
            </w:r>
          </w:p>
        </w:tc>
        <w:tc>
          <w:tcPr>
            <w:tcW w:w="1672" w:type="pct"/>
            <w:shd w:val="clear" w:color="auto" w:fill="auto"/>
            <w:vAlign w:val="center"/>
          </w:tcPr>
          <w:p w14:paraId="73ECEF10">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13000*800* 3800</w:t>
            </w:r>
          </w:p>
        </w:tc>
        <w:tc>
          <w:tcPr>
            <w:tcW w:w="619" w:type="pct"/>
            <w:shd w:val="clear" w:color="auto" w:fill="auto"/>
            <w:vAlign w:val="center"/>
          </w:tcPr>
          <w:p w14:paraId="29518DB9">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台/套</w:t>
            </w:r>
          </w:p>
        </w:tc>
        <w:tc>
          <w:tcPr>
            <w:tcW w:w="518" w:type="pct"/>
            <w:shd w:val="clear" w:color="auto" w:fill="auto"/>
            <w:vAlign w:val="center"/>
          </w:tcPr>
          <w:p w14:paraId="77DC8C4F">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p>
        </w:tc>
      </w:tr>
      <w:tr w14:paraId="55934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518" w:type="pct"/>
            <w:shd w:val="clear" w:color="auto" w:fill="auto"/>
            <w:vAlign w:val="center"/>
          </w:tcPr>
          <w:p w14:paraId="6E2B5E0A">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w:t>
            </w:r>
          </w:p>
        </w:tc>
        <w:tc>
          <w:tcPr>
            <w:tcW w:w="1672" w:type="pct"/>
            <w:shd w:val="clear" w:color="auto" w:fill="auto"/>
            <w:vAlign w:val="center"/>
          </w:tcPr>
          <w:p w14:paraId="17A9DE37">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独立展柜</w:t>
            </w:r>
          </w:p>
        </w:tc>
        <w:tc>
          <w:tcPr>
            <w:tcW w:w="1672" w:type="pct"/>
            <w:shd w:val="clear" w:color="auto" w:fill="auto"/>
            <w:vAlign w:val="center"/>
          </w:tcPr>
          <w:p w14:paraId="1A7EF61D">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800* 800* 2200</w:t>
            </w:r>
          </w:p>
        </w:tc>
        <w:tc>
          <w:tcPr>
            <w:tcW w:w="619" w:type="pct"/>
            <w:shd w:val="clear" w:color="auto" w:fill="auto"/>
            <w:vAlign w:val="center"/>
          </w:tcPr>
          <w:p w14:paraId="022400D3">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台/套</w:t>
            </w:r>
          </w:p>
        </w:tc>
        <w:tc>
          <w:tcPr>
            <w:tcW w:w="518" w:type="pct"/>
            <w:shd w:val="clear" w:color="auto" w:fill="auto"/>
            <w:vAlign w:val="center"/>
          </w:tcPr>
          <w:p w14:paraId="4482A002">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w:t>
            </w:r>
          </w:p>
        </w:tc>
      </w:tr>
      <w:tr w14:paraId="43C2C8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518" w:type="pct"/>
            <w:shd w:val="clear" w:color="auto" w:fill="auto"/>
            <w:vAlign w:val="center"/>
          </w:tcPr>
          <w:p w14:paraId="561F2145">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6</w:t>
            </w:r>
          </w:p>
        </w:tc>
        <w:tc>
          <w:tcPr>
            <w:tcW w:w="1672" w:type="pct"/>
            <w:shd w:val="clear" w:color="auto" w:fill="auto"/>
            <w:vAlign w:val="center"/>
          </w:tcPr>
          <w:p w14:paraId="1D136330">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调湿机</w:t>
            </w:r>
          </w:p>
        </w:tc>
        <w:tc>
          <w:tcPr>
            <w:tcW w:w="1672" w:type="pct"/>
            <w:shd w:val="clear" w:color="auto" w:fill="auto"/>
            <w:vAlign w:val="center"/>
          </w:tcPr>
          <w:p w14:paraId="4D6BBEBC">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20m³</w:t>
            </w:r>
          </w:p>
        </w:tc>
        <w:tc>
          <w:tcPr>
            <w:tcW w:w="619" w:type="pct"/>
            <w:shd w:val="clear" w:color="auto" w:fill="auto"/>
            <w:vAlign w:val="center"/>
          </w:tcPr>
          <w:p w14:paraId="425E5523">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台</w:t>
            </w:r>
          </w:p>
        </w:tc>
        <w:tc>
          <w:tcPr>
            <w:tcW w:w="518" w:type="pct"/>
            <w:shd w:val="clear" w:color="auto" w:fill="auto"/>
            <w:vAlign w:val="center"/>
          </w:tcPr>
          <w:p w14:paraId="7DF54983">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6</w:t>
            </w:r>
          </w:p>
        </w:tc>
      </w:tr>
      <w:tr w14:paraId="0FFCB0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518" w:type="pct"/>
            <w:shd w:val="clear" w:color="auto" w:fill="auto"/>
            <w:vAlign w:val="center"/>
          </w:tcPr>
          <w:p w14:paraId="7D1D7E8E">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w:t>
            </w:r>
          </w:p>
        </w:tc>
        <w:tc>
          <w:tcPr>
            <w:tcW w:w="1672" w:type="pct"/>
            <w:shd w:val="clear" w:color="auto" w:fill="auto"/>
            <w:vAlign w:val="center"/>
          </w:tcPr>
          <w:p w14:paraId="638FBB2C">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调湿机</w:t>
            </w:r>
          </w:p>
        </w:tc>
        <w:tc>
          <w:tcPr>
            <w:tcW w:w="1672" w:type="pct"/>
            <w:shd w:val="clear" w:color="auto" w:fill="auto"/>
            <w:vAlign w:val="center"/>
          </w:tcPr>
          <w:p w14:paraId="66566FB9">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1m³</w:t>
            </w:r>
          </w:p>
        </w:tc>
        <w:tc>
          <w:tcPr>
            <w:tcW w:w="619" w:type="pct"/>
            <w:shd w:val="clear" w:color="auto" w:fill="auto"/>
            <w:vAlign w:val="center"/>
          </w:tcPr>
          <w:p w14:paraId="5A5DF617">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台</w:t>
            </w:r>
          </w:p>
        </w:tc>
        <w:tc>
          <w:tcPr>
            <w:tcW w:w="518" w:type="pct"/>
            <w:shd w:val="clear" w:color="auto" w:fill="auto"/>
            <w:vAlign w:val="center"/>
          </w:tcPr>
          <w:p w14:paraId="0CBFFD38">
            <w:pPr>
              <w:pageBreakBefore w:val="0"/>
              <w:widowControl/>
              <w:kinsoku/>
              <w:wordWrap/>
              <w:overflowPunct/>
              <w:topLinePunct w:val="0"/>
              <w:bidi w:val="0"/>
              <w:spacing w:line="400" w:lineRule="exact"/>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w:t>
            </w:r>
          </w:p>
        </w:tc>
      </w:tr>
    </w:tbl>
    <w:p w14:paraId="322EC712">
      <w:pPr>
        <w:rPr>
          <w:rFonts w:hint="eastAsia" w:ascii="宋体" w:hAnsi="宋体" w:eastAsia="宋体" w:cs="宋体"/>
        </w:rPr>
      </w:pPr>
    </w:p>
    <w:p w14:paraId="1B3E0606">
      <w:pPr>
        <w:ind w:right="-286" w:rightChars="-136"/>
        <w:jc w:val="center"/>
        <w:rPr>
          <w:rFonts w:hint="eastAsia" w:ascii="宋体" w:hAnsi="宋体" w:eastAsia="宋体" w:cs="宋体"/>
          <w:b/>
          <w:sz w:val="36"/>
          <w:szCs w:val="36"/>
          <w:highlight w:val="none"/>
        </w:rPr>
      </w:pPr>
      <w:r>
        <w:rPr>
          <w:rFonts w:hint="eastAsia" w:ascii="宋体" w:hAnsi="宋体" w:eastAsia="宋体" w:cs="宋体"/>
          <w:sz w:val="24"/>
          <w:highlight w:val="none"/>
        </w:rPr>
        <w:br w:type="page"/>
      </w:r>
      <w:r>
        <w:rPr>
          <w:rFonts w:hint="eastAsia" w:ascii="宋体" w:hAnsi="宋体" w:eastAsia="宋体" w:cs="宋体"/>
          <w:b/>
          <w:sz w:val="36"/>
          <w:szCs w:val="36"/>
          <w:highlight w:val="none"/>
        </w:rPr>
        <w:t>第六章 投标文件格式</w:t>
      </w:r>
    </w:p>
    <w:p w14:paraId="001AA3A7">
      <w:pPr>
        <w:jc w:val="center"/>
        <w:rPr>
          <w:rFonts w:hint="eastAsia" w:ascii="宋体" w:hAnsi="宋体" w:eastAsia="宋体" w:cs="宋体"/>
          <w:sz w:val="20"/>
          <w:szCs w:val="20"/>
          <w:highlight w:val="none"/>
        </w:rPr>
      </w:pPr>
    </w:p>
    <w:p w14:paraId="64927E53">
      <w:pPr>
        <w:jc w:val="center"/>
        <w:rPr>
          <w:rFonts w:hint="eastAsia" w:ascii="宋体" w:hAnsi="宋体" w:eastAsia="宋体" w:cs="宋体"/>
          <w:sz w:val="20"/>
          <w:szCs w:val="20"/>
          <w:highlight w:val="none"/>
        </w:rPr>
      </w:pPr>
    </w:p>
    <w:p w14:paraId="491AA156">
      <w:pPr>
        <w:rPr>
          <w:rFonts w:hint="eastAsia" w:ascii="宋体" w:hAnsi="宋体" w:eastAsia="宋体" w:cs="宋体"/>
          <w:sz w:val="20"/>
          <w:szCs w:val="20"/>
          <w:highlight w:val="none"/>
        </w:rPr>
      </w:pPr>
    </w:p>
    <w:p w14:paraId="30F10F57">
      <w:pPr>
        <w:jc w:val="center"/>
        <w:rPr>
          <w:rFonts w:hint="eastAsia" w:ascii="宋体" w:hAnsi="宋体" w:eastAsia="宋体" w:cs="宋体"/>
          <w:sz w:val="44"/>
          <w:szCs w:val="44"/>
          <w:highlight w:val="none"/>
        </w:rPr>
      </w:pPr>
    </w:p>
    <w:p w14:paraId="62D9FD85">
      <w:pPr>
        <w:jc w:val="center"/>
        <w:rPr>
          <w:rFonts w:hint="eastAsia" w:ascii="宋体" w:hAnsi="宋体" w:eastAsia="宋体" w:cs="宋体"/>
          <w:sz w:val="44"/>
          <w:szCs w:val="44"/>
          <w:highlight w:val="none"/>
        </w:rPr>
      </w:pPr>
    </w:p>
    <w:p w14:paraId="153A7FEE">
      <w:pPr>
        <w:jc w:val="center"/>
        <w:rPr>
          <w:rFonts w:hint="eastAsia" w:ascii="宋体" w:hAnsi="宋体" w:eastAsia="宋体" w:cs="宋体"/>
          <w:sz w:val="44"/>
          <w:szCs w:val="44"/>
          <w:highlight w:val="none"/>
        </w:rPr>
      </w:pPr>
      <w:r>
        <w:rPr>
          <w:rFonts w:hint="eastAsia" w:ascii="宋体" w:hAnsi="宋体" w:eastAsia="宋体" w:cs="宋体"/>
          <w:sz w:val="28"/>
          <w:szCs w:val="28"/>
          <w:highlight w:val="none"/>
        </w:rPr>
        <w:t>（项目名称）</w:t>
      </w:r>
    </w:p>
    <w:p w14:paraId="0A8D60FE">
      <w:pPr>
        <w:jc w:val="center"/>
        <w:rPr>
          <w:rFonts w:hint="eastAsia" w:ascii="宋体" w:hAnsi="宋体" w:eastAsia="宋体" w:cs="宋体"/>
          <w:sz w:val="44"/>
          <w:szCs w:val="44"/>
          <w:highlight w:val="none"/>
        </w:rPr>
      </w:pPr>
    </w:p>
    <w:p w14:paraId="75C0FCFA">
      <w:pPr>
        <w:jc w:val="center"/>
        <w:rPr>
          <w:rFonts w:hint="eastAsia" w:ascii="宋体" w:hAnsi="宋体" w:eastAsia="宋体" w:cs="宋体"/>
          <w:sz w:val="44"/>
          <w:szCs w:val="44"/>
          <w:highlight w:val="none"/>
        </w:rPr>
      </w:pPr>
    </w:p>
    <w:p w14:paraId="6D6A5E42">
      <w:pPr>
        <w:jc w:val="center"/>
        <w:rPr>
          <w:rFonts w:hint="eastAsia" w:ascii="宋体" w:hAnsi="宋体" w:eastAsia="宋体" w:cs="宋体"/>
          <w:sz w:val="44"/>
          <w:szCs w:val="44"/>
          <w:highlight w:val="none"/>
        </w:rPr>
      </w:pPr>
    </w:p>
    <w:p w14:paraId="6E015007">
      <w:pPr>
        <w:jc w:val="center"/>
        <w:rPr>
          <w:rFonts w:hint="eastAsia" w:ascii="宋体" w:hAnsi="宋体" w:eastAsia="宋体" w:cs="宋体"/>
          <w:sz w:val="44"/>
          <w:szCs w:val="44"/>
          <w:highlight w:val="none"/>
        </w:rPr>
      </w:pPr>
      <w:r>
        <w:rPr>
          <w:rFonts w:hint="eastAsia" w:ascii="宋体" w:hAnsi="宋体" w:eastAsia="宋体" w:cs="宋体"/>
          <w:sz w:val="44"/>
          <w:szCs w:val="44"/>
          <w:highlight w:val="none"/>
        </w:rPr>
        <w:t>投标文件</w:t>
      </w:r>
    </w:p>
    <w:p w14:paraId="68DB134F">
      <w:pPr>
        <w:rPr>
          <w:rFonts w:hint="eastAsia" w:ascii="宋体" w:hAnsi="宋体" w:eastAsia="宋体" w:cs="宋体"/>
          <w:sz w:val="28"/>
          <w:szCs w:val="28"/>
          <w:highlight w:val="none"/>
        </w:rPr>
      </w:pPr>
    </w:p>
    <w:p w14:paraId="6A2E411C">
      <w:pPr>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（正/副本）</w:t>
      </w:r>
    </w:p>
    <w:p w14:paraId="4061DA8E">
      <w:pPr>
        <w:jc w:val="center"/>
        <w:rPr>
          <w:rFonts w:hint="eastAsia" w:ascii="宋体" w:hAnsi="宋体" w:eastAsia="宋体" w:cs="宋体"/>
          <w:sz w:val="28"/>
          <w:szCs w:val="28"/>
          <w:highlight w:val="none"/>
        </w:rPr>
      </w:pPr>
    </w:p>
    <w:p w14:paraId="0A2B2D97">
      <w:pPr>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招标项目编号：</w:t>
      </w:r>
    </w:p>
    <w:p w14:paraId="67CD1D5A">
      <w:pPr>
        <w:rPr>
          <w:rFonts w:hint="eastAsia" w:ascii="宋体" w:hAnsi="宋体" w:eastAsia="宋体" w:cs="宋体"/>
          <w:sz w:val="28"/>
          <w:szCs w:val="28"/>
          <w:highlight w:val="none"/>
        </w:rPr>
      </w:pPr>
    </w:p>
    <w:p w14:paraId="5766E181">
      <w:pPr>
        <w:rPr>
          <w:rFonts w:hint="eastAsia" w:ascii="宋体" w:hAnsi="宋体" w:eastAsia="宋体" w:cs="宋体"/>
          <w:sz w:val="28"/>
          <w:szCs w:val="28"/>
          <w:highlight w:val="none"/>
        </w:rPr>
      </w:pPr>
    </w:p>
    <w:p w14:paraId="3472FE55">
      <w:pPr>
        <w:rPr>
          <w:rFonts w:hint="eastAsia" w:ascii="宋体" w:hAnsi="宋体" w:eastAsia="宋体" w:cs="宋体"/>
          <w:sz w:val="28"/>
          <w:szCs w:val="28"/>
          <w:highlight w:val="none"/>
        </w:rPr>
      </w:pPr>
    </w:p>
    <w:p w14:paraId="7F7324F4">
      <w:pPr>
        <w:rPr>
          <w:rFonts w:hint="eastAsia" w:ascii="宋体" w:hAnsi="宋体" w:eastAsia="宋体" w:cs="宋体"/>
          <w:sz w:val="28"/>
          <w:szCs w:val="28"/>
          <w:highlight w:val="none"/>
        </w:rPr>
      </w:pPr>
    </w:p>
    <w:p w14:paraId="674F29E6">
      <w:pPr>
        <w:rPr>
          <w:rFonts w:hint="eastAsia" w:ascii="宋体" w:hAnsi="宋体" w:eastAsia="宋体" w:cs="宋体"/>
          <w:sz w:val="28"/>
          <w:szCs w:val="28"/>
          <w:highlight w:val="none"/>
        </w:rPr>
      </w:pPr>
    </w:p>
    <w:p w14:paraId="0CA18134">
      <w:pPr>
        <w:rPr>
          <w:rFonts w:hint="eastAsia" w:ascii="宋体" w:hAnsi="宋体" w:eastAsia="宋体" w:cs="宋体"/>
          <w:sz w:val="28"/>
          <w:szCs w:val="28"/>
          <w:highlight w:val="none"/>
        </w:rPr>
      </w:pPr>
    </w:p>
    <w:p w14:paraId="579557F3">
      <w:pPr>
        <w:rPr>
          <w:rFonts w:hint="eastAsia" w:ascii="宋体" w:hAnsi="宋体" w:eastAsia="宋体" w:cs="宋体"/>
          <w:sz w:val="28"/>
          <w:szCs w:val="28"/>
          <w:highlight w:val="none"/>
        </w:rPr>
      </w:pPr>
    </w:p>
    <w:p w14:paraId="1C0679D8">
      <w:pPr>
        <w:rPr>
          <w:rFonts w:hint="eastAsia" w:ascii="宋体" w:hAnsi="宋体" w:eastAsia="宋体" w:cs="宋体"/>
          <w:sz w:val="28"/>
          <w:szCs w:val="28"/>
          <w:highlight w:val="none"/>
        </w:rPr>
      </w:pPr>
    </w:p>
    <w:p w14:paraId="2EAFAC1F">
      <w:pPr>
        <w:rPr>
          <w:rFonts w:hint="eastAsia" w:ascii="宋体" w:hAnsi="宋体" w:eastAsia="宋体" w:cs="宋体"/>
          <w:sz w:val="28"/>
          <w:szCs w:val="28"/>
          <w:highlight w:val="none"/>
        </w:rPr>
      </w:pPr>
    </w:p>
    <w:p w14:paraId="4D086C29">
      <w:pPr>
        <w:jc w:val="center"/>
        <w:rPr>
          <w:rFonts w:hint="eastAsia" w:ascii="宋体" w:hAnsi="宋体" w:eastAsia="宋体" w:cs="宋体"/>
          <w:sz w:val="28"/>
          <w:szCs w:val="28"/>
          <w:highlight w:val="none"/>
        </w:rPr>
      </w:pPr>
    </w:p>
    <w:p w14:paraId="142B067C">
      <w:pPr>
        <w:ind w:firstLine="2100" w:firstLineChars="750"/>
        <w:rPr>
          <w:rFonts w:hint="eastAsia" w:ascii="宋体" w:hAnsi="宋体" w:eastAsia="宋体" w:cs="宋体"/>
          <w:sz w:val="28"/>
          <w:szCs w:val="28"/>
          <w:highlight w:val="none"/>
          <w:u w:val="single"/>
        </w:rPr>
      </w:pPr>
      <w:r>
        <w:rPr>
          <w:rFonts w:hint="eastAsia" w:ascii="宋体" w:hAnsi="宋体" w:eastAsia="宋体" w:cs="宋体"/>
          <w:sz w:val="28"/>
          <w:szCs w:val="28"/>
          <w:highlight w:val="none"/>
          <w:lang w:eastAsia="zh-CN"/>
        </w:rPr>
        <w:t>供应商</w:t>
      </w:r>
      <w:r>
        <w:rPr>
          <w:rFonts w:hint="eastAsia" w:ascii="宋体" w:hAnsi="宋体" w:eastAsia="宋体" w:cs="宋体"/>
          <w:sz w:val="28"/>
          <w:szCs w:val="28"/>
          <w:highlight w:val="none"/>
        </w:rPr>
        <w:t>：（盖单位章）</w:t>
      </w:r>
    </w:p>
    <w:p w14:paraId="4F8ACFEB">
      <w:pPr>
        <w:jc w:val="center"/>
        <w:rPr>
          <w:rFonts w:hint="eastAsia" w:ascii="宋体" w:hAnsi="宋体" w:eastAsia="宋体" w:cs="宋体"/>
          <w:sz w:val="28"/>
          <w:szCs w:val="28"/>
          <w:highlight w:val="none"/>
        </w:rPr>
      </w:pPr>
    </w:p>
    <w:p w14:paraId="61FCBE77">
      <w:pPr>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 法定代表人或其委托代理人：（签字或盖章）</w:t>
      </w:r>
    </w:p>
    <w:p w14:paraId="73CC6E85">
      <w:pPr>
        <w:jc w:val="center"/>
        <w:rPr>
          <w:rFonts w:hint="eastAsia" w:ascii="宋体" w:hAnsi="宋体" w:eastAsia="宋体" w:cs="宋体"/>
          <w:sz w:val="28"/>
          <w:szCs w:val="28"/>
          <w:highlight w:val="none"/>
          <w:u w:val="single"/>
        </w:rPr>
      </w:pPr>
    </w:p>
    <w:p w14:paraId="05CB8554">
      <w:pPr>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年    月    日</w:t>
      </w:r>
    </w:p>
    <w:p w14:paraId="15BCF71E">
      <w:pPr>
        <w:jc w:val="center"/>
        <w:rPr>
          <w:rFonts w:hint="eastAsia" w:ascii="宋体" w:hAnsi="宋体" w:eastAsia="宋体" w:cs="宋体"/>
          <w:b/>
          <w:sz w:val="28"/>
          <w:szCs w:val="28"/>
          <w:highlight w:val="none"/>
        </w:rPr>
      </w:pPr>
      <w:r>
        <w:rPr>
          <w:rFonts w:hint="eastAsia" w:ascii="宋体" w:hAnsi="宋体" w:eastAsia="宋体" w:cs="宋体"/>
          <w:sz w:val="28"/>
          <w:szCs w:val="28"/>
          <w:highlight w:val="none"/>
        </w:rPr>
        <w:br w:type="page"/>
      </w:r>
      <w:bookmarkStart w:id="90" w:name="_Toc359315407"/>
      <w:bookmarkStart w:id="91" w:name="_Toc246997098"/>
      <w:bookmarkStart w:id="92" w:name="_Toc152045787"/>
      <w:bookmarkStart w:id="93" w:name="_Toc246996355"/>
      <w:bookmarkStart w:id="94" w:name="_Toc152042576"/>
      <w:bookmarkStart w:id="95" w:name="_Toc179632807"/>
      <w:bookmarkStart w:id="96" w:name="_Toc364783091"/>
      <w:bookmarkStart w:id="97" w:name="_Toc350070692"/>
      <w:bookmarkStart w:id="98" w:name="_Toc247085873"/>
      <w:bookmarkStart w:id="99" w:name="_Toc144974856"/>
      <w:r>
        <w:rPr>
          <w:rFonts w:hint="eastAsia" w:ascii="宋体" w:hAnsi="宋体" w:eastAsia="宋体" w:cs="宋体"/>
          <w:b/>
          <w:sz w:val="28"/>
          <w:szCs w:val="28"/>
          <w:highlight w:val="none"/>
        </w:rPr>
        <w:t>目录</w:t>
      </w:r>
      <w:bookmarkEnd w:id="90"/>
      <w:bookmarkEnd w:id="91"/>
      <w:bookmarkEnd w:id="92"/>
      <w:bookmarkEnd w:id="93"/>
      <w:bookmarkEnd w:id="94"/>
      <w:bookmarkEnd w:id="95"/>
      <w:bookmarkEnd w:id="96"/>
      <w:bookmarkEnd w:id="97"/>
      <w:bookmarkEnd w:id="98"/>
      <w:bookmarkEnd w:id="99"/>
    </w:p>
    <w:p w14:paraId="24D8B5D7">
      <w:pPr>
        <w:spacing w:line="540" w:lineRule="exact"/>
        <w:rPr>
          <w:rFonts w:hint="eastAsia" w:ascii="宋体" w:hAnsi="宋体" w:eastAsia="宋体" w:cs="宋体"/>
          <w:highlight w:val="none"/>
        </w:rPr>
      </w:pPr>
    </w:p>
    <w:p w14:paraId="0F33770F">
      <w:pPr>
        <w:spacing w:line="400" w:lineRule="exact"/>
        <w:ind w:firstLine="359" w:firstLineChars="171"/>
        <w:jc w:val="center"/>
        <w:rPr>
          <w:rFonts w:hint="eastAsia" w:ascii="宋体" w:hAnsi="宋体" w:eastAsia="宋体" w:cs="宋体"/>
          <w:highlight w:val="none"/>
        </w:rPr>
      </w:pPr>
      <w:r>
        <w:rPr>
          <w:rFonts w:hint="eastAsia" w:ascii="宋体" w:hAnsi="宋体" w:cs="宋体"/>
          <w:highlight w:val="none"/>
          <w:lang w:eastAsia="zh-CN"/>
        </w:rPr>
        <w:t>（格式自拟）</w:t>
      </w:r>
      <w:r>
        <w:rPr>
          <w:rFonts w:hint="eastAsia" w:ascii="宋体" w:hAnsi="宋体" w:eastAsia="宋体" w:cs="宋体"/>
          <w:highlight w:val="none"/>
        </w:rPr>
        <w:br w:type="page"/>
      </w:r>
    </w:p>
    <w:p w14:paraId="388F00B9">
      <w:pPr>
        <w:pStyle w:val="4"/>
        <w:jc w:val="center"/>
        <w:rPr>
          <w:rFonts w:hint="eastAsia" w:ascii="宋体" w:hAnsi="宋体" w:eastAsia="宋体" w:cs="宋体"/>
          <w:highlight w:val="none"/>
        </w:rPr>
      </w:pPr>
      <w:bookmarkStart w:id="100" w:name="_Toc49407753"/>
      <w:bookmarkStart w:id="101" w:name="_Toc247085874"/>
      <w:bookmarkStart w:id="102" w:name="_Toc350070693"/>
      <w:bookmarkStart w:id="103" w:name="_Toc246996356"/>
      <w:bookmarkStart w:id="104" w:name="_Toc144974857"/>
      <w:bookmarkStart w:id="105" w:name="_Toc179632808"/>
      <w:bookmarkStart w:id="106" w:name="_Toc62484150"/>
      <w:bookmarkStart w:id="107" w:name="_Toc359315408"/>
      <w:bookmarkStart w:id="108" w:name="_Toc246997099"/>
      <w:bookmarkStart w:id="109" w:name="_Toc152045788"/>
      <w:bookmarkStart w:id="110" w:name="_Toc152042577"/>
      <w:bookmarkStart w:id="111" w:name="_Toc364783092"/>
      <w:r>
        <w:rPr>
          <w:rFonts w:hint="eastAsia" w:ascii="宋体" w:hAnsi="宋体" w:eastAsia="宋体" w:cs="宋体"/>
          <w:highlight w:val="none"/>
        </w:rPr>
        <w:t>一、投标函及投标函附录</w:t>
      </w:r>
      <w:bookmarkEnd w:id="100"/>
      <w:bookmarkEnd w:id="101"/>
      <w:bookmarkEnd w:id="102"/>
      <w:bookmarkEnd w:id="103"/>
      <w:bookmarkEnd w:id="104"/>
      <w:bookmarkEnd w:id="105"/>
      <w:bookmarkEnd w:id="106"/>
      <w:bookmarkEnd w:id="107"/>
      <w:bookmarkEnd w:id="108"/>
      <w:bookmarkEnd w:id="109"/>
      <w:bookmarkEnd w:id="110"/>
      <w:bookmarkEnd w:id="111"/>
    </w:p>
    <w:p w14:paraId="3D2B76BE">
      <w:pPr>
        <w:widowControl/>
        <w:jc w:val="left"/>
        <w:rPr>
          <w:rFonts w:hint="eastAsia" w:ascii="宋体" w:hAnsi="宋体" w:eastAsia="宋体" w:cs="宋体"/>
          <w:highlight w:val="none"/>
        </w:rPr>
      </w:pPr>
    </w:p>
    <w:p w14:paraId="4AA8F5C0">
      <w:pPr>
        <w:jc w:val="center"/>
        <w:rPr>
          <w:rFonts w:hint="eastAsia" w:ascii="宋体" w:hAnsi="宋体" w:eastAsia="宋体" w:cs="宋体"/>
          <w:sz w:val="24"/>
          <w:highlight w:val="none"/>
        </w:rPr>
      </w:pPr>
      <w:bookmarkStart w:id="112" w:name="_Toc246997100"/>
      <w:bookmarkStart w:id="113" w:name="_Toc247085875"/>
      <w:bookmarkStart w:id="114" w:name="_Toc152045789"/>
      <w:bookmarkStart w:id="115" w:name="_Toc179632809"/>
      <w:bookmarkStart w:id="116" w:name="_Toc246996357"/>
      <w:bookmarkStart w:id="117" w:name="_Toc152042578"/>
      <w:bookmarkStart w:id="118" w:name="_Toc364783093"/>
      <w:bookmarkStart w:id="119" w:name="_Toc359315409"/>
      <w:bookmarkStart w:id="120" w:name="_Toc350070694"/>
      <w:bookmarkStart w:id="121" w:name="_Toc144974858"/>
    </w:p>
    <w:p w14:paraId="40A50123">
      <w:pPr>
        <w:jc w:val="center"/>
        <w:rPr>
          <w:rFonts w:hint="eastAsia" w:ascii="宋体" w:hAnsi="宋体" w:eastAsia="宋体" w:cs="宋体"/>
          <w:sz w:val="24"/>
          <w:highlight w:val="none"/>
        </w:rPr>
      </w:pPr>
      <w:r>
        <w:rPr>
          <w:rFonts w:hint="eastAsia" w:ascii="宋体" w:hAnsi="宋体" w:eastAsia="宋体" w:cs="宋体"/>
          <w:sz w:val="24"/>
          <w:highlight w:val="none"/>
        </w:rPr>
        <w:t>（一）投标函</w:t>
      </w:r>
      <w:bookmarkEnd w:id="112"/>
      <w:bookmarkEnd w:id="113"/>
      <w:bookmarkEnd w:id="114"/>
      <w:bookmarkEnd w:id="115"/>
      <w:bookmarkEnd w:id="116"/>
      <w:bookmarkEnd w:id="117"/>
      <w:bookmarkEnd w:id="118"/>
      <w:bookmarkEnd w:id="119"/>
      <w:bookmarkEnd w:id="120"/>
      <w:bookmarkEnd w:id="121"/>
    </w:p>
    <w:p w14:paraId="1FB0F125">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（采购人名称）：</w:t>
      </w:r>
    </w:p>
    <w:p w14:paraId="73A1283F">
      <w:pPr>
        <w:spacing w:line="440" w:lineRule="exact"/>
        <w:rPr>
          <w:rFonts w:hint="eastAsia" w:ascii="宋体" w:hAnsi="宋体" w:eastAsia="宋体" w:cs="宋体"/>
          <w:szCs w:val="21"/>
          <w:highlight w:val="none"/>
        </w:rPr>
      </w:pPr>
    </w:p>
    <w:p w14:paraId="1A43CE3E">
      <w:pPr>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1．我方已仔细研究了（项目名称）</w:t>
      </w:r>
      <w:r>
        <w:rPr>
          <w:rFonts w:hint="eastAsia" w:ascii="宋体" w:hAnsi="宋体" w:eastAsia="宋体" w:cs="宋体"/>
          <w:szCs w:val="21"/>
          <w:highlight w:val="none"/>
          <w:u w:val="single"/>
        </w:rPr>
        <w:t xml:space="preserve">    </w:t>
      </w:r>
      <w:r>
        <w:rPr>
          <w:rFonts w:hint="eastAsia" w:ascii="宋体" w:hAnsi="宋体" w:cs="宋体"/>
          <w:szCs w:val="21"/>
          <w:highlight w:val="none"/>
          <w:lang w:eastAsia="zh-CN"/>
        </w:rPr>
        <w:t>采购文件</w:t>
      </w:r>
      <w:r>
        <w:rPr>
          <w:rFonts w:hint="eastAsia" w:ascii="宋体" w:hAnsi="宋体" w:eastAsia="宋体" w:cs="宋体"/>
          <w:szCs w:val="21"/>
          <w:highlight w:val="none"/>
        </w:rPr>
        <w:t>的全部内容，愿意以人民币</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（大写）</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（¥）的投标报价，供货期限</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，质量标准</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，按合同约定实施和完成承包项目。</w:t>
      </w:r>
    </w:p>
    <w:p w14:paraId="29A42875">
      <w:pPr>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2．我方承诺在</w:t>
      </w:r>
      <w:r>
        <w:rPr>
          <w:rFonts w:hint="eastAsia" w:ascii="宋体" w:hAnsi="宋体" w:cs="宋体"/>
          <w:szCs w:val="21"/>
          <w:highlight w:val="none"/>
          <w:lang w:eastAsia="zh-CN"/>
        </w:rPr>
        <w:t>采购文件</w:t>
      </w:r>
      <w:r>
        <w:rPr>
          <w:rFonts w:hint="eastAsia" w:ascii="宋体" w:hAnsi="宋体" w:eastAsia="宋体" w:cs="宋体"/>
          <w:szCs w:val="21"/>
          <w:highlight w:val="none"/>
        </w:rPr>
        <w:t>规定的投标有效期内不修改、撤销投标文件。</w:t>
      </w:r>
    </w:p>
    <w:p w14:paraId="61952C39">
      <w:pPr>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3．随同本投标函提交投标保证金一份，金额为人民币</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（大写）</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w:t>
      </w:r>
    </w:p>
    <w:p w14:paraId="2DC5A566">
      <w:pPr>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4．如我方中标：</w:t>
      </w:r>
    </w:p>
    <w:p w14:paraId="17A20F5E">
      <w:pPr>
        <w:spacing w:line="440" w:lineRule="exact"/>
        <w:ind w:firstLine="718" w:firstLineChars="342"/>
        <w:rPr>
          <w:rFonts w:hint="eastAsia" w:ascii="宋体" w:hAnsi="宋体" w:eastAsia="宋体" w:cs="宋体"/>
          <w:szCs w:val="21"/>
          <w:highlight w:val="none"/>
        </w:rPr>
      </w:pPr>
      <w:r>
        <w:rPr>
          <w:rFonts w:hint="eastAsia" w:ascii="宋体" w:hAnsi="宋体" w:eastAsia="宋体" w:cs="宋体"/>
          <w:szCs w:val="21"/>
          <w:highlight w:val="none"/>
        </w:rPr>
        <w:t>（1）我方承诺在收到中标通知书后，在中标通知书规定的期限内与你方签订合同，并遵守合同中关于权利和义务的约定；</w:t>
      </w:r>
    </w:p>
    <w:p w14:paraId="24669EAB">
      <w:pPr>
        <w:spacing w:line="440" w:lineRule="exact"/>
        <w:ind w:firstLine="718" w:firstLineChars="342"/>
        <w:rPr>
          <w:rFonts w:hint="eastAsia" w:ascii="宋体" w:hAnsi="宋体" w:eastAsia="宋体" w:cs="宋体"/>
          <w:szCs w:val="21"/>
          <w:highlight w:val="none"/>
        </w:rPr>
      </w:pPr>
      <w:r>
        <w:rPr>
          <w:rFonts w:hint="eastAsia" w:ascii="宋体" w:hAnsi="宋体" w:eastAsia="宋体" w:cs="宋体"/>
          <w:szCs w:val="21"/>
          <w:highlight w:val="none"/>
        </w:rPr>
        <w:t>（2）随同本投标函递交的投标函附录属于合同文件的组成部分。</w:t>
      </w:r>
    </w:p>
    <w:p w14:paraId="3BB03AA7">
      <w:pPr>
        <w:spacing w:line="440" w:lineRule="exact"/>
        <w:ind w:firstLine="718" w:firstLineChars="342"/>
        <w:rPr>
          <w:rFonts w:hint="eastAsia" w:ascii="宋体" w:hAnsi="宋体" w:eastAsia="宋体" w:cs="宋体"/>
          <w:szCs w:val="21"/>
          <w:highlight w:val="none"/>
        </w:rPr>
      </w:pPr>
      <w:r>
        <w:rPr>
          <w:rFonts w:hint="eastAsia" w:ascii="宋体" w:hAnsi="宋体" w:eastAsia="宋体" w:cs="宋体"/>
          <w:szCs w:val="21"/>
          <w:highlight w:val="none"/>
        </w:rPr>
        <w:t>（3）我方承诺在合同约定的期限内完成并移交全部合同项目。</w:t>
      </w:r>
    </w:p>
    <w:p w14:paraId="1424493E">
      <w:pPr>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5．</w:t>
      </w:r>
      <w:r>
        <w:rPr>
          <w:rFonts w:hint="eastAsia" w:ascii="宋体" w:hAnsi="宋体" w:eastAsia="宋体" w:cs="宋体"/>
          <w:highlight w:val="none"/>
        </w:rPr>
        <w:t>我方在此声明，所递交的投标文件及有关资料内容完整、真实和准确，且不存在第二章“</w:t>
      </w:r>
      <w:r>
        <w:rPr>
          <w:rFonts w:hint="eastAsia" w:ascii="宋体" w:hAnsi="宋体" w:eastAsia="宋体" w:cs="宋体"/>
          <w:highlight w:val="none"/>
          <w:lang w:eastAsia="zh-CN"/>
        </w:rPr>
        <w:t>供应商</w:t>
      </w:r>
      <w:r>
        <w:rPr>
          <w:rFonts w:hint="eastAsia" w:ascii="宋体" w:hAnsi="宋体" w:eastAsia="宋体" w:cs="宋体"/>
          <w:highlight w:val="none"/>
        </w:rPr>
        <w:t>须知”第1.4.2项和第1.4.3项规定的任何一种情形。</w:t>
      </w:r>
    </w:p>
    <w:p w14:paraId="583547F3">
      <w:pPr>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6．</w:t>
      </w:r>
      <w:r>
        <w:rPr>
          <w:rFonts w:hint="eastAsia" w:ascii="宋体" w:hAnsi="宋体" w:eastAsia="宋体" w:cs="宋体"/>
          <w:szCs w:val="21"/>
          <w:highlight w:val="none"/>
          <w:u w:val="single"/>
        </w:rPr>
        <w:t>（其他补充说明）</w:t>
      </w:r>
      <w:r>
        <w:rPr>
          <w:rFonts w:hint="eastAsia" w:ascii="宋体" w:hAnsi="宋体" w:eastAsia="宋体" w:cs="宋体"/>
          <w:szCs w:val="21"/>
          <w:highlight w:val="none"/>
        </w:rPr>
        <w:t>。</w:t>
      </w:r>
    </w:p>
    <w:p w14:paraId="5CA9D54E">
      <w:pPr>
        <w:spacing w:line="440" w:lineRule="exact"/>
        <w:rPr>
          <w:rFonts w:hint="eastAsia" w:ascii="宋体" w:hAnsi="宋体" w:eastAsia="宋体" w:cs="宋体"/>
          <w:szCs w:val="21"/>
          <w:highlight w:val="none"/>
        </w:rPr>
      </w:pPr>
    </w:p>
    <w:p w14:paraId="195F655D">
      <w:pPr>
        <w:spacing w:line="440" w:lineRule="exact"/>
        <w:ind w:firstLine="3675" w:firstLineChars="1750"/>
        <w:rPr>
          <w:rFonts w:hint="eastAsia" w:ascii="宋体" w:hAnsi="宋体" w:eastAsia="宋体" w:cs="宋体"/>
          <w:szCs w:val="21"/>
          <w:highlight w:val="none"/>
        </w:rPr>
      </w:pPr>
      <w:r>
        <w:rPr>
          <w:rFonts w:hint="eastAsia" w:ascii="宋体" w:hAnsi="宋体" w:eastAsia="宋体" w:cs="宋体"/>
          <w:szCs w:val="21"/>
          <w:highlight w:val="none"/>
          <w:lang w:eastAsia="zh-CN"/>
        </w:rPr>
        <w:t>供应商</w:t>
      </w:r>
      <w:r>
        <w:rPr>
          <w:rFonts w:hint="eastAsia" w:ascii="宋体" w:hAnsi="宋体" w:eastAsia="宋体" w:cs="宋体"/>
          <w:szCs w:val="21"/>
          <w:highlight w:val="none"/>
        </w:rPr>
        <w:t>：（盖单位章）</w:t>
      </w:r>
    </w:p>
    <w:p w14:paraId="64C953C9">
      <w:pPr>
        <w:spacing w:line="440" w:lineRule="exact"/>
        <w:ind w:firstLine="3675" w:firstLineChars="1750"/>
        <w:rPr>
          <w:rFonts w:hint="eastAsia" w:ascii="宋体" w:hAnsi="宋体" w:eastAsia="宋体" w:cs="宋体"/>
          <w:szCs w:val="21"/>
          <w:highlight w:val="none"/>
        </w:rPr>
      </w:pPr>
      <w:r>
        <w:rPr>
          <w:rFonts w:hint="eastAsia" w:ascii="宋体" w:hAnsi="宋体" w:eastAsia="宋体" w:cs="宋体"/>
          <w:szCs w:val="21"/>
          <w:highlight w:val="none"/>
        </w:rPr>
        <w:t>法定代表人或其委托代理人：（签字）</w:t>
      </w:r>
    </w:p>
    <w:p w14:paraId="0675CD65">
      <w:pPr>
        <w:spacing w:line="440" w:lineRule="exact"/>
        <w:ind w:firstLine="3675" w:firstLineChars="1750"/>
        <w:rPr>
          <w:rFonts w:hint="eastAsia" w:ascii="宋体" w:hAnsi="宋体" w:eastAsia="宋体" w:cs="宋体"/>
          <w:szCs w:val="21"/>
          <w:highlight w:val="none"/>
        </w:rPr>
      </w:pPr>
      <w:r>
        <w:rPr>
          <w:rFonts w:hint="eastAsia" w:ascii="宋体" w:hAnsi="宋体" w:eastAsia="宋体" w:cs="宋体"/>
          <w:szCs w:val="21"/>
          <w:highlight w:val="none"/>
        </w:rPr>
        <w:t>地址：</w:t>
      </w:r>
    </w:p>
    <w:p w14:paraId="028346A5">
      <w:pPr>
        <w:spacing w:line="440" w:lineRule="exact"/>
        <w:ind w:firstLine="3675" w:firstLineChars="1750"/>
        <w:rPr>
          <w:rFonts w:hint="eastAsia" w:ascii="宋体" w:hAnsi="宋体" w:eastAsia="宋体" w:cs="宋体"/>
          <w:szCs w:val="21"/>
          <w:highlight w:val="none"/>
        </w:rPr>
      </w:pPr>
      <w:r>
        <w:rPr>
          <w:rFonts w:hint="eastAsia" w:ascii="宋体" w:hAnsi="宋体" w:eastAsia="宋体" w:cs="宋体"/>
          <w:szCs w:val="21"/>
          <w:highlight w:val="none"/>
        </w:rPr>
        <w:t>网址：</w:t>
      </w:r>
    </w:p>
    <w:p w14:paraId="2230EF6A">
      <w:pPr>
        <w:spacing w:line="440" w:lineRule="exact"/>
        <w:ind w:firstLine="3675" w:firstLineChars="1750"/>
        <w:rPr>
          <w:rFonts w:hint="eastAsia" w:ascii="宋体" w:hAnsi="宋体" w:eastAsia="宋体" w:cs="宋体"/>
          <w:szCs w:val="21"/>
          <w:highlight w:val="none"/>
        </w:rPr>
      </w:pPr>
      <w:r>
        <w:rPr>
          <w:rFonts w:hint="eastAsia" w:ascii="宋体" w:hAnsi="宋体" w:eastAsia="宋体" w:cs="宋体"/>
          <w:szCs w:val="21"/>
          <w:highlight w:val="none"/>
        </w:rPr>
        <w:t>电话：</w:t>
      </w:r>
    </w:p>
    <w:p w14:paraId="34EA695C">
      <w:pPr>
        <w:spacing w:line="440" w:lineRule="exact"/>
        <w:ind w:firstLine="3675" w:firstLineChars="1750"/>
        <w:rPr>
          <w:rFonts w:hint="eastAsia" w:ascii="宋体" w:hAnsi="宋体" w:eastAsia="宋体" w:cs="宋体"/>
          <w:szCs w:val="21"/>
          <w:highlight w:val="none"/>
        </w:rPr>
      </w:pPr>
      <w:r>
        <w:rPr>
          <w:rFonts w:hint="eastAsia" w:ascii="宋体" w:hAnsi="宋体" w:eastAsia="宋体" w:cs="宋体"/>
          <w:szCs w:val="21"/>
          <w:highlight w:val="none"/>
        </w:rPr>
        <w:t>传真：</w:t>
      </w:r>
    </w:p>
    <w:p w14:paraId="007729AB">
      <w:pPr>
        <w:spacing w:line="440" w:lineRule="exact"/>
        <w:ind w:firstLine="3675" w:firstLineChars="1750"/>
        <w:rPr>
          <w:rFonts w:hint="eastAsia" w:ascii="宋体" w:hAnsi="宋体" w:eastAsia="宋体" w:cs="宋体"/>
          <w:szCs w:val="21"/>
          <w:highlight w:val="none"/>
        </w:rPr>
      </w:pPr>
      <w:r>
        <w:rPr>
          <w:rFonts w:hint="eastAsia" w:ascii="宋体" w:hAnsi="宋体" w:eastAsia="宋体" w:cs="宋体"/>
          <w:szCs w:val="21"/>
          <w:highlight w:val="none"/>
        </w:rPr>
        <w:t>邮政编码：</w:t>
      </w:r>
    </w:p>
    <w:p w14:paraId="2844A8AD">
      <w:pPr>
        <w:spacing w:line="440" w:lineRule="exact"/>
        <w:ind w:firstLine="5040" w:firstLineChars="2400"/>
        <w:rPr>
          <w:rFonts w:hint="eastAsia" w:ascii="宋体" w:hAnsi="宋体" w:eastAsia="宋体" w:cs="宋体"/>
          <w:szCs w:val="21"/>
          <w:highlight w:val="none"/>
        </w:rPr>
      </w:pPr>
      <w:r>
        <w:rPr>
          <w:rFonts w:hint="eastAsia" w:ascii="宋体" w:hAnsi="宋体" w:eastAsia="宋体" w:cs="宋体"/>
          <w:szCs w:val="21"/>
          <w:highlight w:val="none"/>
        </w:rPr>
        <w:t>年   月  日</w:t>
      </w:r>
    </w:p>
    <w:p w14:paraId="266C6A81">
      <w:pPr>
        <w:spacing w:line="440" w:lineRule="exact"/>
        <w:rPr>
          <w:rFonts w:hint="eastAsia" w:ascii="宋体" w:hAnsi="宋体" w:eastAsia="宋体" w:cs="宋体"/>
          <w:szCs w:val="21"/>
          <w:highlight w:val="none"/>
        </w:rPr>
      </w:pPr>
    </w:p>
    <w:p w14:paraId="42E4C2EB">
      <w:pPr>
        <w:spacing w:line="440" w:lineRule="exact"/>
        <w:rPr>
          <w:rFonts w:hint="eastAsia" w:ascii="宋体" w:hAnsi="宋体" w:eastAsia="宋体" w:cs="宋体"/>
          <w:sz w:val="20"/>
          <w:szCs w:val="20"/>
          <w:highlight w:val="none"/>
        </w:rPr>
      </w:pPr>
      <w:r>
        <w:rPr>
          <w:rFonts w:hint="eastAsia" w:ascii="宋体" w:hAnsi="宋体" w:eastAsia="宋体" w:cs="宋体"/>
          <w:sz w:val="20"/>
          <w:szCs w:val="20"/>
          <w:highlight w:val="none"/>
        </w:rPr>
        <w:br w:type="page"/>
      </w:r>
    </w:p>
    <w:p w14:paraId="4DE6ED96">
      <w:pPr>
        <w:jc w:val="center"/>
        <w:rPr>
          <w:rFonts w:hint="eastAsia" w:ascii="宋体" w:hAnsi="宋体" w:eastAsia="宋体" w:cs="宋体"/>
          <w:b/>
          <w:sz w:val="24"/>
          <w:highlight w:val="none"/>
        </w:rPr>
      </w:pPr>
      <w:bookmarkStart w:id="122" w:name="_Toc152045790"/>
      <w:bookmarkStart w:id="123" w:name="_Toc247085876"/>
      <w:bookmarkStart w:id="124" w:name="_Toc359315410"/>
      <w:bookmarkStart w:id="125" w:name="_Toc179632810"/>
      <w:bookmarkStart w:id="126" w:name="_Toc246996358"/>
      <w:bookmarkStart w:id="127" w:name="_Toc152042579"/>
      <w:bookmarkStart w:id="128" w:name="_Toc144974859"/>
      <w:bookmarkStart w:id="129" w:name="_Toc246997101"/>
      <w:bookmarkStart w:id="130" w:name="_Toc364783094"/>
      <w:bookmarkStart w:id="131" w:name="_Toc350070695"/>
      <w:r>
        <w:rPr>
          <w:rFonts w:hint="eastAsia" w:ascii="宋体" w:hAnsi="宋体" w:eastAsia="宋体" w:cs="宋体"/>
          <w:b/>
          <w:sz w:val="24"/>
          <w:highlight w:val="none"/>
        </w:rPr>
        <w:t>（二）投标函附录</w:t>
      </w:r>
      <w:bookmarkEnd w:id="122"/>
      <w:bookmarkEnd w:id="123"/>
      <w:bookmarkEnd w:id="124"/>
      <w:bookmarkEnd w:id="125"/>
      <w:bookmarkEnd w:id="126"/>
      <w:bookmarkEnd w:id="127"/>
      <w:bookmarkEnd w:id="128"/>
      <w:bookmarkEnd w:id="129"/>
      <w:bookmarkEnd w:id="130"/>
      <w:bookmarkEnd w:id="131"/>
    </w:p>
    <w:p w14:paraId="750A3131">
      <w:pPr>
        <w:spacing w:line="440" w:lineRule="exact"/>
        <w:rPr>
          <w:rFonts w:hint="eastAsia" w:ascii="宋体" w:hAnsi="宋体" w:eastAsia="宋体" w:cs="宋体"/>
          <w:sz w:val="20"/>
          <w:szCs w:val="20"/>
          <w:highlight w:val="none"/>
        </w:rPr>
      </w:pPr>
    </w:p>
    <w:tbl>
      <w:tblPr>
        <w:tblStyle w:val="36"/>
        <w:tblW w:w="9664"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2809"/>
        <w:gridCol w:w="2809"/>
        <w:gridCol w:w="2804"/>
      </w:tblGrid>
      <w:tr w14:paraId="53414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1242" w:type="dxa"/>
            <w:tcBorders>
              <w:top w:val="single" w:color="auto" w:sz="4" w:space="0"/>
              <w:left w:val="single" w:color="auto" w:sz="4" w:space="0"/>
              <w:bottom w:val="single" w:color="auto" w:sz="4" w:space="0"/>
              <w:right w:val="single" w:color="auto" w:sz="4" w:space="0"/>
            </w:tcBorders>
            <w:vAlign w:val="center"/>
          </w:tcPr>
          <w:p w14:paraId="257BAA83">
            <w:pPr>
              <w:jc w:val="center"/>
              <w:rPr>
                <w:rFonts w:hint="eastAsia" w:ascii="宋体" w:hAnsi="宋体" w:eastAsia="宋体" w:cs="宋体"/>
                <w:highlight w:val="none"/>
              </w:rPr>
            </w:pPr>
            <w:r>
              <w:rPr>
                <w:rFonts w:hint="eastAsia" w:ascii="宋体" w:hAnsi="宋体" w:eastAsia="宋体" w:cs="宋体"/>
                <w:highlight w:val="none"/>
              </w:rPr>
              <w:t>序号</w:t>
            </w:r>
          </w:p>
        </w:tc>
        <w:tc>
          <w:tcPr>
            <w:tcW w:w="2809" w:type="dxa"/>
            <w:tcBorders>
              <w:top w:val="single" w:color="auto" w:sz="4" w:space="0"/>
              <w:left w:val="single" w:color="auto" w:sz="4" w:space="0"/>
              <w:bottom w:val="single" w:color="auto" w:sz="4" w:space="0"/>
              <w:right w:val="single" w:color="auto" w:sz="4" w:space="0"/>
            </w:tcBorders>
            <w:vAlign w:val="center"/>
          </w:tcPr>
          <w:p w14:paraId="76214F9B">
            <w:pPr>
              <w:jc w:val="center"/>
              <w:rPr>
                <w:rFonts w:hint="eastAsia" w:ascii="宋体" w:hAnsi="宋体" w:eastAsia="宋体" w:cs="宋体"/>
                <w:highlight w:val="none"/>
              </w:rPr>
            </w:pPr>
            <w:r>
              <w:rPr>
                <w:rFonts w:hint="eastAsia" w:ascii="宋体" w:hAnsi="宋体" w:eastAsia="宋体" w:cs="宋体"/>
                <w:highlight w:val="none"/>
              </w:rPr>
              <w:t>条款</w:t>
            </w:r>
          </w:p>
        </w:tc>
        <w:tc>
          <w:tcPr>
            <w:tcW w:w="2809" w:type="dxa"/>
            <w:tcBorders>
              <w:top w:val="single" w:color="auto" w:sz="4" w:space="0"/>
              <w:left w:val="single" w:color="auto" w:sz="4" w:space="0"/>
              <w:bottom w:val="single" w:color="auto" w:sz="4" w:space="0"/>
              <w:right w:val="single" w:color="auto" w:sz="4" w:space="0"/>
            </w:tcBorders>
            <w:vAlign w:val="center"/>
          </w:tcPr>
          <w:p w14:paraId="62173F5F">
            <w:pPr>
              <w:jc w:val="center"/>
              <w:rPr>
                <w:rFonts w:hint="eastAsia" w:ascii="宋体" w:hAnsi="宋体" w:eastAsia="宋体" w:cs="宋体"/>
                <w:highlight w:val="none"/>
              </w:rPr>
            </w:pPr>
            <w:r>
              <w:rPr>
                <w:rFonts w:hint="eastAsia" w:ascii="宋体" w:hAnsi="宋体" w:eastAsia="宋体" w:cs="宋体"/>
                <w:highlight w:val="none"/>
              </w:rPr>
              <w:t>约定内容</w:t>
            </w:r>
          </w:p>
        </w:tc>
        <w:tc>
          <w:tcPr>
            <w:tcW w:w="2804" w:type="dxa"/>
            <w:tcBorders>
              <w:top w:val="single" w:color="auto" w:sz="4" w:space="0"/>
              <w:left w:val="single" w:color="auto" w:sz="4" w:space="0"/>
              <w:bottom w:val="single" w:color="auto" w:sz="4" w:space="0"/>
              <w:right w:val="single" w:color="auto" w:sz="4" w:space="0"/>
            </w:tcBorders>
            <w:vAlign w:val="center"/>
          </w:tcPr>
          <w:p w14:paraId="29D35445">
            <w:pPr>
              <w:jc w:val="center"/>
              <w:rPr>
                <w:rFonts w:hint="eastAsia" w:ascii="宋体" w:hAnsi="宋体" w:eastAsia="宋体" w:cs="宋体"/>
                <w:highlight w:val="none"/>
              </w:rPr>
            </w:pPr>
            <w:r>
              <w:rPr>
                <w:rFonts w:hint="eastAsia" w:ascii="宋体" w:hAnsi="宋体" w:eastAsia="宋体" w:cs="宋体"/>
                <w:highlight w:val="none"/>
              </w:rPr>
              <w:t>备注</w:t>
            </w:r>
          </w:p>
        </w:tc>
      </w:tr>
      <w:tr w14:paraId="007A8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1242" w:type="dxa"/>
            <w:tcBorders>
              <w:top w:val="single" w:color="auto" w:sz="4" w:space="0"/>
              <w:left w:val="single" w:color="auto" w:sz="4" w:space="0"/>
              <w:bottom w:val="single" w:color="auto" w:sz="4" w:space="0"/>
              <w:right w:val="single" w:color="auto" w:sz="4" w:space="0"/>
            </w:tcBorders>
            <w:vAlign w:val="center"/>
          </w:tcPr>
          <w:p w14:paraId="49139757">
            <w:pPr>
              <w:jc w:val="center"/>
              <w:rPr>
                <w:rFonts w:hint="eastAsia" w:ascii="宋体" w:hAnsi="宋体" w:eastAsia="宋体" w:cs="宋体"/>
                <w:highlight w:val="none"/>
              </w:rPr>
            </w:pPr>
            <w:r>
              <w:rPr>
                <w:rFonts w:hint="eastAsia" w:ascii="宋体" w:hAnsi="宋体" w:eastAsia="宋体" w:cs="宋体"/>
                <w:highlight w:val="none"/>
              </w:rPr>
              <w:t>1</w:t>
            </w:r>
          </w:p>
        </w:tc>
        <w:tc>
          <w:tcPr>
            <w:tcW w:w="2809" w:type="dxa"/>
            <w:tcBorders>
              <w:top w:val="single" w:color="auto" w:sz="4" w:space="0"/>
              <w:left w:val="single" w:color="auto" w:sz="4" w:space="0"/>
              <w:bottom w:val="single" w:color="auto" w:sz="4" w:space="0"/>
              <w:right w:val="single" w:color="auto" w:sz="4" w:space="0"/>
            </w:tcBorders>
            <w:vAlign w:val="center"/>
          </w:tcPr>
          <w:p w14:paraId="1ACA17B3">
            <w:pPr>
              <w:jc w:val="center"/>
              <w:rPr>
                <w:rFonts w:hint="eastAsia" w:ascii="宋体" w:hAnsi="宋体" w:eastAsia="宋体" w:cs="宋体"/>
                <w:highlight w:val="none"/>
              </w:rPr>
            </w:pPr>
            <w:r>
              <w:rPr>
                <w:rFonts w:hint="eastAsia" w:ascii="宋体" w:hAnsi="宋体" w:eastAsia="宋体" w:cs="宋体"/>
                <w:highlight w:val="none"/>
              </w:rPr>
              <w:t>供货地点</w:t>
            </w:r>
          </w:p>
        </w:tc>
        <w:tc>
          <w:tcPr>
            <w:tcW w:w="2809" w:type="dxa"/>
            <w:tcBorders>
              <w:top w:val="single" w:color="auto" w:sz="4" w:space="0"/>
              <w:left w:val="single" w:color="auto" w:sz="4" w:space="0"/>
              <w:bottom w:val="single" w:color="auto" w:sz="4" w:space="0"/>
              <w:right w:val="single" w:color="auto" w:sz="4" w:space="0"/>
            </w:tcBorders>
            <w:vAlign w:val="center"/>
          </w:tcPr>
          <w:p w14:paraId="56A6A14B">
            <w:pPr>
              <w:jc w:val="center"/>
              <w:rPr>
                <w:rFonts w:hint="eastAsia" w:ascii="宋体" w:hAnsi="宋体" w:eastAsia="宋体" w:cs="宋体"/>
                <w:highlight w:val="none"/>
              </w:rPr>
            </w:pPr>
          </w:p>
        </w:tc>
        <w:tc>
          <w:tcPr>
            <w:tcW w:w="2804" w:type="dxa"/>
            <w:tcBorders>
              <w:top w:val="single" w:color="auto" w:sz="4" w:space="0"/>
              <w:left w:val="single" w:color="auto" w:sz="4" w:space="0"/>
              <w:bottom w:val="single" w:color="auto" w:sz="4" w:space="0"/>
              <w:right w:val="single" w:color="auto" w:sz="4" w:space="0"/>
            </w:tcBorders>
            <w:vAlign w:val="center"/>
          </w:tcPr>
          <w:p w14:paraId="12AA34F6">
            <w:pPr>
              <w:jc w:val="center"/>
              <w:rPr>
                <w:rFonts w:hint="eastAsia" w:ascii="宋体" w:hAnsi="宋体" w:eastAsia="宋体" w:cs="宋体"/>
                <w:highlight w:val="none"/>
              </w:rPr>
            </w:pPr>
          </w:p>
        </w:tc>
      </w:tr>
      <w:tr w14:paraId="5A0A1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1242" w:type="dxa"/>
            <w:tcBorders>
              <w:top w:val="single" w:color="auto" w:sz="4" w:space="0"/>
              <w:left w:val="single" w:color="auto" w:sz="4" w:space="0"/>
              <w:bottom w:val="single" w:color="auto" w:sz="4" w:space="0"/>
              <w:right w:val="single" w:color="auto" w:sz="4" w:space="0"/>
            </w:tcBorders>
            <w:vAlign w:val="center"/>
          </w:tcPr>
          <w:p w14:paraId="4AAF5301">
            <w:pPr>
              <w:jc w:val="center"/>
              <w:rPr>
                <w:rFonts w:hint="eastAsia" w:ascii="宋体" w:hAnsi="宋体" w:eastAsia="宋体" w:cs="宋体"/>
                <w:highlight w:val="none"/>
              </w:rPr>
            </w:pPr>
            <w:r>
              <w:rPr>
                <w:rFonts w:hint="eastAsia" w:ascii="宋体" w:hAnsi="宋体" w:eastAsia="宋体" w:cs="宋体"/>
                <w:highlight w:val="none"/>
              </w:rPr>
              <w:t>2</w:t>
            </w:r>
          </w:p>
        </w:tc>
        <w:tc>
          <w:tcPr>
            <w:tcW w:w="2809" w:type="dxa"/>
            <w:tcBorders>
              <w:top w:val="single" w:color="auto" w:sz="4" w:space="0"/>
              <w:left w:val="single" w:color="auto" w:sz="4" w:space="0"/>
              <w:bottom w:val="single" w:color="auto" w:sz="4" w:space="0"/>
              <w:right w:val="single" w:color="auto" w:sz="4" w:space="0"/>
            </w:tcBorders>
            <w:vAlign w:val="center"/>
          </w:tcPr>
          <w:p w14:paraId="1A655F8E">
            <w:pPr>
              <w:jc w:val="center"/>
              <w:rPr>
                <w:rFonts w:hint="eastAsia" w:ascii="宋体" w:hAnsi="宋体" w:eastAsia="宋体" w:cs="宋体"/>
                <w:highlight w:val="none"/>
              </w:rPr>
            </w:pPr>
            <w:r>
              <w:rPr>
                <w:rFonts w:hint="eastAsia" w:ascii="宋体" w:hAnsi="宋体" w:eastAsia="宋体" w:cs="宋体"/>
                <w:szCs w:val="21"/>
                <w:highlight w:val="none"/>
              </w:rPr>
              <w:t>投标有效期</w:t>
            </w:r>
          </w:p>
        </w:tc>
        <w:tc>
          <w:tcPr>
            <w:tcW w:w="2809" w:type="dxa"/>
            <w:tcBorders>
              <w:top w:val="single" w:color="auto" w:sz="4" w:space="0"/>
              <w:left w:val="single" w:color="auto" w:sz="4" w:space="0"/>
              <w:bottom w:val="single" w:color="auto" w:sz="4" w:space="0"/>
              <w:right w:val="single" w:color="auto" w:sz="4" w:space="0"/>
            </w:tcBorders>
            <w:vAlign w:val="center"/>
          </w:tcPr>
          <w:p w14:paraId="6A9235F0">
            <w:pPr>
              <w:jc w:val="center"/>
              <w:rPr>
                <w:rFonts w:hint="eastAsia" w:ascii="宋体" w:hAnsi="宋体" w:eastAsia="宋体" w:cs="宋体"/>
                <w:highlight w:val="none"/>
              </w:rPr>
            </w:pPr>
          </w:p>
        </w:tc>
        <w:tc>
          <w:tcPr>
            <w:tcW w:w="2804" w:type="dxa"/>
            <w:tcBorders>
              <w:top w:val="single" w:color="auto" w:sz="4" w:space="0"/>
              <w:left w:val="single" w:color="auto" w:sz="4" w:space="0"/>
              <w:bottom w:val="single" w:color="auto" w:sz="4" w:space="0"/>
              <w:right w:val="single" w:color="auto" w:sz="4" w:space="0"/>
            </w:tcBorders>
            <w:vAlign w:val="center"/>
          </w:tcPr>
          <w:p w14:paraId="3C048997">
            <w:pPr>
              <w:jc w:val="center"/>
              <w:rPr>
                <w:rFonts w:hint="eastAsia" w:ascii="宋体" w:hAnsi="宋体" w:eastAsia="宋体" w:cs="宋体"/>
                <w:highlight w:val="none"/>
              </w:rPr>
            </w:pPr>
          </w:p>
        </w:tc>
      </w:tr>
      <w:tr w14:paraId="052706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1242" w:type="dxa"/>
            <w:tcBorders>
              <w:top w:val="single" w:color="auto" w:sz="4" w:space="0"/>
              <w:left w:val="single" w:color="auto" w:sz="4" w:space="0"/>
              <w:bottom w:val="single" w:color="auto" w:sz="4" w:space="0"/>
              <w:right w:val="single" w:color="auto" w:sz="4" w:space="0"/>
            </w:tcBorders>
            <w:vAlign w:val="center"/>
          </w:tcPr>
          <w:p w14:paraId="090AD61D">
            <w:pPr>
              <w:jc w:val="center"/>
              <w:rPr>
                <w:rFonts w:hint="eastAsia" w:ascii="宋体" w:hAnsi="宋体" w:eastAsia="宋体" w:cs="宋体"/>
                <w:highlight w:val="none"/>
              </w:rPr>
            </w:pPr>
            <w:r>
              <w:rPr>
                <w:rFonts w:hint="eastAsia" w:ascii="宋体" w:hAnsi="宋体" w:eastAsia="宋体" w:cs="宋体"/>
                <w:highlight w:val="none"/>
              </w:rPr>
              <w:t>3</w:t>
            </w:r>
          </w:p>
        </w:tc>
        <w:tc>
          <w:tcPr>
            <w:tcW w:w="2809" w:type="dxa"/>
            <w:tcBorders>
              <w:top w:val="single" w:color="auto" w:sz="4" w:space="0"/>
              <w:left w:val="single" w:color="auto" w:sz="4" w:space="0"/>
              <w:bottom w:val="single" w:color="auto" w:sz="4" w:space="0"/>
              <w:right w:val="single" w:color="auto" w:sz="4" w:space="0"/>
            </w:tcBorders>
            <w:vAlign w:val="center"/>
          </w:tcPr>
          <w:p w14:paraId="5B9956D4">
            <w:pPr>
              <w:autoSpaceDE w:val="0"/>
              <w:autoSpaceDN w:val="0"/>
              <w:adjustRightInd w:val="0"/>
              <w:spacing w:line="240" w:lineRule="exact"/>
              <w:jc w:val="center"/>
              <w:rPr>
                <w:rFonts w:hint="eastAsia" w:ascii="宋体" w:hAnsi="宋体" w:eastAsia="宋体" w:cs="宋体"/>
                <w:kern w:val="0"/>
                <w:szCs w:val="21"/>
                <w:highlight w:val="none"/>
              </w:rPr>
            </w:pPr>
            <w:r>
              <w:rPr>
                <w:rFonts w:hint="eastAsia" w:ascii="宋体" w:hAnsi="宋体" w:eastAsia="宋体" w:cs="宋体"/>
                <w:szCs w:val="21"/>
                <w:highlight w:val="none"/>
              </w:rPr>
              <w:t>权利义务</w:t>
            </w:r>
          </w:p>
        </w:tc>
        <w:tc>
          <w:tcPr>
            <w:tcW w:w="2809" w:type="dxa"/>
            <w:tcBorders>
              <w:top w:val="single" w:color="auto" w:sz="4" w:space="0"/>
              <w:left w:val="single" w:color="auto" w:sz="4" w:space="0"/>
              <w:bottom w:val="single" w:color="auto" w:sz="4" w:space="0"/>
              <w:right w:val="single" w:color="auto" w:sz="4" w:space="0"/>
            </w:tcBorders>
            <w:vAlign w:val="center"/>
          </w:tcPr>
          <w:p w14:paraId="523E2C90">
            <w:pPr>
              <w:jc w:val="center"/>
              <w:rPr>
                <w:rFonts w:hint="eastAsia" w:ascii="宋体" w:hAnsi="宋体" w:eastAsia="宋体" w:cs="宋体"/>
                <w:b/>
                <w:highlight w:val="none"/>
              </w:rPr>
            </w:pPr>
          </w:p>
        </w:tc>
        <w:tc>
          <w:tcPr>
            <w:tcW w:w="2804" w:type="dxa"/>
            <w:tcBorders>
              <w:top w:val="single" w:color="auto" w:sz="4" w:space="0"/>
              <w:left w:val="single" w:color="auto" w:sz="4" w:space="0"/>
              <w:bottom w:val="single" w:color="auto" w:sz="4" w:space="0"/>
              <w:right w:val="single" w:color="auto" w:sz="4" w:space="0"/>
            </w:tcBorders>
            <w:vAlign w:val="center"/>
          </w:tcPr>
          <w:p w14:paraId="4A460027">
            <w:pPr>
              <w:jc w:val="center"/>
              <w:rPr>
                <w:rFonts w:hint="eastAsia" w:ascii="宋体" w:hAnsi="宋体" w:eastAsia="宋体" w:cs="宋体"/>
                <w:b/>
                <w:highlight w:val="none"/>
              </w:rPr>
            </w:pPr>
          </w:p>
        </w:tc>
      </w:tr>
      <w:tr w14:paraId="2087E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1242" w:type="dxa"/>
            <w:tcBorders>
              <w:top w:val="single" w:color="auto" w:sz="4" w:space="0"/>
              <w:left w:val="single" w:color="auto" w:sz="4" w:space="0"/>
              <w:bottom w:val="single" w:color="auto" w:sz="4" w:space="0"/>
              <w:right w:val="single" w:color="auto" w:sz="4" w:space="0"/>
            </w:tcBorders>
            <w:vAlign w:val="center"/>
          </w:tcPr>
          <w:p w14:paraId="56435A39">
            <w:pPr>
              <w:jc w:val="center"/>
              <w:rPr>
                <w:rFonts w:hint="eastAsia" w:ascii="宋体" w:hAnsi="宋体" w:eastAsia="宋体" w:cs="宋体"/>
                <w:highlight w:val="none"/>
              </w:rPr>
            </w:pPr>
            <w:r>
              <w:rPr>
                <w:rFonts w:hint="eastAsia" w:ascii="宋体" w:hAnsi="宋体" w:eastAsia="宋体" w:cs="宋体"/>
                <w:highlight w:val="none"/>
              </w:rPr>
              <w:t>4</w:t>
            </w:r>
          </w:p>
        </w:tc>
        <w:tc>
          <w:tcPr>
            <w:tcW w:w="2809" w:type="dxa"/>
            <w:tcBorders>
              <w:top w:val="single" w:color="auto" w:sz="4" w:space="0"/>
              <w:left w:val="single" w:color="auto" w:sz="4" w:space="0"/>
              <w:bottom w:val="single" w:color="auto" w:sz="4" w:space="0"/>
              <w:right w:val="single" w:color="auto" w:sz="4" w:space="0"/>
            </w:tcBorders>
            <w:vAlign w:val="center"/>
          </w:tcPr>
          <w:p w14:paraId="1BFAA987">
            <w:pPr>
              <w:jc w:val="center"/>
              <w:rPr>
                <w:rFonts w:hint="eastAsia" w:ascii="宋体" w:hAnsi="宋体" w:eastAsia="宋体" w:cs="宋体"/>
                <w:szCs w:val="21"/>
                <w:highlight w:val="none"/>
              </w:rPr>
            </w:pPr>
            <w:r>
              <w:rPr>
                <w:rFonts w:hint="eastAsia" w:ascii="宋体" w:hAnsi="宋体" w:eastAsia="宋体" w:cs="宋体"/>
                <w:bCs/>
                <w:szCs w:val="21"/>
                <w:highlight w:val="none"/>
              </w:rPr>
              <w:t>供货期限</w:t>
            </w:r>
          </w:p>
        </w:tc>
        <w:tc>
          <w:tcPr>
            <w:tcW w:w="2809" w:type="dxa"/>
            <w:tcBorders>
              <w:top w:val="single" w:color="auto" w:sz="4" w:space="0"/>
              <w:left w:val="single" w:color="auto" w:sz="4" w:space="0"/>
              <w:bottom w:val="single" w:color="auto" w:sz="4" w:space="0"/>
              <w:right w:val="single" w:color="auto" w:sz="4" w:space="0"/>
            </w:tcBorders>
            <w:vAlign w:val="center"/>
          </w:tcPr>
          <w:p w14:paraId="3D3ADDBF">
            <w:pPr>
              <w:autoSpaceDE w:val="0"/>
              <w:autoSpaceDN w:val="0"/>
              <w:adjustRightInd w:val="0"/>
              <w:spacing w:line="240" w:lineRule="exact"/>
              <w:rPr>
                <w:rFonts w:hint="eastAsia" w:ascii="宋体" w:hAnsi="宋体" w:eastAsia="宋体" w:cs="宋体"/>
                <w:kern w:val="0"/>
                <w:szCs w:val="21"/>
                <w:highlight w:val="none"/>
              </w:rPr>
            </w:pPr>
          </w:p>
        </w:tc>
        <w:tc>
          <w:tcPr>
            <w:tcW w:w="2804" w:type="dxa"/>
            <w:tcBorders>
              <w:top w:val="single" w:color="auto" w:sz="4" w:space="0"/>
              <w:left w:val="single" w:color="auto" w:sz="4" w:space="0"/>
              <w:bottom w:val="single" w:color="auto" w:sz="4" w:space="0"/>
              <w:right w:val="single" w:color="auto" w:sz="4" w:space="0"/>
            </w:tcBorders>
            <w:vAlign w:val="center"/>
          </w:tcPr>
          <w:p w14:paraId="475B5C4C">
            <w:pPr>
              <w:jc w:val="center"/>
              <w:rPr>
                <w:rFonts w:hint="eastAsia" w:ascii="宋体" w:hAnsi="宋体" w:eastAsia="宋体" w:cs="宋体"/>
                <w:b/>
                <w:highlight w:val="none"/>
              </w:rPr>
            </w:pPr>
          </w:p>
        </w:tc>
      </w:tr>
      <w:tr w14:paraId="6A62C7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1242" w:type="dxa"/>
            <w:tcBorders>
              <w:top w:val="single" w:color="auto" w:sz="4" w:space="0"/>
              <w:left w:val="single" w:color="auto" w:sz="4" w:space="0"/>
              <w:bottom w:val="single" w:color="auto" w:sz="4" w:space="0"/>
              <w:right w:val="single" w:color="auto" w:sz="4" w:space="0"/>
            </w:tcBorders>
            <w:vAlign w:val="center"/>
          </w:tcPr>
          <w:p w14:paraId="04446A56">
            <w:pPr>
              <w:jc w:val="center"/>
              <w:rPr>
                <w:rFonts w:hint="eastAsia" w:ascii="宋体" w:hAnsi="宋体" w:eastAsia="宋体" w:cs="宋体"/>
                <w:highlight w:val="none"/>
              </w:rPr>
            </w:pPr>
            <w:r>
              <w:rPr>
                <w:rFonts w:hint="eastAsia" w:ascii="宋体" w:hAnsi="宋体" w:eastAsia="宋体" w:cs="宋体"/>
                <w:highlight w:val="none"/>
              </w:rPr>
              <w:t>5</w:t>
            </w:r>
          </w:p>
        </w:tc>
        <w:tc>
          <w:tcPr>
            <w:tcW w:w="2809" w:type="dxa"/>
            <w:tcBorders>
              <w:top w:val="single" w:color="auto" w:sz="4" w:space="0"/>
              <w:left w:val="single" w:color="auto" w:sz="4" w:space="0"/>
              <w:bottom w:val="single" w:color="auto" w:sz="4" w:space="0"/>
              <w:right w:val="single" w:color="auto" w:sz="4" w:space="0"/>
            </w:tcBorders>
            <w:vAlign w:val="center"/>
          </w:tcPr>
          <w:p w14:paraId="382E9816">
            <w:pPr>
              <w:jc w:val="center"/>
              <w:rPr>
                <w:rFonts w:hint="eastAsia" w:ascii="宋体" w:hAnsi="宋体" w:eastAsia="宋体" w:cs="宋体"/>
                <w:highlight w:val="none"/>
              </w:rPr>
            </w:pPr>
            <w:r>
              <w:rPr>
                <w:rFonts w:hint="eastAsia" w:ascii="宋体" w:hAnsi="宋体" w:eastAsia="宋体" w:cs="宋体"/>
                <w:highlight w:val="none"/>
              </w:rPr>
              <w:t>质量</w:t>
            </w:r>
            <w:r>
              <w:rPr>
                <w:rFonts w:hint="eastAsia" w:ascii="宋体" w:hAnsi="宋体" w:eastAsia="宋体" w:cs="宋体"/>
                <w:bCs/>
                <w:szCs w:val="21"/>
                <w:highlight w:val="none"/>
              </w:rPr>
              <w:t>标准</w:t>
            </w:r>
          </w:p>
        </w:tc>
        <w:tc>
          <w:tcPr>
            <w:tcW w:w="2809" w:type="dxa"/>
            <w:tcBorders>
              <w:top w:val="single" w:color="auto" w:sz="4" w:space="0"/>
              <w:left w:val="single" w:color="auto" w:sz="4" w:space="0"/>
              <w:bottom w:val="single" w:color="auto" w:sz="4" w:space="0"/>
              <w:right w:val="single" w:color="auto" w:sz="4" w:space="0"/>
            </w:tcBorders>
            <w:vAlign w:val="center"/>
          </w:tcPr>
          <w:p w14:paraId="48226243">
            <w:pPr>
              <w:jc w:val="center"/>
              <w:rPr>
                <w:rFonts w:hint="eastAsia" w:ascii="宋体" w:hAnsi="宋体" w:eastAsia="宋体" w:cs="宋体"/>
                <w:b/>
                <w:highlight w:val="none"/>
              </w:rPr>
            </w:pPr>
          </w:p>
        </w:tc>
        <w:tc>
          <w:tcPr>
            <w:tcW w:w="2804" w:type="dxa"/>
            <w:tcBorders>
              <w:top w:val="single" w:color="auto" w:sz="4" w:space="0"/>
              <w:left w:val="single" w:color="auto" w:sz="4" w:space="0"/>
              <w:bottom w:val="single" w:color="auto" w:sz="4" w:space="0"/>
              <w:right w:val="single" w:color="auto" w:sz="4" w:space="0"/>
            </w:tcBorders>
            <w:vAlign w:val="center"/>
          </w:tcPr>
          <w:p w14:paraId="565E10D5">
            <w:pPr>
              <w:jc w:val="center"/>
              <w:rPr>
                <w:rFonts w:hint="eastAsia" w:ascii="宋体" w:hAnsi="宋体" w:eastAsia="宋体" w:cs="宋体"/>
                <w:b/>
                <w:highlight w:val="none"/>
              </w:rPr>
            </w:pPr>
          </w:p>
        </w:tc>
      </w:tr>
      <w:tr w14:paraId="460F0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1242" w:type="dxa"/>
            <w:tcBorders>
              <w:top w:val="single" w:color="auto" w:sz="4" w:space="0"/>
              <w:left w:val="single" w:color="auto" w:sz="4" w:space="0"/>
              <w:bottom w:val="single" w:color="auto" w:sz="4" w:space="0"/>
              <w:right w:val="single" w:color="auto" w:sz="4" w:space="0"/>
            </w:tcBorders>
            <w:vAlign w:val="center"/>
          </w:tcPr>
          <w:p w14:paraId="6A0BC47D">
            <w:pPr>
              <w:jc w:val="center"/>
              <w:rPr>
                <w:rFonts w:hint="eastAsia" w:ascii="宋体" w:hAnsi="宋体" w:eastAsia="宋体" w:cs="宋体"/>
                <w:highlight w:val="none"/>
              </w:rPr>
            </w:pPr>
            <w:r>
              <w:rPr>
                <w:rFonts w:hint="eastAsia" w:ascii="宋体" w:hAnsi="宋体" w:eastAsia="宋体" w:cs="宋体"/>
                <w:highlight w:val="none"/>
              </w:rPr>
              <w:t>6</w:t>
            </w:r>
          </w:p>
        </w:tc>
        <w:tc>
          <w:tcPr>
            <w:tcW w:w="2809" w:type="dxa"/>
            <w:tcBorders>
              <w:top w:val="single" w:color="auto" w:sz="4" w:space="0"/>
              <w:left w:val="single" w:color="auto" w:sz="4" w:space="0"/>
              <w:bottom w:val="single" w:color="auto" w:sz="4" w:space="0"/>
              <w:right w:val="single" w:color="auto" w:sz="4" w:space="0"/>
            </w:tcBorders>
            <w:vAlign w:val="center"/>
          </w:tcPr>
          <w:p w14:paraId="6DE74541">
            <w:pPr>
              <w:jc w:val="center"/>
              <w:rPr>
                <w:rFonts w:hint="eastAsia" w:ascii="宋体" w:hAnsi="宋体" w:eastAsia="宋体" w:cs="宋体"/>
                <w:highlight w:val="none"/>
              </w:rPr>
            </w:pPr>
            <w:r>
              <w:rPr>
                <w:rFonts w:hint="eastAsia" w:ascii="宋体" w:hAnsi="宋体" w:eastAsia="宋体" w:cs="宋体"/>
                <w:highlight w:val="none"/>
                <w:lang w:val="zh-CN"/>
              </w:rPr>
              <w:t>付款方式</w:t>
            </w:r>
          </w:p>
        </w:tc>
        <w:tc>
          <w:tcPr>
            <w:tcW w:w="2809" w:type="dxa"/>
            <w:tcBorders>
              <w:top w:val="single" w:color="auto" w:sz="4" w:space="0"/>
              <w:left w:val="single" w:color="auto" w:sz="4" w:space="0"/>
              <w:bottom w:val="single" w:color="auto" w:sz="4" w:space="0"/>
              <w:right w:val="single" w:color="auto" w:sz="4" w:space="0"/>
            </w:tcBorders>
            <w:vAlign w:val="center"/>
          </w:tcPr>
          <w:p w14:paraId="607CE6D4">
            <w:pPr>
              <w:jc w:val="center"/>
              <w:rPr>
                <w:rFonts w:hint="eastAsia" w:ascii="宋体" w:hAnsi="宋体" w:eastAsia="宋体" w:cs="宋体"/>
                <w:b/>
                <w:highlight w:val="none"/>
              </w:rPr>
            </w:pPr>
          </w:p>
        </w:tc>
        <w:tc>
          <w:tcPr>
            <w:tcW w:w="2804" w:type="dxa"/>
            <w:tcBorders>
              <w:top w:val="single" w:color="auto" w:sz="4" w:space="0"/>
              <w:left w:val="single" w:color="auto" w:sz="4" w:space="0"/>
              <w:bottom w:val="single" w:color="auto" w:sz="4" w:space="0"/>
              <w:right w:val="single" w:color="auto" w:sz="4" w:space="0"/>
            </w:tcBorders>
            <w:vAlign w:val="center"/>
          </w:tcPr>
          <w:p w14:paraId="49D82DEF">
            <w:pPr>
              <w:jc w:val="center"/>
              <w:rPr>
                <w:rFonts w:hint="eastAsia" w:ascii="宋体" w:hAnsi="宋体" w:eastAsia="宋体" w:cs="宋体"/>
                <w:b/>
                <w:highlight w:val="none"/>
              </w:rPr>
            </w:pPr>
          </w:p>
        </w:tc>
      </w:tr>
      <w:tr w14:paraId="2A8F3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1242" w:type="dxa"/>
            <w:tcBorders>
              <w:top w:val="single" w:color="auto" w:sz="4" w:space="0"/>
              <w:left w:val="single" w:color="auto" w:sz="4" w:space="0"/>
              <w:bottom w:val="single" w:color="auto" w:sz="4" w:space="0"/>
              <w:right w:val="single" w:color="auto" w:sz="4" w:space="0"/>
            </w:tcBorders>
            <w:vAlign w:val="center"/>
          </w:tcPr>
          <w:p w14:paraId="4722158B">
            <w:pPr>
              <w:jc w:val="center"/>
              <w:rPr>
                <w:rFonts w:hint="eastAsia" w:ascii="宋体" w:hAnsi="宋体" w:eastAsia="宋体" w:cs="宋体"/>
                <w:highlight w:val="none"/>
              </w:rPr>
            </w:pPr>
            <w:r>
              <w:rPr>
                <w:rFonts w:hint="eastAsia" w:ascii="宋体" w:hAnsi="宋体" w:eastAsia="宋体" w:cs="宋体"/>
                <w:highlight w:val="none"/>
              </w:rPr>
              <w:t>7</w:t>
            </w:r>
          </w:p>
        </w:tc>
        <w:tc>
          <w:tcPr>
            <w:tcW w:w="2809" w:type="dxa"/>
            <w:tcBorders>
              <w:top w:val="single" w:color="auto" w:sz="4" w:space="0"/>
              <w:left w:val="single" w:color="auto" w:sz="4" w:space="0"/>
              <w:bottom w:val="single" w:color="auto" w:sz="4" w:space="0"/>
              <w:right w:val="single" w:color="auto" w:sz="4" w:space="0"/>
            </w:tcBorders>
            <w:vAlign w:val="center"/>
          </w:tcPr>
          <w:p w14:paraId="2ECE20B7">
            <w:pPr>
              <w:jc w:val="center"/>
              <w:rPr>
                <w:rFonts w:hint="eastAsia" w:ascii="宋体" w:hAnsi="宋体" w:eastAsia="宋体" w:cs="宋体"/>
                <w:highlight w:val="none"/>
                <w:lang w:val="zh-CN"/>
              </w:rPr>
            </w:pPr>
            <w:r>
              <w:rPr>
                <w:rFonts w:hint="eastAsia" w:ascii="宋体" w:hAnsi="宋体" w:eastAsia="宋体" w:cs="宋体"/>
                <w:highlight w:val="none"/>
                <w:lang w:val="zh-CN"/>
              </w:rPr>
              <w:t>质保期</w:t>
            </w:r>
          </w:p>
        </w:tc>
        <w:tc>
          <w:tcPr>
            <w:tcW w:w="2809" w:type="dxa"/>
            <w:tcBorders>
              <w:top w:val="single" w:color="auto" w:sz="4" w:space="0"/>
              <w:left w:val="single" w:color="auto" w:sz="4" w:space="0"/>
              <w:bottom w:val="single" w:color="auto" w:sz="4" w:space="0"/>
              <w:right w:val="single" w:color="auto" w:sz="4" w:space="0"/>
            </w:tcBorders>
            <w:vAlign w:val="center"/>
          </w:tcPr>
          <w:p w14:paraId="377E779B">
            <w:pPr>
              <w:jc w:val="center"/>
              <w:rPr>
                <w:rFonts w:hint="eastAsia" w:ascii="宋体" w:hAnsi="宋体" w:eastAsia="宋体" w:cs="宋体"/>
                <w:highlight w:val="none"/>
              </w:rPr>
            </w:pPr>
          </w:p>
        </w:tc>
        <w:tc>
          <w:tcPr>
            <w:tcW w:w="2804" w:type="dxa"/>
            <w:tcBorders>
              <w:top w:val="single" w:color="auto" w:sz="4" w:space="0"/>
              <w:left w:val="single" w:color="auto" w:sz="4" w:space="0"/>
              <w:bottom w:val="single" w:color="auto" w:sz="4" w:space="0"/>
              <w:right w:val="single" w:color="auto" w:sz="4" w:space="0"/>
            </w:tcBorders>
            <w:vAlign w:val="center"/>
          </w:tcPr>
          <w:p w14:paraId="2CFA0781">
            <w:pPr>
              <w:jc w:val="center"/>
              <w:rPr>
                <w:rFonts w:hint="eastAsia" w:ascii="宋体" w:hAnsi="宋体" w:eastAsia="宋体" w:cs="宋体"/>
                <w:highlight w:val="none"/>
              </w:rPr>
            </w:pPr>
          </w:p>
        </w:tc>
      </w:tr>
      <w:tr w14:paraId="2223E7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1242" w:type="dxa"/>
            <w:vAlign w:val="center"/>
          </w:tcPr>
          <w:p w14:paraId="7B158B7C">
            <w:pPr>
              <w:jc w:val="center"/>
              <w:rPr>
                <w:rFonts w:hint="eastAsia" w:ascii="宋体" w:hAnsi="宋体" w:eastAsia="宋体" w:cs="宋体"/>
                <w:highlight w:val="none"/>
              </w:rPr>
            </w:pPr>
            <w:r>
              <w:rPr>
                <w:rFonts w:hint="eastAsia" w:ascii="宋体" w:hAnsi="宋体" w:eastAsia="宋体" w:cs="宋体"/>
                <w:highlight w:val="none"/>
              </w:rPr>
              <w:t>……</w:t>
            </w:r>
          </w:p>
        </w:tc>
        <w:tc>
          <w:tcPr>
            <w:tcW w:w="2809" w:type="dxa"/>
            <w:vAlign w:val="center"/>
          </w:tcPr>
          <w:p w14:paraId="54B5214A">
            <w:pPr>
              <w:jc w:val="center"/>
              <w:rPr>
                <w:rFonts w:hint="eastAsia" w:ascii="宋体" w:hAnsi="宋体" w:eastAsia="宋体" w:cs="宋体"/>
                <w:highlight w:val="none"/>
              </w:rPr>
            </w:pPr>
          </w:p>
        </w:tc>
        <w:tc>
          <w:tcPr>
            <w:tcW w:w="2809" w:type="dxa"/>
          </w:tcPr>
          <w:p w14:paraId="546BF613">
            <w:pPr>
              <w:jc w:val="center"/>
              <w:rPr>
                <w:rFonts w:hint="eastAsia" w:ascii="宋体" w:hAnsi="宋体" w:eastAsia="宋体" w:cs="宋体"/>
                <w:highlight w:val="none"/>
              </w:rPr>
            </w:pPr>
          </w:p>
        </w:tc>
        <w:tc>
          <w:tcPr>
            <w:tcW w:w="2804" w:type="dxa"/>
          </w:tcPr>
          <w:p w14:paraId="298FE5C2">
            <w:pPr>
              <w:jc w:val="center"/>
              <w:rPr>
                <w:rFonts w:hint="eastAsia" w:ascii="宋体" w:hAnsi="宋体" w:eastAsia="宋体" w:cs="宋体"/>
                <w:highlight w:val="none"/>
              </w:rPr>
            </w:pPr>
          </w:p>
        </w:tc>
      </w:tr>
    </w:tbl>
    <w:p w14:paraId="08D6CA31">
      <w:pPr>
        <w:spacing w:line="440" w:lineRule="exact"/>
        <w:ind w:left="840" w:leftChars="400" w:firstLine="2200" w:firstLineChars="1100"/>
        <w:rPr>
          <w:rFonts w:hint="eastAsia" w:ascii="宋体" w:hAnsi="宋体" w:eastAsia="宋体" w:cs="宋体"/>
          <w:sz w:val="20"/>
          <w:szCs w:val="20"/>
          <w:highlight w:val="none"/>
        </w:rPr>
      </w:pPr>
    </w:p>
    <w:p w14:paraId="2B75377A">
      <w:pPr>
        <w:pStyle w:val="4"/>
        <w:jc w:val="center"/>
        <w:rPr>
          <w:rFonts w:hint="eastAsia" w:ascii="宋体" w:hAnsi="宋体" w:eastAsia="宋体" w:cs="宋体"/>
          <w:highlight w:val="none"/>
        </w:rPr>
      </w:pPr>
      <w:r>
        <w:rPr>
          <w:rFonts w:hint="eastAsia" w:ascii="宋体" w:hAnsi="宋体" w:eastAsia="宋体" w:cs="宋体"/>
          <w:sz w:val="20"/>
          <w:szCs w:val="20"/>
          <w:highlight w:val="none"/>
        </w:rPr>
        <w:br w:type="page"/>
      </w:r>
      <w:bookmarkStart w:id="132" w:name="_Toc62484151"/>
      <w:bookmarkStart w:id="133" w:name="_Toc359315411"/>
      <w:bookmarkStart w:id="134" w:name="_Toc34654717"/>
      <w:bookmarkStart w:id="135" w:name="_Toc350070696"/>
      <w:bookmarkStart w:id="136" w:name="_Toc364783095"/>
      <w:bookmarkStart w:id="137" w:name="_Toc49350823"/>
      <w:bookmarkStart w:id="138" w:name="_Toc49407754"/>
      <w:r>
        <w:rPr>
          <w:rFonts w:hint="eastAsia" w:ascii="宋体" w:hAnsi="宋体" w:eastAsia="宋体" w:cs="宋体"/>
          <w:highlight w:val="none"/>
        </w:rPr>
        <w:t>二、开标一览表</w:t>
      </w:r>
      <w:bookmarkEnd w:id="132"/>
      <w:bookmarkEnd w:id="133"/>
      <w:bookmarkEnd w:id="134"/>
      <w:bookmarkEnd w:id="135"/>
      <w:bookmarkEnd w:id="136"/>
      <w:bookmarkEnd w:id="137"/>
      <w:bookmarkEnd w:id="138"/>
    </w:p>
    <w:p w14:paraId="2AEDE6AD">
      <w:pPr>
        <w:ind w:left="-2" w:leftChars="-1" w:firstLine="210" w:firstLineChars="100"/>
        <w:rPr>
          <w:rFonts w:hint="eastAsia" w:ascii="宋体" w:hAnsi="宋体" w:eastAsia="宋体" w:cs="宋体"/>
          <w:szCs w:val="21"/>
          <w:highlight w:val="none"/>
          <w:u w:val="single"/>
        </w:rPr>
      </w:pPr>
      <w:r>
        <w:rPr>
          <w:rFonts w:hint="eastAsia" w:ascii="宋体" w:hAnsi="宋体" w:eastAsia="宋体" w:cs="宋体"/>
          <w:szCs w:val="21"/>
          <w:highlight w:val="none"/>
        </w:rPr>
        <w:t>项目名称：</w:t>
      </w:r>
    </w:p>
    <w:p w14:paraId="1EE89762">
      <w:pPr>
        <w:ind w:left="-2" w:leftChars="-1" w:firstLine="210" w:firstLineChars="100"/>
        <w:rPr>
          <w:rFonts w:hint="eastAsia" w:ascii="宋体" w:hAnsi="宋体" w:eastAsia="宋体" w:cs="宋体"/>
          <w:szCs w:val="21"/>
          <w:highlight w:val="none"/>
        </w:rPr>
      </w:pPr>
      <w:r>
        <w:rPr>
          <w:rFonts w:hint="eastAsia" w:ascii="宋体" w:hAnsi="宋体" w:eastAsia="宋体" w:cs="宋体"/>
          <w:szCs w:val="21"/>
          <w:highlight w:val="none"/>
        </w:rPr>
        <w:t>招标项目编号：</w:t>
      </w:r>
    </w:p>
    <w:tbl>
      <w:tblPr>
        <w:tblStyle w:val="36"/>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8"/>
        <w:gridCol w:w="7381"/>
      </w:tblGrid>
      <w:tr w14:paraId="280864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46D684B2">
            <w:pPr>
              <w:jc w:val="center"/>
              <w:rPr>
                <w:rFonts w:hint="eastAsia" w:ascii="宋体" w:hAnsi="宋体" w:eastAsia="宋体" w:cs="宋体"/>
                <w:szCs w:val="21"/>
                <w:highlight w:val="none"/>
              </w:rPr>
            </w:pPr>
            <w:r>
              <w:rPr>
                <w:rFonts w:hint="eastAsia" w:ascii="宋体" w:hAnsi="宋体" w:eastAsia="宋体" w:cs="宋体"/>
                <w:szCs w:val="21"/>
                <w:highlight w:val="none"/>
              </w:rPr>
              <w:t>投标单位</w:t>
            </w:r>
          </w:p>
        </w:tc>
        <w:tc>
          <w:tcPr>
            <w:tcW w:w="7381" w:type="dxa"/>
            <w:tcBorders>
              <w:top w:val="single" w:color="auto" w:sz="4" w:space="0"/>
              <w:left w:val="single" w:color="auto" w:sz="4" w:space="0"/>
              <w:bottom w:val="single" w:color="auto" w:sz="4" w:space="0"/>
              <w:right w:val="single" w:color="auto" w:sz="4" w:space="0"/>
            </w:tcBorders>
            <w:vAlign w:val="center"/>
          </w:tcPr>
          <w:p w14:paraId="5713E514">
            <w:pPr>
              <w:jc w:val="center"/>
              <w:rPr>
                <w:rFonts w:hint="eastAsia" w:ascii="宋体" w:hAnsi="宋体" w:eastAsia="宋体" w:cs="宋体"/>
                <w:szCs w:val="21"/>
                <w:highlight w:val="none"/>
              </w:rPr>
            </w:pPr>
          </w:p>
        </w:tc>
      </w:tr>
      <w:tr w14:paraId="18E85F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1708" w:type="dxa"/>
            <w:tcBorders>
              <w:top w:val="single" w:color="auto" w:sz="4" w:space="0"/>
              <w:left w:val="single" w:color="auto" w:sz="4" w:space="0"/>
              <w:right w:val="single" w:color="auto" w:sz="4" w:space="0"/>
            </w:tcBorders>
            <w:vAlign w:val="center"/>
          </w:tcPr>
          <w:p w14:paraId="2F45BA75">
            <w:pPr>
              <w:jc w:val="center"/>
              <w:rPr>
                <w:rFonts w:hint="eastAsia" w:ascii="宋体" w:hAnsi="宋体" w:eastAsia="宋体" w:cs="宋体"/>
                <w:szCs w:val="21"/>
                <w:highlight w:val="none"/>
              </w:rPr>
            </w:pPr>
            <w:r>
              <w:rPr>
                <w:rFonts w:hint="eastAsia" w:ascii="宋体" w:hAnsi="宋体" w:eastAsia="宋体" w:cs="宋体"/>
                <w:szCs w:val="21"/>
                <w:highlight w:val="none"/>
              </w:rPr>
              <w:t>投标报价</w:t>
            </w:r>
          </w:p>
        </w:tc>
        <w:tc>
          <w:tcPr>
            <w:tcW w:w="7381" w:type="dxa"/>
            <w:tcBorders>
              <w:top w:val="single" w:color="auto" w:sz="4" w:space="0"/>
              <w:left w:val="single" w:color="auto" w:sz="4" w:space="0"/>
              <w:bottom w:val="single" w:color="auto" w:sz="4" w:space="0"/>
              <w:right w:val="single" w:color="auto" w:sz="4" w:space="0"/>
            </w:tcBorders>
            <w:vAlign w:val="center"/>
          </w:tcPr>
          <w:p w14:paraId="1459108C">
            <w:pPr>
              <w:ind w:firstLine="2730" w:firstLineChars="1300"/>
              <w:rPr>
                <w:rFonts w:hint="eastAsia" w:ascii="宋体" w:hAnsi="宋体" w:eastAsia="宋体" w:cs="宋体"/>
                <w:highlight w:val="none"/>
              </w:rPr>
            </w:pPr>
            <w:r>
              <w:rPr>
                <w:rFonts w:hint="eastAsia" w:ascii="宋体" w:hAnsi="宋体" w:eastAsia="宋体" w:cs="宋体"/>
                <w:highlight w:val="none"/>
              </w:rPr>
              <w:t xml:space="preserve">                   万元</w:t>
            </w:r>
          </w:p>
        </w:tc>
      </w:tr>
      <w:tr w14:paraId="42901B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07521D81">
            <w:pPr>
              <w:jc w:val="center"/>
              <w:rPr>
                <w:rFonts w:hint="eastAsia" w:ascii="宋体" w:hAnsi="宋体" w:eastAsia="宋体" w:cs="宋体"/>
                <w:szCs w:val="21"/>
                <w:highlight w:val="none"/>
              </w:rPr>
            </w:pPr>
            <w:r>
              <w:rPr>
                <w:rFonts w:hint="eastAsia" w:ascii="宋体" w:hAnsi="宋体" w:eastAsia="宋体" w:cs="宋体"/>
                <w:szCs w:val="21"/>
                <w:highlight w:val="none"/>
              </w:rPr>
              <w:t>供货期限</w:t>
            </w:r>
          </w:p>
        </w:tc>
        <w:tc>
          <w:tcPr>
            <w:tcW w:w="7381" w:type="dxa"/>
            <w:tcBorders>
              <w:top w:val="single" w:color="auto" w:sz="4" w:space="0"/>
              <w:left w:val="single" w:color="auto" w:sz="4" w:space="0"/>
              <w:right w:val="single" w:color="auto" w:sz="4" w:space="0"/>
            </w:tcBorders>
            <w:vAlign w:val="center"/>
          </w:tcPr>
          <w:p w14:paraId="70A2C9C4">
            <w:pPr>
              <w:rPr>
                <w:rFonts w:hint="eastAsia" w:ascii="宋体" w:hAnsi="宋体" w:eastAsia="宋体" w:cs="宋体"/>
                <w:szCs w:val="21"/>
                <w:highlight w:val="none"/>
              </w:rPr>
            </w:pPr>
          </w:p>
        </w:tc>
      </w:tr>
      <w:tr w14:paraId="211E98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72635F8D">
            <w:pPr>
              <w:jc w:val="center"/>
              <w:rPr>
                <w:rFonts w:hint="eastAsia" w:ascii="宋体" w:hAnsi="宋体" w:eastAsia="宋体" w:cs="宋体"/>
                <w:szCs w:val="21"/>
                <w:highlight w:val="none"/>
              </w:rPr>
            </w:pPr>
            <w:r>
              <w:rPr>
                <w:rFonts w:hint="eastAsia" w:ascii="宋体" w:hAnsi="宋体" w:eastAsia="宋体" w:cs="宋体"/>
                <w:szCs w:val="21"/>
                <w:highlight w:val="none"/>
              </w:rPr>
              <w:t>质量标准</w:t>
            </w:r>
          </w:p>
        </w:tc>
        <w:tc>
          <w:tcPr>
            <w:tcW w:w="7381" w:type="dxa"/>
            <w:tcBorders>
              <w:top w:val="single" w:color="auto" w:sz="4" w:space="0"/>
              <w:left w:val="single" w:color="auto" w:sz="4" w:space="0"/>
              <w:right w:val="single" w:color="auto" w:sz="4" w:space="0"/>
            </w:tcBorders>
            <w:vAlign w:val="center"/>
          </w:tcPr>
          <w:p w14:paraId="5713CB1C">
            <w:pPr>
              <w:rPr>
                <w:rFonts w:hint="eastAsia" w:ascii="宋体" w:hAnsi="宋体" w:eastAsia="宋体" w:cs="宋体"/>
                <w:szCs w:val="21"/>
                <w:highlight w:val="none"/>
              </w:rPr>
            </w:pPr>
          </w:p>
        </w:tc>
      </w:tr>
      <w:tr w14:paraId="3E9642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5"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237B7684">
            <w:pPr>
              <w:jc w:val="center"/>
              <w:rPr>
                <w:rFonts w:hint="eastAsia" w:ascii="宋体" w:hAnsi="宋体" w:eastAsia="宋体" w:cs="宋体"/>
                <w:szCs w:val="21"/>
                <w:highlight w:val="none"/>
              </w:rPr>
            </w:pPr>
            <w:r>
              <w:rPr>
                <w:rFonts w:hint="eastAsia" w:ascii="宋体" w:hAnsi="宋体" w:eastAsia="宋体" w:cs="宋体"/>
                <w:szCs w:val="21"/>
                <w:highlight w:val="none"/>
              </w:rPr>
              <w:t>备注</w:t>
            </w:r>
          </w:p>
        </w:tc>
        <w:tc>
          <w:tcPr>
            <w:tcW w:w="7381" w:type="dxa"/>
            <w:tcBorders>
              <w:top w:val="single" w:color="auto" w:sz="4" w:space="0"/>
              <w:left w:val="single" w:color="auto" w:sz="4" w:space="0"/>
              <w:bottom w:val="single" w:color="auto" w:sz="4" w:space="0"/>
              <w:right w:val="single" w:color="auto" w:sz="4" w:space="0"/>
            </w:tcBorders>
          </w:tcPr>
          <w:p w14:paraId="69CB3BF8">
            <w:pPr>
              <w:numPr>
                <w:ilvl w:val="0"/>
                <w:numId w:val="0"/>
              </w:numPr>
              <w:ind w:left="360" w:leftChars="0" w:hanging="360" w:firstLineChars="0"/>
              <w:rPr>
                <w:rFonts w:hint="eastAsia" w:ascii="宋体" w:hAnsi="宋体" w:eastAsia="宋体" w:cs="宋体"/>
                <w:szCs w:val="21"/>
                <w:highlight w:val="none"/>
              </w:rPr>
            </w:pPr>
            <w:r>
              <w:rPr>
                <w:rFonts w:hint="eastAsia" w:ascii="宋体" w:hAnsi="宋体" w:eastAsia="宋体" w:cs="宋体"/>
                <w:kern w:val="2"/>
                <w:sz w:val="21"/>
                <w:szCs w:val="21"/>
                <w:lang w:val="en-US" w:eastAsia="zh-CN" w:bidi="ar-SA"/>
              </w:rPr>
              <w:t>1、</w:t>
            </w:r>
            <w:r>
              <w:rPr>
                <w:rFonts w:hint="eastAsia" w:ascii="宋体" w:hAnsi="宋体" w:eastAsia="宋体" w:cs="宋体"/>
                <w:szCs w:val="21"/>
                <w:highlight w:val="none"/>
              </w:rPr>
              <w:t>本表只做唱标时使用，但本表的一切内容均具有法律效力，不得更改。</w:t>
            </w:r>
          </w:p>
          <w:p w14:paraId="1B4A0127">
            <w:pPr>
              <w:numPr>
                <w:ilvl w:val="0"/>
                <w:numId w:val="0"/>
              </w:numPr>
              <w:ind w:left="360" w:leftChars="0" w:hanging="360" w:firstLineChars="0"/>
              <w:rPr>
                <w:rFonts w:hint="eastAsia" w:ascii="宋体" w:hAnsi="宋体" w:eastAsia="宋体" w:cs="宋体"/>
                <w:szCs w:val="21"/>
                <w:highlight w:val="none"/>
              </w:rPr>
            </w:pPr>
            <w:r>
              <w:rPr>
                <w:rFonts w:hint="eastAsia" w:ascii="宋体" w:hAnsi="宋体" w:eastAsia="宋体" w:cs="宋体"/>
                <w:kern w:val="2"/>
                <w:sz w:val="21"/>
                <w:szCs w:val="21"/>
                <w:lang w:val="en-US" w:eastAsia="zh-CN" w:bidi="ar-SA"/>
              </w:rPr>
              <w:t>2、</w:t>
            </w:r>
            <w:r>
              <w:rPr>
                <w:rFonts w:hint="eastAsia" w:ascii="宋体" w:hAnsi="宋体" w:eastAsia="宋体" w:cs="宋体"/>
                <w:szCs w:val="21"/>
                <w:highlight w:val="none"/>
              </w:rPr>
              <w:t>填报的内容必须和投标文件及投标函中的内容一致。</w:t>
            </w:r>
          </w:p>
          <w:p w14:paraId="74E27819">
            <w:pPr>
              <w:numPr>
                <w:ilvl w:val="0"/>
                <w:numId w:val="0"/>
              </w:numPr>
              <w:ind w:left="360" w:leftChars="0" w:hanging="360" w:firstLineChars="0"/>
              <w:rPr>
                <w:rFonts w:hint="eastAsia" w:ascii="宋体" w:hAnsi="宋体" w:eastAsia="宋体" w:cs="宋体"/>
                <w:b/>
                <w:szCs w:val="21"/>
                <w:highlight w:val="none"/>
              </w:rPr>
            </w:pPr>
            <w:r>
              <w:rPr>
                <w:rFonts w:hint="eastAsia" w:ascii="宋体" w:hAnsi="宋体" w:eastAsia="宋体" w:cs="宋体"/>
                <w:kern w:val="2"/>
                <w:sz w:val="21"/>
                <w:szCs w:val="21"/>
                <w:lang w:val="en-US" w:eastAsia="zh-CN" w:bidi="ar-SA"/>
              </w:rPr>
              <w:t>3、</w:t>
            </w:r>
            <w:r>
              <w:rPr>
                <w:rFonts w:hint="eastAsia" w:ascii="宋体" w:hAnsi="宋体" w:eastAsia="宋体" w:cs="宋体"/>
                <w:szCs w:val="21"/>
                <w:highlight w:val="none"/>
              </w:rPr>
              <w:t>投标报价为招标项目涉及到的所有费用总额。小数点后保留后四位。</w:t>
            </w:r>
          </w:p>
        </w:tc>
      </w:tr>
      <w:tr w14:paraId="088BFD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07" w:hRule="atLeast"/>
          <w:jc w:val="center"/>
        </w:trPr>
        <w:tc>
          <w:tcPr>
            <w:tcW w:w="9089" w:type="dxa"/>
            <w:gridSpan w:val="2"/>
            <w:tcBorders>
              <w:top w:val="single" w:color="auto" w:sz="4" w:space="0"/>
              <w:left w:val="single" w:color="auto" w:sz="4" w:space="0"/>
              <w:bottom w:val="single" w:color="auto" w:sz="4" w:space="0"/>
              <w:right w:val="single" w:color="auto" w:sz="4" w:space="0"/>
            </w:tcBorders>
            <w:vAlign w:val="center"/>
          </w:tcPr>
          <w:p w14:paraId="420025E4">
            <w:pPr>
              <w:rPr>
                <w:rFonts w:hint="eastAsia" w:ascii="宋体" w:hAnsi="宋体" w:eastAsia="宋体" w:cs="宋体"/>
                <w:szCs w:val="21"/>
                <w:highlight w:val="none"/>
              </w:rPr>
            </w:pPr>
          </w:p>
          <w:p w14:paraId="6C757BE0">
            <w:pPr>
              <w:rPr>
                <w:rFonts w:hint="eastAsia" w:ascii="宋体" w:hAnsi="宋体" w:eastAsia="宋体" w:cs="宋体"/>
                <w:szCs w:val="21"/>
                <w:highlight w:val="none"/>
              </w:rPr>
            </w:pPr>
            <w:r>
              <w:rPr>
                <w:rFonts w:hint="eastAsia" w:ascii="宋体" w:hAnsi="宋体" w:eastAsia="宋体" w:cs="宋体"/>
                <w:szCs w:val="21"/>
                <w:highlight w:val="none"/>
                <w:lang w:eastAsia="zh-CN"/>
              </w:rPr>
              <w:t>供应商</w:t>
            </w:r>
            <w:r>
              <w:rPr>
                <w:rFonts w:hint="eastAsia" w:ascii="宋体" w:hAnsi="宋体" w:eastAsia="宋体" w:cs="宋体"/>
                <w:szCs w:val="21"/>
                <w:highlight w:val="none"/>
              </w:rPr>
              <w:t>：（盖章）                                   被授权人：（签字或盖章）</w:t>
            </w:r>
          </w:p>
          <w:p w14:paraId="4A02C31A">
            <w:pPr>
              <w:rPr>
                <w:rFonts w:hint="eastAsia" w:ascii="宋体" w:hAnsi="宋体" w:eastAsia="宋体" w:cs="宋体"/>
                <w:szCs w:val="21"/>
                <w:highlight w:val="none"/>
              </w:rPr>
            </w:pPr>
          </w:p>
        </w:tc>
      </w:tr>
    </w:tbl>
    <w:p w14:paraId="278D7F5E">
      <w:pPr>
        <w:spacing w:line="440" w:lineRule="exact"/>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br w:type="page"/>
      </w:r>
    </w:p>
    <w:p w14:paraId="618C61EC">
      <w:pPr>
        <w:pStyle w:val="4"/>
        <w:jc w:val="center"/>
        <w:rPr>
          <w:rFonts w:hint="eastAsia" w:ascii="宋体" w:hAnsi="宋体" w:eastAsia="宋体" w:cs="宋体"/>
          <w:highlight w:val="none"/>
        </w:rPr>
      </w:pPr>
      <w:bookmarkStart w:id="139" w:name="_Toc49350824"/>
      <w:bookmarkStart w:id="140" w:name="_Toc49407755"/>
      <w:bookmarkStart w:id="141" w:name="_Toc62484152"/>
      <w:bookmarkStart w:id="142" w:name="_Toc34654718"/>
      <w:bookmarkStart w:id="143" w:name="_Toc152042580"/>
      <w:bookmarkStart w:id="144" w:name="_Toc364783096"/>
      <w:bookmarkStart w:id="145" w:name="_Toc144974860"/>
      <w:bookmarkStart w:id="146" w:name="_Toc359315412"/>
      <w:bookmarkStart w:id="147" w:name="_Toc152045791"/>
      <w:bookmarkStart w:id="148" w:name="_Toc247085877"/>
      <w:bookmarkStart w:id="149" w:name="_Toc246996359"/>
      <w:bookmarkStart w:id="150" w:name="_Toc179632811"/>
      <w:bookmarkStart w:id="151" w:name="_Toc350070697"/>
      <w:bookmarkStart w:id="152" w:name="_Toc246997102"/>
      <w:r>
        <w:rPr>
          <w:rFonts w:hint="eastAsia" w:ascii="宋体" w:hAnsi="宋体" w:eastAsia="宋体" w:cs="宋体"/>
          <w:highlight w:val="none"/>
        </w:rPr>
        <w:t>三、法定代表人身份证明或附有法定代表人身份证明的授权委托书</w:t>
      </w:r>
      <w:bookmarkEnd w:id="139"/>
      <w:bookmarkEnd w:id="140"/>
      <w:bookmarkEnd w:id="141"/>
      <w:bookmarkEnd w:id="142"/>
    </w:p>
    <w:p w14:paraId="4EF6FFF6">
      <w:pPr>
        <w:pStyle w:val="4"/>
        <w:jc w:val="center"/>
        <w:rPr>
          <w:rFonts w:hint="eastAsia" w:ascii="宋体" w:hAnsi="宋体" w:eastAsia="宋体" w:cs="宋体"/>
          <w:highlight w:val="none"/>
        </w:rPr>
      </w:pPr>
      <w:bookmarkStart w:id="153" w:name="_Toc62484153"/>
      <w:bookmarkStart w:id="154" w:name="_Toc49350825"/>
      <w:bookmarkStart w:id="155" w:name="_Toc34654719"/>
      <w:bookmarkStart w:id="156" w:name="_Toc49407756"/>
      <w:r>
        <w:rPr>
          <w:rFonts w:hint="eastAsia" w:ascii="宋体" w:hAnsi="宋体" w:eastAsia="宋体" w:cs="宋体"/>
          <w:highlight w:val="none"/>
        </w:rPr>
        <w:t>（一）法定代表人身份证明</w:t>
      </w:r>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p>
    <w:p w14:paraId="7099FBAB">
      <w:pPr>
        <w:spacing w:line="440" w:lineRule="exact"/>
        <w:rPr>
          <w:rFonts w:hint="eastAsia" w:ascii="宋体" w:hAnsi="宋体" w:eastAsia="宋体" w:cs="宋体"/>
          <w:sz w:val="20"/>
          <w:szCs w:val="20"/>
          <w:highlight w:val="none"/>
        </w:rPr>
      </w:pPr>
    </w:p>
    <w:p w14:paraId="1B8F42DE">
      <w:pPr>
        <w:spacing w:line="440" w:lineRule="exact"/>
        <w:rPr>
          <w:rFonts w:hint="eastAsia" w:ascii="宋体" w:hAnsi="宋体" w:eastAsia="宋体" w:cs="宋体"/>
          <w:szCs w:val="21"/>
          <w:highlight w:val="none"/>
        </w:rPr>
      </w:pPr>
    </w:p>
    <w:p w14:paraId="3A866714">
      <w:pPr>
        <w:spacing w:line="440" w:lineRule="exact"/>
        <w:rPr>
          <w:rFonts w:hint="eastAsia" w:ascii="宋体" w:hAnsi="宋体" w:eastAsia="宋体" w:cs="宋体"/>
          <w:szCs w:val="21"/>
          <w:highlight w:val="none"/>
        </w:rPr>
      </w:pPr>
      <w:r>
        <w:rPr>
          <w:rFonts w:hint="eastAsia" w:ascii="宋体" w:hAnsi="宋体" w:eastAsia="宋体" w:cs="宋体"/>
          <w:szCs w:val="21"/>
          <w:highlight w:val="none"/>
          <w:lang w:eastAsia="zh-CN"/>
        </w:rPr>
        <w:t>供应商</w:t>
      </w:r>
      <w:r>
        <w:rPr>
          <w:rFonts w:hint="eastAsia" w:ascii="宋体" w:hAnsi="宋体" w:eastAsia="宋体" w:cs="宋体"/>
          <w:szCs w:val="21"/>
          <w:highlight w:val="none"/>
        </w:rPr>
        <w:t>名称：</w:t>
      </w:r>
    </w:p>
    <w:p w14:paraId="66CBD1F1">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单位性质：</w:t>
      </w:r>
    </w:p>
    <w:p w14:paraId="6F89C4D2">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地址：</w:t>
      </w:r>
    </w:p>
    <w:p w14:paraId="780F9AC5">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成立时间：   年     月     日</w:t>
      </w:r>
    </w:p>
    <w:p w14:paraId="5432F4A1">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经营期限：</w:t>
      </w:r>
    </w:p>
    <w:p w14:paraId="2D53D50E">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姓名：               性别：        年龄：             职务：</w:t>
      </w:r>
    </w:p>
    <w:p w14:paraId="4998F27D">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系（</w:t>
      </w:r>
      <w:r>
        <w:rPr>
          <w:rFonts w:hint="eastAsia" w:ascii="宋体" w:hAnsi="宋体" w:eastAsia="宋体" w:cs="宋体"/>
          <w:szCs w:val="21"/>
          <w:highlight w:val="none"/>
          <w:lang w:eastAsia="zh-CN"/>
        </w:rPr>
        <w:t>供应商</w:t>
      </w:r>
      <w:r>
        <w:rPr>
          <w:rFonts w:hint="eastAsia" w:ascii="宋体" w:hAnsi="宋体" w:eastAsia="宋体" w:cs="宋体"/>
          <w:szCs w:val="21"/>
          <w:highlight w:val="none"/>
        </w:rPr>
        <w:t>名称）的法定代表人。</w:t>
      </w:r>
    </w:p>
    <w:p w14:paraId="247646DC">
      <w:pPr>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特此证明。</w:t>
      </w:r>
    </w:p>
    <w:p w14:paraId="00EEB1BE">
      <w:pPr>
        <w:spacing w:line="440" w:lineRule="exact"/>
        <w:rPr>
          <w:rFonts w:hint="eastAsia" w:ascii="宋体" w:hAnsi="宋体" w:eastAsia="宋体" w:cs="宋体"/>
          <w:szCs w:val="21"/>
          <w:highlight w:val="none"/>
        </w:rPr>
      </w:pPr>
    </w:p>
    <w:p w14:paraId="662F06C6">
      <w:pPr>
        <w:spacing w:line="440" w:lineRule="exact"/>
        <w:rPr>
          <w:rFonts w:hint="eastAsia" w:ascii="宋体" w:hAnsi="宋体" w:eastAsia="宋体" w:cs="宋体"/>
          <w:szCs w:val="21"/>
          <w:highlight w:val="none"/>
        </w:rPr>
      </w:pPr>
    </w:p>
    <w:p w14:paraId="2CE67AC7">
      <w:pPr>
        <w:spacing w:line="440" w:lineRule="exact"/>
        <w:jc w:val="right"/>
        <w:rPr>
          <w:rFonts w:hint="eastAsia" w:ascii="宋体" w:hAnsi="宋体" w:eastAsia="宋体" w:cs="宋体"/>
          <w:szCs w:val="21"/>
          <w:highlight w:val="none"/>
        </w:rPr>
      </w:pPr>
      <w:r>
        <w:rPr>
          <w:rFonts w:hint="eastAsia" w:ascii="宋体" w:hAnsi="宋体" w:eastAsia="宋体" w:cs="宋体"/>
          <w:szCs w:val="21"/>
          <w:highlight w:val="none"/>
          <w:lang w:eastAsia="zh-CN"/>
        </w:rPr>
        <w:t>供应商</w:t>
      </w:r>
      <w:r>
        <w:rPr>
          <w:rFonts w:hint="eastAsia" w:ascii="宋体" w:hAnsi="宋体" w:eastAsia="宋体" w:cs="宋体"/>
          <w:szCs w:val="21"/>
          <w:highlight w:val="none"/>
        </w:rPr>
        <w:t>：（盖单位章）</w:t>
      </w:r>
    </w:p>
    <w:p w14:paraId="686382FD">
      <w:pPr>
        <w:spacing w:line="440" w:lineRule="exact"/>
        <w:jc w:val="right"/>
        <w:rPr>
          <w:rFonts w:hint="eastAsia" w:ascii="宋体" w:hAnsi="宋体" w:eastAsia="宋体" w:cs="宋体"/>
          <w:szCs w:val="21"/>
          <w:highlight w:val="none"/>
        </w:rPr>
      </w:pPr>
      <w:r>
        <w:rPr>
          <w:rFonts w:hint="eastAsia" w:ascii="宋体" w:hAnsi="宋体" w:eastAsia="宋体" w:cs="宋体"/>
          <w:szCs w:val="21"/>
          <w:highlight w:val="none"/>
        </w:rPr>
        <w:t>年   月   日</w:t>
      </w:r>
    </w:p>
    <w:p w14:paraId="4226D004">
      <w:pPr>
        <w:spacing w:line="440" w:lineRule="exact"/>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br w:type="page"/>
      </w:r>
    </w:p>
    <w:p w14:paraId="1F2FF24B">
      <w:pPr>
        <w:pStyle w:val="4"/>
        <w:jc w:val="center"/>
        <w:rPr>
          <w:rFonts w:hint="eastAsia" w:ascii="宋体" w:hAnsi="宋体" w:eastAsia="宋体" w:cs="宋体"/>
          <w:highlight w:val="none"/>
        </w:rPr>
      </w:pPr>
      <w:bookmarkStart w:id="157" w:name="_Toc364783097"/>
      <w:bookmarkStart w:id="158" w:name="_Toc144974861"/>
      <w:bookmarkStart w:id="159" w:name="_Toc246996360"/>
      <w:bookmarkStart w:id="160" w:name="_Toc152042581"/>
      <w:bookmarkStart w:id="161" w:name="_Toc62484154"/>
      <w:bookmarkStart w:id="162" w:name="_Toc49350826"/>
      <w:bookmarkStart w:id="163" w:name="_Toc49407757"/>
      <w:bookmarkStart w:id="164" w:name="_Toc179632812"/>
      <w:bookmarkStart w:id="165" w:name="_Toc350070698"/>
      <w:bookmarkStart w:id="166" w:name="_Toc246997103"/>
      <w:bookmarkStart w:id="167" w:name="_Toc359315413"/>
      <w:bookmarkStart w:id="168" w:name="_Toc34654720"/>
      <w:bookmarkStart w:id="169" w:name="_Toc247085878"/>
      <w:bookmarkStart w:id="170" w:name="_Toc152045792"/>
      <w:r>
        <w:rPr>
          <w:rFonts w:hint="eastAsia" w:ascii="宋体" w:hAnsi="宋体" w:eastAsia="宋体" w:cs="宋体"/>
          <w:highlight w:val="none"/>
        </w:rPr>
        <w:t>（二）授权委托书</w:t>
      </w:r>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p>
    <w:p w14:paraId="1FA5F054">
      <w:pPr>
        <w:spacing w:line="440" w:lineRule="exact"/>
        <w:rPr>
          <w:rFonts w:hint="eastAsia" w:ascii="宋体" w:hAnsi="宋体" w:eastAsia="宋体" w:cs="宋体"/>
          <w:szCs w:val="21"/>
          <w:highlight w:val="none"/>
        </w:rPr>
      </w:pPr>
    </w:p>
    <w:p w14:paraId="7F214BC4">
      <w:pPr>
        <w:topLinePunct/>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本人（姓名）系（</w:t>
      </w:r>
      <w:r>
        <w:rPr>
          <w:rFonts w:hint="eastAsia" w:ascii="宋体" w:hAnsi="宋体" w:eastAsia="宋体" w:cs="宋体"/>
          <w:szCs w:val="21"/>
          <w:highlight w:val="none"/>
          <w:lang w:eastAsia="zh-CN"/>
        </w:rPr>
        <w:t>供应商</w:t>
      </w:r>
      <w:r>
        <w:rPr>
          <w:rFonts w:hint="eastAsia" w:ascii="宋体" w:hAnsi="宋体" w:eastAsia="宋体" w:cs="宋体"/>
          <w:szCs w:val="21"/>
          <w:highlight w:val="none"/>
        </w:rPr>
        <w:t>名称）的法定代表人，现委托（姓名）为我方代理人。代理人根据授权，以我方名义签署、澄清、说明、补正、递交、撤回、修改（项目名称）投标文件、签订合同和处理有关事宜，其法律后果由我方承担。</w:t>
      </w:r>
    </w:p>
    <w:p w14:paraId="51A86334">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委托期限：。</w:t>
      </w:r>
    </w:p>
    <w:p w14:paraId="52BA0098">
      <w:pPr>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代理人无转委托权。</w:t>
      </w:r>
    </w:p>
    <w:p w14:paraId="2B4D7B9F">
      <w:pPr>
        <w:spacing w:line="440" w:lineRule="exact"/>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附：法定代表人及被授权人身份证复印件</w:t>
      </w:r>
    </w:p>
    <w:p w14:paraId="5F4E4B30">
      <w:pPr>
        <w:spacing w:line="440" w:lineRule="exact"/>
        <w:rPr>
          <w:rFonts w:hint="eastAsia" w:ascii="宋体" w:hAnsi="宋体" w:eastAsia="宋体" w:cs="宋体"/>
          <w:szCs w:val="21"/>
          <w:highlight w:val="none"/>
        </w:rPr>
      </w:pPr>
    </w:p>
    <w:p w14:paraId="565BF130">
      <w:pPr>
        <w:spacing w:line="440" w:lineRule="exact"/>
        <w:rPr>
          <w:rFonts w:hint="eastAsia" w:ascii="宋体" w:hAnsi="宋体" w:eastAsia="宋体" w:cs="宋体"/>
          <w:szCs w:val="21"/>
          <w:highlight w:val="none"/>
        </w:rPr>
      </w:pPr>
    </w:p>
    <w:p w14:paraId="647ADEA7">
      <w:pPr>
        <w:spacing w:line="440" w:lineRule="exact"/>
        <w:rPr>
          <w:rFonts w:hint="eastAsia" w:ascii="宋体" w:hAnsi="宋体" w:eastAsia="宋体" w:cs="宋体"/>
          <w:szCs w:val="21"/>
          <w:highlight w:val="none"/>
        </w:rPr>
      </w:pPr>
      <w:r>
        <w:rPr>
          <w:rFonts w:hint="eastAsia" w:ascii="宋体" w:hAnsi="宋体" w:eastAsia="宋体" w:cs="宋体"/>
          <w:szCs w:val="21"/>
          <w:highlight w:val="none"/>
          <w:lang w:eastAsia="zh-CN"/>
        </w:rPr>
        <w:t>供应商</w:t>
      </w:r>
      <w:r>
        <w:rPr>
          <w:rFonts w:hint="eastAsia" w:ascii="宋体" w:hAnsi="宋体" w:eastAsia="宋体" w:cs="宋体"/>
          <w:szCs w:val="21"/>
          <w:highlight w:val="none"/>
        </w:rPr>
        <w:t>：（盖单位章）</w:t>
      </w:r>
    </w:p>
    <w:p w14:paraId="03C913EF">
      <w:pPr>
        <w:spacing w:line="440" w:lineRule="exact"/>
        <w:rPr>
          <w:rFonts w:hint="eastAsia" w:ascii="宋体" w:hAnsi="宋体" w:eastAsia="宋体" w:cs="宋体"/>
          <w:szCs w:val="21"/>
          <w:highlight w:val="none"/>
        </w:rPr>
      </w:pPr>
    </w:p>
    <w:p w14:paraId="0D2A5950">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法定代表人：（签字）</w:t>
      </w:r>
    </w:p>
    <w:p w14:paraId="778CA515">
      <w:pPr>
        <w:spacing w:line="440" w:lineRule="exact"/>
        <w:rPr>
          <w:rFonts w:hint="eastAsia" w:ascii="宋体" w:hAnsi="宋体" w:eastAsia="宋体" w:cs="宋体"/>
          <w:szCs w:val="21"/>
          <w:highlight w:val="none"/>
        </w:rPr>
      </w:pPr>
    </w:p>
    <w:p w14:paraId="43E1B510">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身份证号码：</w:t>
      </w:r>
    </w:p>
    <w:p w14:paraId="14F578F9">
      <w:pPr>
        <w:spacing w:line="440" w:lineRule="exact"/>
        <w:rPr>
          <w:rFonts w:hint="eastAsia" w:ascii="宋体" w:hAnsi="宋体" w:eastAsia="宋体" w:cs="宋体"/>
          <w:szCs w:val="21"/>
          <w:highlight w:val="none"/>
        </w:rPr>
      </w:pPr>
    </w:p>
    <w:p w14:paraId="3E844860">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委托代理人：（签字）</w:t>
      </w:r>
    </w:p>
    <w:p w14:paraId="1F22993A">
      <w:pPr>
        <w:spacing w:line="440" w:lineRule="exact"/>
        <w:rPr>
          <w:rFonts w:hint="eastAsia" w:ascii="宋体" w:hAnsi="宋体" w:eastAsia="宋体" w:cs="宋体"/>
          <w:szCs w:val="21"/>
          <w:highlight w:val="none"/>
        </w:rPr>
      </w:pPr>
    </w:p>
    <w:p w14:paraId="7D62D843">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身份证号码：</w:t>
      </w:r>
    </w:p>
    <w:p w14:paraId="54ABB2CB">
      <w:pPr>
        <w:spacing w:line="440" w:lineRule="exact"/>
        <w:rPr>
          <w:rFonts w:hint="eastAsia" w:ascii="宋体" w:hAnsi="宋体" w:eastAsia="宋体" w:cs="宋体"/>
          <w:szCs w:val="21"/>
          <w:highlight w:val="none"/>
        </w:rPr>
      </w:pPr>
    </w:p>
    <w:p w14:paraId="697AA5BA">
      <w:pPr>
        <w:spacing w:line="440" w:lineRule="exact"/>
        <w:rPr>
          <w:rFonts w:hint="eastAsia" w:ascii="宋体" w:hAnsi="宋体" w:eastAsia="宋体" w:cs="宋体"/>
          <w:szCs w:val="21"/>
          <w:highlight w:val="none"/>
        </w:rPr>
      </w:pPr>
    </w:p>
    <w:p w14:paraId="26A49C81">
      <w:pPr>
        <w:spacing w:line="440" w:lineRule="exact"/>
        <w:ind w:firstLine="2310" w:firstLineChars="1100"/>
        <w:rPr>
          <w:rFonts w:hint="eastAsia" w:ascii="宋体" w:hAnsi="宋体" w:eastAsia="宋体" w:cs="宋体"/>
          <w:szCs w:val="21"/>
          <w:highlight w:val="none"/>
        </w:rPr>
      </w:pPr>
      <w:r>
        <w:rPr>
          <w:rFonts w:hint="eastAsia" w:ascii="宋体" w:hAnsi="宋体" w:eastAsia="宋体" w:cs="宋体"/>
          <w:szCs w:val="21"/>
          <w:highlight w:val="none"/>
        </w:rPr>
        <w:t>年   月   日</w:t>
      </w:r>
    </w:p>
    <w:p w14:paraId="58799922">
      <w:pPr>
        <w:spacing w:line="400" w:lineRule="exact"/>
        <w:rPr>
          <w:rFonts w:hint="eastAsia" w:ascii="宋体" w:hAnsi="宋体" w:eastAsia="宋体" w:cs="宋体"/>
          <w:highlight w:val="none"/>
        </w:rPr>
      </w:pPr>
      <w:r>
        <w:rPr>
          <w:rFonts w:hint="eastAsia" w:ascii="宋体" w:hAnsi="宋体" w:eastAsia="宋体" w:cs="宋体"/>
          <w:sz w:val="20"/>
          <w:szCs w:val="20"/>
          <w:highlight w:val="none"/>
        </w:rPr>
        <w:br w:type="page"/>
      </w:r>
    </w:p>
    <w:p w14:paraId="370F9264">
      <w:pPr>
        <w:pStyle w:val="4"/>
        <w:jc w:val="center"/>
        <w:rPr>
          <w:rFonts w:hint="eastAsia" w:ascii="宋体" w:hAnsi="宋体" w:eastAsia="宋体" w:cs="宋体"/>
          <w:highlight w:val="none"/>
        </w:rPr>
      </w:pPr>
      <w:bookmarkStart w:id="171" w:name="_Toc49350828"/>
      <w:bookmarkStart w:id="172" w:name="_Toc49407759"/>
      <w:bookmarkStart w:id="173" w:name="_Toc62484156"/>
      <w:bookmarkStart w:id="174" w:name="_Toc246997106"/>
      <w:bookmarkStart w:id="175" w:name="_Toc247085881"/>
      <w:bookmarkStart w:id="176" w:name="_Toc144974863"/>
      <w:bookmarkStart w:id="177" w:name="_Toc350070700"/>
      <w:bookmarkStart w:id="178" w:name="_Toc246996363"/>
      <w:bookmarkStart w:id="179" w:name="_Toc152042584"/>
      <w:bookmarkStart w:id="180" w:name="_Toc179632815"/>
      <w:bookmarkStart w:id="181" w:name="_Toc152045795"/>
      <w:r>
        <w:rPr>
          <w:rFonts w:hint="eastAsia" w:ascii="宋体" w:hAnsi="宋体" w:eastAsia="宋体" w:cs="宋体"/>
          <w:highlight w:val="none"/>
          <w:lang w:eastAsia="zh-CN"/>
        </w:rPr>
        <w:t>四</w:t>
      </w:r>
      <w:r>
        <w:rPr>
          <w:rFonts w:hint="eastAsia" w:ascii="宋体" w:hAnsi="宋体" w:eastAsia="宋体" w:cs="宋体"/>
          <w:highlight w:val="none"/>
        </w:rPr>
        <w:t>、投标报价明细表</w:t>
      </w:r>
      <w:bookmarkEnd w:id="171"/>
      <w:bookmarkEnd w:id="172"/>
      <w:bookmarkEnd w:id="173"/>
    </w:p>
    <w:bookmarkEnd w:id="174"/>
    <w:bookmarkEnd w:id="175"/>
    <w:bookmarkEnd w:id="176"/>
    <w:bookmarkEnd w:id="177"/>
    <w:bookmarkEnd w:id="178"/>
    <w:bookmarkEnd w:id="179"/>
    <w:bookmarkEnd w:id="180"/>
    <w:bookmarkEnd w:id="181"/>
    <w:tbl>
      <w:tblPr>
        <w:tblStyle w:val="36"/>
        <w:tblW w:w="9276" w:type="dxa"/>
        <w:tblInd w:w="8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
        <w:gridCol w:w="2281"/>
        <w:gridCol w:w="1075"/>
        <w:gridCol w:w="1180"/>
        <w:gridCol w:w="1623"/>
        <w:gridCol w:w="2249"/>
      </w:tblGrid>
      <w:tr w14:paraId="29A69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trPr>
        <w:tc>
          <w:tcPr>
            <w:tcW w:w="9276" w:type="dxa"/>
            <w:gridSpan w:val="6"/>
            <w:vAlign w:val="center"/>
          </w:tcPr>
          <w:p w14:paraId="08C60EFF">
            <w:pPr>
              <w:spacing w:line="288" w:lineRule="auto"/>
              <w:rPr>
                <w:rFonts w:ascii="宋体" w:hAnsi="宋体" w:cs="宋体"/>
                <w:b/>
                <w:sz w:val="24"/>
                <w:szCs w:val="24"/>
              </w:rPr>
            </w:pPr>
            <w:r>
              <w:rPr>
                <w:rFonts w:hint="eastAsia" w:ascii="宋体" w:hAnsi="宋体" w:cs="宋体"/>
                <w:b/>
                <w:bCs/>
                <w:sz w:val="24"/>
                <w:szCs w:val="24"/>
              </w:rPr>
              <w:t xml:space="preserve">项目名称：                                     </w:t>
            </w:r>
            <w:r>
              <w:rPr>
                <w:rFonts w:hint="eastAsia" w:ascii="宋体" w:hAnsi="宋体" w:cs="宋体"/>
                <w:b/>
                <w:sz w:val="24"/>
                <w:szCs w:val="24"/>
              </w:rPr>
              <w:t>项目编号：</w:t>
            </w:r>
          </w:p>
        </w:tc>
      </w:tr>
      <w:tr w14:paraId="0055C9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rPr>
        <w:tc>
          <w:tcPr>
            <w:tcW w:w="9276" w:type="dxa"/>
            <w:gridSpan w:val="6"/>
            <w:vAlign w:val="center"/>
          </w:tcPr>
          <w:p w14:paraId="7F9C15EE">
            <w:pPr>
              <w:spacing w:line="288" w:lineRule="auto"/>
              <w:rPr>
                <w:rFonts w:ascii="宋体" w:hAnsi="宋体" w:cs="宋体"/>
                <w:sz w:val="24"/>
                <w:szCs w:val="24"/>
              </w:rPr>
            </w:pPr>
            <w:r>
              <w:rPr>
                <w:rFonts w:hint="eastAsia" w:ascii="宋体" w:hAnsi="宋体" w:cs="宋体"/>
                <w:sz w:val="24"/>
                <w:szCs w:val="24"/>
              </w:rPr>
              <w:t>货物明细表：（单位：元）</w:t>
            </w:r>
          </w:p>
        </w:tc>
      </w:tr>
      <w:tr w14:paraId="23803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68" w:type="dxa"/>
            <w:vAlign w:val="center"/>
          </w:tcPr>
          <w:p w14:paraId="67D1974D">
            <w:pPr>
              <w:spacing w:line="288" w:lineRule="auto"/>
              <w:jc w:val="center"/>
              <w:rPr>
                <w:rFonts w:ascii="宋体" w:hAnsi="宋体" w:cs="宋体"/>
                <w:sz w:val="24"/>
                <w:szCs w:val="24"/>
              </w:rPr>
            </w:pPr>
            <w:r>
              <w:rPr>
                <w:rFonts w:hint="eastAsia" w:ascii="宋体" w:hAnsi="宋体" w:cs="宋体"/>
                <w:sz w:val="24"/>
                <w:szCs w:val="24"/>
              </w:rPr>
              <w:t>序号</w:t>
            </w:r>
          </w:p>
        </w:tc>
        <w:tc>
          <w:tcPr>
            <w:tcW w:w="2281" w:type="dxa"/>
            <w:vAlign w:val="center"/>
          </w:tcPr>
          <w:p w14:paraId="0868005A">
            <w:pPr>
              <w:spacing w:line="288" w:lineRule="auto"/>
              <w:jc w:val="center"/>
              <w:rPr>
                <w:rFonts w:ascii="宋体" w:hAnsi="宋体" w:cs="宋体"/>
                <w:sz w:val="24"/>
                <w:szCs w:val="24"/>
              </w:rPr>
            </w:pPr>
            <w:r>
              <w:rPr>
                <w:rFonts w:hint="eastAsia" w:ascii="宋体" w:hAnsi="宋体" w:cs="宋体"/>
                <w:sz w:val="24"/>
                <w:szCs w:val="24"/>
              </w:rPr>
              <w:t>货物名称</w:t>
            </w:r>
          </w:p>
        </w:tc>
        <w:tc>
          <w:tcPr>
            <w:tcW w:w="1075" w:type="dxa"/>
            <w:vAlign w:val="center"/>
          </w:tcPr>
          <w:p w14:paraId="3783141E">
            <w:pPr>
              <w:spacing w:line="288" w:lineRule="auto"/>
              <w:jc w:val="center"/>
              <w:rPr>
                <w:rFonts w:ascii="宋体" w:hAnsi="宋体" w:cs="宋体"/>
                <w:sz w:val="24"/>
                <w:szCs w:val="24"/>
              </w:rPr>
            </w:pPr>
            <w:r>
              <w:rPr>
                <w:rFonts w:hint="eastAsia" w:ascii="宋体" w:hAnsi="宋体" w:cs="宋体"/>
                <w:sz w:val="24"/>
                <w:szCs w:val="24"/>
              </w:rPr>
              <w:t>品牌型号</w:t>
            </w:r>
          </w:p>
        </w:tc>
        <w:tc>
          <w:tcPr>
            <w:tcW w:w="1180" w:type="dxa"/>
            <w:vAlign w:val="center"/>
          </w:tcPr>
          <w:p w14:paraId="11C43F52">
            <w:pPr>
              <w:spacing w:line="288" w:lineRule="auto"/>
              <w:jc w:val="center"/>
              <w:rPr>
                <w:rFonts w:ascii="宋体" w:hAnsi="宋体" w:cs="宋体"/>
                <w:sz w:val="24"/>
                <w:szCs w:val="24"/>
              </w:rPr>
            </w:pPr>
            <w:r>
              <w:rPr>
                <w:rFonts w:hint="eastAsia" w:ascii="宋体" w:hAnsi="宋体" w:cs="宋体"/>
                <w:sz w:val="24"/>
                <w:szCs w:val="24"/>
              </w:rPr>
              <w:t>数量</w:t>
            </w:r>
          </w:p>
        </w:tc>
        <w:tc>
          <w:tcPr>
            <w:tcW w:w="1623" w:type="dxa"/>
            <w:vAlign w:val="center"/>
          </w:tcPr>
          <w:p w14:paraId="07B64E9B">
            <w:pPr>
              <w:spacing w:line="288" w:lineRule="auto"/>
              <w:jc w:val="center"/>
              <w:rPr>
                <w:rFonts w:ascii="宋体" w:hAnsi="宋体" w:cs="宋体"/>
                <w:sz w:val="24"/>
                <w:szCs w:val="24"/>
              </w:rPr>
            </w:pPr>
            <w:r>
              <w:rPr>
                <w:rFonts w:hint="eastAsia" w:ascii="宋体" w:hAnsi="宋体" w:cs="宋体"/>
                <w:sz w:val="24"/>
                <w:szCs w:val="24"/>
              </w:rPr>
              <w:t>单价</w:t>
            </w:r>
          </w:p>
        </w:tc>
        <w:tc>
          <w:tcPr>
            <w:tcW w:w="2249" w:type="dxa"/>
            <w:vAlign w:val="center"/>
          </w:tcPr>
          <w:p w14:paraId="7D5B5A8D">
            <w:pPr>
              <w:spacing w:line="288" w:lineRule="auto"/>
              <w:jc w:val="center"/>
              <w:rPr>
                <w:rFonts w:ascii="宋体" w:hAnsi="宋体" w:cs="宋体"/>
                <w:sz w:val="24"/>
                <w:szCs w:val="24"/>
              </w:rPr>
            </w:pPr>
            <w:r>
              <w:rPr>
                <w:rFonts w:hint="eastAsia" w:ascii="宋体" w:hAnsi="宋体" w:cs="宋体"/>
                <w:sz w:val="24"/>
                <w:szCs w:val="24"/>
              </w:rPr>
              <w:t>分项总价</w:t>
            </w:r>
          </w:p>
        </w:tc>
      </w:tr>
      <w:tr w14:paraId="04C05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68" w:type="dxa"/>
            <w:vAlign w:val="center"/>
          </w:tcPr>
          <w:p w14:paraId="7500C1F9">
            <w:pPr>
              <w:spacing w:line="288" w:lineRule="auto"/>
              <w:jc w:val="center"/>
              <w:rPr>
                <w:rFonts w:ascii="宋体" w:hAnsi="宋体" w:cs="宋体"/>
                <w:sz w:val="24"/>
                <w:szCs w:val="24"/>
              </w:rPr>
            </w:pPr>
          </w:p>
        </w:tc>
        <w:tc>
          <w:tcPr>
            <w:tcW w:w="2281" w:type="dxa"/>
            <w:vAlign w:val="center"/>
          </w:tcPr>
          <w:p w14:paraId="59F7775B">
            <w:pPr>
              <w:spacing w:line="288" w:lineRule="auto"/>
              <w:jc w:val="center"/>
              <w:rPr>
                <w:rFonts w:ascii="宋体" w:hAnsi="宋体" w:cs="宋体"/>
                <w:sz w:val="24"/>
                <w:szCs w:val="24"/>
              </w:rPr>
            </w:pPr>
          </w:p>
        </w:tc>
        <w:tc>
          <w:tcPr>
            <w:tcW w:w="1075" w:type="dxa"/>
            <w:vAlign w:val="center"/>
          </w:tcPr>
          <w:p w14:paraId="03A77048">
            <w:pPr>
              <w:spacing w:line="288" w:lineRule="auto"/>
              <w:jc w:val="center"/>
              <w:rPr>
                <w:rFonts w:ascii="宋体" w:hAnsi="宋体" w:cs="宋体"/>
                <w:sz w:val="24"/>
                <w:szCs w:val="24"/>
              </w:rPr>
            </w:pPr>
          </w:p>
        </w:tc>
        <w:tc>
          <w:tcPr>
            <w:tcW w:w="1180" w:type="dxa"/>
            <w:vAlign w:val="center"/>
          </w:tcPr>
          <w:p w14:paraId="2034134A">
            <w:pPr>
              <w:spacing w:line="288" w:lineRule="auto"/>
              <w:jc w:val="center"/>
              <w:rPr>
                <w:rFonts w:ascii="宋体" w:hAnsi="宋体" w:cs="宋体"/>
                <w:sz w:val="24"/>
                <w:szCs w:val="24"/>
              </w:rPr>
            </w:pPr>
          </w:p>
        </w:tc>
        <w:tc>
          <w:tcPr>
            <w:tcW w:w="1623" w:type="dxa"/>
            <w:vAlign w:val="center"/>
          </w:tcPr>
          <w:p w14:paraId="3B5E0657">
            <w:pPr>
              <w:spacing w:line="288" w:lineRule="auto"/>
              <w:jc w:val="center"/>
              <w:rPr>
                <w:rFonts w:ascii="宋体" w:hAnsi="宋体" w:cs="宋体"/>
                <w:sz w:val="24"/>
                <w:szCs w:val="24"/>
              </w:rPr>
            </w:pPr>
          </w:p>
        </w:tc>
        <w:tc>
          <w:tcPr>
            <w:tcW w:w="2249" w:type="dxa"/>
            <w:vAlign w:val="center"/>
          </w:tcPr>
          <w:p w14:paraId="142DFBE5">
            <w:pPr>
              <w:spacing w:line="288" w:lineRule="auto"/>
              <w:jc w:val="center"/>
              <w:rPr>
                <w:rFonts w:ascii="宋体" w:hAnsi="宋体" w:cs="宋体"/>
                <w:sz w:val="24"/>
                <w:szCs w:val="24"/>
              </w:rPr>
            </w:pPr>
          </w:p>
        </w:tc>
      </w:tr>
      <w:tr w14:paraId="7F97E6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68" w:type="dxa"/>
            <w:vAlign w:val="center"/>
          </w:tcPr>
          <w:p w14:paraId="62CA3E38">
            <w:pPr>
              <w:spacing w:line="288" w:lineRule="auto"/>
              <w:jc w:val="center"/>
              <w:rPr>
                <w:rFonts w:ascii="宋体" w:hAnsi="宋体" w:cs="宋体"/>
                <w:sz w:val="24"/>
                <w:szCs w:val="24"/>
              </w:rPr>
            </w:pPr>
            <w:r>
              <w:rPr>
                <w:rFonts w:hint="eastAsia" w:ascii="宋体" w:hAnsi="宋体" w:cs="宋体"/>
                <w:sz w:val="24"/>
                <w:szCs w:val="24"/>
              </w:rPr>
              <w:t>…</w:t>
            </w:r>
          </w:p>
        </w:tc>
        <w:tc>
          <w:tcPr>
            <w:tcW w:w="2281" w:type="dxa"/>
            <w:vAlign w:val="center"/>
          </w:tcPr>
          <w:p w14:paraId="23D49546">
            <w:pPr>
              <w:spacing w:line="288" w:lineRule="auto"/>
              <w:jc w:val="center"/>
              <w:rPr>
                <w:rFonts w:ascii="宋体" w:hAnsi="宋体" w:cs="宋体"/>
                <w:sz w:val="24"/>
                <w:szCs w:val="24"/>
              </w:rPr>
            </w:pPr>
          </w:p>
        </w:tc>
        <w:tc>
          <w:tcPr>
            <w:tcW w:w="1075" w:type="dxa"/>
            <w:vAlign w:val="center"/>
          </w:tcPr>
          <w:p w14:paraId="27D0208A">
            <w:pPr>
              <w:spacing w:line="288" w:lineRule="auto"/>
              <w:jc w:val="center"/>
              <w:rPr>
                <w:rFonts w:ascii="宋体" w:hAnsi="宋体" w:cs="宋体"/>
                <w:sz w:val="24"/>
                <w:szCs w:val="24"/>
              </w:rPr>
            </w:pPr>
          </w:p>
        </w:tc>
        <w:tc>
          <w:tcPr>
            <w:tcW w:w="1180" w:type="dxa"/>
            <w:vAlign w:val="center"/>
          </w:tcPr>
          <w:p w14:paraId="2D2342A0">
            <w:pPr>
              <w:spacing w:line="288" w:lineRule="auto"/>
              <w:jc w:val="center"/>
              <w:rPr>
                <w:rFonts w:ascii="宋体" w:hAnsi="宋体" w:cs="宋体"/>
                <w:sz w:val="24"/>
                <w:szCs w:val="24"/>
              </w:rPr>
            </w:pPr>
          </w:p>
        </w:tc>
        <w:tc>
          <w:tcPr>
            <w:tcW w:w="1623" w:type="dxa"/>
            <w:vAlign w:val="center"/>
          </w:tcPr>
          <w:p w14:paraId="175D5072">
            <w:pPr>
              <w:spacing w:line="288" w:lineRule="auto"/>
              <w:jc w:val="center"/>
              <w:rPr>
                <w:rFonts w:ascii="宋体" w:hAnsi="宋体" w:cs="宋体"/>
                <w:sz w:val="24"/>
                <w:szCs w:val="24"/>
              </w:rPr>
            </w:pPr>
          </w:p>
        </w:tc>
        <w:tc>
          <w:tcPr>
            <w:tcW w:w="2249" w:type="dxa"/>
            <w:vAlign w:val="center"/>
          </w:tcPr>
          <w:p w14:paraId="37358386">
            <w:pPr>
              <w:spacing w:line="288" w:lineRule="auto"/>
              <w:jc w:val="center"/>
              <w:rPr>
                <w:rFonts w:ascii="宋体" w:hAnsi="宋体" w:cs="宋体"/>
                <w:sz w:val="24"/>
                <w:szCs w:val="24"/>
              </w:rPr>
            </w:pPr>
          </w:p>
        </w:tc>
      </w:tr>
      <w:tr w14:paraId="6F54E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68" w:type="dxa"/>
            <w:vAlign w:val="center"/>
          </w:tcPr>
          <w:p w14:paraId="2764C282">
            <w:pPr>
              <w:spacing w:line="288" w:lineRule="auto"/>
              <w:jc w:val="center"/>
              <w:rPr>
                <w:rFonts w:ascii="宋体" w:hAnsi="宋体" w:cs="宋体"/>
                <w:sz w:val="24"/>
                <w:szCs w:val="24"/>
              </w:rPr>
            </w:pPr>
          </w:p>
        </w:tc>
        <w:tc>
          <w:tcPr>
            <w:tcW w:w="2281" w:type="dxa"/>
            <w:vAlign w:val="center"/>
          </w:tcPr>
          <w:p w14:paraId="057F6082">
            <w:pPr>
              <w:spacing w:line="288" w:lineRule="auto"/>
              <w:jc w:val="center"/>
              <w:rPr>
                <w:rFonts w:ascii="宋体" w:hAnsi="宋体" w:cs="宋体"/>
                <w:sz w:val="24"/>
                <w:szCs w:val="24"/>
              </w:rPr>
            </w:pPr>
            <w:r>
              <w:rPr>
                <w:rFonts w:hint="eastAsia" w:ascii="宋体" w:hAnsi="宋体" w:cs="宋体"/>
                <w:sz w:val="24"/>
                <w:szCs w:val="24"/>
              </w:rPr>
              <w:t>合计</w:t>
            </w:r>
          </w:p>
        </w:tc>
        <w:tc>
          <w:tcPr>
            <w:tcW w:w="1075" w:type="dxa"/>
            <w:vAlign w:val="center"/>
          </w:tcPr>
          <w:p w14:paraId="1454930B">
            <w:pPr>
              <w:spacing w:line="288" w:lineRule="auto"/>
              <w:jc w:val="center"/>
              <w:rPr>
                <w:rFonts w:ascii="宋体" w:hAnsi="宋体" w:cs="宋体"/>
                <w:sz w:val="24"/>
                <w:szCs w:val="24"/>
              </w:rPr>
            </w:pPr>
          </w:p>
        </w:tc>
        <w:tc>
          <w:tcPr>
            <w:tcW w:w="1180" w:type="dxa"/>
            <w:vAlign w:val="center"/>
          </w:tcPr>
          <w:p w14:paraId="18D8C216">
            <w:pPr>
              <w:spacing w:line="288" w:lineRule="auto"/>
              <w:jc w:val="center"/>
              <w:rPr>
                <w:rFonts w:ascii="宋体" w:hAnsi="宋体" w:cs="宋体"/>
                <w:sz w:val="24"/>
                <w:szCs w:val="24"/>
              </w:rPr>
            </w:pPr>
          </w:p>
        </w:tc>
        <w:tc>
          <w:tcPr>
            <w:tcW w:w="1623" w:type="dxa"/>
            <w:vAlign w:val="center"/>
          </w:tcPr>
          <w:p w14:paraId="207DEFFD">
            <w:pPr>
              <w:spacing w:line="288" w:lineRule="auto"/>
              <w:jc w:val="center"/>
              <w:rPr>
                <w:rFonts w:ascii="宋体" w:hAnsi="宋体" w:cs="宋体"/>
                <w:sz w:val="24"/>
                <w:szCs w:val="24"/>
              </w:rPr>
            </w:pPr>
          </w:p>
        </w:tc>
        <w:tc>
          <w:tcPr>
            <w:tcW w:w="2249" w:type="dxa"/>
            <w:vAlign w:val="center"/>
          </w:tcPr>
          <w:p w14:paraId="58329F56">
            <w:pPr>
              <w:spacing w:line="288" w:lineRule="auto"/>
              <w:jc w:val="center"/>
              <w:rPr>
                <w:rFonts w:ascii="宋体" w:hAnsi="宋体" w:cs="宋体"/>
                <w:sz w:val="24"/>
                <w:szCs w:val="24"/>
              </w:rPr>
            </w:pPr>
          </w:p>
        </w:tc>
      </w:tr>
      <w:tr w14:paraId="41A597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9276" w:type="dxa"/>
            <w:gridSpan w:val="6"/>
            <w:vAlign w:val="center"/>
          </w:tcPr>
          <w:p w14:paraId="5B6F007A">
            <w:pPr>
              <w:spacing w:line="288" w:lineRule="auto"/>
              <w:rPr>
                <w:rFonts w:ascii="宋体" w:hAnsi="宋体" w:cs="宋体"/>
                <w:sz w:val="24"/>
                <w:szCs w:val="24"/>
              </w:rPr>
            </w:pPr>
            <w:r>
              <w:rPr>
                <w:rFonts w:hint="eastAsia" w:ascii="宋体" w:hAnsi="宋体" w:cs="宋体"/>
                <w:sz w:val="24"/>
                <w:szCs w:val="24"/>
              </w:rPr>
              <w:t>其他费用明细表：</w:t>
            </w:r>
          </w:p>
        </w:tc>
      </w:tr>
      <w:tr w14:paraId="287017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868" w:type="dxa"/>
            <w:vAlign w:val="center"/>
          </w:tcPr>
          <w:p w14:paraId="5C02A795">
            <w:pPr>
              <w:spacing w:line="288" w:lineRule="auto"/>
              <w:jc w:val="center"/>
              <w:rPr>
                <w:rFonts w:ascii="宋体" w:hAnsi="宋体" w:cs="宋体"/>
                <w:sz w:val="24"/>
                <w:szCs w:val="24"/>
              </w:rPr>
            </w:pPr>
            <w:r>
              <w:rPr>
                <w:rFonts w:hint="eastAsia" w:ascii="宋体" w:hAnsi="宋体" w:cs="宋体"/>
                <w:sz w:val="24"/>
                <w:szCs w:val="24"/>
              </w:rPr>
              <w:t>序号</w:t>
            </w:r>
          </w:p>
        </w:tc>
        <w:tc>
          <w:tcPr>
            <w:tcW w:w="2281" w:type="dxa"/>
            <w:vAlign w:val="center"/>
          </w:tcPr>
          <w:p w14:paraId="24DFE415">
            <w:pPr>
              <w:spacing w:line="288" w:lineRule="auto"/>
              <w:jc w:val="center"/>
              <w:rPr>
                <w:rFonts w:ascii="宋体" w:hAnsi="宋体" w:cs="宋体"/>
                <w:sz w:val="24"/>
                <w:szCs w:val="24"/>
              </w:rPr>
            </w:pPr>
            <w:r>
              <w:rPr>
                <w:rFonts w:hint="eastAsia" w:ascii="宋体" w:hAnsi="宋体" w:cs="宋体"/>
                <w:sz w:val="24"/>
                <w:szCs w:val="24"/>
              </w:rPr>
              <w:t>项目</w:t>
            </w:r>
          </w:p>
        </w:tc>
        <w:tc>
          <w:tcPr>
            <w:tcW w:w="2255" w:type="dxa"/>
            <w:gridSpan w:val="2"/>
            <w:vAlign w:val="center"/>
          </w:tcPr>
          <w:p w14:paraId="29290F4A">
            <w:pPr>
              <w:spacing w:line="288" w:lineRule="auto"/>
              <w:jc w:val="center"/>
              <w:rPr>
                <w:rFonts w:ascii="宋体" w:hAnsi="宋体" w:cs="宋体"/>
                <w:sz w:val="24"/>
                <w:szCs w:val="24"/>
              </w:rPr>
            </w:pPr>
            <w:r>
              <w:rPr>
                <w:rFonts w:hint="eastAsia" w:ascii="宋体" w:hAnsi="宋体" w:cs="宋体"/>
                <w:sz w:val="24"/>
                <w:szCs w:val="24"/>
              </w:rPr>
              <w:t>内容和标准</w:t>
            </w:r>
          </w:p>
        </w:tc>
        <w:tc>
          <w:tcPr>
            <w:tcW w:w="1623" w:type="dxa"/>
            <w:vAlign w:val="center"/>
          </w:tcPr>
          <w:p w14:paraId="58D5D738">
            <w:pPr>
              <w:spacing w:line="288" w:lineRule="auto"/>
              <w:jc w:val="center"/>
              <w:rPr>
                <w:rFonts w:ascii="宋体" w:hAnsi="宋体" w:cs="宋体"/>
                <w:sz w:val="24"/>
                <w:szCs w:val="24"/>
              </w:rPr>
            </w:pPr>
            <w:r>
              <w:rPr>
                <w:rFonts w:hint="eastAsia" w:ascii="宋体" w:hAnsi="宋体" w:cs="宋体"/>
                <w:sz w:val="24"/>
                <w:szCs w:val="24"/>
              </w:rPr>
              <w:t>报价</w:t>
            </w:r>
          </w:p>
        </w:tc>
        <w:tc>
          <w:tcPr>
            <w:tcW w:w="2249" w:type="dxa"/>
            <w:vAlign w:val="center"/>
          </w:tcPr>
          <w:p w14:paraId="51BBA91A">
            <w:pPr>
              <w:spacing w:line="288" w:lineRule="auto"/>
              <w:jc w:val="center"/>
              <w:rPr>
                <w:rFonts w:ascii="宋体" w:hAnsi="宋体" w:cs="宋体"/>
                <w:sz w:val="24"/>
                <w:szCs w:val="24"/>
              </w:rPr>
            </w:pPr>
            <w:r>
              <w:rPr>
                <w:rFonts w:hint="eastAsia" w:ascii="宋体" w:hAnsi="宋体" w:cs="宋体"/>
                <w:sz w:val="24"/>
                <w:szCs w:val="24"/>
              </w:rPr>
              <w:t>备注</w:t>
            </w:r>
          </w:p>
        </w:tc>
      </w:tr>
      <w:tr w14:paraId="5AA066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trPr>
        <w:tc>
          <w:tcPr>
            <w:tcW w:w="868" w:type="dxa"/>
            <w:vAlign w:val="center"/>
          </w:tcPr>
          <w:p w14:paraId="12338BC2">
            <w:pPr>
              <w:spacing w:line="288" w:lineRule="auto"/>
              <w:jc w:val="center"/>
              <w:rPr>
                <w:rFonts w:ascii="宋体" w:hAnsi="宋体" w:cs="宋体"/>
                <w:sz w:val="24"/>
                <w:szCs w:val="24"/>
              </w:rPr>
            </w:pPr>
          </w:p>
        </w:tc>
        <w:tc>
          <w:tcPr>
            <w:tcW w:w="2281" w:type="dxa"/>
            <w:vAlign w:val="center"/>
          </w:tcPr>
          <w:p w14:paraId="77637AA5">
            <w:pPr>
              <w:spacing w:line="288" w:lineRule="auto"/>
              <w:jc w:val="center"/>
              <w:rPr>
                <w:rFonts w:ascii="宋体" w:hAnsi="宋体" w:cs="宋体"/>
                <w:sz w:val="24"/>
                <w:szCs w:val="24"/>
              </w:rPr>
            </w:pPr>
          </w:p>
        </w:tc>
        <w:tc>
          <w:tcPr>
            <w:tcW w:w="2255" w:type="dxa"/>
            <w:gridSpan w:val="2"/>
            <w:vAlign w:val="center"/>
          </w:tcPr>
          <w:p w14:paraId="5854DD4F">
            <w:pPr>
              <w:spacing w:line="288" w:lineRule="auto"/>
              <w:jc w:val="center"/>
              <w:rPr>
                <w:rFonts w:ascii="宋体" w:hAnsi="宋体" w:cs="宋体"/>
                <w:sz w:val="24"/>
                <w:szCs w:val="24"/>
              </w:rPr>
            </w:pPr>
          </w:p>
        </w:tc>
        <w:tc>
          <w:tcPr>
            <w:tcW w:w="1623" w:type="dxa"/>
            <w:vAlign w:val="center"/>
          </w:tcPr>
          <w:p w14:paraId="1BF95E16">
            <w:pPr>
              <w:spacing w:line="288" w:lineRule="auto"/>
              <w:jc w:val="center"/>
              <w:rPr>
                <w:rFonts w:ascii="宋体" w:hAnsi="宋体" w:cs="宋体"/>
                <w:sz w:val="24"/>
                <w:szCs w:val="24"/>
              </w:rPr>
            </w:pPr>
          </w:p>
        </w:tc>
        <w:tc>
          <w:tcPr>
            <w:tcW w:w="2249" w:type="dxa"/>
            <w:vAlign w:val="center"/>
          </w:tcPr>
          <w:p w14:paraId="1B9376B3">
            <w:pPr>
              <w:spacing w:line="288" w:lineRule="auto"/>
              <w:jc w:val="center"/>
              <w:rPr>
                <w:rFonts w:ascii="宋体" w:hAnsi="宋体" w:cs="宋体"/>
                <w:sz w:val="24"/>
                <w:szCs w:val="24"/>
              </w:rPr>
            </w:pPr>
          </w:p>
        </w:tc>
      </w:tr>
      <w:tr w14:paraId="5A7966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68" w:type="dxa"/>
            <w:vAlign w:val="center"/>
          </w:tcPr>
          <w:p w14:paraId="6EDFCD61">
            <w:pPr>
              <w:spacing w:line="288" w:lineRule="auto"/>
              <w:jc w:val="center"/>
              <w:rPr>
                <w:rFonts w:ascii="宋体" w:hAnsi="宋体" w:cs="宋体"/>
                <w:sz w:val="24"/>
                <w:szCs w:val="24"/>
              </w:rPr>
            </w:pPr>
            <w:r>
              <w:rPr>
                <w:rFonts w:hint="eastAsia" w:ascii="宋体" w:hAnsi="宋体" w:cs="宋体"/>
                <w:sz w:val="24"/>
                <w:szCs w:val="24"/>
              </w:rPr>
              <w:t>…</w:t>
            </w:r>
          </w:p>
        </w:tc>
        <w:tc>
          <w:tcPr>
            <w:tcW w:w="2281" w:type="dxa"/>
            <w:vAlign w:val="center"/>
          </w:tcPr>
          <w:p w14:paraId="3B2E2212">
            <w:pPr>
              <w:spacing w:line="288" w:lineRule="auto"/>
              <w:jc w:val="center"/>
              <w:rPr>
                <w:rFonts w:ascii="宋体" w:hAnsi="宋体" w:cs="宋体"/>
                <w:sz w:val="24"/>
                <w:szCs w:val="24"/>
              </w:rPr>
            </w:pPr>
          </w:p>
        </w:tc>
        <w:tc>
          <w:tcPr>
            <w:tcW w:w="2255" w:type="dxa"/>
            <w:gridSpan w:val="2"/>
            <w:vAlign w:val="center"/>
          </w:tcPr>
          <w:p w14:paraId="417A998D">
            <w:pPr>
              <w:spacing w:line="288" w:lineRule="auto"/>
              <w:jc w:val="center"/>
              <w:rPr>
                <w:rFonts w:ascii="宋体" w:hAnsi="宋体" w:cs="宋体"/>
                <w:sz w:val="24"/>
                <w:szCs w:val="24"/>
              </w:rPr>
            </w:pPr>
          </w:p>
        </w:tc>
        <w:tc>
          <w:tcPr>
            <w:tcW w:w="1623" w:type="dxa"/>
            <w:vAlign w:val="center"/>
          </w:tcPr>
          <w:p w14:paraId="4BE7419C">
            <w:pPr>
              <w:spacing w:line="288" w:lineRule="auto"/>
              <w:jc w:val="center"/>
              <w:rPr>
                <w:rFonts w:ascii="宋体" w:hAnsi="宋体" w:cs="宋体"/>
                <w:sz w:val="24"/>
                <w:szCs w:val="24"/>
              </w:rPr>
            </w:pPr>
          </w:p>
        </w:tc>
        <w:tc>
          <w:tcPr>
            <w:tcW w:w="2249" w:type="dxa"/>
            <w:vAlign w:val="center"/>
          </w:tcPr>
          <w:p w14:paraId="5AF1D0AE">
            <w:pPr>
              <w:spacing w:line="288" w:lineRule="auto"/>
              <w:jc w:val="center"/>
              <w:rPr>
                <w:rFonts w:ascii="宋体" w:hAnsi="宋体" w:cs="宋体"/>
                <w:sz w:val="24"/>
                <w:szCs w:val="24"/>
              </w:rPr>
            </w:pPr>
          </w:p>
        </w:tc>
      </w:tr>
      <w:tr w14:paraId="19073F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9276" w:type="dxa"/>
            <w:gridSpan w:val="6"/>
            <w:vAlign w:val="center"/>
          </w:tcPr>
          <w:p w14:paraId="03BC00DF">
            <w:pPr>
              <w:spacing w:line="288" w:lineRule="auto"/>
              <w:rPr>
                <w:rFonts w:ascii="宋体" w:hAnsi="宋体" w:cs="宋体"/>
                <w:sz w:val="24"/>
                <w:szCs w:val="24"/>
              </w:rPr>
            </w:pPr>
            <w:r>
              <w:rPr>
                <w:rFonts w:hint="eastAsia" w:ascii="宋体" w:hAnsi="宋体" w:cs="宋体"/>
                <w:sz w:val="24"/>
                <w:szCs w:val="24"/>
              </w:rPr>
              <w:t>明细报价汇总表：</w:t>
            </w:r>
          </w:p>
        </w:tc>
      </w:tr>
      <w:tr w14:paraId="305B7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trPr>
        <w:tc>
          <w:tcPr>
            <w:tcW w:w="5404" w:type="dxa"/>
            <w:gridSpan w:val="4"/>
            <w:vAlign w:val="center"/>
          </w:tcPr>
          <w:p w14:paraId="2164315C">
            <w:pPr>
              <w:spacing w:line="288" w:lineRule="auto"/>
              <w:jc w:val="center"/>
              <w:rPr>
                <w:rFonts w:ascii="宋体" w:hAnsi="宋体" w:cs="宋体"/>
                <w:sz w:val="24"/>
                <w:szCs w:val="24"/>
              </w:rPr>
            </w:pPr>
            <w:r>
              <w:rPr>
                <w:rFonts w:hint="eastAsia" w:ascii="宋体" w:hAnsi="宋体" w:cs="宋体"/>
                <w:sz w:val="24"/>
                <w:szCs w:val="24"/>
              </w:rPr>
              <w:t>报价总计（货物报价合计+其他费用合计）</w:t>
            </w:r>
          </w:p>
        </w:tc>
        <w:tc>
          <w:tcPr>
            <w:tcW w:w="3872" w:type="dxa"/>
            <w:gridSpan w:val="2"/>
            <w:vAlign w:val="center"/>
          </w:tcPr>
          <w:p w14:paraId="0701A99D">
            <w:pPr>
              <w:spacing w:line="288" w:lineRule="auto"/>
              <w:rPr>
                <w:rFonts w:ascii="宋体" w:hAnsi="宋体" w:cs="宋体"/>
                <w:sz w:val="24"/>
                <w:szCs w:val="24"/>
              </w:rPr>
            </w:pPr>
            <w:r>
              <w:rPr>
                <w:rFonts w:hint="eastAsia" w:ascii="宋体" w:hAnsi="宋体" w:cs="宋体"/>
                <w:sz w:val="24"/>
                <w:szCs w:val="24"/>
              </w:rPr>
              <w:t>大写：人民币</w:t>
            </w:r>
            <w:r>
              <w:rPr>
                <w:rFonts w:hint="eastAsia" w:ascii="宋体" w:hAnsi="宋体" w:cs="宋体"/>
                <w:sz w:val="24"/>
                <w:szCs w:val="24"/>
                <w:u w:val="single"/>
              </w:rPr>
              <w:t xml:space="preserve">          元</w:t>
            </w:r>
          </w:p>
          <w:p w14:paraId="14F5B3BB">
            <w:pPr>
              <w:spacing w:line="288" w:lineRule="auto"/>
              <w:rPr>
                <w:rFonts w:ascii="宋体" w:hAnsi="宋体" w:cs="宋体"/>
                <w:sz w:val="24"/>
                <w:szCs w:val="24"/>
                <w:u w:val="single"/>
              </w:rPr>
            </w:pPr>
            <w:r>
              <w:rPr>
                <w:rFonts w:hint="eastAsia" w:ascii="宋体" w:hAnsi="宋体" w:cs="宋体"/>
                <w:sz w:val="24"/>
                <w:szCs w:val="24"/>
              </w:rPr>
              <w:t xml:space="preserve">小写：￥ </w:t>
            </w:r>
            <w:r>
              <w:rPr>
                <w:rFonts w:hint="eastAsia" w:ascii="宋体" w:hAnsi="宋体" w:cs="宋体"/>
                <w:sz w:val="24"/>
                <w:szCs w:val="24"/>
                <w:u w:val="single"/>
              </w:rPr>
              <w:t xml:space="preserve">             元</w:t>
            </w:r>
          </w:p>
        </w:tc>
      </w:tr>
    </w:tbl>
    <w:p w14:paraId="0F9C411D">
      <w:pPr>
        <w:spacing w:before="240" w:beforeLines="100" w:line="288" w:lineRule="auto"/>
        <w:rPr>
          <w:rFonts w:ascii="宋体" w:hAnsi="宋体" w:cs="宋体"/>
          <w:sz w:val="24"/>
          <w:szCs w:val="24"/>
        </w:rPr>
      </w:pPr>
      <w:r>
        <w:rPr>
          <w:rFonts w:hint="eastAsia" w:ascii="宋体" w:hAnsi="宋体" w:cs="宋体"/>
          <w:sz w:val="24"/>
          <w:szCs w:val="24"/>
        </w:rPr>
        <w:t>注明：</w:t>
      </w:r>
    </w:p>
    <w:p w14:paraId="73EF6DAE">
      <w:pPr>
        <w:pStyle w:val="3"/>
        <w:numPr>
          <w:ilvl w:val="0"/>
          <w:numId w:val="7"/>
        </w:numPr>
        <w:spacing w:line="288" w:lineRule="auto"/>
        <w:ind w:firstLineChars="0"/>
        <w:rPr>
          <w:rFonts w:ascii="宋体" w:hAnsi="宋体" w:cs="宋体"/>
          <w:sz w:val="24"/>
          <w:szCs w:val="24"/>
        </w:rPr>
      </w:pPr>
      <w:r>
        <w:rPr>
          <w:rFonts w:hint="eastAsia" w:ascii="宋体" w:hAnsi="宋体" w:cs="宋体"/>
          <w:sz w:val="24"/>
          <w:szCs w:val="24"/>
        </w:rPr>
        <w:t>此表为报价总表的明细表。</w:t>
      </w:r>
    </w:p>
    <w:p w14:paraId="439AC601">
      <w:pPr>
        <w:pStyle w:val="3"/>
        <w:numPr>
          <w:ilvl w:val="0"/>
          <w:numId w:val="7"/>
        </w:numPr>
        <w:spacing w:line="288" w:lineRule="auto"/>
        <w:ind w:firstLineChars="0"/>
        <w:rPr>
          <w:rFonts w:ascii="宋体" w:hAnsi="宋体" w:cs="宋体"/>
          <w:sz w:val="24"/>
          <w:szCs w:val="24"/>
        </w:rPr>
      </w:pPr>
      <w:r>
        <w:rPr>
          <w:rFonts w:hint="eastAsia" w:ascii="宋体" w:hAnsi="宋体" w:cs="宋体"/>
          <w:sz w:val="24"/>
          <w:szCs w:val="24"/>
        </w:rPr>
        <w:t>如果单价和总价不符时，以单价为准，修正总价。</w:t>
      </w:r>
    </w:p>
    <w:p w14:paraId="3065DD8D">
      <w:pPr>
        <w:pStyle w:val="3"/>
        <w:numPr>
          <w:ilvl w:val="0"/>
          <w:numId w:val="7"/>
        </w:numPr>
        <w:spacing w:line="288" w:lineRule="auto"/>
        <w:ind w:firstLineChars="0"/>
        <w:rPr>
          <w:rFonts w:ascii="宋体" w:hAnsi="宋体" w:cs="宋体"/>
          <w:sz w:val="24"/>
          <w:szCs w:val="24"/>
        </w:rPr>
      </w:pPr>
      <w:r>
        <w:rPr>
          <w:rFonts w:hint="eastAsia" w:ascii="宋体" w:hAnsi="宋体" w:cs="宋体"/>
          <w:sz w:val="24"/>
          <w:szCs w:val="24"/>
        </w:rPr>
        <w:t>供应商应列明按“采购需求”所要求提供的所有报价项的价格明细。</w:t>
      </w:r>
    </w:p>
    <w:p w14:paraId="3C0206CA">
      <w:pPr>
        <w:spacing w:line="288" w:lineRule="auto"/>
        <w:rPr>
          <w:rFonts w:ascii="宋体" w:hAnsi="宋体" w:cs="宋体"/>
          <w:sz w:val="24"/>
          <w:szCs w:val="24"/>
        </w:rPr>
      </w:pPr>
    </w:p>
    <w:tbl>
      <w:tblPr>
        <w:tblStyle w:val="36"/>
        <w:tblW w:w="9345" w:type="dxa"/>
        <w:tblInd w:w="0" w:type="dxa"/>
        <w:tblLayout w:type="fixed"/>
        <w:tblCellMar>
          <w:top w:w="0" w:type="dxa"/>
          <w:left w:w="108" w:type="dxa"/>
          <w:bottom w:w="0" w:type="dxa"/>
          <w:right w:w="108" w:type="dxa"/>
        </w:tblCellMar>
      </w:tblPr>
      <w:tblGrid>
        <w:gridCol w:w="5353"/>
        <w:gridCol w:w="3992"/>
      </w:tblGrid>
      <w:tr w14:paraId="7068D9E8">
        <w:tblPrEx>
          <w:tblCellMar>
            <w:top w:w="0" w:type="dxa"/>
            <w:left w:w="108" w:type="dxa"/>
            <w:bottom w:w="0" w:type="dxa"/>
            <w:right w:w="108" w:type="dxa"/>
          </w:tblCellMar>
        </w:tblPrEx>
        <w:tc>
          <w:tcPr>
            <w:tcW w:w="5353" w:type="dxa"/>
            <w:shd w:val="clear" w:color="auto" w:fill="auto"/>
          </w:tcPr>
          <w:p w14:paraId="131DFC6B">
            <w:pPr>
              <w:overflowPunct w:val="0"/>
              <w:adjustRightInd w:val="0"/>
              <w:spacing w:line="288" w:lineRule="auto"/>
              <w:rPr>
                <w:rFonts w:ascii="宋体" w:hAnsi="宋体" w:cs="宋体"/>
                <w:sz w:val="24"/>
                <w:szCs w:val="24"/>
              </w:rPr>
            </w:pPr>
            <w:r>
              <w:rPr>
                <w:rFonts w:hint="eastAsia" w:ascii="宋体" w:hAnsi="宋体" w:cs="宋体"/>
                <w:sz w:val="24"/>
                <w:szCs w:val="24"/>
              </w:rPr>
              <w:t>供应商名称（加盖公章）：</w:t>
            </w:r>
          </w:p>
        </w:tc>
        <w:tc>
          <w:tcPr>
            <w:tcW w:w="3992" w:type="dxa"/>
            <w:shd w:val="clear" w:color="auto" w:fill="auto"/>
          </w:tcPr>
          <w:p w14:paraId="2D6BC34D">
            <w:pPr>
              <w:spacing w:line="288" w:lineRule="auto"/>
              <w:rPr>
                <w:rFonts w:ascii="宋体" w:hAnsi="宋体" w:cs="宋体"/>
                <w:sz w:val="24"/>
                <w:szCs w:val="24"/>
              </w:rPr>
            </w:pPr>
          </w:p>
        </w:tc>
      </w:tr>
      <w:tr w14:paraId="20220B9D">
        <w:tblPrEx>
          <w:tblCellMar>
            <w:top w:w="0" w:type="dxa"/>
            <w:left w:w="108" w:type="dxa"/>
            <w:bottom w:w="0" w:type="dxa"/>
            <w:right w:w="108" w:type="dxa"/>
          </w:tblCellMar>
        </w:tblPrEx>
        <w:tc>
          <w:tcPr>
            <w:tcW w:w="5353" w:type="dxa"/>
            <w:shd w:val="clear" w:color="auto" w:fill="auto"/>
          </w:tcPr>
          <w:p w14:paraId="3D4BA597">
            <w:pPr>
              <w:spacing w:line="288" w:lineRule="auto"/>
              <w:rPr>
                <w:rFonts w:ascii="宋体" w:hAnsi="宋体" w:cs="宋体"/>
                <w:sz w:val="24"/>
                <w:szCs w:val="24"/>
              </w:rPr>
            </w:pPr>
          </w:p>
          <w:p w14:paraId="341689B4">
            <w:pPr>
              <w:spacing w:line="288" w:lineRule="auto"/>
              <w:rPr>
                <w:rFonts w:ascii="宋体" w:hAnsi="宋体" w:cs="宋体"/>
                <w:sz w:val="24"/>
                <w:szCs w:val="24"/>
              </w:rPr>
            </w:pPr>
            <w:r>
              <w:rPr>
                <w:rFonts w:hint="eastAsia" w:ascii="宋体" w:hAnsi="宋体" w:cs="宋体"/>
                <w:sz w:val="24"/>
                <w:szCs w:val="24"/>
              </w:rPr>
              <w:t>日期：             年           月            日</w:t>
            </w:r>
          </w:p>
        </w:tc>
        <w:tc>
          <w:tcPr>
            <w:tcW w:w="3992" w:type="dxa"/>
            <w:shd w:val="clear" w:color="auto" w:fill="auto"/>
          </w:tcPr>
          <w:p w14:paraId="37B2F487">
            <w:pPr>
              <w:spacing w:line="288" w:lineRule="auto"/>
              <w:rPr>
                <w:rFonts w:ascii="宋体" w:hAnsi="宋体" w:cs="宋体"/>
                <w:sz w:val="24"/>
                <w:szCs w:val="24"/>
              </w:rPr>
            </w:pPr>
          </w:p>
        </w:tc>
      </w:tr>
    </w:tbl>
    <w:p w14:paraId="59DD559B">
      <w:pPr>
        <w:widowControl/>
        <w:jc w:val="left"/>
        <w:rPr>
          <w:rFonts w:hint="eastAsia" w:ascii="宋体" w:hAnsi="宋体" w:eastAsia="宋体" w:cs="宋体"/>
          <w:b/>
          <w:bCs/>
          <w:sz w:val="32"/>
          <w:szCs w:val="32"/>
          <w:highlight w:val="none"/>
        </w:rPr>
      </w:pPr>
      <w:r>
        <w:rPr>
          <w:rFonts w:hint="eastAsia" w:ascii="宋体" w:hAnsi="宋体" w:eastAsia="宋体" w:cs="宋体"/>
          <w:highlight w:val="none"/>
        </w:rPr>
        <w:br w:type="page"/>
      </w:r>
    </w:p>
    <w:p w14:paraId="0E2328C9">
      <w:pPr>
        <w:pStyle w:val="4"/>
        <w:jc w:val="center"/>
        <w:rPr>
          <w:rFonts w:hint="eastAsia" w:ascii="宋体" w:hAnsi="宋体" w:eastAsia="宋体" w:cs="宋体"/>
          <w:kern w:val="0"/>
          <w:szCs w:val="21"/>
          <w:highlight w:val="none"/>
        </w:rPr>
      </w:pPr>
      <w:bookmarkStart w:id="182" w:name="_Toc49407761"/>
      <w:bookmarkStart w:id="183" w:name="_Toc62484157"/>
      <w:bookmarkStart w:id="184" w:name="_Toc49350830"/>
      <w:r>
        <w:rPr>
          <w:rFonts w:hint="eastAsia" w:ascii="宋体" w:hAnsi="宋体" w:eastAsia="宋体" w:cs="宋体"/>
          <w:highlight w:val="none"/>
          <w:lang w:eastAsia="zh-CN"/>
        </w:rPr>
        <w:t>五</w:t>
      </w:r>
      <w:r>
        <w:rPr>
          <w:rFonts w:hint="eastAsia" w:ascii="宋体" w:hAnsi="宋体" w:eastAsia="宋体" w:cs="宋体"/>
          <w:highlight w:val="none"/>
        </w:rPr>
        <w:t>、</w:t>
      </w:r>
      <w:r>
        <w:rPr>
          <w:rFonts w:hint="eastAsia" w:ascii="宋体" w:hAnsi="宋体" w:eastAsia="宋体" w:cs="宋体"/>
          <w:highlight w:val="none"/>
          <w:lang w:eastAsia="zh-CN"/>
        </w:rPr>
        <w:t>商务</w:t>
      </w:r>
      <w:r>
        <w:rPr>
          <w:rFonts w:hint="eastAsia" w:ascii="宋体" w:hAnsi="宋体" w:eastAsia="宋体" w:cs="宋体"/>
          <w:kern w:val="0"/>
          <w:szCs w:val="21"/>
          <w:highlight w:val="none"/>
        </w:rPr>
        <w:t>偏离表</w:t>
      </w:r>
      <w:bookmarkEnd w:id="182"/>
      <w:bookmarkEnd w:id="183"/>
      <w:bookmarkEnd w:id="184"/>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0"/>
        <w:gridCol w:w="2483"/>
        <w:gridCol w:w="2527"/>
        <w:gridCol w:w="1258"/>
        <w:gridCol w:w="1869"/>
      </w:tblGrid>
      <w:tr w14:paraId="02B55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1050" w:type="dxa"/>
            <w:vAlign w:val="center"/>
          </w:tcPr>
          <w:p w14:paraId="4D4F128E">
            <w:pPr>
              <w:jc w:val="center"/>
              <w:rPr>
                <w:rFonts w:hint="eastAsia" w:ascii="宋体" w:hAnsi="宋体" w:eastAsia="宋体" w:cs="宋体"/>
                <w:sz w:val="24"/>
                <w:highlight w:val="none"/>
              </w:rPr>
            </w:pPr>
            <w:r>
              <w:rPr>
                <w:rFonts w:hint="eastAsia" w:ascii="宋体" w:hAnsi="宋体" w:eastAsia="宋体" w:cs="宋体"/>
                <w:b/>
                <w:highlight w:val="none"/>
              </w:rPr>
              <w:t>序号</w:t>
            </w:r>
          </w:p>
        </w:tc>
        <w:tc>
          <w:tcPr>
            <w:tcW w:w="2483" w:type="dxa"/>
            <w:vAlign w:val="center"/>
          </w:tcPr>
          <w:p w14:paraId="4151ECDC">
            <w:pPr>
              <w:jc w:val="center"/>
              <w:rPr>
                <w:rFonts w:hint="eastAsia" w:ascii="宋体" w:hAnsi="宋体" w:eastAsia="宋体" w:cs="宋体"/>
                <w:sz w:val="24"/>
                <w:highlight w:val="none"/>
              </w:rPr>
            </w:pPr>
            <w:r>
              <w:rPr>
                <w:rFonts w:hint="eastAsia" w:ascii="宋体" w:hAnsi="宋体" w:cs="宋体"/>
                <w:b/>
                <w:highlight w:val="none"/>
                <w:lang w:eastAsia="zh-CN"/>
              </w:rPr>
              <w:t>采购文件的要求</w:t>
            </w:r>
          </w:p>
        </w:tc>
        <w:tc>
          <w:tcPr>
            <w:tcW w:w="2527" w:type="dxa"/>
            <w:vAlign w:val="center"/>
          </w:tcPr>
          <w:p w14:paraId="772C17BC">
            <w:pPr>
              <w:jc w:val="center"/>
              <w:rPr>
                <w:rFonts w:hint="eastAsia" w:ascii="宋体" w:hAnsi="宋体" w:eastAsia="宋体" w:cs="宋体"/>
                <w:sz w:val="24"/>
                <w:highlight w:val="none"/>
              </w:rPr>
            </w:pPr>
            <w:r>
              <w:rPr>
                <w:rFonts w:ascii="Segoe UI" w:hAnsi="Segoe UI" w:eastAsia="Segoe UI" w:cs="Segoe UI"/>
                <w:b/>
                <w:bCs/>
                <w:i w:val="0"/>
                <w:iCs w:val="0"/>
                <w:caps w:val="0"/>
                <w:spacing w:val="0"/>
                <w:sz w:val="21"/>
                <w:szCs w:val="21"/>
                <w:shd w:val="clear" w:fill="F5F5F5"/>
              </w:rPr>
              <w:t>​</w:t>
            </w:r>
            <w:r>
              <w:rPr>
                <w:rStyle w:val="39"/>
                <w:rFonts w:hint="default" w:ascii="Segoe UI" w:hAnsi="Segoe UI" w:eastAsia="Segoe UI" w:cs="Segoe UI"/>
                <w:b/>
                <w:bCs/>
                <w:i w:val="0"/>
                <w:iCs w:val="0"/>
                <w:caps w:val="0"/>
                <w:spacing w:val="0"/>
                <w:sz w:val="21"/>
                <w:szCs w:val="21"/>
                <w:vertAlign w:val="baseline"/>
              </w:rPr>
              <w:t>投标响应</w:t>
            </w:r>
          </w:p>
        </w:tc>
        <w:tc>
          <w:tcPr>
            <w:tcW w:w="1258" w:type="dxa"/>
            <w:vAlign w:val="center"/>
          </w:tcPr>
          <w:p w14:paraId="4873AB75">
            <w:pPr>
              <w:jc w:val="center"/>
              <w:rPr>
                <w:rFonts w:hint="eastAsia" w:ascii="宋体" w:hAnsi="宋体" w:eastAsia="宋体" w:cs="宋体"/>
                <w:sz w:val="24"/>
                <w:highlight w:val="none"/>
              </w:rPr>
            </w:pPr>
            <w:r>
              <w:rPr>
                <w:rFonts w:hint="eastAsia" w:ascii="宋体" w:hAnsi="宋体" w:eastAsia="宋体" w:cs="宋体"/>
                <w:b/>
                <w:w w:val="97"/>
                <w:highlight w:val="none"/>
              </w:rPr>
              <w:t>偏离说明</w:t>
            </w:r>
          </w:p>
        </w:tc>
        <w:tc>
          <w:tcPr>
            <w:tcW w:w="1869" w:type="dxa"/>
            <w:vAlign w:val="center"/>
          </w:tcPr>
          <w:p w14:paraId="25EF1E56">
            <w:pPr>
              <w:jc w:val="center"/>
              <w:rPr>
                <w:rFonts w:hint="eastAsia" w:ascii="宋体" w:hAnsi="宋体" w:eastAsia="宋体" w:cs="宋体"/>
                <w:b/>
                <w:w w:val="97"/>
                <w:highlight w:val="none"/>
              </w:rPr>
            </w:pPr>
            <w:r>
              <w:rPr>
                <w:rFonts w:hint="eastAsia" w:ascii="宋体" w:hAnsi="宋体" w:eastAsia="宋体" w:cs="宋体"/>
                <w:b/>
                <w:w w:val="97"/>
                <w:highlight w:val="none"/>
              </w:rPr>
              <w:t>备注</w:t>
            </w:r>
          </w:p>
        </w:tc>
      </w:tr>
      <w:tr w14:paraId="59149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1050" w:type="dxa"/>
            <w:vAlign w:val="center"/>
          </w:tcPr>
          <w:p w14:paraId="25B17AAF">
            <w:pPr>
              <w:spacing w:line="200" w:lineRule="exact"/>
              <w:jc w:val="center"/>
              <w:rPr>
                <w:rFonts w:hint="eastAsia" w:ascii="宋体" w:hAnsi="宋体" w:eastAsia="宋体" w:cs="宋体"/>
                <w:sz w:val="24"/>
                <w:highlight w:val="none"/>
              </w:rPr>
            </w:pPr>
            <w:r>
              <w:rPr>
                <w:rFonts w:hint="eastAsia" w:ascii="宋体" w:hAnsi="宋体" w:eastAsia="宋体" w:cs="宋体"/>
                <w:sz w:val="24"/>
                <w:highlight w:val="none"/>
              </w:rPr>
              <w:t>1</w:t>
            </w:r>
          </w:p>
        </w:tc>
        <w:tc>
          <w:tcPr>
            <w:tcW w:w="2483" w:type="dxa"/>
          </w:tcPr>
          <w:p w14:paraId="797749B3">
            <w:pPr>
              <w:spacing w:line="200" w:lineRule="exact"/>
              <w:jc w:val="left"/>
              <w:rPr>
                <w:rFonts w:hint="eastAsia" w:ascii="宋体" w:hAnsi="宋体" w:eastAsia="宋体" w:cs="宋体"/>
                <w:sz w:val="24"/>
                <w:highlight w:val="none"/>
              </w:rPr>
            </w:pPr>
          </w:p>
        </w:tc>
        <w:tc>
          <w:tcPr>
            <w:tcW w:w="2527" w:type="dxa"/>
          </w:tcPr>
          <w:p w14:paraId="3DF2A686">
            <w:pPr>
              <w:spacing w:line="200" w:lineRule="exact"/>
              <w:jc w:val="left"/>
              <w:rPr>
                <w:rFonts w:hint="eastAsia" w:ascii="宋体" w:hAnsi="宋体" w:eastAsia="宋体" w:cs="宋体"/>
                <w:sz w:val="24"/>
                <w:highlight w:val="none"/>
              </w:rPr>
            </w:pPr>
          </w:p>
        </w:tc>
        <w:tc>
          <w:tcPr>
            <w:tcW w:w="1258" w:type="dxa"/>
          </w:tcPr>
          <w:p w14:paraId="48189D76">
            <w:pPr>
              <w:spacing w:line="200" w:lineRule="exact"/>
              <w:jc w:val="left"/>
              <w:rPr>
                <w:rFonts w:hint="eastAsia" w:ascii="宋体" w:hAnsi="宋体" w:eastAsia="宋体" w:cs="宋体"/>
                <w:sz w:val="24"/>
                <w:highlight w:val="none"/>
              </w:rPr>
            </w:pPr>
          </w:p>
        </w:tc>
        <w:tc>
          <w:tcPr>
            <w:tcW w:w="1869" w:type="dxa"/>
          </w:tcPr>
          <w:p w14:paraId="4DAEDEAD">
            <w:pPr>
              <w:spacing w:line="200" w:lineRule="exact"/>
              <w:jc w:val="left"/>
              <w:rPr>
                <w:rFonts w:hint="eastAsia" w:ascii="宋体" w:hAnsi="宋体" w:eastAsia="宋体" w:cs="宋体"/>
                <w:sz w:val="24"/>
                <w:highlight w:val="none"/>
              </w:rPr>
            </w:pPr>
          </w:p>
        </w:tc>
      </w:tr>
      <w:tr w14:paraId="13DC5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1050" w:type="dxa"/>
            <w:vAlign w:val="center"/>
          </w:tcPr>
          <w:p w14:paraId="527D11A6">
            <w:pPr>
              <w:spacing w:line="200" w:lineRule="exact"/>
              <w:jc w:val="center"/>
              <w:rPr>
                <w:rFonts w:hint="eastAsia" w:ascii="宋体" w:hAnsi="宋体" w:eastAsia="宋体" w:cs="宋体"/>
                <w:sz w:val="24"/>
                <w:highlight w:val="none"/>
              </w:rPr>
            </w:pPr>
            <w:r>
              <w:rPr>
                <w:rFonts w:hint="eastAsia" w:ascii="宋体" w:hAnsi="宋体" w:eastAsia="宋体" w:cs="宋体"/>
                <w:sz w:val="24"/>
                <w:highlight w:val="none"/>
              </w:rPr>
              <w:t>2</w:t>
            </w:r>
          </w:p>
        </w:tc>
        <w:tc>
          <w:tcPr>
            <w:tcW w:w="2483" w:type="dxa"/>
          </w:tcPr>
          <w:p w14:paraId="0BB69F75">
            <w:pPr>
              <w:spacing w:line="200" w:lineRule="exact"/>
              <w:jc w:val="left"/>
              <w:rPr>
                <w:rFonts w:hint="eastAsia" w:ascii="宋体" w:hAnsi="宋体" w:eastAsia="宋体" w:cs="宋体"/>
                <w:sz w:val="24"/>
                <w:highlight w:val="none"/>
              </w:rPr>
            </w:pPr>
          </w:p>
        </w:tc>
        <w:tc>
          <w:tcPr>
            <w:tcW w:w="2527" w:type="dxa"/>
          </w:tcPr>
          <w:p w14:paraId="5EB2F396">
            <w:pPr>
              <w:spacing w:line="200" w:lineRule="exact"/>
              <w:jc w:val="left"/>
              <w:rPr>
                <w:rFonts w:hint="eastAsia" w:ascii="宋体" w:hAnsi="宋体" w:eastAsia="宋体" w:cs="宋体"/>
                <w:sz w:val="24"/>
                <w:highlight w:val="none"/>
              </w:rPr>
            </w:pPr>
          </w:p>
        </w:tc>
        <w:tc>
          <w:tcPr>
            <w:tcW w:w="1258" w:type="dxa"/>
          </w:tcPr>
          <w:p w14:paraId="7EBEBD33">
            <w:pPr>
              <w:spacing w:line="200" w:lineRule="exact"/>
              <w:jc w:val="left"/>
              <w:rPr>
                <w:rFonts w:hint="eastAsia" w:ascii="宋体" w:hAnsi="宋体" w:eastAsia="宋体" w:cs="宋体"/>
                <w:sz w:val="24"/>
                <w:highlight w:val="none"/>
              </w:rPr>
            </w:pPr>
          </w:p>
        </w:tc>
        <w:tc>
          <w:tcPr>
            <w:tcW w:w="1869" w:type="dxa"/>
          </w:tcPr>
          <w:p w14:paraId="557B7FCA">
            <w:pPr>
              <w:spacing w:line="200" w:lineRule="exact"/>
              <w:jc w:val="left"/>
              <w:rPr>
                <w:rFonts w:hint="eastAsia" w:ascii="宋体" w:hAnsi="宋体" w:eastAsia="宋体" w:cs="宋体"/>
                <w:sz w:val="24"/>
                <w:highlight w:val="none"/>
              </w:rPr>
            </w:pPr>
          </w:p>
        </w:tc>
      </w:tr>
      <w:tr w14:paraId="68E3D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1050" w:type="dxa"/>
            <w:vAlign w:val="center"/>
          </w:tcPr>
          <w:p w14:paraId="22FBD505">
            <w:pPr>
              <w:spacing w:line="200" w:lineRule="exact"/>
              <w:jc w:val="center"/>
              <w:rPr>
                <w:rFonts w:hint="eastAsia" w:ascii="宋体" w:hAnsi="宋体" w:eastAsia="宋体" w:cs="宋体"/>
                <w:sz w:val="24"/>
                <w:highlight w:val="none"/>
              </w:rPr>
            </w:pPr>
            <w:r>
              <w:rPr>
                <w:rFonts w:hint="eastAsia" w:ascii="宋体" w:hAnsi="宋体" w:eastAsia="宋体" w:cs="宋体"/>
                <w:sz w:val="24"/>
                <w:highlight w:val="none"/>
              </w:rPr>
              <w:t>3</w:t>
            </w:r>
          </w:p>
        </w:tc>
        <w:tc>
          <w:tcPr>
            <w:tcW w:w="2483" w:type="dxa"/>
          </w:tcPr>
          <w:p w14:paraId="180A120F">
            <w:pPr>
              <w:spacing w:line="200" w:lineRule="exact"/>
              <w:jc w:val="left"/>
              <w:rPr>
                <w:rFonts w:hint="eastAsia" w:ascii="宋体" w:hAnsi="宋体" w:eastAsia="宋体" w:cs="宋体"/>
                <w:sz w:val="24"/>
                <w:highlight w:val="none"/>
              </w:rPr>
            </w:pPr>
          </w:p>
        </w:tc>
        <w:tc>
          <w:tcPr>
            <w:tcW w:w="2527" w:type="dxa"/>
          </w:tcPr>
          <w:p w14:paraId="1F4047A8">
            <w:pPr>
              <w:spacing w:line="200" w:lineRule="exact"/>
              <w:jc w:val="left"/>
              <w:rPr>
                <w:rFonts w:hint="eastAsia" w:ascii="宋体" w:hAnsi="宋体" w:eastAsia="宋体" w:cs="宋体"/>
                <w:sz w:val="24"/>
                <w:highlight w:val="none"/>
              </w:rPr>
            </w:pPr>
          </w:p>
        </w:tc>
        <w:tc>
          <w:tcPr>
            <w:tcW w:w="1258" w:type="dxa"/>
          </w:tcPr>
          <w:p w14:paraId="07CBF754">
            <w:pPr>
              <w:spacing w:line="200" w:lineRule="exact"/>
              <w:jc w:val="left"/>
              <w:rPr>
                <w:rFonts w:hint="eastAsia" w:ascii="宋体" w:hAnsi="宋体" w:eastAsia="宋体" w:cs="宋体"/>
                <w:sz w:val="24"/>
                <w:highlight w:val="none"/>
              </w:rPr>
            </w:pPr>
          </w:p>
        </w:tc>
        <w:tc>
          <w:tcPr>
            <w:tcW w:w="1869" w:type="dxa"/>
          </w:tcPr>
          <w:p w14:paraId="14673EDF">
            <w:pPr>
              <w:spacing w:line="200" w:lineRule="exact"/>
              <w:jc w:val="left"/>
              <w:rPr>
                <w:rFonts w:hint="eastAsia" w:ascii="宋体" w:hAnsi="宋体" w:eastAsia="宋体" w:cs="宋体"/>
                <w:sz w:val="24"/>
                <w:highlight w:val="none"/>
              </w:rPr>
            </w:pPr>
          </w:p>
        </w:tc>
      </w:tr>
      <w:tr w14:paraId="682EFA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1050" w:type="dxa"/>
            <w:vAlign w:val="center"/>
          </w:tcPr>
          <w:p w14:paraId="6B019FE6">
            <w:pPr>
              <w:spacing w:line="200" w:lineRule="exact"/>
              <w:jc w:val="center"/>
              <w:rPr>
                <w:rFonts w:hint="eastAsia" w:ascii="宋体" w:hAnsi="宋体" w:eastAsia="宋体" w:cs="宋体"/>
                <w:sz w:val="24"/>
                <w:highlight w:val="none"/>
              </w:rPr>
            </w:pPr>
            <w:r>
              <w:rPr>
                <w:rFonts w:hint="eastAsia" w:ascii="宋体" w:hAnsi="宋体" w:eastAsia="宋体" w:cs="宋体"/>
                <w:sz w:val="24"/>
                <w:highlight w:val="none"/>
              </w:rPr>
              <w:t>4</w:t>
            </w:r>
          </w:p>
        </w:tc>
        <w:tc>
          <w:tcPr>
            <w:tcW w:w="2483" w:type="dxa"/>
          </w:tcPr>
          <w:p w14:paraId="4BB7AC39">
            <w:pPr>
              <w:spacing w:line="200" w:lineRule="exact"/>
              <w:jc w:val="left"/>
              <w:rPr>
                <w:rFonts w:hint="eastAsia" w:ascii="宋体" w:hAnsi="宋体" w:eastAsia="宋体" w:cs="宋体"/>
                <w:sz w:val="24"/>
                <w:highlight w:val="none"/>
              </w:rPr>
            </w:pPr>
          </w:p>
        </w:tc>
        <w:tc>
          <w:tcPr>
            <w:tcW w:w="2527" w:type="dxa"/>
          </w:tcPr>
          <w:p w14:paraId="23C600D7">
            <w:pPr>
              <w:spacing w:line="200" w:lineRule="exact"/>
              <w:jc w:val="left"/>
              <w:rPr>
                <w:rFonts w:hint="eastAsia" w:ascii="宋体" w:hAnsi="宋体" w:eastAsia="宋体" w:cs="宋体"/>
                <w:sz w:val="24"/>
                <w:highlight w:val="none"/>
              </w:rPr>
            </w:pPr>
          </w:p>
        </w:tc>
        <w:tc>
          <w:tcPr>
            <w:tcW w:w="1258" w:type="dxa"/>
          </w:tcPr>
          <w:p w14:paraId="551E625C">
            <w:pPr>
              <w:spacing w:line="200" w:lineRule="exact"/>
              <w:jc w:val="left"/>
              <w:rPr>
                <w:rFonts w:hint="eastAsia" w:ascii="宋体" w:hAnsi="宋体" w:eastAsia="宋体" w:cs="宋体"/>
                <w:sz w:val="24"/>
                <w:highlight w:val="none"/>
              </w:rPr>
            </w:pPr>
          </w:p>
        </w:tc>
        <w:tc>
          <w:tcPr>
            <w:tcW w:w="1869" w:type="dxa"/>
          </w:tcPr>
          <w:p w14:paraId="110C1F58">
            <w:pPr>
              <w:spacing w:line="200" w:lineRule="exact"/>
              <w:jc w:val="left"/>
              <w:rPr>
                <w:rFonts w:hint="eastAsia" w:ascii="宋体" w:hAnsi="宋体" w:eastAsia="宋体" w:cs="宋体"/>
                <w:sz w:val="24"/>
                <w:highlight w:val="none"/>
              </w:rPr>
            </w:pPr>
          </w:p>
        </w:tc>
      </w:tr>
      <w:tr w14:paraId="45D602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1050" w:type="dxa"/>
            <w:vAlign w:val="center"/>
          </w:tcPr>
          <w:p w14:paraId="4539B1A6">
            <w:pPr>
              <w:spacing w:line="200" w:lineRule="exact"/>
              <w:jc w:val="center"/>
              <w:rPr>
                <w:rFonts w:hint="eastAsia" w:ascii="宋体" w:hAnsi="宋体" w:eastAsia="宋体" w:cs="宋体"/>
                <w:sz w:val="24"/>
                <w:highlight w:val="none"/>
              </w:rPr>
            </w:pPr>
            <w:r>
              <w:rPr>
                <w:rFonts w:hint="eastAsia" w:ascii="宋体" w:hAnsi="宋体" w:eastAsia="宋体" w:cs="宋体"/>
                <w:sz w:val="24"/>
                <w:highlight w:val="none"/>
              </w:rPr>
              <w:t>5</w:t>
            </w:r>
          </w:p>
        </w:tc>
        <w:tc>
          <w:tcPr>
            <w:tcW w:w="2483" w:type="dxa"/>
          </w:tcPr>
          <w:p w14:paraId="3B4D88CF">
            <w:pPr>
              <w:spacing w:line="200" w:lineRule="exact"/>
              <w:jc w:val="left"/>
              <w:rPr>
                <w:rFonts w:hint="eastAsia" w:ascii="宋体" w:hAnsi="宋体" w:eastAsia="宋体" w:cs="宋体"/>
                <w:sz w:val="24"/>
                <w:highlight w:val="none"/>
              </w:rPr>
            </w:pPr>
          </w:p>
        </w:tc>
        <w:tc>
          <w:tcPr>
            <w:tcW w:w="2527" w:type="dxa"/>
          </w:tcPr>
          <w:p w14:paraId="04326771">
            <w:pPr>
              <w:spacing w:line="200" w:lineRule="exact"/>
              <w:jc w:val="left"/>
              <w:rPr>
                <w:rFonts w:hint="eastAsia" w:ascii="宋体" w:hAnsi="宋体" w:eastAsia="宋体" w:cs="宋体"/>
                <w:sz w:val="24"/>
                <w:highlight w:val="none"/>
              </w:rPr>
            </w:pPr>
          </w:p>
        </w:tc>
        <w:tc>
          <w:tcPr>
            <w:tcW w:w="1258" w:type="dxa"/>
          </w:tcPr>
          <w:p w14:paraId="2B8C8579">
            <w:pPr>
              <w:spacing w:line="200" w:lineRule="exact"/>
              <w:jc w:val="left"/>
              <w:rPr>
                <w:rFonts w:hint="eastAsia" w:ascii="宋体" w:hAnsi="宋体" w:eastAsia="宋体" w:cs="宋体"/>
                <w:sz w:val="24"/>
                <w:highlight w:val="none"/>
              </w:rPr>
            </w:pPr>
          </w:p>
        </w:tc>
        <w:tc>
          <w:tcPr>
            <w:tcW w:w="1869" w:type="dxa"/>
          </w:tcPr>
          <w:p w14:paraId="35E85702">
            <w:pPr>
              <w:spacing w:line="200" w:lineRule="exact"/>
              <w:jc w:val="left"/>
              <w:rPr>
                <w:rFonts w:hint="eastAsia" w:ascii="宋体" w:hAnsi="宋体" w:eastAsia="宋体" w:cs="宋体"/>
                <w:sz w:val="24"/>
                <w:highlight w:val="none"/>
              </w:rPr>
            </w:pPr>
          </w:p>
        </w:tc>
      </w:tr>
      <w:tr w14:paraId="4E8AF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1050" w:type="dxa"/>
            <w:vAlign w:val="center"/>
          </w:tcPr>
          <w:p w14:paraId="36BE7EB4">
            <w:pPr>
              <w:spacing w:line="200" w:lineRule="exact"/>
              <w:jc w:val="center"/>
              <w:rPr>
                <w:rFonts w:hint="eastAsia" w:ascii="宋体" w:hAnsi="宋体" w:eastAsia="宋体" w:cs="宋体"/>
                <w:sz w:val="24"/>
                <w:highlight w:val="none"/>
              </w:rPr>
            </w:pPr>
            <w:r>
              <w:rPr>
                <w:rFonts w:hint="eastAsia" w:ascii="宋体" w:hAnsi="宋体" w:eastAsia="宋体" w:cs="宋体"/>
                <w:sz w:val="24"/>
                <w:highlight w:val="none"/>
              </w:rPr>
              <w:t>……</w:t>
            </w:r>
          </w:p>
        </w:tc>
        <w:tc>
          <w:tcPr>
            <w:tcW w:w="2483" w:type="dxa"/>
          </w:tcPr>
          <w:p w14:paraId="6440AF88">
            <w:pPr>
              <w:spacing w:line="200" w:lineRule="exact"/>
              <w:jc w:val="left"/>
              <w:rPr>
                <w:rFonts w:hint="eastAsia" w:ascii="宋体" w:hAnsi="宋体" w:eastAsia="宋体" w:cs="宋体"/>
                <w:sz w:val="24"/>
                <w:highlight w:val="none"/>
              </w:rPr>
            </w:pPr>
          </w:p>
        </w:tc>
        <w:tc>
          <w:tcPr>
            <w:tcW w:w="2527" w:type="dxa"/>
          </w:tcPr>
          <w:p w14:paraId="6010E7A9">
            <w:pPr>
              <w:spacing w:line="200" w:lineRule="exact"/>
              <w:jc w:val="left"/>
              <w:rPr>
                <w:rFonts w:hint="eastAsia" w:ascii="宋体" w:hAnsi="宋体" w:eastAsia="宋体" w:cs="宋体"/>
                <w:sz w:val="24"/>
                <w:highlight w:val="none"/>
              </w:rPr>
            </w:pPr>
          </w:p>
        </w:tc>
        <w:tc>
          <w:tcPr>
            <w:tcW w:w="1258" w:type="dxa"/>
          </w:tcPr>
          <w:p w14:paraId="27A779B1">
            <w:pPr>
              <w:spacing w:line="200" w:lineRule="exact"/>
              <w:jc w:val="left"/>
              <w:rPr>
                <w:rFonts w:hint="eastAsia" w:ascii="宋体" w:hAnsi="宋体" w:eastAsia="宋体" w:cs="宋体"/>
                <w:sz w:val="24"/>
                <w:highlight w:val="none"/>
              </w:rPr>
            </w:pPr>
          </w:p>
        </w:tc>
        <w:tc>
          <w:tcPr>
            <w:tcW w:w="1869" w:type="dxa"/>
          </w:tcPr>
          <w:p w14:paraId="5F443551">
            <w:pPr>
              <w:spacing w:line="200" w:lineRule="exact"/>
              <w:jc w:val="left"/>
              <w:rPr>
                <w:rFonts w:hint="eastAsia" w:ascii="宋体" w:hAnsi="宋体" w:eastAsia="宋体" w:cs="宋体"/>
                <w:sz w:val="24"/>
                <w:highlight w:val="none"/>
              </w:rPr>
            </w:pPr>
          </w:p>
        </w:tc>
      </w:tr>
    </w:tbl>
    <w:p w14:paraId="4AF83A86">
      <w:pPr>
        <w:rPr>
          <w:rFonts w:hint="eastAsia" w:ascii="宋体" w:hAnsi="宋体" w:eastAsia="宋体" w:cs="宋体"/>
          <w:szCs w:val="21"/>
          <w:highlight w:val="none"/>
        </w:rPr>
        <w:sectPr>
          <w:pgSz w:w="11906" w:h="16838"/>
          <w:pgMar w:top="1418" w:right="1133" w:bottom="993" w:left="1134" w:header="851" w:footer="992" w:gutter="0"/>
          <w:pgNumType w:fmt="decimal"/>
          <w:cols w:space="720" w:num="1"/>
          <w:docGrid w:linePitch="312" w:charSpace="0"/>
        </w:sectPr>
      </w:pPr>
      <w:r>
        <w:rPr>
          <w:rFonts w:hint="eastAsia" w:ascii="宋体" w:hAnsi="宋体" w:eastAsia="宋体" w:cs="宋体"/>
          <w:szCs w:val="21"/>
          <w:highlight w:val="none"/>
        </w:rPr>
        <w:t>注：</w:t>
      </w:r>
      <w:r>
        <w:rPr>
          <w:rFonts w:hint="eastAsia" w:ascii="宋体" w:hAnsi="宋体" w:eastAsia="宋体" w:cs="宋体"/>
          <w:szCs w:val="21"/>
          <w:highlight w:val="none"/>
          <w:lang w:eastAsia="zh-CN"/>
        </w:rPr>
        <w:t>供应商</w:t>
      </w:r>
      <w:r>
        <w:rPr>
          <w:rFonts w:hint="eastAsia" w:ascii="宋体" w:hAnsi="宋体" w:eastAsia="宋体" w:cs="宋体"/>
          <w:szCs w:val="21"/>
          <w:highlight w:val="none"/>
        </w:rPr>
        <w:t>仅将偏离条款相关内容填入本表，在本表内注明“无偏离”“</w:t>
      </w:r>
      <w:r>
        <w:rPr>
          <w:rFonts w:hint="eastAsia" w:ascii="宋体" w:hAnsi="宋体" w:cs="宋体"/>
          <w:szCs w:val="21"/>
          <w:highlight w:val="none"/>
          <w:lang w:eastAsia="zh-CN"/>
        </w:rPr>
        <w:t>正</w:t>
      </w:r>
      <w:r>
        <w:rPr>
          <w:rFonts w:hint="eastAsia" w:ascii="宋体" w:hAnsi="宋体" w:eastAsia="宋体" w:cs="宋体"/>
          <w:szCs w:val="21"/>
          <w:highlight w:val="none"/>
        </w:rPr>
        <w:t>偏离”“</w:t>
      </w:r>
      <w:r>
        <w:rPr>
          <w:rFonts w:hint="eastAsia" w:ascii="宋体" w:hAnsi="宋体" w:cs="宋体"/>
          <w:szCs w:val="21"/>
          <w:highlight w:val="none"/>
          <w:lang w:eastAsia="zh-CN"/>
        </w:rPr>
        <w:t>负</w:t>
      </w:r>
      <w:r>
        <w:rPr>
          <w:rFonts w:hint="eastAsia" w:ascii="宋体" w:hAnsi="宋体" w:eastAsia="宋体" w:cs="宋体"/>
          <w:szCs w:val="21"/>
          <w:highlight w:val="none"/>
        </w:rPr>
        <w:t>偏离”即可。</w:t>
      </w:r>
    </w:p>
    <w:p w14:paraId="396D8A38">
      <w:pPr>
        <w:pStyle w:val="4"/>
        <w:jc w:val="center"/>
        <w:rPr>
          <w:rFonts w:hint="eastAsia" w:ascii="宋体" w:hAnsi="宋体" w:eastAsia="宋体" w:cs="宋体"/>
          <w:kern w:val="0"/>
          <w:szCs w:val="21"/>
          <w:highlight w:val="none"/>
        </w:rPr>
      </w:pPr>
      <w:r>
        <w:rPr>
          <w:rFonts w:hint="eastAsia" w:ascii="宋体" w:hAnsi="宋体" w:eastAsia="宋体" w:cs="宋体"/>
          <w:highlight w:val="none"/>
          <w:lang w:eastAsia="zh-CN"/>
        </w:rPr>
        <w:t>六</w:t>
      </w:r>
      <w:r>
        <w:rPr>
          <w:rFonts w:hint="eastAsia" w:ascii="宋体" w:hAnsi="宋体" w:eastAsia="宋体" w:cs="宋体"/>
          <w:highlight w:val="none"/>
        </w:rPr>
        <w:t>、</w:t>
      </w:r>
      <w:r>
        <w:rPr>
          <w:rFonts w:hint="eastAsia" w:ascii="宋体" w:hAnsi="宋体" w:eastAsia="宋体" w:cs="宋体"/>
          <w:highlight w:val="none"/>
          <w:lang w:eastAsia="zh-CN"/>
        </w:rPr>
        <w:t>技术</w:t>
      </w:r>
      <w:r>
        <w:rPr>
          <w:rFonts w:hint="eastAsia" w:ascii="宋体" w:hAnsi="宋体" w:eastAsia="宋体" w:cs="宋体"/>
          <w:kern w:val="0"/>
          <w:szCs w:val="21"/>
          <w:highlight w:val="none"/>
        </w:rPr>
        <w:t>偏离表</w:t>
      </w:r>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0"/>
        <w:gridCol w:w="2483"/>
        <w:gridCol w:w="2527"/>
        <w:gridCol w:w="1258"/>
        <w:gridCol w:w="921"/>
        <w:gridCol w:w="948"/>
      </w:tblGrid>
      <w:tr w14:paraId="374B5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1050" w:type="dxa"/>
            <w:vAlign w:val="center"/>
          </w:tcPr>
          <w:p w14:paraId="6CEDA16F">
            <w:pPr>
              <w:jc w:val="center"/>
              <w:rPr>
                <w:rFonts w:hint="eastAsia" w:ascii="宋体" w:hAnsi="宋体" w:eastAsia="宋体" w:cs="宋体"/>
                <w:sz w:val="24"/>
                <w:highlight w:val="none"/>
              </w:rPr>
            </w:pPr>
            <w:r>
              <w:rPr>
                <w:rFonts w:hint="eastAsia" w:ascii="宋体" w:hAnsi="宋体" w:eastAsia="宋体" w:cs="宋体"/>
                <w:b/>
                <w:highlight w:val="none"/>
              </w:rPr>
              <w:t>序号</w:t>
            </w:r>
          </w:p>
        </w:tc>
        <w:tc>
          <w:tcPr>
            <w:tcW w:w="2483" w:type="dxa"/>
            <w:vAlign w:val="center"/>
          </w:tcPr>
          <w:p w14:paraId="7413C9EB">
            <w:pPr>
              <w:jc w:val="center"/>
              <w:rPr>
                <w:rFonts w:hint="eastAsia" w:ascii="宋体" w:hAnsi="宋体" w:eastAsia="宋体" w:cs="宋体"/>
                <w:sz w:val="24"/>
                <w:highlight w:val="none"/>
              </w:rPr>
            </w:pPr>
            <w:r>
              <w:rPr>
                <w:rFonts w:hint="eastAsia" w:ascii="宋体" w:hAnsi="宋体" w:cs="宋体"/>
                <w:b/>
                <w:highlight w:val="none"/>
                <w:lang w:eastAsia="zh-CN"/>
              </w:rPr>
              <w:t>采购文件的要求</w:t>
            </w:r>
          </w:p>
        </w:tc>
        <w:tc>
          <w:tcPr>
            <w:tcW w:w="2527" w:type="dxa"/>
            <w:vAlign w:val="center"/>
          </w:tcPr>
          <w:p w14:paraId="03B4EC69">
            <w:pPr>
              <w:jc w:val="center"/>
              <w:rPr>
                <w:rFonts w:hint="eastAsia" w:ascii="宋体" w:hAnsi="宋体" w:eastAsia="宋体" w:cs="宋体"/>
                <w:sz w:val="24"/>
                <w:highlight w:val="none"/>
              </w:rPr>
            </w:pPr>
            <w:r>
              <w:rPr>
                <w:rFonts w:ascii="Segoe UI" w:hAnsi="Segoe UI" w:eastAsia="Segoe UI" w:cs="Segoe UI"/>
                <w:b/>
                <w:bCs/>
                <w:i w:val="0"/>
                <w:iCs w:val="0"/>
                <w:caps w:val="0"/>
                <w:spacing w:val="0"/>
                <w:sz w:val="21"/>
                <w:szCs w:val="21"/>
                <w:shd w:val="clear" w:fill="F5F5F5"/>
              </w:rPr>
              <w:t>​</w:t>
            </w:r>
            <w:r>
              <w:rPr>
                <w:rStyle w:val="39"/>
                <w:rFonts w:hint="default" w:ascii="Segoe UI" w:hAnsi="Segoe UI" w:eastAsia="Segoe UI" w:cs="Segoe UI"/>
                <w:b/>
                <w:bCs/>
                <w:i w:val="0"/>
                <w:iCs w:val="0"/>
                <w:caps w:val="0"/>
                <w:spacing w:val="0"/>
                <w:sz w:val="21"/>
                <w:szCs w:val="21"/>
                <w:vertAlign w:val="baseline"/>
              </w:rPr>
              <w:t>投标响应</w:t>
            </w:r>
          </w:p>
        </w:tc>
        <w:tc>
          <w:tcPr>
            <w:tcW w:w="1258" w:type="dxa"/>
            <w:vAlign w:val="center"/>
          </w:tcPr>
          <w:p w14:paraId="7982BA7F">
            <w:pPr>
              <w:jc w:val="center"/>
              <w:rPr>
                <w:rFonts w:hint="eastAsia" w:ascii="宋体" w:hAnsi="宋体" w:eastAsia="宋体" w:cs="宋体"/>
                <w:sz w:val="24"/>
                <w:highlight w:val="none"/>
              </w:rPr>
            </w:pPr>
            <w:r>
              <w:rPr>
                <w:rFonts w:hint="eastAsia" w:ascii="宋体" w:hAnsi="宋体" w:eastAsia="宋体" w:cs="宋体"/>
                <w:b/>
                <w:w w:val="97"/>
                <w:highlight w:val="none"/>
              </w:rPr>
              <w:t>偏离说明</w:t>
            </w:r>
          </w:p>
        </w:tc>
        <w:tc>
          <w:tcPr>
            <w:tcW w:w="921" w:type="dxa"/>
            <w:vAlign w:val="center"/>
          </w:tcPr>
          <w:p w14:paraId="1431C86D">
            <w:pPr>
              <w:jc w:val="center"/>
              <w:rPr>
                <w:rFonts w:hint="eastAsia" w:ascii="宋体" w:hAnsi="宋体" w:eastAsia="宋体" w:cs="宋体"/>
                <w:b/>
                <w:w w:val="97"/>
                <w:highlight w:val="none"/>
                <w:lang w:val="en-US" w:eastAsia="zh-CN"/>
              </w:rPr>
            </w:pPr>
            <w:r>
              <w:rPr>
                <w:rFonts w:hint="eastAsia" w:ascii="宋体" w:hAnsi="宋体" w:cs="宋体"/>
                <w:b/>
                <w:w w:val="97"/>
                <w:highlight w:val="none"/>
                <w:lang w:val="en-US" w:eastAsia="zh-CN"/>
              </w:rPr>
              <w:t xml:space="preserve">相关证明材料页码 </w:t>
            </w:r>
          </w:p>
        </w:tc>
        <w:tc>
          <w:tcPr>
            <w:tcW w:w="948" w:type="dxa"/>
            <w:vAlign w:val="center"/>
          </w:tcPr>
          <w:p w14:paraId="3D1950DE">
            <w:pPr>
              <w:jc w:val="center"/>
              <w:rPr>
                <w:rFonts w:hint="eastAsia" w:ascii="宋体" w:hAnsi="宋体" w:eastAsia="宋体" w:cs="宋体"/>
                <w:b/>
                <w:w w:val="97"/>
                <w:highlight w:val="none"/>
              </w:rPr>
            </w:pPr>
            <w:r>
              <w:rPr>
                <w:rFonts w:hint="eastAsia" w:ascii="宋体" w:hAnsi="宋体" w:eastAsia="宋体" w:cs="宋体"/>
                <w:b/>
                <w:w w:val="97"/>
                <w:highlight w:val="none"/>
              </w:rPr>
              <w:t>备注</w:t>
            </w:r>
          </w:p>
        </w:tc>
      </w:tr>
      <w:tr w14:paraId="2002DA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1050" w:type="dxa"/>
            <w:vAlign w:val="center"/>
          </w:tcPr>
          <w:p w14:paraId="5322396B">
            <w:pPr>
              <w:spacing w:line="200" w:lineRule="exact"/>
              <w:jc w:val="center"/>
              <w:rPr>
                <w:rFonts w:hint="eastAsia" w:ascii="宋体" w:hAnsi="宋体" w:eastAsia="宋体" w:cs="宋体"/>
                <w:sz w:val="24"/>
                <w:highlight w:val="none"/>
              </w:rPr>
            </w:pPr>
            <w:r>
              <w:rPr>
                <w:rFonts w:hint="eastAsia" w:ascii="宋体" w:hAnsi="宋体" w:eastAsia="宋体" w:cs="宋体"/>
                <w:sz w:val="24"/>
                <w:highlight w:val="none"/>
              </w:rPr>
              <w:t>1</w:t>
            </w:r>
          </w:p>
        </w:tc>
        <w:tc>
          <w:tcPr>
            <w:tcW w:w="2483" w:type="dxa"/>
          </w:tcPr>
          <w:p w14:paraId="0520DEA6">
            <w:pPr>
              <w:spacing w:line="200" w:lineRule="exact"/>
              <w:jc w:val="left"/>
              <w:rPr>
                <w:rFonts w:hint="eastAsia" w:ascii="宋体" w:hAnsi="宋体" w:eastAsia="宋体" w:cs="宋体"/>
                <w:sz w:val="24"/>
                <w:highlight w:val="none"/>
              </w:rPr>
            </w:pPr>
          </w:p>
        </w:tc>
        <w:tc>
          <w:tcPr>
            <w:tcW w:w="2527" w:type="dxa"/>
          </w:tcPr>
          <w:p w14:paraId="21313E10">
            <w:pPr>
              <w:spacing w:line="200" w:lineRule="exact"/>
              <w:jc w:val="left"/>
              <w:rPr>
                <w:rFonts w:hint="eastAsia" w:ascii="宋体" w:hAnsi="宋体" w:eastAsia="宋体" w:cs="宋体"/>
                <w:sz w:val="24"/>
                <w:highlight w:val="none"/>
              </w:rPr>
            </w:pPr>
          </w:p>
        </w:tc>
        <w:tc>
          <w:tcPr>
            <w:tcW w:w="1258" w:type="dxa"/>
          </w:tcPr>
          <w:p w14:paraId="1C48E7C8">
            <w:pPr>
              <w:spacing w:line="200" w:lineRule="exact"/>
              <w:jc w:val="left"/>
              <w:rPr>
                <w:rFonts w:hint="eastAsia" w:ascii="宋体" w:hAnsi="宋体" w:eastAsia="宋体" w:cs="宋体"/>
                <w:sz w:val="24"/>
                <w:highlight w:val="none"/>
              </w:rPr>
            </w:pPr>
          </w:p>
        </w:tc>
        <w:tc>
          <w:tcPr>
            <w:tcW w:w="921" w:type="dxa"/>
          </w:tcPr>
          <w:p w14:paraId="38B57B16">
            <w:pPr>
              <w:spacing w:line="200" w:lineRule="exact"/>
              <w:jc w:val="left"/>
              <w:rPr>
                <w:rFonts w:hint="eastAsia" w:ascii="宋体" w:hAnsi="宋体" w:eastAsia="宋体" w:cs="宋体"/>
                <w:sz w:val="24"/>
                <w:highlight w:val="none"/>
              </w:rPr>
            </w:pPr>
          </w:p>
        </w:tc>
        <w:tc>
          <w:tcPr>
            <w:tcW w:w="948" w:type="dxa"/>
          </w:tcPr>
          <w:p w14:paraId="79966BBF">
            <w:pPr>
              <w:spacing w:line="200" w:lineRule="exact"/>
              <w:jc w:val="left"/>
              <w:rPr>
                <w:rFonts w:hint="eastAsia" w:ascii="宋体" w:hAnsi="宋体" w:eastAsia="宋体" w:cs="宋体"/>
                <w:sz w:val="24"/>
                <w:highlight w:val="none"/>
              </w:rPr>
            </w:pPr>
          </w:p>
        </w:tc>
      </w:tr>
      <w:tr w14:paraId="4EEC9D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1050" w:type="dxa"/>
            <w:vAlign w:val="center"/>
          </w:tcPr>
          <w:p w14:paraId="3EC6392E">
            <w:pPr>
              <w:spacing w:line="200" w:lineRule="exact"/>
              <w:jc w:val="center"/>
              <w:rPr>
                <w:rFonts w:hint="eastAsia" w:ascii="宋体" w:hAnsi="宋体" w:eastAsia="宋体" w:cs="宋体"/>
                <w:sz w:val="24"/>
                <w:highlight w:val="none"/>
              </w:rPr>
            </w:pPr>
            <w:r>
              <w:rPr>
                <w:rFonts w:hint="eastAsia" w:ascii="宋体" w:hAnsi="宋体" w:eastAsia="宋体" w:cs="宋体"/>
                <w:sz w:val="24"/>
                <w:highlight w:val="none"/>
              </w:rPr>
              <w:t>2</w:t>
            </w:r>
          </w:p>
        </w:tc>
        <w:tc>
          <w:tcPr>
            <w:tcW w:w="2483" w:type="dxa"/>
          </w:tcPr>
          <w:p w14:paraId="2598198C">
            <w:pPr>
              <w:spacing w:line="200" w:lineRule="exact"/>
              <w:jc w:val="left"/>
              <w:rPr>
                <w:rFonts w:hint="eastAsia" w:ascii="宋体" w:hAnsi="宋体" w:eastAsia="宋体" w:cs="宋体"/>
                <w:sz w:val="24"/>
                <w:highlight w:val="none"/>
              </w:rPr>
            </w:pPr>
          </w:p>
        </w:tc>
        <w:tc>
          <w:tcPr>
            <w:tcW w:w="2527" w:type="dxa"/>
          </w:tcPr>
          <w:p w14:paraId="5F1940BB">
            <w:pPr>
              <w:spacing w:line="200" w:lineRule="exact"/>
              <w:jc w:val="left"/>
              <w:rPr>
                <w:rFonts w:hint="eastAsia" w:ascii="宋体" w:hAnsi="宋体" w:eastAsia="宋体" w:cs="宋体"/>
                <w:sz w:val="24"/>
                <w:highlight w:val="none"/>
              </w:rPr>
            </w:pPr>
          </w:p>
        </w:tc>
        <w:tc>
          <w:tcPr>
            <w:tcW w:w="1258" w:type="dxa"/>
          </w:tcPr>
          <w:p w14:paraId="6F54D66F">
            <w:pPr>
              <w:spacing w:line="200" w:lineRule="exact"/>
              <w:jc w:val="left"/>
              <w:rPr>
                <w:rFonts w:hint="eastAsia" w:ascii="宋体" w:hAnsi="宋体" w:eastAsia="宋体" w:cs="宋体"/>
                <w:sz w:val="24"/>
                <w:highlight w:val="none"/>
              </w:rPr>
            </w:pPr>
          </w:p>
        </w:tc>
        <w:tc>
          <w:tcPr>
            <w:tcW w:w="921" w:type="dxa"/>
          </w:tcPr>
          <w:p w14:paraId="16CEFD72">
            <w:pPr>
              <w:spacing w:line="200" w:lineRule="exact"/>
              <w:jc w:val="left"/>
              <w:rPr>
                <w:rFonts w:hint="eastAsia" w:ascii="宋体" w:hAnsi="宋体" w:eastAsia="宋体" w:cs="宋体"/>
                <w:sz w:val="24"/>
                <w:highlight w:val="none"/>
              </w:rPr>
            </w:pPr>
          </w:p>
        </w:tc>
        <w:tc>
          <w:tcPr>
            <w:tcW w:w="948" w:type="dxa"/>
          </w:tcPr>
          <w:p w14:paraId="1BB136A6">
            <w:pPr>
              <w:spacing w:line="200" w:lineRule="exact"/>
              <w:jc w:val="left"/>
              <w:rPr>
                <w:rFonts w:hint="eastAsia" w:ascii="宋体" w:hAnsi="宋体" w:eastAsia="宋体" w:cs="宋体"/>
                <w:sz w:val="24"/>
                <w:highlight w:val="none"/>
              </w:rPr>
            </w:pPr>
          </w:p>
        </w:tc>
      </w:tr>
      <w:tr w14:paraId="7B370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1050" w:type="dxa"/>
            <w:vAlign w:val="center"/>
          </w:tcPr>
          <w:p w14:paraId="5790E1AC">
            <w:pPr>
              <w:spacing w:line="200" w:lineRule="exact"/>
              <w:jc w:val="center"/>
              <w:rPr>
                <w:rFonts w:hint="eastAsia" w:ascii="宋体" w:hAnsi="宋体" w:eastAsia="宋体" w:cs="宋体"/>
                <w:sz w:val="24"/>
                <w:highlight w:val="none"/>
              </w:rPr>
            </w:pPr>
            <w:r>
              <w:rPr>
                <w:rFonts w:hint="eastAsia" w:ascii="宋体" w:hAnsi="宋体" w:eastAsia="宋体" w:cs="宋体"/>
                <w:sz w:val="24"/>
                <w:highlight w:val="none"/>
              </w:rPr>
              <w:t>3</w:t>
            </w:r>
          </w:p>
        </w:tc>
        <w:tc>
          <w:tcPr>
            <w:tcW w:w="2483" w:type="dxa"/>
          </w:tcPr>
          <w:p w14:paraId="63AEA2D0">
            <w:pPr>
              <w:spacing w:line="200" w:lineRule="exact"/>
              <w:jc w:val="left"/>
              <w:rPr>
                <w:rFonts w:hint="eastAsia" w:ascii="宋体" w:hAnsi="宋体" w:eastAsia="宋体" w:cs="宋体"/>
                <w:sz w:val="24"/>
                <w:highlight w:val="none"/>
              </w:rPr>
            </w:pPr>
          </w:p>
        </w:tc>
        <w:tc>
          <w:tcPr>
            <w:tcW w:w="2527" w:type="dxa"/>
          </w:tcPr>
          <w:p w14:paraId="7813D1AD">
            <w:pPr>
              <w:spacing w:line="200" w:lineRule="exact"/>
              <w:jc w:val="left"/>
              <w:rPr>
                <w:rFonts w:hint="eastAsia" w:ascii="宋体" w:hAnsi="宋体" w:eastAsia="宋体" w:cs="宋体"/>
                <w:sz w:val="24"/>
                <w:highlight w:val="none"/>
              </w:rPr>
            </w:pPr>
          </w:p>
        </w:tc>
        <w:tc>
          <w:tcPr>
            <w:tcW w:w="1258" w:type="dxa"/>
          </w:tcPr>
          <w:p w14:paraId="24B2E150">
            <w:pPr>
              <w:spacing w:line="200" w:lineRule="exact"/>
              <w:jc w:val="left"/>
              <w:rPr>
                <w:rFonts w:hint="eastAsia" w:ascii="宋体" w:hAnsi="宋体" w:eastAsia="宋体" w:cs="宋体"/>
                <w:sz w:val="24"/>
                <w:highlight w:val="none"/>
              </w:rPr>
            </w:pPr>
          </w:p>
        </w:tc>
        <w:tc>
          <w:tcPr>
            <w:tcW w:w="921" w:type="dxa"/>
          </w:tcPr>
          <w:p w14:paraId="20632853">
            <w:pPr>
              <w:spacing w:line="200" w:lineRule="exact"/>
              <w:jc w:val="left"/>
              <w:rPr>
                <w:rFonts w:hint="eastAsia" w:ascii="宋体" w:hAnsi="宋体" w:eastAsia="宋体" w:cs="宋体"/>
                <w:sz w:val="24"/>
                <w:highlight w:val="none"/>
              </w:rPr>
            </w:pPr>
          </w:p>
        </w:tc>
        <w:tc>
          <w:tcPr>
            <w:tcW w:w="948" w:type="dxa"/>
          </w:tcPr>
          <w:p w14:paraId="08709DE4">
            <w:pPr>
              <w:spacing w:line="200" w:lineRule="exact"/>
              <w:jc w:val="left"/>
              <w:rPr>
                <w:rFonts w:hint="eastAsia" w:ascii="宋体" w:hAnsi="宋体" w:eastAsia="宋体" w:cs="宋体"/>
                <w:sz w:val="24"/>
                <w:highlight w:val="none"/>
              </w:rPr>
            </w:pPr>
          </w:p>
        </w:tc>
      </w:tr>
      <w:tr w14:paraId="61FC91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1050" w:type="dxa"/>
            <w:vAlign w:val="center"/>
          </w:tcPr>
          <w:p w14:paraId="4769714A">
            <w:pPr>
              <w:spacing w:line="200" w:lineRule="exact"/>
              <w:jc w:val="center"/>
              <w:rPr>
                <w:rFonts w:hint="eastAsia" w:ascii="宋体" w:hAnsi="宋体" w:eastAsia="宋体" w:cs="宋体"/>
                <w:sz w:val="24"/>
                <w:highlight w:val="none"/>
              </w:rPr>
            </w:pPr>
            <w:r>
              <w:rPr>
                <w:rFonts w:hint="eastAsia" w:ascii="宋体" w:hAnsi="宋体" w:eastAsia="宋体" w:cs="宋体"/>
                <w:sz w:val="24"/>
                <w:highlight w:val="none"/>
              </w:rPr>
              <w:t>4</w:t>
            </w:r>
          </w:p>
        </w:tc>
        <w:tc>
          <w:tcPr>
            <w:tcW w:w="2483" w:type="dxa"/>
          </w:tcPr>
          <w:p w14:paraId="4B7AF56D">
            <w:pPr>
              <w:spacing w:line="200" w:lineRule="exact"/>
              <w:jc w:val="left"/>
              <w:rPr>
                <w:rFonts w:hint="eastAsia" w:ascii="宋体" w:hAnsi="宋体" w:eastAsia="宋体" w:cs="宋体"/>
                <w:sz w:val="24"/>
                <w:highlight w:val="none"/>
              </w:rPr>
            </w:pPr>
          </w:p>
        </w:tc>
        <w:tc>
          <w:tcPr>
            <w:tcW w:w="2527" w:type="dxa"/>
          </w:tcPr>
          <w:p w14:paraId="40C4579D">
            <w:pPr>
              <w:spacing w:line="200" w:lineRule="exact"/>
              <w:jc w:val="left"/>
              <w:rPr>
                <w:rFonts w:hint="eastAsia" w:ascii="宋体" w:hAnsi="宋体" w:eastAsia="宋体" w:cs="宋体"/>
                <w:sz w:val="24"/>
                <w:highlight w:val="none"/>
              </w:rPr>
            </w:pPr>
          </w:p>
        </w:tc>
        <w:tc>
          <w:tcPr>
            <w:tcW w:w="1258" w:type="dxa"/>
          </w:tcPr>
          <w:p w14:paraId="11F6A334">
            <w:pPr>
              <w:spacing w:line="200" w:lineRule="exact"/>
              <w:jc w:val="left"/>
              <w:rPr>
                <w:rFonts w:hint="eastAsia" w:ascii="宋体" w:hAnsi="宋体" w:eastAsia="宋体" w:cs="宋体"/>
                <w:sz w:val="24"/>
                <w:highlight w:val="none"/>
              </w:rPr>
            </w:pPr>
          </w:p>
        </w:tc>
        <w:tc>
          <w:tcPr>
            <w:tcW w:w="921" w:type="dxa"/>
          </w:tcPr>
          <w:p w14:paraId="1B62C054">
            <w:pPr>
              <w:spacing w:line="200" w:lineRule="exact"/>
              <w:jc w:val="left"/>
              <w:rPr>
                <w:rFonts w:hint="eastAsia" w:ascii="宋体" w:hAnsi="宋体" w:eastAsia="宋体" w:cs="宋体"/>
                <w:sz w:val="24"/>
                <w:highlight w:val="none"/>
              </w:rPr>
            </w:pPr>
          </w:p>
        </w:tc>
        <w:tc>
          <w:tcPr>
            <w:tcW w:w="948" w:type="dxa"/>
          </w:tcPr>
          <w:p w14:paraId="19A5C3A7">
            <w:pPr>
              <w:spacing w:line="200" w:lineRule="exact"/>
              <w:jc w:val="left"/>
              <w:rPr>
                <w:rFonts w:hint="eastAsia" w:ascii="宋体" w:hAnsi="宋体" w:eastAsia="宋体" w:cs="宋体"/>
                <w:sz w:val="24"/>
                <w:highlight w:val="none"/>
              </w:rPr>
            </w:pPr>
          </w:p>
        </w:tc>
      </w:tr>
      <w:tr w14:paraId="708E70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1050" w:type="dxa"/>
            <w:vAlign w:val="center"/>
          </w:tcPr>
          <w:p w14:paraId="3B361B12">
            <w:pPr>
              <w:spacing w:line="200" w:lineRule="exact"/>
              <w:jc w:val="center"/>
              <w:rPr>
                <w:rFonts w:hint="eastAsia" w:ascii="宋体" w:hAnsi="宋体" w:eastAsia="宋体" w:cs="宋体"/>
                <w:sz w:val="24"/>
                <w:highlight w:val="none"/>
              </w:rPr>
            </w:pPr>
            <w:r>
              <w:rPr>
                <w:rFonts w:hint="eastAsia" w:ascii="宋体" w:hAnsi="宋体" w:eastAsia="宋体" w:cs="宋体"/>
                <w:sz w:val="24"/>
                <w:highlight w:val="none"/>
              </w:rPr>
              <w:t>5</w:t>
            </w:r>
          </w:p>
        </w:tc>
        <w:tc>
          <w:tcPr>
            <w:tcW w:w="2483" w:type="dxa"/>
          </w:tcPr>
          <w:p w14:paraId="60079BE4">
            <w:pPr>
              <w:spacing w:line="200" w:lineRule="exact"/>
              <w:jc w:val="left"/>
              <w:rPr>
                <w:rFonts w:hint="eastAsia" w:ascii="宋体" w:hAnsi="宋体" w:eastAsia="宋体" w:cs="宋体"/>
                <w:sz w:val="24"/>
                <w:highlight w:val="none"/>
              </w:rPr>
            </w:pPr>
          </w:p>
        </w:tc>
        <w:tc>
          <w:tcPr>
            <w:tcW w:w="2527" w:type="dxa"/>
          </w:tcPr>
          <w:p w14:paraId="3FE095F3">
            <w:pPr>
              <w:spacing w:line="200" w:lineRule="exact"/>
              <w:jc w:val="left"/>
              <w:rPr>
                <w:rFonts w:hint="eastAsia" w:ascii="宋体" w:hAnsi="宋体" w:eastAsia="宋体" w:cs="宋体"/>
                <w:sz w:val="24"/>
                <w:highlight w:val="none"/>
              </w:rPr>
            </w:pPr>
          </w:p>
        </w:tc>
        <w:tc>
          <w:tcPr>
            <w:tcW w:w="1258" w:type="dxa"/>
          </w:tcPr>
          <w:p w14:paraId="34FB2F2B">
            <w:pPr>
              <w:spacing w:line="200" w:lineRule="exact"/>
              <w:jc w:val="left"/>
              <w:rPr>
                <w:rFonts w:hint="eastAsia" w:ascii="宋体" w:hAnsi="宋体" w:eastAsia="宋体" w:cs="宋体"/>
                <w:sz w:val="24"/>
                <w:highlight w:val="none"/>
              </w:rPr>
            </w:pPr>
          </w:p>
        </w:tc>
        <w:tc>
          <w:tcPr>
            <w:tcW w:w="921" w:type="dxa"/>
          </w:tcPr>
          <w:p w14:paraId="256B268F">
            <w:pPr>
              <w:spacing w:line="200" w:lineRule="exact"/>
              <w:jc w:val="left"/>
              <w:rPr>
                <w:rFonts w:hint="eastAsia" w:ascii="宋体" w:hAnsi="宋体" w:eastAsia="宋体" w:cs="宋体"/>
                <w:sz w:val="24"/>
                <w:highlight w:val="none"/>
              </w:rPr>
            </w:pPr>
          </w:p>
        </w:tc>
        <w:tc>
          <w:tcPr>
            <w:tcW w:w="948" w:type="dxa"/>
          </w:tcPr>
          <w:p w14:paraId="18E75DB9">
            <w:pPr>
              <w:spacing w:line="200" w:lineRule="exact"/>
              <w:jc w:val="left"/>
              <w:rPr>
                <w:rFonts w:hint="eastAsia" w:ascii="宋体" w:hAnsi="宋体" w:eastAsia="宋体" w:cs="宋体"/>
                <w:sz w:val="24"/>
                <w:highlight w:val="none"/>
              </w:rPr>
            </w:pPr>
          </w:p>
        </w:tc>
      </w:tr>
      <w:tr w14:paraId="0CF4A5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1050" w:type="dxa"/>
            <w:vAlign w:val="center"/>
          </w:tcPr>
          <w:p w14:paraId="124D6C05">
            <w:pPr>
              <w:spacing w:line="200" w:lineRule="exact"/>
              <w:jc w:val="center"/>
              <w:rPr>
                <w:rFonts w:hint="eastAsia" w:ascii="宋体" w:hAnsi="宋体" w:eastAsia="宋体" w:cs="宋体"/>
                <w:sz w:val="24"/>
                <w:highlight w:val="none"/>
              </w:rPr>
            </w:pPr>
            <w:r>
              <w:rPr>
                <w:rFonts w:hint="eastAsia" w:ascii="宋体" w:hAnsi="宋体" w:eastAsia="宋体" w:cs="宋体"/>
                <w:sz w:val="24"/>
                <w:highlight w:val="none"/>
              </w:rPr>
              <w:t>……</w:t>
            </w:r>
          </w:p>
        </w:tc>
        <w:tc>
          <w:tcPr>
            <w:tcW w:w="2483" w:type="dxa"/>
          </w:tcPr>
          <w:p w14:paraId="6E44BA96">
            <w:pPr>
              <w:spacing w:line="200" w:lineRule="exact"/>
              <w:jc w:val="left"/>
              <w:rPr>
                <w:rFonts w:hint="eastAsia" w:ascii="宋体" w:hAnsi="宋体" w:eastAsia="宋体" w:cs="宋体"/>
                <w:sz w:val="24"/>
                <w:highlight w:val="none"/>
              </w:rPr>
            </w:pPr>
          </w:p>
        </w:tc>
        <w:tc>
          <w:tcPr>
            <w:tcW w:w="2527" w:type="dxa"/>
          </w:tcPr>
          <w:p w14:paraId="1C217BDC">
            <w:pPr>
              <w:spacing w:line="200" w:lineRule="exact"/>
              <w:jc w:val="left"/>
              <w:rPr>
                <w:rFonts w:hint="eastAsia" w:ascii="宋体" w:hAnsi="宋体" w:eastAsia="宋体" w:cs="宋体"/>
                <w:sz w:val="24"/>
                <w:highlight w:val="none"/>
              </w:rPr>
            </w:pPr>
          </w:p>
        </w:tc>
        <w:tc>
          <w:tcPr>
            <w:tcW w:w="1258" w:type="dxa"/>
          </w:tcPr>
          <w:p w14:paraId="161E9F62">
            <w:pPr>
              <w:spacing w:line="200" w:lineRule="exact"/>
              <w:jc w:val="left"/>
              <w:rPr>
                <w:rFonts w:hint="eastAsia" w:ascii="宋体" w:hAnsi="宋体" w:eastAsia="宋体" w:cs="宋体"/>
                <w:sz w:val="24"/>
                <w:highlight w:val="none"/>
              </w:rPr>
            </w:pPr>
          </w:p>
        </w:tc>
        <w:tc>
          <w:tcPr>
            <w:tcW w:w="921" w:type="dxa"/>
          </w:tcPr>
          <w:p w14:paraId="1E210E85">
            <w:pPr>
              <w:spacing w:line="200" w:lineRule="exact"/>
              <w:jc w:val="left"/>
              <w:rPr>
                <w:rFonts w:hint="eastAsia" w:ascii="宋体" w:hAnsi="宋体" w:eastAsia="宋体" w:cs="宋体"/>
                <w:sz w:val="24"/>
                <w:highlight w:val="none"/>
              </w:rPr>
            </w:pPr>
          </w:p>
        </w:tc>
        <w:tc>
          <w:tcPr>
            <w:tcW w:w="948" w:type="dxa"/>
          </w:tcPr>
          <w:p w14:paraId="2C3A3A59">
            <w:pPr>
              <w:spacing w:line="200" w:lineRule="exact"/>
              <w:jc w:val="left"/>
              <w:rPr>
                <w:rFonts w:hint="eastAsia" w:ascii="宋体" w:hAnsi="宋体" w:eastAsia="宋体" w:cs="宋体"/>
                <w:sz w:val="24"/>
                <w:highlight w:val="none"/>
              </w:rPr>
            </w:pPr>
          </w:p>
        </w:tc>
      </w:tr>
    </w:tbl>
    <w:p w14:paraId="4BC5A0BB">
      <w:pPr>
        <w:rPr>
          <w:rFonts w:hint="eastAsia" w:ascii="宋体" w:hAnsi="宋体" w:eastAsia="宋体" w:cs="宋体"/>
          <w:szCs w:val="21"/>
          <w:highlight w:val="none"/>
        </w:rPr>
      </w:pPr>
      <w:r>
        <w:rPr>
          <w:rFonts w:hint="eastAsia" w:ascii="宋体" w:hAnsi="宋体" w:eastAsia="宋体" w:cs="宋体"/>
          <w:szCs w:val="21"/>
          <w:highlight w:val="none"/>
        </w:rPr>
        <w:t>注：</w:t>
      </w:r>
      <w:r>
        <w:rPr>
          <w:rFonts w:hint="eastAsia" w:ascii="宋体" w:hAnsi="宋体" w:eastAsia="宋体" w:cs="宋体"/>
          <w:szCs w:val="21"/>
          <w:highlight w:val="none"/>
          <w:lang w:eastAsia="zh-CN"/>
        </w:rPr>
        <w:t>供应商</w:t>
      </w:r>
      <w:r>
        <w:rPr>
          <w:rFonts w:hint="eastAsia" w:ascii="宋体" w:hAnsi="宋体" w:cs="宋体"/>
          <w:szCs w:val="21"/>
          <w:highlight w:val="none"/>
          <w:lang w:eastAsia="zh-CN"/>
        </w:rPr>
        <w:t>按照第五章技术参数填写本表</w:t>
      </w:r>
      <w:r>
        <w:rPr>
          <w:rFonts w:hint="eastAsia" w:ascii="宋体" w:hAnsi="宋体" w:eastAsia="宋体" w:cs="宋体"/>
          <w:szCs w:val="21"/>
          <w:highlight w:val="none"/>
        </w:rPr>
        <w:t>，在本表内注明“无偏离”“</w:t>
      </w:r>
      <w:r>
        <w:rPr>
          <w:rFonts w:hint="eastAsia" w:ascii="宋体" w:hAnsi="宋体" w:cs="宋体"/>
          <w:szCs w:val="21"/>
          <w:highlight w:val="none"/>
          <w:lang w:eastAsia="zh-CN"/>
        </w:rPr>
        <w:t>正</w:t>
      </w:r>
      <w:r>
        <w:rPr>
          <w:rFonts w:hint="eastAsia" w:ascii="宋体" w:hAnsi="宋体" w:eastAsia="宋体" w:cs="宋体"/>
          <w:szCs w:val="21"/>
          <w:highlight w:val="none"/>
        </w:rPr>
        <w:t>偏离”“</w:t>
      </w:r>
      <w:r>
        <w:rPr>
          <w:rFonts w:hint="eastAsia" w:ascii="宋体" w:hAnsi="宋体" w:cs="宋体"/>
          <w:szCs w:val="21"/>
          <w:highlight w:val="none"/>
          <w:lang w:eastAsia="zh-CN"/>
        </w:rPr>
        <w:t>负</w:t>
      </w:r>
      <w:r>
        <w:rPr>
          <w:rFonts w:hint="eastAsia" w:ascii="宋体" w:hAnsi="宋体" w:eastAsia="宋体" w:cs="宋体"/>
          <w:szCs w:val="21"/>
          <w:highlight w:val="none"/>
        </w:rPr>
        <w:t>偏离”即可。</w:t>
      </w:r>
    </w:p>
    <w:p w14:paraId="7DB37EC8">
      <w:pPr>
        <w:pStyle w:val="15"/>
        <w:rPr>
          <w:rFonts w:hint="eastAsia"/>
        </w:rPr>
        <w:sectPr>
          <w:pgSz w:w="11906" w:h="16838"/>
          <w:pgMar w:top="1418" w:right="1133" w:bottom="993" w:left="1134" w:header="851" w:footer="992" w:gutter="0"/>
          <w:pgNumType w:fmt="decimal"/>
          <w:cols w:space="720" w:num="1"/>
          <w:docGrid w:linePitch="312" w:charSpace="0"/>
        </w:sectPr>
      </w:pPr>
      <w:r>
        <w:rPr>
          <w:rFonts w:hint="eastAsia" w:ascii="宋体" w:hAnsi="宋体" w:cs="宋体"/>
          <w:szCs w:val="21"/>
          <w:highlight w:val="none"/>
          <w:lang w:val="en-US" w:eastAsia="zh-CN"/>
        </w:rPr>
        <w:t xml:space="preserve">  </w:t>
      </w:r>
    </w:p>
    <w:p w14:paraId="07782E3C">
      <w:pPr>
        <w:pStyle w:val="4"/>
        <w:jc w:val="center"/>
        <w:rPr>
          <w:rFonts w:hint="eastAsia" w:ascii="宋体" w:hAnsi="宋体" w:eastAsia="宋体" w:cs="宋体"/>
          <w:highlight w:val="none"/>
        </w:rPr>
      </w:pPr>
      <w:bookmarkStart w:id="185" w:name="_Toc350070704"/>
      <w:bookmarkStart w:id="186" w:name="_Toc247085887"/>
      <w:bookmarkStart w:id="187" w:name="_Toc179632823"/>
      <w:bookmarkStart w:id="188" w:name="_Toc246996369"/>
      <w:bookmarkStart w:id="189" w:name="_Toc144974871"/>
      <w:bookmarkStart w:id="190" w:name="_Toc364783099"/>
      <w:bookmarkStart w:id="191" w:name="_Toc34654722"/>
      <w:bookmarkStart w:id="192" w:name="_Toc359315425"/>
      <w:bookmarkStart w:id="193" w:name="_Toc152042592"/>
      <w:bookmarkStart w:id="194" w:name="_Toc152045803"/>
      <w:bookmarkStart w:id="195" w:name="_Toc246997112"/>
      <w:bookmarkStart w:id="196" w:name="_Toc62484158"/>
      <w:bookmarkStart w:id="197" w:name="_Toc49407762"/>
      <w:bookmarkStart w:id="198" w:name="_Toc49350831"/>
      <w:r>
        <w:rPr>
          <w:rFonts w:hint="eastAsia" w:ascii="宋体" w:hAnsi="宋体" w:eastAsia="宋体" w:cs="宋体"/>
          <w:highlight w:val="none"/>
          <w:lang w:eastAsia="zh-CN"/>
        </w:rPr>
        <w:t>七</w:t>
      </w:r>
      <w:r>
        <w:rPr>
          <w:rFonts w:hint="eastAsia" w:ascii="宋体" w:hAnsi="宋体" w:eastAsia="宋体" w:cs="宋体"/>
          <w:highlight w:val="none"/>
        </w:rPr>
        <w:t>、</w:t>
      </w:r>
      <w:bookmarkEnd w:id="185"/>
      <w:bookmarkEnd w:id="186"/>
      <w:bookmarkEnd w:id="187"/>
      <w:bookmarkEnd w:id="188"/>
      <w:bookmarkEnd w:id="189"/>
      <w:bookmarkEnd w:id="190"/>
      <w:bookmarkEnd w:id="191"/>
      <w:bookmarkEnd w:id="192"/>
      <w:bookmarkEnd w:id="193"/>
      <w:bookmarkEnd w:id="194"/>
      <w:bookmarkEnd w:id="195"/>
      <w:r>
        <w:rPr>
          <w:rFonts w:hint="eastAsia" w:ascii="宋体" w:hAnsi="宋体" w:eastAsia="宋体" w:cs="宋体"/>
          <w:kern w:val="0"/>
          <w:szCs w:val="21"/>
          <w:highlight w:val="none"/>
        </w:rPr>
        <w:t>技术部分</w:t>
      </w:r>
      <w:bookmarkEnd w:id="196"/>
      <w:bookmarkEnd w:id="197"/>
      <w:bookmarkEnd w:id="198"/>
    </w:p>
    <w:p w14:paraId="32787B47">
      <w:pPr>
        <w:widowControl/>
        <w:jc w:val="center"/>
        <w:rPr>
          <w:rFonts w:hint="eastAsia" w:ascii="宋体" w:hAnsi="宋体" w:eastAsia="宋体" w:cs="宋体"/>
          <w:b/>
          <w:bCs/>
          <w:sz w:val="32"/>
          <w:szCs w:val="32"/>
          <w:highlight w:val="none"/>
        </w:rPr>
      </w:pPr>
      <w:bookmarkStart w:id="199" w:name="_Toc359315429"/>
      <w:bookmarkStart w:id="200" w:name="_Toc350070708"/>
      <w:bookmarkStart w:id="201" w:name="_Toc179632827"/>
      <w:bookmarkStart w:id="202" w:name="_Toc152042596"/>
      <w:bookmarkStart w:id="203" w:name="_Toc152045807"/>
      <w:bookmarkStart w:id="204" w:name="_Toc246996372"/>
      <w:bookmarkStart w:id="205" w:name="_Toc364783103"/>
      <w:bookmarkStart w:id="206" w:name="_Toc247085890"/>
      <w:bookmarkStart w:id="207" w:name="_Toc246997115"/>
      <w:bookmarkStart w:id="208" w:name="_Toc34654723"/>
      <w:bookmarkStart w:id="209" w:name="_Toc144974875"/>
      <w:r>
        <w:rPr>
          <w:rFonts w:hint="eastAsia" w:ascii="宋体" w:hAnsi="宋体" w:eastAsia="宋体" w:cs="宋体"/>
          <w:highlight w:val="none"/>
          <w:lang w:eastAsia="zh-CN"/>
        </w:rPr>
        <w:t>供应商</w:t>
      </w:r>
      <w:r>
        <w:rPr>
          <w:rFonts w:hint="eastAsia" w:ascii="宋体" w:hAnsi="宋体" w:eastAsia="宋体" w:cs="宋体"/>
          <w:highlight w:val="none"/>
        </w:rPr>
        <w:t>自行编写。</w:t>
      </w:r>
      <w:r>
        <w:rPr>
          <w:rFonts w:hint="eastAsia" w:ascii="宋体" w:hAnsi="宋体" w:eastAsia="宋体" w:cs="宋体"/>
          <w:highlight w:val="none"/>
        </w:rPr>
        <w:br w:type="page"/>
      </w:r>
    </w:p>
    <w:p w14:paraId="145846CF">
      <w:pPr>
        <w:pStyle w:val="4"/>
        <w:jc w:val="center"/>
        <w:rPr>
          <w:rFonts w:hint="eastAsia" w:ascii="宋体" w:hAnsi="宋体" w:eastAsia="宋体" w:cs="宋体"/>
          <w:highlight w:val="none"/>
        </w:rPr>
      </w:pPr>
      <w:bookmarkStart w:id="210" w:name="_Toc62484159"/>
      <w:bookmarkStart w:id="211" w:name="_Toc49350832"/>
      <w:bookmarkStart w:id="212" w:name="_Toc49407763"/>
      <w:r>
        <w:rPr>
          <w:rFonts w:hint="eastAsia" w:ascii="宋体" w:hAnsi="宋体" w:eastAsia="宋体" w:cs="宋体"/>
          <w:highlight w:val="none"/>
          <w:lang w:eastAsia="zh-CN"/>
        </w:rPr>
        <w:t>八</w:t>
      </w:r>
      <w:r>
        <w:rPr>
          <w:rFonts w:hint="eastAsia" w:ascii="宋体" w:hAnsi="宋体" w:eastAsia="宋体" w:cs="宋体"/>
          <w:highlight w:val="none"/>
        </w:rPr>
        <w:t>、资格审查资料</w:t>
      </w:r>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p>
    <w:p w14:paraId="45956339">
      <w:pPr>
        <w:pStyle w:val="4"/>
        <w:jc w:val="center"/>
        <w:rPr>
          <w:rFonts w:hint="eastAsia" w:ascii="宋体" w:hAnsi="宋体" w:eastAsia="宋体" w:cs="宋体"/>
          <w:highlight w:val="none"/>
        </w:rPr>
      </w:pPr>
      <w:bookmarkStart w:id="213" w:name="_Toc350070709"/>
      <w:bookmarkStart w:id="214" w:name="_Toc179632828"/>
      <w:bookmarkStart w:id="215" w:name="_Toc152045808"/>
      <w:bookmarkStart w:id="216" w:name="_Toc144974876"/>
      <w:bookmarkStart w:id="217" w:name="_Toc62484160"/>
      <w:bookmarkStart w:id="218" w:name="_Toc364783104"/>
      <w:bookmarkStart w:id="219" w:name="_Toc359315430"/>
      <w:bookmarkStart w:id="220" w:name="_Toc152042597"/>
      <w:bookmarkStart w:id="221" w:name="_Toc34654724"/>
      <w:bookmarkStart w:id="222" w:name="_Toc246996373"/>
      <w:bookmarkStart w:id="223" w:name="_Toc246997116"/>
      <w:bookmarkStart w:id="224" w:name="_Toc247085891"/>
      <w:r>
        <w:rPr>
          <w:rFonts w:hint="eastAsia" w:ascii="宋体" w:hAnsi="宋体" w:eastAsia="宋体" w:cs="宋体"/>
          <w:highlight w:val="none"/>
        </w:rPr>
        <w:t>（一）</w:t>
      </w:r>
      <w:r>
        <w:rPr>
          <w:rFonts w:hint="eastAsia" w:ascii="宋体" w:hAnsi="宋体" w:eastAsia="宋体" w:cs="宋体"/>
          <w:highlight w:val="none"/>
          <w:lang w:eastAsia="zh-CN"/>
        </w:rPr>
        <w:t>供应商</w:t>
      </w:r>
      <w:r>
        <w:rPr>
          <w:rFonts w:hint="eastAsia" w:ascii="宋体" w:hAnsi="宋体" w:eastAsia="宋体" w:cs="宋体"/>
          <w:highlight w:val="none"/>
        </w:rPr>
        <w:t>基本情况表</w:t>
      </w:r>
      <w:bookmarkEnd w:id="213"/>
      <w:bookmarkEnd w:id="214"/>
      <w:bookmarkEnd w:id="215"/>
      <w:bookmarkEnd w:id="216"/>
      <w:bookmarkEnd w:id="217"/>
      <w:bookmarkEnd w:id="218"/>
      <w:bookmarkEnd w:id="219"/>
      <w:bookmarkEnd w:id="220"/>
      <w:bookmarkEnd w:id="221"/>
      <w:bookmarkEnd w:id="222"/>
      <w:bookmarkEnd w:id="223"/>
      <w:bookmarkEnd w:id="224"/>
    </w:p>
    <w:p w14:paraId="0FA99979">
      <w:pPr>
        <w:widowControl/>
        <w:jc w:val="left"/>
        <w:rPr>
          <w:rFonts w:hint="eastAsia" w:ascii="宋体" w:hAnsi="宋体" w:eastAsia="宋体" w:cs="宋体"/>
          <w:highlight w:val="none"/>
        </w:rPr>
      </w:pPr>
    </w:p>
    <w:tbl>
      <w:tblPr>
        <w:tblStyle w:val="36"/>
        <w:tblW w:w="97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35"/>
        <w:gridCol w:w="914"/>
        <w:gridCol w:w="1301"/>
        <w:gridCol w:w="964"/>
        <w:gridCol w:w="27"/>
        <w:gridCol w:w="1056"/>
        <w:gridCol w:w="1138"/>
        <w:gridCol w:w="2012"/>
      </w:tblGrid>
      <w:tr w14:paraId="34E8BB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2335" w:type="dxa"/>
            <w:vAlign w:val="center"/>
          </w:tcPr>
          <w:p w14:paraId="0AD6D754">
            <w:pPr>
              <w:jc w:val="center"/>
              <w:rPr>
                <w:rFonts w:hint="eastAsia" w:ascii="宋体" w:hAnsi="宋体" w:eastAsia="宋体" w:cs="宋体"/>
                <w:szCs w:val="21"/>
                <w:highlight w:val="none"/>
              </w:rPr>
            </w:pPr>
            <w:bookmarkStart w:id="225" w:name="_Toc34654725"/>
            <w:bookmarkStart w:id="226" w:name="_Toc152042598"/>
            <w:bookmarkStart w:id="227" w:name="_Toc265953295"/>
            <w:bookmarkStart w:id="228" w:name="_Toc247527849"/>
            <w:bookmarkStart w:id="229" w:name="_Toc144974877"/>
            <w:bookmarkStart w:id="230" w:name="_Toc364783105"/>
            <w:bookmarkStart w:id="231" w:name="_Toc350070710"/>
            <w:bookmarkStart w:id="232" w:name="_Toc359315431"/>
            <w:bookmarkStart w:id="233" w:name="_Toc247514301"/>
            <w:bookmarkStart w:id="234" w:name="_Toc152045809"/>
            <w:bookmarkStart w:id="235" w:name="_Toc152042602"/>
            <w:bookmarkStart w:id="236" w:name="_Toc152045813"/>
            <w:bookmarkStart w:id="237" w:name="_Toc144974881"/>
            <w:bookmarkStart w:id="238" w:name="_Toc179632833"/>
            <w:r>
              <w:rPr>
                <w:rFonts w:hint="eastAsia" w:ascii="宋体" w:hAnsi="宋体" w:eastAsia="宋体" w:cs="宋体"/>
                <w:szCs w:val="21"/>
                <w:highlight w:val="none"/>
                <w:lang w:eastAsia="zh-CN"/>
              </w:rPr>
              <w:t>供应商</w:t>
            </w:r>
            <w:r>
              <w:rPr>
                <w:rFonts w:hint="eastAsia" w:ascii="宋体" w:hAnsi="宋体" w:eastAsia="宋体" w:cs="宋体"/>
                <w:szCs w:val="21"/>
                <w:highlight w:val="none"/>
              </w:rPr>
              <w:t>名称</w:t>
            </w:r>
            <w:bookmarkEnd w:id="225"/>
          </w:p>
        </w:tc>
        <w:tc>
          <w:tcPr>
            <w:tcW w:w="7412" w:type="dxa"/>
            <w:gridSpan w:val="7"/>
            <w:vAlign w:val="center"/>
          </w:tcPr>
          <w:p w14:paraId="0E102063">
            <w:pPr>
              <w:rPr>
                <w:rFonts w:hint="eastAsia" w:ascii="宋体" w:hAnsi="宋体" w:eastAsia="宋体" w:cs="宋体"/>
                <w:szCs w:val="21"/>
                <w:highlight w:val="none"/>
              </w:rPr>
            </w:pPr>
          </w:p>
        </w:tc>
      </w:tr>
      <w:tr w14:paraId="651BA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2335" w:type="dxa"/>
            <w:vAlign w:val="center"/>
          </w:tcPr>
          <w:p w14:paraId="27D2037E">
            <w:pPr>
              <w:jc w:val="center"/>
              <w:rPr>
                <w:rFonts w:hint="eastAsia" w:ascii="宋体" w:hAnsi="宋体" w:eastAsia="宋体" w:cs="宋体"/>
                <w:szCs w:val="21"/>
                <w:highlight w:val="none"/>
              </w:rPr>
            </w:pPr>
            <w:bookmarkStart w:id="239" w:name="_Toc34654726"/>
            <w:r>
              <w:rPr>
                <w:rFonts w:hint="eastAsia" w:ascii="宋体" w:hAnsi="宋体" w:eastAsia="宋体" w:cs="宋体"/>
                <w:szCs w:val="21"/>
                <w:highlight w:val="none"/>
              </w:rPr>
              <w:t>注册地址</w:t>
            </w:r>
            <w:bookmarkEnd w:id="239"/>
          </w:p>
        </w:tc>
        <w:tc>
          <w:tcPr>
            <w:tcW w:w="3179" w:type="dxa"/>
            <w:gridSpan w:val="3"/>
            <w:vAlign w:val="center"/>
          </w:tcPr>
          <w:p w14:paraId="21C759FF">
            <w:pPr>
              <w:jc w:val="center"/>
              <w:rPr>
                <w:rFonts w:hint="eastAsia" w:ascii="宋体" w:hAnsi="宋体" w:eastAsia="宋体" w:cs="宋体"/>
                <w:szCs w:val="21"/>
                <w:highlight w:val="none"/>
              </w:rPr>
            </w:pPr>
          </w:p>
        </w:tc>
        <w:tc>
          <w:tcPr>
            <w:tcW w:w="1083" w:type="dxa"/>
            <w:gridSpan w:val="2"/>
            <w:vAlign w:val="center"/>
          </w:tcPr>
          <w:p w14:paraId="12A801E4">
            <w:pPr>
              <w:jc w:val="center"/>
              <w:rPr>
                <w:rFonts w:hint="eastAsia" w:ascii="宋体" w:hAnsi="宋体" w:eastAsia="宋体" w:cs="宋体"/>
                <w:szCs w:val="21"/>
                <w:highlight w:val="none"/>
              </w:rPr>
            </w:pPr>
            <w:bookmarkStart w:id="240" w:name="_Toc34654727"/>
            <w:r>
              <w:rPr>
                <w:rFonts w:hint="eastAsia" w:ascii="宋体" w:hAnsi="宋体" w:eastAsia="宋体" w:cs="宋体"/>
                <w:szCs w:val="21"/>
                <w:highlight w:val="none"/>
              </w:rPr>
              <w:t>邮政编码</w:t>
            </w:r>
            <w:bookmarkEnd w:id="240"/>
          </w:p>
        </w:tc>
        <w:tc>
          <w:tcPr>
            <w:tcW w:w="3150" w:type="dxa"/>
            <w:gridSpan w:val="2"/>
            <w:vAlign w:val="center"/>
          </w:tcPr>
          <w:p w14:paraId="772E1193">
            <w:pPr>
              <w:jc w:val="center"/>
              <w:rPr>
                <w:rFonts w:hint="eastAsia" w:ascii="宋体" w:hAnsi="宋体" w:eastAsia="宋体" w:cs="宋体"/>
                <w:szCs w:val="21"/>
                <w:highlight w:val="none"/>
              </w:rPr>
            </w:pPr>
          </w:p>
        </w:tc>
      </w:tr>
      <w:tr w14:paraId="46E2F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2335" w:type="dxa"/>
            <w:vMerge w:val="restart"/>
            <w:vAlign w:val="center"/>
          </w:tcPr>
          <w:p w14:paraId="224D5C04">
            <w:pPr>
              <w:jc w:val="center"/>
              <w:rPr>
                <w:rFonts w:hint="eastAsia" w:ascii="宋体" w:hAnsi="宋体" w:eastAsia="宋体" w:cs="宋体"/>
                <w:szCs w:val="21"/>
                <w:highlight w:val="none"/>
              </w:rPr>
            </w:pPr>
            <w:bookmarkStart w:id="241" w:name="_Toc34654728"/>
            <w:r>
              <w:rPr>
                <w:rFonts w:hint="eastAsia" w:ascii="宋体" w:hAnsi="宋体" w:eastAsia="宋体" w:cs="宋体"/>
                <w:szCs w:val="21"/>
                <w:highlight w:val="none"/>
              </w:rPr>
              <w:t>联系方式</w:t>
            </w:r>
            <w:bookmarkEnd w:id="241"/>
          </w:p>
        </w:tc>
        <w:tc>
          <w:tcPr>
            <w:tcW w:w="914" w:type="dxa"/>
            <w:vAlign w:val="center"/>
          </w:tcPr>
          <w:p w14:paraId="6ED86F97">
            <w:pPr>
              <w:jc w:val="center"/>
              <w:rPr>
                <w:rFonts w:hint="eastAsia" w:ascii="宋体" w:hAnsi="宋体" w:eastAsia="宋体" w:cs="宋体"/>
                <w:szCs w:val="21"/>
                <w:highlight w:val="none"/>
              </w:rPr>
            </w:pPr>
            <w:bookmarkStart w:id="242" w:name="_Toc34654729"/>
            <w:r>
              <w:rPr>
                <w:rFonts w:hint="eastAsia" w:ascii="宋体" w:hAnsi="宋体" w:eastAsia="宋体" w:cs="宋体"/>
                <w:szCs w:val="21"/>
                <w:highlight w:val="none"/>
              </w:rPr>
              <w:t>联系人</w:t>
            </w:r>
            <w:bookmarkEnd w:id="242"/>
          </w:p>
        </w:tc>
        <w:tc>
          <w:tcPr>
            <w:tcW w:w="2265" w:type="dxa"/>
            <w:gridSpan w:val="2"/>
            <w:vAlign w:val="center"/>
          </w:tcPr>
          <w:p w14:paraId="35A1DB0D">
            <w:pPr>
              <w:jc w:val="center"/>
              <w:rPr>
                <w:rFonts w:hint="eastAsia" w:ascii="宋体" w:hAnsi="宋体" w:eastAsia="宋体" w:cs="宋体"/>
                <w:szCs w:val="21"/>
                <w:highlight w:val="none"/>
              </w:rPr>
            </w:pPr>
          </w:p>
        </w:tc>
        <w:tc>
          <w:tcPr>
            <w:tcW w:w="1083" w:type="dxa"/>
            <w:gridSpan w:val="2"/>
            <w:vAlign w:val="center"/>
          </w:tcPr>
          <w:p w14:paraId="42B4D54E">
            <w:pPr>
              <w:jc w:val="center"/>
              <w:rPr>
                <w:rFonts w:hint="eastAsia" w:ascii="宋体" w:hAnsi="宋体" w:eastAsia="宋体" w:cs="宋体"/>
                <w:szCs w:val="21"/>
                <w:highlight w:val="none"/>
              </w:rPr>
            </w:pPr>
            <w:bookmarkStart w:id="243" w:name="_Toc34654730"/>
            <w:r>
              <w:rPr>
                <w:rFonts w:hint="eastAsia" w:ascii="宋体" w:hAnsi="宋体" w:eastAsia="宋体" w:cs="宋体"/>
                <w:szCs w:val="21"/>
                <w:highlight w:val="none"/>
              </w:rPr>
              <w:t>电话</w:t>
            </w:r>
            <w:bookmarkEnd w:id="243"/>
          </w:p>
        </w:tc>
        <w:tc>
          <w:tcPr>
            <w:tcW w:w="3150" w:type="dxa"/>
            <w:gridSpan w:val="2"/>
            <w:vAlign w:val="center"/>
          </w:tcPr>
          <w:p w14:paraId="46450030">
            <w:pPr>
              <w:jc w:val="center"/>
              <w:rPr>
                <w:rFonts w:hint="eastAsia" w:ascii="宋体" w:hAnsi="宋体" w:eastAsia="宋体" w:cs="宋体"/>
                <w:szCs w:val="21"/>
                <w:highlight w:val="none"/>
              </w:rPr>
            </w:pPr>
          </w:p>
        </w:tc>
      </w:tr>
      <w:tr w14:paraId="09F5A8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2335" w:type="dxa"/>
            <w:vMerge w:val="continue"/>
            <w:vAlign w:val="center"/>
          </w:tcPr>
          <w:p w14:paraId="00253F03">
            <w:pPr>
              <w:jc w:val="center"/>
              <w:rPr>
                <w:rFonts w:hint="eastAsia" w:ascii="宋体" w:hAnsi="宋体" w:eastAsia="宋体" w:cs="宋体"/>
                <w:szCs w:val="21"/>
                <w:highlight w:val="none"/>
              </w:rPr>
            </w:pPr>
          </w:p>
        </w:tc>
        <w:tc>
          <w:tcPr>
            <w:tcW w:w="914" w:type="dxa"/>
            <w:vAlign w:val="center"/>
          </w:tcPr>
          <w:p w14:paraId="0B084E5A">
            <w:pPr>
              <w:jc w:val="center"/>
              <w:rPr>
                <w:rFonts w:hint="eastAsia" w:ascii="宋体" w:hAnsi="宋体" w:eastAsia="宋体" w:cs="宋体"/>
                <w:szCs w:val="21"/>
                <w:highlight w:val="none"/>
              </w:rPr>
            </w:pPr>
            <w:bookmarkStart w:id="244" w:name="_Toc34654731"/>
            <w:r>
              <w:rPr>
                <w:rFonts w:hint="eastAsia" w:ascii="宋体" w:hAnsi="宋体" w:eastAsia="宋体" w:cs="宋体"/>
                <w:szCs w:val="21"/>
                <w:highlight w:val="none"/>
              </w:rPr>
              <w:t>传真</w:t>
            </w:r>
            <w:bookmarkEnd w:id="244"/>
          </w:p>
        </w:tc>
        <w:tc>
          <w:tcPr>
            <w:tcW w:w="2265" w:type="dxa"/>
            <w:gridSpan w:val="2"/>
            <w:vAlign w:val="center"/>
          </w:tcPr>
          <w:p w14:paraId="6CF59AB5">
            <w:pPr>
              <w:jc w:val="center"/>
              <w:rPr>
                <w:rFonts w:hint="eastAsia" w:ascii="宋体" w:hAnsi="宋体" w:eastAsia="宋体" w:cs="宋体"/>
                <w:szCs w:val="21"/>
                <w:highlight w:val="none"/>
              </w:rPr>
            </w:pPr>
          </w:p>
        </w:tc>
        <w:tc>
          <w:tcPr>
            <w:tcW w:w="1083" w:type="dxa"/>
            <w:gridSpan w:val="2"/>
            <w:vAlign w:val="center"/>
          </w:tcPr>
          <w:p w14:paraId="21B6A046">
            <w:pPr>
              <w:jc w:val="center"/>
              <w:rPr>
                <w:rFonts w:hint="eastAsia" w:ascii="宋体" w:hAnsi="宋体" w:eastAsia="宋体" w:cs="宋体"/>
                <w:szCs w:val="21"/>
                <w:highlight w:val="none"/>
              </w:rPr>
            </w:pPr>
            <w:bookmarkStart w:id="245" w:name="_Toc34654732"/>
            <w:r>
              <w:rPr>
                <w:rFonts w:hint="eastAsia" w:ascii="宋体" w:hAnsi="宋体" w:eastAsia="宋体" w:cs="宋体"/>
                <w:szCs w:val="21"/>
                <w:highlight w:val="none"/>
              </w:rPr>
              <w:t>网址</w:t>
            </w:r>
            <w:bookmarkEnd w:id="245"/>
          </w:p>
        </w:tc>
        <w:tc>
          <w:tcPr>
            <w:tcW w:w="3150" w:type="dxa"/>
            <w:gridSpan w:val="2"/>
            <w:vAlign w:val="center"/>
          </w:tcPr>
          <w:p w14:paraId="5F91408E">
            <w:pPr>
              <w:jc w:val="center"/>
              <w:rPr>
                <w:rFonts w:hint="eastAsia" w:ascii="宋体" w:hAnsi="宋体" w:eastAsia="宋体" w:cs="宋体"/>
                <w:szCs w:val="21"/>
                <w:highlight w:val="none"/>
              </w:rPr>
            </w:pPr>
          </w:p>
        </w:tc>
      </w:tr>
      <w:tr w14:paraId="4B230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2335" w:type="dxa"/>
            <w:vAlign w:val="center"/>
          </w:tcPr>
          <w:p w14:paraId="7EDE8FD2">
            <w:pPr>
              <w:jc w:val="center"/>
              <w:rPr>
                <w:rFonts w:hint="eastAsia" w:ascii="宋体" w:hAnsi="宋体" w:eastAsia="宋体" w:cs="宋体"/>
                <w:szCs w:val="21"/>
                <w:highlight w:val="none"/>
              </w:rPr>
            </w:pPr>
            <w:bookmarkStart w:id="246" w:name="_Toc34654733"/>
            <w:r>
              <w:rPr>
                <w:rFonts w:hint="eastAsia" w:ascii="宋体" w:hAnsi="宋体" w:eastAsia="宋体" w:cs="宋体"/>
                <w:szCs w:val="21"/>
                <w:highlight w:val="none"/>
              </w:rPr>
              <w:t>法定代表人</w:t>
            </w:r>
            <w:bookmarkEnd w:id="246"/>
          </w:p>
        </w:tc>
        <w:tc>
          <w:tcPr>
            <w:tcW w:w="914" w:type="dxa"/>
            <w:vAlign w:val="center"/>
          </w:tcPr>
          <w:p w14:paraId="05564322">
            <w:pPr>
              <w:jc w:val="center"/>
              <w:rPr>
                <w:rFonts w:hint="eastAsia" w:ascii="宋体" w:hAnsi="宋体" w:eastAsia="宋体" w:cs="宋体"/>
                <w:szCs w:val="21"/>
                <w:highlight w:val="none"/>
              </w:rPr>
            </w:pPr>
            <w:bookmarkStart w:id="247" w:name="_Toc34654734"/>
            <w:r>
              <w:rPr>
                <w:rFonts w:hint="eastAsia" w:ascii="宋体" w:hAnsi="宋体" w:eastAsia="宋体" w:cs="宋体"/>
                <w:szCs w:val="21"/>
                <w:highlight w:val="none"/>
              </w:rPr>
              <w:t>姓名</w:t>
            </w:r>
            <w:bookmarkEnd w:id="247"/>
          </w:p>
        </w:tc>
        <w:tc>
          <w:tcPr>
            <w:tcW w:w="1301" w:type="dxa"/>
            <w:vAlign w:val="center"/>
          </w:tcPr>
          <w:p w14:paraId="0205F4FE">
            <w:pPr>
              <w:jc w:val="center"/>
              <w:rPr>
                <w:rFonts w:hint="eastAsia" w:ascii="宋体" w:hAnsi="宋体" w:eastAsia="宋体" w:cs="宋体"/>
                <w:szCs w:val="21"/>
                <w:highlight w:val="none"/>
              </w:rPr>
            </w:pPr>
          </w:p>
        </w:tc>
        <w:tc>
          <w:tcPr>
            <w:tcW w:w="964" w:type="dxa"/>
            <w:vAlign w:val="center"/>
          </w:tcPr>
          <w:p w14:paraId="03ECA548">
            <w:pPr>
              <w:jc w:val="center"/>
              <w:rPr>
                <w:rFonts w:hint="eastAsia" w:ascii="宋体" w:hAnsi="宋体" w:eastAsia="宋体" w:cs="宋体"/>
                <w:szCs w:val="21"/>
                <w:highlight w:val="none"/>
              </w:rPr>
            </w:pPr>
            <w:bookmarkStart w:id="248" w:name="_Toc34654735"/>
            <w:r>
              <w:rPr>
                <w:rFonts w:hint="eastAsia" w:ascii="宋体" w:hAnsi="宋体" w:eastAsia="宋体" w:cs="宋体"/>
                <w:szCs w:val="21"/>
                <w:highlight w:val="none"/>
              </w:rPr>
              <w:t>技术职称</w:t>
            </w:r>
            <w:bookmarkEnd w:id="248"/>
          </w:p>
        </w:tc>
        <w:tc>
          <w:tcPr>
            <w:tcW w:w="1083" w:type="dxa"/>
            <w:gridSpan w:val="2"/>
            <w:vAlign w:val="center"/>
          </w:tcPr>
          <w:p w14:paraId="07583D06">
            <w:pPr>
              <w:jc w:val="center"/>
              <w:rPr>
                <w:rFonts w:hint="eastAsia" w:ascii="宋体" w:hAnsi="宋体" w:eastAsia="宋体" w:cs="宋体"/>
                <w:szCs w:val="21"/>
                <w:highlight w:val="none"/>
              </w:rPr>
            </w:pPr>
          </w:p>
        </w:tc>
        <w:tc>
          <w:tcPr>
            <w:tcW w:w="1138" w:type="dxa"/>
            <w:vAlign w:val="center"/>
          </w:tcPr>
          <w:p w14:paraId="0BCBFA0B">
            <w:pPr>
              <w:jc w:val="center"/>
              <w:rPr>
                <w:rFonts w:hint="eastAsia" w:ascii="宋体" w:hAnsi="宋体" w:eastAsia="宋体" w:cs="宋体"/>
                <w:szCs w:val="21"/>
                <w:highlight w:val="none"/>
              </w:rPr>
            </w:pPr>
            <w:bookmarkStart w:id="249" w:name="_Toc34654736"/>
            <w:r>
              <w:rPr>
                <w:rFonts w:hint="eastAsia" w:ascii="宋体" w:hAnsi="宋体" w:eastAsia="宋体" w:cs="宋体"/>
                <w:szCs w:val="21"/>
                <w:highlight w:val="none"/>
              </w:rPr>
              <w:t>电话</w:t>
            </w:r>
            <w:bookmarkEnd w:id="249"/>
          </w:p>
        </w:tc>
        <w:tc>
          <w:tcPr>
            <w:tcW w:w="2012" w:type="dxa"/>
            <w:vAlign w:val="center"/>
          </w:tcPr>
          <w:p w14:paraId="7238ED25">
            <w:pPr>
              <w:rPr>
                <w:rFonts w:hint="eastAsia" w:ascii="宋体" w:hAnsi="宋体" w:eastAsia="宋体" w:cs="宋体"/>
                <w:szCs w:val="21"/>
                <w:highlight w:val="none"/>
              </w:rPr>
            </w:pPr>
          </w:p>
        </w:tc>
      </w:tr>
      <w:tr w14:paraId="5BB458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2335" w:type="dxa"/>
            <w:vAlign w:val="center"/>
          </w:tcPr>
          <w:p w14:paraId="68AE1639">
            <w:pPr>
              <w:jc w:val="center"/>
              <w:rPr>
                <w:rFonts w:hint="eastAsia" w:ascii="宋体" w:hAnsi="宋体" w:eastAsia="宋体" w:cs="宋体"/>
                <w:szCs w:val="21"/>
                <w:highlight w:val="none"/>
              </w:rPr>
            </w:pPr>
            <w:bookmarkStart w:id="250" w:name="_Toc34654737"/>
            <w:r>
              <w:rPr>
                <w:rFonts w:hint="eastAsia" w:ascii="宋体" w:hAnsi="宋体" w:eastAsia="宋体" w:cs="宋体"/>
                <w:szCs w:val="21"/>
                <w:highlight w:val="none"/>
              </w:rPr>
              <w:t>质量管理体系证书</w:t>
            </w:r>
            <w:bookmarkEnd w:id="250"/>
          </w:p>
          <w:p w14:paraId="7F6E340C">
            <w:pPr>
              <w:jc w:val="center"/>
              <w:rPr>
                <w:rFonts w:hint="eastAsia" w:ascii="宋体" w:hAnsi="宋体" w:eastAsia="宋体" w:cs="宋体"/>
                <w:szCs w:val="21"/>
                <w:highlight w:val="none"/>
              </w:rPr>
            </w:pPr>
            <w:bookmarkStart w:id="251" w:name="_Toc34654738"/>
            <w:r>
              <w:rPr>
                <w:rFonts w:hint="eastAsia" w:ascii="宋体" w:hAnsi="宋体" w:eastAsia="宋体" w:cs="宋体"/>
                <w:szCs w:val="21"/>
                <w:highlight w:val="none"/>
              </w:rPr>
              <w:t>（如有）</w:t>
            </w:r>
            <w:bookmarkEnd w:id="251"/>
          </w:p>
        </w:tc>
        <w:tc>
          <w:tcPr>
            <w:tcW w:w="7412" w:type="dxa"/>
            <w:gridSpan w:val="7"/>
            <w:vAlign w:val="center"/>
          </w:tcPr>
          <w:p w14:paraId="0D6682E4">
            <w:pPr>
              <w:rPr>
                <w:rFonts w:hint="eastAsia" w:ascii="宋体" w:hAnsi="宋体" w:eastAsia="宋体" w:cs="宋体"/>
                <w:szCs w:val="21"/>
                <w:highlight w:val="none"/>
              </w:rPr>
            </w:pPr>
          </w:p>
        </w:tc>
      </w:tr>
      <w:tr w14:paraId="24C32E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2335" w:type="dxa"/>
            <w:vAlign w:val="center"/>
          </w:tcPr>
          <w:p w14:paraId="0952A091">
            <w:pPr>
              <w:jc w:val="center"/>
              <w:rPr>
                <w:rFonts w:hint="eastAsia" w:ascii="宋体" w:hAnsi="宋体" w:eastAsia="宋体" w:cs="宋体"/>
                <w:szCs w:val="21"/>
                <w:highlight w:val="none"/>
              </w:rPr>
            </w:pPr>
            <w:r>
              <w:rPr>
                <w:rFonts w:hint="eastAsia" w:ascii="宋体" w:hAnsi="宋体" w:eastAsia="宋体" w:cs="宋体"/>
                <w:szCs w:val="21"/>
                <w:highlight w:val="none"/>
              </w:rPr>
              <w:t>营业执照号</w:t>
            </w:r>
          </w:p>
        </w:tc>
        <w:tc>
          <w:tcPr>
            <w:tcW w:w="3206" w:type="dxa"/>
            <w:gridSpan w:val="4"/>
            <w:vAlign w:val="center"/>
          </w:tcPr>
          <w:p w14:paraId="2810C6C2">
            <w:pPr>
              <w:rPr>
                <w:rFonts w:hint="eastAsia" w:ascii="宋体" w:hAnsi="宋体" w:eastAsia="宋体" w:cs="宋体"/>
                <w:szCs w:val="21"/>
                <w:highlight w:val="none"/>
              </w:rPr>
            </w:pPr>
          </w:p>
        </w:tc>
        <w:tc>
          <w:tcPr>
            <w:tcW w:w="4206" w:type="dxa"/>
            <w:gridSpan w:val="3"/>
            <w:vAlign w:val="center"/>
          </w:tcPr>
          <w:p w14:paraId="5625360B">
            <w:pPr>
              <w:rPr>
                <w:rFonts w:hint="eastAsia" w:ascii="宋体" w:hAnsi="宋体" w:eastAsia="宋体" w:cs="宋体"/>
                <w:szCs w:val="21"/>
                <w:highlight w:val="none"/>
              </w:rPr>
            </w:pPr>
            <w:bookmarkStart w:id="252" w:name="_Toc34654740"/>
            <w:r>
              <w:rPr>
                <w:rFonts w:hint="eastAsia" w:ascii="宋体" w:hAnsi="宋体" w:eastAsia="宋体" w:cs="宋体"/>
                <w:szCs w:val="21"/>
                <w:highlight w:val="none"/>
              </w:rPr>
              <w:t>员工总人数：</w:t>
            </w:r>
            <w:bookmarkEnd w:id="252"/>
          </w:p>
        </w:tc>
      </w:tr>
      <w:tr w14:paraId="0509F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2335" w:type="dxa"/>
            <w:vAlign w:val="center"/>
          </w:tcPr>
          <w:p w14:paraId="45CD518F">
            <w:pPr>
              <w:jc w:val="center"/>
              <w:rPr>
                <w:rFonts w:hint="eastAsia" w:ascii="宋体" w:hAnsi="宋体" w:eastAsia="宋体" w:cs="宋体"/>
                <w:szCs w:val="21"/>
                <w:highlight w:val="none"/>
              </w:rPr>
            </w:pPr>
            <w:bookmarkStart w:id="253" w:name="_Toc34654741"/>
            <w:r>
              <w:rPr>
                <w:rFonts w:hint="eastAsia" w:ascii="宋体" w:hAnsi="宋体" w:eastAsia="宋体" w:cs="宋体"/>
                <w:szCs w:val="21"/>
                <w:highlight w:val="none"/>
              </w:rPr>
              <w:t>注册资本</w:t>
            </w:r>
            <w:bookmarkEnd w:id="253"/>
          </w:p>
        </w:tc>
        <w:tc>
          <w:tcPr>
            <w:tcW w:w="7412" w:type="dxa"/>
            <w:gridSpan w:val="7"/>
            <w:vAlign w:val="center"/>
          </w:tcPr>
          <w:p w14:paraId="7EFB13FE">
            <w:pPr>
              <w:rPr>
                <w:rFonts w:hint="eastAsia" w:ascii="宋体" w:hAnsi="宋体" w:eastAsia="宋体" w:cs="宋体"/>
                <w:szCs w:val="21"/>
                <w:highlight w:val="none"/>
              </w:rPr>
            </w:pPr>
          </w:p>
        </w:tc>
      </w:tr>
      <w:tr w14:paraId="74CF2B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2335" w:type="dxa"/>
            <w:vAlign w:val="center"/>
          </w:tcPr>
          <w:p w14:paraId="05D3A5B3">
            <w:pPr>
              <w:jc w:val="center"/>
              <w:rPr>
                <w:rFonts w:hint="eastAsia" w:ascii="宋体" w:hAnsi="宋体" w:eastAsia="宋体" w:cs="宋体"/>
                <w:szCs w:val="21"/>
                <w:highlight w:val="none"/>
              </w:rPr>
            </w:pPr>
            <w:bookmarkStart w:id="254" w:name="_Toc34654742"/>
            <w:r>
              <w:rPr>
                <w:rFonts w:hint="eastAsia" w:ascii="宋体" w:hAnsi="宋体" w:eastAsia="宋体" w:cs="宋体"/>
                <w:szCs w:val="21"/>
                <w:highlight w:val="none"/>
              </w:rPr>
              <w:t>成立日期</w:t>
            </w:r>
            <w:bookmarkEnd w:id="254"/>
          </w:p>
        </w:tc>
        <w:tc>
          <w:tcPr>
            <w:tcW w:w="7412" w:type="dxa"/>
            <w:gridSpan w:val="7"/>
            <w:vAlign w:val="center"/>
          </w:tcPr>
          <w:p w14:paraId="3E92DE33">
            <w:pPr>
              <w:rPr>
                <w:rFonts w:hint="eastAsia" w:ascii="宋体" w:hAnsi="宋体" w:eastAsia="宋体" w:cs="宋体"/>
                <w:szCs w:val="21"/>
                <w:highlight w:val="none"/>
              </w:rPr>
            </w:pPr>
          </w:p>
        </w:tc>
      </w:tr>
      <w:tr w14:paraId="7F579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2335" w:type="dxa"/>
            <w:vAlign w:val="center"/>
          </w:tcPr>
          <w:p w14:paraId="3727ED9E">
            <w:pPr>
              <w:jc w:val="center"/>
              <w:rPr>
                <w:rFonts w:hint="eastAsia" w:ascii="宋体" w:hAnsi="宋体" w:eastAsia="宋体" w:cs="宋体"/>
                <w:szCs w:val="21"/>
                <w:highlight w:val="none"/>
              </w:rPr>
            </w:pPr>
            <w:bookmarkStart w:id="255" w:name="_Toc34654743"/>
            <w:r>
              <w:rPr>
                <w:rFonts w:hint="eastAsia" w:ascii="宋体" w:hAnsi="宋体" w:eastAsia="宋体" w:cs="宋体"/>
                <w:szCs w:val="21"/>
                <w:highlight w:val="none"/>
              </w:rPr>
              <w:t>基本账户开户银行</w:t>
            </w:r>
            <w:bookmarkEnd w:id="255"/>
          </w:p>
        </w:tc>
        <w:tc>
          <w:tcPr>
            <w:tcW w:w="7412" w:type="dxa"/>
            <w:gridSpan w:val="7"/>
            <w:vAlign w:val="center"/>
          </w:tcPr>
          <w:p w14:paraId="792D1E6A">
            <w:pPr>
              <w:rPr>
                <w:rFonts w:hint="eastAsia" w:ascii="宋体" w:hAnsi="宋体" w:eastAsia="宋体" w:cs="宋体"/>
                <w:szCs w:val="21"/>
                <w:highlight w:val="none"/>
              </w:rPr>
            </w:pPr>
          </w:p>
        </w:tc>
      </w:tr>
      <w:tr w14:paraId="3D9BD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2335" w:type="dxa"/>
            <w:vAlign w:val="center"/>
          </w:tcPr>
          <w:p w14:paraId="19BEA50B">
            <w:pPr>
              <w:jc w:val="center"/>
              <w:rPr>
                <w:rFonts w:hint="eastAsia" w:ascii="宋体" w:hAnsi="宋体" w:eastAsia="宋体" w:cs="宋体"/>
                <w:szCs w:val="21"/>
                <w:highlight w:val="none"/>
              </w:rPr>
            </w:pPr>
            <w:bookmarkStart w:id="256" w:name="_Toc34654744"/>
            <w:r>
              <w:rPr>
                <w:rFonts w:hint="eastAsia" w:ascii="宋体" w:hAnsi="宋体" w:eastAsia="宋体" w:cs="宋体"/>
                <w:szCs w:val="21"/>
                <w:highlight w:val="none"/>
              </w:rPr>
              <w:t>基本账户银行账号</w:t>
            </w:r>
            <w:bookmarkEnd w:id="256"/>
          </w:p>
        </w:tc>
        <w:tc>
          <w:tcPr>
            <w:tcW w:w="7412" w:type="dxa"/>
            <w:gridSpan w:val="7"/>
            <w:vAlign w:val="center"/>
          </w:tcPr>
          <w:p w14:paraId="02A35C6B">
            <w:pPr>
              <w:rPr>
                <w:rFonts w:hint="eastAsia" w:ascii="宋体" w:hAnsi="宋体" w:eastAsia="宋体" w:cs="宋体"/>
                <w:szCs w:val="21"/>
                <w:highlight w:val="none"/>
              </w:rPr>
            </w:pPr>
          </w:p>
        </w:tc>
      </w:tr>
      <w:tr w14:paraId="43020E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2335" w:type="dxa"/>
            <w:vAlign w:val="center"/>
          </w:tcPr>
          <w:p w14:paraId="659D0339">
            <w:pPr>
              <w:jc w:val="center"/>
              <w:rPr>
                <w:rFonts w:hint="eastAsia" w:ascii="宋体" w:hAnsi="宋体" w:eastAsia="宋体" w:cs="宋体"/>
                <w:szCs w:val="21"/>
                <w:highlight w:val="none"/>
              </w:rPr>
            </w:pPr>
            <w:bookmarkStart w:id="257" w:name="_Toc34654745"/>
            <w:r>
              <w:rPr>
                <w:rFonts w:hint="eastAsia" w:ascii="宋体" w:hAnsi="宋体" w:eastAsia="宋体" w:cs="宋体"/>
                <w:szCs w:val="21"/>
                <w:highlight w:val="none"/>
              </w:rPr>
              <w:t>经营范围</w:t>
            </w:r>
            <w:bookmarkEnd w:id="257"/>
          </w:p>
        </w:tc>
        <w:tc>
          <w:tcPr>
            <w:tcW w:w="7412" w:type="dxa"/>
            <w:gridSpan w:val="7"/>
            <w:vAlign w:val="center"/>
          </w:tcPr>
          <w:p w14:paraId="003CFC55">
            <w:pPr>
              <w:rPr>
                <w:rFonts w:hint="eastAsia" w:ascii="宋体" w:hAnsi="宋体" w:eastAsia="宋体" w:cs="宋体"/>
                <w:szCs w:val="21"/>
                <w:highlight w:val="none"/>
              </w:rPr>
            </w:pPr>
          </w:p>
        </w:tc>
      </w:tr>
      <w:tr w14:paraId="488B34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2335" w:type="dxa"/>
            <w:vAlign w:val="center"/>
          </w:tcPr>
          <w:p w14:paraId="5B951A03">
            <w:pPr>
              <w:jc w:val="center"/>
              <w:rPr>
                <w:rFonts w:hint="eastAsia" w:ascii="宋体" w:hAnsi="宋体" w:eastAsia="宋体" w:cs="宋体"/>
                <w:szCs w:val="21"/>
                <w:highlight w:val="none"/>
              </w:rPr>
            </w:pPr>
            <w:bookmarkStart w:id="258" w:name="_Toc34654746"/>
            <w:r>
              <w:rPr>
                <w:rFonts w:hint="eastAsia" w:ascii="宋体" w:hAnsi="宋体" w:eastAsia="宋体" w:cs="宋体"/>
                <w:szCs w:val="21"/>
                <w:highlight w:val="none"/>
                <w:lang w:eastAsia="zh-CN"/>
              </w:rPr>
              <w:t>供应商</w:t>
            </w:r>
            <w:r>
              <w:rPr>
                <w:rFonts w:hint="eastAsia" w:ascii="宋体" w:hAnsi="宋体" w:eastAsia="宋体" w:cs="宋体"/>
                <w:szCs w:val="21"/>
                <w:highlight w:val="none"/>
              </w:rPr>
              <w:t>关联企业情</w:t>
            </w:r>
            <w:bookmarkEnd w:id="258"/>
          </w:p>
          <w:p w14:paraId="4D7390C7">
            <w:pPr>
              <w:jc w:val="center"/>
              <w:rPr>
                <w:rFonts w:hint="eastAsia" w:ascii="宋体" w:hAnsi="宋体" w:eastAsia="宋体" w:cs="宋体"/>
                <w:szCs w:val="21"/>
                <w:highlight w:val="none"/>
              </w:rPr>
            </w:pPr>
            <w:bookmarkStart w:id="259" w:name="_Toc34654747"/>
            <w:r>
              <w:rPr>
                <w:rFonts w:hint="eastAsia" w:ascii="宋体" w:hAnsi="宋体" w:eastAsia="宋体" w:cs="宋体"/>
                <w:szCs w:val="21"/>
                <w:highlight w:val="none"/>
              </w:rPr>
              <w:t>况（包括但不限于与</w:t>
            </w:r>
            <w:bookmarkEnd w:id="259"/>
          </w:p>
          <w:p w14:paraId="19C77B79">
            <w:pPr>
              <w:jc w:val="center"/>
              <w:rPr>
                <w:rFonts w:hint="eastAsia" w:ascii="宋体" w:hAnsi="宋体" w:eastAsia="宋体" w:cs="宋体"/>
                <w:szCs w:val="21"/>
                <w:highlight w:val="none"/>
              </w:rPr>
            </w:pPr>
            <w:bookmarkStart w:id="260" w:name="_Toc34654748"/>
            <w:r>
              <w:rPr>
                <w:rFonts w:hint="eastAsia" w:ascii="宋体" w:hAnsi="宋体" w:eastAsia="宋体" w:cs="宋体"/>
                <w:szCs w:val="21"/>
                <w:highlight w:val="none"/>
                <w:lang w:eastAsia="zh-CN"/>
              </w:rPr>
              <w:t>供应商</w:t>
            </w:r>
            <w:r>
              <w:rPr>
                <w:rFonts w:hint="eastAsia" w:ascii="宋体" w:hAnsi="宋体" w:eastAsia="宋体" w:cs="宋体"/>
                <w:szCs w:val="21"/>
                <w:highlight w:val="none"/>
              </w:rPr>
              <w:t>法定代表人</w:t>
            </w:r>
            <w:bookmarkEnd w:id="260"/>
          </w:p>
          <w:p w14:paraId="33997695">
            <w:pPr>
              <w:jc w:val="center"/>
              <w:rPr>
                <w:rFonts w:hint="eastAsia" w:ascii="宋体" w:hAnsi="宋体" w:eastAsia="宋体" w:cs="宋体"/>
                <w:szCs w:val="21"/>
                <w:highlight w:val="none"/>
              </w:rPr>
            </w:pPr>
            <w:bookmarkStart w:id="261" w:name="_Toc34654749"/>
            <w:r>
              <w:rPr>
                <w:rFonts w:hint="eastAsia" w:ascii="宋体" w:hAnsi="宋体" w:eastAsia="宋体" w:cs="宋体"/>
                <w:szCs w:val="21"/>
                <w:highlight w:val="none"/>
              </w:rPr>
              <w:t>为同一人或者存在</w:t>
            </w:r>
            <w:bookmarkEnd w:id="261"/>
          </w:p>
          <w:p w14:paraId="7AB48E30">
            <w:pPr>
              <w:jc w:val="center"/>
              <w:rPr>
                <w:rFonts w:hint="eastAsia" w:ascii="宋体" w:hAnsi="宋体" w:eastAsia="宋体" w:cs="宋体"/>
                <w:szCs w:val="21"/>
                <w:highlight w:val="none"/>
              </w:rPr>
            </w:pPr>
            <w:bookmarkStart w:id="262" w:name="_Toc34654750"/>
            <w:r>
              <w:rPr>
                <w:rFonts w:hint="eastAsia" w:ascii="宋体" w:hAnsi="宋体" w:eastAsia="宋体" w:cs="宋体"/>
                <w:szCs w:val="21"/>
                <w:highlight w:val="none"/>
              </w:rPr>
              <w:t>控股、管理关系的不</w:t>
            </w:r>
            <w:bookmarkEnd w:id="262"/>
          </w:p>
          <w:p w14:paraId="1A942721">
            <w:pPr>
              <w:jc w:val="center"/>
              <w:rPr>
                <w:rFonts w:hint="eastAsia" w:ascii="宋体" w:hAnsi="宋体" w:eastAsia="宋体" w:cs="宋体"/>
                <w:szCs w:val="21"/>
                <w:highlight w:val="none"/>
              </w:rPr>
            </w:pPr>
            <w:bookmarkStart w:id="263" w:name="_Toc34654751"/>
            <w:r>
              <w:rPr>
                <w:rFonts w:hint="eastAsia" w:ascii="宋体" w:hAnsi="宋体" w:eastAsia="宋体" w:cs="宋体"/>
                <w:szCs w:val="21"/>
                <w:highlight w:val="none"/>
              </w:rPr>
              <w:t>同单位）</w:t>
            </w:r>
            <w:bookmarkEnd w:id="263"/>
          </w:p>
        </w:tc>
        <w:tc>
          <w:tcPr>
            <w:tcW w:w="7412" w:type="dxa"/>
            <w:gridSpan w:val="7"/>
            <w:vAlign w:val="center"/>
          </w:tcPr>
          <w:p w14:paraId="677B5505">
            <w:pPr>
              <w:rPr>
                <w:rFonts w:hint="eastAsia" w:ascii="宋体" w:hAnsi="宋体" w:eastAsia="宋体" w:cs="宋体"/>
                <w:szCs w:val="21"/>
                <w:highlight w:val="none"/>
              </w:rPr>
            </w:pPr>
          </w:p>
        </w:tc>
      </w:tr>
      <w:tr w14:paraId="3FF3CE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2335" w:type="dxa"/>
            <w:vAlign w:val="center"/>
          </w:tcPr>
          <w:p w14:paraId="69B290B1">
            <w:pPr>
              <w:jc w:val="center"/>
              <w:rPr>
                <w:rFonts w:hint="eastAsia" w:ascii="宋体" w:hAnsi="宋体" w:eastAsia="宋体" w:cs="宋体"/>
                <w:szCs w:val="21"/>
                <w:highlight w:val="none"/>
              </w:rPr>
            </w:pPr>
            <w:bookmarkStart w:id="264" w:name="_Toc34654752"/>
            <w:r>
              <w:rPr>
                <w:rFonts w:hint="eastAsia" w:ascii="宋体" w:hAnsi="宋体" w:eastAsia="宋体" w:cs="宋体"/>
                <w:szCs w:val="21"/>
                <w:highlight w:val="none"/>
              </w:rPr>
              <w:t>备注</w:t>
            </w:r>
            <w:bookmarkEnd w:id="264"/>
          </w:p>
        </w:tc>
        <w:tc>
          <w:tcPr>
            <w:tcW w:w="7412" w:type="dxa"/>
            <w:gridSpan w:val="7"/>
            <w:vAlign w:val="center"/>
          </w:tcPr>
          <w:p w14:paraId="537F144C">
            <w:pPr>
              <w:rPr>
                <w:rFonts w:hint="eastAsia" w:ascii="宋体" w:hAnsi="宋体" w:eastAsia="宋体" w:cs="宋体"/>
                <w:szCs w:val="21"/>
                <w:highlight w:val="none"/>
              </w:rPr>
            </w:pPr>
          </w:p>
        </w:tc>
      </w:tr>
    </w:tbl>
    <w:p w14:paraId="7940E761">
      <w:pPr>
        <w:adjustRightInd w:val="0"/>
        <w:snapToGrid w:val="0"/>
        <w:spacing w:before="60" w:beforeLines="25" w:line="300" w:lineRule="auto"/>
        <w:rPr>
          <w:rFonts w:hint="eastAsia" w:ascii="宋体" w:hAnsi="宋体" w:eastAsia="宋体" w:cs="宋体"/>
          <w:bCs/>
          <w:szCs w:val="21"/>
          <w:highlight w:val="none"/>
        </w:rPr>
      </w:pPr>
      <w:bookmarkStart w:id="265" w:name="_Toc34654753"/>
      <w:r>
        <w:rPr>
          <w:rFonts w:hint="eastAsia" w:ascii="宋体" w:hAnsi="宋体" w:eastAsia="宋体" w:cs="宋体"/>
          <w:bCs/>
          <w:szCs w:val="21"/>
          <w:highlight w:val="none"/>
        </w:rPr>
        <w:t>备注：本表后应附企业法人营业执照复印件（加盖公章）</w:t>
      </w:r>
      <w:r>
        <w:rPr>
          <w:rFonts w:hint="eastAsia" w:ascii="宋体" w:hAnsi="宋体" w:eastAsia="宋体" w:cs="宋体"/>
          <w:bCs/>
          <w:color w:val="FF0000"/>
          <w:szCs w:val="21"/>
          <w:highlight w:val="none"/>
        </w:rPr>
        <w:t>。</w:t>
      </w:r>
    </w:p>
    <w:p w14:paraId="371454E8">
      <w:pPr>
        <w:pStyle w:val="4"/>
        <w:jc w:val="center"/>
        <w:rPr>
          <w:rFonts w:hint="eastAsia" w:ascii="宋体" w:hAnsi="宋体" w:eastAsia="宋体" w:cs="宋体"/>
          <w:highlight w:val="none"/>
          <w:lang w:eastAsia="zh-CN"/>
        </w:rPr>
      </w:pPr>
      <w:r>
        <w:rPr>
          <w:rFonts w:hint="eastAsia" w:ascii="宋体" w:hAnsi="宋体" w:eastAsia="宋体" w:cs="宋体"/>
          <w:highlight w:val="none"/>
        </w:rPr>
        <w:br w:type="page"/>
      </w:r>
      <w:bookmarkStart w:id="266" w:name="_Toc62484161"/>
      <w:r>
        <w:rPr>
          <w:rFonts w:hint="eastAsia" w:ascii="宋体" w:hAnsi="宋体" w:eastAsia="宋体" w:cs="宋体"/>
          <w:highlight w:val="none"/>
        </w:rPr>
        <w:t>（二）</w:t>
      </w:r>
      <w:bookmarkEnd w:id="265"/>
      <w:bookmarkEnd w:id="266"/>
      <w:r>
        <w:rPr>
          <w:rFonts w:hint="eastAsia" w:ascii="宋体" w:hAnsi="宋体" w:eastAsia="宋体" w:cs="宋体"/>
          <w:highlight w:val="none"/>
        </w:rPr>
        <w:t>项目团队人员</w:t>
      </w:r>
      <w:r>
        <w:rPr>
          <w:rFonts w:hint="eastAsia" w:ascii="宋体" w:hAnsi="宋体" w:eastAsia="宋体" w:cs="宋体"/>
          <w:highlight w:val="none"/>
          <w:lang w:eastAsia="zh-CN"/>
        </w:rPr>
        <w:t>信息表</w:t>
      </w:r>
    </w:p>
    <w:p w14:paraId="0385819B">
      <w:pPr>
        <w:pStyle w:val="4"/>
        <w:jc w:val="center"/>
        <w:rPr>
          <w:rFonts w:hint="eastAsia" w:ascii="宋体" w:hAnsi="宋体" w:eastAsia="宋体" w:cs="宋体"/>
          <w:sz w:val="21"/>
          <w:szCs w:val="24"/>
          <w:highlight w:val="none"/>
          <w:lang w:eastAsia="zh-CN"/>
        </w:rPr>
      </w:pPr>
    </w:p>
    <w:p w14:paraId="568A0D2F">
      <w:pPr>
        <w:widowControl/>
        <w:jc w:val="left"/>
        <w:rPr>
          <w:rFonts w:hint="eastAsia" w:ascii="宋体" w:hAnsi="宋体" w:eastAsia="宋体" w:cs="宋体"/>
          <w:highlight w:val="none"/>
        </w:rPr>
      </w:pPr>
    </w:p>
    <w:tbl>
      <w:tblPr>
        <w:tblStyle w:val="36"/>
        <w:tblW w:w="95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2"/>
        <w:gridCol w:w="1500"/>
        <w:gridCol w:w="2216"/>
        <w:gridCol w:w="3652"/>
        <w:gridCol w:w="1219"/>
      </w:tblGrid>
      <w:tr w14:paraId="6C7535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992" w:type="dxa"/>
            <w:vAlign w:val="center"/>
          </w:tcPr>
          <w:p w14:paraId="74E9076F">
            <w:pPr>
              <w:jc w:val="center"/>
              <w:rPr>
                <w:rFonts w:hint="eastAsia" w:ascii="宋体" w:hAnsi="宋体" w:eastAsia="宋体" w:cs="宋体"/>
                <w:szCs w:val="21"/>
                <w:highlight w:val="none"/>
              </w:rPr>
            </w:pPr>
            <w:r>
              <w:rPr>
                <w:rFonts w:hint="eastAsia" w:ascii="宋体" w:hAnsi="宋体" w:eastAsia="宋体" w:cs="宋体"/>
                <w:szCs w:val="21"/>
                <w:highlight w:val="none"/>
              </w:rPr>
              <w:t>序号</w:t>
            </w:r>
          </w:p>
        </w:tc>
        <w:tc>
          <w:tcPr>
            <w:tcW w:w="1500" w:type="dxa"/>
            <w:vAlign w:val="center"/>
          </w:tcPr>
          <w:p w14:paraId="316DB0BC">
            <w:pPr>
              <w:jc w:val="center"/>
              <w:rPr>
                <w:rFonts w:hint="eastAsia" w:ascii="宋体" w:hAnsi="宋体" w:eastAsia="宋体" w:cs="宋体"/>
                <w:szCs w:val="21"/>
                <w:highlight w:val="none"/>
              </w:rPr>
            </w:pPr>
            <w:r>
              <w:rPr>
                <w:rFonts w:hint="eastAsia" w:ascii="宋体" w:hAnsi="宋体" w:eastAsia="宋体" w:cs="宋体"/>
                <w:szCs w:val="21"/>
                <w:highlight w:val="none"/>
              </w:rPr>
              <w:t>姓名</w:t>
            </w:r>
          </w:p>
        </w:tc>
        <w:tc>
          <w:tcPr>
            <w:tcW w:w="2216" w:type="dxa"/>
            <w:vAlign w:val="center"/>
          </w:tcPr>
          <w:p w14:paraId="09796B21">
            <w:pPr>
              <w:jc w:val="center"/>
              <w:rPr>
                <w:rFonts w:hint="eastAsia" w:ascii="宋体" w:hAnsi="宋体" w:eastAsia="宋体" w:cs="宋体"/>
                <w:szCs w:val="21"/>
                <w:highlight w:val="none"/>
              </w:rPr>
            </w:pPr>
            <w:r>
              <w:rPr>
                <w:rFonts w:hint="eastAsia" w:ascii="宋体" w:hAnsi="宋体" w:eastAsia="宋体" w:cs="宋体"/>
                <w:szCs w:val="21"/>
                <w:highlight w:val="none"/>
              </w:rPr>
              <w:t>职务</w:t>
            </w:r>
          </w:p>
        </w:tc>
        <w:tc>
          <w:tcPr>
            <w:tcW w:w="3652" w:type="dxa"/>
            <w:vAlign w:val="center"/>
          </w:tcPr>
          <w:p w14:paraId="25509A3E">
            <w:pPr>
              <w:jc w:val="center"/>
              <w:rPr>
                <w:rFonts w:hint="eastAsia" w:ascii="宋体" w:hAnsi="宋体" w:eastAsia="宋体" w:cs="宋体"/>
                <w:szCs w:val="21"/>
                <w:highlight w:val="none"/>
                <w:lang w:eastAsia="zh-CN"/>
              </w:rPr>
            </w:pPr>
            <w:r>
              <w:rPr>
                <w:rFonts w:hint="eastAsia" w:ascii="宋体" w:hAnsi="宋体" w:cs="宋体"/>
                <w:szCs w:val="21"/>
                <w:highlight w:val="none"/>
                <w:lang w:eastAsia="zh-CN"/>
              </w:rPr>
              <w:t>资质证书</w:t>
            </w:r>
          </w:p>
        </w:tc>
        <w:tc>
          <w:tcPr>
            <w:tcW w:w="1219" w:type="dxa"/>
            <w:vAlign w:val="center"/>
          </w:tcPr>
          <w:p w14:paraId="7E2E238D">
            <w:pPr>
              <w:jc w:val="center"/>
              <w:rPr>
                <w:rFonts w:hint="eastAsia" w:ascii="宋体" w:hAnsi="宋体" w:eastAsia="宋体" w:cs="宋体"/>
                <w:szCs w:val="21"/>
                <w:highlight w:val="none"/>
              </w:rPr>
            </w:pPr>
            <w:r>
              <w:rPr>
                <w:rFonts w:hint="eastAsia" w:ascii="宋体" w:hAnsi="宋体" w:eastAsia="宋体" w:cs="宋体"/>
                <w:szCs w:val="21"/>
                <w:highlight w:val="none"/>
              </w:rPr>
              <w:t>备注</w:t>
            </w:r>
          </w:p>
        </w:tc>
      </w:tr>
      <w:tr w14:paraId="2AF4B9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992" w:type="dxa"/>
          </w:tcPr>
          <w:p w14:paraId="1E552686">
            <w:pPr>
              <w:rPr>
                <w:rFonts w:hint="eastAsia" w:ascii="宋体" w:hAnsi="宋体" w:eastAsia="宋体" w:cs="宋体"/>
                <w:szCs w:val="21"/>
                <w:highlight w:val="none"/>
              </w:rPr>
            </w:pPr>
          </w:p>
        </w:tc>
        <w:tc>
          <w:tcPr>
            <w:tcW w:w="1500" w:type="dxa"/>
          </w:tcPr>
          <w:p w14:paraId="5C9A428C">
            <w:pPr>
              <w:rPr>
                <w:rFonts w:hint="eastAsia" w:ascii="宋体" w:hAnsi="宋体" w:eastAsia="宋体" w:cs="宋体"/>
                <w:szCs w:val="21"/>
                <w:highlight w:val="none"/>
              </w:rPr>
            </w:pPr>
          </w:p>
        </w:tc>
        <w:tc>
          <w:tcPr>
            <w:tcW w:w="2216" w:type="dxa"/>
          </w:tcPr>
          <w:p w14:paraId="174114EA">
            <w:pPr>
              <w:rPr>
                <w:rFonts w:hint="eastAsia" w:ascii="宋体" w:hAnsi="宋体" w:eastAsia="宋体" w:cs="宋体"/>
                <w:szCs w:val="21"/>
                <w:highlight w:val="none"/>
              </w:rPr>
            </w:pPr>
          </w:p>
        </w:tc>
        <w:tc>
          <w:tcPr>
            <w:tcW w:w="3652" w:type="dxa"/>
          </w:tcPr>
          <w:p w14:paraId="6E75B91B">
            <w:pPr>
              <w:rPr>
                <w:rFonts w:hint="eastAsia" w:ascii="宋体" w:hAnsi="宋体" w:eastAsia="宋体" w:cs="宋体"/>
                <w:szCs w:val="21"/>
                <w:highlight w:val="none"/>
              </w:rPr>
            </w:pPr>
          </w:p>
        </w:tc>
        <w:tc>
          <w:tcPr>
            <w:tcW w:w="1219" w:type="dxa"/>
          </w:tcPr>
          <w:p w14:paraId="5F6D7010">
            <w:pPr>
              <w:rPr>
                <w:rFonts w:hint="eastAsia" w:ascii="宋体" w:hAnsi="宋体" w:eastAsia="宋体" w:cs="宋体"/>
                <w:szCs w:val="21"/>
                <w:highlight w:val="none"/>
              </w:rPr>
            </w:pPr>
          </w:p>
        </w:tc>
      </w:tr>
      <w:tr w14:paraId="5DAE1E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992" w:type="dxa"/>
          </w:tcPr>
          <w:p w14:paraId="67519FAA">
            <w:pPr>
              <w:rPr>
                <w:rFonts w:hint="eastAsia" w:ascii="宋体" w:hAnsi="宋体" w:eastAsia="宋体" w:cs="宋体"/>
                <w:szCs w:val="21"/>
                <w:highlight w:val="none"/>
              </w:rPr>
            </w:pPr>
          </w:p>
        </w:tc>
        <w:tc>
          <w:tcPr>
            <w:tcW w:w="1500" w:type="dxa"/>
          </w:tcPr>
          <w:p w14:paraId="71AD1C67">
            <w:pPr>
              <w:rPr>
                <w:rFonts w:hint="eastAsia" w:ascii="宋体" w:hAnsi="宋体" w:eastAsia="宋体" w:cs="宋体"/>
                <w:szCs w:val="21"/>
                <w:highlight w:val="none"/>
              </w:rPr>
            </w:pPr>
          </w:p>
        </w:tc>
        <w:tc>
          <w:tcPr>
            <w:tcW w:w="2216" w:type="dxa"/>
          </w:tcPr>
          <w:p w14:paraId="2C8DDC00">
            <w:pPr>
              <w:rPr>
                <w:rFonts w:hint="eastAsia" w:ascii="宋体" w:hAnsi="宋体" w:eastAsia="宋体" w:cs="宋体"/>
                <w:szCs w:val="21"/>
                <w:highlight w:val="none"/>
              </w:rPr>
            </w:pPr>
          </w:p>
        </w:tc>
        <w:tc>
          <w:tcPr>
            <w:tcW w:w="3652" w:type="dxa"/>
          </w:tcPr>
          <w:p w14:paraId="56B4A72A">
            <w:pPr>
              <w:rPr>
                <w:rFonts w:hint="eastAsia" w:ascii="宋体" w:hAnsi="宋体" w:eastAsia="宋体" w:cs="宋体"/>
                <w:szCs w:val="21"/>
                <w:highlight w:val="none"/>
              </w:rPr>
            </w:pPr>
          </w:p>
        </w:tc>
        <w:tc>
          <w:tcPr>
            <w:tcW w:w="1219" w:type="dxa"/>
          </w:tcPr>
          <w:p w14:paraId="33253FB6">
            <w:pPr>
              <w:rPr>
                <w:rFonts w:hint="eastAsia" w:ascii="宋体" w:hAnsi="宋体" w:eastAsia="宋体" w:cs="宋体"/>
                <w:szCs w:val="21"/>
                <w:highlight w:val="none"/>
              </w:rPr>
            </w:pPr>
          </w:p>
        </w:tc>
      </w:tr>
      <w:tr w14:paraId="24E392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992" w:type="dxa"/>
          </w:tcPr>
          <w:p w14:paraId="2F74F5A5">
            <w:pPr>
              <w:rPr>
                <w:rFonts w:hint="eastAsia" w:ascii="宋体" w:hAnsi="宋体" w:eastAsia="宋体" w:cs="宋体"/>
                <w:szCs w:val="21"/>
                <w:highlight w:val="none"/>
              </w:rPr>
            </w:pPr>
          </w:p>
        </w:tc>
        <w:tc>
          <w:tcPr>
            <w:tcW w:w="1500" w:type="dxa"/>
          </w:tcPr>
          <w:p w14:paraId="70B5C6FB">
            <w:pPr>
              <w:rPr>
                <w:rFonts w:hint="eastAsia" w:ascii="宋体" w:hAnsi="宋体" w:eastAsia="宋体" w:cs="宋体"/>
                <w:szCs w:val="21"/>
                <w:highlight w:val="none"/>
              </w:rPr>
            </w:pPr>
          </w:p>
        </w:tc>
        <w:tc>
          <w:tcPr>
            <w:tcW w:w="2216" w:type="dxa"/>
          </w:tcPr>
          <w:p w14:paraId="403A894B">
            <w:pPr>
              <w:rPr>
                <w:rFonts w:hint="eastAsia" w:ascii="宋体" w:hAnsi="宋体" w:eastAsia="宋体" w:cs="宋体"/>
                <w:szCs w:val="21"/>
                <w:highlight w:val="none"/>
              </w:rPr>
            </w:pPr>
          </w:p>
        </w:tc>
        <w:tc>
          <w:tcPr>
            <w:tcW w:w="3652" w:type="dxa"/>
          </w:tcPr>
          <w:p w14:paraId="3A90AB73">
            <w:pPr>
              <w:rPr>
                <w:rFonts w:hint="eastAsia" w:ascii="宋体" w:hAnsi="宋体" w:eastAsia="宋体" w:cs="宋体"/>
                <w:szCs w:val="21"/>
                <w:highlight w:val="none"/>
              </w:rPr>
            </w:pPr>
          </w:p>
        </w:tc>
        <w:tc>
          <w:tcPr>
            <w:tcW w:w="1219" w:type="dxa"/>
          </w:tcPr>
          <w:p w14:paraId="23F213CB">
            <w:pPr>
              <w:rPr>
                <w:rFonts w:hint="eastAsia" w:ascii="宋体" w:hAnsi="宋体" w:eastAsia="宋体" w:cs="宋体"/>
                <w:szCs w:val="21"/>
                <w:highlight w:val="none"/>
              </w:rPr>
            </w:pPr>
          </w:p>
        </w:tc>
      </w:tr>
      <w:tr w14:paraId="7C7E4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992" w:type="dxa"/>
          </w:tcPr>
          <w:p w14:paraId="55D6CA49">
            <w:pPr>
              <w:rPr>
                <w:rFonts w:hint="eastAsia" w:ascii="宋体" w:hAnsi="宋体" w:eastAsia="宋体" w:cs="宋体"/>
                <w:szCs w:val="21"/>
                <w:highlight w:val="none"/>
              </w:rPr>
            </w:pPr>
          </w:p>
        </w:tc>
        <w:tc>
          <w:tcPr>
            <w:tcW w:w="1500" w:type="dxa"/>
          </w:tcPr>
          <w:p w14:paraId="286410F6">
            <w:pPr>
              <w:rPr>
                <w:rFonts w:hint="eastAsia" w:ascii="宋体" w:hAnsi="宋体" w:eastAsia="宋体" w:cs="宋体"/>
                <w:szCs w:val="21"/>
                <w:highlight w:val="none"/>
              </w:rPr>
            </w:pPr>
          </w:p>
        </w:tc>
        <w:tc>
          <w:tcPr>
            <w:tcW w:w="2216" w:type="dxa"/>
          </w:tcPr>
          <w:p w14:paraId="70FD6FF4">
            <w:pPr>
              <w:rPr>
                <w:rFonts w:hint="eastAsia" w:ascii="宋体" w:hAnsi="宋体" w:eastAsia="宋体" w:cs="宋体"/>
                <w:szCs w:val="21"/>
                <w:highlight w:val="none"/>
              </w:rPr>
            </w:pPr>
          </w:p>
        </w:tc>
        <w:tc>
          <w:tcPr>
            <w:tcW w:w="3652" w:type="dxa"/>
          </w:tcPr>
          <w:p w14:paraId="33BA52FA">
            <w:pPr>
              <w:rPr>
                <w:rFonts w:hint="eastAsia" w:ascii="宋体" w:hAnsi="宋体" w:eastAsia="宋体" w:cs="宋体"/>
                <w:szCs w:val="21"/>
                <w:highlight w:val="none"/>
              </w:rPr>
            </w:pPr>
          </w:p>
        </w:tc>
        <w:tc>
          <w:tcPr>
            <w:tcW w:w="1219" w:type="dxa"/>
          </w:tcPr>
          <w:p w14:paraId="05CA3DAE">
            <w:pPr>
              <w:rPr>
                <w:rFonts w:hint="eastAsia" w:ascii="宋体" w:hAnsi="宋体" w:eastAsia="宋体" w:cs="宋体"/>
                <w:szCs w:val="21"/>
                <w:highlight w:val="none"/>
              </w:rPr>
            </w:pPr>
          </w:p>
        </w:tc>
      </w:tr>
      <w:tr w14:paraId="477D5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992" w:type="dxa"/>
          </w:tcPr>
          <w:p w14:paraId="6B655F29">
            <w:pPr>
              <w:rPr>
                <w:rFonts w:hint="eastAsia" w:ascii="宋体" w:hAnsi="宋体" w:eastAsia="宋体" w:cs="宋体"/>
                <w:szCs w:val="21"/>
                <w:highlight w:val="none"/>
              </w:rPr>
            </w:pPr>
          </w:p>
        </w:tc>
        <w:tc>
          <w:tcPr>
            <w:tcW w:w="1500" w:type="dxa"/>
          </w:tcPr>
          <w:p w14:paraId="2C3E833D">
            <w:pPr>
              <w:rPr>
                <w:rFonts w:hint="eastAsia" w:ascii="宋体" w:hAnsi="宋体" w:eastAsia="宋体" w:cs="宋体"/>
                <w:szCs w:val="21"/>
                <w:highlight w:val="none"/>
              </w:rPr>
            </w:pPr>
          </w:p>
        </w:tc>
        <w:tc>
          <w:tcPr>
            <w:tcW w:w="2216" w:type="dxa"/>
          </w:tcPr>
          <w:p w14:paraId="4F66B5DC">
            <w:pPr>
              <w:rPr>
                <w:rFonts w:hint="eastAsia" w:ascii="宋体" w:hAnsi="宋体" w:eastAsia="宋体" w:cs="宋体"/>
                <w:szCs w:val="21"/>
                <w:highlight w:val="none"/>
              </w:rPr>
            </w:pPr>
          </w:p>
        </w:tc>
        <w:tc>
          <w:tcPr>
            <w:tcW w:w="3652" w:type="dxa"/>
          </w:tcPr>
          <w:p w14:paraId="1B1F3A77">
            <w:pPr>
              <w:rPr>
                <w:rFonts w:hint="eastAsia" w:ascii="宋体" w:hAnsi="宋体" w:eastAsia="宋体" w:cs="宋体"/>
                <w:szCs w:val="21"/>
                <w:highlight w:val="none"/>
              </w:rPr>
            </w:pPr>
          </w:p>
        </w:tc>
        <w:tc>
          <w:tcPr>
            <w:tcW w:w="1219" w:type="dxa"/>
          </w:tcPr>
          <w:p w14:paraId="04CDDC40">
            <w:pPr>
              <w:rPr>
                <w:rFonts w:hint="eastAsia" w:ascii="宋体" w:hAnsi="宋体" w:eastAsia="宋体" w:cs="宋体"/>
                <w:szCs w:val="21"/>
                <w:highlight w:val="none"/>
              </w:rPr>
            </w:pPr>
          </w:p>
        </w:tc>
      </w:tr>
      <w:tr w14:paraId="48FB3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992" w:type="dxa"/>
          </w:tcPr>
          <w:p w14:paraId="2C22896D">
            <w:pPr>
              <w:rPr>
                <w:rFonts w:hint="eastAsia" w:ascii="宋体" w:hAnsi="宋体" w:eastAsia="宋体" w:cs="宋体"/>
                <w:szCs w:val="21"/>
                <w:highlight w:val="none"/>
              </w:rPr>
            </w:pPr>
          </w:p>
        </w:tc>
        <w:tc>
          <w:tcPr>
            <w:tcW w:w="1500" w:type="dxa"/>
          </w:tcPr>
          <w:p w14:paraId="2021EA82">
            <w:pPr>
              <w:rPr>
                <w:rFonts w:hint="eastAsia" w:ascii="宋体" w:hAnsi="宋体" w:eastAsia="宋体" w:cs="宋体"/>
                <w:szCs w:val="21"/>
                <w:highlight w:val="none"/>
              </w:rPr>
            </w:pPr>
          </w:p>
        </w:tc>
        <w:tc>
          <w:tcPr>
            <w:tcW w:w="2216" w:type="dxa"/>
          </w:tcPr>
          <w:p w14:paraId="3D82796C">
            <w:pPr>
              <w:rPr>
                <w:rFonts w:hint="eastAsia" w:ascii="宋体" w:hAnsi="宋体" w:eastAsia="宋体" w:cs="宋体"/>
                <w:szCs w:val="21"/>
                <w:highlight w:val="none"/>
              </w:rPr>
            </w:pPr>
          </w:p>
        </w:tc>
        <w:tc>
          <w:tcPr>
            <w:tcW w:w="3652" w:type="dxa"/>
          </w:tcPr>
          <w:p w14:paraId="0823838C">
            <w:pPr>
              <w:rPr>
                <w:rFonts w:hint="eastAsia" w:ascii="宋体" w:hAnsi="宋体" w:eastAsia="宋体" w:cs="宋体"/>
                <w:szCs w:val="21"/>
                <w:highlight w:val="none"/>
              </w:rPr>
            </w:pPr>
          </w:p>
        </w:tc>
        <w:tc>
          <w:tcPr>
            <w:tcW w:w="1219" w:type="dxa"/>
          </w:tcPr>
          <w:p w14:paraId="0EB4D976">
            <w:pPr>
              <w:rPr>
                <w:rFonts w:hint="eastAsia" w:ascii="宋体" w:hAnsi="宋体" w:eastAsia="宋体" w:cs="宋体"/>
                <w:szCs w:val="21"/>
                <w:highlight w:val="none"/>
              </w:rPr>
            </w:pPr>
          </w:p>
        </w:tc>
      </w:tr>
      <w:tr w14:paraId="78FABC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992" w:type="dxa"/>
          </w:tcPr>
          <w:p w14:paraId="2EF94CDE">
            <w:pPr>
              <w:rPr>
                <w:rFonts w:hint="eastAsia" w:ascii="宋体" w:hAnsi="宋体" w:eastAsia="宋体" w:cs="宋体"/>
                <w:szCs w:val="21"/>
                <w:highlight w:val="none"/>
              </w:rPr>
            </w:pPr>
          </w:p>
        </w:tc>
        <w:tc>
          <w:tcPr>
            <w:tcW w:w="1500" w:type="dxa"/>
          </w:tcPr>
          <w:p w14:paraId="0983F3ED">
            <w:pPr>
              <w:rPr>
                <w:rFonts w:hint="eastAsia" w:ascii="宋体" w:hAnsi="宋体" w:eastAsia="宋体" w:cs="宋体"/>
                <w:szCs w:val="21"/>
                <w:highlight w:val="none"/>
              </w:rPr>
            </w:pPr>
          </w:p>
        </w:tc>
        <w:tc>
          <w:tcPr>
            <w:tcW w:w="2216" w:type="dxa"/>
          </w:tcPr>
          <w:p w14:paraId="37DC43A7">
            <w:pPr>
              <w:rPr>
                <w:rFonts w:hint="eastAsia" w:ascii="宋体" w:hAnsi="宋体" w:eastAsia="宋体" w:cs="宋体"/>
                <w:szCs w:val="21"/>
                <w:highlight w:val="none"/>
              </w:rPr>
            </w:pPr>
          </w:p>
        </w:tc>
        <w:tc>
          <w:tcPr>
            <w:tcW w:w="3652" w:type="dxa"/>
          </w:tcPr>
          <w:p w14:paraId="4A82D4F0">
            <w:pPr>
              <w:rPr>
                <w:rFonts w:hint="eastAsia" w:ascii="宋体" w:hAnsi="宋体" w:eastAsia="宋体" w:cs="宋体"/>
                <w:szCs w:val="21"/>
                <w:highlight w:val="none"/>
              </w:rPr>
            </w:pPr>
          </w:p>
        </w:tc>
        <w:tc>
          <w:tcPr>
            <w:tcW w:w="1219" w:type="dxa"/>
          </w:tcPr>
          <w:p w14:paraId="5C80C4BF">
            <w:pPr>
              <w:rPr>
                <w:rFonts w:hint="eastAsia" w:ascii="宋体" w:hAnsi="宋体" w:eastAsia="宋体" w:cs="宋体"/>
                <w:szCs w:val="21"/>
                <w:highlight w:val="none"/>
              </w:rPr>
            </w:pPr>
          </w:p>
        </w:tc>
      </w:tr>
    </w:tbl>
    <w:p w14:paraId="01146A48">
      <w:pPr>
        <w:rPr>
          <w:rFonts w:hint="eastAsia" w:ascii="宋体" w:hAnsi="宋体" w:eastAsia="宋体" w:cs="宋体"/>
          <w:highlight w:val="none"/>
        </w:rPr>
      </w:pPr>
      <w:r>
        <w:rPr>
          <w:rFonts w:hint="eastAsia" w:ascii="宋体" w:hAnsi="宋体" w:eastAsia="宋体" w:cs="宋体"/>
          <w:highlight w:val="none"/>
        </w:rPr>
        <w:t>注：</w:t>
      </w:r>
      <w:r>
        <w:rPr>
          <w:rFonts w:hint="eastAsia" w:ascii="宋体" w:hAnsi="宋体" w:eastAsia="宋体" w:cs="宋体"/>
          <w:highlight w:val="none"/>
          <w:lang w:eastAsia="zh-CN"/>
        </w:rPr>
        <w:t>供应商</w:t>
      </w:r>
      <w:r>
        <w:rPr>
          <w:rFonts w:hint="eastAsia" w:ascii="宋体" w:hAnsi="宋体" w:eastAsia="宋体" w:cs="宋体"/>
          <w:highlight w:val="none"/>
        </w:rPr>
        <w:t>须如实填写本</w:t>
      </w:r>
      <w:r>
        <w:rPr>
          <w:rFonts w:hint="eastAsia" w:ascii="宋体" w:hAnsi="宋体" w:cs="宋体"/>
          <w:highlight w:val="none"/>
          <w:lang w:eastAsia="zh-CN"/>
        </w:rPr>
        <w:t>项目项目团队人员</w:t>
      </w:r>
      <w:r>
        <w:rPr>
          <w:rFonts w:hint="eastAsia" w:ascii="宋体" w:hAnsi="宋体" w:eastAsia="宋体" w:cs="宋体"/>
          <w:highlight w:val="none"/>
        </w:rPr>
        <w:t>信息，并加盖公章。（附相关证明文件）</w:t>
      </w:r>
    </w:p>
    <w:p w14:paraId="7828E17F">
      <w:pPr>
        <w:pStyle w:val="4"/>
        <w:jc w:val="center"/>
        <w:rPr>
          <w:rFonts w:hint="eastAsia" w:ascii="宋体" w:hAnsi="宋体" w:eastAsia="宋体" w:cs="宋体"/>
          <w:b w:val="0"/>
          <w:bCs w:val="0"/>
          <w:highlight w:val="none"/>
        </w:rPr>
      </w:pPr>
      <w:r>
        <w:rPr>
          <w:rFonts w:hint="eastAsia" w:ascii="宋体" w:hAnsi="宋体" w:eastAsia="宋体" w:cs="宋体"/>
          <w:highlight w:val="none"/>
        </w:rPr>
        <w:br w:type="page"/>
      </w:r>
      <w:bookmarkStart w:id="267" w:name="_Toc62484162"/>
      <w:r>
        <w:rPr>
          <w:rFonts w:hint="eastAsia" w:ascii="宋体" w:hAnsi="宋体" w:eastAsia="宋体" w:cs="宋体"/>
          <w:highlight w:val="none"/>
        </w:rPr>
        <w:t>（三）</w:t>
      </w:r>
      <w:bookmarkEnd w:id="226"/>
      <w:bookmarkEnd w:id="227"/>
      <w:bookmarkEnd w:id="228"/>
      <w:bookmarkEnd w:id="229"/>
      <w:bookmarkEnd w:id="230"/>
      <w:bookmarkEnd w:id="231"/>
      <w:bookmarkEnd w:id="232"/>
      <w:bookmarkEnd w:id="233"/>
      <w:bookmarkEnd w:id="234"/>
      <w:r>
        <w:rPr>
          <w:rFonts w:hint="eastAsia" w:ascii="宋体" w:hAnsi="宋体" w:eastAsia="宋体" w:cs="宋体"/>
          <w:highlight w:val="none"/>
        </w:rPr>
        <w:t>近年财务状况表</w:t>
      </w:r>
      <w:bookmarkEnd w:id="267"/>
    </w:p>
    <w:p w14:paraId="70DCA3DB">
      <w:pPr>
        <w:rPr>
          <w:rFonts w:hint="eastAsia" w:ascii="宋体" w:hAnsi="宋体" w:eastAsia="宋体" w:cs="宋体"/>
          <w:szCs w:val="21"/>
          <w:highlight w:val="none"/>
        </w:rPr>
      </w:pPr>
      <w:bookmarkStart w:id="268" w:name="_Toc34654754"/>
      <w:bookmarkStart w:id="269" w:name="_Toc49407764"/>
      <w:bookmarkStart w:id="270" w:name="_Toc49350833"/>
      <w:bookmarkStart w:id="271" w:name="_Toc152042599"/>
      <w:bookmarkStart w:id="272" w:name="_Toc265953296"/>
      <w:bookmarkStart w:id="273" w:name="_Toc364783106"/>
      <w:bookmarkStart w:id="274" w:name="_Toc350070711"/>
      <w:bookmarkStart w:id="275" w:name="_Toc144974878"/>
      <w:bookmarkStart w:id="276" w:name="_Toc152045810"/>
      <w:bookmarkStart w:id="277" w:name="_Toc34654755"/>
      <w:bookmarkStart w:id="278" w:name="_Toc359315432"/>
      <w:bookmarkStart w:id="279" w:name="_Toc247514302"/>
      <w:bookmarkStart w:id="280" w:name="_Toc247527850"/>
      <w:r>
        <w:rPr>
          <w:rFonts w:hint="eastAsia" w:ascii="宋体" w:hAnsi="宋体" w:eastAsia="宋体" w:cs="宋体"/>
          <w:szCs w:val="21"/>
          <w:highlight w:val="none"/>
        </w:rPr>
        <w:t>附：</w:t>
      </w:r>
      <w:bookmarkEnd w:id="268"/>
      <w:bookmarkEnd w:id="269"/>
      <w:bookmarkEnd w:id="270"/>
      <w:bookmarkStart w:id="281" w:name="_Toc49350834"/>
      <w:bookmarkStart w:id="282" w:name="_Toc49407765"/>
      <w:r>
        <w:rPr>
          <w:rFonts w:hint="eastAsia" w:ascii="宋体" w:hAnsi="宋体" w:eastAsia="宋体" w:cs="宋体"/>
          <w:szCs w:val="21"/>
          <w:highlight w:val="none"/>
          <w:lang w:val="zh-CN"/>
        </w:rPr>
        <w:t>应提供20</w:t>
      </w:r>
      <w:r>
        <w:rPr>
          <w:rFonts w:hint="eastAsia" w:ascii="宋体" w:hAnsi="宋体" w:eastAsia="宋体" w:cs="宋体"/>
          <w:szCs w:val="21"/>
          <w:highlight w:val="none"/>
        </w:rPr>
        <w:t>2</w:t>
      </w:r>
      <w:r>
        <w:rPr>
          <w:rFonts w:hint="eastAsia" w:ascii="宋体" w:hAnsi="宋体" w:eastAsia="宋体" w:cs="宋体"/>
          <w:szCs w:val="21"/>
          <w:highlight w:val="none"/>
          <w:lang w:val="en-US" w:eastAsia="zh-CN"/>
        </w:rPr>
        <w:t>3</w:t>
      </w:r>
      <w:r>
        <w:rPr>
          <w:rFonts w:hint="eastAsia" w:ascii="宋体" w:hAnsi="宋体" w:eastAsia="宋体" w:cs="宋体"/>
          <w:szCs w:val="21"/>
          <w:highlight w:val="none"/>
          <w:lang w:val="zh-CN"/>
        </w:rPr>
        <w:t>年度经审计的财务报告或其基本开户银行出具的资信证明；其他组织和自然人，可以提供银行出具的资信证明；供应商提供财政部门认可的政府采购专业担保机构出具的投标担保函，则不需要提供其他财务状况报告</w:t>
      </w:r>
      <w:r>
        <w:rPr>
          <w:rFonts w:hint="eastAsia" w:ascii="宋体" w:hAnsi="宋体" w:eastAsia="宋体" w:cs="宋体"/>
          <w:szCs w:val="21"/>
          <w:highlight w:val="none"/>
        </w:rPr>
        <w:t>。</w:t>
      </w:r>
    </w:p>
    <w:p w14:paraId="39A53865">
      <w:pPr>
        <w:widowControl/>
        <w:jc w:val="left"/>
        <w:rPr>
          <w:rFonts w:hint="eastAsia" w:ascii="宋体" w:hAnsi="宋体" w:eastAsia="宋体" w:cs="宋体"/>
          <w:bCs/>
          <w:szCs w:val="21"/>
          <w:highlight w:val="none"/>
        </w:rPr>
      </w:pPr>
    </w:p>
    <w:p w14:paraId="3F349BFC">
      <w:pPr>
        <w:pStyle w:val="4"/>
        <w:jc w:val="both"/>
        <w:rPr>
          <w:rFonts w:hint="eastAsia" w:ascii="宋体" w:hAnsi="宋体" w:eastAsia="宋体" w:cs="宋体"/>
          <w:highlight w:val="none"/>
        </w:rPr>
        <w:sectPr>
          <w:pgSz w:w="11906" w:h="16838"/>
          <w:pgMar w:top="1418" w:right="1133" w:bottom="993" w:left="1134" w:header="851" w:footer="992" w:gutter="0"/>
          <w:pgNumType w:fmt="decimal"/>
          <w:cols w:space="720" w:num="1"/>
          <w:docGrid w:linePitch="312" w:charSpace="0"/>
        </w:sectPr>
      </w:pPr>
    </w:p>
    <w:p w14:paraId="486B4C08">
      <w:pPr>
        <w:pStyle w:val="4"/>
        <w:numPr>
          <w:ilvl w:val="0"/>
          <w:numId w:val="8"/>
        </w:numPr>
        <w:jc w:val="center"/>
        <w:rPr>
          <w:rFonts w:hint="eastAsia" w:ascii="宋体" w:hAnsi="宋体" w:eastAsia="宋体" w:cs="宋体"/>
          <w:highlight w:val="none"/>
          <w:lang w:val="zh-CN"/>
        </w:rPr>
      </w:pPr>
      <w:r>
        <w:rPr>
          <w:rFonts w:hint="eastAsia" w:ascii="宋体" w:hAnsi="宋体" w:eastAsia="宋体" w:cs="宋体"/>
          <w:highlight w:val="none"/>
          <w:lang w:val="zh-CN"/>
        </w:rPr>
        <w:t>依法缴纳税收的证明</w:t>
      </w:r>
    </w:p>
    <w:p w14:paraId="27F457CE">
      <w:pPr>
        <w:widowControl w:val="0"/>
        <w:numPr>
          <w:ilvl w:val="0"/>
          <w:numId w:val="0"/>
        </w:numPr>
        <w:jc w:val="both"/>
        <w:rPr>
          <w:rFonts w:hint="eastAsia"/>
        </w:rPr>
      </w:pPr>
    </w:p>
    <w:p w14:paraId="6B76C250">
      <w:pPr>
        <w:widowControl w:val="0"/>
        <w:numPr>
          <w:ilvl w:val="0"/>
          <w:numId w:val="0"/>
        </w:numPr>
        <w:jc w:val="both"/>
        <w:rPr>
          <w:rFonts w:hint="eastAsia"/>
        </w:rPr>
        <w:sectPr>
          <w:pgSz w:w="11906" w:h="16838"/>
          <w:pgMar w:top="1418" w:right="1133" w:bottom="993" w:left="1134" w:header="851" w:footer="992" w:gutter="0"/>
          <w:pgNumType w:fmt="decimal"/>
          <w:cols w:space="720" w:num="1"/>
          <w:docGrid w:linePitch="312" w:charSpace="0"/>
        </w:sectPr>
      </w:pPr>
      <w:r>
        <w:rPr>
          <w:rFonts w:hint="eastAsia" w:ascii="宋体" w:hAnsi="宋体" w:eastAsia="宋体" w:cs="宋体"/>
          <w:szCs w:val="21"/>
          <w:highlight w:val="none"/>
        </w:rPr>
        <w:t>附：</w:t>
      </w:r>
      <w:r>
        <w:rPr>
          <w:rFonts w:hint="eastAsia" w:ascii="宋体" w:hAnsi="宋体" w:eastAsia="宋体" w:cs="宋体"/>
          <w:szCs w:val="21"/>
          <w:highlight w:val="none"/>
          <w:lang w:val="zh-CN"/>
        </w:rPr>
        <w:t>供应商应提供202</w:t>
      </w:r>
      <w:r>
        <w:rPr>
          <w:rFonts w:hint="eastAsia" w:ascii="宋体" w:hAnsi="宋体" w:eastAsia="宋体" w:cs="宋体"/>
          <w:szCs w:val="21"/>
          <w:highlight w:val="none"/>
          <w:lang w:val="en-US" w:eastAsia="zh-CN"/>
        </w:rPr>
        <w:t>4</w:t>
      </w:r>
      <w:r>
        <w:rPr>
          <w:rFonts w:hint="eastAsia" w:ascii="宋体" w:hAnsi="宋体" w:eastAsia="宋体" w:cs="宋体"/>
          <w:szCs w:val="21"/>
          <w:highlight w:val="none"/>
          <w:lang w:val="zh-CN"/>
        </w:rPr>
        <w:t>年至今任意一个月依法缴纳税收的证明材料。依法免税或不需要缴纳社会保障资金的供应商，应提供相应文件证明。</w:t>
      </w:r>
    </w:p>
    <w:p w14:paraId="5F79281F">
      <w:pPr>
        <w:pStyle w:val="4"/>
        <w:numPr>
          <w:ilvl w:val="0"/>
          <w:numId w:val="8"/>
        </w:numPr>
        <w:jc w:val="center"/>
        <w:rPr>
          <w:rFonts w:hint="eastAsia" w:ascii="宋体" w:hAnsi="宋体" w:eastAsia="宋体" w:cs="宋体"/>
          <w:highlight w:val="none"/>
          <w:lang w:val="zh-CN"/>
        </w:rPr>
      </w:pPr>
      <w:r>
        <w:rPr>
          <w:rFonts w:hint="eastAsia" w:ascii="宋体" w:hAnsi="宋体" w:eastAsia="宋体" w:cs="宋体"/>
          <w:highlight w:val="none"/>
          <w:lang w:val="zh-CN"/>
        </w:rPr>
        <w:t>依法缴纳税收的证明</w:t>
      </w:r>
    </w:p>
    <w:p w14:paraId="0EC0BB26">
      <w:pPr>
        <w:pStyle w:val="4"/>
        <w:jc w:val="left"/>
        <w:rPr>
          <w:rFonts w:hint="eastAsia" w:ascii="宋体" w:hAnsi="宋体" w:eastAsia="宋体" w:cs="宋体"/>
          <w:b w:val="0"/>
          <w:sz w:val="21"/>
          <w:szCs w:val="24"/>
          <w:highlight w:val="none"/>
        </w:rPr>
      </w:pPr>
      <w:r>
        <w:rPr>
          <w:rFonts w:hint="eastAsia" w:ascii="Times New Roman" w:hAnsi="Times New Roman" w:eastAsia="宋体" w:cs="Times New Roman"/>
          <w:b w:val="0"/>
          <w:bCs w:val="0"/>
          <w:kern w:val="2"/>
          <w:sz w:val="21"/>
          <w:szCs w:val="24"/>
          <w:lang w:val="en-US" w:eastAsia="zh-CN" w:bidi="ar-SA"/>
        </w:rPr>
        <w:t>附：</w:t>
      </w:r>
      <w:r>
        <w:rPr>
          <w:rFonts w:hint="eastAsia" w:ascii="Times New Roman" w:hAnsi="Times New Roman" w:eastAsia="宋体" w:cs="Times New Roman"/>
          <w:b w:val="0"/>
          <w:bCs w:val="0"/>
          <w:kern w:val="2"/>
          <w:sz w:val="21"/>
          <w:szCs w:val="24"/>
          <w:lang w:val="zh-CN" w:eastAsia="zh-CN" w:bidi="ar-SA"/>
        </w:rPr>
        <w:t>供应商应提供202</w:t>
      </w:r>
      <w:r>
        <w:rPr>
          <w:rFonts w:hint="eastAsia" w:ascii="Times New Roman" w:hAnsi="Times New Roman" w:eastAsia="宋体" w:cs="Times New Roman"/>
          <w:b w:val="0"/>
          <w:bCs w:val="0"/>
          <w:kern w:val="2"/>
          <w:sz w:val="21"/>
          <w:szCs w:val="24"/>
          <w:lang w:val="en-US" w:eastAsia="zh-CN" w:bidi="ar-SA"/>
        </w:rPr>
        <w:t>4</w:t>
      </w:r>
      <w:r>
        <w:rPr>
          <w:rFonts w:hint="eastAsia" w:ascii="Times New Roman" w:hAnsi="Times New Roman" w:eastAsia="宋体" w:cs="Times New Roman"/>
          <w:b w:val="0"/>
          <w:bCs w:val="0"/>
          <w:kern w:val="2"/>
          <w:sz w:val="21"/>
          <w:szCs w:val="24"/>
          <w:lang w:val="zh-CN" w:eastAsia="zh-CN" w:bidi="ar-SA"/>
        </w:rPr>
        <w:t>年至今任意一个月缴纳社会保障资金的证明材料。依法不需要缴纳社会保障资金的供应商，应提供相应文件证明</w:t>
      </w:r>
      <w:r>
        <w:rPr>
          <w:rFonts w:hint="eastAsia" w:ascii="宋体" w:hAnsi="宋体" w:eastAsia="宋体" w:cs="宋体"/>
          <w:highlight w:val="none"/>
        </w:rPr>
        <w:br w:type="page"/>
      </w:r>
      <w:bookmarkStart w:id="283" w:name="_Toc49407766"/>
      <w:bookmarkStart w:id="284" w:name="_Toc34654756"/>
      <w:bookmarkStart w:id="285" w:name="_Toc62484163"/>
      <w:bookmarkStart w:id="286" w:name="_Toc49350835"/>
      <w:r>
        <w:rPr>
          <w:rFonts w:hint="eastAsia" w:ascii="宋体" w:hAnsi="宋体" w:eastAsia="宋体" w:cs="宋体"/>
          <w:highlight w:val="none"/>
        </w:rPr>
        <w:t>（</w:t>
      </w:r>
      <w:r>
        <w:rPr>
          <w:rFonts w:hint="eastAsia" w:ascii="宋体" w:hAnsi="宋体" w:eastAsia="宋体" w:cs="宋体"/>
          <w:highlight w:val="none"/>
          <w:lang w:eastAsia="zh-CN"/>
        </w:rPr>
        <w:t>六</w:t>
      </w:r>
      <w:r>
        <w:rPr>
          <w:rFonts w:hint="eastAsia" w:ascii="宋体" w:hAnsi="宋体" w:eastAsia="宋体" w:cs="宋体"/>
          <w:highlight w:val="none"/>
        </w:rPr>
        <w:t>）近年完成的类似项目情况表</w:t>
      </w:r>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0"/>
        <w:gridCol w:w="1740"/>
        <w:gridCol w:w="2361"/>
        <w:gridCol w:w="2379"/>
        <w:gridCol w:w="1325"/>
        <w:gridCol w:w="892"/>
      </w:tblGrid>
      <w:tr w14:paraId="2407B2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760" w:type="dxa"/>
            <w:vAlign w:val="center"/>
          </w:tcPr>
          <w:p w14:paraId="5B197652">
            <w:pPr>
              <w:jc w:val="center"/>
              <w:rPr>
                <w:rFonts w:hint="eastAsia" w:ascii="宋体" w:hAnsi="宋体" w:eastAsia="宋体" w:cs="宋体"/>
                <w:kern w:val="0"/>
                <w:szCs w:val="21"/>
                <w:highlight w:val="none"/>
              </w:rPr>
            </w:pPr>
            <w:r>
              <w:rPr>
                <w:rFonts w:hint="eastAsia" w:ascii="宋体" w:hAnsi="宋体" w:eastAsia="宋体" w:cs="宋体"/>
                <w:kern w:val="0"/>
                <w:szCs w:val="21"/>
                <w:highlight w:val="none"/>
              </w:rPr>
              <w:t>序号</w:t>
            </w:r>
          </w:p>
        </w:tc>
        <w:tc>
          <w:tcPr>
            <w:tcW w:w="1740" w:type="dxa"/>
            <w:vAlign w:val="center"/>
          </w:tcPr>
          <w:p w14:paraId="6F5F058E">
            <w:pPr>
              <w:jc w:val="center"/>
              <w:rPr>
                <w:rFonts w:hint="eastAsia" w:ascii="宋体" w:hAnsi="宋体" w:eastAsia="宋体" w:cs="宋体"/>
                <w:kern w:val="0"/>
                <w:szCs w:val="21"/>
                <w:highlight w:val="none"/>
              </w:rPr>
            </w:pPr>
            <w:r>
              <w:rPr>
                <w:rFonts w:hint="eastAsia" w:ascii="宋体" w:hAnsi="宋体" w:eastAsia="宋体" w:cs="宋体"/>
                <w:kern w:val="0"/>
                <w:szCs w:val="21"/>
                <w:highlight w:val="none"/>
              </w:rPr>
              <w:t>起止时间</w:t>
            </w:r>
          </w:p>
        </w:tc>
        <w:tc>
          <w:tcPr>
            <w:tcW w:w="2361" w:type="dxa"/>
            <w:vAlign w:val="center"/>
          </w:tcPr>
          <w:p w14:paraId="09470236">
            <w:pPr>
              <w:jc w:val="center"/>
              <w:rPr>
                <w:rFonts w:hint="eastAsia" w:ascii="宋体" w:hAnsi="宋体" w:eastAsia="宋体" w:cs="宋体"/>
                <w:kern w:val="0"/>
                <w:szCs w:val="21"/>
                <w:highlight w:val="none"/>
              </w:rPr>
            </w:pPr>
            <w:r>
              <w:rPr>
                <w:rFonts w:hint="eastAsia" w:ascii="宋体" w:hAnsi="宋体" w:eastAsia="宋体" w:cs="宋体"/>
                <w:kern w:val="0"/>
                <w:szCs w:val="21"/>
                <w:highlight w:val="none"/>
              </w:rPr>
              <w:t>项目名称</w:t>
            </w:r>
          </w:p>
        </w:tc>
        <w:tc>
          <w:tcPr>
            <w:tcW w:w="2379" w:type="dxa"/>
            <w:vAlign w:val="center"/>
          </w:tcPr>
          <w:p w14:paraId="454B4736">
            <w:pPr>
              <w:jc w:val="center"/>
              <w:rPr>
                <w:rFonts w:hint="eastAsia" w:ascii="宋体" w:hAnsi="宋体" w:eastAsia="宋体" w:cs="宋体"/>
                <w:kern w:val="0"/>
                <w:szCs w:val="21"/>
                <w:highlight w:val="none"/>
              </w:rPr>
            </w:pPr>
            <w:r>
              <w:rPr>
                <w:rFonts w:hint="eastAsia" w:ascii="宋体" w:hAnsi="宋体" w:eastAsia="宋体" w:cs="宋体"/>
                <w:kern w:val="0"/>
                <w:szCs w:val="21"/>
                <w:highlight w:val="none"/>
              </w:rPr>
              <w:t>业主单位</w:t>
            </w:r>
          </w:p>
        </w:tc>
        <w:tc>
          <w:tcPr>
            <w:tcW w:w="1325" w:type="dxa"/>
            <w:vAlign w:val="center"/>
          </w:tcPr>
          <w:p w14:paraId="30E51DE7">
            <w:pPr>
              <w:jc w:val="center"/>
              <w:rPr>
                <w:rFonts w:hint="eastAsia" w:ascii="宋体" w:hAnsi="宋体" w:eastAsia="宋体" w:cs="宋体"/>
                <w:kern w:val="0"/>
                <w:szCs w:val="21"/>
                <w:highlight w:val="none"/>
              </w:rPr>
            </w:pPr>
            <w:r>
              <w:rPr>
                <w:rFonts w:hint="eastAsia" w:ascii="宋体" w:hAnsi="宋体" w:eastAsia="宋体" w:cs="宋体"/>
                <w:kern w:val="0"/>
                <w:szCs w:val="21"/>
                <w:highlight w:val="none"/>
              </w:rPr>
              <w:t>完成情况</w:t>
            </w:r>
          </w:p>
        </w:tc>
        <w:tc>
          <w:tcPr>
            <w:tcW w:w="892" w:type="dxa"/>
            <w:vAlign w:val="center"/>
          </w:tcPr>
          <w:p w14:paraId="17623A4B">
            <w:pPr>
              <w:jc w:val="center"/>
              <w:rPr>
                <w:rFonts w:hint="eastAsia" w:ascii="宋体" w:hAnsi="宋体" w:eastAsia="宋体" w:cs="宋体"/>
                <w:szCs w:val="21"/>
                <w:highlight w:val="none"/>
              </w:rPr>
            </w:pPr>
            <w:r>
              <w:rPr>
                <w:rFonts w:hint="eastAsia" w:ascii="宋体" w:hAnsi="宋体" w:eastAsia="宋体" w:cs="宋体"/>
                <w:kern w:val="0"/>
                <w:szCs w:val="21"/>
                <w:highlight w:val="none"/>
              </w:rPr>
              <w:t>备注</w:t>
            </w:r>
          </w:p>
        </w:tc>
      </w:tr>
      <w:tr w14:paraId="5CC8B0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760" w:type="dxa"/>
          </w:tcPr>
          <w:p w14:paraId="682E7EEE">
            <w:pPr>
              <w:jc w:val="center"/>
              <w:rPr>
                <w:rFonts w:hint="eastAsia" w:ascii="宋体" w:hAnsi="宋体" w:eastAsia="宋体" w:cs="宋体"/>
                <w:szCs w:val="21"/>
                <w:highlight w:val="none"/>
              </w:rPr>
            </w:pPr>
          </w:p>
        </w:tc>
        <w:tc>
          <w:tcPr>
            <w:tcW w:w="1740" w:type="dxa"/>
            <w:vAlign w:val="center"/>
          </w:tcPr>
          <w:p w14:paraId="23B59FB6">
            <w:pPr>
              <w:jc w:val="center"/>
              <w:rPr>
                <w:rFonts w:hint="eastAsia" w:ascii="宋体" w:hAnsi="宋体" w:eastAsia="宋体" w:cs="宋体"/>
                <w:szCs w:val="21"/>
                <w:highlight w:val="none"/>
              </w:rPr>
            </w:pPr>
          </w:p>
        </w:tc>
        <w:tc>
          <w:tcPr>
            <w:tcW w:w="2361" w:type="dxa"/>
            <w:vAlign w:val="center"/>
          </w:tcPr>
          <w:p w14:paraId="472C6140">
            <w:pPr>
              <w:jc w:val="center"/>
              <w:rPr>
                <w:rFonts w:hint="eastAsia" w:ascii="宋体" w:hAnsi="宋体" w:eastAsia="宋体" w:cs="宋体"/>
                <w:szCs w:val="21"/>
                <w:highlight w:val="none"/>
              </w:rPr>
            </w:pPr>
          </w:p>
        </w:tc>
        <w:tc>
          <w:tcPr>
            <w:tcW w:w="2379" w:type="dxa"/>
            <w:vAlign w:val="center"/>
          </w:tcPr>
          <w:p w14:paraId="39D61286">
            <w:pPr>
              <w:jc w:val="center"/>
              <w:rPr>
                <w:rFonts w:hint="eastAsia" w:ascii="宋体" w:hAnsi="宋体" w:eastAsia="宋体" w:cs="宋体"/>
                <w:szCs w:val="21"/>
                <w:highlight w:val="none"/>
              </w:rPr>
            </w:pPr>
          </w:p>
        </w:tc>
        <w:tc>
          <w:tcPr>
            <w:tcW w:w="1325" w:type="dxa"/>
            <w:vAlign w:val="center"/>
          </w:tcPr>
          <w:p w14:paraId="2BE4F635">
            <w:pPr>
              <w:jc w:val="center"/>
              <w:rPr>
                <w:rFonts w:hint="eastAsia" w:ascii="宋体" w:hAnsi="宋体" w:eastAsia="宋体" w:cs="宋体"/>
                <w:szCs w:val="21"/>
                <w:highlight w:val="none"/>
              </w:rPr>
            </w:pPr>
          </w:p>
        </w:tc>
        <w:tc>
          <w:tcPr>
            <w:tcW w:w="892" w:type="dxa"/>
            <w:vAlign w:val="center"/>
          </w:tcPr>
          <w:p w14:paraId="4052DF6D">
            <w:pPr>
              <w:jc w:val="center"/>
              <w:rPr>
                <w:rFonts w:hint="eastAsia" w:ascii="宋体" w:hAnsi="宋体" w:eastAsia="宋体" w:cs="宋体"/>
                <w:szCs w:val="21"/>
                <w:highlight w:val="none"/>
              </w:rPr>
            </w:pPr>
          </w:p>
        </w:tc>
      </w:tr>
      <w:tr w14:paraId="5C3E4B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760" w:type="dxa"/>
          </w:tcPr>
          <w:p w14:paraId="65B7D8EE">
            <w:pPr>
              <w:jc w:val="center"/>
              <w:rPr>
                <w:rFonts w:hint="eastAsia" w:ascii="宋体" w:hAnsi="宋体" w:eastAsia="宋体" w:cs="宋体"/>
                <w:szCs w:val="21"/>
                <w:highlight w:val="none"/>
              </w:rPr>
            </w:pPr>
          </w:p>
        </w:tc>
        <w:tc>
          <w:tcPr>
            <w:tcW w:w="1740" w:type="dxa"/>
            <w:vAlign w:val="center"/>
          </w:tcPr>
          <w:p w14:paraId="5857738F">
            <w:pPr>
              <w:jc w:val="center"/>
              <w:rPr>
                <w:rFonts w:hint="eastAsia" w:ascii="宋体" w:hAnsi="宋体" w:eastAsia="宋体" w:cs="宋体"/>
                <w:szCs w:val="21"/>
                <w:highlight w:val="none"/>
              </w:rPr>
            </w:pPr>
          </w:p>
        </w:tc>
        <w:tc>
          <w:tcPr>
            <w:tcW w:w="2361" w:type="dxa"/>
            <w:vAlign w:val="center"/>
          </w:tcPr>
          <w:p w14:paraId="7B5AA675">
            <w:pPr>
              <w:jc w:val="center"/>
              <w:rPr>
                <w:rFonts w:hint="eastAsia" w:ascii="宋体" w:hAnsi="宋体" w:eastAsia="宋体" w:cs="宋体"/>
                <w:szCs w:val="21"/>
                <w:highlight w:val="none"/>
              </w:rPr>
            </w:pPr>
          </w:p>
        </w:tc>
        <w:tc>
          <w:tcPr>
            <w:tcW w:w="2379" w:type="dxa"/>
            <w:vAlign w:val="center"/>
          </w:tcPr>
          <w:p w14:paraId="340C6838">
            <w:pPr>
              <w:jc w:val="center"/>
              <w:rPr>
                <w:rFonts w:hint="eastAsia" w:ascii="宋体" w:hAnsi="宋体" w:eastAsia="宋体" w:cs="宋体"/>
                <w:szCs w:val="21"/>
                <w:highlight w:val="none"/>
              </w:rPr>
            </w:pPr>
          </w:p>
        </w:tc>
        <w:tc>
          <w:tcPr>
            <w:tcW w:w="1325" w:type="dxa"/>
            <w:vAlign w:val="center"/>
          </w:tcPr>
          <w:p w14:paraId="0CCED2C5">
            <w:pPr>
              <w:jc w:val="center"/>
              <w:rPr>
                <w:rFonts w:hint="eastAsia" w:ascii="宋体" w:hAnsi="宋体" w:eastAsia="宋体" w:cs="宋体"/>
                <w:szCs w:val="21"/>
                <w:highlight w:val="none"/>
              </w:rPr>
            </w:pPr>
          </w:p>
        </w:tc>
        <w:tc>
          <w:tcPr>
            <w:tcW w:w="892" w:type="dxa"/>
            <w:vAlign w:val="center"/>
          </w:tcPr>
          <w:p w14:paraId="1164377A">
            <w:pPr>
              <w:jc w:val="center"/>
              <w:rPr>
                <w:rFonts w:hint="eastAsia" w:ascii="宋体" w:hAnsi="宋体" w:eastAsia="宋体" w:cs="宋体"/>
                <w:szCs w:val="21"/>
                <w:highlight w:val="none"/>
              </w:rPr>
            </w:pPr>
          </w:p>
        </w:tc>
      </w:tr>
      <w:tr w14:paraId="13DC07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760" w:type="dxa"/>
          </w:tcPr>
          <w:p w14:paraId="097CFA4D">
            <w:pPr>
              <w:jc w:val="center"/>
              <w:rPr>
                <w:rFonts w:hint="eastAsia" w:ascii="宋体" w:hAnsi="宋体" w:eastAsia="宋体" w:cs="宋体"/>
                <w:szCs w:val="21"/>
                <w:highlight w:val="none"/>
              </w:rPr>
            </w:pPr>
          </w:p>
        </w:tc>
        <w:tc>
          <w:tcPr>
            <w:tcW w:w="1740" w:type="dxa"/>
            <w:vAlign w:val="center"/>
          </w:tcPr>
          <w:p w14:paraId="51AA44F6">
            <w:pPr>
              <w:jc w:val="center"/>
              <w:rPr>
                <w:rFonts w:hint="eastAsia" w:ascii="宋体" w:hAnsi="宋体" w:eastAsia="宋体" w:cs="宋体"/>
                <w:szCs w:val="21"/>
                <w:highlight w:val="none"/>
              </w:rPr>
            </w:pPr>
          </w:p>
        </w:tc>
        <w:tc>
          <w:tcPr>
            <w:tcW w:w="2361" w:type="dxa"/>
            <w:vAlign w:val="center"/>
          </w:tcPr>
          <w:p w14:paraId="3A759D59">
            <w:pPr>
              <w:jc w:val="center"/>
              <w:rPr>
                <w:rFonts w:hint="eastAsia" w:ascii="宋体" w:hAnsi="宋体" w:eastAsia="宋体" w:cs="宋体"/>
                <w:szCs w:val="21"/>
                <w:highlight w:val="none"/>
              </w:rPr>
            </w:pPr>
          </w:p>
        </w:tc>
        <w:tc>
          <w:tcPr>
            <w:tcW w:w="2379" w:type="dxa"/>
            <w:vAlign w:val="center"/>
          </w:tcPr>
          <w:p w14:paraId="355A661A">
            <w:pPr>
              <w:jc w:val="center"/>
              <w:rPr>
                <w:rFonts w:hint="eastAsia" w:ascii="宋体" w:hAnsi="宋体" w:eastAsia="宋体" w:cs="宋体"/>
                <w:szCs w:val="21"/>
                <w:highlight w:val="none"/>
              </w:rPr>
            </w:pPr>
          </w:p>
        </w:tc>
        <w:tc>
          <w:tcPr>
            <w:tcW w:w="1325" w:type="dxa"/>
            <w:vAlign w:val="center"/>
          </w:tcPr>
          <w:p w14:paraId="7074949F">
            <w:pPr>
              <w:jc w:val="center"/>
              <w:rPr>
                <w:rFonts w:hint="eastAsia" w:ascii="宋体" w:hAnsi="宋体" w:eastAsia="宋体" w:cs="宋体"/>
                <w:szCs w:val="21"/>
                <w:highlight w:val="none"/>
              </w:rPr>
            </w:pPr>
          </w:p>
        </w:tc>
        <w:tc>
          <w:tcPr>
            <w:tcW w:w="892" w:type="dxa"/>
            <w:vAlign w:val="center"/>
          </w:tcPr>
          <w:p w14:paraId="7DAA6B58">
            <w:pPr>
              <w:jc w:val="center"/>
              <w:rPr>
                <w:rFonts w:hint="eastAsia" w:ascii="宋体" w:hAnsi="宋体" w:eastAsia="宋体" w:cs="宋体"/>
                <w:szCs w:val="21"/>
                <w:highlight w:val="none"/>
              </w:rPr>
            </w:pPr>
          </w:p>
        </w:tc>
      </w:tr>
      <w:tr w14:paraId="0AEC9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760" w:type="dxa"/>
          </w:tcPr>
          <w:p w14:paraId="6ED4DBD1">
            <w:pPr>
              <w:jc w:val="center"/>
              <w:rPr>
                <w:rFonts w:hint="eastAsia" w:ascii="宋体" w:hAnsi="宋体" w:eastAsia="宋体" w:cs="宋体"/>
                <w:szCs w:val="21"/>
                <w:highlight w:val="none"/>
              </w:rPr>
            </w:pPr>
          </w:p>
        </w:tc>
        <w:tc>
          <w:tcPr>
            <w:tcW w:w="1740" w:type="dxa"/>
            <w:vAlign w:val="center"/>
          </w:tcPr>
          <w:p w14:paraId="059F16E3">
            <w:pPr>
              <w:jc w:val="center"/>
              <w:rPr>
                <w:rFonts w:hint="eastAsia" w:ascii="宋体" w:hAnsi="宋体" w:eastAsia="宋体" w:cs="宋体"/>
                <w:szCs w:val="21"/>
                <w:highlight w:val="none"/>
              </w:rPr>
            </w:pPr>
          </w:p>
        </w:tc>
        <w:tc>
          <w:tcPr>
            <w:tcW w:w="2361" w:type="dxa"/>
            <w:vAlign w:val="center"/>
          </w:tcPr>
          <w:p w14:paraId="6A79063C">
            <w:pPr>
              <w:jc w:val="center"/>
              <w:rPr>
                <w:rFonts w:hint="eastAsia" w:ascii="宋体" w:hAnsi="宋体" w:eastAsia="宋体" w:cs="宋体"/>
                <w:szCs w:val="21"/>
                <w:highlight w:val="none"/>
              </w:rPr>
            </w:pPr>
          </w:p>
        </w:tc>
        <w:tc>
          <w:tcPr>
            <w:tcW w:w="2379" w:type="dxa"/>
            <w:vAlign w:val="center"/>
          </w:tcPr>
          <w:p w14:paraId="3EBF7DEA">
            <w:pPr>
              <w:jc w:val="center"/>
              <w:rPr>
                <w:rFonts w:hint="eastAsia" w:ascii="宋体" w:hAnsi="宋体" w:eastAsia="宋体" w:cs="宋体"/>
                <w:szCs w:val="21"/>
                <w:highlight w:val="none"/>
              </w:rPr>
            </w:pPr>
          </w:p>
        </w:tc>
        <w:tc>
          <w:tcPr>
            <w:tcW w:w="1325" w:type="dxa"/>
            <w:vAlign w:val="center"/>
          </w:tcPr>
          <w:p w14:paraId="1E472A63">
            <w:pPr>
              <w:jc w:val="center"/>
              <w:rPr>
                <w:rFonts w:hint="eastAsia" w:ascii="宋体" w:hAnsi="宋体" w:eastAsia="宋体" w:cs="宋体"/>
                <w:szCs w:val="21"/>
                <w:highlight w:val="none"/>
              </w:rPr>
            </w:pPr>
          </w:p>
        </w:tc>
        <w:tc>
          <w:tcPr>
            <w:tcW w:w="892" w:type="dxa"/>
            <w:vAlign w:val="center"/>
          </w:tcPr>
          <w:p w14:paraId="36342A27">
            <w:pPr>
              <w:jc w:val="center"/>
              <w:rPr>
                <w:rFonts w:hint="eastAsia" w:ascii="宋体" w:hAnsi="宋体" w:eastAsia="宋体" w:cs="宋体"/>
                <w:szCs w:val="21"/>
                <w:highlight w:val="none"/>
              </w:rPr>
            </w:pPr>
          </w:p>
        </w:tc>
      </w:tr>
      <w:tr w14:paraId="73B184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760" w:type="dxa"/>
          </w:tcPr>
          <w:p w14:paraId="07BA93D2">
            <w:pPr>
              <w:jc w:val="center"/>
              <w:rPr>
                <w:rFonts w:hint="eastAsia" w:ascii="宋体" w:hAnsi="宋体" w:eastAsia="宋体" w:cs="宋体"/>
                <w:szCs w:val="21"/>
                <w:highlight w:val="none"/>
              </w:rPr>
            </w:pPr>
          </w:p>
        </w:tc>
        <w:tc>
          <w:tcPr>
            <w:tcW w:w="1740" w:type="dxa"/>
            <w:vAlign w:val="center"/>
          </w:tcPr>
          <w:p w14:paraId="5F43846B">
            <w:pPr>
              <w:jc w:val="center"/>
              <w:rPr>
                <w:rFonts w:hint="eastAsia" w:ascii="宋体" w:hAnsi="宋体" w:eastAsia="宋体" w:cs="宋体"/>
                <w:szCs w:val="21"/>
                <w:highlight w:val="none"/>
              </w:rPr>
            </w:pPr>
          </w:p>
        </w:tc>
        <w:tc>
          <w:tcPr>
            <w:tcW w:w="2361" w:type="dxa"/>
            <w:vAlign w:val="center"/>
          </w:tcPr>
          <w:p w14:paraId="22B9D27C">
            <w:pPr>
              <w:jc w:val="center"/>
              <w:rPr>
                <w:rFonts w:hint="eastAsia" w:ascii="宋体" w:hAnsi="宋体" w:eastAsia="宋体" w:cs="宋体"/>
                <w:szCs w:val="21"/>
                <w:highlight w:val="none"/>
              </w:rPr>
            </w:pPr>
          </w:p>
        </w:tc>
        <w:tc>
          <w:tcPr>
            <w:tcW w:w="2379" w:type="dxa"/>
            <w:vAlign w:val="center"/>
          </w:tcPr>
          <w:p w14:paraId="3109020E">
            <w:pPr>
              <w:jc w:val="center"/>
              <w:rPr>
                <w:rFonts w:hint="eastAsia" w:ascii="宋体" w:hAnsi="宋体" w:eastAsia="宋体" w:cs="宋体"/>
                <w:szCs w:val="21"/>
                <w:highlight w:val="none"/>
              </w:rPr>
            </w:pPr>
          </w:p>
        </w:tc>
        <w:tc>
          <w:tcPr>
            <w:tcW w:w="1325" w:type="dxa"/>
            <w:vAlign w:val="center"/>
          </w:tcPr>
          <w:p w14:paraId="7A2DFC17">
            <w:pPr>
              <w:jc w:val="center"/>
              <w:rPr>
                <w:rFonts w:hint="eastAsia" w:ascii="宋体" w:hAnsi="宋体" w:eastAsia="宋体" w:cs="宋体"/>
                <w:szCs w:val="21"/>
                <w:highlight w:val="none"/>
              </w:rPr>
            </w:pPr>
          </w:p>
        </w:tc>
        <w:tc>
          <w:tcPr>
            <w:tcW w:w="892" w:type="dxa"/>
            <w:vAlign w:val="center"/>
          </w:tcPr>
          <w:p w14:paraId="17645152">
            <w:pPr>
              <w:jc w:val="center"/>
              <w:rPr>
                <w:rFonts w:hint="eastAsia" w:ascii="宋体" w:hAnsi="宋体" w:eastAsia="宋体" w:cs="宋体"/>
                <w:szCs w:val="21"/>
                <w:highlight w:val="none"/>
              </w:rPr>
            </w:pPr>
          </w:p>
        </w:tc>
      </w:tr>
      <w:tr w14:paraId="138FC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760" w:type="dxa"/>
          </w:tcPr>
          <w:p w14:paraId="3AE86B5E">
            <w:pPr>
              <w:jc w:val="center"/>
              <w:rPr>
                <w:rFonts w:hint="eastAsia" w:ascii="宋体" w:hAnsi="宋体" w:eastAsia="宋体" w:cs="宋体"/>
                <w:szCs w:val="21"/>
                <w:highlight w:val="none"/>
              </w:rPr>
            </w:pPr>
          </w:p>
        </w:tc>
        <w:tc>
          <w:tcPr>
            <w:tcW w:w="1740" w:type="dxa"/>
            <w:vAlign w:val="center"/>
          </w:tcPr>
          <w:p w14:paraId="4F05581A">
            <w:pPr>
              <w:jc w:val="center"/>
              <w:rPr>
                <w:rFonts w:hint="eastAsia" w:ascii="宋体" w:hAnsi="宋体" w:eastAsia="宋体" w:cs="宋体"/>
                <w:szCs w:val="21"/>
                <w:highlight w:val="none"/>
              </w:rPr>
            </w:pPr>
          </w:p>
        </w:tc>
        <w:tc>
          <w:tcPr>
            <w:tcW w:w="2361" w:type="dxa"/>
            <w:vAlign w:val="center"/>
          </w:tcPr>
          <w:p w14:paraId="6B20CC10">
            <w:pPr>
              <w:jc w:val="center"/>
              <w:rPr>
                <w:rFonts w:hint="eastAsia" w:ascii="宋体" w:hAnsi="宋体" w:eastAsia="宋体" w:cs="宋体"/>
                <w:szCs w:val="21"/>
                <w:highlight w:val="none"/>
              </w:rPr>
            </w:pPr>
          </w:p>
        </w:tc>
        <w:tc>
          <w:tcPr>
            <w:tcW w:w="2379" w:type="dxa"/>
            <w:vAlign w:val="center"/>
          </w:tcPr>
          <w:p w14:paraId="27AA8894">
            <w:pPr>
              <w:jc w:val="center"/>
              <w:rPr>
                <w:rFonts w:hint="eastAsia" w:ascii="宋体" w:hAnsi="宋体" w:eastAsia="宋体" w:cs="宋体"/>
                <w:szCs w:val="21"/>
                <w:highlight w:val="none"/>
              </w:rPr>
            </w:pPr>
          </w:p>
        </w:tc>
        <w:tc>
          <w:tcPr>
            <w:tcW w:w="1325" w:type="dxa"/>
            <w:vAlign w:val="center"/>
          </w:tcPr>
          <w:p w14:paraId="4B2A8116">
            <w:pPr>
              <w:jc w:val="center"/>
              <w:rPr>
                <w:rFonts w:hint="eastAsia" w:ascii="宋体" w:hAnsi="宋体" w:eastAsia="宋体" w:cs="宋体"/>
                <w:szCs w:val="21"/>
                <w:highlight w:val="none"/>
              </w:rPr>
            </w:pPr>
          </w:p>
        </w:tc>
        <w:tc>
          <w:tcPr>
            <w:tcW w:w="892" w:type="dxa"/>
            <w:vAlign w:val="center"/>
          </w:tcPr>
          <w:p w14:paraId="4418E379">
            <w:pPr>
              <w:jc w:val="center"/>
              <w:rPr>
                <w:rFonts w:hint="eastAsia" w:ascii="宋体" w:hAnsi="宋体" w:eastAsia="宋体" w:cs="宋体"/>
                <w:szCs w:val="21"/>
                <w:highlight w:val="none"/>
              </w:rPr>
            </w:pPr>
          </w:p>
        </w:tc>
      </w:tr>
    </w:tbl>
    <w:p w14:paraId="5E19AB0C">
      <w:pPr>
        <w:spacing w:line="200" w:lineRule="exact"/>
        <w:jc w:val="left"/>
        <w:rPr>
          <w:rFonts w:hint="eastAsia" w:ascii="宋体" w:hAnsi="宋体" w:eastAsia="宋体" w:cs="宋体"/>
          <w:sz w:val="24"/>
          <w:highlight w:val="none"/>
        </w:rPr>
      </w:pPr>
    </w:p>
    <w:p w14:paraId="25FDC6C8">
      <w:pPr>
        <w:spacing w:line="316" w:lineRule="exact"/>
        <w:ind w:firstLine="525" w:firstLineChars="250"/>
        <w:jc w:val="left"/>
        <w:rPr>
          <w:rFonts w:hint="eastAsia" w:ascii="宋体" w:hAnsi="宋体" w:eastAsia="宋体" w:cs="宋体"/>
          <w:szCs w:val="21"/>
          <w:highlight w:val="none"/>
        </w:rPr>
      </w:pPr>
      <w:r>
        <w:rPr>
          <w:rFonts w:hint="eastAsia" w:ascii="宋体" w:hAnsi="宋体" w:eastAsia="宋体" w:cs="宋体"/>
          <w:szCs w:val="21"/>
          <w:highlight w:val="none"/>
        </w:rPr>
        <w:t>注：后附中标通知书或合同协议书复印件。</w:t>
      </w:r>
    </w:p>
    <w:p w14:paraId="4D801E5F">
      <w:pPr>
        <w:autoSpaceDE w:val="0"/>
        <w:autoSpaceDN w:val="0"/>
        <w:adjustRightInd w:val="0"/>
        <w:jc w:val="center"/>
        <w:rPr>
          <w:rFonts w:hint="eastAsia" w:ascii="宋体" w:hAnsi="宋体" w:eastAsia="宋体" w:cs="宋体"/>
          <w:sz w:val="18"/>
          <w:szCs w:val="18"/>
          <w:highlight w:val="none"/>
        </w:rPr>
      </w:pPr>
      <w:r>
        <w:rPr>
          <w:rFonts w:hint="eastAsia" w:ascii="宋体" w:hAnsi="宋体" w:eastAsia="宋体" w:cs="宋体"/>
          <w:sz w:val="20"/>
          <w:highlight w:val="none"/>
        </w:rPr>
        <w:br w:type="page"/>
      </w:r>
    </w:p>
    <w:p w14:paraId="2E420843">
      <w:pPr>
        <w:pStyle w:val="4"/>
        <w:jc w:val="center"/>
        <w:rPr>
          <w:rFonts w:hint="eastAsia" w:ascii="宋体" w:hAnsi="宋体" w:eastAsia="宋体" w:cs="宋体"/>
          <w:highlight w:val="none"/>
        </w:rPr>
      </w:pPr>
      <w:bookmarkStart w:id="287" w:name="_Toc62484164"/>
      <w:r>
        <w:rPr>
          <w:rFonts w:hint="eastAsia" w:ascii="宋体" w:hAnsi="宋体" w:eastAsia="宋体" w:cs="宋体"/>
          <w:highlight w:val="none"/>
        </w:rPr>
        <w:t>（</w:t>
      </w:r>
      <w:r>
        <w:rPr>
          <w:rFonts w:hint="eastAsia" w:ascii="宋体" w:hAnsi="宋体" w:eastAsia="宋体" w:cs="宋体"/>
          <w:highlight w:val="none"/>
          <w:lang w:eastAsia="zh-CN"/>
        </w:rPr>
        <w:t>七</w:t>
      </w:r>
      <w:r>
        <w:rPr>
          <w:rFonts w:hint="eastAsia" w:ascii="宋体" w:hAnsi="宋体" w:eastAsia="宋体" w:cs="宋体"/>
          <w:highlight w:val="none"/>
        </w:rPr>
        <w:t>）正在进行和新承接的项目情况表</w:t>
      </w:r>
      <w:bookmarkEnd w:id="287"/>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55"/>
        <w:gridCol w:w="1345"/>
        <w:gridCol w:w="2361"/>
        <w:gridCol w:w="2379"/>
        <w:gridCol w:w="1325"/>
        <w:gridCol w:w="892"/>
      </w:tblGrid>
      <w:tr w14:paraId="28C2A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jc w:val="center"/>
        </w:trPr>
        <w:tc>
          <w:tcPr>
            <w:tcW w:w="1155" w:type="dxa"/>
            <w:vAlign w:val="center"/>
          </w:tcPr>
          <w:p w14:paraId="6E0A9BFC">
            <w:pPr>
              <w:jc w:val="center"/>
              <w:rPr>
                <w:rFonts w:hint="eastAsia" w:ascii="宋体" w:hAnsi="宋体" w:eastAsia="宋体" w:cs="宋体"/>
                <w:kern w:val="0"/>
                <w:szCs w:val="21"/>
                <w:highlight w:val="none"/>
              </w:rPr>
            </w:pPr>
            <w:r>
              <w:rPr>
                <w:rFonts w:hint="eastAsia" w:ascii="宋体" w:hAnsi="宋体" w:eastAsia="宋体" w:cs="宋体"/>
                <w:kern w:val="0"/>
                <w:szCs w:val="21"/>
                <w:highlight w:val="none"/>
              </w:rPr>
              <w:t>序号</w:t>
            </w:r>
          </w:p>
        </w:tc>
        <w:tc>
          <w:tcPr>
            <w:tcW w:w="1345" w:type="dxa"/>
            <w:vAlign w:val="center"/>
          </w:tcPr>
          <w:p w14:paraId="769CF423">
            <w:pPr>
              <w:jc w:val="center"/>
              <w:rPr>
                <w:rFonts w:hint="eastAsia" w:ascii="宋体" w:hAnsi="宋体" w:eastAsia="宋体" w:cs="宋体"/>
                <w:kern w:val="0"/>
                <w:szCs w:val="21"/>
                <w:highlight w:val="none"/>
              </w:rPr>
            </w:pPr>
            <w:r>
              <w:rPr>
                <w:rFonts w:hint="eastAsia" w:ascii="宋体" w:hAnsi="宋体" w:eastAsia="宋体" w:cs="宋体"/>
                <w:kern w:val="0"/>
                <w:szCs w:val="21"/>
                <w:highlight w:val="none"/>
              </w:rPr>
              <w:t>起止时间</w:t>
            </w:r>
          </w:p>
        </w:tc>
        <w:tc>
          <w:tcPr>
            <w:tcW w:w="2361" w:type="dxa"/>
            <w:vAlign w:val="center"/>
          </w:tcPr>
          <w:p w14:paraId="2CD38A0B">
            <w:pPr>
              <w:jc w:val="center"/>
              <w:rPr>
                <w:rFonts w:hint="eastAsia" w:ascii="宋体" w:hAnsi="宋体" w:eastAsia="宋体" w:cs="宋体"/>
                <w:kern w:val="0"/>
                <w:szCs w:val="21"/>
                <w:highlight w:val="none"/>
              </w:rPr>
            </w:pPr>
            <w:r>
              <w:rPr>
                <w:rFonts w:hint="eastAsia" w:ascii="宋体" w:hAnsi="宋体" w:eastAsia="宋体" w:cs="宋体"/>
                <w:kern w:val="0"/>
                <w:szCs w:val="21"/>
                <w:highlight w:val="none"/>
              </w:rPr>
              <w:t>项目名称</w:t>
            </w:r>
          </w:p>
        </w:tc>
        <w:tc>
          <w:tcPr>
            <w:tcW w:w="2379" w:type="dxa"/>
            <w:vAlign w:val="center"/>
          </w:tcPr>
          <w:p w14:paraId="363DCD29">
            <w:pPr>
              <w:jc w:val="center"/>
              <w:rPr>
                <w:rFonts w:hint="eastAsia" w:ascii="宋体" w:hAnsi="宋体" w:eastAsia="宋体" w:cs="宋体"/>
                <w:kern w:val="0"/>
                <w:szCs w:val="21"/>
                <w:highlight w:val="none"/>
              </w:rPr>
            </w:pPr>
            <w:r>
              <w:rPr>
                <w:rFonts w:hint="eastAsia" w:ascii="宋体" w:hAnsi="宋体" w:eastAsia="宋体" w:cs="宋体"/>
                <w:kern w:val="0"/>
                <w:szCs w:val="21"/>
                <w:highlight w:val="none"/>
              </w:rPr>
              <w:t>业主单位</w:t>
            </w:r>
          </w:p>
        </w:tc>
        <w:tc>
          <w:tcPr>
            <w:tcW w:w="1325" w:type="dxa"/>
            <w:vAlign w:val="center"/>
          </w:tcPr>
          <w:p w14:paraId="153473B4">
            <w:pPr>
              <w:jc w:val="center"/>
              <w:rPr>
                <w:rFonts w:hint="eastAsia" w:ascii="宋体" w:hAnsi="宋体" w:eastAsia="宋体" w:cs="宋体"/>
                <w:kern w:val="0"/>
                <w:szCs w:val="21"/>
                <w:highlight w:val="none"/>
              </w:rPr>
            </w:pPr>
            <w:r>
              <w:rPr>
                <w:rFonts w:hint="eastAsia" w:ascii="宋体" w:hAnsi="宋体" w:eastAsia="宋体" w:cs="宋体"/>
                <w:kern w:val="0"/>
                <w:szCs w:val="21"/>
                <w:highlight w:val="none"/>
              </w:rPr>
              <w:t>完成情况</w:t>
            </w:r>
          </w:p>
        </w:tc>
        <w:tc>
          <w:tcPr>
            <w:tcW w:w="892" w:type="dxa"/>
            <w:vAlign w:val="center"/>
          </w:tcPr>
          <w:p w14:paraId="32803310">
            <w:pPr>
              <w:jc w:val="center"/>
              <w:rPr>
                <w:rFonts w:hint="eastAsia" w:ascii="宋体" w:hAnsi="宋体" w:eastAsia="宋体" w:cs="宋体"/>
                <w:szCs w:val="21"/>
                <w:highlight w:val="none"/>
              </w:rPr>
            </w:pPr>
            <w:r>
              <w:rPr>
                <w:rFonts w:hint="eastAsia" w:ascii="宋体" w:hAnsi="宋体" w:eastAsia="宋体" w:cs="宋体"/>
                <w:kern w:val="0"/>
                <w:szCs w:val="21"/>
                <w:highlight w:val="none"/>
              </w:rPr>
              <w:t>备注</w:t>
            </w:r>
          </w:p>
        </w:tc>
      </w:tr>
      <w:tr w14:paraId="144766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jc w:val="center"/>
        </w:trPr>
        <w:tc>
          <w:tcPr>
            <w:tcW w:w="1155" w:type="dxa"/>
          </w:tcPr>
          <w:p w14:paraId="7DED63AF">
            <w:pPr>
              <w:jc w:val="center"/>
              <w:rPr>
                <w:rFonts w:hint="eastAsia" w:ascii="宋体" w:hAnsi="宋体" w:eastAsia="宋体" w:cs="宋体"/>
                <w:szCs w:val="21"/>
                <w:highlight w:val="none"/>
              </w:rPr>
            </w:pPr>
          </w:p>
        </w:tc>
        <w:tc>
          <w:tcPr>
            <w:tcW w:w="1345" w:type="dxa"/>
            <w:vAlign w:val="center"/>
          </w:tcPr>
          <w:p w14:paraId="426AC983">
            <w:pPr>
              <w:jc w:val="center"/>
              <w:rPr>
                <w:rFonts w:hint="eastAsia" w:ascii="宋体" w:hAnsi="宋体" w:eastAsia="宋体" w:cs="宋体"/>
                <w:szCs w:val="21"/>
                <w:highlight w:val="none"/>
              </w:rPr>
            </w:pPr>
          </w:p>
        </w:tc>
        <w:tc>
          <w:tcPr>
            <w:tcW w:w="2361" w:type="dxa"/>
            <w:vAlign w:val="center"/>
          </w:tcPr>
          <w:p w14:paraId="424FB094">
            <w:pPr>
              <w:jc w:val="center"/>
              <w:rPr>
                <w:rFonts w:hint="eastAsia" w:ascii="宋体" w:hAnsi="宋体" w:eastAsia="宋体" w:cs="宋体"/>
                <w:szCs w:val="21"/>
                <w:highlight w:val="none"/>
              </w:rPr>
            </w:pPr>
          </w:p>
        </w:tc>
        <w:tc>
          <w:tcPr>
            <w:tcW w:w="2379" w:type="dxa"/>
            <w:vAlign w:val="center"/>
          </w:tcPr>
          <w:p w14:paraId="2C8AE5A0">
            <w:pPr>
              <w:jc w:val="center"/>
              <w:rPr>
                <w:rFonts w:hint="eastAsia" w:ascii="宋体" w:hAnsi="宋体" w:eastAsia="宋体" w:cs="宋体"/>
                <w:szCs w:val="21"/>
                <w:highlight w:val="none"/>
              </w:rPr>
            </w:pPr>
          </w:p>
        </w:tc>
        <w:tc>
          <w:tcPr>
            <w:tcW w:w="1325" w:type="dxa"/>
            <w:vAlign w:val="center"/>
          </w:tcPr>
          <w:p w14:paraId="3DB4E471">
            <w:pPr>
              <w:jc w:val="center"/>
              <w:rPr>
                <w:rFonts w:hint="eastAsia" w:ascii="宋体" w:hAnsi="宋体" w:eastAsia="宋体" w:cs="宋体"/>
                <w:szCs w:val="21"/>
                <w:highlight w:val="none"/>
              </w:rPr>
            </w:pPr>
          </w:p>
        </w:tc>
        <w:tc>
          <w:tcPr>
            <w:tcW w:w="892" w:type="dxa"/>
            <w:vAlign w:val="center"/>
          </w:tcPr>
          <w:p w14:paraId="6A24A682">
            <w:pPr>
              <w:jc w:val="center"/>
              <w:rPr>
                <w:rFonts w:hint="eastAsia" w:ascii="宋体" w:hAnsi="宋体" w:eastAsia="宋体" w:cs="宋体"/>
                <w:szCs w:val="21"/>
                <w:highlight w:val="none"/>
              </w:rPr>
            </w:pPr>
          </w:p>
        </w:tc>
      </w:tr>
      <w:tr w14:paraId="1112A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jc w:val="center"/>
        </w:trPr>
        <w:tc>
          <w:tcPr>
            <w:tcW w:w="1155" w:type="dxa"/>
          </w:tcPr>
          <w:p w14:paraId="450DCC07">
            <w:pPr>
              <w:jc w:val="center"/>
              <w:rPr>
                <w:rFonts w:hint="eastAsia" w:ascii="宋体" w:hAnsi="宋体" w:eastAsia="宋体" w:cs="宋体"/>
                <w:szCs w:val="21"/>
                <w:highlight w:val="none"/>
              </w:rPr>
            </w:pPr>
          </w:p>
        </w:tc>
        <w:tc>
          <w:tcPr>
            <w:tcW w:w="1345" w:type="dxa"/>
            <w:vAlign w:val="center"/>
          </w:tcPr>
          <w:p w14:paraId="1753AA22">
            <w:pPr>
              <w:jc w:val="center"/>
              <w:rPr>
                <w:rFonts w:hint="eastAsia" w:ascii="宋体" w:hAnsi="宋体" w:eastAsia="宋体" w:cs="宋体"/>
                <w:szCs w:val="21"/>
                <w:highlight w:val="none"/>
              </w:rPr>
            </w:pPr>
          </w:p>
        </w:tc>
        <w:tc>
          <w:tcPr>
            <w:tcW w:w="2361" w:type="dxa"/>
            <w:vAlign w:val="center"/>
          </w:tcPr>
          <w:p w14:paraId="23AC6F99">
            <w:pPr>
              <w:jc w:val="center"/>
              <w:rPr>
                <w:rFonts w:hint="eastAsia" w:ascii="宋体" w:hAnsi="宋体" w:eastAsia="宋体" w:cs="宋体"/>
                <w:szCs w:val="21"/>
                <w:highlight w:val="none"/>
              </w:rPr>
            </w:pPr>
          </w:p>
        </w:tc>
        <w:tc>
          <w:tcPr>
            <w:tcW w:w="2379" w:type="dxa"/>
            <w:vAlign w:val="center"/>
          </w:tcPr>
          <w:p w14:paraId="5A4211BE">
            <w:pPr>
              <w:jc w:val="center"/>
              <w:rPr>
                <w:rFonts w:hint="eastAsia" w:ascii="宋体" w:hAnsi="宋体" w:eastAsia="宋体" w:cs="宋体"/>
                <w:szCs w:val="21"/>
                <w:highlight w:val="none"/>
              </w:rPr>
            </w:pPr>
          </w:p>
        </w:tc>
        <w:tc>
          <w:tcPr>
            <w:tcW w:w="1325" w:type="dxa"/>
            <w:vAlign w:val="center"/>
          </w:tcPr>
          <w:p w14:paraId="2F707BEB">
            <w:pPr>
              <w:jc w:val="center"/>
              <w:rPr>
                <w:rFonts w:hint="eastAsia" w:ascii="宋体" w:hAnsi="宋体" w:eastAsia="宋体" w:cs="宋体"/>
                <w:szCs w:val="21"/>
                <w:highlight w:val="none"/>
              </w:rPr>
            </w:pPr>
          </w:p>
        </w:tc>
        <w:tc>
          <w:tcPr>
            <w:tcW w:w="892" w:type="dxa"/>
            <w:vAlign w:val="center"/>
          </w:tcPr>
          <w:p w14:paraId="32E8EF52">
            <w:pPr>
              <w:jc w:val="center"/>
              <w:rPr>
                <w:rFonts w:hint="eastAsia" w:ascii="宋体" w:hAnsi="宋体" w:eastAsia="宋体" w:cs="宋体"/>
                <w:szCs w:val="21"/>
                <w:highlight w:val="none"/>
              </w:rPr>
            </w:pPr>
          </w:p>
        </w:tc>
      </w:tr>
      <w:tr w14:paraId="26D8EA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jc w:val="center"/>
        </w:trPr>
        <w:tc>
          <w:tcPr>
            <w:tcW w:w="1155" w:type="dxa"/>
          </w:tcPr>
          <w:p w14:paraId="5363FFF8">
            <w:pPr>
              <w:jc w:val="center"/>
              <w:rPr>
                <w:rFonts w:hint="eastAsia" w:ascii="宋体" w:hAnsi="宋体" w:eastAsia="宋体" w:cs="宋体"/>
                <w:szCs w:val="21"/>
                <w:highlight w:val="none"/>
              </w:rPr>
            </w:pPr>
          </w:p>
        </w:tc>
        <w:tc>
          <w:tcPr>
            <w:tcW w:w="1345" w:type="dxa"/>
            <w:vAlign w:val="center"/>
          </w:tcPr>
          <w:p w14:paraId="5C1B696A">
            <w:pPr>
              <w:jc w:val="center"/>
              <w:rPr>
                <w:rFonts w:hint="eastAsia" w:ascii="宋体" w:hAnsi="宋体" w:eastAsia="宋体" w:cs="宋体"/>
                <w:szCs w:val="21"/>
                <w:highlight w:val="none"/>
              </w:rPr>
            </w:pPr>
          </w:p>
        </w:tc>
        <w:tc>
          <w:tcPr>
            <w:tcW w:w="2361" w:type="dxa"/>
            <w:vAlign w:val="center"/>
          </w:tcPr>
          <w:p w14:paraId="6AE22AD2">
            <w:pPr>
              <w:jc w:val="center"/>
              <w:rPr>
                <w:rFonts w:hint="eastAsia" w:ascii="宋体" w:hAnsi="宋体" w:eastAsia="宋体" w:cs="宋体"/>
                <w:szCs w:val="21"/>
                <w:highlight w:val="none"/>
              </w:rPr>
            </w:pPr>
          </w:p>
        </w:tc>
        <w:tc>
          <w:tcPr>
            <w:tcW w:w="2379" w:type="dxa"/>
            <w:vAlign w:val="center"/>
          </w:tcPr>
          <w:p w14:paraId="325E53A0">
            <w:pPr>
              <w:jc w:val="center"/>
              <w:rPr>
                <w:rFonts w:hint="eastAsia" w:ascii="宋体" w:hAnsi="宋体" w:eastAsia="宋体" w:cs="宋体"/>
                <w:szCs w:val="21"/>
                <w:highlight w:val="none"/>
              </w:rPr>
            </w:pPr>
          </w:p>
        </w:tc>
        <w:tc>
          <w:tcPr>
            <w:tcW w:w="1325" w:type="dxa"/>
            <w:vAlign w:val="center"/>
          </w:tcPr>
          <w:p w14:paraId="2ECAE3C2">
            <w:pPr>
              <w:jc w:val="center"/>
              <w:rPr>
                <w:rFonts w:hint="eastAsia" w:ascii="宋体" w:hAnsi="宋体" w:eastAsia="宋体" w:cs="宋体"/>
                <w:szCs w:val="21"/>
                <w:highlight w:val="none"/>
              </w:rPr>
            </w:pPr>
          </w:p>
        </w:tc>
        <w:tc>
          <w:tcPr>
            <w:tcW w:w="892" w:type="dxa"/>
            <w:vAlign w:val="center"/>
          </w:tcPr>
          <w:p w14:paraId="1EF9C998">
            <w:pPr>
              <w:jc w:val="center"/>
              <w:rPr>
                <w:rFonts w:hint="eastAsia" w:ascii="宋体" w:hAnsi="宋体" w:eastAsia="宋体" w:cs="宋体"/>
                <w:szCs w:val="21"/>
                <w:highlight w:val="none"/>
              </w:rPr>
            </w:pPr>
          </w:p>
        </w:tc>
      </w:tr>
      <w:tr w14:paraId="3CC7D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jc w:val="center"/>
        </w:trPr>
        <w:tc>
          <w:tcPr>
            <w:tcW w:w="1155" w:type="dxa"/>
          </w:tcPr>
          <w:p w14:paraId="5F65B6F1">
            <w:pPr>
              <w:jc w:val="center"/>
              <w:rPr>
                <w:rFonts w:hint="eastAsia" w:ascii="宋体" w:hAnsi="宋体" w:eastAsia="宋体" w:cs="宋体"/>
                <w:szCs w:val="21"/>
                <w:highlight w:val="none"/>
              </w:rPr>
            </w:pPr>
          </w:p>
        </w:tc>
        <w:tc>
          <w:tcPr>
            <w:tcW w:w="1345" w:type="dxa"/>
            <w:vAlign w:val="center"/>
          </w:tcPr>
          <w:p w14:paraId="3664DF33">
            <w:pPr>
              <w:jc w:val="center"/>
              <w:rPr>
                <w:rFonts w:hint="eastAsia" w:ascii="宋体" w:hAnsi="宋体" w:eastAsia="宋体" w:cs="宋体"/>
                <w:szCs w:val="21"/>
                <w:highlight w:val="none"/>
              </w:rPr>
            </w:pPr>
          </w:p>
        </w:tc>
        <w:tc>
          <w:tcPr>
            <w:tcW w:w="2361" w:type="dxa"/>
            <w:vAlign w:val="center"/>
          </w:tcPr>
          <w:p w14:paraId="5D3E9DB6">
            <w:pPr>
              <w:jc w:val="center"/>
              <w:rPr>
                <w:rFonts w:hint="eastAsia" w:ascii="宋体" w:hAnsi="宋体" w:eastAsia="宋体" w:cs="宋体"/>
                <w:szCs w:val="21"/>
                <w:highlight w:val="none"/>
              </w:rPr>
            </w:pPr>
          </w:p>
        </w:tc>
        <w:tc>
          <w:tcPr>
            <w:tcW w:w="2379" w:type="dxa"/>
            <w:vAlign w:val="center"/>
          </w:tcPr>
          <w:p w14:paraId="477BE851">
            <w:pPr>
              <w:jc w:val="center"/>
              <w:rPr>
                <w:rFonts w:hint="eastAsia" w:ascii="宋体" w:hAnsi="宋体" w:eastAsia="宋体" w:cs="宋体"/>
                <w:szCs w:val="21"/>
                <w:highlight w:val="none"/>
              </w:rPr>
            </w:pPr>
          </w:p>
        </w:tc>
        <w:tc>
          <w:tcPr>
            <w:tcW w:w="1325" w:type="dxa"/>
            <w:vAlign w:val="center"/>
          </w:tcPr>
          <w:p w14:paraId="4CADFDB5">
            <w:pPr>
              <w:jc w:val="center"/>
              <w:rPr>
                <w:rFonts w:hint="eastAsia" w:ascii="宋体" w:hAnsi="宋体" w:eastAsia="宋体" w:cs="宋体"/>
                <w:szCs w:val="21"/>
                <w:highlight w:val="none"/>
              </w:rPr>
            </w:pPr>
          </w:p>
        </w:tc>
        <w:tc>
          <w:tcPr>
            <w:tcW w:w="892" w:type="dxa"/>
            <w:vAlign w:val="center"/>
          </w:tcPr>
          <w:p w14:paraId="5A294FE8">
            <w:pPr>
              <w:jc w:val="center"/>
              <w:rPr>
                <w:rFonts w:hint="eastAsia" w:ascii="宋体" w:hAnsi="宋体" w:eastAsia="宋体" w:cs="宋体"/>
                <w:szCs w:val="21"/>
                <w:highlight w:val="none"/>
              </w:rPr>
            </w:pPr>
          </w:p>
        </w:tc>
      </w:tr>
      <w:tr w14:paraId="0E9DC2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jc w:val="center"/>
        </w:trPr>
        <w:tc>
          <w:tcPr>
            <w:tcW w:w="1155" w:type="dxa"/>
          </w:tcPr>
          <w:p w14:paraId="27323E18">
            <w:pPr>
              <w:jc w:val="center"/>
              <w:rPr>
                <w:rFonts w:hint="eastAsia" w:ascii="宋体" w:hAnsi="宋体" w:eastAsia="宋体" w:cs="宋体"/>
                <w:szCs w:val="21"/>
                <w:highlight w:val="none"/>
              </w:rPr>
            </w:pPr>
          </w:p>
        </w:tc>
        <w:tc>
          <w:tcPr>
            <w:tcW w:w="1345" w:type="dxa"/>
            <w:vAlign w:val="center"/>
          </w:tcPr>
          <w:p w14:paraId="6D003D0C">
            <w:pPr>
              <w:jc w:val="center"/>
              <w:rPr>
                <w:rFonts w:hint="eastAsia" w:ascii="宋体" w:hAnsi="宋体" w:eastAsia="宋体" w:cs="宋体"/>
                <w:szCs w:val="21"/>
                <w:highlight w:val="none"/>
              </w:rPr>
            </w:pPr>
          </w:p>
        </w:tc>
        <w:tc>
          <w:tcPr>
            <w:tcW w:w="2361" w:type="dxa"/>
            <w:vAlign w:val="center"/>
          </w:tcPr>
          <w:p w14:paraId="5437BFB7">
            <w:pPr>
              <w:jc w:val="center"/>
              <w:rPr>
                <w:rFonts w:hint="eastAsia" w:ascii="宋体" w:hAnsi="宋体" w:eastAsia="宋体" w:cs="宋体"/>
                <w:szCs w:val="21"/>
                <w:highlight w:val="none"/>
              </w:rPr>
            </w:pPr>
          </w:p>
        </w:tc>
        <w:tc>
          <w:tcPr>
            <w:tcW w:w="2379" w:type="dxa"/>
            <w:vAlign w:val="center"/>
          </w:tcPr>
          <w:p w14:paraId="67C233F6">
            <w:pPr>
              <w:jc w:val="center"/>
              <w:rPr>
                <w:rFonts w:hint="eastAsia" w:ascii="宋体" w:hAnsi="宋体" w:eastAsia="宋体" w:cs="宋体"/>
                <w:szCs w:val="21"/>
                <w:highlight w:val="none"/>
              </w:rPr>
            </w:pPr>
          </w:p>
        </w:tc>
        <w:tc>
          <w:tcPr>
            <w:tcW w:w="1325" w:type="dxa"/>
            <w:vAlign w:val="center"/>
          </w:tcPr>
          <w:p w14:paraId="0D93AF9F">
            <w:pPr>
              <w:jc w:val="center"/>
              <w:rPr>
                <w:rFonts w:hint="eastAsia" w:ascii="宋体" w:hAnsi="宋体" w:eastAsia="宋体" w:cs="宋体"/>
                <w:szCs w:val="21"/>
                <w:highlight w:val="none"/>
              </w:rPr>
            </w:pPr>
          </w:p>
        </w:tc>
        <w:tc>
          <w:tcPr>
            <w:tcW w:w="892" w:type="dxa"/>
            <w:vAlign w:val="center"/>
          </w:tcPr>
          <w:p w14:paraId="7788B41F">
            <w:pPr>
              <w:jc w:val="center"/>
              <w:rPr>
                <w:rFonts w:hint="eastAsia" w:ascii="宋体" w:hAnsi="宋体" w:eastAsia="宋体" w:cs="宋体"/>
                <w:szCs w:val="21"/>
                <w:highlight w:val="none"/>
              </w:rPr>
            </w:pPr>
          </w:p>
        </w:tc>
      </w:tr>
      <w:tr w14:paraId="67F32B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jc w:val="center"/>
        </w:trPr>
        <w:tc>
          <w:tcPr>
            <w:tcW w:w="1155" w:type="dxa"/>
          </w:tcPr>
          <w:p w14:paraId="6CAD0CCD">
            <w:pPr>
              <w:jc w:val="center"/>
              <w:rPr>
                <w:rFonts w:hint="eastAsia" w:ascii="宋体" w:hAnsi="宋体" w:eastAsia="宋体" w:cs="宋体"/>
                <w:szCs w:val="21"/>
                <w:highlight w:val="none"/>
              </w:rPr>
            </w:pPr>
          </w:p>
        </w:tc>
        <w:tc>
          <w:tcPr>
            <w:tcW w:w="1345" w:type="dxa"/>
            <w:vAlign w:val="center"/>
          </w:tcPr>
          <w:p w14:paraId="12E57D32">
            <w:pPr>
              <w:jc w:val="center"/>
              <w:rPr>
                <w:rFonts w:hint="eastAsia" w:ascii="宋体" w:hAnsi="宋体" w:eastAsia="宋体" w:cs="宋体"/>
                <w:szCs w:val="21"/>
                <w:highlight w:val="none"/>
              </w:rPr>
            </w:pPr>
          </w:p>
        </w:tc>
        <w:tc>
          <w:tcPr>
            <w:tcW w:w="2361" w:type="dxa"/>
            <w:vAlign w:val="center"/>
          </w:tcPr>
          <w:p w14:paraId="1D018434">
            <w:pPr>
              <w:jc w:val="center"/>
              <w:rPr>
                <w:rFonts w:hint="eastAsia" w:ascii="宋体" w:hAnsi="宋体" w:eastAsia="宋体" w:cs="宋体"/>
                <w:szCs w:val="21"/>
                <w:highlight w:val="none"/>
              </w:rPr>
            </w:pPr>
          </w:p>
        </w:tc>
        <w:tc>
          <w:tcPr>
            <w:tcW w:w="2379" w:type="dxa"/>
            <w:vAlign w:val="center"/>
          </w:tcPr>
          <w:p w14:paraId="6117671F">
            <w:pPr>
              <w:jc w:val="center"/>
              <w:rPr>
                <w:rFonts w:hint="eastAsia" w:ascii="宋体" w:hAnsi="宋体" w:eastAsia="宋体" w:cs="宋体"/>
                <w:szCs w:val="21"/>
                <w:highlight w:val="none"/>
              </w:rPr>
            </w:pPr>
          </w:p>
        </w:tc>
        <w:tc>
          <w:tcPr>
            <w:tcW w:w="1325" w:type="dxa"/>
            <w:vAlign w:val="center"/>
          </w:tcPr>
          <w:p w14:paraId="29F7210A">
            <w:pPr>
              <w:jc w:val="center"/>
              <w:rPr>
                <w:rFonts w:hint="eastAsia" w:ascii="宋体" w:hAnsi="宋体" w:eastAsia="宋体" w:cs="宋体"/>
                <w:szCs w:val="21"/>
                <w:highlight w:val="none"/>
              </w:rPr>
            </w:pPr>
          </w:p>
        </w:tc>
        <w:tc>
          <w:tcPr>
            <w:tcW w:w="892" w:type="dxa"/>
            <w:vAlign w:val="center"/>
          </w:tcPr>
          <w:p w14:paraId="1A89A75A">
            <w:pPr>
              <w:jc w:val="center"/>
              <w:rPr>
                <w:rFonts w:hint="eastAsia" w:ascii="宋体" w:hAnsi="宋体" w:eastAsia="宋体" w:cs="宋体"/>
                <w:szCs w:val="21"/>
                <w:highlight w:val="none"/>
              </w:rPr>
            </w:pPr>
          </w:p>
        </w:tc>
      </w:tr>
    </w:tbl>
    <w:p w14:paraId="07292E6B">
      <w:pPr>
        <w:spacing w:line="316" w:lineRule="exact"/>
        <w:ind w:firstLine="525" w:firstLineChars="250"/>
        <w:jc w:val="left"/>
        <w:rPr>
          <w:rFonts w:hint="eastAsia" w:ascii="宋体" w:hAnsi="宋体" w:eastAsia="宋体" w:cs="宋体"/>
          <w:szCs w:val="21"/>
          <w:highlight w:val="none"/>
        </w:rPr>
      </w:pPr>
      <w:r>
        <w:rPr>
          <w:rFonts w:hint="eastAsia" w:ascii="宋体" w:hAnsi="宋体" w:eastAsia="宋体" w:cs="宋体"/>
          <w:szCs w:val="21"/>
          <w:highlight w:val="none"/>
        </w:rPr>
        <w:t>附：中标通知书或合同协议书复印件。</w:t>
      </w:r>
    </w:p>
    <w:p w14:paraId="008E0171">
      <w:pPr>
        <w:spacing w:line="440" w:lineRule="exact"/>
        <w:rPr>
          <w:rFonts w:hint="eastAsia" w:ascii="宋体" w:hAnsi="宋体" w:eastAsia="宋体" w:cs="宋体"/>
          <w:sz w:val="23"/>
          <w:szCs w:val="23"/>
          <w:highlight w:val="none"/>
        </w:rPr>
      </w:pPr>
    </w:p>
    <w:bookmarkEnd w:id="235"/>
    <w:bookmarkEnd w:id="236"/>
    <w:bookmarkEnd w:id="237"/>
    <w:bookmarkEnd w:id="238"/>
    <w:p w14:paraId="746A1251">
      <w:pPr>
        <w:pStyle w:val="4"/>
        <w:jc w:val="center"/>
        <w:rPr>
          <w:rFonts w:hint="eastAsia" w:ascii="宋体" w:hAnsi="宋体" w:eastAsia="宋体" w:cs="宋体"/>
          <w:highlight w:val="none"/>
        </w:rPr>
      </w:pPr>
      <w:r>
        <w:rPr>
          <w:rFonts w:hint="eastAsia" w:ascii="宋体" w:hAnsi="宋体" w:eastAsia="宋体" w:cs="宋体"/>
          <w:b w:val="0"/>
          <w:sz w:val="30"/>
          <w:szCs w:val="30"/>
          <w:highlight w:val="none"/>
        </w:rPr>
        <w:br w:type="page"/>
      </w:r>
      <w:bookmarkStart w:id="288" w:name="_Toc62484165"/>
      <w:bookmarkStart w:id="289" w:name="_Toc364783109"/>
      <w:bookmarkStart w:id="290" w:name="_Toc34654779"/>
      <w:bookmarkStart w:id="291" w:name="_Toc49350836"/>
      <w:bookmarkStart w:id="292" w:name="_Toc49407767"/>
      <w:r>
        <w:rPr>
          <w:rFonts w:hint="eastAsia" w:ascii="宋体" w:hAnsi="宋体" w:eastAsia="宋体" w:cs="宋体"/>
          <w:highlight w:val="none"/>
        </w:rPr>
        <w:t>（</w:t>
      </w:r>
      <w:r>
        <w:rPr>
          <w:rFonts w:hint="eastAsia" w:ascii="宋体" w:hAnsi="宋体" w:eastAsia="宋体" w:cs="宋体"/>
          <w:highlight w:val="none"/>
          <w:lang w:eastAsia="zh-CN"/>
        </w:rPr>
        <w:t>八</w:t>
      </w:r>
      <w:r>
        <w:rPr>
          <w:rFonts w:hint="eastAsia" w:ascii="宋体" w:hAnsi="宋体" w:eastAsia="宋体" w:cs="宋体"/>
          <w:highlight w:val="none"/>
        </w:rPr>
        <w:t>）</w:t>
      </w:r>
      <w:r>
        <w:rPr>
          <w:rFonts w:hint="eastAsia" w:ascii="宋体" w:hAnsi="宋体" w:eastAsia="宋体" w:cs="宋体"/>
          <w:szCs w:val="21"/>
          <w:highlight w:val="none"/>
        </w:rPr>
        <w:t>近三年（202</w:t>
      </w:r>
      <w:r>
        <w:rPr>
          <w:rFonts w:hint="eastAsia" w:ascii="宋体" w:hAnsi="宋体" w:eastAsia="宋体" w:cs="宋体"/>
          <w:szCs w:val="21"/>
          <w:highlight w:val="none"/>
          <w:lang w:val="en-US" w:eastAsia="zh-CN"/>
        </w:rPr>
        <w:t>2</w:t>
      </w:r>
      <w:r>
        <w:rPr>
          <w:rFonts w:hint="eastAsia" w:ascii="宋体" w:hAnsi="宋体" w:eastAsia="宋体" w:cs="宋体"/>
          <w:szCs w:val="21"/>
          <w:highlight w:val="none"/>
        </w:rPr>
        <w:t>年-202</w:t>
      </w:r>
      <w:r>
        <w:rPr>
          <w:rFonts w:hint="eastAsia" w:ascii="宋体" w:hAnsi="宋体" w:eastAsia="宋体" w:cs="宋体"/>
          <w:szCs w:val="21"/>
          <w:highlight w:val="none"/>
          <w:lang w:val="en-US" w:eastAsia="zh-CN"/>
        </w:rPr>
        <w:t>4</w:t>
      </w:r>
      <w:r>
        <w:rPr>
          <w:rFonts w:hint="eastAsia" w:ascii="宋体" w:hAnsi="宋体" w:eastAsia="宋体" w:cs="宋体"/>
          <w:szCs w:val="21"/>
          <w:highlight w:val="none"/>
        </w:rPr>
        <w:t>年）</w:t>
      </w:r>
      <w:r>
        <w:rPr>
          <w:rFonts w:hint="eastAsia" w:ascii="宋体" w:hAnsi="宋体" w:eastAsia="宋体" w:cs="宋体"/>
          <w:highlight w:val="none"/>
        </w:rPr>
        <w:t>发生的诉讼及仲裁情况</w:t>
      </w:r>
      <w:bookmarkEnd w:id="288"/>
    </w:p>
    <w:p w14:paraId="60F25353">
      <w:pPr>
        <w:ind w:firstLine="420" w:firstLineChars="200"/>
        <w:rPr>
          <w:rFonts w:hint="eastAsia" w:ascii="宋体" w:hAnsi="宋体" w:eastAsia="宋体" w:cs="宋体"/>
          <w:highlight w:val="none"/>
        </w:rPr>
      </w:pPr>
      <w:r>
        <w:rPr>
          <w:rFonts w:hint="eastAsia" w:ascii="宋体" w:hAnsi="宋体" w:eastAsia="宋体" w:cs="宋体"/>
          <w:highlight w:val="none"/>
        </w:rPr>
        <w:t>应说明相关情况，并附法院或仲裁机构作出的判决、裁决等有关法律文书复印件。若无，应说明，并署名加盖公章。</w:t>
      </w:r>
    </w:p>
    <w:p w14:paraId="5C37DF19">
      <w:pPr>
        <w:widowControl/>
        <w:jc w:val="left"/>
        <w:rPr>
          <w:rFonts w:hint="eastAsia" w:ascii="宋体" w:hAnsi="宋体" w:eastAsia="宋体" w:cs="宋体"/>
          <w:highlight w:val="none"/>
        </w:rPr>
        <w:sectPr>
          <w:pgSz w:w="11906" w:h="16838"/>
          <w:pgMar w:top="1418" w:right="1133" w:bottom="993" w:left="1134" w:header="851" w:footer="992" w:gutter="0"/>
          <w:pgNumType w:fmt="decimal"/>
          <w:cols w:space="720" w:num="1"/>
          <w:docGrid w:linePitch="312" w:charSpace="0"/>
        </w:sectPr>
      </w:pPr>
      <w:r>
        <w:rPr>
          <w:rFonts w:hint="eastAsia" w:ascii="宋体" w:hAnsi="宋体" w:eastAsia="宋体" w:cs="宋体"/>
          <w:highlight w:val="none"/>
        </w:rPr>
        <w:br w:type="page"/>
      </w:r>
    </w:p>
    <w:p w14:paraId="140F3F26">
      <w:pPr>
        <w:spacing w:line="312" w:lineRule="auto"/>
        <w:jc w:val="center"/>
        <w:rPr>
          <w:rFonts w:ascii="宋体" w:hAnsi="宋体" w:cs="宋体"/>
          <w:b/>
          <w:sz w:val="36"/>
          <w:szCs w:val="36"/>
        </w:rPr>
      </w:pPr>
      <w:r>
        <w:rPr>
          <w:rFonts w:hint="eastAsia" w:ascii="宋体" w:hAnsi="宋体" w:eastAsia="宋体" w:cs="宋体"/>
          <w:b/>
          <w:sz w:val="36"/>
          <w:szCs w:val="36"/>
        </w:rPr>
        <w:t>（</w:t>
      </w:r>
      <w:r>
        <w:rPr>
          <w:rFonts w:hint="eastAsia" w:ascii="宋体" w:hAnsi="宋体" w:eastAsia="宋体" w:cs="宋体"/>
          <w:b/>
          <w:sz w:val="36"/>
          <w:szCs w:val="36"/>
          <w:lang w:eastAsia="zh-CN"/>
        </w:rPr>
        <w:t>九</w:t>
      </w:r>
      <w:r>
        <w:rPr>
          <w:rFonts w:hint="eastAsia" w:ascii="宋体" w:hAnsi="宋体" w:eastAsia="宋体" w:cs="宋体"/>
          <w:b/>
          <w:sz w:val="36"/>
          <w:szCs w:val="36"/>
        </w:rPr>
        <w:t>）</w:t>
      </w:r>
      <w:r>
        <w:rPr>
          <w:rFonts w:hint="eastAsia" w:ascii="宋体" w:hAnsi="宋体" w:cs="宋体"/>
          <w:b/>
          <w:sz w:val="36"/>
          <w:szCs w:val="36"/>
        </w:rPr>
        <w:t>中小企业声明函、残疾人福利性单位声明函、监狱企业证明文件</w:t>
      </w:r>
    </w:p>
    <w:p w14:paraId="5DFBCF21">
      <w:pPr>
        <w:widowControl/>
        <w:numPr>
          <w:ilvl w:val="0"/>
          <w:numId w:val="0"/>
        </w:numPr>
        <w:jc w:val="center"/>
        <w:rPr>
          <w:rFonts w:hint="eastAsia" w:ascii="宋体" w:hAnsi="宋体" w:cs="宋体"/>
          <w:b/>
          <w:bCs/>
          <w:kern w:val="2"/>
          <w:sz w:val="32"/>
          <w:szCs w:val="32"/>
          <w:highlight w:val="none"/>
          <w:lang w:val="en-US" w:eastAsia="zh-CN" w:bidi="ar-SA"/>
        </w:rPr>
      </w:pPr>
    </w:p>
    <w:p w14:paraId="651DFE9A">
      <w:pPr>
        <w:jc w:val="center"/>
        <w:rPr>
          <w:rFonts w:ascii="宋体" w:hAnsi="宋体" w:cs="宋体"/>
          <w:b/>
          <w:sz w:val="24"/>
          <w:szCs w:val="24"/>
        </w:rPr>
      </w:pPr>
      <w:r>
        <w:rPr>
          <w:rFonts w:ascii="宋体" w:hAnsi="宋体" w:cs="宋体"/>
          <w:b/>
          <w:sz w:val="24"/>
          <w:szCs w:val="24"/>
        </w:rPr>
        <w:t>中小企业声明函（货物）</w:t>
      </w:r>
    </w:p>
    <w:p w14:paraId="1AEC49BA">
      <w:pPr>
        <w:pStyle w:val="35"/>
        <w:ind w:left="0" w:leftChars="0" w:firstLine="0" w:firstLineChars="0"/>
        <w:jc w:val="both"/>
        <w:rPr>
          <w:rFonts w:ascii="宋体" w:hAnsi="宋体"/>
          <w:szCs w:val="21"/>
          <w:u w:val="single"/>
        </w:rPr>
      </w:pPr>
    </w:p>
    <w:p w14:paraId="6F690D1A">
      <w:pPr>
        <w:pStyle w:val="15"/>
        <w:spacing w:after="0" w:line="440" w:lineRule="exact"/>
        <w:ind w:firstLine="420" w:firstLineChars="200"/>
        <w:rPr>
          <w:rFonts w:ascii="宋体" w:hAnsi="宋体"/>
          <w:szCs w:val="21"/>
        </w:rPr>
      </w:pPr>
    </w:p>
    <w:p w14:paraId="7E05989E">
      <w:pPr>
        <w:pStyle w:val="15"/>
        <w:spacing w:after="0" w:line="400" w:lineRule="exact"/>
        <w:ind w:firstLine="420" w:firstLineChars="200"/>
        <w:rPr>
          <w:rFonts w:ascii="宋体" w:hAnsi="宋体"/>
          <w:sz w:val="21"/>
          <w:szCs w:val="21"/>
        </w:rPr>
      </w:pPr>
      <w:r>
        <w:rPr>
          <w:rFonts w:ascii="宋体" w:hAnsi="宋体"/>
          <w:sz w:val="21"/>
          <w:szCs w:val="21"/>
        </w:rPr>
        <w:t>本公司</w:t>
      </w:r>
      <w:r>
        <w:rPr>
          <w:rFonts w:hint="eastAsia" w:ascii="宋体" w:hAnsi="宋体"/>
          <w:sz w:val="21"/>
          <w:szCs w:val="21"/>
          <w:u w:val="single"/>
        </w:rPr>
        <w:t xml:space="preserve">                    </w:t>
      </w:r>
      <w:r>
        <w:rPr>
          <w:rFonts w:ascii="宋体" w:hAnsi="宋体"/>
          <w:sz w:val="21"/>
          <w:szCs w:val="21"/>
        </w:rPr>
        <w:t>（联合体）郑重声明，根据《政府采购促进中小企业发展管理办法》（财库</w:t>
      </w:r>
      <w:r>
        <w:rPr>
          <w:rFonts w:hint="eastAsia" w:ascii="宋体" w:hAnsi="宋体"/>
          <w:sz w:val="21"/>
          <w:szCs w:val="21"/>
        </w:rPr>
        <w:t>﹝</w:t>
      </w:r>
      <w:r>
        <w:rPr>
          <w:rFonts w:ascii="宋体" w:hAnsi="宋体"/>
          <w:sz w:val="21"/>
          <w:szCs w:val="21"/>
        </w:rPr>
        <w:t>2020</w:t>
      </w:r>
      <w:r>
        <w:rPr>
          <w:rFonts w:hint="eastAsia" w:ascii="宋体" w:hAnsi="宋体"/>
          <w:sz w:val="21"/>
          <w:szCs w:val="21"/>
        </w:rPr>
        <w:t>﹞</w:t>
      </w:r>
      <w:r>
        <w:rPr>
          <w:rFonts w:ascii="宋体" w:hAnsi="宋体"/>
          <w:sz w:val="21"/>
          <w:szCs w:val="21"/>
        </w:rPr>
        <w:t>46 号）的规定，本公司</w:t>
      </w:r>
      <w:r>
        <w:rPr>
          <w:rFonts w:hint="eastAsia" w:ascii="宋体" w:hAnsi="宋体"/>
          <w:sz w:val="21"/>
          <w:szCs w:val="21"/>
          <w:u w:val="single"/>
        </w:rPr>
        <w:t xml:space="preserve">                    </w:t>
      </w:r>
      <w:r>
        <w:rPr>
          <w:rFonts w:ascii="宋体" w:hAnsi="宋体"/>
          <w:sz w:val="21"/>
          <w:szCs w:val="21"/>
        </w:rPr>
        <w:t>（联合体）参加</w:t>
      </w:r>
      <w:r>
        <w:rPr>
          <w:rFonts w:ascii="宋体" w:hAnsi="宋体"/>
          <w:i/>
          <w:sz w:val="21"/>
          <w:szCs w:val="21"/>
          <w:u w:val="single"/>
        </w:rPr>
        <w:t>（单位名称）</w:t>
      </w:r>
      <w:r>
        <w:rPr>
          <w:rFonts w:ascii="宋体" w:hAnsi="宋体"/>
          <w:sz w:val="21"/>
          <w:szCs w:val="21"/>
        </w:rPr>
        <w:t>的</w:t>
      </w:r>
      <w:r>
        <w:rPr>
          <w:rFonts w:ascii="宋体" w:hAnsi="宋体"/>
          <w:i/>
          <w:sz w:val="21"/>
          <w:szCs w:val="21"/>
          <w:u w:val="single"/>
        </w:rPr>
        <w:t>（项目名称）</w:t>
      </w:r>
      <w:r>
        <w:rPr>
          <w:rFonts w:ascii="宋体" w:hAnsi="宋体"/>
          <w:sz w:val="21"/>
          <w:szCs w:val="21"/>
        </w:rPr>
        <w:t>采购活动，提供的货物全部由符合政策要求的中小企业制造。相关企业（含联合体中的中小企业、签订分包意向协议的中小企业） 的具体情况如下：</w:t>
      </w:r>
    </w:p>
    <w:p w14:paraId="3554C1BD">
      <w:pPr>
        <w:pStyle w:val="3"/>
        <w:tabs>
          <w:tab w:val="left" w:pos="1183"/>
          <w:tab w:val="left" w:pos="1484"/>
          <w:tab w:val="left" w:pos="4662"/>
          <w:tab w:val="left" w:pos="6903"/>
        </w:tabs>
        <w:spacing w:line="400" w:lineRule="exact"/>
        <w:ind w:left="0"/>
        <w:rPr>
          <w:rFonts w:ascii="宋体" w:hAnsi="宋体"/>
          <w:iCs/>
          <w:szCs w:val="21"/>
        </w:rPr>
      </w:pPr>
      <w:r>
        <w:rPr>
          <w:rFonts w:hint="eastAsia" w:ascii="宋体" w:hAnsi="宋体"/>
          <w:iCs/>
          <w:szCs w:val="21"/>
        </w:rPr>
        <w:t>1.</w:t>
      </w:r>
      <w:r>
        <w:rPr>
          <w:rFonts w:ascii="宋体" w:hAnsi="宋体"/>
          <w:i/>
          <w:szCs w:val="21"/>
          <w:u w:val="single"/>
        </w:rPr>
        <w:t xml:space="preserve"> （ 标 的 名 称 ）</w:t>
      </w:r>
      <w:r>
        <w:rPr>
          <w:rFonts w:ascii="宋体" w:hAnsi="宋体"/>
          <w:iCs/>
          <w:szCs w:val="21"/>
        </w:rPr>
        <w:t xml:space="preserve"> ， 属 于</w:t>
      </w:r>
      <w:r>
        <w:rPr>
          <w:rFonts w:ascii="宋体" w:hAnsi="宋体"/>
          <w:i/>
          <w:kern w:val="0"/>
          <w:szCs w:val="21"/>
          <w:u w:val="single"/>
        </w:rPr>
        <w:t>（采购文件中明确的所属行业）</w:t>
      </w:r>
      <w:r>
        <w:rPr>
          <w:rFonts w:ascii="宋体" w:hAnsi="宋体"/>
          <w:iCs/>
          <w:szCs w:val="21"/>
        </w:rPr>
        <w:t>；制造商为</w:t>
      </w:r>
      <w:r>
        <w:rPr>
          <w:rFonts w:ascii="宋体" w:hAnsi="宋体"/>
          <w:i/>
          <w:szCs w:val="21"/>
          <w:u w:val="single"/>
        </w:rPr>
        <w:t>（企业名称）</w:t>
      </w:r>
      <w:r>
        <w:rPr>
          <w:rFonts w:ascii="宋体" w:hAnsi="宋体"/>
          <w:iCs/>
          <w:szCs w:val="21"/>
        </w:rPr>
        <w:t>，从业人员</w:t>
      </w:r>
      <w:r>
        <w:rPr>
          <w:rFonts w:ascii="宋体" w:hAnsi="宋体"/>
          <w:iCs/>
          <w:szCs w:val="21"/>
          <w:u w:val="single"/>
        </w:rPr>
        <w:t xml:space="preserve"> </w:t>
      </w:r>
      <w:r>
        <w:rPr>
          <w:rFonts w:hint="eastAsia" w:ascii="宋体" w:hAnsi="宋体"/>
          <w:iCs/>
          <w:szCs w:val="21"/>
          <w:u w:val="single"/>
        </w:rPr>
        <w:t xml:space="preserve">   </w:t>
      </w:r>
      <w:r>
        <w:rPr>
          <w:rFonts w:ascii="宋体" w:hAnsi="宋体"/>
          <w:iCs/>
          <w:szCs w:val="21"/>
        </w:rPr>
        <w:t>人，营业收入为</w:t>
      </w:r>
      <w:r>
        <w:rPr>
          <w:rFonts w:ascii="宋体" w:hAnsi="宋体"/>
          <w:iCs/>
          <w:szCs w:val="21"/>
          <w:u w:val="single"/>
        </w:rPr>
        <w:t xml:space="preserve"> </w:t>
      </w:r>
      <w:r>
        <w:rPr>
          <w:rFonts w:hint="eastAsia" w:ascii="宋体" w:hAnsi="宋体"/>
          <w:iCs/>
          <w:szCs w:val="21"/>
          <w:u w:val="single"/>
        </w:rPr>
        <w:t xml:space="preserve">  </w:t>
      </w:r>
      <w:r>
        <w:rPr>
          <w:rFonts w:ascii="宋体" w:hAnsi="宋体"/>
          <w:iCs/>
          <w:szCs w:val="21"/>
        </w:rPr>
        <w:t>万元，资产总额为</w:t>
      </w:r>
      <w:r>
        <w:rPr>
          <w:rFonts w:ascii="宋体" w:hAnsi="宋体"/>
          <w:iCs/>
          <w:szCs w:val="21"/>
          <w:u w:val="single"/>
        </w:rPr>
        <w:t xml:space="preserve"> </w:t>
      </w:r>
      <w:r>
        <w:rPr>
          <w:rFonts w:ascii="宋体" w:hAnsi="宋体"/>
          <w:iCs/>
          <w:szCs w:val="21"/>
          <w:u w:val="single"/>
        </w:rPr>
        <w:tab/>
      </w:r>
      <w:r>
        <w:rPr>
          <w:rFonts w:ascii="宋体" w:hAnsi="宋体"/>
          <w:iCs/>
          <w:szCs w:val="21"/>
        </w:rPr>
        <w:t>万元，属于</w:t>
      </w:r>
      <w:r>
        <w:rPr>
          <w:rFonts w:ascii="宋体" w:hAnsi="宋体"/>
          <w:i/>
          <w:szCs w:val="21"/>
          <w:u w:val="single"/>
        </w:rPr>
        <w:t>（中型企业、小型企业、微型企业）</w:t>
      </w:r>
      <w:r>
        <w:rPr>
          <w:rFonts w:ascii="宋体" w:hAnsi="宋体"/>
          <w:iCs/>
          <w:szCs w:val="21"/>
        </w:rPr>
        <w:t>；</w:t>
      </w:r>
    </w:p>
    <w:p w14:paraId="6E2EC3A7">
      <w:pPr>
        <w:pStyle w:val="3"/>
        <w:tabs>
          <w:tab w:val="left" w:pos="1183"/>
          <w:tab w:val="left" w:pos="1484"/>
          <w:tab w:val="left" w:pos="4662"/>
          <w:tab w:val="left" w:pos="6903"/>
        </w:tabs>
        <w:spacing w:line="400" w:lineRule="exact"/>
        <w:ind w:left="0"/>
        <w:rPr>
          <w:rFonts w:ascii="宋体" w:hAnsi="宋体"/>
          <w:iCs/>
          <w:szCs w:val="21"/>
        </w:rPr>
      </w:pPr>
      <w:r>
        <w:rPr>
          <w:rFonts w:hint="eastAsia" w:ascii="宋体" w:hAnsi="宋体"/>
          <w:iCs/>
          <w:szCs w:val="21"/>
        </w:rPr>
        <w:t>2.</w:t>
      </w:r>
      <w:r>
        <w:rPr>
          <w:rFonts w:ascii="宋体" w:hAnsi="宋体"/>
          <w:i/>
          <w:szCs w:val="21"/>
          <w:u w:val="single"/>
        </w:rPr>
        <w:t xml:space="preserve"> （ 标 的 名 称 ）</w:t>
      </w:r>
      <w:r>
        <w:rPr>
          <w:rFonts w:ascii="宋体" w:hAnsi="宋体"/>
          <w:iCs/>
          <w:szCs w:val="21"/>
        </w:rPr>
        <w:t xml:space="preserve"> ， 属 于</w:t>
      </w:r>
      <w:r>
        <w:rPr>
          <w:rFonts w:ascii="宋体" w:hAnsi="宋体"/>
          <w:i/>
          <w:kern w:val="0"/>
          <w:szCs w:val="21"/>
          <w:u w:val="single"/>
        </w:rPr>
        <w:t>（采购文件中明确的所属行业）</w:t>
      </w:r>
      <w:r>
        <w:rPr>
          <w:rFonts w:ascii="宋体" w:hAnsi="宋体"/>
          <w:iCs/>
          <w:szCs w:val="21"/>
        </w:rPr>
        <w:t>；制造商为</w:t>
      </w:r>
      <w:r>
        <w:rPr>
          <w:rFonts w:ascii="宋体" w:hAnsi="宋体"/>
          <w:i/>
          <w:szCs w:val="21"/>
          <w:u w:val="single"/>
        </w:rPr>
        <w:t>（企业名称）</w:t>
      </w:r>
      <w:r>
        <w:rPr>
          <w:rFonts w:ascii="宋体" w:hAnsi="宋体"/>
          <w:iCs/>
          <w:szCs w:val="21"/>
        </w:rPr>
        <w:t>，从业人员</w:t>
      </w:r>
      <w:r>
        <w:rPr>
          <w:rFonts w:ascii="宋体" w:hAnsi="宋体"/>
          <w:iCs/>
          <w:szCs w:val="21"/>
          <w:u w:val="single"/>
        </w:rPr>
        <w:t xml:space="preserve"> </w:t>
      </w:r>
      <w:r>
        <w:rPr>
          <w:rFonts w:hint="eastAsia" w:ascii="宋体" w:hAnsi="宋体"/>
          <w:iCs/>
          <w:szCs w:val="21"/>
          <w:u w:val="single"/>
        </w:rPr>
        <w:t xml:space="preserve">   </w:t>
      </w:r>
      <w:r>
        <w:rPr>
          <w:rFonts w:ascii="宋体" w:hAnsi="宋体"/>
          <w:iCs/>
          <w:szCs w:val="21"/>
        </w:rPr>
        <w:t>人，营业收入为</w:t>
      </w:r>
      <w:r>
        <w:rPr>
          <w:rFonts w:ascii="宋体" w:hAnsi="宋体"/>
          <w:iCs/>
          <w:szCs w:val="21"/>
          <w:u w:val="single"/>
        </w:rPr>
        <w:t xml:space="preserve"> </w:t>
      </w:r>
      <w:r>
        <w:rPr>
          <w:rFonts w:hint="eastAsia" w:ascii="宋体" w:hAnsi="宋体"/>
          <w:iCs/>
          <w:szCs w:val="21"/>
          <w:u w:val="single"/>
        </w:rPr>
        <w:t xml:space="preserve">  </w:t>
      </w:r>
      <w:r>
        <w:rPr>
          <w:rFonts w:ascii="宋体" w:hAnsi="宋体"/>
          <w:iCs/>
          <w:szCs w:val="21"/>
        </w:rPr>
        <w:t>万元，资产总额为</w:t>
      </w:r>
      <w:r>
        <w:rPr>
          <w:rFonts w:ascii="宋体" w:hAnsi="宋体"/>
          <w:iCs/>
          <w:szCs w:val="21"/>
          <w:u w:val="single"/>
        </w:rPr>
        <w:t xml:space="preserve"> </w:t>
      </w:r>
      <w:r>
        <w:rPr>
          <w:rFonts w:ascii="宋体" w:hAnsi="宋体"/>
          <w:iCs/>
          <w:szCs w:val="21"/>
          <w:u w:val="single"/>
        </w:rPr>
        <w:tab/>
      </w:r>
      <w:r>
        <w:rPr>
          <w:rFonts w:ascii="宋体" w:hAnsi="宋体"/>
          <w:iCs/>
          <w:szCs w:val="21"/>
        </w:rPr>
        <w:t>万元，属于</w:t>
      </w:r>
      <w:r>
        <w:rPr>
          <w:rFonts w:ascii="宋体" w:hAnsi="宋体"/>
          <w:i/>
          <w:szCs w:val="21"/>
          <w:u w:val="single"/>
        </w:rPr>
        <w:t>（中型企业、小型企业、微型企业）</w:t>
      </w:r>
      <w:r>
        <w:rPr>
          <w:rFonts w:ascii="宋体" w:hAnsi="宋体"/>
          <w:iCs/>
          <w:szCs w:val="21"/>
        </w:rPr>
        <w:t>；</w:t>
      </w:r>
    </w:p>
    <w:p w14:paraId="135533E8">
      <w:pPr>
        <w:pStyle w:val="15"/>
        <w:spacing w:after="0" w:line="400" w:lineRule="exact"/>
        <w:ind w:firstLine="420" w:firstLineChars="200"/>
        <w:rPr>
          <w:rFonts w:ascii="宋体" w:hAnsi="宋体"/>
          <w:sz w:val="21"/>
          <w:szCs w:val="21"/>
        </w:rPr>
      </w:pPr>
      <w:r>
        <w:rPr>
          <w:rFonts w:ascii="宋体" w:hAnsi="宋体"/>
          <w:sz w:val="21"/>
          <w:szCs w:val="21"/>
        </w:rPr>
        <w:t>……</w:t>
      </w:r>
    </w:p>
    <w:p w14:paraId="1B706E4E">
      <w:pPr>
        <w:pStyle w:val="15"/>
        <w:spacing w:after="0" w:line="400" w:lineRule="exact"/>
        <w:ind w:firstLine="420" w:firstLineChars="200"/>
        <w:rPr>
          <w:rFonts w:ascii="宋体" w:hAnsi="宋体"/>
          <w:sz w:val="21"/>
          <w:szCs w:val="21"/>
        </w:rPr>
      </w:pPr>
      <w:r>
        <w:rPr>
          <w:rFonts w:ascii="宋体" w:hAnsi="宋体"/>
          <w:sz w:val="21"/>
          <w:szCs w:val="21"/>
        </w:rPr>
        <w:t>以上企业，不属于大企业的分支机构，不存在控股股东为大企业的情形，也不存在与大企业的负责人为同一人的情形。</w:t>
      </w:r>
    </w:p>
    <w:p w14:paraId="4E24FC2D">
      <w:pPr>
        <w:pStyle w:val="15"/>
        <w:spacing w:after="0" w:line="400" w:lineRule="exact"/>
        <w:ind w:firstLine="420" w:firstLineChars="200"/>
        <w:rPr>
          <w:rFonts w:ascii="宋体" w:hAnsi="宋体"/>
          <w:sz w:val="21"/>
          <w:szCs w:val="21"/>
        </w:rPr>
      </w:pPr>
      <w:r>
        <w:rPr>
          <w:rFonts w:ascii="宋体" w:hAnsi="宋体"/>
          <w:sz w:val="21"/>
          <w:szCs w:val="21"/>
        </w:rPr>
        <w:t>本企业对上述声明内容的真实性负责。如有虚假，将依法承担相应责任。</w:t>
      </w:r>
    </w:p>
    <w:p w14:paraId="5A5219FF">
      <w:pPr>
        <w:spacing w:line="400" w:lineRule="exact"/>
        <w:ind w:firstLine="420" w:firstLineChars="200"/>
        <w:rPr>
          <w:rFonts w:ascii="宋体" w:hAnsi="宋体"/>
          <w:sz w:val="21"/>
          <w:szCs w:val="21"/>
        </w:rPr>
      </w:pPr>
      <w:r>
        <w:rPr>
          <w:rFonts w:ascii="宋体" w:hAnsi="宋体"/>
          <w:sz w:val="21"/>
          <w:szCs w:val="21"/>
        </w:rPr>
        <w:t>企业名称（盖章）：</w:t>
      </w:r>
    </w:p>
    <w:p w14:paraId="700EB01D">
      <w:pPr>
        <w:spacing w:line="400" w:lineRule="exact"/>
        <w:ind w:firstLine="420" w:firstLineChars="200"/>
        <w:rPr>
          <w:rFonts w:ascii="宋体" w:hAnsi="宋体"/>
          <w:sz w:val="21"/>
          <w:szCs w:val="21"/>
        </w:rPr>
      </w:pPr>
      <w:r>
        <w:rPr>
          <w:rFonts w:ascii="宋体" w:hAnsi="宋体"/>
          <w:sz w:val="21"/>
          <w:szCs w:val="21"/>
        </w:rPr>
        <w:t>日期：</w:t>
      </w:r>
    </w:p>
    <w:p w14:paraId="1FE55848">
      <w:pPr>
        <w:spacing w:line="225" w:lineRule="exact"/>
        <w:ind w:left="20"/>
        <w:rPr>
          <w:rFonts w:ascii="宋体" w:hAnsi="宋体"/>
          <w:sz w:val="18"/>
        </w:rPr>
      </w:pPr>
    </w:p>
    <w:p w14:paraId="5F0720DF">
      <w:pPr>
        <w:spacing w:line="225" w:lineRule="exact"/>
        <w:ind w:left="20"/>
        <w:rPr>
          <w:rFonts w:ascii="宋体" w:hAnsi="宋体"/>
          <w:sz w:val="18"/>
        </w:rPr>
      </w:pPr>
    </w:p>
    <w:p w14:paraId="297D586C">
      <w:pPr>
        <w:spacing w:line="225" w:lineRule="exact"/>
        <w:ind w:left="20"/>
        <w:rPr>
          <w:rFonts w:ascii="宋体" w:hAnsi="宋体"/>
          <w:sz w:val="18"/>
        </w:rPr>
      </w:pPr>
    </w:p>
    <w:p w14:paraId="35AC753C">
      <w:pPr>
        <w:spacing w:line="225" w:lineRule="exact"/>
        <w:ind w:left="20"/>
        <w:rPr>
          <w:rFonts w:ascii="宋体" w:hAnsi="宋体"/>
          <w:sz w:val="18"/>
        </w:rPr>
      </w:pPr>
    </w:p>
    <w:p w14:paraId="01B5D325">
      <w:pPr>
        <w:spacing w:line="225" w:lineRule="exact"/>
        <w:ind w:left="20"/>
        <w:rPr>
          <w:rFonts w:ascii="宋体" w:hAnsi="宋体"/>
          <w:sz w:val="18"/>
        </w:rPr>
      </w:pPr>
    </w:p>
    <w:p w14:paraId="0EAC59E5">
      <w:pPr>
        <w:spacing w:line="225" w:lineRule="exact"/>
        <w:ind w:left="20"/>
        <w:rPr>
          <w:rFonts w:ascii="宋体" w:hAnsi="宋体"/>
          <w:sz w:val="18"/>
        </w:rPr>
      </w:pPr>
    </w:p>
    <w:p w14:paraId="20788AC4">
      <w:pPr>
        <w:pStyle w:val="15"/>
        <w:spacing w:after="0" w:line="360" w:lineRule="auto"/>
        <w:ind w:firstLine="360" w:firstLineChars="200"/>
        <w:rPr>
          <w:rFonts w:ascii="宋体" w:hAnsi="宋体"/>
          <w:sz w:val="18"/>
        </w:rPr>
      </w:pPr>
      <w:r>
        <w:rPr>
          <w:rFonts w:hint="eastAsia" w:ascii="宋体" w:hAnsi="宋体"/>
          <w:sz w:val="18"/>
        </w:rPr>
        <w:t>注：1.从业人员、营业收入、资产总额填报上一年度数据，无上一年度数据的新成立企业可不填报。</w:t>
      </w:r>
    </w:p>
    <w:p w14:paraId="1F8DD5AF">
      <w:pPr>
        <w:pStyle w:val="15"/>
        <w:spacing w:after="0" w:line="360" w:lineRule="auto"/>
        <w:ind w:firstLine="720" w:firstLineChars="400"/>
        <w:rPr>
          <w:rFonts w:ascii="宋体" w:hAnsi="宋体"/>
          <w:sz w:val="18"/>
        </w:rPr>
      </w:pPr>
      <w:r>
        <w:rPr>
          <w:rFonts w:hint="eastAsia" w:ascii="宋体" w:hAnsi="宋体"/>
          <w:sz w:val="18"/>
        </w:rPr>
        <w:t>2.根据《政府采购促进中小企业发展管理办法》，在货物采购项目中，供应商提供的货物既有中小企业制造货物，也有大型企业制造货物的，不享受本办法规定的中小企业扶持政策。</w:t>
      </w:r>
    </w:p>
    <w:p w14:paraId="397612B7">
      <w:pPr>
        <w:ind w:firstLine="723" w:firstLineChars="400"/>
        <w:rPr>
          <w:rFonts w:ascii="宋体" w:hAnsi="宋体"/>
          <w:b/>
          <w:bCs/>
          <w:sz w:val="18"/>
        </w:rPr>
      </w:pPr>
      <w:r>
        <w:rPr>
          <w:rFonts w:hint="eastAsia" w:ascii="宋体" w:hAnsi="宋体"/>
          <w:b/>
          <w:bCs/>
          <w:sz w:val="18"/>
        </w:rPr>
        <w:t>3.本项目企业划分标准为“工业”行业。</w:t>
      </w:r>
    </w:p>
    <w:p w14:paraId="47C729AA">
      <w:pPr>
        <w:widowControl/>
        <w:numPr>
          <w:ilvl w:val="0"/>
          <w:numId w:val="0"/>
        </w:numPr>
        <w:jc w:val="center"/>
        <w:rPr>
          <w:rFonts w:hint="eastAsia" w:ascii="宋体" w:hAnsi="宋体" w:cs="宋体"/>
          <w:b/>
          <w:bCs/>
          <w:kern w:val="2"/>
          <w:sz w:val="32"/>
          <w:szCs w:val="32"/>
          <w:highlight w:val="none"/>
          <w:lang w:val="en-US" w:eastAsia="zh-CN" w:bidi="ar-SA"/>
        </w:rPr>
        <w:sectPr>
          <w:pgSz w:w="11906" w:h="16838"/>
          <w:pgMar w:top="1418" w:right="1133" w:bottom="993" w:left="1134" w:header="851" w:footer="992" w:gutter="0"/>
          <w:pgNumType w:fmt="decimal"/>
          <w:cols w:space="720" w:num="1"/>
          <w:docGrid w:linePitch="312" w:charSpace="0"/>
        </w:sectPr>
      </w:pPr>
    </w:p>
    <w:p w14:paraId="4C6DBE72">
      <w:pPr>
        <w:spacing w:before="120" w:after="120" w:line="276" w:lineRule="auto"/>
        <w:jc w:val="center"/>
        <w:rPr>
          <w:rFonts w:ascii="宋体" w:hAnsi="宋体" w:cs="仿宋"/>
          <w:b/>
          <w:color w:val="000000"/>
          <w:sz w:val="30"/>
          <w:szCs w:val="30"/>
        </w:rPr>
      </w:pPr>
      <w:r>
        <w:rPr>
          <w:rFonts w:hint="eastAsia" w:ascii="宋体" w:hAnsi="宋体" w:cs="仿宋"/>
          <w:b/>
          <w:color w:val="000000"/>
          <w:sz w:val="30"/>
          <w:szCs w:val="30"/>
        </w:rPr>
        <w:t>残疾人福利性单位声明函</w:t>
      </w:r>
    </w:p>
    <w:p w14:paraId="1F5FE0DD">
      <w:pPr>
        <w:spacing w:line="276" w:lineRule="auto"/>
        <w:jc w:val="center"/>
        <w:rPr>
          <w:rFonts w:ascii="宋体" w:hAnsi="宋体"/>
          <w:szCs w:val="21"/>
          <w:u w:val="single"/>
        </w:rPr>
      </w:pPr>
      <w:r>
        <w:rPr>
          <w:rFonts w:hint="eastAsia" w:ascii="宋体" w:hAnsi="宋体"/>
          <w:szCs w:val="21"/>
          <w:u w:val="single"/>
        </w:rPr>
        <w:t>【不属于残疾人福利性单位的无需填写】</w:t>
      </w:r>
    </w:p>
    <w:p w14:paraId="555BAF3A">
      <w:pPr>
        <w:spacing w:line="276" w:lineRule="auto"/>
        <w:jc w:val="center"/>
        <w:rPr>
          <w:rFonts w:ascii="宋体" w:hAnsi="宋体"/>
          <w:b/>
          <w:spacing w:val="6"/>
          <w:sz w:val="24"/>
        </w:rPr>
      </w:pPr>
    </w:p>
    <w:p w14:paraId="17C6D8DE">
      <w:pPr>
        <w:spacing w:line="276" w:lineRule="auto"/>
        <w:ind w:firstLine="504" w:firstLineChars="200"/>
        <w:rPr>
          <w:rFonts w:ascii="宋体" w:hAnsi="宋体"/>
          <w:spacing w:val="6"/>
          <w:sz w:val="24"/>
        </w:rPr>
      </w:pPr>
      <w:r>
        <w:rPr>
          <w:rFonts w:hint="eastAsia" w:ascii="宋体" w:hAnsi="宋体"/>
          <w:spacing w:val="6"/>
          <w:sz w:val="24"/>
        </w:rPr>
        <w:t>本单位郑重声明，根据《财政部 民政部 中国残疾人联合会关于促进残疾人就业政府采购政策的通知》（财库</w:t>
      </w:r>
      <w:r>
        <w:rPr>
          <w:rFonts w:hint="eastAsia" w:ascii="宋体" w:hAnsi="宋体"/>
          <w:sz w:val="24"/>
        </w:rPr>
        <w:t>〔2017〕141</w:t>
      </w:r>
      <w:r>
        <w:rPr>
          <w:rFonts w:hint="eastAsia" w:ascii="宋体" w:hAnsi="宋体"/>
          <w:spacing w:val="6"/>
          <w:sz w:val="24"/>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4A67E80">
      <w:pPr>
        <w:spacing w:line="276" w:lineRule="auto"/>
        <w:ind w:firstLine="504" w:firstLineChars="200"/>
        <w:rPr>
          <w:rFonts w:ascii="宋体" w:hAnsi="宋体"/>
          <w:spacing w:val="6"/>
          <w:sz w:val="24"/>
        </w:rPr>
      </w:pPr>
      <w:r>
        <w:rPr>
          <w:rFonts w:hint="eastAsia" w:ascii="宋体" w:hAnsi="宋体"/>
          <w:spacing w:val="6"/>
          <w:sz w:val="24"/>
        </w:rPr>
        <w:t>本单位对上述声明的真实性负责。如有虚假，将依法承担相应责任。</w:t>
      </w:r>
    </w:p>
    <w:p w14:paraId="51DF7CA2">
      <w:pPr>
        <w:spacing w:line="276" w:lineRule="auto"/>
        <w:ind w:firstLine="504" w:firstLineChars="200"/>
        <w:rPr>
          <w:rFonts w:ascii="宋体" w:hAnsi="宋体"/>
          <w:spacing w:val="6"/>
          <w:sz w:val="24"/>
        </w:rPr>
      </w:pPr>
    </w:p>
    <w:p w14:paraId="7C7229EC">
      <w:pPr>
        <w:tabs>
          <w:tab w:val="left" w:pos="4860"/>
        </w:tabs>
        <w:spacing w:line="276" w:lineRule="auto"/>
        <w:ind w:right="1560" w:firstLine="504" w:firstLineChars="200"/>
        <w:jc w:val="center"/>
        <w:rPr>
          <w:rFonts w:ascii="宋体" w:hAnsi="宋体"/>
          <w:spacing w:val="6"/>
          <w:sz w:val="24"/>
        </w:rPr>
      </w:pPr>
      <w:r>
        <w:rPr>
          <w:rFonts w:hint="eastAsia" w:ascii="宋体" w:hAnsi="宋体"/>
          <w:spacing w:val="6"/>
          <w:sz w:val="24"/>
        </w:rPr>
        <w:t xml:space="preserve">               单位名称（盖章）：</w:t>
      </w:r>
    </w:p>
    <w:p w14:paraId="62CE6C51">
      <w:pPr>
        <w:tabs>
          <w:tab w:val="left" w:pos="4860"/>
        </w:tabs>
        <w:spacing w:line="276" w:lineRule="auto"/>
        <w:ind w:right="1560" w:firstLine="504" w:firstLineChars="200"/>
        <w:jc w:val="center"/>
        <w:rPr>
          <w:rFonts w:ascii="宋体" w:hAnsi="宋体"/>
          <w:spacing w:val="6"/>
          <w:sz w:val="24"/>
        </w:rPr>
      </w:pPr>
    </w:p>
    <w:p w14:paraId="2E685556">
      <w:pPr>
        <w:tabs>
          <w:tab w:val="left" w:pos="4860"/>
        </w:tabs>
        <w:spacing w:line="276" w:lineRule="auto"/>
        <w:ind w:right="1560" w:firstLine="504" w:firstLineChars="200"/>
        <w:jc w:val="center"/>
        <w:rPr>
          <w:rFonts w:ascii="宋体" w:hAnsi="宋体"/>
          <w:spacing w:val="6"/>
          <w:sz w:val="24"/>
        </w:rPr>
      </w:pPr>
      <w:r>
        <w:rPr>
          <w:rFonts w:hint="eastAsia" w:ascii="宋体" w:hAnsi="宋体"/>
          <w:spacing w:val="6"/>
          <w:sz w:val="24"/>
        </w:rPr>
        <w:t xml:space="preserve">      日  期：</w:t>
      </w:r>
    </w:p>
    <w:p w14:paraId="26B4C3D0">
      <w:pPr>
        <w:pStyle w:val="15"/>
      </w:pPr>
    </w:p>
    <w:p w14:paraId="55F6D370">
      <w:pPr>
        <w:spacing w:line="312" w:lineRule="auto"/>
        <w:jc w:val="center"/>
        <w:rPr>
          <w:rFonts w:ascii="宋体" w:hAnsi="宋体"/>
          <w:b/>
          <w:sz w:val="28"/>
          <w:szCs w:val="28"/>
        </w:rPr>
      </w:pPr>
    </w:p>
    <w:p w14:paraId="4867E502">
      <w:pPr>
        <w:spacing w:line="312" w:lineRule="auto"/>
        <w:jc w:val="center"/>
        <w:rPr>
          <w:rFonts w:ascii="宋体" w:hAnsi="宋体"/>
          <w:b/>
          <w:sz w:val="28"/>
          <w:szCs w:val="28"/>
        </w:rPr>
      </w:pPr>
      <w:r>
        <w:rPr>
          <w:rFonts w:ascii="宋体" w:hAnsi="宋体"/>
          <w:b/>
          <w:sz w:val="28"/>
          <w:szCs w:val="28"/>
        </w:rPr>
        <w:br w:type="page"/>
      </w:r>
    </w:p>
    <w:p w14:paraId="4BC29BCC">
      <w:pPr>
        <w:spacing w:line="312" w:lineRule="auto"/>
        <w:jc w:val="center"/>
        <w:rPr>
          <w:rFonts w:ascii="宋体" w:hAnsi="宋体"/>
          <w:b/>
          <w:sz w:val="28"/>
          <w:szCs w:val="28"/>
        </w:rPr>
      </w:pPr>
    </w:p>
    <w:p w14:paraId="6ADF2DCC">
      <w:pPr>
        <w:jc w:val="center"/>
        <w:rPr>
          <w:rFonts w:ascii="宋体" w:hAnsi="宋体" w:cs="宋体"/>
          <w:b/>
          <w:sz w:val="32"/>
          <w:szCs w:val="32"/>
        </w:rPr>
      </w:pPr>
      <w:r>
        <w:rPr>
          <w:rFonts w:hint="eastAsia" w:ascii="宋体" w:hAnsi="宋体" w:cs="宋体"/>
          <w:b/>
          <w:sz w:val="32"/>
          <w:szCs w:val="32"/>
        </w:rPr>
        <w:t>监狱企业证明文件</w:t>
      </w:r>
    </w:p>
    <w:p w14:paraId="3484EEE3">
      <w:pPr>
        <w:spacing w:line="360" w:lineRule="auto"/>
        <w:jc w:val="center"/>
        <w:rPr>
          <w:rFonts w:ascii="宋体" w:hAnsi="宋体"/>
          <w:b/>
          <w:sz w:val="28"/>
          <w:szCs w:val="28"/>
        </w:rPr>
      </w:pPr>
    </w:p>
    <w:p w14:paraId="5D09FA44">
      <w:pPr>
        <w:spacing w:line="360" w:lineRule="auto"/>
        <w:jc w:val="center"/>
        <w:rPr>
          <w:rFonts w:ascii="宋体" w:hAnsi="宋体"/>
          <w:b/>
          <w:sz w:val="24"/>
        </w:rPr>
      </w:pPr>
      <w:r>
        <w:rPr>
          <w:rFonts w:hint="eastAsia" w:ascii="宋体" w:hAnsi="宋体"/>
          <w:b/>
          <w:sz w:val="24"/>
        </w:rPr>
        <w:t>说明：若是监狱企业则需提供上述省级以上监狱管理局、戒毒管理局（含新疆生产建设兵团）出具的属于监狱企业的证明文件，若不是则不需要提供。</w:t>
      </w:r>
    </w:p>
    <w:p w14:paraId="67C63CD6">
      <w:pPr>
        <w:rPr>
          <w:rFonts w:ascii="宋体" w:hAnsi="宋体"/>
          <w:b/>
          <w:sz w:val="24"/>
        </w:rPr>
      </w:pPr>
      <w:r>
        <w:rPr>
          <w:rFonts w:hint="eastAsia" w:ascii="宋体" w:hAnsi="宋体"/>
          <w:b/>
          <w:sz w:val="24"/>
        </w:rPr>
        <w:br w:type="page"/>
      </w:r>
    </w:p>
    <w:p w14:paraId="3EA9EC05">
      <w:pPr>
        <w:widowControl/>
        <w:numPr>
          <w:ilvl w:val="0"/>
          <w:numId w:val="0"/>
        </w:numPr>
        <w:jc w:val="center"/>
        <w:rPr>
          <w:rFonts w:hint="eastAsia" w:ascii="宋体" w:hAnsi="宋体" w:cs="宋体"/>
          <w:b/>
          <w:bCs/>
          <w:kern w:val="2"/>
          <w:sz w:val="32"/>
          <w:szCs w:val="32"/>
          <w:highlight w:val="none"/>
          <w:lang w:val="en-US" w:eastAsia="zh-CN" w:bidi="ar-SA"/>
        </w:rPr>
        <w:sectPr>
          <w:pgSz w:w="11906" w:h="16838"/>
          <w:pgMar w:top="1418" w:right="1133" w:bottom="993" w:left="1134" w:header="851" w:footer="992" w:gutter="0"/>
          <w:pgNumType w:fmt="decimal"/>
          <w:cols w:space="720" w:num="1"/>
          <w:docGrid w:linePitch="312" w:charSpace="0"/>
        </w:sectPr>
      </w:pPr>
    </w:p>
    <w:p w14:paraId="781EA4D1">
      <w:pPr>
        <w:pStyle w:val="4"/>
        <w:jc w:val="center"/>
        <w:rPr>
          <w:rFonts w:hint="eastAsia" w:ascii="宋体" w:hAnsi="宋体" w:eastAsia="宋体" w:cs="宋体"/>
          <w:highlight w:val="none"/>
        </w:rPr>
      </w:pPr>
      <w:bookmarkStart w:id="293" w:name="_Toc62484166"/>
      <w:r>
        <w:rPr>
          <w:rFonts w:hint="eastAsia" w:ascii="宋体" w:hAnsi="宋体" w:eastAsia="宋体" w:cs="宋体"/>
          <w:highlight w:val="none"/>
        </w:rPr>
        <w:t>九、其他材料</w:t>
      </w:r>
      <w:bookmarkEnd w:id="289"/>
      <w:bookmarkEnd w:id="290"/>
      <w:bookmarkEnd w:id="291"/>
      <w:bookmarkEnd w:id="292"/>
      <w:bookmarkEnd w:id="293"/>
    </w:p>
    <w:p w14:paraId="34234A61">
      <w:pPr>
        <w:spacing w:before="120" w:beforeLines="50" w:after="120" w:afterLines="50" w:line="288" w:lineRule="auto"/>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附：</w:t>
      </w:r>
      <w:r>
        <w:rPr>
          <w:rFonts w:hint="eastAsia" w:ascii="宋体" w:hAnsi="宋体" w:cs="宋体"/>
          <w:szCs w:val="21"/>
          <w:highlight w:val="none"/>
          <w:lang w:eastAsia="zh-CN"/>
        </w:rPr>
        <w:t>采购文件</w:t>
      </w:r>
      <w:r>
        <w:rPr>
          <w:rFonts w:hint="eastAsia" w:ascii="宋体" w:hAnsi="宋体" w:eastAsia="宋体" w:cs="宋体"/>
          <w:szCs w:val="21"/>
          <w:highlight w:val="none"/>
        </w:rPr>
        <w:t>中要求的其他资料以及</w:t>
      </w:r>
      <w:r>
        <w:rPr>
          <w:rFonts w:hint="eastAsia" w:ascii="宋体" w:hAnsi="宋体" w:eastAsia="宋体" w:cs="宋体"/>
          <w:szCs w:val="21"/>
          <w:highlight w:val="none"/>
          <w:lang w:eastAsia="zh-CN"/>
        </w:rPr>
        <w:t>供应商</w:t>
      </w:r>
      <w:r>
        <w:rPr>
          <w:rFonts w:hint="eastAsia" w:ascii="宋体" w:hAnsi="宋体" w:eastAsia="宋体" w:cs="宋体"/>
          <w:szCs w:val="21"/>
          <w:highlight w:val="none"/>
        </w:rPr>
        <w:t>认为有必要提供的其他资料。(如承诺书、网站截图等，格式自拟)。</w:t>
      </w:r>
    </w:p>
    <w:p w14:paraId="3CAC4513">
      <w:pPr>
        <w:spacing w:before="120" w:beforeLines="50" w:after="120" w:afterLines="50" w:line="288" w:lineRule="auto"/>
        <w:ind w:firstLine="420" w:firstLineChars="200"/>
        <w:rPr>
          <w:rFonts w:hint="eastAsia" w:ascii="宋体" w:hAnsi="宋体" w:eastAsia="宋体" w:cs="宋体"/>
          <w:szCs w:val="21"/>
          <w:highlight w:val="none"/>
        </w:rPr>
        <w:sectPr>
          <w:pgSz w:w="11906" w:h="16838"/>
          <w:pgMar w:top="1418" w:right="1133" w:bottom="993" w:left="1134" w:header="851" w:footer="992" w:gutter="0"/>
          <w:pgNumType w:fmt="decimal"/>
          <w:cols w:space="720" w:num="1"/>
          <w:docGrid w:linePitch="312" w:charSpace="0"/>
        </w:sectPr>
      </w:pPr>
    </w:p>
    <w:p w14:paraId="46D448C1">
      <w:pPr>
        <w:shd w:val="clear" w:color="auto" w:fill="FFFFFF"/>
        <w:spacing w:before="120" w:beforeLines="50" w:after="120" w:afterLines="50" w:line="400" w:lineRule="exact"/>
        <w:jc w:val="center"/>
        <w:rPr>
          <w:rFonts w:ascii="宋体" w:hAnsi="宋体" w:cs="宋体"/>
          <w:b/>
          <w:bCs/>
          <w:sz w:val="30"/>
          <w:szCs w:val="30"/>
          <w:shd w:val="clear" w:color="auto" w:fill="FFFFFF"/>
          <w:lang w:bidi="ar"/>
        </w:rPr>
      </w:pPr>
      <w:r>
        <w:rPr>
          <w:rFonts w:hint="eastAsia" w:ascii="宋体" w:hAnsi="宋体" w:cs="宋体"/>
          <w:b/>
          <w:bCs/>
          <w:sz w:val="30"/>
          <w:szCs w:val="30"/>
          <w:shd w:val="clear" w:color="auto" w:fill="FFFFFF"/>
          <w:lang w:bidi="ar"/>
        </w:rPr>
        <w:t>政府采购促进中小企业发展管理办法</w:t>
      </w:r>
    </w:p>
    <w:p w14:paraId="690AD7B7">
      <w:pPr>
        <w:spacing w:beforeAutospacing="1" w:afterAutospacing="1" w:line="288" w:lineRule="auto"/>
        <w:rPr>
          <w:rFonts w:ascii="宋体" w:hAnsi="宋体" w:cs="宋体"/>
          <w:sz w:val="24"/>
          <w:szCs w:val="24"/>
        </w:rPr>
      </w:pPr>
      <w:r>
        <w:rPr>
          <w:rFonts w:hint="eastAsia" w:ascii="宋体" w:hAnsi="宋体" w:cs="宋体"/>
          <w:color w:val="333333"/>
          <w:sz w:val="24"/>
          <w:szCs w:val="24"/>
          <w:lang w:bidi="ar"/>
        </w:rPr>
        <w:t xml:space="preserve">    </w:t>
      </w:r>
      <w:r>
        <w:rPr>
          <w:rStyle w:val="39"/>
          <w:rFonts w:hint="eastAsia" w:ascii="宋体" w:hAnsi="宋体" w:cs="宋体"/>
          <w:bCs w:val="0"/>
          <w:color w:val="333333"/>
          <w:sz w:val="24"/>
          <w:szCs w:val="24"/>
          <w:lang w:bidi="ar"/>
        </w:rPr>
        <w:t>第一条</w:t>
      </w:r>
      <w:r>
        <w:rPr>
          <w:rFonts w:hint="eastAsia" w:ascii="宋体" w:hAnsi="宋体" w:cs="宋体"/>
          <w:color w:val="333333"/>
          <w:sz w:val="24"/>
          <w:szCs w:val="24"/>
          <w:lang w:bidi="ar"/>
        </w:rPr>
        <w:t xml:space="preserve">  为了发挥政府采购的政策功能，促进中小企业健康发展，根据《中华人民共和国政府采购法》、《中华人民共和国中小企业促进法》等有关法律法规，制定本办法。</w:t>
      </w:r>
    </w:p>
    <w:p w14:paraId="1691FC02">
      <w:pPr>
        <w:spacing w:beforeAutospacing="1" w:afterAutospacing="1" w:line="288" w:lineRule="auto"/>
        <w:ind w:firstLine="482" w:firstLineChars="200"/>
        <w:rPr>
          <w:rFonts w:ascii="宋体" w:hAnsi="宋体" w:cs="宋体"/>
          <w:sz w:val="24"/>
          <w:szCs w:val="24"/>
        </w:rPr>
      </w:pPr>
      <w:r>
        <w:rPr>
          <w:rStyle w:val="39"/>
          <w:rFonts w:hint="eastAsia" w:ascii="宋体" w:hAnsi="宋体" w:cs="宋体"/>
          <w:bCs w:val="0"/>
          <w:color w:val="333333"/>
          <w:sz w:val="24"/>
          <w:szCs w:val="24"/>
          <w:lang w:bidi="ar"/>
        </w:rPr>
        <w:t>第二条</w:t>
      </w:r>
      <w:r>
        <w:rPr>
          <w:rFonts w:hint="eastAsia" w:ascii="宋体" w:hAnsi="宋体" w:cs="宋体"/>
          <w:color w:val="333333"/>
          <w:sz w:val="24"/>
          <w:szCs w:val="24"/>
          <w:lang w:bidi="ar"/>
        </w:rPr>
        <w:t xml:space="preserve">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2533031E">
      <w:pPr>
        <w:spacing w:beforeAutospacing="1" w:afterAutospacing="1" w:line="288" w:lineRule="auto"/>
        <w:ind w:firstLine="480" w:firstLineChars="200"/>
        <w:rPr>
          <w:rFonts w:ascii="宋体" w:hAnsi="宋体" w:cs="宋体"/>
          <w:sz w:val="24"/>
          <w:szCs w:val="24"/>
        </w:rPr>
      </w:pPr>
      <w:r>
        <w:rPr>
          <w:rFonts w:hint="eastAsia" w:ascii="宋体" w:hAnsi="宋体" w:cs="宋体"/>
          <w:color w:val="333333"/>
          <w:sz w:val="24"/>
          <w:szCs w:val="24"/>
          <w:lang w:bidi="ar"/>
        </w:rPr>
        <w:t>符合中小企业划分标准的个体工商户，在政府采购活动中视同中小企业。</w:t>
      </w:r>
    </w:p>
    <w:p w14:paraId="7FB3761D">
      <w:pPr>
        <w:spacing w:beforeAutospacing="1" w:afterAutospacing="1" w:line="288" w:lineRule="auto"/>
        <w:rPr>
          <w:rFonts w:ascii="宋体" w:hAnsi="宋体" w:cs="宋体"/>
          <w:sz w:val="24"/>
          <w:szCs w:val="24"/>
        </w:rPr>
      </w:pPr>
      <w:r>
        <w:rPr>
          <w:rFonts w:hint="eastAsia" w:ascii="宋体" w:hAnsi="宋体" w:cs="宋体"/>
          <w:color w:val="333333"/>
          <w:sz w:val="24"/>
          <w:szCs w:val="24"/>
          <w:lang w:bidi="ar"/>
        </w:rPr>
        <w:t xml:space="preserve">   </w:t>
      </w:r>
      <w:r>
        <w:rPr>
          <w:rStyle w:val="39"/>
          <w:rFonts w:hint="eastAsia" w:ascii="宋体" w:hAnsi="宋体" w:cs="宋体"/>
          <w:bCs w:val="0"/>
          <w:color w:val="333333"/>
          <w:sz w:val="24"/>
          <w:szCs w:val="24"/>
          <w:lang w:bidi="ar"/>
        </w:rPr>
        <w:t xml:space="preserve"> 第三条</w:t>
      </w:r>
      <w:r>
        <w:rPr>
          <w:rFonts w:hint="eastAsia" w:ascii="宋体" w:hAnsi="宋体" w:cs="宋体"/>
          <w:color w:val="333333"/>
          <w:sz w:val="24"/>
          <w:szCs w:val="24"/>
          <w:lang w:bidi="ar"/>
        </w:rPr>
        <w:t xml:space="preserve">  采购人在政府采购活动中应当通过加强采购需求管理，落实预留采购份额、价格评审优惠、优先采购等措施，提高中小企业在政府采购中的份额，支持中小企业发展。</w:t>
      </w:r>
    </w:p>
    <w:p w14:paraId="25D4D161">
      <w:pPr>
        <w:spacing w:beforeAutospacing="1" w:afterAutospacing="1" w:line="288" w:lineRule="auto"/>
        <w:ind w:firstLine="482" w:firstLineChars="200"/>
        <w:rPr>
          <w:rFonts w:ascii="宋体" w:hAnsi="宋体" w:cs="宋体"/>
          <w:sz w:val="24"/>
          <w:szCs w:val="24"/>
        </w:rPr>
      </w:pPr>
      <w:r>
        <w:rPr>
          <w:rStyle w:val="39"/>
          <w:rFonts w:hint="eastAsia" w:ascii="宋体" w:hAnsi="宋体" w:cs="宋体"/>
          <w:bCs w:val="0"/>
          <w:color w:val="333333"/>
          <w:sz w:val="24"/>
          <w:szCs w:val="24"/>
          <w:lang w:bidi="ar"/>
        </w:rPr>
        <w:t>第四条</w:t>
      </w:r>
      <w:r>
        <w:rPr>
          <w:rFonts w:hint="eastAsia" w:ascii="宋体" w:hAnsi="宋体" w:cs="宋体"/>
          <w:color w:val="333333"/>
          <w:sz w:val="24"/>
          <w:szCs w:val="24"/>
          <w:lang w:bidi="ar"/>
        </w:rPr>
        <w:t xml:space="preserve">  在政府采购活动中，供应商提供的货物、工程或者服务符合下列情形的，享受本办法规定的中小企业扶持政策：</w:t>
      </w:r>
    </w:p>
    <w:p w14:paraId="7648DB4E">
      <w:pPr>
        <w:spacing w:beforeAutospacing="1" w:afterAutospacing="1" w:line="288" w:lineRule="auto"/>
        <w:ind w:firstLine="480" w:firstLineChars="200"/>
        <w:rPr>
          <w:rFonts w:ascii="宋体" w:hAnsi="宋体" w:cs="宋体"/>
          <w:sz w:val="24"/>
          <w:szCs w:val="24"/>
        </w:rPr>
      </w:pPr>
      <w:r>
        <w:rPr>
          <w:rFonts w:hint="eastAsia" w:ascii="宋体" w:hAnsi="宋体" w:cs="宋体"/>
          <w:color w:val="333333"/>
          <w:sz w:val="24"/>
          <w:szCs w:val="24"/>
          <w:lang w:bidi="ar"/>
        </w:rPr>
        <w:t>（一）在货物采购项目中，货物由中小企业制造，即货物由中小企业生产且使用该中小企业商号或者注册商标；</w:t>
      </w:r>
    </w:p>
    <w:p w14:paraId="0969941B">
      <w:pPr>
        <w:spacing w:beforeAutospacing="1" w:afterAutospacing="1" w:line="288" w:lineRule="auto"/>
        <w:ind w:firstLine="480" w:firstLineChars="200"/>
        <w:rPr>
          <w:rFonts w:ascii="宋体" w:hAnsi="宋体" w:cs="宋体"/>
          <w:sz w:val="24"/>
          <w:szCs w:val="24"/>
        </w:rPr>
      </w:pPr>
      <w:r>
        <w:rPr>
          <w:rFonts w:hint="eastAsia" w:ascii="宋体" w:hAnsi="宋体" w:cs="宋体"/>
          <w:color w:val="333333"/>
          <w:sz w:val="24"/>
          <w:szCs w:val="24"/>
          <w:lang w:bidi="ar"/>
        </w:rPr>
        <w:t>（二）在工程采购项目中，工程由中小企业承建，即工程施工单位为中小企业；</w:t>
      </w:r>
    </w:p>
    <w:p w14:paraId="6E9FA026">
      <w:pPr>
        <w:spacing w:beforeAutospacing="1" w:afterAutospacing="1" w:line="288" w:lineRule="auto"/>
        <w:ind w:firstLine="480" w:firstLineChars="200"/>
        <w:rPr>
          <w:rFonts w:ascii="宋体" w:hAnsi="宋体" w:cs="宋体"/>
          <w:sz w:val="24"/>
          <w:szCs w:val="24"/>
        </w:rPr>
      </w:pPr>
      <w:r>
        <w:rPr>
          <w:rFonts w:hint="eastAsia" w:ascii="宋体" w:hAnsi="宋体" w:cs="宋体"/>
          <w:color w:val="333333"/>
          <w:sz w:val="24"/>
          <w:szCs w:val="24"/>
          <w:lang w:bidi="ar"/>
        </w:rPr>
        <w:t>（三）在服务采购项目中，服务由中小企业承接，即提供服务的人员为中小企业依照《中华人民共和国劳动合同法》订立劳动合同的从业人员。</w:t>
      </w:r>
    </w:p>
    <w:p w14:paraId="59B11CB6">
      <w:pPr>
        <w:spacing w:beforeAutospacing="1" w:afterAutospacing="1" w:line="288" w:lineRule="auto"/>
        <w:ind w:firstLine="480" w:firstLineChars="200"/>
        <w:rPr>
          <w:rFonts w:ascii="宋体" w:hAnsi="宋体" w:cs="宋体"/>
          <w:sz w:val="24"/>
          <w:szCs w:val="24"/>
        </w:rPr>
      </w:pPr>
      <w:r>
        <w:rPr>
          <w:rFonts w:hint="eastAsia" w:ascii="宋体" w:hAnsi="宋体" w:cs="宋体"/>
          <w:color w:val="333333"/>
          <w:sz w:val="24"/>
          <w:szCs w:val="24"/>
          <w:lang w:bidi="ar"/>
        </w:rPr>
        <w:t>在货物采购项目中，供应商提供的货物既有中小企业制造货物，也有大型企业制造货物的，不享受本办法规定的中小企业扶持政策。</w:t>
      </w:r>
    </w:p>
    <w:p w14:paraId="446CC479">
      <w:pPr>
        <w:spacing w:beforeAutospacing="1" w:afterAutospacing="1" w:line="288" w:lineRule="auto"/>
        <w:ind w:firstLine="480" w:firstLineChars="200"/>
        <w:rPr>
          <w:rFonts w:ascii="宋体" w:hAnsi="宋体" w:cs="宋体"/>
          <w:sz w:val="24"/>
          <w:szCs w:val="24"/>
        </w:rPr>
      </w:pPr>
      <w:r>
        <w:rPr>
          <w:rFonts w:hint="eastAsia" w:ascii="宋体" w:hAnsi="宋体" w:cs="宋体"/>
          <w:color w:val="333333"/>
          <w:sz w:val="24"/>
          <w:szCs w:val="24"/>
          <w:lang w:bidi="ar"/>
        </w:rPr>
        <w:t>以联合体形式参加政府采购活动，联合体各方均为中小企业的，联合体视同中小企业。其中，联合体各方均为小微企业的，联合体视同小微企业。</w:t>
      </w:r>
    </w:p>
    <w:p w14:paraId="5BAD97E9">
      <w:pPr>
        <w:spacing w:beforeAutospacing="1" w:afterAutospacing="1" w:line="288" w:lineRule="auto"/>
        <w:ind w:firstLine="482" w:firstLineChars="200"/>
        <w:rPr>
          <w:rFonts w:ascii="宋体" w:hAnsi="宋体" w:cs="宋体"/>
          <w:sz w:val="24"/>
          <w:szCs w:val="24"/>
        </w:rPr>
      </w:pPr>
      <w:r>
        <w:rPr>
          <w:rStyle w:val="39"/>
          <w:rFonts w:hint="eastAsia" w:ascii="宋体" w:hAnsi="宋体" w:cs="宋体"/>
          <w:bCs w:val="0"/>
          <w:color w:val="333333"/>
          <w:sz w:val="24"/>
          <w:szCs w:val="24"/>
          <w:lang w:bidi="ar"/>
        </w:rPr>
        <w:t>第五条</w:t>
      </w:r>
      <w:r>
        <w:rPr>
          <w:rFonts w:hint="eastAsia" w:ascii="宋体" w:hAnsi="宋体" w:cs="宋体"/>
          <w:color w:val="333333"/>
          <w:sz w:val="24"/>
          <w:szCs w:val="24"/>
          <w:lang w:bidi="ar"/>
        </w:rPr>
        <w:t xml:space="preserve">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27217E64">
      <w:pPr>
        <w:spacing w:beforeAutospacing="1" w:afterAutospacing="1" w:line="288" w:lineRule="auto"/>
        <w:ind w:firstLine="482" w:firstLineChars="200"/>
        <w:rPr>
          <w:rFonts w:ascii="宋体" w:hAnsi="宋体" w:cs="宋体"/>
          <w:sz w:val="24"/>
          <w:szCs w:val="24"/>
        </w:rPr>
      </w:pPr>
      <w:r>
        <w:rPr>
          <w:rStyle w:val="39"/>
          <w:rFonts w:hint="eastAsia" w:ascii="宋体" w:hAnsi="宋体" w:cs="宋体"/>
          <w:bCs w:val="0"/>
          <w:color w:val="333333"/>
          <w:sz w:val="24"/>
          <w:szCs w:val="24"/>
          <w:lang w:bidi="ar"/>
        </w:rPr>
        <w:t>第六条</w:t>
      </w:r>
      <w:r>
        <w:rPr>
          <w:rFonts w:hint="eastAsia" w:ascii="宋体" w:hAnsi="宋体" w:cs="宋体"/>
          <w:color w:val="333333"/>
          <w:sz w:val="24"/>
          <w:szCs w:val="24"/>
          <w:lang w:bidi="ar"/>
        </w:rPr>
        <w:t xml:space="preserve">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76FC6A03">
      <w:pPr>
        <w:spacing w:beforeAutospacing="1" w:afterAutospacing="1" w:line="288" w:lineRule="auto"/>
        <w:ind w:firstLine="480" w:firstLineChars="200"/>
        <w:rPr>
          <w:rFonts w:ascii="宋体" w:hAnsi="宋体" w:cs="宋体"/>
          <w:sz w:val="24"/>
          <w:szCs w:val="24"/>
        </w:rPr>
      </w:pPr>
      <w:r>
        <w:rPr>
          <w:rFonts w:hint="eastAsia" w:ascii="宋体" w:hAnsi="宋体" w:cs="宋体"/>
          <w:color w:val="333333"/>
          <w:sz w:val="24"/>
          <w:szCs w:val="24"/>
          <w:lang w:bidi="ar"/>
        </w:rPr>
        <w:t>符合下列情形之一的，可不专门面向中小企业预留采购份额：</w:t>
      </w:r>
    </w:p>
    <w:p w14:paraId="09B1E844">
      <w:pPr>
        <w:spacing w:beforeAutospacing="1" w:afterAutospacing="1" w:line="288" w:lineRule="auto"/>
        <w:ind w:firstLine="480" w:firstLineChars="200"/>
        <w:rPr>
          <w:rFonts w:ascii="宋体" w:hAnsi="宋体" w:cs="宋体"/>
          <w:sz w:val="24"/>
          <w:szCs w:val="24"/>
        </w:rPr>
      </w:pPr>
      <w:r>
        <w:rPr>
          <w:rFonts w:hint="eastAsia" w:ascii="宋体" w:hAnsi="宋体" w:cs="宋体"/>
          <w:color w:val="333333"/>
          <w:sz w:val="24"/>
          <w:szCs w:val="24"/>
          <w:lang w:bidi="ar"/>
        </w:rPr>
        <w:t>（一）法律法规和国家有关政策明确规定优先或者应当面向事业单位、社会组织等非企业主体采购的；</w:t>
      </w:r>
    </w:p>
    <w:p w14:paraId="48ACB776">
      <w:pPr>
        <w:spacing w:beforeAutospacing="1" w:afterAutospacing="1" w:line="288" w:lineRule="auto"/>
        <w:ind w:firstLine="480" w:firstLineChars="200"/>
        <w:rPr>
          <w:rFonts w:ascii="宋体" w:hAnsi="宋体" w:cs="宋体"/>
          <w:sz w:val="24"/>
          <w:szCs w:val="24"/>
        </w:rPr>
      </w:pPr>
      <w:r>
        <w:rPr>
          <w:rFonts w:hint="eastAsia" w:ascii="宋体" w:hAnsi="宋体" w:cs="宋体"/>
          <w:color w:val="333333"/>
          <w:sz w:val="24"/>
          <w:szCs w:val="24"/>
          <w:lang w:bidi="ar"/>
        </w:rPr>
        <w:t>（二）因确需使用不可替代的专利、专有技术，基础设施限制，或者提供特定公共服务等原因，只能从中小企业之外的供应商处采购的；</w:t>
      </w:r>
    </w:p>
    <w:p w14:paraId="3A328CBE">
      <w:pPr>
        <w:spacing w:beforeAutospacing="1" w:afterAutospacing="1" w:line="288" w:lineRule="auto"/>
        <w:ind w:firstLine="480" w:firstLineChars="200"/>
        <w:rPr>
          <w:rFonts w:ascii="宋体" w:hAnsi="宋体" w:cs="宋体"/>
          <w:sz w:val="24"/>
          <w:szCs w:val="24"/>
        </w:rPr>
      </w:pPr>
      <w:r>
        <w:rPr>
          <w:rFonts w:hint="eastAsia" w:ascii="宋体" w:hAnsi="宋体" w:cs="宋体"/>
          <w:color w:val="333333"/>
          <w:sz w:val="24"/>
          <w:szCs w:val="24"/>
          <w:lang w:bidi="ar"/>
        </w:rPr>
        <w:t>（三）按照本办法规定预留采购份额无法确保充分供应、充分竞争，或者存在可能影响政府采购目标实现的情形；</w:t>
      </w:r>
    </w:p>
    <w:p w14:paraId="6E53B8CB">
      <w:pPr>
        <w:spacing w:beforeAutospacing="1" w:afterAutospacing="1" w:line="288" w:lineRule="auto"/>
        <w:ind w:firstLine="480" w:firstLineChars="200"/>
        <w:rPr>
          <w:rFonts w:ascii="宋体" w:hAnsi="宋体" w:cs="宋体"/>
          <w:sz w:val="24"/>
          <w:szCs w:val="24"/>
        </w:rPr>
      </w:pPr>
      <w:r>
        <w:rPr>
          <w:rFonts w:hint="eastAsia" w:ascii="宋体" w:hAnsi="宋体" w:cs="宋体"/>
          <w:color w:val="333333"/>
          <w:sz w:val="24"/>
          <w:szCs w:val="24"/>
          <w:lang w:bidi="ar"/>
        </w:rPr>
        <w:t>（四）框架协议采购项目；</w:t>
      </w:r>
    </w:p>
    <w:p w14:paraId="14F2E309">
      <w:pPr>
        <w:spacing w:beforeAutospacing="1" w:afterAutospacing="1" w:line="288" w:lineRule="auto"/>
        <w:ind w:firstLine="480" w:firstLineChars="200"/>
        <w:rPr>
          <w:rFonts w:ascii="宋体" w:hAnsi="宋体" w:cs="宋体"/>
          <w:sz w:val="24"/>
          <w:szCs w:val="24"/>
        </w:rPr>
      </w:pPr>
      <w:r>
        <w:rPr>
          <w:rFonts w:hint="eastAsia" w:ascii="宋体" w:hAnsi="宋体" w:cs="宋体"/>
          <w:color w:val="333333"/>
          <w:sz w:val="24"/>
          <w:szCs w:val="24"/>
          <w:lang w:bidi="ar"/>
        </w:rPr>
        <w:t>（五）省级以上人民政府财政部门规定的其他情形。</w:t>
      </w:r>
    </w:p>
    <w:p w14:paraId="758F5AFF">
      <w:pPr>
        <w:spacing w:beforeAutospacing="1" w:afterAutospacing="1" w:line="288" w:lineRule="auto"/>
        <w:ind w:firstLine="480" w:firstLineChars="200"/>
        <w:rPr>
          <w:rFonts w:ascii="宋体" w:hAnsi="宋体" w:cs="宋体"/>
          <w:sz w:val="24"/>
          <w:szCs w:val="24"/>
        </w:rPr>
      </w:pPr>
      <w:r>
        <w:rPr>
          <w:rFonts w:hint="eastAsia" w:ascii="宋体" w:hAnsi="宋体" w:cs="宋体"/>
          <w:color w:val="333333"/>
          <w:sz w:val="24"/>
          <w:szCs w:val="24"/>
          <w:lang w:bidi="ar"/>
        </w:rPr>
        <w:t>除上述情形外，其他均为适宜由中小企业提供的情形。</w:t>
      </w:r>
    </w:p>
    <w:p w14:paraId="622414ED">
      <w:pPr>
        <w:spacing w:beforeAutospacing="1" w:afterAutospacing="1" w:line="288" w:lineRule="auto"/>
        <w:ind w:firstLine="482" w:firstLineChars="200"/>
        <w:rPr>
          <w:rFonts w:ascii="宋体" w:hAnsi="宋体" w:cs="宋体"/>
          <w:sz w:val="24"/>
          <w:szCs w:val="24"/>
        </w:rPr>
      </w:pPr>
      <w:r>
        <w:rPr>
          <w:rStyle w:val="39"/>
          <w:rFonts w:hint="eastAsia" w:ascii="宋体" w:hAnsi="宋体" w:cs="宋体"/>
          <w:bCs w:val="0"/>
          <w:color w:val="333333"/>
          <w:sz w:val="24"/>
          <w:szCs w:val="24"/>
          <w:lang w:bidi="ar"/>
        </w:rPr>
        <w:t>第七条</w:t>
      </w:r>
      <w:r>
        <w:rPr>
          <w:rFonts w:hint="eastAsia" w:ascii="宋体" w:hAnsi="宋体" w:cs="宋体"/>
          <w:color w:val="333333"/>
          <w:sz w:val="24"/>
          <w:szCs w:val="24"/>
          <w:lang w:bidi="ar"/>
        </w:rPr>
        <w:t xml:space="preserve">  采购限额标准以上，200 万元以下的货物和服务采购项目、400 万元以下的工程采购项目，适宜由中小企业提供的，采购人应当专门面向中小企业采购。</w:t>
      </w:r>
    </w:p>
    <w:p w14:paraId="6DDFAC55">
      <w:pPr>
        <w:spacing w:beforeAutospacing="1" w:afterAutospacing="1" w:line="288" w:lineRule="auto"/>
        <w:ind w:firstLine="482" w:firstLineChars="200"/>
        <w:rPr>
          <w:rFonts w:ascii="宋体" w:hAnsi="宋体" w:cs="宋体"/>
          <w:sz w:val="24"/>
          <w:szCs w:val="24"/>
        </w:rPr>
      </w:pPr>
      <w:r>
        <w:rPr>
          <w:rStyle w:val="39"/>
          <w:rFonts w:hint="eastAsia" w:ascii="宋体" w:hAnsi="宋体" w:cs="宋体"/>
          <w:bCs w:val="0"/>
          <w:color w:val="333333"/>
          <w:sz w:val="24"/>
          <w:szCs w:val="24"/>
          <w:lang w:bidi="ar"/>
        </w:rPr>
        <w:t>第八条</w:t>
      </w:r>
      <w:r>
        <w:rPr>
          <w:rFonts w:hint="eastAsia" w:ascii="宋体" w:hAnsi="宋体" w:cs="宋体"/>
          <w:color w:val="333333"/>
          <w:sz w:val="24"/>
          <w:szCs w:val="24"/>
          <w:lang w:bidi="ar"/>
        </w:rPr>
        <w:t xml:space="preserve">  超过200 万元的货物和服务采购项目、超过400 万元的工程采购项目中适宜由中小企业提供的，预留该部分采购项目预算总额的30%以上专门面向中小企业采购，其中预留给小微企业的比例不低于60%。预留份额通过下列措施进行：</w:t>
      </w:r>
    </w:p>
    <w:p w14:paraId="1B3D7223">
      <w:pPr>
        <w:spacing w:beforeAutospacing="1" w:afterAutospacing="1" w:line="288" w:lineRule="auto"/>
        <w:ind w:firstLine="480" w:firstLineChars="200"/>
        <w:rPr>
          <w:rFonts w:ascii="宋体" w:hAnsi="宋体" w:cs="宋体"/>
          <w:sz w:val="24"/>
          <w:szCs w:val="24"/>
        </w:rPr>
      </w:pPr>
      <w:r>
        <w:rPr>
          <w:rFonts w:hint="eastAsia" w:ascii="宋体" w:hAnsi="宋体" w:cs="宋体"/>
          <w:color w:val="333333"/>
          <w:sz w:val="24"/>
          <w:szCs w:val="24"/>
          <w:lang w:bidi="ar"/>
        </w:rPr>
        <w:t>（一）将采购项目整体或者设置采购包专门面向中小企业采购；</w:t>
      </w:r>
    </w:p>
    <w:p w14:paraId="0152C85F">
      <w:pPr>
        <w:spacing w:beforeAutospacing="1" w:afterAutospacing="1" w:line="288" w:lineRule="auto"/>
        <w:ind w:firstLine="480" w:firstLineChars="200"/>
        <w:rPr>
          <w:rFonts w:ascii="宋体" w:hAnsi="宋体" w:cs="宋体"/>
          <w:sz w:val="24"/>
          <w:szCs w:val="24"/>
        </w:rPr>
      </w:pPr>
      <w:r>
        <w:rPr>
          <w:rFonts w:hint="eastAsia" w:ascii="宋体" w:hAnsi="宋体" w:cs="宋体"/>
          <w:color w:val="333333"/>
          <w:sz w:val="24"/>
          <w:szCs w:val="24"/>
          <w:lang w:bidi="ar"/>
        </w:rPr>
        <w:t>（二）要求供应商以联合体形式参加采购活动，且联合体中中小企业承担的部分达到一定比例；</w:t>
      </w:r>
    </w:p>
    <w:p w14:paraId="3497C9C9">
      <w:pPr>
        <w:spacing w:beforeAutospacing="1" w:afterAutospacing="1" w:line="288" w:lineRule="auto"/>
        <w:ind w:firstLine="480" w:firstLineChars="200"/>
        <w:rPr>
          <w:rFonts w:ascii="宋体" w:hAnsi="宋体" w:cs="宋体"/>
          <w:sz w:val="24"/>
          <w:szCs w:val="24"/>
        </w:rPr>
      </w:pPr>
      <w:r>
        <w:rPr>
          <w:rFonts w:hint="eastAsia" w:ascii="宋体" w:hAnsi="宋体" w:cs="宋体"/>
          <w:color w:val="333333"/>
          <w:sz w:val="24"/>
          <w:szCs w:val="24"/>
          <w:lang w:bidi="ar"/>
        </w:rPr>
        <w:t>（三）要求获得采购合同的供应商将采购项目中的一定比例分包给一家或者多家中小企业。</w:t>
      </w:r>
    </w:p>
    <w:p w14:paraId="53B7D33B">
      <w:pPr>
        <w:spacing w:beforeAutospacing="1" w:afterAutospacing="1" w:line="288" w:lineRule="auto"/>
        <w:ind w:firstLine="480" w:firstLineChars="200"/>
        <w:rPr>
          <w:rFonts w:ascii="宋体" w:hAnsi="宋体" w:cs="宋体"/>
          <w:sz w:val="24"/>
          <w:szCs w:val="24"/>
        </w:rPr>
      </w:pPr>
      <w:r>
        <w:rPr>
          <w:rFonts w:hint="eastAsia" w:ascii="宋体" w:hAnsi="宋体" w:cs="宋体"/>
          <w:color w:val="333333"/>
          <w:sz w:val="24"/>
          <w:szCs w:val="24"/>
          <w:lang w:bidi="ar"/>
        </w:rPr>
        <w:t>组成联合体或者接受分包合同的中小企业与联合体内其他企业、分包企业之间不得存在直接控股、管理关系。</w:t>
      </w:r>
    </w:p>
    <w:p w14:paraId="48A61BCE">
      <w:pPr>
        <w:spacing w:beforeAutospacing="1" w:afterAutospacing="1" w:line="288" w:lineRule="auto"/>
        <w:ind w:firstLine="482" w:firstLineChars="200"/>
        <w:rPr>
          <w:rFonts w:ascii="宋体" w:hAnsi="宋体" w:cs="宋体"/>
          <w:sz w:val="24"/>
          <w:szCs w:val="24"/>
        </w:rPr>
      </w:pPr>
      <w:r>
        <w:rPr>
          <w:rStyle w:val="39"/>
          <w:rFonts w:hint="eastAsia" w:ascii="宋体" w:hAnsi="宋体" w:cs="宋体"/>
          <w:bCs w:val="0"/>
          <w:color w:val="333333"/>
          <w:sz w:val="24"/>
          <w:szCs w:val="24"/>
          <w:lang w:bidi="ar"/>
        </w:rPr>
        <w:t>第九条</w:t>
      </w:r>
      <w:r>
        <w:rPr>
          <w:rFonts w:hint="eastAsia" w:ascii="宋体" w:hAnsi="宋体" w:cs="宋体"/>
          <w:color w:val="333333"/>
          <w:sz w:val="24"/>
          <w:szCs w:val="24"/>
          <w:lang w:bidi="ar"/>
        </w:rPr>
        <w:t xml:space="preserve">  对于经主管预算单位统筹后未预留份额专门面向中小企业采购的采购项目，以及预留份额项目中的非预留部分采购包，采购人、采购代理机构应当对符合本办法规定的小微企业报价给予 6%—10%（工程项目为 3%—5%）的扣除，用扣除后的价格参加评审。适用招标投标法的政府采购工程建设项目，采用综合评估法但未采用低价优先法计算价格分的，评标时应当在采用原报价进行评分的基础上增加其价格得分的 3%—5%作为其价格分。</w:t>
      </w:r>
    </w:p>
    <w:p w14:paraId="69323099">
      <w:pPr>
        <w:spacing w:beforeAutospacing="1" w:afterAutospacing="1" w:line="288" w:lineRule="auto"/>
        <w:ind w:firstLine="480" w:firstLineChars="200"/>
        <w:rPr>
          <w:rFonts w:ascii="宋体" w:hAnsi="宋体" w:cs="宋体"/>
          <w:sz w:val="24"/>
          <w:szCs w:val="24"/>
        </w:rPr>
      </w:pPr>
      <w:r>
        <w:rPr>
          <w:rFonts w:hint="eastAsia" w:ascii="宋体" w:hAnsi="宋体" w:cs="宋体"/>
          <w:color w:val="333333"/>
          <w:sz w:val="24"/>
          <w:szCs w:val="24"/>
          <w:lang w:bidi="ar"/>
        </w:rPr>
        <w:t>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 2%-3%（工程项目为 1%—2%）的扣除，用扣除后的价格参加评审。适用招标投标法的政府采购工程建设项目，采用综合评估法但未采用低价优先法计算价格分的，评标时应当在采用原报价进行评分的基础上增加其价格得分的 1%—2%作为其价格分。组成联合体或者接受分包的小微企业与联合体内其他企业、分包企业之间存在直接控股、管理关系的，不享受价格扣除优惠政策。</w:t>
      </w:r>
    </w:p>
    <w:p w14:paraId="02A96C50">
      <w:pPr>
        <w:spacing w:beforeAutospacing="1" w:afterAutospacing="1" w:line="288" w:lineRule="auto"/>
        <w:ind w:firstLine="480" w:firstLineChars="200"/>
        <w:rPr>
          <w:rFonts w:ascii="宋体" w:hAnsi="宋体" w:cs="宋体"/>
          <w:sz w:val="24"/>
          <w:szCs w:val="24"/>
        </w:rPr>
      </w:pPr>
      <w:r>
        <w:rPr>
          <w:rFonts w:hint="eastAsia" w:ascii="宋体" w:hAnsi="宋体" w:cs="宋体"/>
          <w:color w:val="333333"/>
          <w:sz w:val="24"/>
          <w:szCs w:val="24"/>
          <w:lang w:bidi="ar"/>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1DC9276C">
      <w:pPr>
        <w:spacing w:beforeAutospacing="1" w:afterAutospacing="1" w:line="288" w:lineRule="auto"/>
        <w:ind w:firstLine="482" w:firstLineChars="200"/>
        <w:rPr>
          <w:rFonts w:ascii="宋体" w:hAnsi="宋体" w:cs="宋体"/>
          <w:sz w:val="24"/>
          <w:szCs w:val="24"/>
        </w:rPr>
      </w:pPr>
      <w:r>
        <w:rPr>
          <w:rStyle w:val="39"/>
          <w:rFonts w:hint="eastAsia" w:ascii="宋体" w:hAnsi="宋体" w:cs="宋体"/>
          <w:bCs w:val="0"/>
          <w:color w:val="333333"/>
          <w:sz w:val="24"/>
          <w:szCs w:val="24"/>
          <w:lang w:bidi="ar"/>
        </w:rPr>
        <w:t>第十条</w:t>
      </w:r>
      <w:r>
        <w:rPr>
          <w:rFonts w:hint="eastAsia" w:ascii="宋体" w:hAnsi="宋体" w:cs="宋体"/>
          <w:color w:val="333333"/>
          <w:sz w:val="24"/>
          <w:szCs w:val="24"/>
          <w:lang w:bidi="ar"/>
        </w:rPr>
        <w:t xml:space="preserve">  采购人应当严格按照本办法规定和主管预算单位制定的预留采购份额具体方案开展采购活动。预留份额的采购项目或者采购包，通过发布公告方式邀请供应商后，符合资格条件的中小企业数量不足 3 家的，应当中止采购活动，视同未预留份额的采购项目或者采购包，按照本办法第九条有关规定重新组织采购活动。</w:t>
      </w:r>
    </w:p>
    <w:p w14:paraId="706AD49D">
      <w:pPr>
        <w:spacing w:beforeAutospacing="1" w:afterAutospacing="1" w:line="288" w:lineRule="auto"/>
        <w:ind w:firstLine="482" w:firstLineChars="200"/>
        <w:rPr>
          <w:rFonts w:ascii="宋体" w:hAnsi="宋体" w:cs="宋体"/>
          <w:sz w:val="24"/>
          <w:szCs w:val="24"/>
        </w:rPr>
      </w:pPr>
      <w:r>
        <w:rPr>
          <w:rStyle w:val="39"/>
          <w:rFonts w:hint="eastAsia" w:ascii="宋体" w:hAnsi="宋体" w:cs="宋体"/>
          <w:bCs w:val="0"/>
          <w:color w:val="333333"/>
          <w:sz w:val="24"/>
          <w:szCs w:val="24"/>
          <w:lang w:bidi="ar"/>
        </w:rPr>
        <w:t>第十一条</w:t>
      </w:r>
      <w:r>
        <w:rPr>
          <w:rFonts w:hint="eastAsia" w:ascii="宋体" w:hAnsi="宋体" w:cs="宋体"/>
          <w:color w:val="333333"/>
          <w:sz w:val="24"/>
          <w:szCs w:val="24"/>
          <w:lang w:bidi="ar"/>
        </w:rPr>
        <w:t xml:space="preserve">  中小企业参加政府采购活动，应当出具本办法规定的《中小企业声明函》（附1），否则不得享受相关中小企业扶持政策。任何单位和个人不得要求供应商提供《中小企业声明函》之外的中小企业身份证明文件。</w:t>
      </w:r>
    </w:p>
    <w:p w14:paraId="3AAD93D1">
      <w:pPr>
        <w:spacing w:beforeAutospacing="1" w:afterAutospacing="1" w:line="288" w:lineRule="auto"/>
        <w:ind w:firstLine="482" w:firstLineChars="200"/>
        <w:rPr>
          <w:rFonts w:ascii="宋体" w:hAnsi="宋体" w:cs="宋体"/>
          <w:sz w:val="24"/>
          <w:szCs w:val="24"/>
        </w:rPr>
      </w:pPr>
      <w:r>
        <w:rPr>
          <w:rStyle w:val="39"/>
          <w:rFonts w:hint="eastAsia" w:ascii="宋体" w:hAnsi="宋体" w:cs="宋体"/>
          <w:bCs w:val="0"/>
          <w:color w:val="333333"/>
          <w:sz w:val="24"/>
          <w:szCs w:val="24"/>
          <w:lang w:bidi="ar"/>
        </w:rPr>
        <w:t>第十二条</w:t>
      </w:r>
      <w:r>
        <w:rPr>
          <w:rFonts w:hint="eastAsia" w:ascii="宋体" w:hAnsi="宋体" w:cs="宋体"/>
          <w:color w:val="333333"/>
          <w:sz w:val="24"/>
          <w:szCs w:val="24"/>
          <w:lang w:bidi="ar"/>
        </w:rPr>
        <w:t xml:space="preserve">  采购项目涉及中小企业采购的，采购文件应当明确以下内容：</w:t>
      </w:r>
    </w:p>
    <w:p w14:paraId="38795B5C">
      <w:pPr>
        <w:spacing w:beforeAutospacing="1" w:afterAutospacing="1" w:line="288" w:lineRule="auto"/>
        <w:ind w:firstLine="480" w:firstLineChars="200"/>
        <w:rPr>
          <w:rFonts w:ascii="宋体" w:hAnsi="宋体" w:cs="宋体"/>
          <w:sz w:val="24"/>
          <w:szCs w:val="24"/>
        </w:rPr>
      </w:pPr>
      <w:r>
        <w:rPr>
          <w:rFonts w:hint="eastAsia" w:ascii="宋体" w:hAnsi="宋体" w:cs="宋体"/>
          <w:color w:val="333333"/>
          <w:sz w:val="24"/>
          <w:szCs w:val="24"/>
          <w:lang w:bidi="ar"/>
        </w:rPr>
        <w:t>（一）预留份额的采购项目或者采购包，明确该项目或相关采购包专门面向中小企业采购，以及相关标的及预算金额；</w:t>
      </w:r>
    </w:p>
    <w:p w14:paraId="1F6A821A">
      <w:pPr>
        <w:spacing w:beforeAutospacing="1" w:afterAutospacing="1" w:line="288" w:lineRule="auto"/>
        <w:ind w:firstLine="480" w:firstLineChars="200"/>
        <w:rPr>
          <w:rFonts w:ascii="宋体" w:hAnsi="宋体" w:cs="宋体"/>
          <w:sz w:val="24"/>
          <w:szCs w:val="24"/>
        </w:rPr>
      </w:pPr>
      <w:r>
        <w:rPr>
          <w:rFonts w:hint="eastAsia" w:ascii="宋体" w:hAnsi="宋体" w:cs="宋体"/>
          <w:color w:val="333333"/>
          <w:sz w:val="24"/>
          <w:szCs w:val="24"/>
          <w:lang w:bidi="ar"/>
        </w:rPr>
        <w:t>（二）要求以联合体形式参加或者合同分包的，明确联合协议或者分包意向协议中中小企业合同金额应当达到的比例，并作为供应商资格条件；</w:t>
      </w:r>
    </w:p>
    <w:p w14:paraId="2741066B">
      <w:pPr>
        <w:spacing w:beforeAutospacing="1" w:afterAutospacing="1" w:line="288" w:lineRule="auto"/>
        <w:ind w:firstLine="480" w:firstLineChars="200"/>
        <w:rPr>
          <w:rFonts w:ascii="宋体" w:hAnsi="宋体" w:cs="宋体"/>
          <w:sz w:val="24"/>
          <w:szCs w:val="24"/>
        </w:rPr>
      </w:pPr>
      <w:r>
        <w:rPr>
          <w:rFonts w:hint="eastAsia" w:ascii="宋体" w:hAnsi="宋体" w:cs="宋体"/>
          <w:color w:val="333333"/>
          <w:sz w:val="24"/>
          <w:szCs w:val="24"/>
          <w:lang w:bidi="ar"/>
        </w:rPr>
        <w:t>（三）非预留份额的采购项目或者采购包，明确有关价格扣除比例或者价格分加分比例；</w:t>
      </w:r>
    </w:p>
    <w:p w14:paraId="45570CCF">
      <w:pPr>
        <w:spacing w:beforeAutospacing="1" w:afterAutospacing="1" w:line="288" w:lineRule="auto"/>
        <w:ind w:firstLine="480" w:firstLineChars="200"/>
        <w:rPr>
          <w:rFonts w:ascii="宋体" w:hAnsi="宋体" w:cs="宋体"/>
          <w:sz w:val="24"/>
          <w:szCs w:val="24"/>
        </w:rPr>
      </w:pPr>
      <w:r>
        <w:rPr>
          <w:rFonts w:hint="eastAsia" w:ascii="宋体" w:hAnsi="宋体" w:cs="宋体"/>
          <w:color w:val="333333"/>
          <w:sz w:val="24"/>
          <w:szCs w:val="24"/>
          <w:lang w:bidi="ar"/>
        </w:rPr>
        <w:t>（四）规定依据本办法规定享受扶持政策获得政府采购合同的，小微企业不得将合同分包给大中型企业，中型企业不得将合同分包给大型企业；</w:t>
      </w:r>
    </w:p>
    <w:p w14:paraId="76A56DDE">
      <w:pPr>
        <w:spacing w:beforeAutospacing="1" w:afterAutospacing="1" w:line="288" w:lineRule="auto"/>
        <w:ind w:firstLine="480" w:firstLineChars="200"/>
        <w:rPr>
          <w:rFonts w:ascii="宋体" w:hAnsi="宋体" w:cs="宋体"/>
          <w:sz w:val="24"/>
          <w:szCs w:val="24"/>
        </w:rPr>
      </w:pPr>
      <w:r>
        <w:rPr>
          <w:rFonts w:hint="eastAsia" w:ascii="宋体" w:hAnsi="宋体" w:cs="宋体"/>
          <w:color w:val="333333"/>
          <w:sz w:val="24"/>
          <w:szCs w:val="24"/>
          <w:lang w:bidi="ar"/>
        </w:rPr>
        <w:t>（五）采购人认为具备相关条件的，明确对中小企业在资金支付期限、预付款比例等方面的优惠措施；</w:t>
      </w:r>
    </w:p>
    <w:p w14:paraId="1A7ABDB8">
      <w:pPr>
        <w:spacing w:beforeAutospacing="1" w:afterAutospacing="1" w:line="288" w:lineRule="auto"/>
        <w:ind w:firstLine="480" w:firstLineChars="200"/>
        <w:rPr>
          <w:rFonts w:ascii="宋体" w:hAnsi="宋体" w:cs="宋体"/>
          <w:sz w:val="24"/>
          <w:szCs w:val="24"/>
        </w:rPr>
      </w:pPr>
      <w:r>
        <w:rPr>
          <w:rFonts w:hint="eastAsia" w:ascii="宋体" w:hAnsi="宋体" w:cs="宋体"/>
          <w:color w:val="333333"/>
          <w:sz w:val="24"/>
          <w:szCs w:val="24"/>
          <w:lang w:bidi="ar"/>
        </w:rPr>
        <w:t>（六）明确采购标的对应的中小企业划分标准所属行业；</w:t>
      </w:r>
    </w:p>
    <w:p w14:paraId="10AA66AC">
      <w:pPr>
        <w:spacing w:beforeAutospacing="1" w:afterAutospacing="1" w:line="288" w:lineRule="auto"/>
        <w:ind w:firstLine="480" w:firstLineChars="200"/>
        <w:rPr>
          <w:rFonts w:ascii="宋体" w:hAnsi="宋体" w:cs="宋体"/>
          <w:sz w:val="24"/>
          <w:szCs w:val="24"/>
        </w:rPr>
      </w:pPr>
      <w:r>
        <w:rPr>
          <w:rFonts w:hint="eastAsia" w:ascii="宋体" w:hAnsi="宋体" w:cs="宋体"/>
          <w:color w:val="333333"/>
          <w:sz w:val="24"/>
          <w:szCs w:val="24"/>
          <w:lang w:bidi="ar"/>
        </w:rPr>
        <w:t>（七）法律法规和省级以上人民政府财政部门规定的其他事项。</w:t>
      </w:r>
    </w:p>
    <w:p w14:paraId="353DCC75">
      <w:pPr>
        <w:spacing w:beforeAutospacing="1" w:afterAutospacing="1" w:line="288" w:lineRule="auto"/>
        <w:ind w:firstLine="482" w:firstLineChars="200"/>
        <w:rPr>
          <w:rFonts w:ascii="宋体" w:hAnsi="宋体" w:cs="宋体"/>
          <w:sz w:val="24"/>
          <w:szCs w:val="24"/>
        </w:rPr>
      </w:pPr>
      <w:r>
        <w:rPr>
          <w:rStyle w:val="39"/>
          <w:rFonts w:hint="eastAsia" w:ascii="宋体" w:hAnsi="宋体" w:cs="宋体"/>
          <w:bCs w:val="0"/>
          <w:color w:val="333333"/>
          <w:sz w:val="24"/>
          <w:szCs w:val="24"/>
          <w:lang w:bidi="ar"/>
        </w:rPr>
        <w:t>第十三条</w:t>
      </w:r>
      <w:r>
        <w:rPr>
          <w:rFonts w:hint="eastAsia" w:ascii="宋体" w:hAnsi="宋体" w:cs="宋体"/>
          <w:color w:val="333333"/>
          <w:sz w:val="24"/>
          <w:szCs w:val="24"/>
          <w:lang w:bidi="ar"/>
        </w:rPr>
        <w:t xml:space="preserve">  中标、成交供应商享受本办法规定的中小企业扶持政策的，采购人、采购代理机构应当随中标、成交结果公开中标、成交供应商的《中小企业声明函》。</w:t>
      </w:r>
    </w:p>
    <w:p w14:paraId="67A4A99F">
      <w:pPr>
        <w:spacing w:beforeAutospacing="1" w:afterAutospacing="1" w:line="288" w:lineRule="auto"/>
        <w:ind w:firstLine="480" w:firstLineChars="200"/>
        <w:rPr>
          <w:rFonts w:ascii="宋体" w:hAnsi="宋体" w:cs="宋体"/>
          <w:sz w:val="24"/>
          <w:szCs w:val="24"/>
        </w:rPr>
      </w:pPr>
      <w:r>
        <w:rPr>
          <w:rFonts w:hint="eastAsia" w:ascii="宋体" w:hAnsi="宋体" w:cs="宋体"/>
          <w:color w:val="333333"/>
          <w:sz w:val="24"/>
          <w:szCs w:val="24"/>
          <w:lang w:bidi="ar"/>
        </w:rPr>
        <w:t>适用招标投标法的政府采购工程建设项目，应当在公示中标候选人时公开中标候选人的《中小企业声明函》。</w:t>
      </w:r>
    </w:p>
    <w:p w14:paraId="5CF02B60">
      <w:pPr>
        <w:spacing w:beforeAutospacing="1" w:afterAutospacing="1" w:line="288" w:lineRule="auto"/>
        <w:ind w:firstLine="482" w:firstLineChars="200"/>
        <w:rPr>
          <w:rFonts w:ascii="宋体" w:hAnsi="宋体" w:cs="宋体"/>
          <w:sz w:val="24"/>
          <w:szCs w:val="24"/>
        </w:rPr>
      </w:pPr>
      <w:r>
        <w:rPr>
          <w:rStyle w:val="39"/>
          <w:rFonts w:hint="eastAsia" w:ascii="宋体" w:hAnsi="宋体" w:cs="宋体"/>
          <w:bCs w:val="0"/>
          <w:color w:val="333333"/>
          <w:sz w:val="24"/>
          <w:szCs w:val="24"/>
          <w:lang w:bidi="ar"/>
        </w:rPr>
        <w:t>第十四条</w:t>
      </w:r>
      <w:r>
        <w:rPr>
          <w:rFonts w:hint="eastAsia" w:ascii="宋体" w:hAnsi="宋体" w:cs="宋体"/>
          <w:color w:val="333333"/>
          <w:sz w:val="24"/>
          <w:szCs w:val="24"/>
          <w:lang w:bidi="ar"/>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5874C8A4">
      <w:pPr>
        <w:spacing w:beforeAutospacing="1" w:afterAutospacing="1" w:line="288" w:lineRule="auto"/>
        <w:ind w:firstLine="482" w:firstLineChars="200"/>
        <w:rPr>
          <w:rFonts w:ascii="宋体" w:hAnsi="宋体" w:cs="宋体"/>
          <w:sz w:val="24"/>
          <w:szCs w:val="24"/>
        </w:rPr>
      </w:pPr>
      <w:r>
        <w:rPr>
          <w:rStyle w:val="39"/>
          <w:rFonts w:hint="eastAsia" w:ascii="宋体" w:hAnsi="宋体" w:cs="宋体"/>
          <w:bCs w:val="0"/>
          <w:color w:val="333333"/>
          <w:sz w:val="24"/>
          <w:szCs w:val="24"/>
          <w:lang w:bidi="ar"/>
        </w:rPr>
        <w:t>第十五条</w:t>
      </w:r>
      <w:r>
        <w:rPr>
          <w:rFonts w:hint="eastAsia" w:ascii="宋体" w:hAnsi="宋体" w:cs="宋体"/>
          <w:color w:val="333333"/>
          <w:sz w:val="24"/>
          <w:szCs w:val="24"/>
          <w:lang w:bidi="ar"/>
        </w:rPr>
        <w:t xml:space="preserve">  鼓励各地区、各部门在采购活动中允许中小企业引入信用担保手段，为中小企业在投标（响应）保证、履约保证等方面提供专业化服务。鼓励中小企业依法合规通过政府采购合同融资。</w:t>
      </w:r>
    </w:p>
    <w:p w14:paraId="59E88BD1">
      <w:pPr>
        <w:spacing w:beforeAutospacing="1" w:afterAutospacing="1" w:line="288" w:lineRule="auto"/>
        <w:ind w:firstLine="482" w:firstLineChars="200"/>
        <w:rPr>
          <w:rFonts w:ascii="宋体" w:hAnsi="宋体" w:cs="宋体"/>
          <w:sz w:val="24"/>
          <w:szCs w:val="24"/>
        </w:rPr>
      </w:pPr>
      <w:r>
        <w:rPr>
          <w:rStyle w:val="39"/>
          <w:rFonts w:hint="eastAsia" w:ascii="宋体" w:hAnsi="宋体" w:cs="宋体"/>
          <w:bCs w:val="0"/>
          <w:color w:val="333333"/>
          <w:sz w:val="24"/>
          <w:szCs w:val="24"/>
          <w:lang w:bidi="ar"/>
        </w:rPr>
        <w:t>第十六条</w:t>
      </w:r>
      <w:r>
        <w:rPr>
          <w:rFonts w:hint="eastAsia" w:ascii="宋体" w:hAnsi="宋体" w:cs="宋体"/>
          <w:color w:val="333333"/>
          <w:sz w:val="24"/>
          <w:szCs w:val="24"/>
          <w:lang w:bidi="ar"/>
        </w:rPr>
        <w:t xml:space="preserve">  政府采购监督检查、投诉处理及政府采购行政处罚中对中小企业的认定，由货物制造商或者工程、服务供应商注册登记所在地的县级以上人民政府中小企业主管部门负责。</w:t>
      </w:r>
    </w:p>
    <w:p w14:paraId="4A62D4E8">
      <w:pPr>
        <w:spacing w:beforeAutospacing="1" w:afterAutospacing="1" w:line="288" w:lineRule="auto"/>
        <w:ind w:firstLine="480" w:firstLineChars="200"/>
        <w:rPr>
          <w:rFonts w:ascii="宋体" w:hAnsi="宋体" w:cs="宋体"/>
          <w:sz w:val="24"/>
          <w:szCs w:val="24"/>
        </w:rPr>
      </w:pPr>
      <w:r>
        <w:rPr>
          <w:rFonts w:hint="eastAsia" w:ascii="宋体" w:hAnsi="宋体" w:cs="宋体"/>
          <w:color w:val="333333"/>
          <w:sz w:val="24"/>
          <w:szCs w:val="24"/>
          <w:lang w:bidi="ar"/>
        </w:rPr>
        <w:t>中小企业主管部门应当在收到财政部门或者有关招标投标行政监督部门关于协助开展中小企业认定函后 10 个工作日内做出书面答复。</w:t>
      </w:r>
    </w:p>
    <w:p w14:paraId="75F4AE40">
      <w:pPr>
        <w:spacing w:beforeAutospacing="1" w:afterAutospacing="1" w:line="288" w:lineRule="auto"/>
        <w:ind w:firstLine="482" w:firstLineChars="200"/>
        <w:rPr>
          <w:rFonts w:ascii="宋体" w:hAnsi="宋体" w:cs="宋体"/>
          <w:sz w:val="24"/>
          <w:szCs w:val="24"/>
        </w:rPr>
      </w:pPr>
      <w:r>
        <w:rPr>
          <w:rStyle w:val="39"/>
          <w:rFonts w:hint="eastAsia" w:ascii="宋体" w:hAnsi="宋体" w:cs="宋体"/>
          <w:bCs w:val="0"/>
          <w:color w:val="333333"/>
          <w:sz w:val="24"/>
          <w:szCs w:val="24"/>
          <w:lang w:bidi="ar"/>
        </w:rPr>
        <w:t>第十七条</w:t>
      </w:r>
      <w:r>
        <w:rPr>
          <w:rFonts w:hint="eastAsia" w:ascii="宋体" w:hAnsi="宋体" w:cs="宋体"/>
          <w:color w:val="333333"/>
          <w:sz w:val="24"/>
          <w:szCs w:val="24"/>
          <w:lang w:bidi="ar"/>
        </w:rPr>
        <w:t xml:space="preserve">  各地区、各部门应当对涉及中小企业采购的预算项目实施全过程绩效管理，合理设置绩效目标和指标，落实扶持中小企业有关政策要求，定期开展绩效监控和评价，强化绩效评价结果应用。</w:t>
      </w:r>
    </w:p>
    <w:p w14:paraId="1D86716C">
      <w:pPr>
        <w:spacing w:beforeAutospacing="1" w:afterAutospacing="1" w:line="288" w:lineRule="auto"/>
        <w:ind w:firstLine="482" w:firstLineChars="200"/>
        <w:rPr>
          <w:rFonts w:ascii="宋体" w:hAnsi="宋体" w:cs="宋体"/>
          <w:sz w:val="24"/>
          <w:szCs w:val="24"/>
        </w:rPr>
      </w:pPr>
      <w:r>
        <w:rPr>
          <w:rStyle w:val="39"/>
          <w:rFonts w:hint="eastAsia" w:ascii="宋体" w:hAnsi="宋体" w:cs="宋体"/>
          <w:bCs w:val="0"/>
          <w:color w:val="333333"/>
          <w:sz w:val="24"/>
          <w:szCs w:val="24"/>
          <w:lang w:bidi="ar"/>
        </w:rPr>
        <w:t>第十八条</w:t>
      </w:r>
      <w:r>
        <w:rPr>
          <w:rFonts w:hint="eastAsia" w:ascii="宋体" w:hAnsi="宋体" w:cs="宋体"/>
          <w:color w:val="333333"/>
          <w:sz w:val="24"/>
          <w:szCs w:val="24"/>
          <w:lang w:bidi="ar"/>
        </w:rPr>
        <w:t xml:space="preserve">  主管预算单位应当自 2022 年起向同级财政部门报告本部门上一年度面向中小企业预留份额和采购的具体情况，并在中国政府采购网公开预留项目执行情况(附2)。未达到本办法规定的预留份额比例的，应当作出说明。</w:t>
      </w:r>
    </w:p>
    <w:p w14:paraId="03BBAAAB">
      <w:pPr>
        <w:spacing w:beforeAutospacing="1" w:afterAutospacing="1" w:line="288" w:lineRule="auto"/>
        <w:ind w:firstLine="482" w:firstLineChars="200"/>
        <w:rPr>
          <w:rFonts w:ascii="宋体" w:hAnsi="宋体" w:cs="宋体"/>
          <w:sz w:val="24"/>
          <w:szCs w:val="24"/>
        </w:rPr>
      </w:pPr>
      <w:r>
        <w:rPr>
          <w:rStyle w:val="39"/>
          <w:rFonts w:hint="eastAsia" w:ascii="宋体" w:hAnsi="宋体" w:cs="宋体"/>
          <w:bCs w:val="0"/>
          <w:color w:val="333333"/>
          <w:sz w:val="24"/>
          <w:szCs w:val="24"/>
          <w:lang w:bidi="ar"/>
        </w:rPr>
        <w:t>第十九条</w:t>
      </w:r>
      <w:r>
        <w:rPr>
          <w:rFonts w:hint="eastAsia" w:ascii="宋体" w:hAnsi="宋体" w:cs="宋体"/>
          <w:color w:val="333333"/>
          <w:sz w:val="24"/>
          <w:szCs w:val="24"/>
          <w:lang w:bidi="ar"/>
        </w:rPr>
        <w:t xml:space="preserve">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217B386C">
      <w:pPr>
        <w:spacing w:beforeAutospacing="1" w:afterAutospacing="1" w:line="288" w:lineRule="auto"/>
        <w:ind w:firstLine="482" w:firstLineChars="200"/>
        <w:rPr>
          <w:rFonts w:ascii="宋体" w:hAnsi="宋体" w:cs="宋体"/>
          <w:sz w:val="24"/>
          <w:szCs w:val="24"/>
        </w:rPr>
      </w:pPr>
      <w:r>
        <w:rPr>
          <w:rStyle w:val="39"/>
          <w:rFonts w:hint="eastAsia" w:ascii="宋体" w:hAnsi="宋体" w:cs="宋体"/>
          <w:bCs w:val="0"/>
          <w:color w:val="333333"/>
          <w:sz w:val="24"/>
          <w:szCs w:val="24"/>
          <w:lang w:bidi="ar"/>
        </w:rPr>
        <w:t>第二十条</w:t>
      </w:r>
      <w:r>
        <w:rPr>
          <w:rFonts w:hint="eastAsia" w:ascii="宋体" w:hAnsi="宋体" w:cs="宋体"/>
          <w:color w:val="333333"/>
          <w:sz w:val="24"/>
          <w:szCs w:val="24"/>
          <w:lang w:bidi="ar"/>
        </w:rPr>
        <w:t xml:space="preserve">  供应商按照本办法规定提供声明函内容不实的，属于提供虚假材料谋取中标、成交，依照《中华人民共和国政府采购法》等国家有关规定追究相应责任。</w:t>
      </w:r>
    </w:p>
    <w:p w14:paraId="2EF14AD3">
      <w:pPr>
        <w:spacing w:beforeAutospacing="1" w:afterAutospacing="1" w:line="288" w:lineRule="auto"/>
        <w:ind w:firstLine="480" w:firstLineChars="200"/>
        <w:rPr>
          <w:rFonts w:ascii="宋体" w:hAnsi="宋体" w:cs="宋体"/>
          <w:sz w:val="24"/>
          <w:szCs w:val="24"/>
        </w:rPr>
      </w:pPr>
      <w:r>
        <w:rPr>
          <w:rFonts w:hint="eastAsia" w:ascii="宋体" w:hAnsi="宋体" w:cs="宋体"/>
          <w:color w:val="333333"/>
          <w:sz w:val="24"/>
          <w:szCs w:val="24"/>
          <w:lang w:bidi="ar"/>
        </w:rPr>
        <w:t>适用招标投标法的政府采购工程建设项目，供应商按照本办法规定提供声明函内容不实的，属于弄虚作假骗取中标，依照《中华人民共和国招标投标法》等国家有关规定追究相应责任。</w:t>
      </w:r>
    </w:p>
    <w:p w14:paraId="457E83DF">
      <w:pPr>
        <w:spacing w:beforeAutospacing="1" w:afterAutospacing="1" w:line="288" w:lineRule="auto"/>
        <w:ind w:firstLine="482" w:firstLineChars="200"/>
        <w:rPr>
          <w:rFonts w:ascii="宋体" w:hAnsi="宋体" w:cs="宋体"/>
          <w:sz w:val="24"/>
          <w:szCs w:val="24"/>
        </w:rPr>
      </w:pPr>
      <w:r>
        <w:rPr>
          <w:rStyle w:val="39"/>
          <w:rFonts w:hint="eastAsia" w:ascii="宋体" w:hAnsi="宋体" w:cs="宋体"/>
          <w:bCs w:val="0"/>
          <w:color w:val="333333"/>
          <w:sz w:val="24"/>
          <w:szCs w:val="24"/>
          <w:lang w:bidi="ar"/>
        </w:rPr>
        <w:t>第二十一条</w:t>
      </w:r>
      <w:r>
        <w:rPr>
          <w:rFonts w:hint="eastAsia" w:ascii="宋体" w:hAnsi="宋体" w:cs="宋体"/>
          <w:color w:val="333333"/>
          <w:sz w:val="24"/>
          <w:szCs w:val="24"/>
          <w:lang w:bidi="ar"/>
        </w:rPr>
        <w:t xml:space="preserve">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19EC52EE">
      <w:pPr>
        <w:spacing w:beforeAutospacing="1" w:afterAutospacing="1" w:line="288" w:lineRule="auto"/>
        <w:ind w:firstLine="482" w:firstLineChars="200"/>
        <w:rPr>
          <w:rFonts w:ascii="宋体" w:hAnsi="宋体" w:cs="宋体"/>
          <w:sz w:val="24"/>
          <w:szCs w:val="24"/>
        </w:rPr>
      </w:pPr>
      <w:r>
        <w:rPr>
          <w:rStyle w:val="39"/>
          <w:rFonts w:hint="eastAsia" w:ascii="宋体" w:hAnsi="宋体" w:cs="宋体"/>
          <w:bCs w:val="0"/>
          <w:color w:val="333333"/>
          <w:sz w:val="24"/>
          <w:szCs w:val="24"/>
          <w:lang w:bidi="ar"/>
        </w:rPr>
        <w:t>第二十二条</w:t>
      </w:r>
      <w:r>
        <w:rPr>
          <w:rFonts w:hint="eastAsia" w:ascii="宋体" w:hAnsi="宋体" w:cs="宋体"/>
          <w:color w:val="333333"/>
          <w:sz w:val="24"/>
          <w:szCs w:val="24"/>
          <w:lang w:bidi="ar"/>
        </w:rPr>
        <w:t xml:space="preserve">  对外援助项目、国家相关资格或者资质管理制度另有规定的项目，不适用本办法。</w:t>
      </w:r>
    </w:p>
    <w:p w14:paraId="4AD0E404">
      <w:pPr>
        <w:spacing w:beforeAutospacing="1" w:afterAutospacing="1" w:line="288" w:lineRule="auto"/>
        <w:ind w:firstLine="482" w:firstLineChars="200"/>
        <w:rPr>
          <w:rFonts w:ascii="宋体" w:hAnsi="宋体" w:cs="宋体"/>
          <w:sz w:val="24"/>
          <w:szCs w:val="24"/>
        </w:rPr>
      </w:pPr>
      <w:r>
        <w:rPr>
          <w:rStyle w:val="39"/>
          <w:rFonts w:hint="eastAsia" w:ascii="宋体" w:hAnsi="宋体" w:cs="宋体"/>
          <w:bCs w:val="0"/>
          <w:color w:val="333333"/>
          <w:sz w:val="24"/>
          <w:szCs w:val="24"/>
          <w:lang w:bidi="ar"/>
        </w:rPr>
        <w:t>第二十三条</w:t>
      </w:r>
      <w:r>
        <w:rPr>
          <w:rFonts w:hint="eastAsia" w:ascii="宋体" w:hAnsi="宋体" w:cs="宋体"/>
          <w:color w:val="333333"/>
          <w:sz w:val="24"/>
          <w:szCs w:val="24"/>
          <w:lang w:bidi="ar"/>
        </w:rPr>
        <w:t xml:space="preserve">  关于视同中小企业的其他主体的政府采购扶持政策，由财政部会同有关部门另行规定。</w:t>
      </w:r>
    </w:p>
    <w:p w14:paraId="3C4BADB4">
      <w:pPr>
        <w:spacing w:beforeAutospacing="1" w:afterAutospacing="1" w:line="288" w:lineRule="auto"/>
        <w:ind w:firstLine="482" w:firstLineChars="200"/>
        <w:rPr>
          <w:rFonts w:ascii="宋体" w:hAnsi="宋体" w:cs="宋体"/>
          <w:sz w:val="24"/>
          <w:szCs w:val="24"/>
        </w:rPr>
      </w:pPr>
      <w:r>
        <w:rPr>
          <w:rStyle w:val="39"/>
          <w:rFonts w:hint="eastAsia" w:ascii="宋体" w:hAnsi="宋体" w:cs="宋体"/>
          <w:bCs w:val="0"/>
          <w:color w:val="333333"/>
          <w:sz w:val="24"/>
          <w:szCs w:val="24"/>
          <w:lang w:bidi="ar"/>
        </w:rPr>
        <w:t>第二十四条</w:t>
      </w:r>
      <w:r>
        <w:rPr>
          <w:rFonts w:hint="eastAsia" w:ascii="宋体" w:hAnsi="宋体" w:cs="宋体"/>
          <w:color w:val="333333"/>
          <w:sz w:val="24"/>
          <w:szCs w:val="24"/>
          <w:lang w:bidi="ar"/>
        </w:rPr>
        <w:t xml:space="preserve">  省级财政部门可以会同中小企业主管部门根据本办法的规定制定具体实施办法。</w:t>
      </w:r>
    </w:p>
    <w:p w14:paraId="2F9BAB24">
      <w:pPr>
        <w:spacing w:beforeAutospacing="1" w:afterAutospacing="1" w:line="288" w:lineRule="auto"/>
        <w:ind w:firstLine="482" w:firstLineChars="200"/>
        <w:rPr>
          <w:rFonts w:ascii="宋体" w:hAnsi="宋体" w:cs="宋体"/>
          <w:sz w:val="24"/>
          <w:szCs w:val="24"/>
        </w:rPr>
      </w:pPr>
      <w:r>
        <w:rPr>
          <w:rStyle w:val="39"/>
          <w:rFonts w:hint="eastAsia" w:ascii="宋体" w:hAnsi="宋体" w:cs="宋体"/>
          <w:bCs w:val="0"/>
          <w:color w:val="333333"/>
          <w:sz w:val="24"/>
          <w:szCs w:val="24"/>
          <w:lang w:bidi="ar"/>
        </w:rPr>
        <w:t>第二十五条</w:t>
      </w:r>
      <w:r>
        <w:rPr>
          <w:rFonts w:hint="eastAsia" w:ascii="宋体" w:hAnsi="宋体" w:cs="宋体"/>
          <w:color w:val="333333"/>
          <w:sz w:val="24"/>
          <w:szCs w:val="24"/>
          <w:lang w:bidi="ar"/>
        </w:rPr>
        <w:t xml:space="preserve">  本办法自 2021 年 1 月 1 日起施行。 财政部 工业和信息化部关于印发〈政府采购促进中小企业发展暂行办法〉的通知》（财库﹝2011﹞181 号）同时废止。</w:t>
      </w:r>
    </w:p>
    <w:p w14:paraId="541AEEDC">
      <w:pPr>
        <w:spacing w:beforeAutospacing="1" w:afterAutospacing="1" w:line="288" w:lineRule="auto"/>
        <w:rPr>
          <w:rFonts w:ascii="宋体" w:hAnsi="宋体" w:cs="宋体"/>
          <w:sz w:val="24"/>
          <w:szCs w:val="24"/>
        </w:rPr>
      </w:pPr>
      <w:r>
        <w:rPr>
          <w:rFonts w:hint="eastAsia" w:ascii="宋体" w:hAnsi="宋体" w:cs="宋体"/>
          <w:color w:val="333333"/>
          <w:sz w:val="24"/>
          <w:szCs w:val="24"/>
          <w:lang w:bidi="ar"/>
        </w:rPr>
        <w:t> </w:t>
      </w:r>
    </w:p>
    <w:p w14:paraId="5A67D041">
      <w:pPr>
        <w:shd w:val="clear" w:color="auto" w:fill="FFFFFF"/>
        <w:spacing w:before="120" w:beforeLines="50" w:after="120" w:afterLines="50" w:line="400" w:lineRule="exact"/>
        <w:jc w:val="center"/>
        <w:rPr>
          <w:rFonts w:ascii="宋体" w:hAnsi="宋体" w:cs="宋体"/>
          <w:b/>
          <w:bCs/>
          <w:sz w:val="30"/>
          <w:szCs w:val="30"/>
        </w:rPr>
      </w:pPr>
      <w:r>
        <w:rPr>
          <w:rFonts w:hint="eastAsia" w:ascii="宋体" w:hAnsi="宋体" w:cs="宋体"/>
          <w:b/>
          <w:bCs/>
          <w:sz w:val="21"/>
          <w:szCs w:val="21"/>
        </w:rPr>
        <w:br w:type="page"/>
      </w:r>
      <w:r>
        <w:rPr>
          <w:rFonts w:hint="eastAsia" w:ascii="宋体" w:hAnsi="宋体" w:cs="宋体"/>
          <w:b/>
          <w:bCs/>
          <w:sz w:val="30"/>
          <w:szCs w:val="30"/>
          <w:shd w:val="clear" w:color="auto" w:fill="FFFFFF"/>
          <w:lang w:bidi="ar"/>
        </w:rPr>
        <w:t>财政部关于进一步加大政府采购支持中小企业力度的通知</w:t>
      </w:r>
    </w:p>
    <w:p w14:paraId="423ED318">
      <w:pPr>
        <w:shd w:val="clear" w:color="auto" w:fill="FFFFFF"/>
        <w:spacing w:line="400" w:lineRule="exact"/>
        <w:jc w:val="center"/>
        <w:rPr>
          <w:rFonts w:ascii="宋体" w:hAnsi="宋体" w:cs="宋体"/>
          <w:sz w:val="24"/>
          <w:szCs w:val="24"/>
        </w:rPr>
      </w:pPr>
      <w:r>
        <w:rPr>
          <w:rFonts w:hint="eastAsia" w:ascii="宋体" w:hAnsi="宋体" w:cs="宋体"/>
          <w:sz w:val="24"/>
          <w:szCs w:val="24"/>
          <w:shd w:val="clear" w:color="auto" w:fill="FFFFFF"/>
          <w:lang w:bidi="ar"/>
        </w:rPr>
        <w:t>（财库〔2022〕19号）</w:t>
      </w:r>
    </w:p>
    <w:p w14:paraId="201AA20E">
      <w:pPr>
        <w:pStyle w:val="15"/>
        <w:spacing w:after="0" w:line="340" w:lineRule="exact"/>
        <w:ind w:firstLine="420" w:firstLineChars="200"/>
        <w:rPr>
          <w:rFonts w:ascii="宋体" w:hAnsi="宋体" w:cs="宋体"/>
          <w:bCs/>
          <w:sz w:val="21"/>
          <w:szCs w:val="21"/>
        </w:rPr>
      </w:pPr>
      <w:r>
        <w:rPr>
          <w:rFonts w:hint="eastAsia" w:ascii="宋体" w:hAnsi="宋体" w:cs="宋体"/>
          <w:bCs/>
          <w:sz w:val="21"/>
          <w:szCs w:val="21"/>
        </w:rPr>
        <w:t>各中央预算单位，各省、自治区、直辖市、计划单列市财政厅（局），新疆生产建设兵团财政局：</w:t>
      </w:r>
    </w:p>
    <w:p w14:paraId="2A40069A">
      <w:pPr>
        <w:pStyle w:val="15"/>
        <w:spacing w:after="0" w:line="340" w:lineRule="exact"/>
        <w:ind w:firstLine="420" w:firstLineChars="200"/>
        <w:rPr>
          <w:rFonts w:ascii="宋体" w:hAnsi="宋体" w:cs="宋体"/>
          <w:bCs/>
          <w:sz w:val="21"/>
          <w:szCs w:val="21"/>
        </w:rPr>
      </w:pPr>
      <w:r>
        <w:rPr>
          <w:rFonts w:hint="eastAsia" w:ascii="宋体" w:hAnsi="宋体" w:cs="宋体"/>
          <w:bCs/>
          <w:sz w:val="21"/>
          <w:szCs w:val="21"/>
        </w:rPr>
        <w:t>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523D8A01">
      <w:pPr>
        <w:pStyle w:val="15"/>
        <w:spacing w:after="0" w:line="340" w:lineRule="exact"/>
        <w:ind w:firstLine="420" w:firstLineChars="200"/>
        <w:rPr>
          <w:rFonts w:ascii="宋体" w:hAnsi="宋体" w:cs="宋体"/>
          <w:bCs/>
          <w:sz w:val="21"/>
          <w:szCs w:val="21"/>
        </w:rPr>
      </w:pPr>
      <w:r>
        <w:rPr>
          <w:rFonts w:hint="eastAsia" w:ascii="宋体" w:hAnsi="宋体" w:cs="宋体"/>
          <w:bCs/>
          <w:sz w:val="21"/>
          <w:szCs w:val="21"/>
        </w:rPr>
        <w:t>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69215D22">
      <w:pPr>
        <w:pStyle w:val="15"/>
        <w:spacing w:after="0" w:line="340" w:lineRule="exact"/>
        <w:ind w:firstLine="420" w:firstLineChars="200"/>
        <w:rPr>
          <w:rFonts w:ascii="宋体" w:hAnsi="宋体" w:cs="宋体"/>
          <w:bCs/>
          <w:sz w:val="21"/>
          <w:szCs w:val="21"/>
        </w:rPr>
      </w:pPr>
      <w:r>
        <w:rPr>
          <w:rFonts w:hint="eastAsia" w:ascii="宋体" w:hAnsi="宋体" w:cs="宋体"/>
          <w:bCs/>
          <w:sz w:val="21"/>
          <w:szCs w:val="21"/>
        </w:rPr>
        <w:t>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7A3C93EB">
      <w:pPr>
        <w:pStyle w:val="15"/>
        <w:spacing w:after="0" w:line="340" w:lineRule="exact"/>
        <w:ind w:firstLine="420" w:firstLineChars="200"/>
        <w:rPr>
          <w:rFonts w:ascii="宋体" w:hAnsi="宋体" w:cs="宋体"/>
          <w:bCs/>
          <w:sz w:val="21"/>
          <w:szCs w:val="21"/>
        </w:rPr>
      </w:pPr>
      <w:r>
        <w:rPr>
          <w:rFonts w:hint="eastAsia" w:ascii="宋体" w:hAnsi="宋体" w:cs="宋体"/>
          <w:bCs/>
          <w:sz w:val="21"/>
          <w:szCs w:val="21"/>
        </w:rPr>
        <w:t>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46E3329A">
      <w:pPr>
        <w:pStyle w:val="15"/>
        <w:spacing w:after="0" w:line="340" w:lineRule="exact"/>
        <w:ind w:firstLine="420" w:firstLineChars="200"/>
        <w:rPr>
          <w:rFonts w:ascii="宋体" w:hAnsi="宋体" w:cs="宋体"/>
          <w:bCs/>
          <w:sz w:val="21"/>
          <w:szCs w:val="21"/>
        </w:rPr>
      </w:pPr>
      <w:r>
        <w:rPr>
          <w:rFonts w:hint="eastAsia" w:ascii="宋体" w:hAnsi="宋体" w:cs="宋体"/>
          <w:bCs/>
          <w:sz w:val="21"/>
          <w:szCs w:val="21"/>
        </w:rPr>
        <w:t>四、认真做好组织实施。各地区、各部门应当加强组织领导，明确工作责任，细化执行要求，强化监督检查，确保国务院部署落实到位，对通知执行中出现的问题要及时向财政部报告。</w:t>
      </w:r>
    </w:p>
    <w:p w14:paraId="1EF6E7CB">
      <w:pPr>
        <w:pStyle w:val="15"/>
        <w:spacing w:after="0" w:line="340" w:lineRule="exact"/>
        <w:ind w:firstLine="420" w:firstLineChars="200"/>
        <w:rPr>
          <w:rFonts w:ascii="宋体" w:hAnsi="宋体" w:cs="宋体"/>
          <w:bCs/>
          <w:sz w:val="21"/>
          <w:szCs w:val="21"/>
        </w:rPr>
      </w:pPr>
      <w:r>
        <w:rPr>
          <w:rFonts w:hint="eastAsia" w:ascii="宋体" w:hAnsi="宋体" w:cs="宋体"/>
          <w:bCs/>
          <w:sz w:val="21"/>
          <w:szCs w:val="21"/>
        </w:rPr>
        <w:t>本通知自2022年7月1日起执行。</w:t>
      </w:r>
    </w:p>
    <w:p w14:paraId="77AE62E5">
      <w:pPr>
        <w:pStyle w:val="15"/>
        <w:spacing w:after="0" w:line="340" w:lineRule="exact"/>
        <w:ind w:firstLine="420" w:firstLineChars="200"/>
        <w:rPr>
          <w:rFonts w:ascii="宋体" w:hAnsi="宋体" w:cs="宋体"/>
          <w:bCs/>
          <w:sz w:val="21"/>
          <w:szCs w:val="21"/>
        </w:rPr>
      </w:pPr>
      <w:r>
        <w:rPr>
          <w:rFonts w:hint="eastAsia" w:ascii="宋体" w:hAnsi="宋体" w:cs="宋体"/>
          <w:bCs/>
          <w:sz w:val="21"/>
          <w:szCs w:val="21"/>
        </w:rPr>
        <w:t xml:space="preserve">                                                                        财政部</w:t>
      </w:r>
    </w:p>
    <w:p w14:paraId="371B9C36">
      <w:pPr>
        <w:spacing w:line="400" w:lineRule="exact"/>
        <w:jc w:val="right"/>
        <w:rPr>
          <w:rFonts w:ascii="黑体" w:hAnsi="黑体" w:eastAsia="黑体" w:cs="宋体"/>
          <w:bCs/>
          <w:sz w:val="28"/>
          <w:szCs w:val="28"/>
          <w:shd w:val="clear" w:color="auto" w:fill="FFFFFF"/>
        </w:rPr>
      </w:pPr>
      <w:r>
        <w:rPr>
          <w:rFonts w:hint="eastAsia" w:ascii="宋体" w:hAnsi="宋体" w:cs="宋体"/>
          <w:bCs/>
          <w:sz w:val="21"/>
          <w:szCs w:val="21"/>
        </w:rPr>
        <w:t>2022年5月30日</w:t>
      </w:r>
      <w:r>
        <w:rPr>
          <w:rFonts w:hint="eastAsia" w:ascii="宋体" w:hAnsi="宋体" w:cs="宋体"/>
          <w:b/>
          <w:bCs/>
          <w:sz w:val="21"/>
          <w:szCs w:val="21"/>
        </w:rPr>
        <w:br w:type="page"/>
      </w:r>
      <w:r>
        <w:rPr>
          <w:rFonts w:hint="eastAsia" w:ascii="宋体" w:hAnsi="宋体" w:cs="宋体"/>
          <w:b/>
          <w:bCs/>
          <w:sz w:val="28"/>
          <w:szCs w:val="28"/>
          <w:shd w:val="clear" w:color="auto" w:fill="FFFFFF"/>
          <w:lang w:bidi="ar"/>
        </w:rPr>
        <w:t>关于印发《吉林省强化政府采购政策支持中小企业发展落实举措》的通知</w:t>
      </w:r>
    </w:p>
    <w:p w14:paraId="4811F093">
      <w:pPr>
        <w:pStyle w:val="31"/>
        <w:spacing w:before="120" w:beforeLines="50" w:after="120" w:afterLines="50" w:line="400" w:lineRule="exact"/>
        <w:jc w:val="center"/>
      </w:pPr>
      <w:r>
        <w:rPr>
          <w:rFonts w:ascii="宋体" w:hAnsi="宋体" w:cs="宋体"/>
        </w:rPr>
        <w:t>吉财采购〔2022〕478号</w:t>
      </w:r>
      <w:r>
        <w:t xml:space="preserve"> </w:t>
      </w:r>
    </w:p>
    <w:p w14:paraId="231F9A55">
      <w:pPr>
        <w:pStyle w:val="31"/>
        <w:spacing w:line="400" w:lineRule="exact"/>
      </w:pPr>
      <w:r>
        <w:rPr>
          <w:rFonts w:hint="eastAsia" w:ascii="宋体" w:hAnsi="宋体" w:cs="宋体"/>
        </w:rPr>
        <w:t>各省级主管预算单位，各市（州）、县（市、区）财政局，长白山管委会、长春新区、中韩（长春）国际合作示范区管委会财政局，各政府采购代理机构：</w:t>
      </w:r>
      <w:r>
        <w:t xml:space="preserve"> </w:t>
      </w:r>
    </w:p>
    <w:p w14:paraId="0C2B6F9A">
      <w:pPr>
        <w:pStyle w:val="31"/>
        <w:spacing w:line="400" w:lineRule="exact"/>
        <w:ind w:firstLine="480" w:firstLineChars="200"/>
      </w:pPr>
      <w:r>
        <w:rPr>
          <w:rFonts w:hint="eastAsia" w:ascii="宋体" w:hAnsi="宋体" w:cs="宋体"/>
        </w:rPr>
        <w:t>现将《吉林省强化政府采购政策支持中小企业发展落实举措》印发给你们，请遵照执行。</w:t>
      </w:r>
      <w:r>
        <w:t xml:space="preserve"> </w:t>
      </w:r>
    </w:p>
    <w:p w14:paraId="36D0924C">
      <w:pPr>
        <w:pStyle w:val="31"/>
        <w:spacing w:line="400" w:lineRule="exact"/>
        <w:ind w:firstLine="480" w:firstLineChars="200"/>
      </w:pPr>
      <w:r>
        <w:rPr>
          <w:rFonts w:hint="eastAsia" w:ascii="宋体" w:hAnsi="宋体" w:cs="宋体"/>
        </w:rPr>
        <w:t>附件：吉林省强化政府采购政策支持中小企业发展落实举措</w:t>
      </w:r>
      <w:r>
        <w:t xml:space="preserve"> </w:t>
      </w:r>
    </w:p>
    <w:p w14:paraId="43FBF16C">
      <w:pPr>
        <w:pStyle w:val="31"/>
        <w:spacing w:line="400" w:lineRule="exact"/>
        <w:ind w:firstLine="645"/>
        <w:jc w:val="right"/>
      </w:pPr>
      <w:r>
        <w:rPr>
          <w:rFonts w:hint="eastAsia" w:ascii="宋体" w:hAnsi="宋体" w:cs="宋体"/>
        </w:rPr>
        <w:t>吉林省财政厅</w:t>
      </w:r>
      <w:r>
        <w:t xml:space="preserve"> </w:t>
      </w:r>
    </w:p>
    <w:p w14:paraId="3F32D32D">
      <w:pPr>
        <w:pStyle w:val="31"/>
        <w:spacing w:line="400" w:lineRule="exact"/>
        <w:ind w:firstLine="645"/>
        <w:jc w:val="right"/>
      </w:pPr>
      <w:r>
        <w:rPr>
          <w:rFonts w:ascii="宋体" w:hAnsi="宋体" w:cs="宋体"/>
        </w:rPr>
        <w:t>2022年6月6日</w:t>
      </w:r>
      <w:r>
        <w:t xml:space="preserve"> </w:t>
      </w:r>
    </w:p>
    <w:p w14:paraId="667B4180">
      <w:pPr>
        <w:pStyle w:val="31"/>
        <w:spacing w:line="400" w:lineRule="exact"/>
      </w:pPr>
      <w:r>
        <w:rPr>
          <w:rFonts w:hint="eastAsia" w:ascii="宋体" w:hAnsi="宋体" w:cs="宋体"/>
        </w:rPr>
        <w:t>附件：</w:t>
      </w:r>
      <w:r>
        <w:t xml:space="preserve"> </w:t>
      </w:r>
    </w:p>
    <w:p w14:paraId="5C37F927">
      <w:pPr>
        <w:pStyle w:val="31"/>
        <w:spacing w:line="400" w:lineRule="exact"/>
        <w:ind w:firstLine="645"/>
      </w:pPr>
      <w:r>
        <w:rPr>
          <w:rFonts w:hint="eastAsia" w:ascii="宋体" w:hAnsi="宋体" w:cs="宋体"/>
        </w:rPr>
        <w:t> </w:t>
      </w:r>
      <w:r>
        <w:t xml:space="preserve"> </w:t>
      </w:r>
    </w:p>
    <w:p w14:paraId="7D610689">
      <w:pPr>
        <w:pStyle w:val="31"/>
        <w:spacing w:line="400" w:lineRule="exact"/>
        <w:jc w:val="center"/>
        <w:rPr>
          <w:sz w:val="28"/>
          <w:szCs w:val="28"/>
        </w:rPr>
      </w:pPr>
      <w:r>
        <w:rPr>
          <w:rFonts w:hint="eastAsia" w:ascii="宋体" w:hAnsi="宋体" w:cs="宋体"/>
          <w:sz w:val="28"/>
          <w:szCs w:val="28"/>
        </w:rPr>
        <w:t>吉林省强化政府采购政策支持中小企业发展落实举措</w:t>
      </w:r>
      <w:r>
        <w:rPr>
          <w:sz w:val="28"/>
          <w:szCs w:val="28"/>
        </w:rPr>
        <w:t xml:space="preserve"> </w:t>
      </w:r>
    </w:p>
    <w:p w14:paraId="6DA26237">
      <w:pPr>
        <w:pStyle w:val="31"/>
        <w:spacing w:line="400" w:lineRule="exact"/>
        <w:ind w:firstLine="645"/>
      </w:pPr>
      <w:r>
        <w:rPr>
          <w:rFonts w:hint="eastAsia" w:ascii="宋体" w:hAnsi="宋体" w:cs="宋体"/>
        </w:rPr>
        <w:t> </w:t>
      </w:r>
      <w:r>
        <w:t xml:space="preserve"> </w:t>
      </w:r>
    </w:p>
    <w:p w14:paraId="6C867490">
      <w:pPr>
        <w:pStyle w:val="31"/>
        <w:spacing w:line="400" w:lineRule="exact"/>
        <w:ind w:firstLine="645"/>
        <w:rPr>
          <w:sz w:val="21"/>
          <w:szCs w:val="21"/>
        </w:rPr>
      </w:pPr>
      <w:r>
        <w:rPr>
          <w:rFonts w:ascii="宋体" w:hAnsi="宋体" w:cs="宋体"/>
          <w:sz w:val="21"/>
          <w:szCs w:val="21"/>
        </w:rPr>
        <w:t>为贯彻落实《国务院关于印发扎实稳住经济一揽子政策措施的通知》（国发〔2022〕12号）和省政府《稳定全省经济若干措施》要求，积极应对突发疫情对我省经济社会影响，做好财政政策支持中小企业纾困解难工作，助力全省经济平稳健康发展，按照财政部《关于进一步加大政府采购支持中小企业力度的通知》（财库〔2022〕19号）规定，提出如下落实措施：</w:t>
      </w:r>
      <w:r>
        <w:rPr>
          <w:sz w:val="21"/>
          <w:szCs w:val="21"/>
        </w:rPr>
        <w:t xml:space="preserve"> </w:t>
      </w:r>
    </w:p>
    <w:p w14:paraId="223B7816">
      <w:pPr>
        <w:pStyle w:val="31"/>
        <w:spacing w:line="400" w:lineRule="exact"/>
        <w:ind w:firstLine="645"/>
        <w:rPr>
          <w:b/>
          <w:bCs/>
          <w:sz w:val="21"/>
          <w:szCs w:val="21"/>
        </w:rPr>
      </w:pPr>
      <w:r>
        <w:rPr>
          <w:rFonts w:hint="eastAsia" w:ascii="宋体" w:hAnsi="宋体" w:cs="宋体"/>
          <w:b/>
          <w:bCs/>
          <w:sz w:val="21"/>
          <w:szCs w:val="21"/>
        </w:rPr>
        <w:t>一、强化政策落实支持中小企业发展</w:t>
      </w:r>
      <w:r>
        <w:rPr>
          <w:b/>
          <w:bCs/>
          <w:sz w:val="21"/>
          <w:szCs w:val="21"/>
        </w:rPr>
        <w:t xml:space="preserve"> </w:t>
      </w:r>
    </w:p>
    <w:p w14:paraId="64AED941">
      <w:pPr>
        <w:pStyle w:val="31"/>
        <w:spacing w:line="400" w:lineRule="exact"/>
        <w:ind w:firstLine="645"/>
        <w:rPr>
          <w:sz w:val="21"/>
          <w:szCs w:val="21"/>
        </w:rPr>
      </w:pPr>
      <w:r>
        <w:rPr>
          <w:rFonts w:ascii="宋体" w:hAnsi="宋体" w:cs="宋体"/>
          <w:sz w:val="21"/>
          <w:szCs w:val="21"/>
        </w:rPr>
        <w:t>各级预算单位要认真落实《政府采购促进中小企业发展管理办法》（财库〔2020〕46号，以下简称《办法》）的规定，加强采购需求管理，规范资格条件设置，降低中小企业参加政府采购活动门槛 。科学编制政府采购预算，提高中小企业预留份额。结合采购项目的实际情况，灵活采取项目整体预留、合理预留采购包、要求大企业与中小企业组成联合体或向中小企业分包等形式，确保中小企业合同份额。适用招标投标法的政府采购工程项目应严格落实政府采购支持中小企业政策。</w:t>
      </w:r>
      <w:r>
        <w:rPr>
          <w:sz w:val="21"/>
          <w:szCs w:val="21"/>
        </w:rPr>
        <w:t xml:space="preserve"> </w:t>
      </w:r>
    </w:p>
    <w:p w14:paraId="64D2722C">
      <w:pPr>
        <w:pStyle w:val="31"/>
        <w:spacing w:line="400" w:lineRule="exact"/>
        <w:ind w:firstLine="645"/>
        <w:rPr>
          <w:b/>
          <w:bCs/>
          <w:sz w:val="21"/>
          <w:szCs w:val="21"/>
        </w:rPr>
      </w:pPr>
      <w:r>
        <w:rPr>
          <w:rFonts w:hint="eastAsia" w:ascii="宋体" w:hAnsi="宋体" w:cs="宋体"/>
          <w:b/>
          <w:bCs/>
          <w:sz w:val="21"/>
          <w:szCs w:val="21"/>
        </w:rPr>
        <w:t>二、提高政府采购项目价格评审优惠幅度</w:t>
      </w:r>
      <w:r>
        <w:rPr>
          <w:b/>
          <w:bCs/>
          <w:sz w:val="21"/>
          <w:szCs w:val="21"/>
        </w:rPr>
        <w:t xml:space="preserve"> </w:t>
      </w:r>
    </w:p>
    <w:p w14:paraId="0208E1B7">
      <w:pPr>
        <w:pStyle w:val="31"/>
        <w:spacing w:line="400" w:lineRule="exact"/>
        <w:ind w:firstLine="645"/>
        <w:rPr>
          <w:sz w:val="21"/>
          <w:szCs w:val="21"/>
        </w:rPr>
      </w:pPr>
      <w:r>
        <w:rPr>
          <w:rFonts w:ascii="宋体" w:hAnsi="宋体" w:cs="宋体"/>
          <w:sz w:val="21"/>
          <w:szCs w:val="21"/>
        </w:rPr>
        <w:t>自2022年7月1日起发布采购公告或者发出采购邀请，未预留份额专门面向中小企业采购的货物、服务项目，给予小微企业的价格扣除优惠由《办法》规定的6%-10%提高至10%-20%；大中型企业与小微企业组成联合体或者大中型企业向小微企业分包的，评审优惠幅度由2%—3%提高至4%—6%。政府采购工程的价格评审优惠按照《办法》的规定执行。</w:t>
      </w:r>
      <w:r>
        <w:rPr>
          <w:sz w:val="21"/>
          <w:szCs w:val="21"/>
        </w:rPr>
        <w:t xml:space="preserve"> </w:t>
      </w:r>
    </w:p>
    <w:p w14:paraId="047189E6">
      <w:pPr>
        <w:pStyle w:val="31"/>
        <w:spacing w:line="400" w:lineRule="exact"/>
        <w:ind w:firstLine="645"/>
        <w:rPr>
          <w:b/>
          <w:bCs/>
          <w:sz w:val="21"/>
          <w:szCs w:val="21"/>
        </w:rPr>
      </w:pPr>
      <w:r>
        <w:rPr>
          <w:rFonts w:hint="eastAsia" w:ascii="宋体" w:hAnsi="宋体" w:cs="宋体"/>
          <w:b/>
          <w:bCs/>
          <w:sz w:val="21"/>
          <w:szCs w:val="21"/>
        </w:rPr>
        <w:t>三、提高政府采购工程项目预留份额比例</w:t>
      </w:r>
      <w:r>
        <w:rPr>
          <w:b/>
          <w:bCs/>
          <w:sz w:val="21"/>
          <w:szCs w:val="21"/>
        </w:rPr>
        <w:t xml:space="preserve"> </w:t>
      </w:r>
    </w:p>
    <w:p w14:paraId="7C0B50F2">
      <w:pPr>
        <w:pStyle w:val="31"/>
        <w:spacing w:line="400" w:lineRule="exact"/>
        <w:ind w:firstLine="645"/>
        <w:rPr>
          <w:sz w:val="21"/>
          <w:szCs w:val="21"/>
        </w:rPr>
      </w:pPr>
      <w:r>
        <w:rPr>
          <w:rFonts w:ascii="宋体" w:hAnsi="宋体" w:cs="宋体"/>
          <w:sz w:val="21"/>
          <w:szCs w:val="21"/>
        </w:rPr>
        <w:t>400万元以下的工程采购项目适宜由中小企业提供的，采购人应当专门面向中小企业采购。达到或超过400万元的工程采购项目中适宜由中小企业提供的，在坚持公开、公正、公平竞争和统一质量标准的前提下，2022年下半年面向中小企业的预留份额由30%以上提高至40%以上。省财政厅将协调发改、工信、住建、交通、水利、商务等部门，按照国家相关工程招投标行政监督部门对工程招投标领域落实政府采购支持中小企业的政策要求，及时调整完善工程招投标领域有关标准文本、评标制度等，支持督促各预算单位严格落实政府采购政策。</w:t>
      </w:r>
      <w:r>
        <w:rPr>
          <w:sz w:val="21"/>
          <w:szCs w:val="21"/>
        </w:rPr>
        <w:t xml:space="preserve"> </w:t>
      </w:r>
    </w:p>
    <w:p w14:paraId="44999172">
      <w:pPr>
        <w:pStyle w:val="31"/>
        <w:spacing w:line="400" w:lineRule="exact"/>
        <w:ind w:firstLine="645"/>
        <w:rPr>
          <w:b/>
          <w:bCs/>
          <w:sz w:val="21"/>
          <w:szCs w:val="21"/>
        </w:rPr>
      </w:pPr>
      <w:r>
        <w:rPr>
          <w:rFonts w:hint="eastAsia" w:ascii="宋体" w:hAnsi="宋体" w:cs="宋体"/>
          <w:b/>
          <w:bCs/>
          <w:sz w:val="21"/>
          <w:szCs w:val="21"/>
        </w:rPr>
        <w:t>四、降低经营成本提高履约能力</w:t>
      </w:r>
      <w:r>
        <w:rPr>
          <w:b/>
          <w:bCs/>
          <w:sz w:val="21"/>
          <w:szCs w:val="21"/>
        </w:rPr>
        <w:t xml:space="preserve"> </w:t>
      </w:r>
    </w:p>
    <w:p w14:paraId="1DF9E4EC">
      <w:pPr>
        <w:pStyle w:val="31"/>
        <w:spacing w:line="400" w:lineRule="exact"/>
        <w:ind w:firstLine="645"/>
        <w:rPr>
          <w:sz w:val="21"/>
          <w:szCs w:val="21"/>
        </w:rPr>
      </w:pPr>
      <w:r>
        <w:rPr>
          <w:rFonts w:ascii="宋体" w:hAnsi="宋体" w:cs="宋体"/>
          <w:sz w:val="21"/>
          <w:szCs w:val="21"/>
        </w:rPr>
        <w:t>鼓励采购人、采购代理机构在政府采购活动中免收中小企业保证金或降低收取比例。对确需依法收取保证金的，应明确收取标准、缴纳方式和退还时限等要求，允许中小企业自主选择以支票、汇票、本票、保函等非现金形式缴纳或提交，降低经营成本。采购人、采购代理机构应对2022年5月前实施完成的政府采购项目投标（响应）或履约保证金进行核查清理，对符合法定或合同约定退还条件的应及时退还，切实减轻中小企业资金压力。采购人在编制采购文件时可结合项目实际，明确中小企业获得合同后可采取分期付款的方式，最大限度的确定首期预付款比例，并尽量缩短资金支付期限。</w:t>
      </w:r>
      <w:r>
        <w:rPr>
          <w:sz w:val="21"/>
          <w:szCs w:val="21"/>
        </w:rPr>
        <w:t xml:space="preserve"> </w:t>
      </w:r>
    </w:p>
    <w:p w14:paraId="099C1FE5">
      <w:pPr>
        <w:pStyle w:val="31"/>
        <w:spacing w:line="400" w:lineRule="exact"/>
        <w:ind w:firstLine="645"/>
        <w:rPr>
          <w:b/>
          <w:bCs/>
          <w:sz w:val="21"/>
          <w:szCs w:val="21"/>
        </w:rPr>
      </w:pPr>
      <w:r>
        <w:rPr>
          <w:rFonts w:hint="eastAsia" w:ascii="宋体" w:hAnsi="宋体" w:cs="宋体"/>
          <w:b/>
          <w:bCs/>
          <w:sz w:val="21"/>
          <w:szCs w:val="21"/>
        </w:rPr>
        <w:t>五、优化政府采购程序推进全流程电子化</w:t>
      </w:r>
      <w:r>
        <w:rPr>
          <w:b/>
          <w:bCs/>
          <w:sz w:val="21"/>
          <w:szCs w:val="21"/>
        </w:rPr>
        <w:t xml:space="preserve"> </w:t>
      </w:r>
    </w:p>
    <w:p w14:paraId="1684815F">
      <w:pPr>
        <w:pStyle w:val="31"/>
        <w:spacing w:line="400" w:lineRule="exact"/>
        <w:ind w:firstLine="645"/>
        <w:rPr>
          <w:sz w:val="21"/>
          <w:szCs w:val="21"/>
        </w:rPr>
      </w:pPr>
      <w:r>
        <w:rPr>
          <w:rFonts w:hint="eastAsia" w:ascii="宋体" w:hAnsi="宋体" w:cs="宋体"/>
          <w:sz w:val="21"/>
          <w:szCs w:val="21"/>
        </w:rPr>
        <w:t>中小企业参加政府采购活动，对于出具《中小企业声明函》的，任何单位和个人不得另行要求提供《中小企业声明函》之外的中小企业身份证明文件。对于法人代表已经出具委托书的，不得要求法人代表亲自领购采购文件或者到场参加开标、谈判等。加快推进全省政府采购全流程电子化建设，实现在线发布采购公告、提供采购文件、提交投标（响应）文件，实行电子开标、电子评审，提升中小企业参与政府采购活动的便利度。</w:t>
      </w:r>
      <w:r>
        <w:rPr>
          <w:sz w:val="21"/>
          <w:szCs w:val="21"/>
        </w:rPr>
        <w:t xml:space="preserve"> </w:t>
      </w:r>
    </w:p>
    <w:p w14:paraId="42C4BC1B">
      <w:pPr>
        <w:pStyle w:val="31"/>
        <w:spacing w:line="400" w:lineRule="exact"/>
        <w:ind w:firstLine="645"/>
        <w:rPr>
          <w:b/>
          <w:bCs/>
          <w:sz w:val="21"/>
          <w:szCs w:val="21"/>
        </w:rPr>
      </w:pPr>
      <w:r>
        <w:rPr>
          <w:rFonts w:hint="eastAsia" w:ascii="宋体" w:hAnsi="宋体" w:cs="宋体"/>
          <w:b/>
          <w:bCs/>
          <w:sz w:val="21"/>
          <w:szCs w:val="21"/>
        </w:rPr>
        <w:t>六、加强项目执行管理提升政府采购透明度</w:t>
      </w:r>
      <w:r>
        <w:rPr>
          <w:b/>
          <w:bCs/>
          <w:sz w:val="21"/>
          <w:szCs w:val="21"/>
        </w:rPr>
        <w:t xml:space="preserve"> </w:t>
      </w:r>
    </w:p>
    <w:p w14:paraId="39E92C79">
      <w:pPr>
        <w:pStyle w:val="31"/>
        <w:spacing w:line="400" w:lineRule="exact"/>
        <w:ind w:firstLine="645"/>
        <w:rPr>
          <w:sz w:val="21"/>
          <w:szCs w:val="21"/>
        </w:rPr>
      </w:pPr>
      <w:r>
        <w:rPr>
          <w:rFonts w:hint="eastAsia" w:ascii="宋体" w:hAnsi="宋体" w:cs="宋体"/>
          <w:sz w:val="21"/>
          <w:szCs w:val="21"/>
        </w:rPr>
        <w:t>采购人、采购代理机构对投标（响应）文件的格式、形式要求应当简化明确，不得因非实质性的格式、形式问题限制和影响中小企业投标（响应）。实现电子化采购的，采购人、采购代理机构应当免费提供电子采购文件；暂未实现电子化采购的，鼓励采购人、采购代理机构向中小企业免费提供纸质采购文件。各级预算单位在公开政府采购意向时，必须标明是否专门面向中小企业采购，便于中小企业提前做好参与政府采购活动的各项准备工作。未按照规定进行政府采购意向公开的采购项目，原则上不得开展采购活动。</w:t>
      </w:r>
      <w:r>
        <w:rPr>
          <w:sz w:val="21"/>
          <w:szCs w:val="21"/>
        </w:rPr>
        <w:t xml:space="preserve"> </w:t>
      </w:r>
    </w:p>
    <w:p w14:paraId="7A839770">
      <w:pPr>
        <w:pStyle w:val="31"/>
        <w:spacing w:line="400" w:lineRule="exact"/>
        <w:ind w:firstLine="645"/>
        <w:rPr>
          <w:sz w:val="21"/>
          <w:szCs w:val="21"/>
        </w:rPr>
      </w:pPr>
      <w:r>
        <w:rPr>
          <w:rFonts w:hint="eastAsia" w:ascii="宋体" w:hAnsi="宋体" w:cs="宋体"/>
          <w:sz w:val="21"/>
          <w:szCs w:val="21"/>
        </w:rPr>
        <w:t>各级主管预算单位要加强对本部门、本系统政府采购项目的统筹把握，明确工作责任，周密安排部署，严格落实预留采购份额和价格评审优惠措施支持中小企业发展。同时，按照六条措施要求，要制定具体工作方案，确保政策执行不走样、显成效。各级财政部门应加强组织领导，结合本地区实际情况明确政策执行要求，加强对采购单位政策执行情况的监督检查，在政策执行中好的经验办法和遇到的问题及时向省财政厅报告。</w:t>
      </w:r>
    </w:p>
    <w:p w14:paraId="2BF17AC3">
      <w:pPr>
        <w:rPr>
          <w:rFonts w:ascii="宋体" w:hAnsi="宋体" w:cs="宋体"/>
          <w:b/>
          <w:bCs/>
          <w:sz w:val="21"/>
          <w:szCs w:val="21"/>
        </w:rPr>
      </w:pPr>
      <w:r>
        <w:rPr>
          <w:rFonts w:ascii="宋体" w:hAnsi="宋体" w:cs="宋体"/>
          <w:b/>
          <w:bCs/>
          <w:sz w:val="21"/>
          <w:szCs w:val="21"/>
        </w:rPr>
        <w:br w:type="page"/>
      </w:r>
    </w:p>
    <w:p w14:paraId="1930C943">
      <w:pPr>
        <w:spacing w:before="120" w:beforeLines="50" w:after="120" w:afterLines="50"/>
        <w:jc w:val="center"/>
        <w:textAlignment w:val="baseline"/>
        <w:rPr>
          <w:rFonts w:ascii="宋体" w:hAnsi="宋体" w:cs="宋体"/>
          <w:b/>
          <w:sz w:val="32"/>
          <w:szCs w:val="32"/>
        </w:rPr>
      </w:pPr>
      <w:r>
        <w:rPr>
          <w:rFonts w:hint="eastAsia" w:ascii="宋体" w:hAnsi="宋体" w:cs="宋体"/>
          <w:b/>
          <w:sz w:val="32"/>
          <w:szCs w:val="32"/>
        </w:rPr>
        <w:t>财政部 司法部关于政府采购支持监狱企业发展有关问题的通知</w:t>
      </w:r>
    </w:p>
    <w:p w14:paraId="119F7300">
      <w:pPr>
        <w:pStyle w:val="93"/>
        <w:jc w:val="center"/>
        <w:rPr>
          <w:b/>
        </w:rPr>
      </w:pPr>
      <w:bookmarkStart w:id="294" w:name="_Toc21391"/>
      <w:r>
        <w:rPr>
          <w:rFonts w:hint="eastAsia"/>
          <w:shd w:val="clear" w:color="auto" w:fill="FFFFFF"/>
        </w:rPr>
        <w:t>财库〔2014〕68号</w:t>
      </w:r>
      <w:bookmarkEnd w:id="294"/>
    </w:p>
    <w:p w14:paraId="034EAF7C">
      <w:pPr>
        <w:pStyle w:val="31"/>
        <w:spacing w:line="288" w:lineRule="auto"/>
        <w:textAlignment w:val="baseline"/>
        <w:rPr>
          <w:rFonts w:ascii="宋体" w:hAnsi="宋体" w:cs="宋体"/>
          <w:shd w:val="clear" w:color="auto" w:fill="FFFFFF"/>
        </w:rPr>
      </w:pPr>
      <w:r>
        <w:rPr>
          <w:rFonts w:hint="eastAsia" w:ascii="宋体" w:hAnsi="宋体" w:cs="宋体"/>
          <w:shd w:val="clear" w:color="auto" w:fill="FFFFFF"/>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24FA4EAC">
      <w:pPr>
        <w:pStyle w:val="31"/>
        <w:spacing w:line="288" w:lineRule="auto"/>
        <w:textAlignment w:val="baseline"/>
        <w:rPr>
          <w:rFonts w:ascii="宋体" w:hAnsi="宋体" w:cs="宋体"/>
          <w:shd w:val="clear" w:color="auto" w:fill="FFFFFF"/>
        </w:rPr>
      </w:pPr>
      <w:r>
        <w:rPr>
          <w:rFonts w:hint="eastAsia" w:ascii="宋体" w:hAnsi="宋体" w:cs="宋体"/>
          <w:shd w:val="clear" w:color="auto" w:fill="FFFFFF"/>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0B919CEA">
      <w:pPr>
        <w:pStyle w:val="31"/>
        <w:spacing w:line="288" w:lineRule="auto"/>
        <w:textAlignment w:val="baseline"/>
        <w:rPr>
          <w:rFonts w:ascii="宋体" w:hAnsi="宋体" w:cs="宋体"/>
          <w:shd w:val="clear" w:color="auto" w:fill="FFFFFF"/>
        </w:rPr>
      </w:pPr>
      <w:r>
        <w:rPr>
          <w:rFonts w:hint="eastAsia" w:ascii="宋体" w:hAnsi="宋体" w:cs="宋体"/>
          <w:shd w:val="clear" w:color="auto" w:fill="FFFFFF"/>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1A697BE4">
      <w:pPr>
        <w:pStyle w:val="31"/>
        <w:spacing w:line="288" w:lineRule="auto"/>
        <w:textAlignment w:val="baseline"/>
        <w:rPr>
          <w:rFonts w:ascii="宋体" w:hAnsi="宋体" w:cs="宋体"/>
          <w:shd w:val="clear" w:color="auto" w:fill="FFFFFF"/>
        </w:rPr>
      </w:pPr>
      <w:r>
        <w:rPr>
          <w:rFonts w:hint="eastAsia" w:ascii="宋体" w:hAnsi="宋体" w:cs="宋体"/>
          <w:shd w:val="clear" w:color="auto" w:fill="FFFFFF"/>
        </w:rPr>
        <w:t>　　二、在政府采购活动中，监狱企业视同小型、微型企业，享受预留份额、评审中价格扣除等政府采购促进中小企业发展的政府采购政策。向监狱企业采购的金额，计入面向中小企业采购的统计数据。</w:t>
      </w:r>
    </w:p>
    <w:p w14:paraId="2F65DB57">
      <w:pPr>
        <w:pStyle w:val="31"/>
        <w:spacing w:line="288" w:lineRule="auto"/>
        <w:textAlignment w:val="baseline"/>
        <w:rPr>
          <w:rFonts w:ascii="宋体" w:hAnsi="宋体" w:cs="宋体"/>
          <w:shd w:val="clear" w:color="auto" w:fill="FFFFFF"/>
        </w:rPr>
      </w:pPr>
      <w:r>
        <w:rPr>
          <w:rFonts w:hint="eastAsia" w:ascii="宋体" w:hAnsi="宋体" w:cs="宋体"/>
          <w:shd w:val="clear" w:color="auto" w:fill="FFFFFF"/>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7A6D61C4">
      <w:pPr>
        <w:pStyle w:val="31"/>
        <w:spacing w:line="288" w:lineRule="auto"/>
        <w:textAlignment w:val="baseline"/>
        <w:rPr>
          <w:rFonts w:ascii="宋体" w:hAnsi="宋体" w:cs="宋体"/>
          <w:shd w:val="clear" w:color="auto" w:fill="FFFFFF"/>
        </w:rPr>
      </w:pPr>
      <w:r>
        <w:rPr>
          <w:rFonts w:hint="eastAsia" w:ascii="宋体" w:hAnsi="宋体" w:cs="宋体"/>
          <w:shd w:val="clear" w:color="auto" w:fill="FFFFFF"/>
        </w:rPr>
        <w:t>　　四、各地区可以结合本地区实际，对监狱企业生产的办公用品、家具用具、车辆维修和提供的保养服务、消防设备等，提出预留份额等政府采购支持措施，加大对监狱企业产品的采购力度。</w:t>
      </w:r>
    </w:p>
    <w:p w14:paraId="3AF03DA8">
      <w:pPr>
        <w:pStyle w:val="31"/>
        <w:spacing w:line="288" w:lineRule="auto"/>
        <w:textAlignment w:val="baseline"/>
        <w:rPr>
          <w:rFonts w:ascii="宋体" w:hAnsi="宋体" w:cs="宋体"/>
        </w:rPr>
      </w:pPr>
      <w:r>
        <w:rPr>
          <w:rFonts w:hint="eastAsia" w:ascii="宋体" w:hAnsi="宋体" w:cs="宋体"/>
          <w:shd w:val="clear" w:color="auto" w:fill="FFFFFF"/>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2DA718D7">
      <w:pPr>
        <w:pStyle w:val="31"/>
        <w:spacing w:line="288" w:lineRule="auto"/>
        <w:jc w:val="right"/>
        <w:textAlignment w:val="baseline"/>
        <w:rPr>
          <w:rFonts w:ascii="宋体" w:hAnsi="宋体" w:cs="宋体"/>
          <w:shd w:val="clear" w:color="auto" w:fill="FFFFFF"/>
        </w:rPr>
      </w:pPr>
      <w:r>
        <w:rPr>
          <w:rFonts w:hint="eastAsia" w:ascii="宋体" w:hAnsi="宋体" w:cs="宋体"/>
          <w:shd w:val="clear" w:color="auto" w:fill="FFFFFF"/>
        </w:rPr>
        <w:t>中华人民共和国财政部</w:t>
      </w:r>
    </w:p>
    <w:p w14:paraId="7CF3A491">
      <w:pPr>
        <w:pStyle w:val="31"/>
        <w:spacing w:line="288" w:lineRule="auto"/>
        <w:jc w:val="right"/>
        <w:textAlignment w:val="baseline"/>
        <w:rPr>
          <w:rFonts w:ascii="宋体" w:hAnsi="宋体" w:cs="宋体"/>
          <w:shd w:val="clear" w:color="auto" w:fill="FFFFFF"/>
        </w:rPr>
      </w:pPr>
      <w:r>
        <w:rPr>
          <w:rFonts w:hint="eastAsia" w:ascii="宋体" w:hAnsi="宋体" w:cs="宋体"/>
          <w:shd w:val="clear" w:color="auto" w:fill="FFFFFF"/>
        </w:rPr>
        <w:t>中华人民共和国司法部</w:t>
      </w:r>
    </w:p>
    <w:p w14:paraId="2370AA2C">
      <w:pPr>
        <w:pStyle w:val="31"/>
        <w:spacing w:line="288" w:lineRule="auto"/>
        <w:jc w:val="right"/>
        <w:textAlignment w:val="baseline"/>
        <w:rPr>
          <w:rFonts w:hint="eastAsia" w:ascii="宋体" w:hAnsi="宋体" w:cs="宋体"/>
          <w:shd w:val="clear" w:color="auto" w:fill="FFFFFF"/>
        </w:rPr>
      </w:pPr>
      <w:r>
        <w:rPr>
          <w:rFonts w:hint="eastAsia" w:ascii="宋体" w:hAnsi="宋体" w:cs="宋体"/>
          <w:shd w:val="clear" w:color="auto" w:fill="FFFFFF"/>
        </w:rPr>
        <w:t>2014年6月10日</w:t>
      </w:r>
    </w:p>
    <w:p w14:paraId="6B95EB95">
      <w:pPr>
        <w:rPr>
          <w:rFonts w:hint="eastAsia" w:ascii="宋体" w:hAnsi="宋体" w:cs="宋体"/>
          <w:shd w:val="clear" w:color="auto" w:fill="FFFFFF"/>
        </w:rPr>
      </w:pPr>
      <w:r>
        <w:rPr>
          <w:rFonts w:hint="eastAsia" w:ascii="宋体" w:hAnsi="宋体" w:cs="宋体"/>
          <w:shd w:val="clear" w:color="auto" w:fill="FFFFFF"/>
        </w:rPr>
        <w:br w:type="page"/>
      </w:r>
    </w:p>
    <w:p w14:paraId="7A6A5454">
      <w:pPr>
        <w:spacing w:before="120" w:beforeLines="50" w:after="120" w:afterLines="50"/>
        <w:jc w:val="center"/>
        <w:textAlignment w:val="baseline"/>
        <w:rPr>
          <w:rFonts w:ascii="宋体" w:hAnsi="宋体" w:cs="宋体"/>
          <w:b/>
          <w:sz w:val="36"/>
          <w:szCs w:val="36"/>
        </w:rPr>
      </w:pPr>
      <w:r>
        <w:rPr>
          <w:rFonts w:hint="eastAsia" w:ascii="宋体" w:hAnsi="宋体" w:cs="宋体"/>
          <w:b/>
          <w:sz w:val="36"/>
          <w:szCs w:val="36"/>
        </w:rPr>
        <w:t>关于促进残疾人就业政府采购政策的通知</w:t>
      </w:r>
    </w:p>
    <w:p w14:paraId="3D2B2EE5">
      <w:pPr>
        <w:pStyle w:val="31"/>
        <w:spacing w:before="48" w:beforeLines="20" w:after="48" w:afterLines="20" w:line="288" w:lineRule="auto"/>
        <w:jc w:val="center"/>
        <w:textAlignment w:val="baseline"/>
        <w:rPr>
          <w:rFonts w:ascii="宋体" w:hAnsi="宋体" w:cs="宋体"/>
          <w:bCs/>
        </w:rPr>
      </w:pPr>
      <w:r>
        <w:rPr>
          <w:rStyle w:val="39"/>
          <w:rFonts w:hint="eastAsia" w:ascii="宋体" w:hAnsi="宋体" w:cs="宋体"/>
          <w:bCs w:val="0"/>
          <w:shd w:val="clear" w:color="auto" w:fill="FFFFFF"/>
        </w:rPr>
        <w:t>财库〔2017〕141号</w:t>
      </w:r>
    </w:p>
    <w:p w14:paraId="602362DE">
      <w:pPr>
        <w:pStyle w:val="31"/>
        <w:spacing w:line="288" w:lineRule="auto"/>
        <w:jc w:val="both"/>
        <w:textAlignment w:val="baseline"/>
        <w:rPr>
          <w:rFonts w:ascii="宋体" w:hAnsi="宋体" w:cs="宋体"/>
        </w:rPr>
      </w:pPr>
      <w:bookmarkStart w:id="295" w:name="toDeptId"/>
      <w:r>
        <w:rPr>
          <w:rFonts w:hint="eastAsia" w:ascii="宋体" w:hAnsi="宋体" w:cs="宋体"/>
          <w:shd w:val="clear" w:color="auto" w:fill="FFFFFF"/>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bookmarkEnd w:id="295"/>
      <w:r>
        <w:rPr>
          <w:rFonts w:hint="eastAsia" w:ascii="宋体" w:hAnsi="宋体" w:cs="宋体"/>
          <w:shd w:val="clear" w:color="auto" w:fill="FFFFFF"/>
        </w:rPr>
        <w:t>：</w:t>
      </w:r>
    </w:p>
    <w:p w14:paraId="2DAD2224">
      <w:pPr>
        <w:pStyle w:val="31"/>
        <w:spacing w:line="288" w:lineRule="auto"/>
        <w:jc w:val="both"/>
        <w:textAlignment w:val="baseline"/>
        <w:rPr>
          <w:rFonts w:ascii="宋体" w:hAnsi="宋体" w:cs="宋体"/>
        </w:rPr>
      </w:pPr>
      <w:r>
        <w:rPr>
          <w:rFonts w:hint="eastAsia" w:ascii="宋体" w:hAnsi="宋体" w:cs="宋体"/>
          <w:shd w:val="clear" w:color="auto" w:fill="FFFFFF"/>
        </w:rPr>
        <w:t>　　为了发挥政府采购促进残疾人就业的作用，进一步保障残疾人权益，依照《政府采购法》、《残疾人保障法》等法律法规及相关规定，现就促进残疾人就业政府采购政策通知如下：</w:t>
      </w:r>
    </w:p>
    <w:p w14:paraId="587078DC">
      <w:pPr>
        <w:pStyle w:val="31"/>
        <w:spacing w:line="288" w:lineRule="auto"/>
        <w:jc w:val="both"/>
        <w:textAlignment w:val="baseline"/>
        <w:rPr>
          <w:rFonts w:ascii="宋体" w:hAnsi="宋体" w:cs="宋体"/>
        </w:rPr>
      </w:pPr>
      <w:r>
        <w:rPr>
          <w:rFonts w:hint="eastAsia" w:ascii="宋体" w:hAnsi="宋体" w:cs="宋体"/>
          <w:shd w:val="clear" w:color="auto" w:fill="FFFFFF"/>
        </w:rPr>
        <w:t>　　一、享受政府采购支持政策的残疾人福利性单位应当同时满足以下条件：</w:t>
      </w:r>
    </w:p>
    <w:p w14:paraId="33DD6ADE">
      <w:pPr>
        <w:pStyle w:val="31"/>
        <w:spacing w:line="288" w:lineRule="auto"/>
        <w:jc w:val="both"/>
        <w:textAlignment w:val="baseline"/>
        <w:rPr>
          <w:rFonts w:ascii="宋体" w:hAnsi="宋体" w:cs="宋体"/>
        </w:rPr>
      </w:pPr>
      <w:r>
        <w:rPr>
          <w:rFonts w:hint="eastAsia" w:ascii="宋体" w:hAnsi="宋体" w:cs="宋体"/>
          <w:shd w:val="clear" w:color="auto" w:fill="FFFFFF"/>
        </w:rPr>
        <w:t>　　（一）安置的残疾人占本单位在职职工人数的比例不低于25%（含25%），并且安置的残疾人人数不少于10人（含10人）；</w:t>
      </w:r>
    </w:p>
    <w:p w14:paraId="2E6AEE78">
      <w:pPr>
        <w:pStyle w:val="31"/>
        <w:spacing w:line="288" w:lineRule="auto"/>
        <w:jc w:val="both"/>
        <w:textAlignment w:val="baseline"/>
        <w:rPr>
          <w:rFonts w:ascii="宋体" w:hAnsi="宋体" w:cs="宋体"/>
        </w:rPr>
      </w:pPr>
      <w:r>
        <w:rPr>
          <w:rFonts w:hint="eastAsia" w:ascii="宋体" w:hAnsi="宋体" w:cs="宋体"/>
          <w:shd w:val="clear" w:color="auto" w:fill="FFFFFF"/>
        </w:rPr>
        <w:t>　　（二）依法与安置的每位残疾人签订了一年以上（含一年）的劳动合同或服务协议；</w:t>
      </w:r>
    </w:p>
    <w:p w14:paraId="713CF904">
      <w:pPr>
        <w:pStyle w:val="31"/>
        <w:spacing w:line="288" w:lineRule="auto"/>
        <w:jc w:val="both"/>
        <w:textAlignment w:val="baseline"/>
        <w:rPr>
          <w:rFonts w:ascii="宋体" w:hAnsi="宋体" w:cs="宋体"/>
        </w:rPr>
      </w:pPr>
      <w:r>
        <w:rPr>
          <w:rFonts w:hint="eastAsia" w:ascii="宋体" w:hAnsi="宋体" w:cs="宋体"/>
          <w:shd w:val="clear" w:color="auto" w:fill="FFFFFF"/>
        </w:rPr>
        <w:t>　　（三）为安置的每位残疾人按月足额缴纳了基本养老保险、基本医疗保险、失业保险、工伤保险和生育保险等社会保险费；</w:t>
      </w:r>
    </w:p>
    <w:p w14:paraId="2B005219">
      <w:pPr>
        <w:pStyle w:val="31"/>
        <w:spacing w:line="288" w:lineRule="auto"/>
        <w:jc w:val="both"/>
        <w:textAlignment w:val="baseline"/>
        <w:rPr>
          <w:rFonts w:ascii="宋体" w:hAnsi="宋体" w:cs="宋体"/>
        </w:rPr>
      </w:pPr>
      <w:r>
        <w:rPr>
          <w:rFonts w:hint="eastAsia" w:ascii="宋体" w:hAnsi="宋体" w:cs="宋体"/>
          <w:shd w:val="clear" w:color="auto" w:fill="FFFFFF"/>
        </w:rPr>
        <w:t>　　（四）通过银行等金融机构向安置的每位残疾人，按月支付了不低于单位所在区县适用的经省级人民政府批准的月最低工资标准的工资；</w:t>
      </w:r>
    </w:p>
    <w:p w14:paraId="6A552ED3">
      <w:pPr>
        <w:pStyle w:val="31"/>
        <w:spacing w:line="288" w:lineRule="auto"/>
        <w:jc w:val="both"/>
        <w:textAlignment w:val="baseline"/>
        <w:rPr>
          <w:rFonts w:ascii="宋体" w:hAnsi="宋体" w:cs="宋体"/>
        </w:rPr>
      </w:pPr>
      <w:r>
        <w:rPr>
          <w:rFonts w:hint="eastAsia" w:ascii="宋体" w:hAnsi="宋体" w:cs="宋体"/>
          <w:shd w:val="clear" w:color="auto" w:fill="FFFFFF"/>
        </w:rPr>
        <w:t>　　（五）提供本单位制造的货物、承担的工程或者服务（以下简称产品），或者提供其他残疾人福利性单位制造的货物（不包括使用非残疾人福利性单位注册商标的货物）。</w:t>
      </w:r>
    </w:p>
    <w:p w14:paraId="7EA401E2">
      <w:pPr>
        <w:pStyle w:val="31"/>
        <w:spacing w:line="288" w:lineRule="auto"/>
        <w:jc w:val="both"/>
        <w:textAlignment w:val="baseline"/>
        <w:rPr>
          <w:rFonts w:ascii="宋体" w:hAnsi="宋体" w:cs="宋体"/>
        </w:rPr>
      </w:pPr>
      <w:r>
        <w:rPr>
          <w:rFonts w:hint="eastAsia" w:ascii="宋体" w:hAnsi="宋体" w:cs="宋体"/>
          <w:shd w:val="clear" w:color="auto" w:fill="FFFFFF"/>
        </w:rPr>
        <w:t>　　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3618F478">
      <w:pPr>
        <w:pStyle w:val="31"/>
        <w:spacing w:line="288" w:lineRule="auto"/>
        <w:jc w:val="both"/>
        <w:textAlignment w:val="baseline"/>
        <w:rPr>
          <w:rFonts w:ascii="宋体" w:hAnsi="宋体" w:cs="宋体"/>
        </w:rPr>
      </w:pPr>
      <w:r>
        <w:rPr>
          <w:rFonts w:hint="eastAsia" w:ascii="宋体" w:hAnsi="宋体" w:cs="宋体"/>
          <w:shd w:val="clear" w:color="auto" w:fill="FFFFFF"/>
        </w:rPr>
        <w:t>　　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6D9A63AE">
      <w:pPr>
        <w:pStyle w:val="31"/>
        <w:spacing w:line="288" w:lineRule="auto"/>
        <w:jc w:val="both"/>
        <w:textAlignment w:val="baseline"/>
        <w:rPr>
          <w:rFonts w:ascii="宋体" w:hAnsi="宋体" w:cs="宋体"/>
        </w:rPr>
      </w:pPr>
      <w:r>
        <w:rPr>
          <w:rFonts w:hint="eastAsia" w:ascii="宋体" w:hAnsi="宋体" w:cs="宋体"/>
          <w:shd w:val="clear" w:color="auto" w:fill="FFFFFF"/>
        </w:rPr>
        <w:t>　　中标、成交供应商为残疾人福利性单位的，采购人或者其委托的采购代理机构应当随中标、成交结果同时公告其《残疾人福利性单位声明函》，接受社会监督。</w:t>
      </w:r>
    </w:p>
    <w:p w14:paraId="1C60612A">
      <w:pPr>
        <w:pStyle w:val="31"/>
        <w:spacing w:line="288" w:lineRule="auto"/>
        <w:jc w:val="both"/>
        <w:textAlignment w:val="baseline"/>
        <w:rPr>
          <w:rFonts w:ascii="宋体" w:hAnsi="宋体" w:cs="宋体"/>
        </w:rPr>
      </w:pPr>
      <w:r>
        <w:rPr>
          <w:rFonts w:hint="eastAsia" w:ascii="宋体" w:hAnsi="宋体" w:cs="宋体"/>
          <w:shd w:val="clear" w:color="auto" w:fill="FFFFFF"/>
        </w:rPr>
        <w:t>　　供应商提供的《残疾人福利性单位声明函》与事实不符的，依照《政府采购法》第七十七条第一款的规定追究法律责任。</w:t>
      </w:r>
    </w:p>
    <w:p w14:paraId="0F53F1CE">
      <w:pPr>
        <w:pStyle w:val="31"/>
        <w:spacing w:line="288" w:lineRule="auto"/>
        <w:jc w:val="both"/>
        <w:textAlignment w:val="baseline"/>
        <w:rPr>
          <w:rFonts w:ascii="宋体" w:hAnsi="宋体" w:cs="宋体"/>
        </w:rPr>
      </w:pPr>
      <w:r>
        <w:rPr>
          <w:rFonts w:hint="eastAsia" w:ascii="宋体" w:hAnsi="宋体" w:cs="宋体"/>
          <w:shd w:val="clear" w:color="auto" w:fill="FFFFFF"/>
        </w:rPr>
        <w:t>　　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0EE9E1B0">
      <w:pPr>
        <w:pStyle w:val="31"/>
        <w:spacing w:line="288" w:lineRule="auto"/>
        <w:jc w:val="both"/>
        <w:textAlignment w:val="baseline"/>
        <w:rPr>
          <w:rFonts w:ascii="宋体" w:hAnsi="宋体" w:cs="宋体"/>
        </w:rPr>
      </w:pPr>
      <w:r>
        <w:rPr>
          <w:rFonts w:hint="eastAsia" w:ascii="宋体" w:hAnsi="宋体" w:cs="宋体"/>
          <w:shd w:val="clear" w:color="auto" w:fill="FFFFFF"/>
        </w:rPr>
        <w:t>　　四、采购人采购公开招标数额标准以上的货物或者服务，因落实促进残疾人就业政策的需要，依法履行有关报批程序后，可采用公开招标以外的采购方式。</w:t>
      </w:r>
    </w:p>
    <w:p w14:paraId="68886691">
      <w:pPr>
        <w:pStyle w:val="31"/>
        <w:spacing w:line="288" w:lineRule="auto"/>
        <w:jc w:val="both"/>
        <w:textAlignment w:val="baseline"/>
        <w:rPr>
          <w:rFonts w:ascii="宋体" w:hAnsi="宋体" w:cs="宋体"/>
        </w:rPr>
      </w:pPr>
      <w:r>
        <w:rPr>
          <w:rFonts w:hint="eastAsia" w:ascii="宋体" w:hAnsi="宋体" w:cs="宋体"/>
          <w:shd w:val="clear" w:color="auto" w:fill="FFFFFF"/>
        </w:rPr>
        <w:t>　　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7DA0E79A">
      <w:pPr>
        <w:pStyle w:val="31"/>
        <w:spacing w:line="288" w:lineRule="auto"/>
        <w:jc w:val="both"/>
        <w:textAlignment w:val="baseline"/>
        <w:rPr>
          <w:rFonts w:ascii="宋体" w:hAnsi="宋体" w:cs="宋体"/>
        </w:rPr>
      </w:pPr>
      <w:r>
        <w:rPr>
          <w:rFonts w:hint="eastAsia" w:ascii="宋体" w:hAnsi="宋体" w:cs="宋体"/>
          <w:shd w:val="clear" w:color="auto" w:fill="FFFFFF"/>
        </w:rPr>
        <w:t>　　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3729C56E">
      <w:pPr>
        <w:pStyle w:val="31"/>
        <w:spacing w:line="288" w:lineRule="auto"/>
        <w:jc w:val="both"/>
        <w:textAlignment w:val="baseline"/>
        <w:rPr>
          <w:rFonts w:ascii="宋体" w:hAnsi="宋体" w:cs="宋体"/>
        </w:rPr>
      </w:pPr>
      <w:r>
        <w:rPr>
          <w:rFonts w:hint="eastAsia" w:ascii="宋体" w:hAnsi="宋体" w:cs="宋体"/>
          <w:shd w:val="clear" w:color="auto" w:fill="FFFFFF"/>
        </w:rPr>
        <w:t>　　七、本通知自2017年10月1日起执行。</w:t>
      </w:r>
    </w:p>
    <w:p w14:paraId="6486AD76">
      <w:pPr>
        <w:pStyle w:val="31"/>
        <w:spacing w:line="288" w:lineRule="auto"/>
        <w:jc w:val="right"/>
        <w:textAlignment w:val="baseline"/>
        <w:rPr>
          <w:rFonts w:ascii="宋体" w:hAnsi="宋体" w:cs="宋体"/>
        </w:rPr>
      </w:pPr>
      <w:r>
        <w:rPr>
          <w:rFonts w:hint="eastAsia" w:ascii="宋体" w:hAnsi="宋体" w:cs="宋体"/>
          <w:shd w:val="clear" w:color="auto" w:fill="FFFFFF"/>
        </w:rPr>
        <w:t>　　财政部 民政部 中国残疾人联合会</w:t>
      </w:r>
    </w:p>
    <w:p w14:paraId="0A3F8A36">
      <w:pPr>
        <w:pStyle w:val="31"/>
        <w:spacing w:line="288" w:lineRule="auto"/>
        <w:jc w:val="right"/>
        <w:textAlignment w:val="baseline"/>
        <w:rPr>
          <w:rFonts w:ascii="宋体" w:hAnsi="宋体" w:cs="宋体"/>
          <w:shd w:val="clear" w:color="auto" w:fill="FFFFFF"/>
        </w:rPr>
      </w:pPr>
      <w:r>
        <w:rPr>
          <w:rFonts w:hint="eastAsia" w:ascii="宋体" w:hAnsi="宋体" w:cs="宋体"/>
          <w:shd w:val="clear" w:color="auto" w:fill="FFFFFF"/>
        </w:rPr>
        <w:t>　　2017年8月22日</w:t>
      </w:r>
    </w:p>
    <w:p w14:paraId="1C8682DE">
      <w:pPr>
        <w:pStyle w:val="31"/>
        <w:spacing w:line="340" w:lineRule="exact"/>
        <w:jc w:val="center"/>
        <w:textAlignment w:val="baseline"/>
        <w:rPr>
          <w:rFonts w:ascii="宋体" w:hAnsi="宋体" w:cs="宋体"/>
          <w:sz w:val="21"/>
          <w:szCs w:val="21"/>
          <w:shd w:val="clear" w:color="auto" w:fill="FFFFFF"/>
        </w:rPr>
      </w:pPr>
    </w:p>
    <w:p w14:paraId="2282BF29">
      <w:pPr>
        <w:pStyle w:val="31"/>
        <w:spacing w:line="340" w:lineRule="exact"/>
        <w:jc w:val="center"/>
        <w:textAlignment w:val="baseline"/>
        <w:rPr>
          <w:rFonts w:ascii="宋体" w:hAnsi="宋体" w:cs="宋体"/>
          <w:sz w:val="21"/>
          <w:szCs w:val="21"/>
          <w:shd w:val="clear" w:color="auto" w:fill="FFFFFF"/>
        </w:rPr>
      </w:pPr>
      <w:r>
        <w:rPr>
          <w:rFonts w:hint="eastAsia" w:ascii="宋体" w:hAnsi="宋体" w:cs="宋体"/>
          <w:sz w:val="21"/>
          <w:szCs w:val="21"/>
          <w:shd w:val="clear" w:color="auto" w:fill="FFFFFF"/>
        </w:rPr>
        <w:br w:type="page"/>
      </w:r>
    </w:p>
    <w:p w14:paraId="54A126E9">
      <w:pPr>
        <w:spacing w:before="120" w:beforeLines="50" w:after="120" w:afterLines="50"/>
        <w:jc w:val="center"/>
        <w:textAlignment w:val="baseline"/>
        <w:rPr>
          <w:rFonts w:ascii="宋体" w:hAnsi="宋体" w:cs="宋体"/>
          <w:b/>
          <w:sz w:val="36"/>
          <w:szCs w:val="36"/>
        </w:rPr>
      </w:pPr>
      <w:r>
        <w:rPr>
          <w:rFonts w:hint="eastAsia" w:ascii="宋体" w:hAnsi="宋体" w:cs="宋体"/>
          <w:b/>
          <w:sz w:val="36"/>
          <w:szCs w:val="36"/>
        </w:rPr>
        <w:t>《统计上大中小微型企业划分办法（2017）》修订说明</w:t>
      </w:r>
    </w:p>
    <w:p w14:paraId="3385040E">
      <w:pPr>
        <w:spacing w:line="288" w:lineRule="auto"/>
        <w:ind w:firstLine="480" w:firstLineChars="200"/>
        <w:rPr>
          <w:rFonts w:ascii="宋体" w:hAnsi="宋体" w:cs="宋体"/>
          <w:sz w:val="24"/>
          <w:szCs w:val="24"/>
        </w:rPr>
      </w:pPr>
      <w:r>
        <w:rPr>
          <w:rFonts w:hint="eastAsia" w:ascii="宋体" w:hAnsi="宋体" w:cs="宋体"/>
          <w:sz w:val="24"/>
          <w:szCs w:val="24"/>
        </w:rPr>
        <w:t>一、修订背景</w:t>
      </w:r>
    </w:p>
    <w:p w14:paraId="0A78CFEF">
      <w:pPr>
        <w:spacing w:line="288" w:lineRule="auto"/>
        <w:ind w:firstLine="480" w:firstLineChars="200"/>
        <w:rPr>
          <w:rFonts w:ascii="宋体" w:hAnsi="宋体" w:cs="宋体"/>
          <w:sz w:val="24"/>
          <w:szCs w:val="24"/>
        </w:rPr>
      </w:pPr>
      <w:r>
        <w:rPr>
          <w:rFonts w:hint="eastAsia" w:ascii="宋体" w:hAnsi="宋体" w:cs="宋体"/>
          <w:sz w:val="24"/>
          <w:szCs w:val="24"/>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 4754—2011），制定并颁布的。</w:t>
      </w:r>
    </w:p>
    <w:p w14:paraId="188D227B">
      <w:pPr>
        <w:spacing w:line="288" w:lineRule="auto"/>
        <w:ind w:firstLine="480" w:firstLineChars="200"/>
        <w:rPr>
          <w:rFonts w:ascii="宋体" w:hAnsi="宋体" w:cs="宋体"/>
          <w:sz w:val="24"/>
          <w:szCs w:val="24"/>
        </w:rPr>
      </w:pPr>
      <w:r>
        <w:rPr>
          <w:rFonts w:hint="eastAsia" w:ascii="宋体" w:hAnsi="宋体" w:cs="宋体"/>
          <w:sz w:val="24"/>
          <w:szCs w:val="24"/>
        </w:rPr>
        <w:t>2017年6月30日，《国民经济行业分类》（GB/T 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0166D4F9">
      <w:pPr>
        <w:spacing w:line="288" w:lineRule="auto"/>
        <w:ind w:firstLine="480" w:firstLineChars="200"/>
        <w:rPr>
          <w:rFonts w:ascii="宋体" w:hAnsi="宋体" w:cs="宋体"/>
          <w:sz w:val="24"/>
          <w:szCs w:val="24"/>
        </w:rPr>
      </w:pPr>
      <w:r>
        <w:rPr>
          <w:rFonts w:hint="eastAsia" w:ascii="宋体" w:hAnsi="宋体" w:cs="宋体"/>
          <w:sz w:val="24"/>
          <w:szCs w:val="24"/>
        </w:rPr>
        <w:t>二、修订主要内容</w:t>
      </w:r>
    </w:p>
    <w:p w14:paraId="54E522CE">
      <w:pPr>
        <w:spacing w:line="288" w:lineRule="auto"/>
        <w:ind w:firstLine="480" w:firstLineChars="200"/>
        <w:rPr>
          <w:rFonts w:ascii="宋体" w:hAnsi="宋体" w:cs="宋体"/>
          <w:sz w:val="24"/>
          <w:szCs w:val="24"/>
        </w:rPr>
      </w:pPr>
      <w:r>
        <w:rPr>
          <w:rFonts w:hint="eastAsia" w:ascii="宋体" w:hAnsi="宋体" w:cs="宋体"/>
          <w:sz w:val="24"/>
          <w:szCs w:val="24"/>
        </w:rPr>
        <w:t>本次修订是在2011年《统计上大中小微型企业划分办法》基础上进行的，修订延续原有的分类原则、方法和结构框架，在保持适用范围不变的情况下,依据标准由《国民经济行业分类》（GB/T 4754—2011）修改为《国民经济行业分类》（GB/T 4754—2017），并根据新旧国民经济行业的对应关系，进行了行业所包含类别的对应调整。</w:t>
      </w:r>
    </w:p>
    <w:p w14:paraId="1C8939DE">
      <w:pPr>
        <w:spacing w:line="288" w:lineRule="auto"/>
        <w:ind w:firstLine="480" w:firstLineChars="200"/>
        <w:rPr>
          <w:rFonts w:ascii="宋体" w:hAnsi="宋体" w:cs="宋体"/>
          <w:sz w:val="24"/>
          <w:szCs w:val="24"/>
        </w:rPr>
      </w:pPr>
      <w:r>
        <w:rPr>
          <w:rFonts w:hint="eastAsia" w:ascii="宋体" w:hAnsi="宋体" w:cs="宋体"/>
          <w:sz w:val="24"/>
          <w:szCs w:val="24"/>
        </w:rPr>
        <w:t>将交通运输业中包括的“装卸搬运和运输代理业”修改为“多式联运和运输代理业、装卸搬运”。</w:t>
      </w:r>
    </w:p>
    <w:p w14:paraId="0B81EB6A">
      <w:pPr>
        <w:spacing w:line="288" w:lineRule="auto"/>
        <w:ind w:firstLine="512" w:firstLineChars="200"/>
        <w:rPr>
          <w:rFonts w:ascii="宋体" w:hAnsi="宋体" w:cs="宋体"/>
          <w:spacing w:val="8"/>
          <w:sz w:val="24"/>
          <w:szCs w:val="24"/>
        </w:rPr>
      </w:pPr>
      <w:r>
        <w:rPr>
          <w:rFonts w:hint="eastAsia" w:ascii="宋体" w:hAnsi="宋体" w:cs="宋体"/>
          <w:spacing w:val="8"/>
          <w:sz w:val="24"/>
          <w:szCs w:val="24"/>
        </w:rPr>
        <w:t>仓储业所包括的行业中类，根据《国民经济行业分类》</w:t>
      </w:r>
      <w:r>
        <w:rPr>
          <w:rFonts w:hint="eastAsia" w:ascii="宋体" w:hAnsi="宋体" w:cs="宋体"/>
          <w:sz w:val="24"/>
          <w:szCs w:val="24"/>
        </w:rPr>
        <w:t>（GB/T 4754—2017）</w:t>
      </w:r>
      <w:r>
        <w:rPr>
          <w:rFonts w:hint="eastAsia" w:ascii="宋体" w:hAnsi="宋体" w:cs="宋体"/>
          <w:spacing w:val="8"/>
          <w:sz w:val="24"/>
          <w:szCs w:val="24"/>
        </w:rPr>
        <w:t>调整为“通用仓储，低温仓储，危险品仓储，谷物、棉花等农产品仓储，中药材仓储和其他仓储业”。</w:t>
      </w:r>
    </w:p>
    <w:p w14:paraId="7369F917">
      <w:pPr>
        <w:spacing w:line="288" w:lineRule="auto"/>
        <w:rPr>
          <w:rFonts w:ascii="宋体" w:hAnsi="宋体" w:cs="宋体"/>
          <w:sz w:val="24"/>
          <w:szCs w:val="24"/>
        </w:rPr>
      </w:pPr>
      <w:r>
        <w:rPr>
          <w:rFonts w:hint="eastAsia" w:ascii="宋体" w:hAnsi="宋体" w:cs="宋体"/>
          <w:sz w:val="24"/>
          <w:szCs w:val="24"/>
        </w:rPr>
        <w:t>附表                     统计上大中小微型企业划分标准</w:t>
      </w:r>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3"/>
        <w:gridCol w:w="1369"/>
        <w:gridCol w:w="709"/>
        <w:gridCol w:w="1125"/>
        <w:gridCol w:w="1701"/>
        <w:gridCol w:w="1426"/>
        <w:gridCol w:w="992"/>
      </w:tblGrid>
      <w:tr w14:paraId="3B4E6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exact"/>
          <w:jc w:val="center"/>
        </w:trPr>
        <w:tc>
          <w:tcPr>
            <w:tcW w:w="2113" w:type="dxa"/>
            <w:vAlign w:val="center"/>
          </w:tcPr>
          <w:p w14:paraId="248302A8">
            <w:pPr>
              <w:spacing w:line="288" w:lineRule="auto"/>
              <w:rPr>
                <w:rFonts w:ascii="宋体" w:hAnsi="宋体" w:cs="宋体"/>
                <w:b/>
                <w:bCs/>
                <w:sz w:val="24"/>
                <w:szCs w:val="24"/>
              </w:rPr>
            </w:pPr>
            <w:r>
              <w:rPr>
                <w:rFonts w:hint="eastAsia" w:ascii="宋体" w:hAnsi="宋体" w:cs="宋体"/>
                <w:b/>
                <w:bCs/>
                <w:sz w:val="24"/>
                <w:szCs w:val="24"/>
              </w:rPr>
              <w:t>行业名称</w:t>
            </w:r>
          </w:p>
        </w:tc>
        <w:tc>
          <w:tcPr>
            <w:tcW w:w="1369" w:type="dxa"/>
            <w:vAlign w:val="center"/>
          </w:tcPr>
          <w:p w14:paraId="5B3D08E8">
            <w:pPr>
              <w:spacing w:line="288" w:lineRule="auto"/>
              <w:rPr>
                <w:rFonts w:ascii="宋体" w:hAnsi="宋体" w:cs="宋体"/>
                <w:b/>
                <w:bCs/>
                <w:sz w:val="24"/>
                <w:szCs w:val="24"/>
              </w:rPr>
            </w:pPr>
            <w:r>
              <w:rPr>
                <w:rFonts w:hint="eastAsia" w:ascii="宋体" w:hAnsi="宋体" w:cs="宋体"/>
                <w:b/>
                <w:bCs/>
                <w:sz w:val="24"/>
                <w:szCs w:val="24"/>
              </w:rPr>
              <w:t>指标名称</w:t>
            </w:r>
          </w:p>
        </w:tc>
        <w:tc>
          <w:tcPr>
            <w:tcW w:w="709" w:type="dxa"/>
            <w:vAlign w:val="center"/>
          </w:tcPr>
          <w:p w14:paraId="6FC7AC52">
            <w:pPr>
              <w:spacing w:line="288" w:lineRule="auto"/>
              <w:rPr>
                <w:rFonts w:ascii="宋体" w:hAnsi="宋体" w:cs="宋体"/>
                <w:b/>
                <w:bCs/>
                <w:sz w:val="24"/>
                <w:szCs w:val="24"/>
              </w:rPr>
            </w:pPr>
            <w:r>
              <w:rPr>
                <w:rFonts w:hint="eastAsia" w:ascii="宋体" w:hAnsi="宋体" w:cs="宋体"/>
                <w:b/>
                <w:bCs/>
                <w:sz w:val="24"/>
                <w:szCs w:val="24"/>
              </w:rPr>
              <w:t>计量</w:t>
            </w:r>
          </w:p>
          <w:p w14:paraId="1EF01E08">
            <w:pPr>
              <w:spacing w:line="288" w:lineRule="auto"/>
              <w:rPr>
                <w:rFonts w:ascii="宋体" w:hAnsi="宋体" w:cs="宋体"/>
                <w:b/>
                <w:bCs/>
                <w:sz w:val="24"/>
                <w:szCs w:val="24"/>
              </w:rPr>
            </w:pPr>
            <w:r>
              <w:rPr>
                <w:rFonts w:hint="eastAsia" w:ascii="宋体" w:hAnsi="宋体" w:cs="宋体"/>
                <w:b/>
                <w:bCs/>
                <w:sz w:val="24"/>
                <w:szCs w:val="24"/>
              </w:rPr>
              <w:t>单位</w:t>
            </w:r>
          </w:p>
        </w:tc>
        <w:tc>
          <w:tcPr>
            <w:tcW w:w="1125" w:type="dxa"/>
            <w:vAlign w:val="center"/>
          </w:tcPr>
          <w:p w14:paraId="14585F34">
            <w:pPr>
              <w:spacing w:line="288" w:lineRule="auto"/>
              <w:rPr>
                <w:rFonts w:ascii="宋体" w:hAnsi="宋体" w:cs="宋体"/>
                <w:b/>
                <w:bCs/>
                <w:sz w:val="24"/>
                <w:szCs w:val="24"/>
              </w:rPr>
            </w:pPr>
            <w:r>
              <w:rPr>
                <w:rFonts w:hint="eastAsia" w:ascii="宋体" w:hAnsi="宋体" w:cs="宋体"/>
                <w:b/>
                <w:bCs/>
                <w:sz w:val="24"/>
                <w:szCs w:val="24"/>
              </w:rPr>
              <w:t>大型</w:t>
            </w:r>
          </w:p>
        </w:tc>
        <w:tc>
          <w:tcPr>
            <w:tcW w:w="1701" w:type="dxa"/>
            <w:vAlign w:val="center"/>
          </w:tcPr>
          <w:p w14:paraId="40BB802B">
            <w:pPr>
              <w:spacing w:line="288" w:lineRule="auto"/>
              <w:rPr>
                <w:rFonts w:ascii="宋体" w:hAnsi="宋体" w:cs="宋体"/>
                <w:b/>
                <w:bCs/>
                <w:sz w:val="24"/>
                <w:szCs w:val="24"/>
              </w:rPr>
            </w:pPr>
            <w:r>
              <w:rPr>
                <w:rFonts w:hint="eastAsia" w:ascii="宋体" w:hAnsi="宋体" w:cs="宋体"/>
                <w:b/>
                <w:bCs/>
                <w:sz w:val="24"/>
                <w:szCs w:val="24"/>
              </w:rPr>
              <w:t>中型</w:t>
            </w:r>
          </w:p>
        </w:tc>
        <w:tc>
          <w:tcPr>
            <w:tcW w:w="1426" w:type="dxa"/>
            <w:vAlign w:val="center"/>
          </w:tcPr>
          <w:p w14:paraId="68F3D592">
            <w:pPr>
              <w:spacing w:line="288" w:lineRule="auto"/>
              <w:rPr>
                <w:rFonts w:ascii="宋体" w:hAnsi="宋体" w:cs="宋体"/>
                <w:b/>
                <w:bCs/>
                <w:sz w:val="24"/>
                <w:szCs w:val="24"/>
              </w:rPr>
            </w:pPr>
            <w:r>
              <w:rPr>
                <w:rFonts w:hint="eastAsia" w:ascii="宋体" w:hAnsi="宋体" w:cs="宋体"/>
                <w:b/>
                <w:bCs/>
                <w:sz w:val="24"/>
                <w:szCs w:val="24"/>
              </w:rPr>
              <w:t>小型</w:t>
            </w:r>
          </w:p>
        </w:tc>
        <w:tc>
          <w:tcPr>
            <w:tcW w:w="992" w:type="dxa"/>
            <w:vAlign w:val="center"/>
          </w:tcPr>
          <w:p w14:paraId="2B89EAC8">
            <w:pPr>
              <w:spacing w:line="288" w:lineRule="auto"/>
              <w:rPr>
                <w:rFonts w:ascii="宋体" w:hAnsi="宋体" w:cs="宋体"/>
                <w:b/>
                <w:bCs/>
                <w:sz w:val="24"/>
                <w:szCs w:val="24"/>
              </w:rPr>
            </w:pPr>
            <w:r>
              <w:rPr>
                <w:rFonts w:hint="eastAsia" w:ascii="宋体" w:hAnsi="宋体" w:cs="宋体"/>
                <w:b/>
                <w:bCs/>
                <w:sz w:val="24"/>
                <w:szCs w:val="24"/>
              </w:rPr>
              <w:t>微型</w:t>
            </w:r>
          </w:p>
        </w:tc>
      </w:tr>
      <w:tr w14:paraId="4B3F9A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Align w:val="center"/>
          </w:tcPr>
          <w:p w14:paraId="38190BC4">
            <w:pPr>
              <w:spacing w:line="288" w:lineRule="auto"/>
              <w:rPr>
                <w:rFonts w:ascii="宋体" w:hAnsi="宋体" w:cs="宋体"/>
                <w:b/>
                <w:sz w:val="24"/>
                <w:szCs w:val="24"/>
              </w:rPr>
            </w:pPr>
            <w:r>
              <w:rPr>
                <w:rFonts w:hint="eastAsia" w:ascii="宋体" w:hAnsi="宋体" w:cs="宋体"/>
                <w:b/>
                <w:sz w:val="24"/>
                <w:szCs w:val="24"/>
              </w:rPr>
              <w:t>农、林、牧、渔业</w:t>
            </w:r>
          </w:p>
        </w:tc>
        <w:tc>
          <w:tcPr>
            <w:tcW w:w="1369" w:type="dxa"/>
            <w:vAlign w:val="center"/>
          </w:tcPr>
          <w:p w14:paraId="3AA2B7E2">
            <w:pPr>
              <w:spacing w:line="288" w:lineRule="auto"/>
              <w:rPr>
                <w:rFonts w:ascii="宋体" w:hAnsi="宋体" w:cs="宋体"/>
                <w:b/>
                <w:sz w:val="24"/>
                <w:szCs w:val="24"/>
              </w:rPr>
            </w:pPr>
            <w:r>
              <w:rPr>
                <w:rFonts w:hint="eastAsia" w:ascii="宋体" w:hAnsi="宋体" w:cs="宋体"/>
                <w:b/>
                <w:sz w:val="24"/>
                <w:szCs w:val="24"/>
              </w:rPr>
              <w:t>营业收入(Y)</w:t>
            </w:r>
          </w:p>
        </w:tc>
        <w:tc>
          <w:tcPr>
            <w:tcW w:w="709" w:type="dxa"/>
            <w:vAlign w:val="center"/>
          </w:tcPr>
          <w:p w14:paraId="0009B3A4">
            <w:pPr>
              <w:spacing w:line="288" w:lineRule="auto"/>
              <w:rPr>
                <w:rFonts w:ascii="宋体" w:hAnsi="宋体" w:cs="宋体"/>
                <w:b/>
                <w:sz w:val="24"/>
                <w:szCs w:val="24"/>
              </w:rPr>
            </w:pPr>
            <w:r>
              <w:rPr>
                <w:rFonts w:hint="eastAsia" w:ascii="宋体" w:hAnsi="宋体" w:cs="宋体"/>
                <w:b/>
                <w:sz w:val="24"/>
                <w:szCs w:val="24"/>
              </w:rPr>
              <w:t>万元</w:t>
            </w:r>
          </w:p>
        </w:tc>
        <w:tc>
          <w:tcPr>
            <w:tcW w:w="1125" w:type="dxa"/>
            <w:vAlign w:val="center"/>
          </w:tcPr>
          <w:p w14:paraId="04400A8B">
            <w:pPr>
              <w:spacing w:line="288" w:lineRule="auto"/>
              <w:rPr>
                <w:rFonts w:ascii="宋体" w:hAnsi="宋体" w:cs="宋体"/>
                <w:b/>
                <w:sz w:val="24"/>
                <w:szCs w:val="24"/>
              </w:rPr>
            </w:pPr>
            <w:r>
              <w:rPr>
                <w:rFonts w:hint="eastAsia" w:ascii="宋体" w:hAnsi="宋体" w:cs="宋体"/>
                <w:b/>
                <w:sz w:val="24"/>
                <w:szCs w:val="24"/>
              </w:rPr>
              <w:t>Y≥20000</w:t>
            </w:r>
          </w:p>
        </w:tc>
        <w:tc>
          <w:tcPr>
            <w:tcW w:w="1701" w:type="dxa"/>
            <w:vAlign w:val="center"/>
          </w:tcPr>
          <w:p w14:paraId="2D60AE82">
            <w:pPr>
              <w:spacing w:line="288" w:lineRule="auto"/>
              <w:rPr>
                <w:rFonts w:ascii="宋体" w:hAnsi="宋体" w:cs="宋体"/>
                <w:b/>
                <w:sz w:val="24"/>
                <w:szCs w:val="24"/>
              </w:rPr>
            </w:pPr>
            <w:r>
              <w:rPr>
                <w:rFonts w:hint="eastAsia" w:ascii="宋体" w:hAnsi="宋体" w:cs="宋体"/>
                <w:b/>
                <w:sz w:val="24"/>
                <w:szCs w:val="24"/>
              </w:rPr>
              <w:t xml:space="preserve"> 500≤Y＜20000</w:t>
            </w:r>
          </w:p>
        </w:tc>
        <w:tc>
          <w:tcPr>
            <w:tcW w:w="1426" w:type="dxa"/>
            <w:vAlign w:val="center"/>
          </w:tcPr>
          <w:p w14:paraId="1D48A74C">
            <w:pPr>
              <w:spacing w:line="288" w:lineRule="auto"/>
              <w:rPr>
                <w:rFonts w:ascii="宋体" w:hAnsi="宋体" w:cs="宋体"/>
                <w:b/>
                <w:sz w:val="24"/>
                <w:szCs w:val="24"/>
              </w:rPr>
            </w:pPr>
            <w:r>
              <w:rPr>
                <w:rFonts w:hint="eastAsia" w:ascii="宋体" w:hAnsi="宋体" w:cs="宋体"/>
                <w:b/>
                <w:sz w:val="24"/>
                <w:szCs w:val="24"/>
              </w:rPr>
              <w:t xml:space="preserve"> 50≤Y＜500</w:t>
            </w:r>
          </w:p>
        </w:tc>
        <w:tc>
          <w:tcPr>
            <w:tcW w:w="992" w:type="dxa"/>
            <w:vAlign w:val="center"/>
          </w:tcPr>
          <w:p w14:paraId="6504D5EA">
            <w:pPr>
              <w:spacing w:line="288" w:lineRule="auto"/>
              <w:rPr>
                <w:rFonts w:ascii="宋体" w:hAnsi="宋体" w:cs="宋体"/>
                <w:b/>
                <w:sz w:val="24"/>
                <w:szCs w:val="24"/>
              </w:rPr>
            </w:pPr>
            <w:r>
              <w:rPr>
                <w:rFonts w:hint="eastAsia" w:ascii="宋体" w:hAnsi="宋体" w:cs="宋体"/>
                <w:b/>
                <w:sz w:val="24"/>
                <w:szCs w:val="24"/>
              </w:rPr>
              <w:t>Y＜50</w:t>
            </w:r>
          </w:p>
        </w:tc>
      </w:tr>
      <w:tr w14:paraId="5393F7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02C522B0">
            <w:pPr>
              <w:spacing w:line="288" w:lineRule="auto"/>
              <w:rPr>
                <w:rFonts w:ascii="宋体" w:hAnsi="宋体" w:cs="宋体"/>
                <w:b/>
                <w:sz w:val="24"/>
                <w:szCs w:val="24"/>
              </w:rPr>
            </w:pPr>
            <w:r>
              <w:rPr>
                <w:rFonts w:hint="eastAsia" w:ascii="宋体" w:hAnsi="宋体" w:cs="宋体"/>
                <w:b/>
                <w:sz w:val="24"/>
                <w:szCs w:val="24"/>
              </w:rPr>
              <w:t>工业 *</w:t>
            </w:r>
          </w:p>
        </w:tc>
        <w:tc>
          <w:tcPr>
            <w:tcW w:w="1369" w:type="dxa"/>
            <w:vAlign w:val="center"/>
          </w:tcPr>
          <w:p w14:paraId="3FF64F67">
            <w:pPr>
              <w:spacing w:line="288" w:lineRule="auto"/>
              <w:rPr>
                <w:rFonts w:ascii="宋体" w:hAnsi="宋体" w:cs="宋体"/>
                <w:b/>
                <w:sz w:val="24"/>
                <w:szCs w:val="24"/>
              </w:rPr>
            </w:pPr>
            <w:r>
              <w:rPr>
                <w:rFonts w:hint="eastAsia" w:ascii="宋体" w:hAnsi="宋体" w:cs="宋体"/>
                <w:b/>
                <w:sz w:val="24"/>
                <w:szCs w:val="24"/>
              </w:rPr>
              <w:t>从业人员(X)</w:t>
            </w:r>
          </w:p>
        </w:tc>
        <w:tc>
          <w:tcPr>
            <w:tcW w:w="709" w:type="dxa"/>
            <w:vAlign w:val="center"/>
          </w:tcPr>
          <w:p w14:paraId="6A3C8C1C">
            <w:pPr>
              <w:spacing w:line="288" w:lineRule="auto"/>
              <w:rPr>
                <w:rFonts w:ascii="宋体" w:hAnsi="宋体" w:cs="宋体"/>
                <w:b/>
                <w:sz w:val="24"/>
                <w:szCs w:val="24"/>
              </w:rPr>
            </w:pPr>
            <w:r>
              <w:rPr>
                <w:rFonts w:hint="eastAsia" w:ascii="宋体" w:hAnsi="宋体" w:cs="宋体"/>
                <w:b/>
                <w:sz w:val="24"/>
                <w:szCs w:val="24"/>
              </w:rPr>
              <w:t>人</w:t>
            </w:r>
          </w:p>
        </w:tc>
        <w:tc>
          <w:tcPr>
            <w:tcW w:w="1125" w:type="dxa"/>
            <w:vAlign w:val="center"/>
          </w:tcPr>
          <w:p w14:paraId="72FCF2DD">
            <w:pPr>
              <w:spacing w:line="288" w:lineRule="auto"/>
              <w:rPr>
                <w:rFonts w:ascii="宋体" w:hAnsi="宋体" w:cs="宋体"/>
                <w:b/>
                <w:sz w:val="24"/>
                <w:szCs w:val="24"/>
              </w:rPr>
            </w:pPr>
            <w:r>
              <w:rPr>
                <w:rFonts w:hint="eastAsia" w:ascii="宋体" w:hAnsi="宋体" w:cs="宋体"/>
                <w:b/>
                <w:sz w:val="24"/>
                <w:szCs w:val="24"/>
              </w:rPr>
              <w:t>X≥1000</w:t>
            </w:r>
          </w:p>
        </w:tc>
        <w:tc>
          <w:tcPr>
            <w:tcW w:w="1701" w:type="dxa"/>
            <w:vAlign w:val="center"/>
          </w:tcPr>
          <w:p w14:paraId="705D12DC">
            <w:pPr>
              <w:spacing w:line="288" w:lineRule="auto"/>
              <w:rPr>
                <w:rFonts w:ascii="宋体" w:hAnsi="宋体" w:cs="宋体"/>
                <w:b/>
                <w:sz w:val="24"/>
                <w:szCs w:val="24"/>
              </w:rPr>
            </w:pPr>
            <w:r>
              <w:rPr>
                <w:rFonts w:hint="eastAsia" w:ascii="宋体" w:hAnsi="宋体" w:cs="宋体"/>
                <w:b/>
                <w:sz w:val="24"/>
                <w:szCs w:val="24"/>
              </w:rPr>
              <w:t>300≤X＜1000</w:t>
            </w:r>
          </w:p>
        </w:tc>
        <w:tc>
          <w:tcPr>
            <w:tcW w:w="1426" w:type="dxa"/>
            <w:vAlign w:val="center"/>
          </w:tcPr>
          <w:p w14:paraId="6B73A38F">
            <w:pPr>
              <w:spacing w:line="288" w:lineRule="auto"/>
              <w:rPr>
                <w:rFonts w:ascii="宋体" w:hAnsi="宋体" w:cs="宋体"/>
                <w:b/>
                <w:sz w:val="24"/>
                <w:szCs w:val="24"/>
              </w:rPr>
            </w:pPr>
            <w:r>
              <w:rPr>
                <w:rFonts w:hint="eastAsia" w:ascii="宋体" w:hAnsi="宋体" w:cs="宋体"/>
                <w:b/>
                <w:sz w:val="24"/>
                <w:szCs w:val="24"/>
              </w:rPr>
              <w:t xml:space="preserve"> 20≤X＜300</w:t>
            </w:r>
          </w:p>
        </w:tc>
        <w:tc>
          <w:tcPr>
            <w:tcW w:w="992" w:type="dxa"/>
            <w:vAlign w:val="center"/>
          </w:tcPr>
          <w:p w14:paraId="62B4C093">
            <w:pPr>
              <w:spacing w:line="288" w:lineRule="auto"/>
              <w:rPr>
                <w:rFonts w:ascii="宋体" w:hAnsi="宋体" w:cs="宋体"/>
                <w:b/>
                <w:sz w:val="24"/>
                <w:szCs w:val="24"/>
              </w:rPr>
            </w:pPr>
            <w:r>
              <w:rPr>
                <w:rFonts w:hint="eastAsia" w:ascii="宋体" w:hAnsi="宋体" w:cs="宋体"/>
                <w:b/>
                <w:sz w:val="24"/>
                <w:szCs w:val="24"/>
              </w:rPr>
              <w:t>X＜20</w:t>
            </w:r>
          </w:p>
        </w:tc>
      </w:tr>
      <w:tr w14:paraId="549826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2A04EBCB">
            <w:pPr>
              <w:spacing w:line="288" w:lineRule="auto"/>
              <w:rPr>
                <w:rFonts w:ascii="宋体" w:hAnsi="宋体" w:cs="宋体"/>
                <w:b/>
                <w:sz w:val="24"/>
                <w:szCs w:val="24"/>
              </w:rPr>
            </w:pPr>
          </w:p>
        </w:tc>
        <w:tc>
          <w:tcPr>
            <w:tcW w:w="1369" w:type="dxa"/>
            <w:vAlign w:val="center"/>
          </w:tcPr>
          <w:p w14:paraId="131DA336">
            <w:pPr>
              <w:spacing w:line="288" w:lineRule="auto"/>
              <w:rPr>
                <w:rFonts w:ascii="宋体" w:hAnsi="宋体" w:cs="宋体"/>
                <w:b/>
                <w:sz w:val="24"/>
                <w:szCs w:val="24"/>
              </w:rPr>
            </w:pPr>
            <w:r>
              <w:rPr>
                <w:rFonts w:hint="eastAsia" w:ascii="宋体" w:hAnsi="宋体" w:cs="宋体"/>
                <w:b/>
                <w:sz w:val="24"/>
                <w:szCs w:val="24"/>
              </w:rPr>
              <w:t>营业收入(Y)</w:t>
            </w:r>
          </w:p>
        </w:tc>
        <w:tc>
          <w:tcPr>
            <w:tcW w:w="709" w:type="dxa"/>
            <w:vAlign w:val="center"/>
          </w:tcPr>
          <w:p w14:paraId="78D1C8DF">
            <w:pPr>
              <w:spacing w:line="288" w:lineRule="auto"/>
              <w:rPr>
                <w:rFonts w:ascii="宋体" w:hAnsi="宋体" w:cs="宋体"/>
                <w:b/>
                <w:sz w:val="24"/>
                <w:szCs w:val="24"/>
              </w:rPr>
            </w:pPr>
            <w:r>
              <w:rPr>
                <w:rFonts w:hint="eastAsia" w:ascii="宋体" w:hAnsi="宋体" w:cs="宋体"/>
                <w:b/>
                <w:sz w:val="24"/>
                <w:szCs w:val="24"/>
              </w:rPr>
              <w:t>万元</w:t>
            </w:r>
          </w:p>
        </w:tc>
        <w:tc>
          <w:tcPr>
            <w:tcW w:w="1125" w:type="dxa"/>
            <w:vAlign w:val="center"/>
          </w:tcPr>
          <w:p w14:paraId="55BEC541">
            <w:pPr>
              <w:spacing w:line="288" w:lineRule="auto"/>
              <w:rPr>
                <w:rFonts w:ascii="宋体" w:hAnsi="宋体" w:cs="宋体"/>
                <w:b/>
                <w:sz w:val="24"/>
                <w:szCs w:val="24"/>
              </w:rPr>
            </w:pPr>
            <w:r>
              <w:rPr>
                <w:rFonts w:hint="eastAsia" w:ascii="宋体" w:hAnsi="宋体" w:cs="宋体"/>
                <w:b/>
                <w:sz w:val="24"/>
                <w:szCs w:val="24"/>
              </w:rPr>
              <w:t>Y≥40000</w:t>
            </w:r>
          </w:p>
        </w:tc>
        <w:tc>
          <w:tcPr>
            <w:tcW w:w="1701" w:type="dxa"/>
            <w:vAlign w:val="center"/>
          </w:tcPr>
          <w:p w14:paraId="4EFA1463">
            <w:pPr>
              <w:spacing w:line="288" w:lineRule="auto"/>
              <w:rPr>
                <w:rFonts w:ascii="宋体" w:hAnsi="宋体" w:cs="宋体"/>
                <w:b/>
                <w:sz w:val="24"/>
                <w:szCs w:val="24"/>
              </w:rPr>
            </w:pPr>
            <w:r>
              <w:rPr>
                <w:rFonts w:hint="eastAsia" w:ascii="宋体" w:hAnsi="宋体" w:cs="宋体"/>
                <w:b/>
                <w:sz w:val="24"/>
                <w:szCs w:val="24"/>
              </w:rPr>
              <w:t>2000≤Y＜40000</w:t>
            </w:r>
          </w:p>
        </w:tc>
        <w:tc>
          <w:tcPr>
            <w:tcW w:w="1426" w:type="dxa"/>
            <w:vAlign w:val="center"/>
          </w:tcPr>
          <w:p w14:paraId="2049C98D">
            <w:pPr>
              <w:spacing w:line="288" w:lineRule="auto"/>
              <w:rPr>
                <w:rFonts w:ascii="宋体" w:hAnsi="宋体" w:cs="宋体"/>
                <w:b/>
                <w:sz w:val="24"/>
                <w:szCs w:val="24"/>
              </w:rPr>
            </w:pPr>
            <w:r>
              <w:rPr>
                <w:rFonts w:hint="eastAsia" w:ascii="宋体" w:hAnsi="宋体" w:cs="宋体"/>
                <w:b/>
                <w:sz w:val="24"/>
                <w:szCs w:val="24"/>
              </w:rPr>
              <w:t xml:space="preserve"> 300≤Y＜2000</w:t>
            </w:r>
          </w:p>
        </w:tc>
        <w:tc>
          <w:tcPr>
            <w:tcW w:w="992" w:type="dxa"/>
            <w:vAlign w:val="center"/>
          </w:tcPr>
          <w:p w14:paraId="3536E55C">
            <w:pPr>
              <w:spacing w:line="288" w:lineRule="auto"/>
              <w:rPr>
                <w:rFonts w:ascii="宋体" w:hAnsi="宋体" w:cs="宋体"/>
                <w:b/>
                <w:sz w:val="24"/>
                <w:szCs w:val="24"/>
              </w:rPr>
            </w:pPr>
            <w:r>
              <w:rPr>
                <w:rFonts w:hint="eastAsia" w:ascii="宋体" w:hAnsi="宋体" w:cs="宋体"/>
                <w:b/>
                <w:sz w:val="24"/>
                <w:szCs w:val="24"/>
              </w:rPr>
              <w:t>Y＜300</w:t>
            </w:r>
          </w:p>
        </w:tc>
      </w:tr>
      <w:tr w14:paraId="7C47FB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159E58F7">
            <w:pPr>
              <w:spacing w:line="288" w:lineRule="auto"/>
              <w:rPr>
                <w:rFonts w:ascii="宋体" w:hAnsi="宋体" w:cs="宋体"/>
                <w:b/>
                <w:sz w:val="24"/>
                <w:szCs w:val="24"/>
              </w:rPr>
            </w:pPr>
            <w:r>
              <w:rPr>
                <w:rFonts w:hint="eastAsia" w:ascii="宋体" w:hAnsi="宋体" w:cs="宋体"/>
                <w:b/>
                <w:sz w:val="24"/>
                <w:szCs w:val="24"/>
              </w:rPr>
              <w:t>建筑业</w:t>
            </w:r>
          </w:p>
        </w:tc>
        <w:tc>
          <w:tcPr>
            <w:tcW w:w="1369" w:type="dxa"/>
            <w:vAlign w:val="center"/>
          </w:tcPr>
          <w:p w14:paraId="05169FC1">
            <w:pPr>
              <w:spacing w:line="288" w:lineRule="auto"/>
              <w:rPr>
                <w:rFonts w:ascii="宋体" w:hAnsi="宋体" w:cs="宋体"/>
                <w:b/>
                <w:sz w:val="24"/>
                <w:szCs w:val="24"/>
              </w:rPr>
            </w:pPr>
            <w:r>
              <w:rPr>
                <w:rFonts w:hint="eastAsia" w:ascii="宋体" w:hAnsi="宋体" w:cs="宋体"/>
                <w:b/>
                <w:sz w:val="24"/>
                <w:szCs w:val="24"/>
              </w:rPr>
              <w:t>营业收入(Y)</w:t>
            </w:r>
          </w:p>
        </w:tc>
        <w:tc>
          <w:tcPr>
            <w:tcW w:w="709" w:type="dxa"/>
            <w:vAlign w:val="center"/>
          </w:tcPr>
          <w:p w14:paraId="4FBEAF6F">
            <w:pPr>
              <w:spacing w:line="288" w:lineRule="auto"/>
              <w:rPr>
                <w:rFonts w:ascii="宋体" w:hAnsi="宋体" w:cs="宋体"/>
                <w:b/>
                <w:sz w:val="24"/>
                <w:szCs w:val="24"/>
              </w:rPr>
            </w:pPr>
            <w:r>
              <w:rPr>
                <w:rFonts w:hint="eastAsia" w:ascii="宋体" w:hAnsi="宋体" w:cs="宋体"/>
                <w:b/>
                <w:sz w:val="24"/>
                <w:szCs w:val="24"/>
              </w:rPr>
              <w:t>万元</w:t>
            </w:r>
          </w:p>
        </w:tc>
        <w:tc>
          <w:tcPr>
            <w:tcW w:w="1125" w:type="dxa"/>
            <w:vAlign w:val="center"/>
          </w:tcPr>
          <w:p w14:paraId="44D4F75A">
            <w:pPr>
              <w:spacing w:line="288" w:lineRule="auto"/>
              <w:rPr>
                <w:rFonts w:ascii="宋体" w:hAnsi="宋体" w:cs="宋体"/>
                <w:b/>
                <w:sz w:val="24"/>
                <w:szCs w:val="24"/>
              </w:rPr>
            </w:pPr>
            <w:r>
              <w:rPr>
                <w:rFonts w:hint="eastAsia" w:ascii="宋体" w:hAnsi="宋体" w:cs="宋体"/>
                <w:b/>
                <w:sz w:val="24"/>
                <w:szCs w:val="24"/>
              </w:rPr>
              <w:t>Y≥80000</w:t>
            </w:r>
          </w:p>
        </w:tc>
        <w:tc>
          <w:tcPr>
            <w:tcW w:w="1701" w:type="dxa"/>
            <w:vAlign w:val="center"/>
          </w:tcPr>
          <w:p w14:paraId="14A2C09D">
            <w:pPr>
              <w:spacing w:line="288" w:lineRule="auto"/>
              <w:rPr>
                <w:rFonts w:ascii="宋体" w:hAnsi="宋体" w:cs="宋体"/>
                <w:b/>
                <w:sz w:val="24"/>
                <w:szCs w:val="24"/>
              </w:rPr>
            </w:pPr>
            <w:r>
              <w:rPr>
                <w:rFonts w:hint="eastAsia" w:ascii="宋体" w:hAnsi="宋体" w:cs="宋体"/>
                <w:b/>
                <w:sz w:val="24"/>
                <w:szCs w:val="24"/>
              </w:rPr>
              <w:t>6000≤Y＜80000</w:t>
            </w:r>
          </w:p>
        </w:tc>
        <w:tc>
          <w:tcPr>
            <w:tcW w:w="1426" w:type="dxa"/>
            <w:vAlign w:val="center"/>
          </w:tcPr>
          <w:p w14:paraId="704F918A">
            <w:pPr>
              <w:spacing w:line="288" w:lineRule="auto"/>
              <w:rPr>
                <w:rFonts w:ascii="宋体" w:hAnsi="宋体" w:cs="宋体"/>
                <w:b/>
                <w:sz w:val="24"/>
                <w:szCs w:val="24"/>
              </w:rPr>
            </w:pPr>
            <w:r>
              <w:rPr>
                <w:rFonts w:hint="eastAsia" w:ascii="宋体" w:hAnsi="宋体" w:cs="宋体"/>
                <w:b/>
                <w:sz w:val="24"/>
                <w:szCs w:val="24"/>
              </w:rPr>
              <w:t xml:space="preserve"> 300≤Y＜6000</w:t>
            </w:r>
          </w:p>
        </w:tc>
        <w:tc>
          <w:tcPr>
            <w:tcW w:w="992" w:type="dxa"/>
            <w:vAlign w:val="center"/>
          </w:tcPr>
          <w:p w14:paraId="5EB06EAF">
            <w:pPr>
              <w:spacing w:line="288" w:lineRule="auto"/>
              <w:rPr>
                <w:rFonts w:ascii="宋体" w:hAnsi="宋体" w:cs="宋体"/>
                <w:b/>
                <w:sz w:val="24"/>
                <w:szCs w:val="24"/>
              </w:rPr>
            </w:pPr>
            <w:r>
              <w:rPr>
                <w:rFonts w:hint="eastAsia" w:ascii="宋体" w:hAnsi="宋体" w:cs="宋体"/>
                <w:b/>
                <w:sz w:val="24"/>
                <w:szCs w:val="24"/>
              </w:rPr>
              <w:t>Y＜300</w:t>
            </w:r>
          </w:p>
        </w:tc>
      </w:tr>
      <w:tr w14:paraId="1BCED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04232DC4">
            <w:pPr>
              <w:spacing w:line="288" w:lineRule="auto"/>
              <w:rPr>
                <w:rFonts w:ascii="宋体" w:hAnsi="宋体" w:cs="宋体"/>
                <w:b/>
                <w:sz w:val="24"/>
                <w:szCs w:val="24"/>
              </w:rPr>
            </w:pPr>
          </w:p>
        </w:tc>
        <w:tc>
          <w:tcPr>
            <w:tcW w:w="1369" w:type="dxa"/>
            <w:vAlign w:val="center"/>
          </w:tcPr>
          <w:p w14:paraId="6AD8BCE4">
            <w:pPr>
              <w:spacing w:line="288" w:lineRule="auto"/>
              <w:rPr>
                <w:rFonts w:ascii="宋体" w:hAnsi="宋体" w:cs="宋体"/>
                <w:b/>
                <w:sz w:val="24"/>
                <w:szCs w:val="24"/>
              </w:rPr>
            </w:pPr>
            <w:r>
              <w:rPr>
                <w:rFonts w:hint="eastAsia" w:ascii="宋体" w:hAnsi="宋体" w:cs="宋体"/>
                <w:b/>
                <w:sz w:val="24"/>
                <w:szCs w:val="24"/>
              </w:rPr>
              <w:t>资产总额(Z)</w:t>
            </w:r>
          </w:p>
        </w:tc>
        <w:tc>
          <w:tcPr>
            <w:tcW w:w="709" w:type="dxa"/>
            <w:vAlign w:val="center"/>
          </w:tcPr>
          <w:p w14:paraId="6A4A0EA7">
            <w:pPr>
              <w:spacing w:line="288" w:lineRule="auto"/>
              <w:rPr>
                <w:rFonts w:ascii="宋体" w:hAnsi="宋体" w:cs="宋体"/>
                <w:b/>
                <w:sz w:val="24"/>
                <w:szCs w:val="24"/>
              </w:rPr>
            </w:pPr>
            <w:r>
              <w:rPr>
                <w:rFonts w:hint="eastAsia" w:ascii="宋体" w:hAnsi="宋体" w:cs="宋体"/>
                <w:b/>
                <w:sz w:val="24"/>
                <w:szCs w:val="24"/>
              </w:rPr>
              <w:t>万元</w:t>
            </w:r>
          </w:p>
        </w:tc>
        <w:tc>
          <w:tcPr>
            <w:tcW w:w="1125" w:type="dxa"/>
            <w:vAlign w:val="center"/>
          </w:tcPr>
          <w:p w14:paraId="1B8784A0">
            <w:pPr>
              <w:spacing w:line="288" w:lineRule="auto"/>
              <w:rPr>
                <w:rFonts w:ascii="宋体" w:hAnsi="宋体" w:cs="宋体"/>
                <w:b/>
                <w:sz w:val="24"/>
                <w:szCs w:val="24"/>
              </w:rPr>
            </w:pPr>
            <w:r>
              <w:rPr>
                <w:rFonts w:hint="eastAsia" w:ascii="宋体" w:hAnsi="宋体" w:cs="宋体"/>
                <w:b/>
                <w:sz w:val="24"/>
                <w:szCs w:val="24"/>
              </w:rPr>
              <w:t>Z≥80000</w:t>
            </w:r>
          </w:p>
        </w:tc>
        <w:tc>
          <w:tcPr>
            <w:tcW w:w="1701" w:type="dxa"/>
            <w:vAlign w:val="center"/>
          </w:tcPr>
          <w:p w14:paraId="7C1C9973">
            <w:pPr>
              <w:spacing w:line="288" w:lineRule="auto"/>
              <w:rPr>
                <w:rFonts w:ascii="宋体" w:hAnsi="宋体" w:cs="宋体"/>
                <w:b/>
                <w:sz w:val="24"/>
                <w:szCs w:val="24"/>
              </w:rPr>
            </w:pPr>
            <w:r>
              <w:rPr>
                <w:rFonts w:hint="eastAsia" w:ascii="宋体" w:hAnsi="宋体" w:cs="宋体"/>
                <w:b/>
                <w:sz w:val="24"/>
                <w:szCs w:val="24"/>
              </w:rPr>
              <w:t>5000≤Z＜80000</w:t>
            </w:r>
          </w:p>
        </w:tc>
        <w:tc>
          <w:tcPr>
            <w:tcW w:w="1426" w:type="dxa"/>
            <w:vAlign w:val="center"/>
          </w:tcPr>
          <w:p w14:paraId="29E4BD10">
            <w:pPr>
              <w:spacing w:line="288" w:lineRule="auto"/>
              <w:rPr>
                <w:rFonts w:ascii="宋体" w:hAnsi="宋体" w:cs="宋体"/>
                <w:b/>
                <w:sz w:val="24"/>
                <w:szCs w:val="24"/>
              </w:rPr>
            </w:pPr>
            <w:r>
              <w:rPr>
                <w:rFonts w:hint="eastAsia" w:ascii="宋体" w:hAnsi="宋体" w:cs="宋体"/>
                <w:b/>
                <w:sz w:val="24"/>
                <w:szCs w:val="24"/>
              </w:rPr>
              <w:t xml:space="preserve"> 300≤Z＜5000</w:t>
            </w:r>
          </w:p>
        </w:tc>
        <w:tc>
          <w:tcPr>
            <w:tcW w:w="992" w:type="dxa"/>
            <w:vAlign w:val="center"/>
          </w:tcPr>
          <w:p w14:paraId="4BE98798">
            <w:pPr>
              <w:spacing w:line="288" w:lineRule="auto"/>
              <w:rPr>
                <w:rFonts w:ascii="宋体" w:hAnsi="宋体" w:cs="宋体"/>
                <w:b/>
                <w:sz w:val="24"/>
                <w:szCs w:val="24"/>
              </w:rPr>
            </w:pPr>
            <w:r>
              <w:rPr>
                <w:rFonts w:hint="eastAsia" w:ascii="宋体" w:hAnsi="宋体" w:cs="宋体"/>
                <w:b/>
                <w:sz w:val="24"/>
                <w:szCs w:val="24"/>
              </w:rPr>
              <w:t>Z＜300</w:t>
            </w:r>
          </w:p>
        </w:tc>
      </w:tr>
      <w:tr w14:paraId="14D10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7D090634">
            <w:pPr>
              <w:spacing w:line="288" w:lineRule="auto"/>
              <w:rPr>
                <w:rFonts w:ascii="宋体" w:hAnsi="宋体" w:cs="宋体"/>
                <w:b/>
                <w:sz w:val="24"/>
                <w:szCs w:val="24"/>
              </w:rPr>
            </w:pPr>
            <w:r>
              <w:rPr>
                <w:rFonts w:hint="eastAsia" w:ascii="宋体" w:hAnsi="宋体" w:cs="宋体"/>
                <w:b/>
                <w:sz w:val="24"/>
                <w:szCs w:val="24"/>
              </w:rPr>
              <w:t>批发业</w:t>
            </w:r>
          </w:p>
        </w:tc>
        <w:tc>
          <w:tcPr>
            <w:tcW w:w="1369" w:type="dxa"/>
            <w:vAlign w:val="center"/>
          </w:tcPr>
          <w:p w14:paraId="5B6886A1">
            <w:pPr>
              <w:spacing w:line="288" w:lineRule="auto"/>
              <w:rPr>
                <w:rFonts w:ascii="宋体" w:hAnsi="宋体" w:cs="宋体"/>
                <w:b/>
                <w:sz w:val="24"/>
                <w:szCs w:val="24"/>
              </w:rPr>
            </w:pPr>
            <w:r>
              <w:rPr>
                <w:rFonts w:hint="eastAsia" w:ascii="宋体" w:hAnsi="宋体" w:cs="宋体"/>
                <w:b/>
                <w:sz w:val="24"/>
                <w:szCs w:val="24"/>
              </w:rPr>
              <w:t>从业人员(X)</w:t>
            </w:r>
          </w:p>
        </w:tc>
        <w:tc>
          <w:tcPr>
            <w:tcW w:w="709" w:type="dxa"/>
            <w:vAlign w:val="center"/>
          </w:tcPr>
          <w:p w14:paraId="0D15707C">
            <w:pPr>
              <w:spacing w:line="288" w:lineRule="auto"/>
              <w:rPr>
                <w:rFonts w:ascii="宋体" w:hAnsi="宋体" w:cs="宋体"/>
                <w:b/>
                <w:sz w:val="24"/>
                <w:szCs w:val="24"/>
              </w:rPr>
            </w:pPr>
            <w:r>
              <w:rPr>
                <w:rFonts w:hint="eastAsia" w:ascii="宋体" w:hAnsi="宋体" w:cs="宋体"/>
                <w:b/>
                <w:sz w:val="24"/>
                <w:szCs w:val="24"/>
              </w:rPr>
              <w:t>人</w:t>
            </w:r>
          </w:p>
        </w:tc>
        <w:tc>
          <w:tcPr>
            <w:tcW w:w="1125" w:type="dxa"/>
            <w:vAlign w:val="center"/>
          </w:tcPr>
          <w:p w14:paraId="3053768A">
            <w:pPr>
              <w:spacing w:line="288" w:lineRule="auto"/>
              <w:rPr>
                <w:rFonts w:ascii="宋体" w:hAnsi="宋体" w:cs="宋体"/>
                <w:b/>
                <w:sz w:val="24"/>
                <w:szCs w:val="24"/>
              </w:rPr>
            </w:pPr>
            <w:r>
              <w:rPr>
                <w:rFonts w:hint="eastAsia" w:ascii="宋体" w:hAnsi="宋体" w:cs="宋体"/>
                <w:b/>
                <w:sz w:val="24"/>
                <w:szCs w:val="24"/>
              </w:rPr>
              <w:t>X≥200</w:t>
            </w:r>
          </w:p>
        </w:tc>
        <w:tc>
          <w:tcPr>
            <w:tcW w:w="1701" w:type="dxa"/>
            <w:vAlign w:val="center"/>
          </w:tcPr>
          <w:p w14:paraId="2730E3CD">
            <w:pPr>
              <w:spacing w:line="288" w:lineRule="auto"/>
              <w:rPr>
                <w:rFonts w:ascii="宋体" w:hAnsi="宋体" w:cs="宋体"/>
                <w:b/>
                <w:sz w:val="24"/>
                <w:szCs w:val="24"/>
              </w:rPr>
            </w:pPr>
            <w:r>
              <w:rPr>
                <w:rFonts w:hint="eastAsia" w:ascii="宋体" w:hAnsi="宋体" w:cs="宋体"/>
                <w:b/>
                <w:sz w:val="24"/>
                <w:szCs w:val="24"/>
              </w:rPr>
              <w:t>20≤X＜200</w:t>
            </w:r>
          </w:p>
        </w:tc>
        <w:tc>
          <w:tcPr>
            <w:tcW w:w="1426" w:type="dxa"/>
            <w:vAlign w:val="center"/>
          </w:tcPr>
          <w:p w14:paraId="04A0FDA7">
            <w:pPr>
              <w:spacing w:line="288" w:lineRule="auto"/>
              <w:rPr>
                <w:rFonts w:ascii="宋体" w:hAnsi="宋体" w:cs="宋体"/>
                <w:b/>
                <w:sz w:val="24"/>
                <w:szCs w:val="24"/>
              </w:rPr>
            </w:pPr>
            <w:r>
              <w:rPr>
                <w:rFonts w:hint="eastAsia" w:ascii="宋体" w:hAnsi="宋体" w:cs="宋体"/>
                <w:b/>
                <w:sz w:val="24"/>
                <w:szCs w:val="24"/>
              </w:rPr>
              <w:t xml:space="preserve"> 5≤X＜20</w:t>
            </w:r>
          </w:p>
        </w:tc>
        <w:tc>
          <w:tcPr>
            <w:tcW w:w="992" w:type="dxa"/>
            <w:vAlign w:val="center"/>
          </w:tcPr>
          <w:p w14:paraId="51FF0B8C">
            <w:pPr>
              <w:spacing w:line="288" w:lineRule="auto"/>
              <w:rPr>
                <w:rFonts w:ascii="宋体" w:hAnsi="宋体" w:cs="宋体"/>
                <w:b/>
                <w:sz w:val="24"/>
                <w:szCs w:val="24"/>
              </w:rPr>
            </w:pPr>
            <w:r>
              <w:rPr>
                <w:rFonts w:hint="eastAsia" w:ascii="宋体" w:hAnsi="宋体" w:cs="宋体"/>
                <w:b/>
                <w:sz w:val="24"/>
                <w:szCs w:val="24"/>
              </w:rPr>
              <w:t>X＜5</w:t>
            </w:r>
          </w:p>
        </w:tc>
      </w:tr>
      <w:tr w14:paraId="6D496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3E448392">
            <w:pPr>
              <w:spacing w:line="288" w:lineRule="auto"/>
              <w:rPr>
                <w:rFonts w:ascii="宋体" w:hAnsi="宋体" w:cs="宋体"/>
                <w:b/>
                <w:sz w:val="24"/>
                <w:szCs w:val="24"/>
              </w:rPr>
            </w:pPr>
          </w:p>
        </w:tc>
        <w:tc>
          <w:tcPr>
            <w:tcW w:w="1369" w:type="dxa"/>
            <w:vAlign w:val="center"/>
          </w:tcPr>
          <w:p w14:paraId="78776437">
            <w:pPr>
              <w:spacing w:line="288" w:lineRule="auto"/>
              <w:rPr>
                <w:rFonts w:ascii="宋体" w:hAnsi="宋体" w:cs="宋体"/>
                <w:b/>
                <w:sz w:val="24"/>
                <w:szCs w:val="24"/>
              </w:rPr>
            </w:pPr>
            <w:r>
              <w:rPr>
                <w:rFonts w:hint="eastAsia" w:ascii="宋体" w:hAnsi="宋体" w:cs="宋体"/>
                <w:b/>
                <w:sz w:val="24"/>
                <w:szCs w:val="24"/>
              </w:rPr>
              <w:t>营业收入(Y)</w:t>
            </w:r>
          </w:p>
        </w:tc>
        <w:tc>
          <w:tcPr>
            <w:tcW w:w="709" w:type="dxa"/>
            <w:vAlign w:val="center"/>
          </w:tcPr>
          <w:p w14:paraId="5A55CD80">
            <w:pPr>
              <w:spacing w:line="288" w:lineRule="auto"/>
              <w:rPr>
                <w:rFonts w:ascii="宋体" w:hAnsi="宋体" w:cs="宋体"/>
                <w:b/>
                <w:sz w:val="24"/>
                <w:szCs w:val="24"/>
              </w:rPr>
            </w:pPr>
            <w:r>
              <w:rPr>
                <w:rFonts w:hint="eastAsia" w:ascii="宋体" w:hAnsi="宋体" w:cs="宋体"/>
                <w:b/>
                <w:sz w:val="24"/>
                <w:szCs w:val="24"/>
              </w:rPr>
              <w:t>万元</w:t>
            </w:r>
          </w:p>
        </w:tc>
        <w:tc>
          <w:tcPr>
            <w:tcW w:w="1125" w:type="dxa"/>
            <w:vAlign w:val="center"/>
          </w:tcPr>
          <w:p w14:paraId="187001FE">
            <w:pPr>
              <w:spacing w:line="288" w:lineRule="auto"/>
              <w:rPr>
                <w:rFonts w:ascii="宋体" w:hAnsi="宋体" w:cs="宋体"/>
                <w:b/>
                <w:sz w:val="24"/>
                <w:szCs w:val="24"/>
              </w:rPr>
            </w:pPr>
            <w:r>
              <w:rPr>
                <w:rFonts w:hint="eastAsia" w:ascii="宋体" w:hAnsi="宋体" w:cs="宋体"/>
                <w:b/>
                <w:sz w:val="24"/>
                <w:szCs w:val="24"/>
              </w:rPr>
              <w:t>Y≥40000</w:t>
            </w:r>
          </w:p>
        </w:tc>
        <w:tc>
          <w:tcPr>
            <w:tcW w:w="1701" w:type="dxa"/>
            <w:vAlign w:val="center"/>
          </w:tcPr>
          <w:p w14:paraId="6E4072B1">
            <w:pPr>
              <w:spacing w:line="288" w:lineRule="auto"/>
              <w:rPr>
                <w:rFonts w:ascii="宋体" w:hAnsi="宋体" w:cs="宋体"/>
                <w:b/>
                <w:sz w:val="24"/>
                <w:szCs w:val="24"/>
              </w:rPr>
            </w:pPr>
            <w:r>
              <w:rPr>
                <w:rFonts w:hint="eastAsia" w:ascii="宋体" w:hAnsi="宋体" w:cs="宋体"/>
                <w:b/>
                <w:sz w:val="24"/>
                <w:szCs w:val="24"/>
              </w:rPr>
              <w:t>5000≤Y＜40000</w:t>
            </w:r>
          </w:p>
        </w:tc>
        <w:tc>
          <w:tcPr>
            <w:tcW w:w="1426" w:type="dxa"/>
            <w:vAlign w:val="center"/>
          </w:tcPr>
          <w:p w14:paraId="2692E734">
            <w:pPr>
              <w:spacing w:line="288" w:lineRule="auto"/>
              <w:ind w:left="-1" w:leftChars="-1" w:hanging="1"/>
              <w:rPr>
                <w:rFonts w:ascii="宋体" w:hAnsi="宋体" w:cs="宋体"/>
                <w:b/>
                <w:sz w:val="24"/>
                <w:szCs w:val="24"/>
              </w:rPr>
            </w:pPr>
            <w:r>
              <w:rPr>
                <w:rFonts w:hint="eastAsia" w:ascii="宋体" w:hAnsi="宋体" w:cs="宋体"/>
                <w:b/>
                <w:sz w:val="24"/>
                <w:szCs w:val="24"/>
              </w:rPr>
              <w:t>1000≤Y＜5000</w:t>
            </w:r>
          </w:p>
        </w:tc>
        <w:tc>
          <w:tcPr>
            <w:tcW w:w="992" w:type="dxa"/>
            <w:vAlign w:val="center"/>
          </w:tcPr>
          <w:p w14:paraId="13207FF8">
            <w:pPr>
              <w:spacing w:line="288" w:lineRule="auto"/>
              <w:rPr>
                <w:rFonts w:ascii="宋体" w:hAnsi="宋体" w:cs="宋体"/>
                <w:b/>
                <w:sz w:val="24"/>
                <w:szCs w:val="24"/>
              </w:rPr>
            </w:pPr>
            <w:r>
              <w:rPr>
                <w:rFonts w:hint="eastAsia" w:ascii="宋体" w:hAnsi="宋体" w:cs="宋体"/>
                <w:b/>
                <w:sz w:val="24"/>
                <w:szCs w:val="24"/>
              </w:rPr>
              <w:t>Y＜1000</w:t>
            </w:r>
          </w:p>
        </w:tc>
      </w:tr>
      <w:tr w14:paraId="66960A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7C239F4E">
            <w:pPr>
              <w:spacing w:line="288" w:lineRule="auto"/>
              <w:rPr>
                <w:rFonts w:ascii="宋体" w:hAnsi="宋体" w:cs="宋体"/>
                <w:b/>
                <w:sz w:val="24"/>
                <w:szCs w:val="24"/>
              </w:rPr>
            </w:pPr>
            <w:r>
              <w:rPr>
                <w:rFonts w:hint="eastAsia" w:ascii="宋体" w:hAnsi="宋体" w:cs="宋体"/>
                <w:b/>
                <w:sz w:val="24"/>
                <w:szCs w:val="24"/>
              </w:rPr>
              <w:t>零售业</w:t>
            </w:r>
          </w:p>
        </w:tc>
        <w:tc>
          <w:tcPr>
            <w:tcW w:w="1369" w:type="dxa"/>
            <w:vAlign w:val="center"/>
          </w:tcPr>
          <w:p w14:paraId="715DB8EB">
            <w:pPr>
              <w:spacing w:line="288" w:lineRule="auto"/>
              <w:rPr>
                <w:rFonts w:ascii="宋体" w:hAnsi="宋体" w:cs="宋体"/>
                <w:b/>
                <w:sz w:val="24"/>
                <w:szCs w:val="24"/>
              </w:rPr>
            </w:pPr>
            <w:r>
              <w:rPr>
                <w:rFonts w:hint="eastAsia" w:ascii="宋体" w:hAnsi="宋体" w:cs="宋体"/>
                <w:b/>
                <w:sz w:val="24"/>
                <w:szCs w:val="24"/>
              </w:rPr>
              <w:t>从业人员(X)</w:t>
            </w:r>
          </w:p>
        </w:tc>
        <w:tc>
          <w:tcPr>
            <w:tcW w:w="709" w:type="dxa"/>
            <w:vAlign w:val="center"/>
          </w:tcPr>
          <w:p w14:paraId="55D28518">
            <w:pPr>
              <w:spacing w:line="288" w:lineRule="auto"/>
              <w:rPr>
                <w:rFonts w:ascii="宋体" w:hAnsi="宋体" w:cs="宋体"/>
                <w:b/>
                <w:sz w:val="24"/>
                <w:szCs w:val="24"/>
              </w:rPr>
            </w:pPr>
            <w:r>
              <w:rPr>
                <w:rFonts w:hint="eastAsia" w:ascii="宋体" w:hAnsi="宋体" w:cs="宋体"/>
                <w:b/>
                <w:sz w:val="24"/>
                <w:szCs w:val="24"/>
              </w:rPr>
              <w:t>人</w:t>
            </w:r>
          </w:p>
        </w:tc>
        <w:tc>
          <w:tcPr>
            <w:tcW w:w="1125" w:type="dxa"/>
            <w:vAlign w:val="center"/>
          </w:tcPr>
          <w:p w14:paraId="719EF388">
            <w:pPr>
              <w:spacing w:line="288" w:lineRule="auto"/>
              <w:rPr>
                <w:rFonts w:ascii="宋体" w:hAnsi="宋体" w:cs="宋体"/>
                <w:b/>
                <w:sz w:val="24"/>
                <w:szCs w:val="24"/>
              </w:rPr>
            </w:pPr>
            <w:r>
              <w:rPr>
                <w:rFonts w:hint="eastAsia" w:ascii="宋体" w:hAnsi="宋体" w:cs="宋体"/>
                <w:b/>
                <w:sz w:val="24"/>
                <w:szCs w:val="24"/>
              </w:rPr>
              <w:t>X≥300</w:t>
            </w:r>
          </w:p>
        </w:tc>
        <w:tc>
          <w:tcPr>
            <w:tcW w:w="1701" w:type="dxa"/>
            <w:vAlign w:val="center"/>
          </w:tcPr>
          <w:p w14:paraId="133EE7EE">
            <w:pPr>
              <w:spacing w:line="288" w:lineRule="auto"/>
              <w:rPr>
                <w:rFonts w:ascii="宋体" w:hAnsi="宋体" w:cs="宋体"/>
                <w:b/>
                <w:sz w:val="24"/>
                <w:szCs w:val="24"/>
              </w:rPr>
            </w:pPr>
            <w:r>
              <w:rPr>
                <w:rFonts w:hint="eastAsia" w:ascii="宋体" w:hAnsi="宋体" w:cs="宋体"/>
                <w:b/>
                <w:sz w:val="24"/>
                <w:szCs w:val="24"/>
              </w:rPr>
              <w:t>50≤X＜300</w:t>
            </w:r>
          </w:p>
        </w:tc>
        <w:tc>
          <w:tcPr>
            <w:tcW w:w="1426" w:type="dxa"/>
            <w:vAlign w:val="center"/>
          </w:tcPr>
          <w:p w14:paraId="30C97D10">
            <w:pPr>
              <w:spacing w:line="288" w:lineRule="auto"/>
              <w:ind w:left="-1" w:leftChars="-1" w:hanging="1"/>
              <w:rPr>
                <w:rFonts w:ascii="宋体" w:hAnsi="宋体" w:cs="宋体"/>
                <w:b/>
                <w:sz w:val="24"/>
                <w:szCs w:val="24"/>
              </w:rPr>
            </w:pPr>
            <w:r>
              <w:rPr>
                <w:rFonts w:hint="eastAsia" w:ascii="宋体" w:hAnsi="宋体" w:cs="宋体"/>
                <w:b/>
                <w:sz w:val="24"/>
                <w:szCs w:val="24"/>
              </w:rPr>
              <w:t xml:space="preserve">10≤X＜50 </w:t>
            </w:r>
          </w:p>
        </w:tc>
        <w:tc>
          <w:tcPr>
            <w:tcW w:w="992" w:type="dxa"/>
            <w:vAlign w:val="center"/>
          </w:tcPr>
          <w:p w14:paraId="333E88E1">
            <w:pPr>
              <w:spacing w:line="288" w:lineRule="auto"/>
              <w:rPr>
                <w:rFonts w:ascii="宋体" w:hAnsi="宋体" w:cs="宋体"/>
                <w:b/>
                <w:sz w:val="24"/>
                <w:szCs w:val="24"/>
              </w:rPr>
            </w:pPr>
            <w:r>
              <w:rPr>
                <w:rFonts w:hint="eastAsia" w:ascii="宋体" w:hAnsi="宋体" w:cs="宋体"/>
                <w:b/>
                <w:sz w:val="24"/>
                <w:szCs w:val="24"/>
              </w:rPr>
              <w:t>X＜10</w:t>
            </w:r>
          </w:p>
        </w:tc>
      </w:tr>
      <w:tr w14:paraId="1C50FE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0C8ED2EC">
            <w:pPr>
              <w:spacing w:line="288" w:lineRule="auto"/>
              <w:rPr>
                <w:rFonts w:ascii="宋体" w:hAnsi="宋体" w:cs="宋体"/>
                <w:b/>
                <w:sz w:val="24"/>
                <w:szCs w:val="24"/>
              </w:rPr>
            </w:pPr>
          </w:p>
        </w:tc>
        <w:tc>
          <w:tcPr>
            <w:tcW w:w="1369" w:type="dxa"/>
            <w:vAlign w:val="center"/>
          </w:tcPr>
          <w:p w14:paraId="3D9E2A95">
            <w:pPr>
              <w:spacing w:line="288" w:lineRule="auto"/>
              <w:rPr>
                <w:rFonts w:ascii="宋体" w:hAnsi="宋体" w:cs="宋体"/>
                <w:b/>
                <w:sz w:val="24"/>
                <w:szCs w:val="24"/>
              </w:rPr>
            </w:pPr>
            <w:r>
              <w:rPr>
                <w:rFonts w:hint="eastAsia" w:ascii="宋体" w:hAnsi="宋体" w:cs="宋体"/>
                <w:b/>
                <w:sz w:val="24"/>
                <w:szCs w:val="24"/>
              </w:rPr>
              <w:t>营业收入(Y)</w:t>
            </w:r>
          </w:p>
        </w:tc>
        <w:tc>
          <w:tcPr>
            <w:tcW w:w="709" w:type="dxa"/>
            <w:vAlign w:val="center"/>
          </w:tcPr>
          <w:p w14:paraId="292E270D">
            <w:pPr>
              <w:spacing w:line="288" w:lineRule="auto"/>
              <w:rPr>
                <w:rFonts w:ascii="宋体" w:hAnsi="宋体" w:cs="宋体"/>
                <w:b/>
                <w:sz w:val="24"/>
                <w:szCs w:val="24"/>
              </w:rPr>
            </w:pPr>
            <w:r>
              <w:rPr>
                <w:rFonts w:hint="eastAsia" w:ascii="宋体" w:hAnsi="宋体" w:cs="宋体"/>
                <w:b/>
                <w:sz w:val="24"/>
                <w:szCs w:val="24"/>
              </w:rPr>
              <w:t>万元</w:t>
            </w:r>
          </w:p>
        </w:tc>
        <w:tc>
          <w:tcPr>
            <w:tcW w:w="1125" w:type="dxa"/>
            <w:vAlign w:val="center"/>
          </w:tcPr>
          <w:p w14:paraId="6410C142">
            <w:pPr>
              <w:spacing w:line="288" w:lineRule="auto"/>
              <w:rPr>
                <w:rFonts w:ascii="宋体" w:hAnsi="宋体" w:cs="宋体"/>
                <w:b/>
                <w:sz w:val="24"/>
                <w:szCs w:val="24"/>
              </w:rPr>
            </w:pPr>
            <w:r>
              <w:rPr>
                <w:rFonts w:hint="eastAsia" w:ascii="宋体" w:hAnsi="宋体" w:cs="宋体"/>
                <w:b/>
                <w:sz w:val="24"/>
                <w:szCs w:val="24"/>
              </w:rPr>
              <w:t>Y≥20000</w:t>
            </w:r>
          </w:p>
        </w:tc>
        <w:tc>
          <w:tcPr>
            <w:tcW w:w="1701" w:type="dxa"/>
            <w:vAlign w:val="center"/>
          </w:tcPr>
          <w:p w14:paraId="109DBF27">
            <w:pPr>
              <w:spacing w:line="288" w:lineRule="auto"/>
              <w:rPr>
                <w:rFonts w:ascii="宋体" w:hAnsi="宋体" w:cs="宋体"/>
                <w:b/>
                <w:sz w:val="24"/>
                <w:szCs w:val="24"/>
              </w:rPr>
            </w:pPr>
            <w:r>
              <w:rPr>
                <w:rFonts w:hint="eastAsia" w:ascii="宋体" w:hAnsi="宋体" w:cs="宋体"/>
                <w:b/>
                <w:sz w:val="24"/>
                <w:szCs w:val="24"/>
              </w:rPr>
              <w:t xml:space="preserve"> 500≤Y＜20000</w:t>
            </w:r>
          </w:p>
        </w:tc>
        <w:tc>
          <w:tcPr>
            <w:tcW w:w="1426" w:type="dxa"/>
            <w:vAlign w:val="center"/>
          </w:tcPr>
          <w:p w14:paraId="5BD72537">
            <w:pPr>
              <w:spacing w:line="288" w:lineRule="auto"/>
              <w:ind w:left="-1" w:leftChars="-1" w:hanging="1"/>
              <w:rPr>
                <w:rFonts w:ascii="宋体" w:hAnsi="宋体" w:cs="宋体"/>
                <w:b/>
                <w:sz w:val="24"/>
                <w:szCs w:val="24"/>
              </w:rPr>
            </w:pPr>
            <w:r>
              <w:rPr>
                <w:rFonts w:hint="eastAsia" w:ascii="宋体" w:hAnsi="宋体" w:cs="宋体"/>
                <w:b/>
                <w:sz w:val="24"/>
                <w:szCs w:val="24"/>
              </w:rPr>
              <w:t xml:space="preserve">100≤Y＜500 </w:t>
            </w:r>
          </w:p>
        </w:tc>
        <w:tc>
          <w:tcPr>
            <w:tcW w:w="992" w:type="dxa"/>
            <w:vAlign w:val="center"/>
          </w:tcPr>
          <w:p w14:paraId="69B90B24">
            <w:pPr>
              <w:spacing w:line="288" w:lineRule="auto"/>
              <w:rPr>
                <w:rFonts w:ascii="宋体" w:hAnsi="宋体" w:cs="宋体"/>
                <w:b/>
                <w:sz w:val="24"/>
                <w:szCs w:val="24"/>
              </w:rPr>
            </w:pPr>
            <w:r>
              <w:rPr>
                <w:rFonts w:hint="eastAsia" w:ascii="宋体" w:hAnsi="宋体" w:cs="宋体"/>
                <w:b/>
                <w:sz w:val="24"/>
                <w:szCs w:val="24"/>
              </w:rPr>
              <w:t>Y＜100</w:t>
            </w:r>
          </w:p>
        </w:tc>
      </w:tr>
      <w:tr w14:paraId="60F1D5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5C1DDE0D">
            <w:pPr>
              <w:spacing w:line="288" w:lineRule="auto"/>
              <w:rPr>
                <w:rFonts w:ascii="宋体" w:hAnsi="宋体" w:cs="宋体"/>
                <w:b/>
                <w:sz w:val="24"/>
                <w:szCs w:val="24"/>
              </w:rPr>
            </w:pPr>
            <w:r>
              <w:rPr>
                <w:rFonts w:hint="eastAsia" w:ascii="宋体" w:hAnsi="宋体" w:cs="宋体"/>
                <w:b/>
                <w:sz w:val="24"/>
                <w:szCs w:val="24"/>
              </w:rPr>
              <w:t>交通运输业 *</w:t>
            </w:r>
          </w:p>
        </w:tc>
        <w:tc>
          <w:tcPr>
            <w:tcW w:w="1369" w:type="dxa"/>
            <w:vAlign w:val="center"/>
          </w:tcPr>
          <w:p w14:paraId="330A41F0">
            <w:pPr>
              <w:spacing w:line="288" w:lineRule="auto"/>
              <w:rPr>
                <w:rFonts w:ascii="宋体" w:hAnsi="宋体" w:cs="宋体"/>
                <w:b/>
                <w:sz w:val="24"/>
                <w:szCs w:val="24"/>
              </w:rPr>
            </w:pPr>
            <w:r>
              <w:rPr>
                <w:rFonts w:hint="eastAsia" w:ascii="宋体" w:hAnsi="宋体" w:cs="宋体"/>
                <w:b/>
                <w:sz w:val="24"/>
                <w:szCs w:val="24"/>
              </w:rPr>
              <w:t>从业人员(X)</w:t>
            </w:r>
          </w:p>
        </w:tc>
        <w:tc>
          <w:tcPr>
            <w:tcW w:w="709" w:type="dxa"/>
            <w:vAlign w:val="center"/>
          </w:tcPr>
          <w:p w14:paraId="095B7CE2">
            <w:pPr>
              <w:spacing w:line="288" w:lineRule="auto"/>
              <w:rPr>
                <w:rFonts w:ascii="宋体" w:hAnsi="宋体" w:cs="宋体"/>
                <w:b/>
                <w:sz w:val="24"/>
                <w:szCs w:val="24"/>
              </w:rPr>
            </w:pPr>
            <w:r>
              <w:rPr>
                <w:rFonts w:hint="eastAsia" w:ascii="宋体" w:hAnsi="宋体" w:cs="宋体"/>
                <w:b/>
                <w:sz w:val="24"/>
                <w:szCs w:val="24"/>
              </w:rPr>
              <w:t>人</w:t>
            </w:r>
          </w:p>
        </w:tc>
        <w:tc>
          <w:tcPr>
            <w:tcW w:w="1125" w:type="dxa"/>
            <w:vAlign w:val="center"/>
          </w:tcPr>
          <w:p w14:paraId="05D830D4">
            <w:pPr>
              <w:spacing w:line="288" w:lineRule="auto"/>
              <w:rPr>
                <w:rFonts w:ascii="宋体" w:hAnsi="宋体" w:cs="宋体"/>
                <w:b/>
                <w:sz w:val="24"/>
                <w:szCs w:val="24"/>
              </w:rPr>
            </w:pPr>
            <w:r>
              <w:rPr>
                <w:rFonts w:hint="eastAsia" w:ascii="宋体" w:hAnsi="宋体" w:cs="宋体"/>
                <w:b/>
                <w:sz w:val="24"/>
                <w:szCs w:val="24"/>
              </w:rPr>
              <w:t>X≥1000</w:t>
            </w:r>
          </w:p>
        </w:tc>
        <w:tc>
          <w:tcPr>
            <w:tcW w:w="1701" w:type="dxa"/>
            <w:vAlign w:val="center"/>
          </w:tcPr>
          <w:p w14:paraId="23C14149">
            <w:pPr>
              <w:spacing w:line="288" w:lineRule="auto"/>
              <w:rPr>
                <w:rFonts w:ascii="宋体" w:hAnsi="宋体" w:cs="宋体"/>
                <w:b/>
                <w:sz w:val="24"/>
                <w:szCs w:val="24"/>
              </w:rPr>
            </w:pPr>
            <w:r>
              <w:rPr>
                <w:rFonts w:hint="eastAsia" w:ascii="宋体" w:hAnsi="宋体" w:cs="宋体"/>
                <w:b/>
                <w:sz w:val="24"/>
                <w:szCs w:val="24"/>
              </w:rPr>
              <w:t>300≤X＜1000</w:t>
            </w:r>
          </w:p>
        </w:tc>
        <w:tc>
          <w:tcPr>
            <w:tcW w:w="1426" w:type="dxa"/>
            <w:vAlign w:val="center"/>
          </w:tcPr>
          <w:p w14:paraId="271B5516">
            <w:pPr>
              <w:spacing w:line="288" w:lineRule="auto"/>
              <w:rPr>
                <w:rFonts w:ascii="宋体" w:hAnsi="宋体" w:cs="宋体"/>
                <w:b/>
                <w:sz w:val="24"/>
                <w:szCs w:val="24"/>
              </w:rPr>
            </w:pPr>
            <w:r>
              <w:rPr>
                <w:rFonts w:hint="eastAsia" w:ascii="宋体" w:hAnsi="宋体" w:cs="宋体"/>
                <w:b/>
                <w:sz w:val="24"/>
                <w:szCs w:val="24"/>
              </w:rPr>
              <w:t xml:space="preserve"> 20≤X＜300</w:t>
            </w:r>
          </w:p>
        </w:tc>
        <w:tc>
          <w:tcPr>
            <w:tcW w:w="992" w:type="dxa"/>
            <w:vAlign w:val="center"/>
          </w:tcPr>
          <w:p w14:paraId="738270F2">
            <w:pPr>
              <w:spacing w:line="288" w:lineRule="auto"/>
              <w:rPr>
                <w:rFonts w:ascii="宋体" w:hAnsi="宋体" w:cs="宋体"/>
                <w:b/>
                <w:sz w:val="24"/>
                <w:szCs w:val="24"/>
              </w:rPr>
            </w:pPr>
            <w:r>
              <w:rPr>
                <w:rFonts w:hint="eastAsia" w:ascii="宋体" w:hAnsi="宋体" w:cs="宋体"/>
                <w:b/>
                <w:sz w:val="24"/>
                <w:szCs w:val="24"/>
              </w:rPr>
              <w:t>X＜20</w:t>
            </w:r>
          </w:p>
        </w:tc>
      </w:tr>
      <w:tr w14:paraId="057AF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6EE83DCE">
            <w:pPr>
              <w:spacing w:line="288" w:lineRule="auto"/>
              <w:rPr>
                <w:rFonts w:ascii="宋体" w:hAnsi="宋体" w:cs="宋体"/>
                <w:b/>
                <w:sz w:val="24"/>
                <w:szCs w:val="24"/>
              </w:rPr>
            </w:pPr>
          </w:p>
        </w:tc>
        <w:tc>
          <w:tcPr>
            <w:tcW w:w="1369" w:type="dxa"/>
            <w:vAlign w:val="center"/>
          </w:tcPr>
          <w:p w14:paraId="1F7EB8D8">
            <w:pPr>
              <w:spacing w:line="288" w:lineRule="auto"/>
              <w:rPr>
                <w:rFonts w:ascii="宋体" w:hAnsi="宋体" w:cs="宋体"/>
                <w:b/>
                <w:sz w:val="24"/>
                <w:szCs w:val="24"/>
              </w:rPr>
            </w:pPr>
            <w:r>
              <w:rPr>
                <w:rFonts w:hint="eastAsia" w:ascii="宋体" w:hAnsi="宋体" w:cs="宋体"/>
                <w:b/>
                <w:sz w:val="24"/>
                <w:szCs w:val="24"/>
              </w:rPr>
              <w:t>营业收入(Y)</w:t>
            </w:r>
          </w:p>
        </w:tc>
        <w:tc>
          <w:tcPr>
            <w:tcW w:w="709" w:type="dxa"/>
            <w:vAlign w:val="center"/>
          </w:tcPr>
          <w:p w14:paraId="2522CD66">
            <w:pPr>
              <w:spacing w:line="288" w:lineRule="auto"/>
              <w:rPr>
                <w:rFonts w:ascii="宋体" w:hAnsi="宋体" w:cs="宋体"/>
                <w:b/>
                <w:sz w:val="24"/>
                <w:szCs w:val="24"/>
              </w:rPr>
            </w:pPr>
            <w:r>
              <w:rPr>
                <w:rFonts w:hint="eastAsia" w:ascii="宋体" w:hAnsi="宋体" w:cs="宋体"/>
                <w:b/>
                <w:sz w:val="24"/>
                <w:szCs w:val="24"/>
              </w:rPr>
              <w:t>万元</w:t>
            </w:r>
          </w:p>
        </w:tc>
        <w:tc>
          <w:tcPr>
            <w:tcW w:w="1125" w:type="dxa"/>
            <w:vAlign w:val="center"/>
          </w:tcPr>
          <w:p w14:paraId="5DE11310">
            <w:pPr>
              <w:spacing w:line="288" w:lineRule="auto"/>
              <w:rPr>
                <w:rFonts w:ascii="宋体" w:hAnsi="宋体" w:cs="宋体"/>
                <w:b/>
                <w:sz w:val="24"/>
                <w:szCs w:val="24"/>
              </w:rPr>
            </w:pPr>
            <w:r>
              <w:rPr>
                <w:rFonts w:hint="eastAsia" w:ascii="宋体" w:hAnsi="宋体" w:cs="宋体"/>
                <w:b/>
                <w:sz w:val="24"/>
                <w:szCs w:val="24"/>
              </w:rPr>
              <w:t>Y≥30000</w:t>
            </w:r>
          </w:p>
        </w:tc>
        <w:tc>
          <w:tcPr>
            <w:tcW w:w="1701" w:type="dxa"/>
            <w:vAlign w:val="center"/>
          </w:tcPr>
          <w:p w14:paraId="12898F5D">
            <w:pPr>
              <w:spacing w:line="288" w:lineRule="auto"/>
              <w:rPr>
                <w:rFonts w:ascii="宋体" w:hAnsi="宋体" w:cs="宋体"/>
                <w:b/>
                <w:sz w:val="24"/>
                <w:szCs w:val="24"/>
              </w:rPr>
            </w:pPr>
            <w:r>
              <w:rPr>
                <w:rFonts w:hint="eastAsia" w:ascii="宋体" w:hAnsi="宋体" w:cs="宋体"/>
                <w:b/>
                <w:sz w:val="24"/>
                <w:szCs w:val="24"/>
              </w:rPr>
              <w:t>3000≤Y＜30000</w:t>
            </w:r>
          </w:p>
        </w:tc>
        <w:tc>
          <w:tcPr>
            <w:tcW w:w="1426" w:type="dxa"/>
            <w:vAlign w:val="center"/>
          </w:tcPr>
          <w:p w14:paraId="63EB24BB">
            <w:pPr>
              <w:spacing w:line="288" w:lineRule="auto"/>
              <w:rPr>
                <w:rFonts w:ascii="宋体" w:hAnsi="宋体" w:cs="宋体"/>
                <w:b/>
                <w:sz w:val="24"/>
                <w:szCs w:val="24"/>
              </w:rPr>
            </w:pPr>
            <w:r>
              <w:rPr>
                <w:rFonts w:hint="eastAsia" w:ascii="宋体" w:hAnsi="宋体" w:cs="宋体"/>
                <w:b/>
                <w:sz w:val="24"/>
                <w:szCs w:val="24"/>
              </w:rPr>
              <w:t xml:space="preserve"> 200≤Y＜3000</w:t>
            </w:r>
          </w:p>
        </w:tc>
        <w:tc>
          <w:tcPr>
            <w:tcW w:w="992" w:type="dxa"/>
            <w:vAlign w:val="center"/>
          </w:tcPr>
          <w:p w14:paraId="1D9BAC24">
            <w:pPr>
              <w:spacing w:line="288" w:lineRule="auto"/>
              <w:rPr>
                <w:rFonts w:ascii="宋体" w:hAnsi="宋体" w:cs="宋体"/>
                <w:b/>
                <w:sz w:val="24"/>
                <w:szCs w:val="24"/>
              </w:rPr>
            </w:pPr>
            <w:r>
              <w:rPr>
                <w:rFonts w:hint="eastAsia" w:ascii="宋体" w:hAnsi="宋体" w:cs="宋体"/>
                <w:b/>
                <w:sz w:val="24"/>
                <w:szCs w:val="24"/>
              </w:rPr>
              <w:t>Y＜200</w:t>
            </w:r>
          </w:p>
        </w:tc>
      </w:tr>
      <w:tr w14:paraId="5E29D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7872AAD7">
            <w:pPr>
              <w:spacing w:line="288" w:lineRule="auto"/>
              <w:rPr>
                <w:rFonts w:ascii="宋体" w:hAnsi="宋体" w:cs="宋体"/>
                <w:b/>
                <w:sz w:val="24"/>
                <w:szCs w:val="24"/>
              </w:rPr>
            </w:pPr>
            <w:r>
              <w:rPr>
                <w:rFonts w:hint="eastAsia" w:ascii="宋体" w:hAnsi="宋体" w:cs="宋体"/>
                <w:b/>
                <w:sz w:val="24"/>
                <w:szCs w:val="24"/>
              </w:rPr>
              <w:t>仓储业*</w:t>
            </w:r>
          </w:p>
        </w:tc>
        <w:tc>
          <w:tcPr>
            <w:tcW w:w="1369" w:type="dxa"/>
            <w:vAlign w:val="center"/>
          </w:tcPr>
          <w:p w14:paraId="1383BE8F">
            <w:pPr>
              <w:spacing w:line="288" w:lineRule="auto"/>
              <w:rPr>
                <w:rFonts w:ascii="宋体" w:hAnsi="宋体" w:cs="宋体"/>
                <w:b/>
                <w:sz w:val="24"/>
                <w:szCs w:val="24"/>
              </w:rPr>
            </w:pPr>
            <w:r>
              <w:rPr>
                <w:rFonts w:hint="eastAsia" w:ascii="宋体" w:hAnsi="宋体" w:cs="宋体"/>
                <w:b/>
                <w:sz w:val="24"/>
                <w:szCs w:val="24"/>
              </w:rPr>
              <w:t>从业人员(X)</w:t>
            </w:r>
          </w:p>
        </w:tc>
        <w:tc>
          <w:tcPr>
            <w:tcW w:w="709" w:type="dxa"/>
            <w:vAlign w:val="center"/>
          </w:tcPr>
          <w:p w14:paraId="65403FA2">
            <w:pPr>
              <w:spacing w:line="288" w:lineRule="auto"/>
              <w:rPr>
                <w:rFonts w:ascii="宋体" w:hAnsi="宋体" w:cs="宋体"/>
                <w:b/>
                <w:sz w:val="24"/>
                <w:szCs w:val="24"/>
              </w:rPr>
            </w:pPr>
            <w:r>
              <w:rPr>
                <w:rFonts w:hint="eastAsia" w:ascii="宋体" w:hAnsi="宋体" w:cs="宋体"/>
                <w:b/>
                <w:sz w:val="24"/>
                <w:szCs w:val="24"/>
              </w:rPr>
              <w:t>人</w:t>
            </w:r>
          </w:p>
        </w:tc>
        <w:tc>
          <w:tcPr>
            <w:tcW w:w="1125" w:type="dxa"/>
            <w:vAlign w:val="center"/>
          </w:tcPr>
          <w:p w14:paraId="3519820C">
            <w:pPr>
              <w:spacing w:line="288" w:lineRule="auto"/>
              <w:rPr>
                <w:rFonts w:ascii="宋体" w:hAnsi="宋体" w:cs="宋体"/>
                <w:b/>
                <w:sz w:val="24"/>
                <w:szCs w:val="24"/>
              </w:rPr>
            </w:pPr>
            <w:r>
              <w:rPr>
                <w:rFonts w:hint="eastAsia" w:ascii="宋体" w:hAnsi="宋体" w:cs="宋体"/>
                <w:b/>
                <w:sz w:val="24"/>
                <w:szCs w:val="24"/>
              </w:rPr>
              <w:t>X≥200</w:t>
            </w:r>
          </w:p>
        </w:tc>
        <w:tc>
          <w:tcPr>
            <w:tcW w:w="1701" w:type="dxa"/>
            <w:vAlign w:val="center"/>
          </w:tcPr>
          <w:p w14:paraId="4F7102A1">
            <w:pPr>
              <w:spacing w:line="288" w:lineRule="auto"/>
              <w:ind w:left="38" w:leftChars="-51" w:hanging="145" w:hangingChars="60"/>
              <w:rPr>
                <w:rFonts w:ascii="宋体" w:hAnsi="宋体" w:cs="宋体"/>
                <w:b/>
                <w:sz w:val="24"/>
                <w:szCs w:val="24"/>
              </w:rPr>
            </w:pPr>
            <w:r>
              <w:rPr>
                <w:rFonts w:hint="eastAsia" w:ascii="宋体" w:hAnsi="宋体" w:cs="宋体"/>
                <w:b/>
                <w:sz w:val="24"/>
                <w:szCs w:val="24"/>
              </w:rPr>
              <w:t>100≤X＜200</w:t>
            </w:r>
          </w:p>
        </w:tc>
        <w:tc>
          <w:tcPr>
            <w:tcW w:w="1426" w:type="dxa"/>
            <w:vAlign w:val="center"/>
          </w:tcPr>
          <w:p w14:paraId="4CDDC908">
            <w:pPr>
              <w:spacing w:line="288" w:lineRule="auto"/>
              <w:rPr>
                <w:rFonts w:ascii="宋体" w:hAnsi="宋体" w:cs="宋体"/>
                <w:b/>
                <w:sz w:val="24"/>
                <w:szCs w:val="24"/>
              </w:rPr>
            </w:pPr>
            <w:r>
              <w:rPr>
                <w:rFonts w:hint="eastAsia" w:ascii="宋体" w:hAnsi="宋体" w:cs="宋体"/>
                <w:b/>
                <w:sz w:val="24"/>
                <w:szCs w:val="24"/>
              </w:rPr>
              <w:t xml:space="preserve"> 20≤X＜100</w:t>
            </w:r>
          </w:p>
        </w:tc>
        <w:tc>
          <w:tcPr>
            <w:tcW w:w="992" w:type="dxa"/>
            <w:vAlign w:val="center"/>
          </w:tcPr>
          <w:p w14:paraId="70263D85">
            <w:pPr>
              <w:spacing w:line="288" w:lineRule="auto"/>
              <w:rPr>
                <w:rFonts w:ascii="宋体" w:hAnsi="宋体" w:cs="宋体"/>
                <w:b/>
                <w:sz w:val="24"/>
                <w:szCs w:val="24"/>
              </w:rPr>
            </w:pPr>
            <w:r>
              <w:rPr>
                <w:rFonts w:hint="eastAsia" w:ascii="宋体" w:hAnsi="宋体" w:cs="宋体"/>
                <w:b/>
                <w:sz w:val="24"/>
                <w:szCs w:val="24"/>
              </w:rPr>
              <w:t>X＜20</w:t>
            </w:r>
          </w:p>
        </w:tc>
      </w:tr>
      <w:tr w14:paraId="17AF75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09F44BD7">
            <w:pPr>
              <w:spacing w:line="288" w:lineRule="auto"/>
              <w:rPr>
                <w:rFonts w:ascii="宋体" w:hAnsi="宋体" w:cs="宋体"/>
                <w:b/>
                <w:sz w:val="24"/>
                <w:szCs w:val="24"/>
              </w:rPr>
            </w:pPr>
          </w:p>
        </w:tc>
        <w:tc>
          <w:tcPr>
            <w:tcW w:w="1369" w:type="dxa"/>
            <w:vAlign w:val="center"/>
          </w:tcPr>
          <w:p w14:paraId="540C84A3">
            <w:pPr>
              <w:spacing w:line="288" w:lineRule="auto"/>
              <w:rPr>
                <w:rFonts w:ascii="宋体" w:hAnsi="宋体" w:cs="宋体"/>
                <w:b/>
                <w:sz w:val="24"/>
                <w:szCs w:val="24"/>
              </w:rPr>
            </w:pPr>
            <w:r>
              <w:rPr>
                <w:rFonts w:hint="eastAsia" w:ascii="宋体" w:hAnsi="宋体" w:cs="宋体"/>
                <w:b/>
                <w:sz w:val="24"/>
                <w:szCs w:val="24"/>
              </w:rPr>
              <w:t>营业收入(Y)</w:t>
            </w:r>
          </w:p>
        </w:tc>
        <w:tc>
          <w:tcPr>
            <w:tcW w:w="709" w:type="dxa"/>
            <w:vAlign w:val="center"/>
          </w:tcPr>
          <w:p w14:paraId="2A6FDA36">
            <w:pPr>
              <w:spacing w:line="288" w:lineRule="auto"/>
              <w:rPr>
                <w:rFonts w:ascii="宋体" w:hAnsi="宋体" w:cs="宋体"/>
                <w:b/>
                <w:sz w:val="24"/>
                <w:szCs w:val="24"/>
              </w:rPr>
            </w:pPr>
            <w:r>
              <w:rPr>
                <w:rFonts w:hint="eastAsia" w:ascii="宋体" w:hAnsi="宋体" w:cs="宋体"/>
                <w:b/>
                <w:sz w:val="24"/>
                <w:szCs w:val="24"/>
              </w:rPr>
              <w:t>万元</w:t>
            </w:r>
          </w:p>
        </w:tc>
        <w:tc>
          <w:tcPr>
            <w:tcW w:w="1125" w:type="dxa"/>
            <w:vAlign w:val="center"/>
          </w:tcPr>
          <w:p w14:paraId="1C12772B">
            <w:pPr>
              <w:spacing w:line="288" w:lineRule="auto"/>
              <w:rPr>
                <w:rFonts w:ascii="宋体" w:hAnsi="宋体" w:cs="宋体"/>
                <w:b/>
                <w:sz w:val="24"/>
                <w:szCs w:val="24"/>
              </w:rPr>
            </w:pPr>
            <w:r>
              <w:rPr>
                <w:rFonts w:hint="eastAsia" w:ascii="宋体" w:hAnsi="宋体" w:cs="宋体"/>
                <w:b/>
                <w:sz w:val="24"/>
                <w:szCs w:val="24"/>
              </w:rPr>
              <w:t>Y≥30000</w:t>
            </w:r>
          </w:p>
        </w:tc>
        <w:tc>
          <w:tcPr>
            <w:tcW w:w="1701" w:type="dxa"/>
            <w:vAlign w:val="center"/>
          </w:tcPr>
          <w:p w14:paraId="6E7705A0">
            <w:pPr>
              <w:spacing w:line="288" w:lineRule="auto"/>
              <w:rPr>
                <w:rFonts w:ascii="宋体" w:hAnsi="宋体" w:cs="宋体"/>
                <w:b/>
                <w:sz w:val="24"/>
                <w:szCs w:val="24"/>
              </w:rPr>
            </w:pPr>
            <w:r>
              <w:rPr>
                <w:rFonts w:hint="eastAsia" w:ascii="宋体" w:hAnsi="宋体" w:cs="宋体"/>
                <w:b/>
                <w:sz w:val="24"/>
                <w:szCs w:val="24"/>
              </w:rPr>
              <w:t>1000≤Y＜30000</w:t>
            </w:r>
          </w:p>
        </w:tc>
        <w:tc>
          <w:tcPr>
            <w:tcW w:w="1426" w:type="dxa"/>
            <w:vAlign w:val="center"/>
          </w:tcPr>
          <w:p w14:paraId="6DB3C20F">
            <w:pPr>
              <w:spacing w:line="288" w:lineRule="auto"/>
              <w:rPr>
                <w:rFonts w:ascii="宋体" w:hAnsi="宋体" w:cs="宋体"/>
                <w:b/>
                <w:sz w:val="24"/>
                <w:szCs w:val="24"/>
              </w:rPr>
            </w:pPr>
            <w:r>
              <w:rPr>
                <w:rFonts w:hint="eastAsia" w:ascii="宋体" w:hAnsi="宋体" w:cs="宋体"/>
                <w:b/>
                <w:sz w:val="24"/>
                <w:szCs w:val="24"/>
              </w:rPr>
              <w:t xml:space="preserve"> 100≤Y＜1000</w:t>
            </w:r>
          </w:p>
        </w:tc>
        <w:tc>
          <w:tcPr>
            <w:tcW w:w="992" w:type="dxa"/>
            <w:vAlign w:val="center"/>
          </w:tcPr>
          <w:p w14:paraId="07B52A1B">
            <w:pPr>
              <w:spacing w:line="288" w:lineRule="auto"/>
              <w:rPr>
                <w:rFonts w:ascii="宋体" w:hAnsi="宋体" w:cs="宋体"/>
                <w:b/>
                <w:sz w:val="24"/>
                <w:szCs w:val="24"/>
              </w:rPr>
            </w:pPr>
            <w:r>
              <w:rPr>
                <w:rFonts w:hint="eastAsia" w:ascii="宋体" w:hAnsi="宋体" w:cs="宋体"/>
                <w:b/>
                <w:sz w:val="24"/>
                <w:szCs w:val="24"/>
              </w:rPr>
              <w:t>Y＜100</w:t>
            </w:r>
          </w:p>
        </w:tc>
      </w:tr>
      <w:tr w14:paraId="3D1E1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3B4E1655">
            <w:pPr>
              <w:spacing w:line="288" w:lineRule="auto"/>
              <w:rPr>
                <w:rFonts w:ascii="宋体" w:hAnsi="宋体" w:cs="宋体"/>
                <w:b/>
                <w:sz w:val="24"/>
                <w:szCs w:val="24"/>
              </w:rPr>
            </w:pPr>
            <w:r>
              <w:rPr>
                <w:rFonts w:hint="eastAsia" w:ascii="宋体" w:hAnsi="宋体" w:cs="宋体"/>
                <w:b/>
                <w:sz w:val="24"/>
                <w:szCs w:val="24"/>
              </w:rPr>
              <w:t>邮政业</w:t>
            </w:r>
          </w:p>
        </w:tc>
        <w:tc>
          <w:tcPr>
            <w:tcW w:w="1369" w:type="dxa"/>
            <w:vAlign w:val="center"/>
          </w:tcPr>
          <w:p w14:paraId="446BD722">
            <w:pPr>
              <w:spacing w:line="288" w:lineRule="auto"/>
              <w:rPr>
                <w:rFonts w:ascii="宋体" w:hAnsi="宋体" w:cs="宋体"/>
                <w:b/>
                <w:sz w:val="24"/>
                <w:szCs w:val="24"/>
              </w:rPr>
            </w:pPr>
            <w:r>
              <w:rPr>
                <w:rFonts w:hint="eastAsia" w:ascii="宋体" w:hAnsi="宋体" w:cs="宋体"/>
                <w:b/>
                <w:sz w:val="24"/>
                <w:szCs w:val="24"/>
              </w:rPr>
              <w:t>从业人员(X)</w:t>
            </w:r>
          </w:p>
        </w:tc>
        <w:tc>
          <w:tcPr>
            <w:tcW w:w="709" w:type="dxa"/>
            <w:vAlign w:val="center"/>
          </w:tcPr>
          <w:p w14:paraId="7D67ECF1">
            <w:pPr>
              <w:spacing w:line="288" w:lineRule="auto"/>
              <w:rPr>
                <w:rFonts w:ascii="宋体" w:hAnsi="宋体" w:cs="宋体"/>
                <w:b/>
                <w:sz w:val="24"/>
                <w:szCs w:val="24"/>
              </w:rPr>
            </w:pPr>
            <w:r>
              <w:rPr>
                <w:rFonts w:hint="eastAsia" w:ascii="宋体" w:hAnsi="宋体" w:cs="宋体"/>
                <w:b/>
                <w:sz w:val="24"/>
                <w:szCs w:val="24"/>
              </w:rPr>
              <w:t>人</w:t>
            </w:r>
          </w:p>
        </w:tc>
        <w:tc>
          <w:tcPr>
            <w:tcW w:w="1125" w:type="dxa"/>
            <w:vAlign w:val="center"/>
          </w:tcPr>
          <w:p w14:paraId="049702C7">
            <w:pPr>
              <w:spacing w:line="288" w:lineRule="auto"/>
              <w:rPr>
                <w:rFonts w:ascii="宋体" w:hAnsi="宋体" w:cs="宋体"/>
                <w:b/>
                <w:sz w:val="24"/>
                <w:szCs w:val="24"/>
              </w:rPr>
            </w:pPr>
            <w:r>
              <w:rPr>
                <w:rFonts w:hint="eastAsia" w:ascii="宋体" w:hAnsi="宋体" w:cs="宋体"/>
                <w:b/>
                <w:sz w:val="24"/>
                <w:szCs w:val="24"/>
              </w:rPr>
              <w:t>X≥1000</w:t>
            </w:r>
          </w:p>
        </w:tc>
        <w:tc>
          <w:tcPr>
            <w:tcW w:w="1701" w:type="dxa"/>
            <w:vAlign w:val="center"/>
          </w:tcPr>
          <w:p w14:paraId="7F0F911F">
            <w:pPr>
              <w:spacing w:line="288" w:lineRule="auto"/>
              <w:rPr>
                <w:rFonts w:ascii="宋体" w:hAnsi="宋体" w:cs="宋体"/>
                <w:b/>
                <w:sz w:val="24"/>
                <w:szCs w:val="24"/>
              </w:rPr>
            </w:pPr>
            <w:r>
              <w:rPr>
                <w:rFonts w:hint="eastAsia" w:ascii="宋体" w:hAnsi="宋体" w:cs="宋体"/>
                <w:b/>
                <w:sz w:val="24"/>
                <w:szCs w:val="24"/>
              </w:rPr>
              <w:t>300≤X＜1000</w:t>
            </w:r>
          </w:p>
        </w:tc>
        <w:tc>
          <w:tcPr>
            <w:tcW w:w="1426" w:type="dxa"/>
            <w:vAlign w:val="center"/>
          </w:tcPr>
          <w:p w14:paraId="4CB6C911">
            <w:pPr>
              <w:spacing w:line="288" w:lineRule="auto"/>
              <w:rPr>
                <w:rFonts w:ascii="宋体" w:hAnsi="宋体" w:cs="宋体"/>
                <w:b/>
                <w:sz w:val="24"/>
                <w:szCs w:val="24"/>
              </w:rPr>
            </w:pPr>
            <w:r>
              <w:rPr>
                <w:rFonts w:hint="eastAsia" w:ascii="宋体" w:hAnsi="宋体" w:cs="宋体"/>
                <w:b/>
                <w:sz w:val="24"/>
                <w:szCs w:val="24"/>
              </w:rPr>
              <w:t xml:space="preserve"> 20≤X＜300</w:t>
            </w:r>
          </w:p>
        </w:tc>
        <w:tc>
          <w:tcPr>
            <w:tcW w:w="992" w:type="dxa"/>
            <w:vAlign w:val="center"/>
          </w:tcPr>
          <w:p w14:paraId="7D125826">
            <w:pPr>
              <w:spacing w:line="288" w:lineRule="auto"/>
              <w:rPr>
                <w:rFonts w:ascii="宋体" w:hAnsi="宋体" w:cs="宋体"/>
                <w:b/>
                <w:sz w:val="24"/>
                <w:szCs w:val="24"/>
              </w:rPr>
            </w:pPr>
            <w:r>
              <w:rPr>
                <w:rFonts w:hint="eastAsia" w:ascii="宋体" w:hAnsi="宋体" w:cs="宋体"/>
                <w:b/>
                <w:sz w:val="24"/>
                <w:szCs w:val="24"/>
              </w:rPr>
              <w:t>X＜20</w:t>
            </w:r>
          </w:p>
        </w:tc>
      </w:tr>
      <w:tr w14:paraId="6FE6B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5B8B335A">
            <w:pPr>
              <w:spacing w:line="288" w:lineRule="auto"/>
              <w:rPr>
                <w:rFonts w:ascii="宋体" w:hAnsi="宋体" w:cs="宋体"/>
                <w:b/>
                <w:sz w:val="24"/>
                <w:szCs w:val="24"/>
              </w:rPr>
            </w:pPr>
          </w:p>
        </w:tc>
        <w:tc>
          <w:tcPr>
            <w:tcW w:w="1369" w:type="dxa"/>
            <w:vAlign w:val="center"/>
          </w:tcPr>
          <w:p w14:paraId="48BEFAF2">
            <w:pPr>
              <w:spacing w:line="288" w:lineRule="auto"/>
              <w:rPr>
                <w:rFonts w:ascii="宋体" w:hAnsi="宋体" w:cs="宋体"/>
                <w:b/>
                <w:sz w:val="24"/>
                <w:szCs w:val="24"/>
              </w:rPr>
            </w:pPr>
            <w:r>
              <w:rPr>
                <w:rFonts w:hint="eastAsia" w:ascii="宋体" w:hAnsi="宋体" w:cs="宋体"/>
                <w:b/>
                <w:sz w:val="24"/>
                <w:szCs w:val="24"/>
              </w:rPr>
              <w:t>营业收入(Y)</w:t>
            </w:r>
          </w:p>
        </w:tc>
        <w:tc>
          <w:tcPr>
            <w:tcW w:w="709" w:type="dxa"/>
            <w:vAlign w:val="center"/>
          </w:tcPr>
          <w:p w14:paraId="4BEFF0B5">
            <w:pPr>
              <w:spacing w:line="288" w:lineRule="auto"/>
              <w:rPr>
                <w:rFonts w:ascii="宋体" w:hAnsi="宋体" w:cs="宋体"/>
                <w:b/>
                <w:sz w:val="24"/>
                <w:szCs w:val="24"/>
              </w:rPr>
            </w:pPr>
            <w:r>
              <w:rPr>
                <w:rFonts w:hint="eastAsia" w:ascii="宋体" w:hAnsi="宋体" w:cs="宋体"/>
                <w:b/>
                <w:sz w:val="24"/>
                <w:szCs w:val="24"/>
              </w:rPr>
              <w:t>万元</w:t>
            </w:r>
          </w:p>
        </w:tc>
        <w:tc>
          <w:tcPr>
            <w:tcW w:w="1125" w:type="dxa"/>
            <w:vAlign w:val="center"/>
          </w:tcPr>
          <w:p w14:paraId="2A754AD8">
            <w:pPr>
              <w:spacing w:line="288" w:lineRule="auto"/>
              <w:rPr>
                <w:rFonts w:ascii="宋体" w:hAnsi="宋体" w:cs="宋体"/>
                <w:b/>
                <w:sz w:val="24"/>
                <w:szCs w:val="24"/>
              </w:rPr>
            </w:pPr>
            <w:r>
              <w:rPr>
                <w:rFonts w:hint="eastAsia" w:ascii="宋体" w:hAnsi="宋体" w:cs="宋体"/>
                <w:b/>
                <w:sz w:val="24"/>
                <w:szCs w:val="24"/>
              </w:rPr>
              <w:t>Y≥30000</w:t>
            </w:r>
          </w:p>
        </w:tc>
        <w:tc>
          <w:tcPr>
            <w:tcW w:w="1701" w:type="dxa"/>
            <w:vAlign w:val="center"/>
          </w:tcPr>
          <w:p w14:paraId="778D6B05">
            <w:pPr>
              <w:spacing w:line="288" w:lineRule="auto"/>
              <w:rPr>
                <w:rFonts w:ascii="宋体" w:hAnsi="宋体" w:cs="宋体"/>
                <w:b/>
                <w:sz w:val="24"/>
                <w:szCs w:val="24"/>
              </w:rPr>
            </w:pPr>
            <w:r>
              <w:rPr>
                <w:rFonts w:hint="eastAsia" w:ascii="宋体" w:hAnsi="宋体" w:cs="宋体"/>
                <w:b/>
                <w:sz w:val="24"/>
                <w:szCs w:val="24"/>
              </w:rPr>
              <w:t>2000≤Y＜30000</w:t>
            </w:r>
          </w:p>
        </w:tc>
        <w:tc>
          <w:tcPr>
            <w:tcW w:w="1426" w:type="dxa"/>
            <w:vAlign w:val="center"/>
          </w:tcPr>
          <w:p w14:paraId="47AE2E53">
            <w:pPr>
              <w:spacing w:line="288" w:lineRule="auto"/>
              <w:rPr>
                <w:rFonts w:ascii="宋体" w:hAnsi="宋体" w:cs="宋体"/>
                <w:b/>
                <w:sz w:val="24"/>
                <w:szCs w:val="24"/>
              </w:rPr>
            </w:pPr>
            <w:r>
              <w:rPr>
                <w:rFonts w:hint="eastAsia" w:ascii="宋体" w:hAnsi="宋体" w:cs="宋体"/>
                <w:b/>
                <w:sz w:val="24"/>
                <w:szCs w:val="24"/>
              </w:rPr>
              <w:t xml:space="preserve"> 100≤Y＜2000</w:t>
            </w:r>
          </w:p>
        </w:tc>
        <w:tc>
          <w:tcPr>
            <w:tcW w:w="992" w:type="dxa"/>
            <w:vAlign w:val="center"/>
          </w:tcPr>
          <w:p w14:paraId="31CDA1BB">
            <w:pPr>
              <w:spacing w:line="288" w:lineRule="auto"/>
              <w:rPr>
                <w:rFonts w:ascii="宋体" w:hAnsi="宋体" w:cs="宋体"/>
                <w:b/>
                <w:sz w:val="24"/>
                <w:szCs w:val="24"/>
              </w:rPr>
            </w:pPr>
            <w:r>
              <w:rPr>
                <w:rFonts w:hint="eastAsia" w:ascii="宋体" w:hAnsi="宋体" w:cs="宋体"/>
                <w:b/>
                <w:sz w:val="24"/>
                <w:szCs w:val="24"/>
              </w:rPr>
              <w:t>Y＜100</w:t>
            </w:r>
          </w:p>
        </w:tc>
      </w:tr>
      <w:tr w14:paraId="7F3DC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1D933E14">
            <w:pPr>
              <w:spacing w:line="288" w:lineRule="auto"/>
              <w:rPr>
                <w:rFonts w:ascii="宋体" w:hAnsi="宋体" w:cs="宋体"/>
                <w:b/>
                <w:sz w:val="24"/>
                <w:szCs w:val="24"/>
              </w:rPr>
            </w:pPr>
            <w:r>
              <w:rPr>
                <w:rFonts w:hint="eastAsia" w:ascii="宋体" w:hAnsi="宋体" w:cs="宋体"/>
                <w:b/>
                <w:sz w:val="24"/>
                <w:szCs w:val="24"/>
              </w:rPr>
              <w:t>住宿业</w:t>
            </w:r>
          </w:p>
        </w:tc>
        <w:tc>
          <w:tcPr>
            <w:tcW w:w="1369" w:type="dxa"/>
            <w:vAlign w:val="center"/>
          </w:tcPr>
          <w:p w14:paraId="51CEFF89">
            <w:pPr>
              <w:spacing w:line="288" w:lineRule="auto"/>
              <w:rPr>
                <w:rFonts w:ascii="宋体" w:hAnsi="宋体" w:cs="宋体"/>
                <w:b/>
                <w:sz w:val="24"/>
                <w:szCs w:val="24"/>
              </w:rPr>
            </w:pPr>
            <w:r>
              <w:rPr>
                <w:rFonts w:hint="eastAsia" w:ascii="宋体" w:hAnsi="宋体" w:cs="宋体"/>
                <w:b/>
                <w:sz w:val="24"/>
                <w:szCs w:val="24"/>
              </w:rPr>
              <w:t>从业人员(X)</w:t>
            </w:r>
          </w:p>
        </w:tc>
        <w:tc>
          <w:tcPr>
            <w:tcW w:w="709" w:type="dxa"/>
            <w:vAlign w:val="center"/>
          </w:tcPr>
          <w:p w14:paraId="38530455">
            <w:pPr>
              <w:spacing w:line="288" w:lineRule="auto"/>
              <w:rPr>
                <w:rFonts w:ascii="宋体" w:hAnsi="宋体" w:cs="宋体"/>
                <w:b/>
                <w:sz w:val="24"/>
                <w:szCs w:val="24"/>
              </w:rPr>
            </w:pPr>
            <w:r>
              <w:rPr>
                <w:rFonts w:hint="eastAsia" w:ascii="宋体" w:hAnsi="宋体" w:cs="宋体"/>
                <w:b/>
                <w:sz w:val="24"/>
                <w:szCs w:val="24"/>
              </w:rPr>
              <w:t>人</w:t>
            </w:r>
          </w:p>
        </w:tc>
        <w:tc>
          <w:tcPr>
            <w:tcW w:w="1125" w:type="dxa"/>
            <w:vAlign w:val="center"/>
          </w:tcPr>
          <w:p w14:paraId="18E792D0">
            <w:pPr>
              <w:spacing w:line="288" w:lineRule="auto"/>
              <w:rPr>
                <w:rFonts w:ascii="宋体" w:hAnsi="宋体" w:cs="宋体"/>
                <w:b/>
                <w:sz w:val="24"/>
                <w:szCs w:val="24"/>
              </w:rPr>
            </w:pPr>
            <w:r>
              <w:rPr>
                <w:rFonts w:hint="eastAsia" w:ascii="宋体" w:hAnsi="宋体" w:cs="宋体"/>
                <w:b/>
                <w:sz w:val="24"/>
                <w:szCs w:val="24"/>
              </w:rPr>
              <w:t>X≥300</w:t>
            </w:r>
          </w:p>
        </w:tc>
        <w:tc>
          <w:tcPr>
            <w:tcW w:w="1701" w:type="dxa"/>
            <w:vAlign w:val="center"/>
          </w:tcPr>
          <w:p w14:paraId="617982DB">
            <w:pPr>
              <w:spacing w:line="288" w:lineRule="auto"/>
              <w:ind w:left="38" w:leftChars="-51" w:hanging="145" w:hangingChars="60"/>
              <w:rPr>
                <w:rFonts w:ascii="宋体" w:hAnsi="宋体" w:cs="宋体"/>
                <w:b/>
                <w:sz w:val="24"/>
                <w:szCs w:val="24"/>
              </w:rPr>
            </w:pPr>
            <w:r>
              <w:rPr>
                <w:rFonts w:hint="eastAsia" w:ascii="宋体" w:hAnsi="宋体" w:cs="宋体"/>
                <w:b/>
                <w:sz w:val="24"/>
                <w:szCs w:val="24"/>
              </w:rPr>
              <w:t xml:space="preserve">100≤X＜300 </w:t>
            </w:r>
          </w:p>
        </w:tc>
        <w:tc>
          <w:tcPr>
            <w:tcW w:w="1426" w:type="dxa"/>
            <w:vAlign w:val="center"/>
          </w:tcPr>
          <w:p w14:paraId="28F09C9C">
            <w:pPr>
              <w:spacing w:line="288" w:lineRule="auto"/>
              <w:rPr>
                <w:rFonts w:ascii="宋体" w:hAnsi="宋体" w:cs="宋体"/>
                <w:b/>
                <w:sz w:val="24"/>
                <w:szCs w:val="24"/>
              </w:rPr>
            </w:pPr>
            <w:r>
              <w:rPr>
                <w:rFonts w:hint="eastAsia" w:ascii="宋体" w:hAnsi="宋体" w:cs="宋体"/>
                <w:b/>
                <w:sz w:val="24"/>
                <w:szCs w:val="24"/>
              </w:rPr>
              <w:t xml:space="preserve"> 10≤X＜100</w:t>
            </w:r>
          </w:p>
        </w:tc>
        <w:tc>
          <w:tcPr>
            <w:tcW w:w="992" w:type="dxa"/>
            <w:vAlign w:val="center"/>
          </w:tcPr>
          <w:p w14:paraId="45FE3B1E">
            <w:pPr>
              <w:spacing w:line="288" w:lineRule="auto"/>
              <w:rPr>
                <w:rFonts w:ascii="宋体" w:hAnsi="宋体" w:cs="宋体"/>
                <w:b/>
                <w:sz w:val="24"/>
                <w:szCs w:val="24"/>
              </w:rPr>
            </w:pPr>
            <w:r>
              <w:rPr>
                <w:rFonts w:hint="eastAsia" w:ascii="宋体" w:hAnsi="宋体" w:cs="宋体"/>
                <w:b/>
                <w:sz w:val="24"/>
                <w:szCs w:val="24"/>
              </w:rPr>
              <w:t>X＜10</w:t>
            </w:r>
          </w:p>
        </w:tc>
      </w:tr>
      <w:tr w14:paraId="49CEB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0DE935F3">
            <w:pPr>
              <w:spacing w:line="288" w:lineRule="auto"/>
              <w:rPr>
                <w:rFonts w:ascii="宋体" w:hAnsi="宋体" w:cs="宋体"/>
                <w:b/>
                <w:sz w:val="24"/>
                <w:szCs w:val="24"/>
              </w:rPr>
            </w:pPr>
          </w:p>
        </w:tc>
        <w:tc>
          <w:tcPr>
            <w:tcW w:w="1369" w:type="dxa"/>
            <w:vAlign w:val="center"/>
          </w:tcPr>
          <w:p w14:paraId="59BF50F1">
            <w:pPr>
              <w:spacing w:line="288" w:lineRule="auto"/>
              <w:rPr>
                <w:rFonts w:ascii="宋体" w:hAnsi="宋体" w:cs="宋体"/>
                <w:b/>
                <w:sz w:val="24"/>
                <w:szCs w:val="24"/>
              </w:rPr>
            </w:pPr>
            <w:r>
              <w:rPr>
                <w:rFonts w:hint="eastAsia" w:ascii="宋体" w:hAnsi="宋体" w:cs="宋体"/>
                <w:b/>
                <w:sz w:val="24"/>
                <w:szCs w:val="24"/>
              </w:rPr>
              <w:t>营业收入(Y)</w:t>
            </w:r>
          </w:p>
        </w:tc>
        <w:tc>
          <w:tcPr>
            <w:tcW w:w="709" w:type="dxa"/>
            <w:vAlign w:val="center"/>
          </w:tcPr>
          <w:p w14:paraId="5E8579F7">
            <w:pPr>
              <w:spacing w:line="288" w:lineRule="auto"/>
              <w:rPr>
                <w:rFonts w:ascii="宋体" w:hAnsi="宋体" w:cs="宋体"/>
                <w:b/>
                <w:sz w:val="24"/>
                <w:szCs w:val="24"/>
              </w:rPr>
            </w:pPr>
            <w:r>
              <w:rPr>
                <w:rFonts w:hint="eastAsia" w:ascii="宋体" w:hAnsi="宋体" w:cs="宋体"/>
                <w:b/>
                <w:sz w:val="24"/>
                <w:szCs w:val="24"/>
              </w:rPr>
              <w:t>万元</w:t>
            </w:r>
          </w:p>
        </w:tc>
        <w:tc>
          <w:tcPr>
            <w:tcW w:w="1125" w:type="dxa"/>
            <w:vAlign w:val="center"/>
          </w:tcPr>
          <w:p w14:paraId="48B9F88A">
            <w:pPr>
              <w:spacing w:line="288" w:lineRule="auto"/>
              <w:rPr>
                <w:rFonts w:ascii="宋体" w:hAnsi="宋体" w:cs="宋体"/>
                <w:b/>
                <w:sz w:val="24"/>
                <w:szCs w:val="24"/>
              </w:rPr>
            </w:pPr>
            <w:r>
              <w:rPr>
                <w:rFonts w:hint="eastAsia" w:ascii="宋体" w:hAnsi="宋体" w:cs="宋体"/>
                <w:b/>
                <w:sz w:val="24"/>
                <w:szCs w:val="24"/>
              </w:rPr>
              <w:t>Y≥10000</w:t>
            </w:r>
          </w:p>
        </w:tc>
        <w:tc>
          <w:tcPr>
            <w:tcW w:w="1701" w:type="dxa"/>
            <w:vAlign w:val="center"/>
          </w:tcPr>
          <w:p w14:paraId="09BD0C6E">
            <w:pPr>
              <w:spacing w:line="288" w:lineRule="auto"/>
              <w:rPr>
                <w:rFonts w:ascii="宋体" w:hAnsi="宋体" w:cs="宋体"/>
                <w:b/>
                <w:sz w:val="24"/>
                <w:szCs w:val="24"/>
              </w:rPr>
            </w:pPr>
            <w:r>
              <w:rPr>
                <w:rFonts w:hint="eastAsia" w:ascii="宋体" w:hAnsi="宋体" w:cs="宋体"/>
                <w:b/>
                <w:sz w:val="24"/>
                <w:szCs w:val="24"/>
              </w:rPr>
              <w:t>2000≤Y＜10000</w:t>
            </w:r>
          </w:p>
        </w:tc>
        <w:tc>
          <w:tcPr>
            <w:tcW w:w="1426" w:type="dxa"/>
            <w:vAlign w:val="center"/>
          </w:tcPr>
          <w:p w14:paraId="3F68B6E5">
            <w:pPr>
              <w:spacing w:line="288" w:lineRule="auto"/>
              <w:rPr>
                <w:rFonts w:ascii="宋体" w:hAnsi="宋体" w:cs="宋体"/>
                <w:b/>
                <w:sz w:val="24"/>
                <w:szCs w:val="24"/>
              </w:rPr>
            </w:pPr>
            <w:r>
              <w:rPr>
                <w:rFonts w:hint="eastAsia" w:ascii="宋体" w:hAnsi="宋体" w:cs="宋体"/>
                <w:b/>
                <w:sz w:val="24"/>
                <w:szCs w:val="24"/>
              </w:rPr>
              <w:t xml:space="preserve"> 100≤Y＜2000</w:t>
            </w:r>
          </w:p>
        </w:tc>
        <w:tc>
          <w:tcPr>
            <w:tcW w:w="992" w:type="dxa"/>
            <w:vAlign w:val="center"/>
          </w:tcPr>
          <w:p w14:paraId="17FDB511">
            <w:pPr>
              <w:spacing w:line="288" w:lineRule="auto"/>
              <w:rPr>
                <w:rFonts w:ascii="宋体" w:hAnsi="宋体" w:cs="宋体"/>
                <w:b/>
                <w:sz w:val="24"/>
                <w:szCs w:val="24"/>
              </w:rPr>
            </w:pPr>
            <w:r>
              <w:rPr>
                <w:rFonts w:hint="eastAsia" w:ascii="宋体" w:hAnsi="宋体" w:cs="宋体"/>
                <w:b/>
                <w:sz w:val="24"/>
                <w:szCs w:val="24"/>
              </w:rPr>
              <w:t>Y＜100</w:t>
            </w:r>
          </w:p>
        </w:tc>
      </w:tr>
      <w:tr w14:paraId="24966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7985CBE5">
            <w:pPr>
              <w:spacing w:line="288" w:lineRule="auto"/>
              <w:rPr>
                <w:rFonts w:ascii="宋体" w:hAnsi="宋体" w:cs="宋体"/>
                <w:b/>
                <w:sz w:val="24"/>
                <w:szCs w:val="24"/>
              </w:rPr>
            </w:pPr>
            <w:r>
              <w:rPr>
                <w:rFonts w:hint="eastAsia" w:ascii="宋体" w:hAnsi="宋体" w:cs="宋体"/>
                <w:b/>
                <w:sz w:val="24"/>
                <w:szCs w:val="24"/>
              </w:rPr>
              <w:t>餐饮业</w:t>
            </w:r>
          </w:p>
        </w:tc>
        <w:tc>
          <w:tcPr>
            <w:tcW w:w="1369" w:type="dxa"/>
            <w:vAlign w:val="center"/>
          </w:tcPr>
          <w:p w14:paraId="33271969">
            <w:pPr>
              <w:spacing w:line="288" w:lineRule="auto"/>
              <w:rPr>
                <w:rFonts w:ascii="宋体" w:hAnsi="宋体" w:cs="宋体"/>
                <w:b/>
                <w:sz w:val="24"/>
                <w:szCs w:val="24"/>
              </w:rPr>
            </w:pPr>
            <w:r>
              <w:rPr>
                <w:rFonts w:hint="eastAsia" w:ascii="宋体" w:hAnsi="宋体" w:cs="宋体"/>
                <w:b/>
                <w:sz w:val="24"/>
                <w:szCs w:val="24"/>
              </w:rPr>
              <w:t>从业人员(X)</w:t>
            </w:r>
          </w:p>
        </w:tc>
        <w:tc>
          <w:tcPr>
            <w:tcW w:w="709" w:type="dxa"/>
            <w:vAlign w:val="center"/>
          </w:tcPr>
          <w:p w14:paraId="248A4774">
            <w:pPr>
              <w:spacing w:line="288" w:lineRule="auto"/>
              <w:rPr>
                <w:rFonts w:ascii="宋体" w:hAnsi="宋体" w:cs="宋体"/>
                <w:b/>
                <w:sz w:val="24"/>
                <w:szCs w:val="24"/>
              </w:rPr>
            </w:pPr>
            <w:r>
              <w:rPr>
                <w:rFonts w:hint="eastAsia" w:ascii="宋体" w:hAnsi="宋体" w:cs="宋体"/>
                <w:b/>
                <w:sz w:val="24"/>
                <w:szCs w:val="24"/>
              </w:rPr>
              <w:t>人</w:t>
            </w:r>
          </w:p>
        </w:tc>
        <w:tc>
          <w:tcPr>
            <w:tcW w:w="1125" w:type="dxa"/>
            <w:vAlign w:val="center"/>
          </w:tcPr>
          <w:p w14:paraId="1016114A">
            <w:pPr>
              <w:spacing w:line="288" w:lineRule="auto"/>
              <w:rPr>
                <w:rFonts w:ascii="宋体" w:hAnsi="宋体" w:cs="宋体"/>
                <w:b/>
                <w:sz w:val="24"/>
                <w:szCs w:val="24"/>
              </w:rPr>
            </w:pPr>
            <w:r>
              <w:rPr>
                <w:rFonts w:hint="eastAsia" w:ascii="宋体" w:hAnsi="宋体" w:cs="宋体"/>
                <w:b/>
                <w:sz w:val="24"/>
                <w:szCs w:val="24"/>
              </w:rPr>
              <w:t>X≥300</w:t>
            </w:r>
          </w:p>
        </w:tc>
        <w:tc>
          <w:tcPr>
            <w:tcW w:w="1701" w:type="dxa"/>
            <w:vAlign w:val="center"/>
          </w:tcPr>
          <w:p w14:paraId="5E64191A">
            <w:pPr>
              <w:spacing w:line="288" w:lineRule="auto"/>
              <w:ind w:left="38" w:leftChars="-51" w:hanging="145" w:hangingChars="60"/>
              <w:rPr>
                <w:rFonts w:ascii="宋体" w:hAnsi="宋体" w:cs="宋体"/>
                <w:b/>
                <w:sz w:val="24"/>
                <w:szCs w:val="24"/>
              </w:rPr>
            </w:pPr>
            <w:r>
              <w:rPr>
                <w:rFonts w:hint="eastAsia" w:ascii="宋体" w:hAnsi="宋体" w:cs="宋体"/>
                <w:b/>
                <w:sz w:val="24"/>
                <w:szCs w:val="24"/>
              </w:rPr>
              <w:t xml:space="preserve">100≤X＜300 </w:t>
            </w:r>
          </w:p>
        </w:tc>
        <w:tc>
          <w:tcPr>
            <w:tcW w:w="1426" w:type="dxa"/>
            <w:vAlign w:val="center"/>
          </w:tcPr>
          <w:p w14:paraId="0B112851">
            <w:pPr>
              <w:spacing w:line="288" w:lineRule="auto"/>
              <w:rPr>
                <w:rFonts w:ascii="宋体" w:hAnsi="宋体" w:cs="宋体"/>
                <w:b/>
                <w:sz w:val="24"/>
                <w:szCs w:val="24"/>
              </w:rPr>
            </w:pPr>
            <w:r>
              <w:rPr>
                <w:rFonts w:hint="eastAsia" w:ascii="宋体" w:hAnsi="宋体" w:cs="宋体"/>
                <w:b/>
                <w:sz w:val="24"/>
                <w:szCs w:val="24"/>
              </w:rPr>
              <w:t xml:space="preserve"> 10≤X＜100</w:t>
            </w:r>
          </w:p>
        </w:tc>
        <w:tc>
          <w:tcPr>
            <w:tcW w:w="992" w:type="dxa"/>
            <w:vAlign w:val="center"/>
          </w:tcPr>
          <w:p w14:paraId="5309F878">
            <w:pPr>
              <w:spacing w:line="288" w:lineRule="auto"/>
              <w:rPr>
                <w:rFonts w:ascii="宋体" w:hAnsi="宋体" w:cs="宋体"/>
                <w:b/>
                <w:sz w:val="24"/>
                <w:szCs w:val="24"/>
              </w:rPr>
            </w:pPr>
            <w:r>
              <w:rPr>
                <w:rFonts w:hint="eastAsia" w:ascii="宋体" w:hAnsi="宋体" w:cs="宋体"/>
                <w:b/>
                <w:sz w:val="24"/>
                <w:szCs w:val="24"/>
              </w:rPr>
              <w:t>X＜10</w:t>
            </w:r>
          </w:p>
        </w:tc>
      </w:tr>
      <w:tr w14:paraId="631922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0676CC46">
            <w:pPr>
              <w:spacing w:line="288" w:lineRule="auto"/>
              <w:rPr>
                <w:rFonts w:ascii="宋体" w:hAnsi="宋体" w:cs="宋体"/>
                <w:b/>
                <w:sz w:val="24"/>
                <w:szCs w:val="24"/>
              </w:rPr>
            </w:pPr>
          </w:p>
        </w:tc>
        <w:tc>
          <w:tcPr>
            <w:tcW w:w="1369" w:type="dxa"/>
            <w:vAlign w:val="center"/>
          </w:tcPr>
          <w:p w14:paraId="2AE29985">
            <w:pPr>
              <w:spacing w:line="288" w:lineRule="auto"/>
              <w:rPr>
                <w:rFonts w:ascii="宋体" w:hAnsi="宋体" w:cs="宋体"/>
                <w:b/>
                <w:sz w:val="24"/>
                <w:szCs w:val="24"/>
              </w:rPr>
            </w:pPr>
            <w:r>
              <w:rPr>
                <w:rFonts w:hint="eastAsia" w:ascii="宋体" w:hAnsi="宋体" w:cs="宋体"/>
                <w:b/>
                <w:sz w:val="24"/>
                <w:szCs w:val="24"/>
              </w:rPr>
              <w:t>营业收入(Y)</w:t>
            </w:r>
          </w:p>
        </w:tc>
        <w:tc>
          <w:tcPr>
            <w:tcW w:w="709" w:type="dxa"/>
            <w:vAlign w:val="center"/>
          </w:tcPr>
          <w:p w14:paraId="034D1A1F">
            <w:pPr>
              <w:spacing w:line="288" w:lineRule="auto"/>
              <w:rPr>
                <w:rFonts w:ascii="宋体" w:hAnsi="宋体" w:cs="宋体"/>
                <w:b/>
                <w:sz w:val="24"/>
                <w:szCs w:val="24"/>
              </w:rPr>
            </w:pPr>
            <w:r>
              <w:rPr>
                <w:rFonts w:hint="eastAsia" w:ascii="宋体" w:hAnsi="宋体" w:cs="宋体"/>
                <w:b/>
                <w:sz w:val="24"/>
                <w:szCs w:val="24"/>
              </w:rPr>
              <w:t>万元</w:t>
            </w:r>
          </w:p>
        </w:tc>
        <w:tc>
          <w:tcPr>
            <w:tcW w:w="1125" w:type="dxa"/>
            <w:vAlign w:val="center"/>
          </w:tcPr>
          <w:p w14:paraId="232D7EC0">
            <w:pPr>
              <w:spacing w:line="288" w:lineRule="auto"/>
              <w:rPr>
                <w:rFonts w:ascii="宋体" w:hAnsi="宋体" w:cs="宋体"/>
                <w:b/>
                <w:sz w:val="24"/>
                <w:szCs w:val="24"/>
              </w:rPr>
            </w:pPr>
            <w:r>
              <w:rPr>
                <w:rFonts w:hint="eastAsia" w:ascii="宋体" w:hAnsi="宋体" w:cs="宋体"/>
                <w:b/>
                <w:sz w:val="24"/>
                <w:szCs w:val="24"/>
              </w:rPr>
              <w:t>Y≥10000</w:t>
            </w:r>
          </w:p>
        </w:tc>
        <w:tc>
          <w:tcPr>
            <w:tcW w:w="1701" w:type="dxa"/>
            <w:vAlign w:val="center"/>
          </w:tcPr>
          <w:p w14:paraId="716B9331">
            <w:pPr>
              <w:spacing w:line="288" w:lineRule="auto"/>
              <w:rPr>
                <w:rFonts w:ascii="宋体" w:hAnsi="宋体" w:cs="宋体"/>
                <w:b/>
                <w:sz w:val="24"/>
                <w:szCs w:val="24"/>
              </w:rPr>
            </w:pPr>
            <w:r>
              <w:rPr>
                <w:rFonts w:hint="eastAsia" w:ascii="宋体" w:hAnsi="宋体" w:cs="宋体"/>
                <w:b/>
                <w:sz w:val="24"/>
                <w:szCs w:val="24"/>
              </w:rPr>
              <w:t>2000≤Y＜10000</w:t>
            </w:r>
          </w:p>
        </w:tc>
        <w:tc>
          <w:tcPr>
            <w:tcW w:w="1426" w:type="dxa"/>
            <w:vAlign w:val="center"/>
          </w:tcPr>
          <w:p w14:paraId="62883326">
            <w:pPr>
              <w:spacing w:line="288" w:lineRule="auto"/>
              <w:rPr>
                <w:rFonts w:ascii="宋体" w:hAnsi="宋体" w:cs="宋体"/>
                <w:b/>
                <w:sz w:val="24"/>
                <w:szCs w:val="24"/>
              </w:rPr>
            </w:pPr>
            <w:r>
              <w:rPr>
                <w:rFonts w:hint="eastAsia" w:ascii="宋体" w:hAnsi="宋体" w:cs="宋体"/>
                <w:b/>
                <w:sz w:val="24"/>
                <w:szCs w:val="24"/>
              </w:rPr>
              <w:t xml:space="preserve"> 100≤Y＜2000</w:t>
            </w:r>
          </w:p>
        </w:tc>
        <w:tc>
          <w:tcPr>
            <w:tcW w:w="992" w:type="dxa"/>
            <w:vAlign w:val="center"/>
          </w:tcPr>
          <w:p w14:paraId="18DB8DEF">
            <w:pPr>
              <w:spacing w:line="288" w:lineRule="auto"/>
              <w:rPr>
                <w:rFonts w:ascii="宋体" w:hAnsi="宋体" w:cs="宋体"/>
                <w:b/>
                <w:sz w:val="24"/>
                <w:szCs w:val="24"/>
              </w:rPr>
            </w:pPr>
            <w:r>
              <w:rPr>
                <w:rFonts w:hint="eastAsia" w:ascii="宋体" w:hAnsi="宋体" w:cs="宋体"/>
                <w:b/>
                <w:sz w:val="24"/>
                <w:szCs w:val="24"/>
              </w:rPr>
              <w:t>Y＜100</w:t>
            </w:r>
          </w:p>
        </w:tc>
      </w:tr>
      <w:tr w14:paraId="6F4B25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6F737F1E">
            <w:pPr>
              <w:spacing w:line="288" w:lineRule="auto"/>
              <w:rPr>
                <w:rFonts w:ascii="宋体" w:hAnsi="宋体" w:cs="宋体"/>
                <w:b/>
                <w:sz w:val="24"/>
                <w:szCs w:val="24"/>
              </w:rPr>
            </w:pPr>
            <w:r>
              <w:rPr>
                <w:rFonts w:hint="eastAsia" w:ascii="宋体" w:hAnsi="宋体" w:cs="宋体"/>
                <w:b/>
                <w:sz w:val="24"/>
                <w:szCs w:val="24"/>
              </w:rPr>
              <w:t>信息传输业*</w:t>
            </w:r>
          </w:p>
        </w:tc>
        <w:tc>
          <w:tcPr>
            <w:tcW w:w="1369" w:type="dxa"/>
            <w:vAlign w:val="center"/>
          </w:tcPr>
          <w:p w14:paraId="53D7F4F0">
            <w:pPr>
              <w:spacing w:line="288" w:lineRule="auto"/>
              <w:rPr>
                <w:rFonts w:ascii="宋体" w:hAnsi="宋体" w:cs="宋体"/>
                <w:b/>
                <w:sz w:val="24"/>
                <w:szCs w:val="24"/>
              </w:rPr>
            </w:pPr>
            <w:r>
              <w:rPr>
                <w:rFonts w:hint="eastAsia" w:ascii="宋体" w:hAnsi="宋体" w:cs="宋体"/>
                <w:b/>
                <w:sz w:val="24"/>
                <w:szCs w:val="24"/>
              </w:rPr>
              <w:t>从业人员(X)</w:t>
            </w:r>
          </w:p>
        </w:tc>
        <w:tc>
          <w:tcPr>
            <w:tcW w:w="709" w:type="dxa"/>
            <w:vAlign w:val="center"/>
          </w:tcPr>
          <w:p w14:paraId="54A3E1F5">
            <w:pPr>
              <w:spacing w:line="288" w:lineRule="auto"/>
              <w:rPr>
                <w:rFonts w:ascii="宋体" w:hAnsi="宋体" w:cs="宋体"/>
                <w:b/>
                <w:sz w:val="24"/>
                <w:szCs w:val="24"/>
              </w:rPr>
            </w:pPr>
            <w:r>
              <w:rPr>
                <w:rFonts w:hint="eastAsia" w:ascii="宋体" w:hAnsi="宋体" w:cs="宋体"/>
                <w:b/>
                <w:sz w:val="24"/>
                <w:szCs w:val="24"/>
              </w:rPr>
              <w:t>人</w:t>
            </w:r>
          </w:p>
        </w:tc>
        <w:tc>
          <w:tcPr>
            <w:tcW w:w="1125" w:type="dxa"/>
            <w:vAlign w:val="center"/>
          </w:tcPr>
          <w:p w14:paraId="075C2C79">
            <w:pPr>
              <w:spacing w:line="288" w:lineRule="auto"/>
              <w:rPr>
                <w:rFonts w:ascii="宋体" w:hAnsi="宋体" w:cs="宋体"/>
                <w:b/>
                <w:sz w:val="24"/>
                <w:szCs w:val="24"/>
              </w:rPr>
            </w:pPr>
            <w:r>
              <w:rPr>
                <w:rFonts w:hint="eastAsia" w:ascii="宋体" w:hAnsi="宋体" w:cs="宋体"/>
                <w:b/>
                <w:sz w:val="24"/>
                <w:szCs w:val="24"/>
              </w:rPr>
              <w:t>X≥2000</w:t>
            </w:r>
          </w:p>
        </w:tc>
        <w:tc>
          <w:tcPr>
            <w:tcW w:w="1701" w:type="dxa"/>
            <w:vAlign w:val="center"/>
          </w:tcPr>
          <w:p w14:paraId="2FDE4A16">
            <w:pPr>
              <w:spacing w:line="288" w:lineRule="auto"/>
              <w:rPr>
                <w:rFonts w:ascii="宋体" w:hAnsi="宋体" w:cs="宋体"/>
                <w:b/>
                <w:sz w:val="24"/>
                <w:szCs w:val="24"/>
              </w:rPr>
            </w:pPr>
            <w:r>
              <w:rPr>
                <w:rFonts w:hint="eastAsia" w:ascii="宋体" w:hAnsi="宋体" w:cs="宋体"/>
                <w:b/>
                <w:sz w:val="24"/>
                <w:szCs w:val="24"/>
              </w:rPr>
              <w:t>100≤X＜2000</w:t>
            </w:r>
          </w:p>
        </w:tc>
        <w:tc>
          <w:tcPr>
            <w:tcW w:w="1426" w:type="dxa"/>
            <w:vAlign w:val="center"/>
          </w:tcPr>
          <w:p w14:paraId="677FB100">
            <w:pPr>
              <w:spacing w:line="288" w:lineRule="auto"/>
              <w:rPr>
                <w:rFonts w:ascii="宋体" w:hAnsi="宋体" w:cs="宋体"/>
                <w:b/>
                <w:sz w:val="24"/>
                <w:szCs w:val="24"/>
              </w:rPr>
            </w:pPr>
            <w:r>
              <w:rPr>
                <w:rFonts w:hint="eastAsia" w:ascii="宋体" w:hAnsi="宋体" w:cs="宋体"/>
                <w:b/>
                <w:sz w:val="24"/>
                <w:szCs w:val="24"/>
              </w:rPr>
              <w:t xml:space="preserve"> 10≤X＜100</w:t>
            </w:r>
          </w:p>
        </w:tc>
        <w:tc>
          <w:tcPr>
            <w:tcW w:w="992" w:type="dxa"/>
            <w:vAlign w:val="center"/>
          </w:tcPr>
          <w:p w14:paraId="620D12BB">
            <w:pPr>
              <w:spacing w:line="288" w:lineRule="auto"/>
              <w:rPr>
                <w:rFonts w:ascii="宋体" w:hAnsi="宋体" w:cs="宋体"/>
                <w:b/>
                <w:sz w:val="24"/>
                <w:szCs w:val="24"/>
              </w:rPr>
            </w:pPr>
            <w:r>
              <w:rPr>
                <w:rFonts w:hint="eastAsia" w:ascii="宋体" w:hAnsi="宋体" w:cs="宋体"/>
                <w:b/>
                <w:sz w:val="24"/>
                <w:szCs w:val="24"/>
              </w:rPr>
              <w:t>X＜10</w:t>
            </w:r>
          </w:p>
        </w:tc>
      </w:tr>
      <w:tr w14:paraId="3971F9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76E93269">
            <w:pPr>
              <w:spacing w:line="288" w:lineRule="auto"/>
              <w:rPr>
                <w:rFonts w:ascii="宋体" w:hAnsi="宋体" w:cs="宋体"/>
                <w:b/>
                <w:sz w:val="24"/>
                <w:szCs w:val="24"/>
              </w:rPr>
            </w:pPr>
          </w:p>
        </w:tc>
        <w:tc>
          <w:tcPr>
            <w:tcW w:w="1369" w:type="dxa"/>
            <w:vAlign w:val="center"/>
          </w:tcPr>
          <w:p w14:paraId="5DAE2EB4">
            <w:pPr>
              <w:spacing w:line="288" w:lineRule="auto"/>
              <w:rPr>
                <w:rFonts w:ascii="宋体" w:hAnsi="宋体" w:cs="宋体"/>
                <w:b/>
                <w:sz w:val="24"/>
                <w:szCs w:val="24"/>
              </w:rPr>
            </w:pPr>
            <w:r>
              <w:rPr>
                <w:rFonts w:hint="eastAsia" w:ascii="宋体" w:hAnsi="宋体" w:cs="宋体"/>
                <w:b/>
                <w:sz w:val="24"/>
                <w:szCs w:val="24"/>
              </w:rPr>
              <w:t>营业收入(Y)</w:t>
            </w:r>
          </w:p>
        </w:tc>
        <w:tc>
          <w:tcPr>
            <w:tcW w:w="709" w:type="dxa"/>
            <w:vAlign w:val="center"/>
          </w:tcPr>
          <w:p w14:paraId="23F1B5FB">
            <w:pPr>
              <w:spacing w:line="288" w:lineRule="auto"/>
              <w:rPr>
                <w:rFonts w:ascii="宋体" w:hAnsi="宋体" w:cs="宋体"/>
                <w:b/>
                <w:sz w:val="24"/>
                <w:szCs w:val="24"/>
              </w:rPr>
            </w:pPr>
            <w:r>
              <w:rPr>
                <w:rFonts w:hint="eastAsia" w:ascii="宋体" w:hAnsi="宋体" w:cs="宋体"/>
                <w:b/>
                <w:sz w:val="24"/>
                <w:szCs w:val="24"/>
              </w:rPr>
              <w:t>万元</w:t>
            </w:r>
          </w:p>
        </w:tc>
        <w:tc>
          <w:tcPr>
            <w:tcW w:w="1125" w:type="dxa"/>
            <w:vAlign w:val="center"/>
          </w:tcPr>
          <w:p w14:paraId="44295282">
            <w:pPr>
              <w:spacing w:line="288" w:lineRule="auto"/>
              <w:rPr>
                <w:rFonts w:ascii="宋体" w:hAnsi="宋体" w:cs="宋体"/>
                <w:b/>
                <w:sz w:val="24"/>
                <w:szCs w:val="24"/>
              </w:rPr>
            </w:pPr>
            <w:r>
              <w:rPr>
                <w:rFonts w:hint="eastAsia" w:ascii="宋体" w:hAnsi="宋体" w:cs="宋体"/>
                <w:b/>
                <w:sz w:val="24"/>
                <w:szCs w:val="24"/>
              </w:rPr>
              <w:t>Y≥100000</w:t>
            </w:r>
          </w:p>
        </w:tc>
        <w:tc>
          <w:tcPr>
            <w:tcW w:w="1701" w:type="dxa"/>
            <w:vAlign w:val="center"/>
          </w:tcPr>
          <w:p w14:paraId="5DC2C778">
            <w:pPr>
              <w:spacing w:line="288" w:lineRule="auto"/>
              <w:rPr>
                <w:rFonts w:ascii="宋体" w:hAnsi="宋体" w:cs="宋体"/>
                <w:b/>
                <w:sz w:val="24"/>
                <w:szCs w:val="24"/>
              </w:rPr>
            </w:pPr>
            <w:r>
              <w:rPr>
                <w:rFonts w:hint="eastAsia" w:ascii="宋体" w:hAnsi="宋体" w:cs="宋体"/>
                <w:b/>
                <w:sz w:val="24"/>
                <w:szCs w:val="24"/>
              </w:rPr>
              <w:t xml:space="preserve"> 1000≤Y＜100000</w:t>
            </w:r>
          </w:p>
        </w:tc>
        <w:tc>
          <w:tcPr>
            <w:tcW w:w="1426" w:type="dxa"/>
            <w:vAlign w:val="center"/>
          </w:tcPr>
          <w:p w14:paraId="70A10965">
            <w:pPr>
              <w:spacing w:line="288" w:lineRule="auto"/>
              <w:rPr>
                <w:rFonts w:ascii="宋体" w:hAnsi="宋体" w:cs="宋体"/>
                <w:b/>
                <w:sz w:val="24"/>
                <w:szCs w:val="24"/>
              </w:rPr>
            </w:pPr>
            <w:r>
              <w:rPr>
                <w:rFonts w:hint="eastAsia" w:ascii="宋体" w:hAnsi="宋体" w:cs="宋体"/>
                <w:b/>
                <w:sz w:val="24"/>
                <w:szCs w:val="24"/>
              </w:rPr>
              <w:t xml:space="preserve"> 100≤Y＜1000</w:t>
            </w:r>
          </w:p>
        </w:tc>
        <w:tc>
          <w:tcPr>
            <w:tcW w:w="992" w:type="dxa"/>
            <w:vAlign w:val="center"/>
          </w:tcPr>
          <w:p w14:paraId="38244EE8">
            <w:pPr>
              <w:spacing w:line="288" w:lineRule="auto"/>
              <w:rPr>
                <w:rFonts w:ascii="宋体" w:hAnsi="宋体" w:cs="宋体"/>
                <w:b/>
                <w:sz w:val="24"/>
                <w:szCs w:val="24"/>
              </w:rPr>
            </w:pPr>
            <w:r>
              <w:rPr>
                <w:rFonts w:hint="eastAsia" w:ascii="宋体" w:hAnsi="宋体" w:cs="宋体"/>
                <w:b/>
                <w:sz w:val="24"/>
                <w:szCs w:val="24"/>
              </w:rPr>
              <w:t>Y＜100</w:t>
            </w:r>
          </w:p>
        </w:tc>
      </w:tr>
      <w:tr w14:paraId="08292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5798F3D6">
            <w:pPr>
              <w:spacing w:line="288" w:lineRule="auto"/>
              <w:rPr>
                <w:rFonts w:ascii="宋体" w:hAnsi="宋体" w:cs="宋体"/>
                <w:b/>
                <w:spacing w:val="-12"/>
                <w:sz w:val="24"/>
                <w:szCs w:val="24"/>
              </w:rPr>
            </w:pPr>
            <w:r>
              <w:rPr>
                <w:rFonts w:hint="eastAsia" w:ascii="宋体" w:hAnsi="宋体" w:cs="宋体"/>
                <w:b/>
                <w:spacing w:val="-12"/>
                <w:sz w:val="24"/>
                <w:szCs w:val="24"/>
              </w:rPr>
              <w:t>软件和信息技术服</w:t>
            </w:r>
            <w:r>
              <w:rPr>
                <w:rFonts w:hint="eastAsia" w:ascii="宋体" w:hAnsi="宋体" w:cs="宋体"/>
                <w:b/>
                <w:sz w:val="24"/>
                <w:szCs w:val="24"/>
              </w:rPr>
              <w:t>务业</w:t>
            </w:r>
          </w:p>
        </w:tc>
        <w:tc>
          <w:tcPr>
            <w:tcW w:w="1369" w:type="dxa"/>
            <w:vAlign w:val="center"/>
          </w:tcPr>
          <w:p w14:paraId="6DCCF761">
            <w:pPr>
              <w:spacing w:line="288" w:lineRule="auto"/>
              <w:rPr>
                <w:rFonts w:ascii="宋体" w:hAnsi="宋体" w:cs="宋体"/>
                <w:b/>
                <w:sz w:val="24"/>
                <w:szCs w:val="24"/>
              </w:rPr>
            </w:pPr>
            <w:r>
              <w:rPr>
                <w:rFonts w:hint="eastAsia" w:ascii="宋体" w:hAnsi="宋体" w:cs="宋体"/>
                <w:b/>
                <w:sz w:val="24"/>
                <w:szCs w:val="24"/>
              </w:rPr>
              <w:t>从业人员(X)</w:t>
            </w:r>
          </w:p>
        </w:tc>
        <w:tc>
          <w:tcPr>
            <w:tcW w:w="709" w:type="dxa"/>
            <w:vAlign w:val="center"/>
          </w:tcPr>
          <w:p w14:paraId="5940E7C4">
            <w:pPr>
              <w:spacing w:line="288" w:lineRule="auto"/>
              <w:rPr>
                <w:rFonts w:ascii="宋体" w:hAnsi="宋体" w:cs="宋体"/>
                <w:b/>
                <w:sz w:val="24"/>
                <w:szCs w:val="24"/>
              </w:rPr>
            </w:pPr>
            <w:r>
              <w:rPr>
                <w:rFonts w:hint="eastAsia" w:ascii="宋体" w:hAnsi="宋体" w:cs="宋体"/>
                <w:b/>
                <w:sz w:val="24"/>
                <w:szCs w:val="24"/>
              </w:rPr>
              <w:t>人</w:t>
            </w:r>
          </w:p>
        </w:tc>
        <w:tc>
          <w:tcPr>
            <w:tcW w:w="1125" w:type="dxa"/>
            <w:vAlign w:val="center"/>
          </w:tcPr>
          <w:p w14:paraId="4EC0C75C">
            <w:pPr>
              <w:spacing w:line="288" w:lineRule="auto"/>
              <w:rPr>
                <w:rFonts w:ascii="宋体" w:hAnsi="宋体" w:cs="宋体"/>
                <w:b/>
                <w:sz w:val="24"/>
                <w:szCs w:val="24"/>
              </w:rPr>
            </w:pPr>
            <w:r>
              <w:rPr>
                <w:rFonts w:hint="eastAsia" w:ascii="宋体" w:hAnsi="宋体" w:cs="宋体"/>
                <w:b/>
                <w:sz w:val="24"/>
                <w:szCs w:val="24"/>
              </w:rPr>
              <w:t>X≥300</w:t>
            </w:r>
          </w:p>
        </w:tc>
        <w:tc>
          <w:tcPr>
            <w:tcW w:w="1701" w:type="dxa"/>
            <w:vAlign w:val="center"/>
          </w:tcPr>
          <w:p w14:paraId="7C308EC5">
            <w:pPr>
              <w:spacing w:line="288" w:lineRule="auto"/>
              <w:ind w:left="38" w:leftChars="-51" w:hanging="145" w:hangingChars="60"/>
              <w:rPr>
                <w:rFonts w:ascii="宋体" w:hAnsi="宋体" w:cs="宋体"/>
                <w:b/>
                <w:sz w:val="24"/>
                <w:szCs w:val="24"/>
              </w:rPr>
            </w:pPr>
            <w:r>
              <w:rPr>
                <w:rFonts w:hint="eastAsia" w:ascii="宋体" w:hAnsi="宋体" w:cs="宋体"/>
                <w:b/>
                <w:sz w:val="24"/>
                <w:szCs w:val="24"/>
              </w:rPr>
              <w:t xml:space="preserve">100≤X＜300 </w:t>
            </w:r>
          </w:p>
        </w:tc>
        <w:tc>
          <w:tcPr>
            <w:tcW w:w="1426" w:type="dxa"/>
            <w:vAlign w:val="center"/>
          </w:tcPr>
          <w:p w14:paraId="39321E5A">
            <w:pPr>
              <w:spacing w:line="288" w:lineRule="auto"/>
              <w:rPr>
                <w:rFonts w:ascii="宋体" w:hAnsi="宋体" w:cs="宋体"/>
                <w:b/>
                <w:sz w:val="24"/>
                <w:szCs w:val="24"/>
              </w:rPr>
            </w:pPr>
            <w:r>
              <w:rPr>
                <w:rFonts w:hint="eastAsia" w:ascii="宋体" w:hAnsi="宋体" w:cs="宋体"/>
                <w:b/>
                <w:sz w:val="24"/>
                <w:szCs w:val="24"/>
              </w:rPr>
              <w:t xml:space="preserve"> 10≤X＜100</w:t>
            </w:r>
          </w:p>
        </w:tc>
        <w:tc>
          <w:tcPr>
            <w:tcW w:w="992" w:type="dxa"/>
            <w:vAlign w:val="center"/>
          </w:tcPr>
          <w:p w14:paraId="38A154C4">
            <w:pPr>
              <w:spacing w:line="288" w:lineRule="auto"/>
              <w:rPr>
                <w:rFonts w:ascii="宋体" w:hAnsi="宋体" w:cs="宋体"/>
                <w:b/>
                <w:sz w:val="24"/>
                <w:szCs w:val="24"/>
              </w:rPr>
            </w:pPr>
            <w:r>
              <w:rPr>
                <w:rFonts w:hint="eastAsia" w:ascii="宋体" w:hAnsi="宋体" w:cs="宋体"/>
                <w:b/>
                <w:sz w:val="24"/>
                <w:szCs w:val="24"/>
              </w:rPr>
              <w:t>X＜10</w:t>
            </w:r>
          </w:p>
        </w:tc>
      </w:tr>
      <w:tr w14:paraId="23FF6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136CAB82">
            <w:pPr>
              <w:spacing w:line="288" w:lineRule="auto"/>
              <w:rPr>
                <w:rFonts w:ascii="宋体" w:hAnsi="宋体" w:cs="宋体"/>
                <w:b/>
                <w:spacing w:val="-12"/>
                <w:sz w:val="24"/>
                <w:szCs w:val="24"/>
              </w:rPr>
            </w:pPr>
          </w:p>
        </w:tc>
        <w:tc>
          <w:tcPr>
            <w:tcW w:w="1369" w:type="dxa"/>
            <w:vAlign w:val="center"/>
          </w:tcPr>
          <w:p w14:paraId="07A4BF72">
            <w:pPr>
              <w:spacing w:line="288" w:lineRule="auto"/>
              <w:rPr>
                <w:rFonts w:ascii="宋体" w:hAnsi="宋体" w:cs="宋体"/>
                <w:b/>
                <w:sz w:val="24"/>
                <w:szCs w:val="24"/>
              </w:rPr>
            </w:pPr>
            <w:r>
              <w:rPr>
                <w:rFonts w:hint="eastAsia" w:ascii="宋体" w:hAnsi="宋体" w:cs="宋体"/>
                <w:b/>
                <w:sz w:val="24"/>
                <w:szCs w:val="24"/>
              </w:rPr>
              <w:t>营业收入(Y)</w:t>
            </w:r>
          </w:p>
        </w:tc>
        <w:tc>
          <w:tcPr>
            <w:tcW w:w="709" w:type="dxa"/>
            <w:vAlign w:val="center"/>
          </w:tcPr>
          <w:p w14:paraId="32E06262">
            <w:pPr>
              <w:spacing w:line="288" w:lineRule="auto"/>
              <w:rPr>
                <w:rFonts w:ascii="宋体" w:hAnsi="宋体" w:cs="宋体"/>
                <w:b/>
                <w:sz w:val="24"/>
                <w:szCs w:val="24"/>
              </w:rPr>
            </w:pPr>
            <w:r>
              <w:rPr>
                <w:rFonts w:hint="eastAsia" w:ascii="宋体" w:hAnsi="宋体" w:cs="宋体"/>
                <w:b/>
                <w:sz w:val="24"/>
                <w:szCs w:val="24"/>
              </w:rPr>
              <w:t>万元</w:t>
            </w:r>
          </w:p>
        </w:tc>
        <w:tc>
          <w:tcPr>
            <w:tcW w:w="1125" w:type="dxa"/>
            <w:vAlign w:val="center"/>
          </w:tcPr>
          <w:p w14:paraId="0A41933B">
            <w:pPr>
              <w:spacing w:line="288" w:lineRule="auto"/>
              <w:rPr>
                <w:rFonts w:ascii="宋体" w:hAnsi="宋体" w:cs="宋体"/>
                <w:b/>
                <w:sz w:val="24"/>
                <w:szCs w:val="24"/>
              </w:rPr>
            </w:pPr>
            <w:r>
              <w:rPr>
                <w:rFonts w:hint="eastAsia" w:ascii="宋体" w:hAnsi="宋体" w:cs="宋体"/>
                <w:b/>
                <w:sz w:val="24"/>
                <w:szCs w:val="24"/>
              </w:rPr>
              <w:t>Y≥10000</w:t>
            </w:r>
          </w:p>
        </w:tc>
        <w:tc>
          <w:tcPr>
            <w:tcW w:w="1701" w:type="dxa"/>
            <w:vAlign w:val="center"/>
          </w:tcPr>
          <w:p w14:paraId="5DFDE662">
            <w:pPr>
              <w:spacing w:line="288" w:lineRule="auto"/>
              <w:rPr>
                <w:rFonts w:ascii="宋体" w:hAnsi="宋体" w:cs="宋体"/>
                <w:b/>
                <w:sz w:val="24"/>
                <w:szCs w:val="24"/>
              </w:rPr>
            </w:pPr>
            <w:r>
              <w:rPr>
                <w:rFonts w:hint="eastAsia" w:ascii="宋体" w:hAnsi="宋体" w:cs="宋体"/>
                <w:b/>
                <w:sz w:val="24"/>
                <w:szCs w:val="24"/>
              </w:rPr>
              <w:t>1000≤Y＜10000</w:t>
            </w:r>
          </w:p>
        </w:tc>
        <w:tc>
          <w:tcPr>
            <w:tcW w:w="1426" w:type="dxa"/>
            <w:vAlign w:val="center"/>
          </w:tcPr>
          <w:p w14:paraId="1F44CCB0">
            <w:pPr>
              <w:spacing w:line="288" w:lineRule="auto"/>
              <w:rPr>
                <w:rFonts w:ascii="宋体" w:hAnsi="宋体" w:cs="宋体"/>
                <w:b/>
                <w:sz w:val="24"/>
                <w:szCs w:val="24"/>
              </w:rPr>
            </w:pPr>
            <w:r>
              <w:rPr>
                <w:rFonts w:hint="eastAsia" w:ascii="宋体" w:hAnsi="宋体" w:cs="宋体"/>
                <w:b/>
                <w:sz w:val="24"/>
                <w:szCs w:val="24"/>
              </w:rPr>
              <w:t xml:space="preserve">  50≤Y＜1000</w:t>
            </w:r>
          </w:p>
        </w:tc>
        <w:tc>
          <w:tcPr>
            <w:tcW w:w="992" w:type="dxa"/>
            <w:vAlign w:val="center"/>
          </w:tcPr>
          <w:p w14:paraId="551ADAAF">
            <w:pPr>
              <w:spacing w:line="288" w:lineRule="auto"/>
              <w:rPr>
                <w:rFonts w:ascii="宋体" w:hAnsi="宋体" w:cs="宋体"/>
                <w:b/>
                <w:sz w:val="24"/>
                <w:szCs w:val="24"/>
              </w:rPr>
            </w:pPr>
            <w:r>
              <w:rPr>
                <w:rFonts w:hint="eastAsia" w:ascii="宋体" w:hAnsi="宋体" w:cs="宋体"/>
                <w:b/>
                <w:sz w:val="24"/>
                <w:szCs w:val="24"/>
              </w:rPr>
              <w:t>Y＜50</w:t>
            </w:r>
          </w:p>
        </w:tc>
      </w:tr>
      <w:tr w14:paraId="26919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587F7875">
            <w:pPr>
              <w:spacing w:line="288" w:lineRule="auto"/>
              <w:rPr>
                <w:rFonts w:ascii="宋体" w:hAnsi="宋体" w:cs="宋体"/>
                <w:b/>
                <w:sz w:val="24"/>
                <w:szCs w:val="24"/>
              </w:rPr>
            </w:pPr>
            <w:r>
              <w:rPr>
                <w:rFonts w:hint="eastAsia" w:ascii="宋体" w:hAnsi="宋体" w:cs="宋体"/>
                <w:b/>
                <w:sz w:val="24"/>
                <w:szCs w:val="24"/>
              </w:rPr>
              <w:t>房地产开发经营</w:t>
            </w:r>
          </w:p>
        </w:tc>
        <w:tc>
          <w:tcPr>
            <w:tcW w:w="1369" w:type="dxa"/>
            <w:vAlign w:val="center"/>
          </w:tcPr>
          <w:p w14:paraId="7451F47C">
            <w:pPr>
              <w:spacing w:line="288" w:lineRule="auto"/>
              <w:rPr>
                <w:rFonts w:ascii="宋体" w:hAnsi="宋体" w:cs="宋体"/>
                <w:b/>
                <w:sz w:val="24"/>
                <w:szCs w:val="24"/>
              </w:rPr>
            </w:pPr>
            <w:r>
              <w:rPr>
                <w:rFonts w:hint="eastAsia" w:ascii="宋体" w:hAnsi="宋体" w:cs="宋体"/>
                <w:b/>
                <w:sz w:val="24"/>
                <w:szCs w:val="24"/>
              </w:rPr>
              <w:t>营业收入(Y)</w:t>
            </w:r>
          </w:p>
        </w:tc>
        <w:tc>
          <w:tcPr>
            <w:tcW w:w="709" w:type="dxa"/>
            <w:vAlign w:val="center"/>
          </w:tcPr>
          <w:p w14:paraId="7226F4E9">
            <w:pPr>
              <w:spacing w:line="288" w:lineRule="auto"/>
              <w:rPr>
                <w:rFonts w:ascii="宋体" w:hAnsi="宋体" w:cs="宋体"/>
                <w:b/>
                <w:sz w:val="24"/>
                <w:szCs w:val="24"/>
              </w:rPr>
            </w:pPr>
            <w:r>
              <w:rPr>
                <w:rFonts w:hint="eastAsia" w:ascii="宋体" w:hAnsi="宋体" w:cs="宋体"/>
                <w:b/>
                <w:sz w:val="24"/>
                <w:szCs w:val="24"/>
              </w:rPr>
              <w:t>万元</w:t>
            </w:r>
          </w:p>
        </w:tc>
        <w:tc>
          <w:tcPr>
            <w:tcW w:w="1125" w:type="dxa"/>
            <w:vAlign w:val="center"/>
          </w:tcPr>
          <w:p w14:paraId="1A749832">
            <w:pPr>
              <w:spacing w:line="288" w:lineRule="auto"/>
              <w:rPr>
                <w:rFonts w:ascii="宋体" w:hAnsi="宋体" w:cs="宋体"/>
                <w:b/>
                <w:sz w:val="24"/>
                <w:szCs w:val="24"/>
              </w:rPr>
            </w:pPr>
            <w:r>
              <w:rPr>
                <w:rFonts w:hint="eastAsia" w:ascii="宋体" w:hAnsi="宋体" w:cs="宋体"/>
                <w:b/>
                <w:sz w:val="24"/>
                <w:szCs w:val="24"/>
              </w:rPr>
              <w:t>Y≥200000</w:t>
            </w:r>
          </w:p>
        </w:tc>
        <w:tc>
          <w:tcPr>
            <w:tcW w:w="1701" w:type="dxa"/>
            <w:vAlign w:val="center"/>
          </w:tcPr>
          <w:p w14:paraId="79C24C71">
            <w:pPr>
              <w:spacing w:line="288" w:lineRule="auto"/>
              <w:rPr>
                <w:rFonts w:ascii="宋体" w:hAnsi="宋体" w:cs="宋体"/>
                <w:b/>
                <w:sz w:val="24"/>
                <w:szCs w:val="24"/>
              </w:rPr>
            </w:pPr>
            <w:r>
              <w:rPr>
                <w:rFonts w:hint="eastAsia" w:ascii="宋体" w:hAnsi="宋体" w:cs="宋体"/>
                <w:b/>
                <w:sz w:val="24"/>
                <w:szCs w:val="24"/>
              </w:rPr>
              <w:t xml:space="preserve"> 1000≤Y＜200000</w:t>
            </w:r>
          </w:p>
        </w:tc>
        <w:tc>
          <w:tcPr>
            <w:tcW w:w="1426" w:type="dxa"/>
            <w:vAlign w:val="center"/>
          </w:tcPr>
          <w:p w14:paraId="09C89525">
            <w:pPr>
              <w:spacing w:line="288" w:lineRule="auto"/>
              <w:rPr>
                <w:rFonts w:ascii="宋体" w:hAnsi="宋体" w:cs="宋体"/>
                <w:b/>
                <w:sz w:val="24"/>
                <w:szCs w:val="24"/>
              </w:rPr>
            </w:pPr>
            <w:r>
              <w:rPr>
                <w:rFonts w:hint="eastAsia" w:ascii="宋体" w:hAnsi="宋体" w:cs="宋体"/>
                <w:b/>
                <w:sz w:val="24"/>
                <w:szCs w:val="24"/>
              </w:rPr>
              <w:t xml:space="preserve"> 100≤Y＜1000</w:t>
            </w:r>
          </w:p>
        </w:tc>
        <w:tc>
          <w:tcPr>
            <w:tcW w:w="992" w:type="dxa"/>
            <w:vAlign w:val="center"/>
          </w:tcPr>
          <w:p w14:paraId="659AAF32">
            <w:pPr>
              <w:spacing w:line="288" w:lineRule="auto"/>
              <w:rPr>
                <w:rFonts w:ascii="宋体" w:hAnsi="宋体" w:cs="宋体"/>
                <w:b/>
                <w:sz w:val="24"/>
                <w:szCs w:val="24"/>
              </w:rPr>
            </w:pPr>
            <w:r>
              <w:rPr>
                <w:rFonts w:hint="eastAsia" w:ascii="宋体" w:hAnsi="宋体" w:cs="宋体"/>
                <w:b/>
                <w:sz w:val="24"/>
                <w:szCs w:val="24"/>
              </w:rPr>
              <w:t>Y＜100</w:t>
            </w:r>
          </w:p>
        </w:tc>
      </w:tr>
      <w:tr w14:paraId="47E7C8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70857C77">
            <w:pPr>
              <w:spacing w:line="288" w:lineRule="auto"/>
              <w:rPr>
                <w:rFonts w:ascii="宋体" w:hAnsi="宋体" w:cs="宋体"/>
                <w:b/>
                <w:sz w:val="24"/>
                <w:szCs w:val="24"/>
              </w:rPr>
            </w:pPr>
          </w:p>
        </w:tc>
        <w:tc>
          <w:tcPr>
            <w:tcW w:w="1369" w:type="dxa"/>
            <w:vAlign w:val="center"/>
          </w:tcPr>
          <w:p w14:paraId="70A7E6D1">
            <w:pPr>
              <w:spacing w:line="288" w:lineRule="auto"/>
              <w:rPr>
                <w:rFonts w:ascii="宋体" w:hAnsi="宋体" w:cs="宋体"/>
                <w:b/>
                <w:sz w:val="24"/>
                <w:szCs w:val="24"/>
              </w:rPr>
            </w:pPr>
            <w:r>
              <w:rPr>
                <w:rFonts w:hint="eastAsia" w:ascii="宋体" w:hAnsi="宋体" w:cs="宋体"/>
                <w:b/>
                <w:sz w:val="24"/>
                <w:szCs w:val="24"/>
              </w:rPr>
              <w:t>资产总额(Z)</w:t>
            </w:r>
          </w:p>
        </w:tc>
        <w:tc>
          <w:tcPr>
            <w:tcW w:w="709" w:type="dxa"/>
            <w:vAlign w:val="center"/>
          </w:tcPr>
          <w:p w14:paraId="79A52D9D">
            <w:pPr>
              <w:spacing w:line="288" w:lineRule="auto"/>
              <w:rPr>
                <w:rFonts w:ascii="宋体" w:hAnsi="宋体" w:cs="宋体"/>
                <w:b/>
                <w:sz w:val="24"/>
                <w:szCs w:val="24"/>
              </w:rPr>
            </w:pPr>
            <w:r>
              <w:rPr>
                <w:rFonts w:hint="eastAsia" w:ascii="宋体" w:hAnsi="宋体" w:cs="宋体"/>
                <w:b/>
                <w:sz w:val="24"/>
                <w:szCs w:val="24"/>
              </w:rPr>
              <w:t>万元</w:t>
            </w:r>
          </w:p>
        </w:tc>
        <w:tc>
          <w:tcPr>
            <w:tcW w:w="1125" w:type="dxa"/>
            <w:vAlign w:val="center"/>
          </w:tcPr>
          <w:p w14:paraId="2AAE5D66">
            <w:pPr>
              <w:spacing w:line="288" w:lineRule="auto"/>
              <w:rPr>
                <w:rFonts w:ascii="宋体" w:hAnsi="宋体" w:cs="宋体"/>
                <w:b/>
                <w:sz w:val="24"/>
                <w:szCs w:val="24"/>
              </w:rPr>
            </w:pPr>
            <w:r>
              <w:rPr>
                <w:rFonts w:hint="eastAsia" w:ascii="宋体" w:hAnsi="宋体" w:cs="宋体"/>
                <w:b/>
                <w:sz w:val="24"/>
                <w:szCs w:val="24"/>
              </w:rPr>
              <w:t>Z≥10000</w:t>
            </w:r>
          </w:p>
        </w:tc>
        <w:tc>
          <w:tcPr>
            <w:tcW w:w="1701" w:type="dxa"/>
            <w:vAlign w:val="center"/>
          </w:tcPr>
          <w:p w14:paraId="272B47C1">
            <w:pPr>
              <w:spacing w:line="288" w:lineRule="auto"/>
              <w:rPr>
                <w:rFonts w:ascii="宋体" w:hAnsi="宋体" w:cs="宋体"/>
                <w:b/>
                <w:sz w:val="24"/>
                <w:szCs w:val="24"/>
              </w:rPr>
            </w:pPr>
            <w:r>
              <w:rPr>
                <w:rFonts w:hint="eastAsia" w:ascii="宋体" w:hAnsi="宋体" w:cs="宋体"/>
                <w:b/>
                <w:sz w:val="24"/>
                <w:szCs w:val="24"/>
              </w:rPr>
              <w:t>5000≤Z＜10000</w:t>
            </w:r>
          </w:p>
        </w:tc>
        <w:tc>
          <w:tcPr>
            <w:tcW w:w="1426" w:type="dxa"/>
            <w:vAlign w:val="center"/>
          </w:tcPr>
          <w:p w14:paraId="41F862F4">
            <w:pPr>
              <w:spacing w:line="288" w:lineRule="auto"/>
              <w:rPr>
                <w:rFonts w:ascii="宋体" w:hAnsi="宋体" w:cs="宋体"/>
                <w:b/>
                <w:sz w:val="24"/>
                <w:szCs w:val="24"/>
              </w:rPr>
            </w:pPr>
            <w:r>
              <w:rPr>
                <w:rFonts w:hint="eastAsia" w:ascii="宋体" w:hAnsi="宋体" w:cs="宋体"/>
                <w:b/>
                <w:sz w:val="24"/>
                <w:szCs w:val="24"/>
              </w:rPr>
              <w:t xml:space="preserve">2000≤Z＜5000   </w:t>
            </w:r>
          </w:p>
        </w:tc>
        <w:tc>
          <w:tcPr>
            <w:tcW w:w="992" w:type="dxa"/>
            <w:vAlign w:val="center"/>
          </w:tcPr>
          <w:p w14:paraId="3D9D9C15">
            <w:pPr>
              <w:spacing w:line="288" w:lineRule="auto"/>
              <w:rPr>
                <w:rFonts w:ascii="宋体" w:hAnsi="宋体" w:cs="宋体"/>
                <w:b/>
                <w:sz w:val="24"/>
                <w:szCs w:val="24"/>
              </w:rPr>
            </w:pPr>
            <w:r>
              <w:rPr>
                <w:rFonts w:hint="eastAsia" w:ascii="宋体" w:hAnsi="宋体" w:cs="宋体"/>
                <w:b/>
                <w:sz w:val="24"/>
                <w:szCs w:val="24"/>
              </w:rPr>
              <w:t>Z＜2000</w:t>
            </w:r>
          </w:p>
        </w:tc>
      </w:tr>
      <w:tr w14:paraId="7A3D4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3F51E6AE">
            <w:pPr>
              <w:spacing w:line="288" w:lineRule="auto"/>
              <w:rPr>
                <w:rFonts w:ascii="宋体" w:hAnsi="宋体" w:cs="宋体"/>
                <w:b/>
                <w:sz w:val="24"/>
                <w:szCs w:val="24"/>
              </w:rPr>
            </w:pPr>
            <w:r>
              <w:rPr>
                <w:rFonts w:hint="eastAsia" w:ascii="宋体" w:hAnsi="宋体" w:cs="宋体"/>
                <w:b/>
                <w:sz w:val="24"/>
                <w:szCs w:val="24"/>
              </w:rPr>
              <w:t>物业管理</w:t>
            </w:r>
          </w:p>
        </w:tc>
        <w:tc>
          <w:tcPr>
            <w:tcW w:w="1369" w:type="dxa"/>
            <w:vAlign w:val="center"/>
          </w:tcPr>
          <w:p w14:paraId="7D609203">
            <w:pPr>
              <w:spacing w:line="288" w:lineRule="auto"/>
              <w:rPr>
                <w:rFonts w:ascii="宋体" w:hAnsi="宋体" w:cs="宋体"/>
                <w:b/>
                <w:sz w:val="24"/>
                <w:szCs w:val="24"/>
              </w:rPr>
            </w:pPr>
            <w:r>
              <w:rPr>
                <w:rFonts w:hint="eastAsia" w:ascii="宋体" w:hAnsi="宋体" w:cs="宋体"/>
                <w:b/>
                <w:sz w:val="24"/>
                <w:szCs w:val="24"/>
              </w:rPr>
              <w:t>从业人员(X)</w:t>
            </w:r>
          </w:p>
        </w:tc>
        <w:tc>
          <w:tcPr>
            <w:tcW w:w="709" w:type="dxa"/>
            <w:vAlign w:val="center"/>
          </w:tcPr>
          <w:p w14:paraId="1E746F47">
            <w:pPr>
              <w:spacing w:line="288" w:lineRule="auto"/>
              <w:rPr>
                <w:rFonts w:ascii="宋体" w:hAnsi="宋体" w:cs="宋体"/>
                <w:b/>
                <w:sz w:val="24"/>
                <w:szCs w:val="24"/>
              </w:rPr>
            </w:pPr>
            <w:r>
              <w:rPr>
                <w:rFonts w:hint="eastAsia" w:ascii="宋体" w:hAnsi="宋体" w:cs="宋体"/>
                <w:b/>
                <w:sz w:val="24"/>
                <w:szCs w:val="24"/>
              </w:rPr>
              <w:t>人</w:t>
            </w:r>
          </w:p>
        </w:tc>
        <w:tc>
          <w:tcPr>
            <w:tcW w:w="1125" w:type="dxa"/>
            <w:vAlign w:val="center"/>
          </w:tcPr>
          <w:p w14:paraId="533CEEC4">
            <w:pPr>
              <w:spacing w:line="288" w:lineRule="auto"/>
              <w:rPr>
                <w:rFonts w:ascii="宋体" w:hAnsi="宋体" w:cs="宋体"/>
                <w:b/>
                <w:sz w:val="24"/>
                <w:szCs w:val="24"/>
              </w:rPr>
            </w:pPr>
            <w:r>
              <w:rPr>
                <w:rFonts w:hint="eastAsia" w:ascii="宋体" w:hAnsi="宋体" w:cs="宋体"/>
                <w:b/>
                <w:sz w:val="24"/>
                <w:szCs w:val="24"/>
              </w:rPr>
              <w:t>X≥1000</w:t>
            </w:r>
          </w:p>
        </w:tc>
        <w:tc>
          <w:tcPr>
            <w:tcW w:w="1701" w:type="dxa"/>
            <w:vAlign w:val="center"/>
          </w:tcPr>
          <w:p w14:paraId="6B515AEC">
            <w:pPr>
              <w:spacing w:line="288" w:lineRule="auto"/>
              <w:rPr>
                <w:rFonts w:ascii="宋体" w:hAnsi="宋体" w:cs="宋体"/>
                <w:b/>
                <w:sz w:val="24"/>
                <w:szCs w:val="24"/>
              </w:rPr>
            </w:pPr>
            <w:r>
              <w:rPr>
                <w:rFonts w:hint="eastAsia" w:ascii="宋体" w:hAnsi="宋体" w:cs="宋体"/>
                <w:b/>
                <w:sz w:val="24"/>
                <w:szCs w:val="24"/>
              </w:rPr>
              <w:t>300≤X＜1000</w:t>
            </w:r>
          </w:p>
        </w:tc>
        <w:tc>
          <w:tcPr>
            <w:tcW w:w="1426" w:type="dxa"/>
            <w:vAlign w:val="center"/>
          </w:tcPr>
          <w:p w14:paraId="4422AEB9">
            <w:pPr>
              <w:spacing w:line="288" w:lineRule="auto"/>
              <w:rPr>
                <w:rFonts w:ascii="宋体" w:hAnsi="宋体" w:cs="宋体"/>
                <w:b/>
                <w:sz w:val="24"/>
                <w:szCs w:val="24"/>
              </w:rPr>
            </w:pPr>
            <w:r>
              <w:rPr>
                <w:rFonts w:hint="eastAsia" w:ascii="宋体" w:hAnsi="宋体" w:cs="宋体"/>
                <w:b/>
                <w:sz w:val="24"/>
                <w:szCs w:val="24"/>
              </w:rPr>
              <w:t xml:space="preserve">100≤X＜300 </w:t>
            </w:r>
          </w:p>
        </w:tc>
        <w:tc>
          <w:tcPr>
            <w:tcW w:w="992" w:type="dxa"/>
            <w:vAlign w:val="center"/>
          </w:tcPr>
          <w:p w14:paraId="448F2E88">
            <w:pPr>
              <w:spacing w:line="288" w:lineRule="auto"/>
              <w:rPr>
                <w:rFonts w:ascii="宋体" w:hAnsi="宋体" w:cs="宋体"/>
                <w:b/>
                <w:sz w:val="24"/>
                <w:szCs w:val="24"/>
              </w:rPr>
            </w:pPr>
            <w:r>
              <w:rPr>
                <w:rFonts w:hint="eastAsia" w:ascii="宋体" w:hAnsi="宋体" w:cs="宋体"/>
                <w:b/>
                <w:sz w:val="24"/>
                <w:szCs w:val="24"/>
              </w:rPr>
              <w:t>X＜100</w:t>
            </w:r>
          </w:p>
        </w:tc>
      </w:tr>
      <w:tr w14:paraId="6C7DF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502AF4B5">
            <w:pPr>
              <w:spacing w:line="288" w:lineRule="auto"/>
              <w:rPr>
                <w:rFonts w:ascii="宋体" w:hAnsi="宋体" w:cs="宋体"/>
                <w:b/>
                <w:sz w:val="24"/>
                <w:szCs w:val="24"/>
              </w:rPr>
            </w:pPr>
          </w:p>
        </w:tc>
        <w:tc>
          <w:tcPr>
            <w:tcW w:w="1369" w:type="dxa"/>
            <w:vAlign w:val="center"/>
          </w:tcPr>
          <w:p w14:paraId="2373AD4F">
            <w:pPr>
              <w:spacing w:line="288" w:lineRule="auto"/>
              <w:rPr>
                <w:rFonts w:ascii="宋体" w:hAnsi="宋体" w:cs="宋体"/>
                <w:b/>
                <w:sz w:val="24"/>
                <w:szCs w:val="24"/>
              </w:rPr>
            </w:pPr>
            <w:r>
              <w:rPr>
                <w:rFonts w:hint="eastAsia" w:ascii="宋体" w:hAnsi="宋体" w:cs="宋体"/>
                <w:b/>
                <w:sz w:val="24"/>
                <w:szCs w:val="24"/>
              </w:rPr>
              <w:t>营业收入(Y)</w:t>
            </w:r>
          </w:p>
        </w:tc>
        <w:tc>
          <w:tcPr>
            <w:tcW w:w="709" w:type="dxa"/>
            <w:vAlign w:val="center"/>
          </w:tcPr>
          <w:p w14:paraId="4D1242C3">
            <w:pPr>
              <w:spacing w:line="288" w:lineRule="auto"/>
              <w:rPr>
                <w:rFonts w:ascii="宋体" w:hAnsi="宋体" w:cs="宋体"/>
                <w:b/>
                <w:sz w:val="24"/>
                <w:szCs w:val="24"/>
              </w:rPr>
            </w:pPr>
            <w:r>
              <w:rPr>
                <w:rFonts w:hint="eastAsia" w:ascii="宋体" w:hAnsi="宋体" w:cs="宋体"/>
                <w:b/>
                <w:sz w:val="24"/>
                <w:szCs w:val="24"/>
              </w:rPr>
              <w:t>万元</w:t>
            </w:r>
          </w:p>
        </w:tc>
        <w:tc>
          <w:tcPr>
            <w:tcW w:w="1125" w:type="dxa"/>
            <w:vAlign w:val="center"/>
          </w:tcPr>
          <w:p w14:paraId="692CD94D">
            <w:pPr>
              <w:spacing w:line="288" w:lineRule="auto"/>
              <w:rPr>
                <w:rFonts w:ascii="宋体" w:hAnsi="宋体" w:cs="宋体"/>
                <w:b/>
                <w:sz w:val="24"/>
                <w:szCs w:val="24"/>
              </w:rPr>
            </w:pPr>
            <w:r>
              <w:rPr>
                <w:rFonts w:hint="eastAsia" w:ascii="宋体" w:hAnsi="宋体" w:cs="宋体"/>
                <w:b/>
                <w:sz w:val="24"/>
                <w:szCs w:val="24"/>
              </w:rPr>
              <w:t>Y≥5000</w:t>
            </w:r>
          </w:p>
        </w:tc>
        <w:tc>
          <w:tcPr>
            <w:tcW w:w="1701" w:type="dxa"/>
            <w:vAlign w:val="center"/>
          </w:tcPr>
          <w:p w14:paraId="3B5C57BB">
            <w:pPr>
              <w:spacing w:line="288" w:lineRule="auto"/>
              <w:ind w:left="38" w:leftChars="-51" w:hanging="145" w:hangingChars="60"/>
              <w:rPr>
                <w:rFonts w:ascii="宋体" w:hAnsi="宋体" w:cs="宋体"/>
                <w:b/>
                <w:sz w:val="24"/>
                <w:szCs w:val="24"/>
              </w:rPr>
            </w:pPr>
            <w:r>
              <w:rPr>
                <w:rFonts w:hint="eastAsia" w:ascii="宋体" w:hAnsi="宋体" w:cs="宋体"/>
                <w:b/>
                <w:sz w:val="24"/>
                <w:szCs w:val="24"/>
              </w:rPr>
              <w:t xml:space="preserve">1000≤Y＜5000 </w:t>
            </w:r>
          </w:p>
        </w:tc>
        <w:tc>
          <w:tcPr>
            <w:tcW w:w="1426" w:type="dxa"/>
            <w:vAlign w:val="center"/>
          </w:tcPr>
          <w:p w14:paraId="6A755FF0">
            <w:pPr>
              <w:spacing w:line="288" w:lineRule="auto"/>
              <w:rPr>
                <w:rFonts w:ascii="宋体" w:hAnsi="宋体" w:cs="宋体"/>
                <w:b/>
                <w:sz w:val="24"/>
                <w:szCs w:val="24"/>
              </w:rPr>
            </w:pPr>
            <w:r>
              <w:rPr>
                <w:rFonts w:hint="eastAsia" w:ascii="宋体" w:hAnsi="宋体" w:cs="宋体"/>
                <w:b/>
                <w:sz w:val="24"/>
                <w:szCs w:val="24"/>
              </w:rPr>
              <w:t xml:space="preserve"> 500≤Y＜1000</w:t>
            </w:r>
          </w:p>
        </w:tc>
        <w:tc>
          <w:tcPr>
            <w:tcW w:w="992" w:type="dxa"/>
            <w:vAlign w:val="center"/>
          </w:tcPr>
          <w:p w14:paraId="7CB78E56">
            <w:pPr>
              <w:spacing w:line="288" w:lineRule="auto"/>
              <w:rPr>
                <w:rFonts w:ascii="宋体" w:hAnsi="宋体" w:cs="宋体"/>
                <w:b/>
                <w:sz w:val="24"/>
                <w:szCs w:val="24"/>
              </w:rPr>
            </w:pPr>
            <w:r>
              <w:rPr>
                <w:rFonts w:hint="eastAsia" w:ascii="宋体" w:hAnsi="宋体" w:cs="宋体"/>
                <w:b/>
                <w:sz w:val="24"/>
                <w:szCs w:val="24"/>
              </w:rPr>
              <w:t>Y＜500</w:t>
            </w:r>
          </w:p>
        </w:tc>
      </w:tr>
      <w:tr w14:paraId="0BC83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6CCDF99C">
            <w:pPr>
              <w:spacing w:line="288" w:lineRule="auto"/>
              <w:rPr>
                <w:rFonts w:ascii="宋体" w:hAnsi="宋体" w:cs="宋体"/>
                <w:b/>
                <w:sz w:val="24"/>
                <w:szCs w:val="24"/>
              </w:rPr>
            </w:pPr>
            <w:r>
              <w:rPr>
                <w:rFonts w:hint="eastAsia" w:ascii="宋体" w:hAnsi="宋体" w:cs="宋体"/>
                <w:b/>
                <w:sz w:val="24"/>
                <w:szCs w:val="24"/>
              </w:rPr>
              <w:t>租赁和商务服务业</w:t>
            </w:r>
          </w:p>
        </w:tc>
        <w:tc>
          <w:tcPr>
            <w:tcW w:w="1369" w:type="dxa"/>
            <w:vAlign w:val="center"/>
          </w:tcPr>
          <w:p w14:paraId="334F2CAE">
            <w:pPr>
              <w:spacing w:line="288" w:lineRule="auto"/>
              <w:rPr>
                <w:rFonts w:ascii="宋体" w:hAnsi="宋体" w:cs="宋体"/>
                <w:b/>
                <w:sz w:val="24"/>
                <w:szCs w:val="24"/>
              </w:rPr>
            </w:pPr>
            <w:r>
              <w:rPr>
                <w:rFonts w:hint="eastAsia" w:ascii="宋体" w:hAnsi="宋体" w:cs="宋体"/>
                <w:b/>
                <w:sz w:val="24"/>
                <w:szCs w:val="24"/>
              </w:rPr>
              <w:t>从业人员(X)</w:t>
            </w:r>
          </w:p>
        </w:tc>
        <w:tc>
          <w:tcPr>
            <w:tcW w:w="709" w:type="dxa"/>
            <w:vAlign w:val="center"/>
          </w:tcPr>
          <w:p w14:paraId="241B9D11">
            <w:pPr>
              <w:spacing w:line="288" w:lineRule="auto"/>
              <w:rPr>
                <w:rFonts w:ascii="宋体" w:hAnsi="宋体" w:cs="宋体"/>
                <w:b/>
                <w:sz w:val="24"/>
                <w:szCs w:val="24"/>
              </w:rPr>
            </w:pPr>
            <w:r>
              <w:rPr>
                <w:rFonts w:hint="eastAsia" w:ascii="宋体" w:hAnsi="宋体" w:cs="宋体"/>
                <w:b/>
                <w:sz w:val="24"/>
                <w:szCs w:val="24"/>
              </w:rPr>
              <w:t>人</w:t>
            </w:r>
          </w:p>
        </w:tc>
        <w:tc>
          <w:tcPr>
            <w:tcW w:w="1125" w:type="dxa"/>
            <w:vAlign w:val="center"/>
          </w:tcPr>
          <w:p w14:paraId="7B84A00F">
            <w:pPr>
              <w:spacing w:line="288" w:lineRule="auto"/>
              <w:rPr>
                <w:rFonts w:ascii="宋体" w:hAnsi="宋体" w:cs="宋体"/>
                <w:b/>
                <w:sz w:val="24"/>
                <w:szCs w:val="24"/>
              </w:rPr>
            </w:pPr>
            <w:r>
              <w:rPr>
                <w:rFonts w:hint="eastAsia" w:ascii="宋体" w:hAnsi="宋体" w:cs="宋体"/>
                <w:b/>
                <w:sz w:val="24"/>
                <w:szCs w:val="24"/>
              </w:rPr>
              <w:t>X≥300</w:t>
            </w:r>
          </w:p>
        </w:tc>
        <w:tc>
          <w:tcPr>
            <w:tcW w:w="1701" w:type="dxa"/>
            <w:vAlign w:val="center"/>
          </w:tcPr>
          <w:p w14:paraId="480712DC">
            <w:pPr>
              <w:spacing w:line="288" w:lineRule="auto"/>
              <w:ind w:left="38" w:leftChars="-51" w:hanging="145" w:hangingChars="60"/>
              <w:rPr>
                <w:rFonts w:ascii="宋体" w:hAnsi="宋体" w:cs="宋体"/>
                <w:b/>
                <w:sz w:val="24"/>
                <w:szCs w:val="24"/>
              </w:rPr>
            </w:pPr>
            <w:r>
              <w:rPr>
                <w:rFonts w:hint="eastAsia" w:ascii="宋体" w:hAnsi="宋体" w:cs="宋体"/>
                <w:b/>
                <w:sz w:val="24"/>
                <w:szCs w:val="24"/>
              </w:rPr>
              <w:t xml:space="preserve">100≤X＜300 </w:t>
            </w:r>
          </w:p>
        </w:tc>
        <w:tc>
          <w:tcPr>
            <w:tcW w:w="1426" w:type="dxa"/>
            <w:vAlign w:val="center"/>
          </w:tcPr>
          <w:p w14:paraId="0799208F">
            <w:pPr>
              <w:spacing w:line="288" w:lineRule="auto"/>
              <w:rPr>
                <w:rFonts w:ascii="宋体" w:hAnsi="宋体" w:cs="宋体"/>
                <w:b/>
                <w:sz w:val="24"/>
                <w:szCs w:val="24"/>
              </w:rPr>
            </w:pPr>
            <w:r>
              <w:rPr>
                <w:rFonts w:hint="eastAsia" w:ascii="宋体" w:hAnsi="宋体" w:cs="宋体"/>
                <w:b/>
                <w:sz w:val="24"/>
                <w:szCs w:val="24"/>
              </w:rPr>
              <w:t xml:space="preserve"> 10≤X＜100</w:t>
            </w:r>
          </w:p>
        </w:tc>
        <w:tc>
          <w:tcPr>
            <w:tcW w:w="992" w:type="dxa"/>
            <w:vAlign w:val="center"/>
          </w:tcPr>
          <w:p w14:paraId="34DC57F4">
            <w:pPr>
              <w:spacing w:line="288" w:lineRule="auto"/>
              <w:rPr>
                <w:rFonts w:ascii="宋体" w:hAnsi="宋体" w:cs="宋体"/>
                <w:b/>
                <w:sz w:val="24"/>
                <w:szCs w:val="24"/>
              </w:rPr>
            </w:pPr>
            <w:r>
              <w:rPr>
                <w:rFonts w:hint="eastAsia" w:ascii="宋体" w:hAnsi="宋体" w:cs="宋体"/>
                <w:b/>
                <w:sz w:val="24"/>
                <w:szCs w:val="24"/>
              </w:rPr>
              <w:t>X＜10</w:t>
            </w:r>
          </w:p>
        </w:tc>
      </w:tr>
      <w:tr w14:paraId="5A2A0B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1EE03477">
            <w:pPr>
              <w:spacing w:line="288" w:lineRule="auto"/>
              <w:rPr>
                <w:rFonts w:ascii="宋体" w:hAnsi="宋体" w:cs="宋体"/>
                <w:b/>
                <w:sz w:val="24"/>
                <w:szCs w:val="24"/>
              </w:rPr>
            </w:pPr>
          </w:p>
        </w:tc>
        <w:tc>
          <w:tcPr>
            <w:tcW w:w="1369" w:type="dxa"/>
            <w:vAlign w:val="center"/>
          </w:tcPr>
          <w:p w14:paraId="64D0CECB">
            <w:pPr>
              <w:spacing w:line="288" w:lineRule="auto"/>
              <w:rPr>
                <w:rFonts w:ascii="宋体" w:hAnsi="宋体" w:cs="宋体"/>
                <w:b/>
                <w:sz w:val="24"/>
                <w:szCs w:val="24"/>
              </w:rPr>
            </w:pPr>
            <w:r>
              <w:rPr>
                <w:rFonts w:hint="eastAsia" w:ascii="宋体" w:hAnsi="宋体" w:cs="宋体"/>
                <w:b/>
                <w:sz w:val="24"/>
                <w:szCs w:val="24"/>
              </w:rPr>
              <w:t>资产总额(Z)</w:t>
            </w:r>
          </w:p>
        </w:tc>
        <w:tc>
          <w:tcPr>
            <w:tcW w:w="709" w:type="dxa"/>
            <w:vAlign w:val="center"/>
          </w:tcPr>
          <w:p w14:paraId="009108C2">
            <w:pPr>
              <w:spacing w:line="288" w:lineRule="auto"/>
              <w:rPr>
                <w:rFonts w:ascii="宋体" w:hAnsi="宋体" w:cs="宋体"/>
                <w:b/>
                <w:sz w:val="24"/>
                <w:szCs w:val="24"/>
              </w:rPr>
            </w:pPr>
            <w:r>
              <w:rPr>
                <w:rFonts w:hint="eastAsia" w:ascii="宋体" w:hAnsi="宋体" w:cs="宋体"/>
                <w:b/>
                <w:sz w:val="24"/>
                <w:szCs w:val="24"/>
              </w:rPr>
              <w:t>万元</w:t>
            </w:r>
          </w:p>
        </w:tc>
        <w:tc>
          <w:tcPr>
            <w:tcW w:w="1125" w:type="dxa"/>
            <w:vAlign w:val="center"/>
          </w:tcPr>
          <w:p w14:paraId="193598AF">
            <w:pPr>
              <w:spacing w:line="288" w:lineRule="auto"/>
              <w:rPr>
                <w:rFonts w:ascii="宋体" w:hAnsi="宋体" w:cs="宋体"/>
                <w:b/>
                <w:sz w:val="24"/>
                <w:szCs w:val="24"/>
              </w:rPr>
            </w:pPr>
            <w:r>
              <w:rPr>
                <w:rFonts w:hint="eastAsia" w:ascii="宋体" w:hAnsi="宋体" w:cs="宋体"/>
                <w:b/>
                <w:sz w:val="24"/>
                <w:szCs w:val="24"/>
              </w:rPr>
              <w:t>Z≥120000</w:t>
            </w:r>
          </w:p>
        </w:tc>
        <w:tc>
          <w:tcPr>
            <w:tcW w:w="1701" w:type="dxa"/>
            <w:vAlign w:val="center"/>
          </w:tcPr>
          <w:p w14:paraId="34EB2D44">
            <w:pPr>
              <w:spacing w:line="288" w:lineRule="auto"/>
              <w:rPr>
                <w:rFonts w:ascii="宋体" w:hAnsi="宋体" w:cs="宋体"/>
                <w:b/>
                <w:sz w:val="24"/>
                <w:szCs w:val="24"/>
              </w:rPr>
            </w:pPr>
            <w:r>
              <w:rPr>
                <w:rFonts w:hint="eastAsia" w:ascii="宋体" w:hAnsi="宋体" w:cs="宋体"/>
                <w:b/>
                <w:sz w:val="24"/>
                <w:szCs w:val="24"/>
              </w:rPr>
              <w:t xml:space="preserve"> 8000≤Z＜120000</w:t>
            </w:r>
          </w:p>
        </w:tc>
        <w:tc>
          <w:tcPr>
            <w:tcW w:w="1426" w:type="dxa"/>
            <w:vAlign w:val="center"/>
          </w:tcPr>
          <w:p w14:paraId="27547022">
            <w:pPr>
              <w:spacing w:line="288" w:lineRule="auto"/>
              <w:rPr>
                <w:rFonts w:ascii="宋体" w:hAnsi="宋体" w:cs="宋体"/>
                <w:b/>
                <w:sz w:val="24"/>
                <w:szCs w:val="24"/>
              </w:rPr>
            </w:pPr>
            <w:r>
              <w:rPr>
                <w:rFonts w:hint="eastAsia" w:ascii="宋体" w:hAnsi="宋体" w:cs="宋体"/>
                <w:b/>
                <w:sz w:val="24"/>
                <w:szCs w:val="24"/>
              </w:rPr>
              <w:t xml:space="preserve"> 100≤Z＜8000</w:t>
            </w:r>
          </w:p>
        </w:tc>
        <w:tc>
          <w:tcPr>
            <w:tcW w:w="992" w:type="dxa"/>
            <w:vAlign w:val="center"/>
          </w:tcPr>
          <w:p w14:paraId="00852F50">
            <w:pPr>
              <w:spacing w:line="288" w:lineRule="auto"/>
              <w:rPr>
                <w:rFonts w:ascii="宋体" w:hAnsi="宋体" w:cs="宋体"/>
                <w:b/>
                <w:sz w:val="24"/>
                <w:szCs w:val="24"/>
              </w:rPr>
            </w:pPr>
            <w:r>
              <w:rPr>
                <w:rFonts w:hint="eastAsia" w:ascii="宋体" w:hAnsi="宋体" w:cs="宋体"/>
                <w:b/>
                <w:sz w:val="24"/>
                <w:szCs w:val="24"/>
              </w:rPr>
              <w:t>Z＜100</w:t>
            </w:r>
          </w:p>
        </w:tc>
      </w:tr>
      <w:tr w14:paraId="0DBC7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113" w:type="dxa"/>
            <w:vAlign w:val="center"/>
          </w:tcPr>
          <w:p w14:paraId="79A3965B">
            <w:pPr>
              <w:spacing w:line="288" w:lineRule="auto"/>
              <w:rPr>
                <w:rFonts w:ascii="宋体" w:hAnsi="宋体" w:cs="宋体"/>
                <w:b/>
                <w:sz w:val="24"/>
                <w:szCs w:val="24"/>
              </w:rPr>
            </w:pPr>
            <w:r>
              <w:rPr>
                <w:rFonts w:hint="eastAsia" w:ascii="宋体" w:hAnsi="宋体" w:cs="宋体"/>
                <w:b/>
                <w:sz w:val="24"/>
                <w:szCs w:val="24"/>
              </w:rPr>
              <w:t>其他未列明行业*</w:t>
            </w:r>
          </w:p>
        </w:tc>
        <w:tc>
          <w:tcPr>
            <w:tcW w:w="1369" w:type="dxa"/>
            <w:vAlign w:val="center"/>
          </w:tcPr>
          <w:p w14:paraId="4AF8EC62">
            <w:pPr>
              <w:spacing w:line="288" w:lineRule="auto"/>
              <w:rPr>
                <w:rFonts w:ascii="宋体" w:hAnsi="宋体" w:cs="宋体"/>
                <w:b/>
                <w:sz w:val="24"/>
                <w:szCs w:val="24"/>
              </w:rPr>
            </w:pPr>
            <w:r>
              <w:rPr>
                <w:rFonts w:hint="eastAsia" w:ascii="宋体" w:hAnsi="宋体" w:cs="宋体"/>
                <w:b/>
                <w:sz w:val="24"/>
                <w:szCs w:val="24"/>
              </w:rPr>
              <w:t>从业人员(X)</w:t>
            </w:r>
          </w:p>
        </w:tc>
        <w:tc>
          <w:tcPr>
            <w:tcW w:w="709" w:type="dxa"/>
            <w:vAlign w:val="center"/>
          </w:tcPr>
          <w:p w14:paraId="0B4953CE">
            <w:pPr>
              <w:spacing w:line="288" w:lineRule="auto"/>
              <w:rPr>
                <w:rFonts w:ascii="宋体" w:hAnsi="宋体" w:cs="宋体"/>
                <w:b/>
                <w:sz w:val="24"/>
                <w:szCs w:val="24"/>
              </w:rPr>
            </w:pPr>
            <w:r>
              <w:rPr>
                <w:rFonts w:hint="eastAsia" w:ascii="宋体" w:hAnsi="宋体" w:cs="宋体"/>
                <w:b/>
                <w:sz w:val="24"/>
                <w:szCs w:val="24"/>
              </w:rPr>
              <w:t>人</w:t>
            </w:r>
          </w:p>
        </w:tc>
        <w:tc>
          <w:tcPr>
            <w:tcW w:w="1125" w:type="dxa"/>
            <w:vAlign w:val="center"/>
          </w:tcPr>
          <w:p w14:paraId="054864E7">
            <w:pPr>
              <w:spacing w:line="288" w:lineRule="auto"/>
              <w:rPr>
                <w:rFonts w:ascii="宋体" w:hAnsi="宋体" w:cs="宋体"/>
                <w:b/>
                <w:sz w:val="24"/>
                <w:szCs w:val="24"/>
              </w:rPr>
            </w:pPr>
            <w:r>
              <w:rPr>
                <w:rFonts w:hint="eastAsia" w:ascii="宋体" w:hAnsi="宋体" w:cs="宋体"/>
                <w:b/>
                <w:sz w:val="24"/>
                <w:szCs w:val="24"/>
              </w:rPr>
              <w:t>X≥300</w:t>
            </w:r>
          </w:p>
        </w:tc>
        <w:tc>
          <w:tcPr>
            <w:tcW w:w="1701" w:type="dxa"/>
            <w:vAlign w:val="center"/>
          </w:tcPr>
          <w:p w14:paraId="1F62F799">
            <w:pPr>
              <w:spacing w:line="288" w:lineRule="auto"/>
              <w:ind w:left="38" w:leftChars="-51" w:hanging="145" w:hangingChars="60"/>
              <w:rPr>
                <w:rFonts w:ascii="宋体" w:hAnsi="宋体" w:cs="宋体"/>
                <w:b/>
                <w:sz w:val="24"/>
                <w:szCs w:val="24"/>
              </w:rPr>
            </w:pPr>
            <w:r>
              <w:rPr>
                <w:rFonts w:hint="eastAsia" w:ascii="宋体" w:hAnsi="宋体" w:cs="宋体"/>
                <w:b/>
                <w:sz w:val="24"/>
                <w:szCs w:val="24"/>
              </w:rPr>
              <w:t xml:space="preserve">100≤X＜300 </w:t>
            </w:r>
          </w:p>
        </w:tc>
        <w:tc>
          <w:tcPr>
            <w:tcW w:w="1426" w:type="dxa"/>
            <w:vAlign w:val="center"/>
          </w:tcPr>
          <w:p w14:paraId="370E802E">
            <w:pPr>
              <w:spacing w:line="288" w:lineRule="auto"/>
              <w:rPr>
                <w:rFonts w:ascii="宋体" w:hAnsi="宋体" w:cs="宋体"/>
                <w:b/>
                <w:sz w:val="24"/>
                <w:szCs w:val="24"/>
              </w:rPr>
            </w:pPr>
            <w:r>
              <w:rPr>
                <w:rFonts w:hint="eastAsia" w:ascii="宋体" w:hAnsi="宋体" w:cs="宋体"/>
                <w:b/>
                <w:sz w:val="24"/>
                <w:szCs w:val="24"/>
              </w:rPr>
              <w:t xml:space="preserve"> 10≤X＜100</w:t>
            </w:r>
          </w:p>
        </w:tc>
        <w:tc>
          <w:tcPr>
            <w:tcW w:w="992" w:type="dxa"/>
            <w:vAlign w:val="center"/>
          </w:tcPr>
          <w:p w14:paraId="53EE12A2">
            <w:pPr>
              <w:spacing w:line="288" w:lineRule="auto"/>
              <w:rPr>
                <w:rFonts w:ascii="宋体" w:hAnsi="宋体" w:cs="宋体"/>
                <w:b/>
                <w:sz w:val="24"/>
                <w:szCs w:val="24"/>
              </w:rPr>
            </w:pPr>
            <w:r>
              <w:rPr>
                <w:rFonts w:hint="eastAsia" w:ascii="宋体" w:hAnsi="宋体" w:cs="宋体"/>
                <w:b/>
                <w:sz w:val="24"/>
                <w:szCs w:val="24"/>
              </w:rPr>
              <w:t>X＜10</w:t>
            </w:r>
          </w:p>
        </w:tc>
      </w:tr>
    </w:tbl>
    <w:p w14:paraId="48F17FB4">
      <w:pPr>
        <w:spacing w:line="288" w:lineRule="auto"/>
        <w:rPr>
          <w:rFonts w:ascii="宋体" w:hAnsi="宋体" w:cs="宋体"/>
          <w:spacing w:val="8"/>
          <w:sz w:val="24"/>
          <w:szCs w:val="24"/>
        </w:rPr>
      </w:pPr>
      <w:r>
        <w:rPr>
          <w:rFonts w:hint="eastAsia" w:ascii="宋体" w:hAnsi="宋体" w:cs="宋体"/>
          <w:spacing w:val="8"/>
          <w:sz w:val="24"/>
          <w:szCs w:val="24"/>
        </w:rPr>
        <w:t>说明：</w:t>
      </w:r>
    </w:p>
    <w:p w14:paraId="3E55394F">
      <w:pPr>
        <w:spacing w:line="288" w:lineRule="auto"/>
        <w:rPr>
          <w:rFonts w:ascii="宋体" w:hAnsi="宋体" w:cs="宋体"/>
          <w:spacing w:val="8"/>
          <w:sz w:val="24"/>
          <w:szCs w:val="24"/>
        </w:rPr>
      </w:pPr>
      <w:r>
        <w:rPr>
          <w:rFonts w:hint="eastAsia" w:ascii="宋体" w:hAnsi="宋体" w:cs="宋体"/>
          <w:spacing w:val="8"/>
          <w:sz w:val="24"/>
          <w:szCs w:val="24"/>
        </w:rPr>
        <w:t>　　1.大型、中型和小型企业须同时满足所列指标的下限，否则下划一档；微型企业只须满足所列指标中的一项即可。</w:t>
      </w:r>
    </w:p>
    <w:p w14:paraId="5E9750E0">
      <w:pPr>
        <w:spacing w:line="288" w:lineRule="auto"/>
        <w:ind w:firstLine="452"/>
        <w:rPr>
          <w:rFonts w:ascii="宋体" w:hAnsi="宋体" w:cs="宋体"/>
          <w:spacing w:val="8"/>
          <w:sz w:val="24"/>
          <w:szCs w:val="24"/>
        </w:rPr>
      </w:pPr>
      <w:r>
        <w:rPr>
          <w:rFonts w:hint="eastAsia" w:ascii="宋体" w:hAnsi="宋体" w:cs="宋体"/>
          <w:spacing w:val="8"/>
          <w:sz w:val="24"/>
          <w:szCs w:val="24"/>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61D27FBD">
      <w:pPr>
        <w:rPr>
          <w:rFonts w:hint="eastAsia" w:ascii="宋体" w:hAnsi="宋体" w:eastAsia="宋体" w:cs="宋体"/>
          <w:sz w:val="24"/>
          <w:highlight w:val="none"/>
        </w:rPr>
      </w:pPr>
      <w:r>
        <w:rPr>
          <w:rFonts w:hint="eastAsia" w:ascii="宋体" w:hAnsi="宋体" w:cs="宋体"/>
          <w:spacing w:val="8"/>
          <w:sz w:val="24"/>
          <w:szCs w:val="24"/>
        </w:rPr>
        <w:t>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5FE60BA2">
      <w:pPr>
        <w:widowControl/>
        <w:jc w:val="left"/>
        <w:rPr>
          <w:rFonts w:hint="eastAsia" w:ascii="宋体" w:hAnsi="宋体" w:eastAsia="宋体" w:cs="宋体"/>
          <w:sz w:val="24"/>
          <w:highlight w:val="none"/>
        </w:rPr>
      </w:pPr>
    </w:p>
    <w:sectPr>
      <w:pgSz w:w="11906" w:h="16838"/>
      <w:pgMar w:top="1418" w:right="1133" w:bottom="993" w:left="1134" w:header="851" w:footer="992" w:gutter="0"/>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Unicode MS">
    <w:panose1 w:val="020B0604020202020204"/>
    <w:charset w:val="86"/>
    <w:family w:val="swiss"/>
    <w:pitch w:val="default"/>
    <w:sig w:usb0="FFFFFFFF" w:usb1="E9FFFFFF" w:usb2="0000003F" w:usb3="00000000" w:csb0="603F01FF" w:csb1="FFFF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MS Sans Serif">
    <w:altName w:val="MS Gothic"/>
    <w:panose1 w:val="00000000000000000000"/>
    <w:charset w:val="00"/>
    <w:family w:val="swiss"/>
    <w:pitch w:val="default"/>
    <w:sig w:usb0="00000000" w:usb1="00000000" w:usb2="00000000" w:usb3="00000000" w:csb0="00000001" w:csb1="00000000"/>
  </w:font>
  <w:font w:name="MS Gothic">
    <w:panose1 w:val="020B0609070205080204"/>
    <w:charset w:val="80"/>
    <w:family w:val="auto"/>
    <w:pitch w:val="default"/>
    <w:sig w:usb0="E00002FF" w:usb1="6AC7FDFB" w:usb2="00000012" w:usb3="00000000" w:csb0="4002009F" w:csb1="DFD70000"/>
  </w:font>
  <w:font w:name="MingLiU">
    <w:panose1 w:val="02020509000000000000"/>
    <w:charset w:val="88"/>
    <w:family w:val="modern"/>
    <w:pitch w:val="default"/>
    <w:sig w:usb0="A00002FF" w:usb1="28CFFCFA" w:usb2="00000016" w:usb3="00000000" w:csb0="00100001" w:csb1="00000000"/>
  </w:font>
  <w:font w:name="Verdana">
    <w:panose1 w:val="020B0604030504040204"/>
    <w:charset w:val="00"/>
    <w:family w:val="swiss"/>
    <w:pitch w:val="default"/>
    <w:sig w:usb0="A1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auto"/>
    <w:pitch w:val="default"/>
    <w:sig w:usb0="80000287" w:usb1="280F3C52" w:usb2="00000016" w:usb3="00000000" w:csb0="0004001F" w:csb1="00000000"/>
  </w:font>
  <w:font w:name="Segoe UI">
    <w:panose1 w:val="020B0502040204020203"/>
    <w:charset w:val="00"/>
    <w:family w:val="auto"/>
    <w:pitch w:val="default"/>
    <w:sig w:usb0="E10022FF" w:usb1="C000E47F" w:usb2="00000029" w:usb3="00000000" w:csb0="200001DF" w:csb1="2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936E38">
    <w:pPr>
      <w:pStyle w:val="2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E28D03">
    <w:pPr>
      <w:pStyle w:val="23"/>
      <w:framePr w:wrap="around" w:vAnchor="text" w:hAnchor="margin" w:xAlign="center" w:y="1"/>
      <w:rPr>
        <w:rStyle w:val="40"/>
      </w:rPr>
    </w:pPr>
    <w:r>
      <w:fldChar w:fldCharType="begin"/>
    </w:r>
    <w:r>
      <w:rPr>
        <w:rStyle w:val="40"/>
      </w:rPr>
      <w:instrText xml:space="preserve">PAGE  </w:instrText>
    </w:r>
    <w:r>
      <w:fldChar w:fldCharType="end"/>
    </w:r>
  </w:p>
  <w:p w14:paraId="1F8E223C">
    <w:pPr>
      <w:pStyle w:val="23"/>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244BAC">
    <w:pPr>
      <w:pStyle w:val="23"/>
      <w:ind w:right="36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1A5A80">
                          <w:pPr>
                            <w:pStyle w:val="2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0C1A5A80">
                    <w:pPr>
                      <w:pStyle w:val="23"/>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0AE59A">
    <w:pPr>
      <w:pStyle w:val="2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C149C7">
    <w:pPr>
      <w:pStyle w:val="2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120709">
    <w:pPr>
      <w:pStyle w:val="24"/>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63416F2"/>
    <w:multiLevelType w:val="singleLevel"/>
    <w:tmpl w:val="D63416F2"/>
    <w:lvl w:ilvl="0" w:tentative="0">
      <w:start w:val="4"/>
      <w:numFmt w:val="chineseCounting"/>
      <w:suff w:val="nothing"/>
      <w:lvlText w:val="（%1）"/>
      <w:lvlJc w:val="left"/>
      <w:rPr>
        <w:rFonts w:hint="eastAsia"/>
      </w:rPr>
    </w:lvl>
  </w:abstractNum>
  <w:abstractNum w:abstractNumId="1">
    <w:nsid w:val="03672CF5"/>
    <w:multiLevelType w:val="multilevel"/>
    <w:tmpl w:val="03672CF5"/>
    <w:lvl w:ilvl="0" w:tentative="0">
      <w:start w:val="1"/>
      <w:numFmt w:val="decimal"/>
      <w:lvlText w:val="%1、"/>
      <w:lvlJc w:val="left"/>
      <w:pPr>
        <w:ind w:left="360" w:hanging="360"/>
      </w:pPr>
      <w:rPr>
        <w:rFonts w:hint="default"/>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2">
    <w:nsid w:val="135B3A4D"/>
    <w:multiLevelType w:val="singleLevel"/>
    <w:tmpl w:val="135B3A4D"/>
    <w:lvl w:ilvl="0" w:tentative="0">
      <w:start w:val="1"/>
      <w:numFmt w:val="decimal"/>
      <w:suff w:val="nothing"/>
      <w:lvlText w:val="%1、"/>
      <w:lvlJc w:val="left"/>
    </w:lvl>
  </w:abstractNum>
  <w:abstractNum w:abstractNumId="3">
    <w:nsid w:val="2DA42CD4"/>
    <w:multiLevelType w:val="multilevel"/>
    <w:tmpl w:val="2DA42CD4"/>
    <w:lvl w:ilvl="0" w:tentative="0">
      <w:start w:val="1"/>
      <w:numFmt w:val="japaneseCounting"/>
      <w:lvlText w:val="（%1）"/>
      <w:lvlJc w:val="left"/>
      <w:pPr>
        <w:ind w:left="855" w:hanging="855"/>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5F733585"/>
    <w:multiLevelType w:val="multilevel"/>
    <w:tmpl w:val="5F733585"/>
    <w:lvl w:ilvl="0" w:tentative="0">
      <w:start w:val="1"/>
      <w:numFmt w:val="decimal"/>
      <w:lvlText w:val="%1."/>
      <w:lvlJc w:val="left"/>
      <w:pPr>
        <w:tabs>
          <w:tab w:val="left" w:pos="360"/>
        </w:tabs>
        <w:ind w:left="360" w:hanging="360"/>
      </w:pPr>
    </w:lvl>
    <w:lvl w:ilvl="1" w:tentative="0">
      <w:start w:val="1"/>
      <w:numFmt w:val="decimal"/>
      <w:lvlText w:val="%2)"/>
      <w:lvlJc w:val="left"/>
      <w:pPr>
        <w:tabs>
          <w:tab w:val="left" w:pos="840"/>
        </w:tabs>
        <w:ind w:left="840" w:hanging="42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5">
    <w:nsid w:val="5F73359B"/>
    <w:multiLevelType w:val="multilevel"/>
    <w:tmpl w:val="5F73359B"/>
    <w:lvl w:ilvl="0" w:tentative="0">
      <w:start w:val="1"/>
      <w:numFmt w:val="lowerLetter"/>
      <w:lvlText w:val="%1)"/>
      <w:lvlJc w:val="left"/>
      <w:pPr>
        <w:tabs>
          <w:tab w:val="left" w:pos="2115"/>
        </w:tabs>
        <w:ind w:left="2115" w:hanging="420"/>
      </w:pPr>
    </w:lvl>
    <w:lvl w:ilvl="1" w:tentative="0">
      <w:start w:val="1"/>
      <w:numFmt w:val="decimal"/>
      <w:lvlText w:val="%2."/>
      <w:lvlJc w:val="left"/>
      <w:pPr>
        <w:tabs>
          <w:tab w:val="left" w:pos="1440"/>
        </w:tabs>
        <w:ind w:left="1440" w:hanging="360"/>
      </w:pPr>
    </w:lvl>
    <w:lvl w:ilvl="2" w:tentative="0">
      <w:start w:val="1"/>
      <w:numFmt w:val="lowerLetter"/>
      <w:lvlText w:val="%3)"/>
      <w:lvlJc w:val="left"/>
      <w:pPr>
        <w:tabs>
          <w:tab w:val="left" w:pos="1260"/>
        </w:tabs>
        <w:ind w:left="1260" w:hanging="42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6">
    <w:nsid w:val="5F7335B1"/>
    <w:multiLevelType w:val="multilevel"/>
    <w:tmpl w:val="5F7335B1"/>
    <w:lvl w:ilvl="0" w:tentative="0">
      <w:start w:val="1"/>
      <w:numFmt w:val="decimal"/>
      <w:lvlText w:val="%1)"/>
      <w:lvlJc w:val="left"/>
      <w:pPr>
        <w:tabs>
          <w:tab w:val="left" w:pos="2550"/>
        </w:tabs>
        <w:ind w:left="2550" w:hanging="4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1680"/>
        </w:tabs>
        <w:ind w:left="1680" w:hanging="42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7">
    <w:nsid w:val="63BC7DAF"/>
    <w:multiLevelType w:val="multilevel"/>
    <w:tmpl w:val="63BC7DAF"/>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3"/>
  </w:num>
  <w:num w:numId="2">
    <w:abstractNumId w:val="4"/>
    <w:lvlOverride w:ilvl="1">
      <w:startOverride w:val="1"/>
    </w:lvlOverride>
  </w:num>
  <w:num w:numId="3">
    <w:abstractNumId w:val="5"/>
    <w:lvlOverride w:ilvl="2">
      <w:startOverride w:val="1"/>
    </w:lvlOverride>
  </w:num>
  <w:num w:numId="4">
    <w:abstractNumId w:val="6"/>
    <w:lvlOverride w:ilvl="3">
      <w:startOverride w:val="1"/>
    </w:lvlOverride>
  </w:num>
  <w:num w:numId="5">
    <w:abstractNumId w:val="2"/>
  </w:num>
  <w:num w:numId="6">
    <w:abstractNumId w:val="1"/>
  </w:num>
  <w:num w:numId="7">
    <w:abstractNumId w:val="7"/>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doNotShadeFormData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ZkM2YzYTI5OWVmOTQ1ZDQyMDU0N2UxOWYzNjRmN2MifQ=="/>
  </w:docVars>
  <w:rsids>
    <w:rsidRoot w:val="00172A27"/>
    <w:rsid w:val="000013BC"/>
    <w:rsid w:val="000016AD"/>
    <w:rsid w:val="0000262B"/>
    <w:rsid w:val="00003947"/>
    <w:rsid w:val="00003A4D"/>
    <w:rsid w:val="00003AE0"/>
    <w:rsid w:val="00004256"/>
    <w:rsid w:val="000049D9"/>
    <w:rsid w:val="00005069"/>
    <w:rsid w:val="0000582F"/>
    <w:rsid w:val="000066EA"/>
    <w:rsid w:val="00007A2D"/>
    <w:rsid w:val="00007B1A"/>
    <w:rsid w:val="000108F4"/>
    <w:rsid w:val="00011195"/>
    <w:rsid w:val="000120C9"/>
    <w:rsid w:val="00012FC5"/>
    <w:rsid w:val="000132E5"/>
    <w:rsid w:val="00013CCB"/>
    <w:rsid w:val="00016C22"/>
    <w:rsid w:val="00017001"/>
    <w:rsid w:val="00020553"/>
    <w:rsid w:val="00021721"/>
    <w:rsid w:val="00021ADB"/>
    <w:rsid w:val="00021EF4"/>
    <w:rsid w:val="00022061"/>
    <w:rsid w:val="000221FB"/>
    <w:rsid w:val="00022457"/>
    <w:rsid w:val="000231CF"/>
    <w:rsid w:val="00023FE1"/>
    <w:rsid w:val="0002483C"/>
    <w:rsid w:val="00024F03"/>
    <w:rsid w:val="0002538F"/>
    <w:rsid w:val="00025982"/>
    <w:rsid w:val="00025D40"/>
    <w:rsid w:val="00025DFB"/>
    <w:rsid w:val="00026042"/>
    <w:rsid w:val="000267E5"/>
    <w:rsid w:val="00027ED8"/>
    <w:rsid w:val="000302EC"/>
    <w:rsid w:val="00030579"/>
    <w:rsid w:val="00030FD0"/>
    <w:rsid w:val="000312E4"/>
    <w:rsid w:val="00031350"/>
    <w:rsid w:val="00031618"/>
    <w:rsid w:val="000322DA"/>
    <w:rsid w:val="00033311"/>
    <w:rsid w:val="0003362C"/>
    <w:rsid w:val="00034CC9"/>
    <w:rsid w:val="0003580C"/>
    <w:rsid w:val="000360BC"/>
    <w:rsid w:val="00036187"/>
    <w:rsid w:val="000364B6"/>
    <w:rsid w:val="00036B53"/>
    <w:rsid w:val="000407D1"/>
    <w:rsid w:val="00040D6E"/>
    <w:rsid w:val="000420CD"/>
    <w:rsid w:val="000439D1"/>
    <w:rsid w:val="00043E37"/>
    <w:rsid w:val="00043E6E"/>
    <w:rsid w:val="00044EBD"/>
    <w:rsid w:val="00045A74"/>
    <w:rsid w:val="00046423"/>
    <w:rsid w:val="000467AC"/>
    <w:rsid w:val="00046C35"/>
    <w:rsid w:val="0004701A"/>
    <w:rsid w:val="00047DFC"/>
    <w:rsid w:val="00050331"/>
    <w:rsid w:val="0005192D"/>
    <w:rsid w:val="00053AC2"/>
    <w:rsid w:val="000570C8"/>
    <w:rsid w:val="00057A1A"/>
    <w:rsid w:val="00060486"/>
    <w:rsid w:val="00061391"/>
    <w:rsid w:val="00061B7E"/>
    <w:rsid w:val="000621E5"/>
    <w:rsid w:val="00062EEF"/>
    <w:rsid w:val="000639EB"/>
    <w:rsid w:val="00064E37"/>
    <w:rsid w:val="00064F17"/>
    <w:rsid w:val="00066011"/>
    <w:rsid w:val="00066B96"/>
    <w:rsid w:val="0006713B"/>
    <w:rsid w:val="00067EA5"/>
    <w:rsid w:val="00070812"/>
    <w:rsid w:val="000711C0"/>
    <w:rsid w:val="0007176A"/>
    <w:rsid w:val="00071D6E"/>
    <w:rsid w:val="00073908"/>
    <w:rsid w:val="00073E81"/>
    <w:rsid w:val="00074522"/>
    <w:rsid w:val="00074843"/>
    <w:rsid w:val="00074E88"/>
    <w:rsid w:val="00076FCF"/>
    <w:rsid w:val="000774AA"/>
    <w:rsid w:val="00081199"/>
    <w:rsid w:val="0008161A"/>
    <w:rsid w:val="0008326D"/>
    <w:rsid w:val="0008377C"/>
    <w:rsid w:val="00083F05"/>
    <w:rsid w:val="00084E96"/>
    <w:rsid w:val="000854AB"/>
    <w:rsid w:val="00086BA8"/>
    <w:rsid w:val="000872FE"/>
    <w:rsid w:val="0008741C"/>
    <w:rsid w:val="000879A7"/>
    <w:rsid w:val="00090EE4"/>
    <w:rsid w:val="0009124D"/>
    <w:rsid w:val="00091D6E"/>
    <w:rsid w:val="0009206D"/>
    <w:rsid w:val="00092AE4"/>
    <w:rsid w:val="000934E7"/>
    <w:rsid w:val="00094A90"/>
    <w:rsid w:val="00094AD4"/>
    <w:rsid w:val="00095699"/>
    <w:rsid w:val="00095C70"/>
    <w:rsid w:val="00096C3C"/>
    <w:rsid w:val="000A0440"/>
    <w:rsid w:val="000A12B5"/>
    <w:rsid w:val="000A15E3"/>
    <w:rsid w:val="000A18F3"/>
    <w:rsid w:val="000A20CF"/>
    <w:rsid w:val="000A23F6"/>
    <w:rsid w:val="000A28A6"/>
    <w:rsid w:val="000A2B6B"/>
    <w:rsid w:val="000A3AA2"/>
    <w:rsid w:val="000A748A"/>
    <w:rsid w:val="000A773B"/>
    <w:rsid w:val="000A77F6"/>
    <w:rsid w:val="000B09CE"/>
    <w:rsid w:val="000B0BA3"/>
    <w:rsid w:val="000B0D71"/>
    <w:rsid w:val="000B127A"/>
    <w:rsid w:val="000B230C"/>
    <w:rsid w:val="000B29E5"/>
    <w:rsid w:val="000B48FA"/>
    <w:rsid w:val="000B4A1D"/>
    <w:rsid w:val="000B5B02"/>
    <w:rsid w:val="000B66A6"/>
    <w:rsid w:val="000B69E9"/>
    <w:rsid w:val="000B72FE"/>
    <w:rsid w:val="000B7913"/>
    <w:rsid w:val="000C017E"/>
    <w:rsid w:val="000C0408"/>
    <w:rsid w:val="000C0695"/>
    <w:rsid w:val="000C1EE6"/>
    <w:rsid w:val="000C29C9"/>
    <w:rsid w:val="000C2C95"/>
    <w:rsid w:val="000C2EBA"/>
    <w:rsid w:val="000C39B0"/>
    <w:rsid w:val="000C4173"/>
    <w:rsid w:val="000C455B"/>
    <w:rsid w:val="000C59CB"/>
    <w:rsid w:val="000C5AC3"/>
    <w:rsid w:val="000C766D"/>
    <w:rsid w:val="000D0D6D"/>
    <w:rsid w:val="000D0DC8"/>
    <w:rsid w:val="000D114C"/>
    <w:rsid w:val="000D13F3"/>
    <w:rsid w:val="000D1BC2"/>
    <w:rsid w:val="000D2209"/>
    <w:rsid w:val="000D25C7"/>
    <w:rsid w:val="000D283C"/>
    <w:rsid w:val="000D4A0A"/>
    <w:rsid w:val="000D64B5"/>
    <w:rsid w:val="000D7839"/>
    <w:rsid w:val="000D79E4"/>
    <w:rsid w:val="000E0551"/>
    <w:rsid w:val="000E070D"/>
    <w:rsid w:val="000E08AC"/>
    <w:rsid w:val="000E0DAF"/>
    <w:rsid w:val="000E0DFC"/>
    <w:rsid w:val="000E1DE0"/>
    <w:rsid w:val="000E3076"/>
    <w:rsid w:val="000E3212"/>
    <w:rsid w:val="000E33DF"/>
    <w:rsid w:val="000E3600"/>
    <w:rsid w:val="000E36F0"/>
    <w:rsid w:val="000E4838"/>
    <w:rsid w:val="000E4918"/>
    <w:rsid w:val="000E5664"/>
    <w:rsid w:val="000E589E"/>
    <w:rsid w:val="000E5A89"/>
    <w:rsid w:val="000E67B3"/>
    <w:rsid w:val="000E68E5"/>
    <w:rsid w:val="000E78A7"/>
    <w:rsid w:val="000F0756"/>
    <w:rsid w:val="000F0B84"/>
    <w:rsid w:val="000F1306"/>
    <w:rsid w:val="000F24A4"/>
    <w:rsid w:val="000F30AC"/>
    <w:rsid w:val="000F4570"/>
    <w:rsid w:val="000F4627"/>
    <w:rsid w:val="000F4CC6"/>
    <w:rsid w:val="000F4E21"/>
    <w:rsid w:val="000F5436"/>
    <w:rsid w:val="000F563A"/>
    <w:rsid w:val="000F5C94"/>
    <w:rsid w:val="000F738C"/>
    <w:rsid w:val="0010033A"/>
    <w:rsid w:val="00102C69"/>
    <w:rsid w:val="001030E1"/>
    <w:rsid w:val="001053F8"/>
    <w:rsid w:val="0010579D"/>
    <w:rsid w:val="001078CB"/>
    <w:rsid w:val="00107D8B"/>
    <w:rsid w:val="00110186"/>
    <w:rsid w:val="00110B92"/>
    <w:rsid w:val="00110F5A"/>
    <w:rsid w:val="0011123F"/>
    <w:rsid w:val="00111354"/>
    <w:rsid w:val="0011139C"/>
    <w:rsid w:val="00111B25"/>
    <w:rsid w:val="00111CC2"/>
    <w:rsid w:val="00112C7C"/>
    <w:rsid w:val="00113BC1"/>
    <w:rsid w:val="001149F5"/>
    <w:rsid w:val="00114F2E"/>
    <w:rsid w:val="00114F4F"/>
    <w:rsid w:val="001153B3"/>
    <w:rsid w:val="001160B3"/>
    <w:rsid w:val="00116151"/>
    <w:rsid w:val="0011696B"/>
    <w:rsid w:val="00116B5F"/>
    <w:rsid w:val="001171AF"/>
    <w:rsid w:val="001176AE"/>
    <w:rsid w:val="00117B64"/>
    <w:rsid w:val="00120CB7"/>
    <w:rsid w:val="0012214E"/>
    <w:rsid w:val="001231DD"/>
    <w:rsid w:val="001238DF"/>
    <w:rsid w:val="00124AF4"/>
    <w:rsid w:val="001253AE"/>
    <w:rsid w:val="0012568F"/>
    <w:rsid w:val="00126A12"/>
    <w:rsid w:val="001314A4"/>
    <w:rsid w:val="00131AA6"/>
    <w:rsid w:val="00131F71"/>
    <w:rsid w:val="0013351C"/>
    <w:rsid w:val="00133736"/>
    <w:rsid w:val="00133B4E"/>
    <w:rsid w:val="00134A43"/>
    <w:rsid w:val="00134BE1"/>
    <w:rsid w:val="001351E5"/>
    <w:rsid w:val="001358AC"/>
    <w:rsid w:val="00135C81"/>
    <w:rsid w:val="00135F47"/>
    <w:rsid w:val="00135FF8"/>
    <w:rsid w:val="00136DFF"/>
    <w:rsid w:val="00136F08"/>
    <w:rsid w:val="0013772C"/>
    <w:rsid w:val="00137F61"/>
    <w:rsid w:val="00141D83"/>
    <w:rsid w:val="00141DA3"/>
    <w:rsid w:val="001427BE"/>
    <w:rsid w:val="00143854"/>
    <w:rsid w:val="00143957"/>
    <w:rsid w:val="00143C6A"/>
    <w:rsid w:val="00143DBD"/>
    <w:rsid w:val="001444DD"/>
    <w:rsid w:val="00144D8E"/>
    <w:rsid w:val="0014512A"/>
    <w:rsid w:val="001453BE"/>
    <w:rsid w:val="0014617C"/>
    <w:rsid w:val="001463A5"/>
    <w:rsid w:val="001466AD"/>
    <w:rsid w:val="00147851"/>
    <w:rsid w:val="00147A27"/>
    <w:rsid w:val="0015030A"/>
    <w:rsid w:val="00150A0F"/>
    <w:rsid w:val="00150EF5"/>
    <w:rsid w:val="001512F2"/>
    <w:rsid w:val="001521B3"/>
    <w:rsid w:val="00152675"/>
    <w:rsid w:val="00152856"/>
    <w:rsid w:val="00152B80"/>
    <w:rsid w:val="00152C17"/>
    <w:rsid w:val="00154802"/>
    <w:rsid w:val="00155404"/>
    <w:rsid w:val="0015635C"/>
    <w:rsid w:val="001563B4"/>
    <w:rsid w:val="001571B4"/>
    <w:rsid w:val="00157D94"/>
    <w:rsid w:val="00160763"/>
    <w:rsid w:val="00160807"/>
    <w:rsid w:val="001608BA"/>
    <w:rsid w:val="00160F84"/>
    <w:rsid w:val="00161541"/>
    <w:rsid w:val="00161B07"/>
    <w:rsid w:val="00161BE0"/>
    <w:rsid w:val="001633CE"/>
    <w:rsid w:val="00163C65"/>
    <w:rsid w:val="0016425C"/>
    <w:rsid w:val="001644C0"/>
    <w:rsid w:val="00164D53"/>
    <w:rsid w:val="0016535A"/>
    <w:rsid w:val="00165640"/>
    <w:rsid w:val="001665AC"/>
    <w:rsid w:val="00166725"/>
    <w:rsid w:val="00166B04"/>
    <w:rsid w:val="00167620"/>
    <w:rsid w:val="00170CEA"/>
    <w:rsid w:val="00171DE3"/>
    <w:rsid w:val="00171F1F"/>
    <w:rsid w:val="00172A27"/>
    <w:rsid w:val="00172E2E"/>
    <w:rsid w:val="0017384E"/>
    <w:rsid w:val="00174019"/>
    <w:rsid w:val="00174204"/>
    <w:rsid w:val="0017430E"/>
    <w:rsid w:val="0017495C"/>
    <w:rsid w:val="00174E67"/>
    <w:rsid w:val="00175584"/>
    <w:rsid w:val="00176229"/>
    <w:rsid w:val="0017687D"/>
    <w:rsid w:val="00176C3D"/>
    <w:rsid w:val="0017775B"/>
    <w:rsid w:val="00180213"/>
    <w:rsid w:val="001806EB"/>
    <w:rsid w:val="00180E81"/>
    <w:rsid w:val="001814AD"/>
    <w:rsid w:val="00181A54"/>
    <w:rsid w:val="00183044"/>
    <w:rsid w:val="001842CE"/>
    <w:rsid w:val="00184348"/>
    <w:rsid w:val="001845E3"/>
    <w:rsid w:val="00186CD7"/>
    <w:rsid w:val="00186EDC"/>
    <w:rsid w:val="0019208F"/>
    <w:rsid w:val="001921B1"/>
    <w:rsid w:val="00192D66"/>
    <w:rsid w:val="00192EA8"/>
    <w:rsid w:val="00193E9B"/>
    <w:rsid w:val="001952FB"/>
    <w:rsid w:val="00195A42"/>
    <w:rsid w:val="001962F2"/>
    <w:rsid w:val="00197A35"/>
    <w:rsid w:val="001A23BC"/>
    <w:rsid w:val="001A2720"/>
    <w:rsid w:val="001A2A9C"/>
    <w:rsid w:val="001A31FD"/>
    <w:rsid w:val="001A349C"/>
    <w:rsid w:val="001A4077"/>
    <w:rsid w:val="001A4116"/>
    <w:rsid w:val="001A426A"/>
    <w:rsid w:val="001A44B3"/>
    <w:rsid w:val="001A451D"/>
    <w:rsid w:val="001A45CF"/>
    <w:rsid w:val="001A485A"/>
    <w:rsid w:val="001A5A1C"/>
    <w:rsid w:val="001A60FB"/>
    <w:rsid w:val="001A6951"/>
    <w:rsid w:val="001A76C1"/>
    <w:rsid w:val="001A79DA"/>
    <w:rsid w:val="001A7CCB"/>
    <w:rsid w:val="001A7D21"/>
    <w:rsid w:val="001B126C"/>
    <w:rsid w:val="001B1F30"/>
    <w:rsid w:val="001B3440"/>
    <w:rsid w:val="001B36B1"/>
    <w:rsid w:val="001B38EE"/>
    <w:rsid w:val="001B447C"/>
    <w:rsid w:val="001B4DCD"/>
    <w:rsid w:val="001B5E97"/>
    <w:rsid w:val="001B6488"/>
    <w:rsid w:val="001B6D11"/>
    <w:rsid w:val="001B78F7"/>
    <w:rsid w:val="001B7BA9"/>
    <w:rsid w:val="001B7F99"/>
    <w:rsid w:val="001C0A07"/>
    <w:rsid w:val="001C0B34"/>
    <w:rsid w:val="001C0F8E"/>
    <w:rsid w:val="001C16A1"/>
    <w:rsid w:val="001C1820"/>
    <w:rsid w:val="001C21B4"/>
    <w:rsid w:val="001C2309"/>
    <w:rsid w:val="001C28C1"/>
    <w:rsid w:val="001C3485"/>
    <w:rsid w:val="001C3F18"/>
    <w:rsid w:val="001C4C45"/>
    <w:rsid w:val="001C63D9"/>
    <w:rsid w:val="001C68F4"/>
    <w:rsid w:val="001C6EA1"/>
    <w:rsid w:val="001C7050"/>
    <w:rsid w:val="001C7146"/>
    <w:rsid w:val="001C727A"/>
    <w:rsid w:val="001C7445"/>
    <w:rsid w:val="001C7C39"/>
    <w:rsid w:val="001C7CFC"/>
    <w:rsid w:val="001C7FD7"/>
    <w:rsid w:val="001D0DB7"/>
    <w:rsid w:val="001D0E96"/>
    <w:rsid w:val="001D1409"/>
    <w:rsid w:val="001D1E22"/>
    <w:rsid w:val="001D2667"/>
    <w:rsid w:val="001D2D92"/>
    <w:rsid w:val="001D31E2"/>
    <w:rsid w:val="001D3693"/>
    <w:rsid w:val="001D4056"/>
    <w:rsid w:val="001D5032"/>
    <w:rsid w:val="001D59BE"/>
    <w:rsid w:val="001D5BDA"/>
    <w:rsid w:val="001D5D17"/>
    <w:rsid w:val="001D6864"/>
    <w:rsid w:val="001D6BBF"/>
    <w:rsid w:val="001D7235"/>
    <w:rsid w:val="001D784A"/>
    <w:rsid w:val="001D79FD"/>
    <w:rsid w:val="001E0253"/>
    <w:rsid w:val="001E1DFB"/>
    <w:rsid w:val="001E20A3"/>
    <w:rsid w:val="001E26FC"/>
    <w:rsid w:val="001E2A59"/>
    <w:rsid w:val="001E40D5"/>
    <w:rsid w:val="001E4915"/>
    <w:rsid w:val="001E50A9"/>
    <w:rsid w:val="001E5800"/>
    <w:rsid w:val="001E5E91"/>
    <w:rsid w:val="001E6899"/>
    <w:rsid w:val="001E7355"/>
    <w:rsid w:val="001F0564"/>
    <w:rsid w:val="001F0B21"/>
    <w:rsid w:val="001F0C30"/>
    <w:rsid w:val="001F13A5"/>
    <w:rsid w:val="001F160E"/>
    <w:rsid w:val="001F16F5"/>
    <w:rsid w:val="001F2A93"/>
    <w:rsid w:val="001F3697"/>
    <w:rsid w:val="001F38C5"/>
    <w:rsid w:val="001F38E5"/>
    <w:rsid w:val="001F3EE4"/>
    <w:rsid w:val="001F4ED7"/>
    <w:rsid w:val="001F52FD"/>
    <w:rsid w:val="001F6696"/>
    <w:rsid w:val="002003B1"/>
    <w:rsid w:val="002004B4"/>
    <w:rsid w:val="00200CCB"/>
    <w:rsid w:val="002015F5"/>
    <w:rsid w:val="00201774"/>
    <w:rsid w:val="00201C37"/>
    <w:rsid w:val="002022E5"/>
    <w:rsid w:val="00202794"/>
    <w:rsid w:val="002033C4"/>
    <w:rsid w:val="002040EA"/>
    <w:rsid w:val="002044DC"/>
    <w:rsid w:val="00205644"/>
    <w:rsid w:val="00205B7A"/>
    <w:rsid w:val="00206590"/>
    <w:rsid w:val="00206F39"/>
    <w:rsid w:val="00206FEA"/>
    <w:rsid w:val="00207697"/>
    <w:rsid w:val="00210E09"/>
    <w:rsid w:val="00212095"/>
    <w:rsid w:val="00215B21"/>
    <w:rsid w:val="00215E95"/>
    <w:rsid w:val="00216BA8"/>
    <w:rsid w:val="00216EB0"/>
    <w:rsid w:val="002173C4"/>
    <w:rsid w:val="00217E09"/>
    <w:rsid w:val="0022056F"/>
    <w:rsid w:val="00221246"/>
    <w:rsid w:val="002221E6"/>
    <w:rsid w:val="0022225B"/>
    <w:rsid w:val="002226A9"/>
    <w:rsid w:val="00222A35"/>
    <w:rsid w:val="00223553"/>
    <w:rsid w:val="002254BB"/>
    <w:rsid w:val="0022725C"/>
    <w:rsid w:val="00227D19"/>
    <w:rsid w:val="00231C40"/>
    <w:rsid w:val="00232372"/>
    <w:rsid w:val="00232DFE"/>
    <w:rsid w:val="00234B7A"/>
    <w:rsid w:val="00234D8E"/>
    <w:rsid w:val="00235261"/>
    <w:rsid w:val="00235CCF"/>
    <w:rsid w:val="00235DB9"/>
    <w:rsid w:val="00235E5C"/>
    <w:rsid w:val="00236DB4"/>
    <w:rsid w:val="00236FF8"/>
    <w:rsid w:val="00240153"/>
    <w:rsid w:val="00241099"/>
    <w:rsid w:val="002415D1"/>
    <w:rsid w:val="00241E41"/>
    <w:rsid w:val="00242542"/>
    <w:rsid w:val="00242945"/>
    <w:rsid w:val="002429D7"/>
    <w:rsid w:val="00242A59"/>
    <w:rsid w:val="00242FE4"/>
    <w:rsid w:val="002447AF"/>
    <w:rsid w:val="00245A1D"/>
    <w:rsid w:val="00245DFF"/>
    <w:rsid w:val="0024624B"/>
    <w:rsid w:val="002465F2"/>
    <w:rsid w:val="00250340"/>
    <w:rsid w:val="0025046A"/>
    <w:rsid w:val="0025116E"/>
    <w:rsid w:val="002511A7"/>
    <w:rsid w:val="00252D98"/>
    <w:rsid w:val="0025390F"/>
    <w:rsid w:val="002543B0"/>
    <w:rsid w:val="002543B8"/>
    <w:rsid w:val="002543EE"/>
    <w:rsid w:val="00254437"/>
    <w:rsid w:val="00254F8F"/>
    <w:rsid w:val="00255252"/>
    <w:rsid w:val="00255495"/>
    <w:rsid w:val="002556D3"/>
    <w:rsid w:val="00255D7B"/>
    <w:rsid w:val="00256371"/>
    <w:rsid w:val="00256D15"/>
    <w:rsid w:val="002576AC"/>
    <w:rsid w:val="00257DF3"/>
    <w:rsid w:val="00262391"/>
    <w:rsid w:val="002623AB"/>
    <w:rsid w:val="0026290F"/>
    <w:rsid w:val="002639D8"/>
    <w:rsid w:val="00263A20"/>
    <w:rsid w:val="00263E55"/>
    <w:rsid w:val="00264BD6"/>
    <w:rsid w:val="00265FC6"/>
    <w:rsid w:val="00266223"/>
    <w:rsid w:val="0026651A"/>
    <w:rsid w:val="00266772"/>
    <w:rsid w:val="0026682C"/>
    <w:rsid w:val="00266B90"/>
    <w:rsid w:val="002673E7"/>
    <w:rsid w:val="00267BA0"/>
    <w:rsid w:val="0027129A"/>
    <w:rsid w:val="002715FE"/>
    <w:rsid w:val="00272FB6"/>
    <w:rsid w:val="002731E1"/>
    <w:rsid w:val="00273A5D"/>
    <w:rsid w:val="00274EC1"/>
    <w:rsid w:val="002752BA"/>
    <w:rsid w:val="00275667"/>
    <w:rsid w:val="00276661"/>
    <w:rsid w:val="0027682F"/>
    <w:rsid w:val="00276D33"/>
    <w:rsid w:val="0027760F"/>
    <w:rsid w:val="002776B3"/>
    <w:rsid w:val="002777BA"/>
    <w:rsid w:val="00277FCA"/>
    <w:rsid w:val="00280D0B"/>
    <w:rsid w:val="00282082"/>
    <w:rsid w:val="00282224"/>
    <w:rsid w:val="0028239F"/>
    <w:rsid w:val="002843A3"/>
    <w:rsid w:val="00284AE1"/>
    <w:rsid w:val="002853F8"/>
    <w:rsid w:val="0028569B"/>
    <w:rsid w:val="002856B4"/>
    <w:rsid w:val="00285891"/>
    <w:rsid w:val="00285E45"/>
    <w:rsid w:val="00286492"/>
    <w:rsid w:val="00286C93"/>
    <w:rsid w:val="00286FBF"/>
    <w:rsid w:val="00287955"/>
    <w:rsid w:val="00287FAD"/>
    <w:rsid w:val="002905D4"/>
    <w:rsid w:val="002909B3"/>
    <w:rsid w:val="002909B8"/>
    <w:rsid w:val="00290DB3"/>
    <w:rsid w:val="00290F1D"/>
    <w:rsid w:val="00292A47"/>
    <w:rsid w:val="00294706"/>
    <w:rsid w:val="00294BD1"/>
    <w:rsid w:val="00294BDC"/>
    <w:rsid w:val="00294D40"/>
    <w:rsid w:val="00295166"/>
    <w:rsid w:val="00295FD1"/>
    <w:rsid w:val="002960F4"/>
    <w:rsid w:val="00296125"/>
    <w:rsid w:val="00296D6D"/>
    <w:rsid w:val="00296E4E"/>
    <w:rsid w:val="002975E0"/>
    <w:rsid w:val="002977C8"/>
    <w:rsid w:val="00297A5E"/>
    <w:rsid w:val="002A05F1"/>
    <w:rsid w:val="002A068B"/>
    <w:rsid w:val="002A1378"/>
    <w:rsid w:val="002A223B"/>
    <w:rsid w:val="002A224D"/>
    <w:rsid w:val="002A2703"/>
    <w:rsid w:val="002A312C"/>
    <w:rsid w:val="002A33F2"/>
    <w:rsid w:val="002A3DF7"/>
    <w:rsid w:val="002A4953"/>
    <w:rsid w:val="002A4CA8"/>
    <w:rsid w:val="002A5A2B"/>
    <w:rsid w:val="002A5FB4"/>
    <w:rsid w:val="002A62F0"/>
    <w:rsid w:val="002A6528"/>
    <w:rsid w:val="002A6553"/>
    <w:rsid w:val="002B0EFD"/>
    <w:rsid w:val="002B12EA"/>
    <w:rsid w:val="002B1B31"/>
    <w:rsid w:val="002B1D7B"/>
    <w:rsid w:val="002B1F7B"/>
    <w:rsid w:val="002B2287"/>
    <w:rsid w:val="002B25CD"/>
    <w:rsid w:val="002B2BFC"/>
    <w:rsid w:val="002B2CDA"/>
    <w:rsid w:val="002B4689"/>
    <w:rsid w:val="002B4E59"/>
    <w:rsid w:val="002B5A3D"/>
    <w:rsid w:val="002B5C64"/>
    <w:rsid w:val="002B5C82"/>
    <w:rsid w:val="002B5ECE"/>
    <w:rsid w:val="002B6573"/>
    <w:rsid w:val="002B6649"/>
    <w:rsid w:val="002B723F"/>
    <w:rsid w:val="002C0834"/>
    <w:rsid w:val="002C0942"/>
    <w:rsid w:val="002C17FD"/>
    <w:rsid w:val="002C1D5F"/>
    <w:rsid w:val="002C271A"/>
    <w:rsid w:val="002C28D5"/>
    <w:rsid w:val="002C2D01"/>
    <w:rsid w:val="002C4C0A"/>
    <w:rsid w:val="002C5811"/>
    <w:rsid w:val="002C5989"/>
    <w:rsid w:val="002C5A2C"/>
    <w:rsid w:val="002C5B04"/>
    <w:rsid w:val="002C5E2B"/>
    <w:rsid w:val="002C7169"/>
    <w:rsid w:val="002C79B6"/>
    <w:rsid w:val="002D0465"/>
    <w:rsid w:val="002D1298"/>
    <w:rsid w:val="002D2099"/>
    <w:rsid w:val="002D2349"/>
    <w:rsid w:val="002D24BC"/>
    <w:rsid w:val="002D24CF"/>
    <w:rsid w:val="002D28DB"/>
    <w:rsid w:val="002D3606"/>
    <w:rsid w:val="002D3F80"/>
    <w:rsid w:val="002D457A"/>
    <w:rsid w:val="002D5794"/>
    <w:rsid w:val="002D5A29"/>
    <w:rsid w:val="002D5B8E"/>
    <w:rsid w:val="002D63AC"/>
    <w:rsid w:val="002D7688"/>
    <w:rsid w:val="002D7789"/>
    <w:rsid w:val="002E0086"/>
    <w:rsid w:val="002E05BA"/>
    <w:rsid w:val="002E1D14"/>
    <w:rsid w:val="002E28A7"/>
    <w:rsid w:val="002E2BC3"/>
    <w:rsid w:val="002E496B"/>
    <w:rsid w:val="002E54CC"/>
    <w:rsid w:val="002E5FD3"/>
    <w:rsid w:val="002E63B2"/>
    <w:rsid w:val="002E6C54"/>
    <w:rsid w:val="002E70DA"/>
    <w:rsid w:val="002E7D3F"/>
    <w:rsid w:val="002F0B7D"/>
    <w:rsid w:val="002F1513"/>
    <w:rsid w:val="002F155E"/>
    <w:rsid w:val="002F18A1"/>
    <w:rsid w:val="002F1ACC"/>
    <w:rsid w:val="002F25F9"/>
    <w:rsid w:val="002F2D18"/>
    <w:rsid w:val="002F2EC0"/>
    <w:rsid w:val="002F2EE9"/>
    <w:rsid w:val="002F3854"/>
    <w:rsid w:val="002F3A5D"/>
    <w:rsid w:val="002F4156"/>
    <w:rsid w:val="002F44D5"/>
    <w:rsid w:val="002F4EB1"/>
    <w:rsid w:val="002F5C26"/>
    <w:rsid w:val="002F75D4"/>
    <w:rsid w:val="003007F7"/>
    <w:rsid w:val="003015DA"/>
    <w:rsid w:val="003027F4"/>
    <w:rsid w:val="00302A83"/>
    <w:rsid w:val="00303266"/>
    <w:rsid w:val="003053B9"/>
    <w:rsid w:val="00305D0A"/>
    <w:rsid w:val="00305DF7"/>
    <w:rsid w:val="00305EAF"/>
    <w:rsid w:val="00306A1E"/>
    <w:rsid w:val="00306AB5"/>
    <w:rsid w:val="0031049A"/>
    <w:rsid w:val="0031074C"/>
    <w:rsid w:val="00310867"/>
    <w:rsid w:val="00310F8E"/>
    <w:rsid w:val="0031121E"/>
    <w:rsid w:val="00311229"/>
    <w:rsid w:val="003115C8"/>
    <w:rsid w:val="00312C35"/>
    <w:rsid w:val="00313762"/>
    <w:rsid w:val="00313881"/>
    <w:rsid w:val="00313A65"/>
    <w:rsid w:val="003151BE"/>
    <w:rsid w:val="00315B0B"/>
    <w:rsid w:val="00316B69"/>
    <w:rsid w:val="00316BEC"/>
    <w:rsid w:val="00317510"/>
    <w:rsid w:val="00321A31"/>
    <w:rsid w:val="003222C0"/>
    <w:rsid w:val="003227B7"/>
    <w:rsid w:val="0032334E"/>
    <w:rsid w:val="003233DE"/>
    <w:rsid w:val="00323972"/>
    <w:rsid w:val="00323E46"/>
    <w:rsid w:val="003242D5"/>
    <w:rsid w:val="00324D9F"/>
    <w:rsid w:val="00325E19"/>
    <w:rsid w:val="0032652F"/>
    <w:rsid w:val="00326D4E"/>
    <w:rsid w:val="00327498"/>
    <w:rsid w:val="00327B91"/>
    <w:rsid w:val="00330146"/>
    <w:rsid w:val="00330652"/>
    <w:rsid w:val="00331045"/>
    <w:rsid w:val="0033267E"/>
    <w:rsid w:val="00332836"/>
    <w:rsid w:val="003343E5"/>
    <w:rsid w:val="0033463F"/>
    <w:rsid w:val="00334BD0"/>
    <w:rsid w:val="00335571"/>
    <w:rsid w:val="00335D7F"/>
    <w:rsid w:val="00335FFE"/>
    <w:rsid w:val="00336095"/>
    <w:rsid w:val="00336D81"/>
    <w:rsid w:val="0033756A"/>
    <w:rsid w:val="00340068"/>
    <w:rsid w:val="00340562"/>
    <w:rsid w:val="00341378"/>
    <w:rsid w:val="003415D9"/>
    <w:rsid w:val="00341C12"/>
    <w:rsid w:val="00341EF2"/>
    <w:rsid w:val="0034207F"/>
    <w:rsid w:val="003432B4"/>
    <w:rsid w:val="00343478"/>
    <w:rsid w:val="0034389A"/>
    <w:rsid w:val="003444C7"/>
    <w:rsid w:val="00345449"/>
    <w:rsid w:val="00345CF8"/>
    <w:rsid w:val="003476AB"/>
    <w:rsid w:val="003479F1"/>
    <w:rsid w:val="00347B9F"/>
    <w:rsid w:val="0035059F"/>
    <w:rsid w:val="003505C4"/>
    <w:rsid w:val="0035096C"/>
    <w:rsid w:val="0035125E"/>
    <w:rsid w:val="00352057"/>
    <w:rsid w:val="0035250A"/>
    <w:rsid w:val="0035340F"/>
    <w:rsid w:val="0035358D"/>
    <w:rsid w:val="003539A2"/>
    <w:rsid w:val="00353A66"/>
    <w:rsid w:val="003542DA"/>
    <w:rsid w:val="003547F5"/>
    <w:rsid w:val="00354977"/>
    <w:rsid w:val="00354F7B"/>
    <w:rsid w:val="00355E05"/>
    <w:rsid w:val="00357B3B"/>
    <w:rsid w:val="00357BD1"/>
    <w:rsid w:val="00357D26"/>
    <w:rsid w:val="00360A70"/>
    <w:rsid w:val="00360BDA"/>
    <w:rsid w:val="00360C86"/>
    <w:rsid w:val="00361001"/>
    <w:rsid w:val="00361257"/>
    <w:rsid w:val="003615F8"/>
    <w:rsid w:val="00362B89"/>
    <w:rsid w:val="00363450"/>
    <w:rsid w:val="00363BBE"/>
    <w:rsid w:val="00363E44"/>
    <w:rsid w:val="00363FCA"/>
    <w:rsid w:val="003642E7"/>
    <w:rsid w:val="00364404"/>
    <w:rsid w:val="00364D2F"/>
    <w:rsid w:val="0036513C"/>
    <w:rsid w:val="00365953"/>
    <w:rsid w:val="0036637F"/>
    <w:rsid w:val="00366488"/>
    <w:rsid w:val="003668E3"/>
    <w:rsid w:val="0037064A"/>
    <w:rsid w:val="00370D7E"/>
    <w:rsid w:val="003710BA"/>
    <w:rsid w:val="00371811"/>
    <w:rsid w:val="003719D2"/>
    <w:rsid w:val="00371A0A"/>
    <w:rsid w:val="00371A0F"/>
    <w:rsid w:val="003720E9"/>
    <w:rsid w:val="0037286B"/>
    <w:rsid w:val="003736E5"/>
    <w:rsid w:val="00373742"/>
    <w:rsid w:val="003742BC"/>
    <w:rsid w:val="0037454F"/>
    <w:rsid w:val="003757D0"/>
    <w:rsid w:val="00375F04"/>
    <w:rsid w:val="003776A5"/>
    <w:rsid w:val="003778E8"/>
    <w:rsid w:val="00377EDF"/>
    <w:rsid w:val="0038030B"/>
    <w:rsid w:val="00380749"/>
    <w:rsid w:val="00380BB6"/>
    <w:rsid w:val="00381770"/>
    <w:rsid w:val="00382196"/>
    <w:rsid w:val="00382BE9"/>
    <w:rsid w:val="0038302F"/>
    <w:rsid w:val="00383E8E"/>
    <w:rsid w:val="003845B1"/>
    <w:rsid w:val="00385B6D"/>
    <w:rsid w:val="00386D51"/>
    <w:rsid w:val="003879D9"/>
    <w:rsid w:val="00387F6B"/>
    <w:rsid w:val="003928D7"/>
    <w:rsid w:val="00392CB8"/>
    <w:rsid w:val="00392EFA"/>
    <w:rsid w:val="00392F2B"/>
    <w:rsid w:val="00392F2C"/>
    <w:rsid w:val="003930CE"/>
    <w:rsid w:val="00393349"/>
    <w:rsid w:val="00393A35"/>
    <w:rsid w:val="00393B59"/>
    <w:rsid w:val="00393E67"/>
    <w:rsid w:val="003946DC"/>
    <w:rsid w:val="00394D5A"/>
    <w:rsid w:val="00395BB9"/>
    <w:rsid w:val="003976BF"/>
    <w:rsid w:val="00397CDE"/>
    <w:rsid w:val="003A0477"/>
    <w:rsid w:val="003A056C"/>
    <w:rsid w:val="003A069A"/>
    <w:rsid w:val="003A1106"/>
    <w:rsid w:val="003A19EA"/>
    <w:rsid w:val="003A2396"/>
    <w:rsid w:val="003A2A45"/>
    <w:rsid w:val="003A332C"/>
    <w:rsid w:val="003A36CF"/>
    <w:rsid w:val="003A527A"/>
    <w:rsid w:val="003A6313"/>
    <w:rsid w:val="003A6BA3"/>
    <w:rsid w:val="003A6F0E"/>
    <w:rsid w:val="003A73F0"/>
    <w:rsid w:val="003A787E"/>
    <w:rsid w:val="003B0290"/>
    <w:rsid w:val="003B0C91"/>
    <w:rsid w:val="003B0E0F"/>
    <w:rsid w:val="003B120B"/>
    <w:rsid w:val="003B17D7"/>
    <w:rsid w:val="003B1C2F"/>
    <w:rsid w:val="003B2054"/>
    <w:rsid w:val="003B217D"/>
    <w:rsid w:val="003B234D"/>
    <w:rsid w:val="003B3A36"/>
    <w:rsid w:val="003B3BBC"/>
    <w:rsid w:val="003B3BEA"/>
    <w:rsid w:val="003B4A67"/>
    <w:rsid w:val="003B4C94"/>
    <w:rsid w:val="003B6D0F"/>
    <w:rsid w:val="003B7DFD"/>
    <w:rsid w:val="003C0404"/>
    <w:rsid w:val="003C1A03"/>
    <w:rsid w:val="003C2785"/>
    <w:rsid w:val="003C2AB3"/>
    <w:rsid w:val="003C2C03"/>
    <w:rsid w:val="003C3388"/>
    <w:rsid w:val="003C4267"/>
    <w:rsid w:val="003C4728"/>
    <w:rsid w:val="003C54D1"/>
    <w:rsid w:val="003C6447"/>
    <w:rsid w:val="003C692B"/>
    <w:rsid w:val="003C79AE"/>
    <w:rsid w:val="003C7B52"/>
    <w:rsid w:val="003D00D8"/>
    <w:rsid w:val="003D0A99"/>
    <w:rsid w:val="003D1253"/>
    <w:rsid w:val="003D3F12"/>
    <w:rsid w:val="003D4269"/>
    <w:rsid w:val="003D4EEC"/>
    <w:rsid w:val="003D5380"/>
    <w:rsid w:val="003D5EAB"/>
    <w:rsid w:val="003D6259"/>
    <w:rsid w:val="003D6E30"/>
    <w:rsid w:val="003D7048"/>
    <w:rsid w:val="003D7512"/>
    <w:rsid w:val="003E0966"/>
    <w:rsid w:val="003E0DD7"/>
    <w:rsid w:val="003E186D"/>
    <w:rsid w:val="003E25F1"/>
    <w:rsid w:val="003E2D14"/>
    <w:rsid w:val="003E3081"/>
    <w:rsid w:val="003E399C"/>
    <w:rsid w:val="003E4FDF"/>
    <w:rsid w:val="003E52EA"/>
    <w:rsid w:val="003E53AF"/>
    <w:rsid w:val="003E5BB3"/>
    <w:rsid w:val="003E6073"/>
    <w:rsid w:val="003E720F"/>
    <w:rsid w:val="003E7DBF"/>
    <w:rsid w:val="003E7F42"/>
    <w:rsid w:val="003F0174"/>
    <w:rsid w:val="003F0AAE"/>
    <w:rsid w:val="003F0C32"/>
    <w:rsid w:val="003F0C5D"/>
    <w:rsid w:val="003F0D1D"/>
    <w:rsid w:val="003F107D"/>
    <w:rsid w:val="003F141B"/>
    <w:rsid w:val="003F16D9"/>
    <w:rsid w:val="003F1724"/>
    <w:rsid w:val="003F1B47"/>
    <w:rsid w:val="003F262E"/>
    <w:rsid w:val="003F43BF"/>
    <w:rsid w:val="003F46B6"/>
    <w:rsid w:val="003F4F5B"/>
    <w:rsid w:val="003F5546"/>
    <w:rsid w:val="003F6045"/>
    <w:rsid w:val="003F65CA"/>
    <w:rsid w:val="003F79D1"/>
    <w:rsid w:val="004038D5"/>
    <w:rsid w:val="00403ADD"/>
    <w:rsid w:val="00403D81"/>
    <w:rsid w:val="0040440B"/>
    <w:rsid w:val="0040511E"/>
    <w:rsid w:val="004058FE"/>
    <w:rsid w:val="00405C40"/>
    <w:rsid w:val="00405C96"/>
    <w:rsid w:val="00405FA6"/>
    <w:rsid w:val="004070D4"/>
    <w:rsid w:val="00407EFD"/>
    <w:rsid w:val="0041020E"/>
    <w:rsid w:val="004106AB"/>
    <w:rsid w:val="00410A79"/>
    <w:rsid w:val="00411BA0"/>
    <w:rsid w:val="0041219B"/>
    <w:rsid w:val="00412780"/>
    <w:rsid w:val="004128AB"/>
    <w:rsid w:val="00414248"/>
    <w:rsid w:val="004150B7"/>
    <w:rsid w:val="004163E8"/>
    <w:rsid w:val="00416945"/>
    <w:rsid w:val="00416F51"/>
    <w:rsid w:val="00417BBC"/>
    <w:rsid w:val="00417BC8"/>
    <w:rsid w:val="004202DF"/>
    <w:rsid w:val="00420698"/>
    <w:rsid w:val="00420D54"/>
    <w:rsid w:val="004212CC"/>
    <w:rsid w:val="004215EB"/>
    <w:rsid w:val="00421AC3"/>
    <w:rsid w:val="00422D79"/>
    <w:rsid w:val="00422E3F"/>
    <w:rsid w:val="00424A60"/>
    <w:rsid w:val="004262F8"/>
    <w:rsid w:val="00427A70"/>
    <w:rsid w:val="0043040E"/>
    <w:rsid w:val="00430EF5"/>
    <w:rsid w:val="0043173C"/>
    <w:rsid w:val="00431B98"/>
    <w:rsid w:val="00431BB7"/>
    <w:rsid w:val="0043291A"/>
    <w:rsid w:val="0043350E"/>
    <w:rsid w:val="004335B3"/>
    <w:rsid w:val="00433864"/>
    <w:rsid w:val="004342CE"/>
    <w:rsid w:val="00434D67"/>
    <w:rsid w:val="00435880"/>
    <w:rsid w:val="004368A8"/>
    <w:rsid w:val="00436B75"/>
    <w:rsid w:val="00437168"/>
    <w:rsid w:val="00437B15"/>
    <w:rsid w:val="00437F93"/>
    <w:rsid w:val="004404CE"/>
    <w:rsid w:val="00440B69"/>
    <w:rsid w:val="004417EE"/>
    <w:rsid w:val="00441B7E"/>
    <w:rsid w:val="00441DA3"/>
    <w:rsid w:val="00442EC2"/>
    <w:rsid w:val="004434CC"/>
    <w:rsid w:val="00443903"/>
    <w:rsid w:val="00444885"/>
    <w:rsid w:val="004450E0"/>
    <w:rsid w:val="0044544E"/>
    <w:rsid w:val="00445725"/>
    <w:rsid w:val="004467FF"/>
    <w:rsid w:val="00446F04"/>
    <w:rsid w:val="004471C5"/>
    <w:rsid w:val="00447B43"/>
    <w:rsid w:val="0045056E"/>
    <w:rsid w:val="00450720"/>
    <w:rsid w:val="00451847"/>
    <w:rsid w:val="00451A80"/>
    <w:rsid w:val="0045264A"/>
    <w:rsid w:val="00453497"/>
    <w:rsid w:val="004539F6"/>
    <w:rsid w:val="00453E24"/>
    <w:rsid w:val="004562E1"/>
    <w:rsid w:val="004574A6"/>
    <w:rsid w:val="00457769"/>
    <w:rsid w:val="0046010F"/>
    <w:rsid w:val="004601D3"/>
    <w:rsid w:val="004607FD"/>
    <w:rsid w:val="004608AE"/>
    <w:rsid w:val="004610F6"/>
    <w:rsid w:val="00461159"/>
    <w:rsid w:val="00461632"/>
    <w:rsid w:val="00461ED2"/>
    <w:rsid w:val="0046264A"/>
    <w:rsid w:val="00462B04"/>
    <w:rsid w:val="00462D53"/>
    <w:rsid w:val="0046421E"/>
    <w:rsid w:val="00464619"/>
    <w:rsid w:val="00464A46"/>
    <w:rsid w:val="0046537B"/>
    <w:rsid w:val="00465D82"/>
    <w:rsid w:val="004664E7"/>
    <w:rsid w:val="0046760F"/>
    <w:rsid w:val="00467F91"/>
    <w:rsid w:val="00470581"/>
    <w:rsid w:val="004705A9"/>
    <w:rsid w:val="00470A80"/>
    <w:rsid w:val="00470AC8"/>
    <w:rsid w:val="0047179F"/>
    <w:rsid w:val="0047183C"/>
    <w:rsid w:val="00471BFA"/>
    <w:rsid w:val="004723A7"/>
    <w:rsid w:val="00474A36"/>
    <w:rsid w:val="00475D36"/>
    <w:rsid w:val="004774E3"/>
    <w:rsid w:val="004778DB"/>
    <w:rsid w:val="00477B21"/>
    <w:rsid w:val="00477F9E"/>
    <w:rsid w:val="00480F3E"/>
    <w:rsid w:val="004818A6"/>
    <w:rsid w:val="00481F38"/>
    <w:rsid w:val="00482ED5"/>
    <w:rsid w:val="0048375A"/>
    <w:rsid w:val="0048424D"/>
    <w:rsid w:val="004847E8"/>
    <w:rsid w:val="00484CC6"/>
    <w:rsid w:val="00484FD5"/>
    <w:rsid w:val="004862FF"/>
    <w:rsid w:val="00486B40"/>
    <w:rsid w:val="00491040"/>
    <w:rsid w:val="004912BB"/>
    <w:rsid w:val="00491A73"/>
    <w:rsid w:val="00491A88"/>
    <w:rsid w:val="00493501"/>
    <w:rsid w:val="00493C9B"/>
    <w:rsid w:val="00494AB5"/>
    <w:rsid w:val="00495096"/>
    <w:rsid w:val="00495A3B"/>
    <w:rsid w:val="00496328"/>
    <w:rsid w:val="00497D89"/>
    <w:rsid w:val="004A0883"/>
    <w:rsid w:val="004A0D95"/>
    <w:rsid w:val="004A16C8"/>
    <w:rsid w:val="004A23F2"/>
    <w:rsid w:val="004A241E"/>
    <w:rsid w:val="004A4760"/>
    <w:rsid w:val="004A4A16"/>
    <w:rsid w:val="004A4A41"/>
    <w:rsid w:val="004A51DB"/>
    <w:rsid w:val="004A5233"/>
    <w:rsid w:val="004A5306"/>
    <w:rsid w:val="004A5E66"/>
    <w:rsid w:val="004A702E"/>
    <w:rsid w:val="004A7771"/>
    <w:rsid w:val="004B030B"/>
    <w:rsid w:val="004B056A"/>
    <w:rsid w:val="004B06AD"/>
    <w:rsid w:val="004B0BD8"/>
    <w:rsid w:val="004B1184"/>
    <w:rsid w:val="004B209E"/>
    <w:rsid w:val="004B281F"/>
    <w:rsid w:val="004B2953"/>
    <w:rsid w:val="004B330C"/>
    <w:rsid w:val="004B4096"/>
    <w:rsid w:val="004B42A1"/>
    <w:rsid w:val="004B43DC"/>
    <w:rsid w:val="004B4617"/>
    <w:rsid w:val="004B4BA3"/>
    <w:rsid w:val="004B58B6"/>
    <w:rsid w:val="004B6030"/>
    <w:rsid w:val="004B63E2"/>
    <w:rsid w:val="004B66A4"/>
    <w:rsid w:val="004C0343"/>
    <w:rsid w:val="004C034C"/>
    <w:rsid w:val="004C077A"/>
    <w:rsid w:val="004C090C"/>
    <w:rsid w:val="004C1E4C"/>
    <w:rsid w:val="004C22EF"/>
    <w:rsid w:val="004C22F7"/>
    <w:rsid w:val="004C25F5"/>
    <w:rsid w:val="004C2702"/>
    <w:rsid w:val="004C2E37"/>
    <w:rsid w:val="004C34DF"/>
    <w:rsid w:val="004C395F"/>
    <w:rsid w:val="004C39F1"/>
    <w:rsid w:val="004C3D10"/>
    <w:rsid w:val="004C4700"/>
    <w:rsid w:val="004C492E"/>
    <w:rsid w:val="004C4E19"/>
    <w:rsid w:val="004C5526"/>
    <w:rsid w:val="004C5A56"/>
    <w:rsid w:val="004C65A1"/>
    <w:rsid w:val="004C6E35"/>
    <w:rsid w:val="004C6FD8"/>
    <w:rsid w:val="004C7999"/>
    <w:rsid w:val="004C7D44"/>
    <w:rsid w:val="004D029F"/>
    <w:rsid w:val="004D0DDE"/>
    <w:rsid w:val="004D1131"/>
    <w:rsid w:val="004D15E2"/>
    <w:rsid w:val="004D1B1E"/>
    <w:rsid w:val="004D39F4"/>
    <w:rsid w:val="004D5E09"/>
    <w:rsid w:val="004D6816"/>
    <w:rsid w:val="004D7F7E"/>
    <w:rsid w:val="004E24C7"/>
    <w:rsid w:val="004E2D15"/>
    <w:rsid w:val="004E35BF"/>
    <w:rsid w:val="004E3632"/>
    <w:rsid w:val="004E3EE1"/>
    <w:rsid w:val="004E43A4"/>
    <w:rsid w:val="004E44C8"/>
    <w:rsid w:val="004E55EA"/>
    <w:rsid w:val="004E59C4"/>
    <w:rsid w:val="004E6041"/>
    <w:rsid w:val="004E6A39"/>
    <w:rsid w:val="004F02B3"/>
    <w:rsid w:val="004F08F7"/>
    <w:rsid w:val="004F0EDE"/>
    <w:rsid w:val="004F14A1"/>
    <w:rsid w:val="004F1BE3"/>
    <w:rsid w:val="004F2201"/>
    <w:rsid w:val="004F23A9"/>
    <w:rsid w:val="004F2C06"/>
    <w:rsid w:val="004F3BC4"/>
    <w:rsid w:val="004F3C2B"/>
    <w:rsid w:val="004F425C"/>
    <w:rsid w:val="004F47E7"/>
    <w:rsid w:val="004F4801"/>
    <w:rsid w:val="004F5592"/>
    <w:rsid w:val="004F6532"/>
    <w:rsid w:val="004F6D80"/>
    <w:rsid w:val="004F7662"/>
    <w:rsid w:val="004F776D"/>
    <w:rsid w:val="0050019F"/>
    <w:rsid w:val="005007FE"/>
    <w:rsid w:val="00500930"/>
    <w:rsid w:val="00500AE1"/>
    <w:rsid w:val="0050117B"/>
    <w:rsid w:val="0050120A"/>
    <w:rsid w:val="00502720"/>
    <w:rsid w:val="00503CC4"/>
    <w:rsid w:val="00504E30"/>
    <w:rsid w:val="00504E50"/>
    <w:rsid w:val="00504F53"/>
    <w:rsid w:val="005054B8"/>
    <w:rsid w:val="00506465"/>
    <w:rsid w:val="0050671E"/>
    <w:rsid w:val="00506C55"/>
    <w:rsid w:val="00506C6C"/>
    <w:rsid w:val="00507373"/>
    <w:rsid w:val="0051073B"/>
    <w:rsid w:val="00510B98"/>
    <w:rsid w:val="00510F4B"/>
    <w:rsid w:val="0051201E"/>
    <w:rsid w:val="00512505"/>
    <w:rsid w:val="00512C12"/>
    <w:rsid w:val="00512E6A"/>
    <w:rsid w:val="005135FC"/>
    <w:rsid w:val="00513C0D"/>
    <w:rsid w:val="00514902"/>
    <w:rsid w:val="00514D1E"/>
    <w:rsid w:val="00515570"/>
    <w:rsid w:val="00516CD1"/>
    <w:rsid w:val="00517E27"/>
    <w:rsid w:val="00520545"/>
    <w:rsid w:val="005222BF"/>
    <w:rsid w:val="005223B3"/>
    <w:rsid w:val="00523E1B"/>
    <w:rsid w:val="00524733"/>
    <w:rsid w:val="0052596C"/>
    <w:rsid w:val="0052687B"/>
    <w:rsid w:val="0052690E"/>
    <w:rsid w:val="005269EE"/>
    <w:rsid w:val="00526C57"/>
    <w:rsid w:val="00526C85"/>
    <w:rsid w:val="00526E76"/>
    <w:rsid w:val="00526FF2"/>
    <w:rsid w:val="0052707D"/>
    <w:rsid w:val="00530559"/>
    <w:rsid w:val="005306E1"/>
    <w:rsid w:val="005316C0"/>
    <w:rsid w:val="00531AA4"/>
    <w:rsid w:val="0053257A"/>
    <w:rsid w:val="00533C22"/>
    <w:rsid w:val="005355AB"/>
    <w:rsid w:val="005356C2"/>
    <w:rsid w:val="00536058"/>
    <w:rsid w:val="005360B0"/>
    <w:rsid w:val="005405C6"/>
    <w:rsid w:val="005412CC"/>
    <w:rsid w:val="00541977"/>
    <w:rsid w:val="005421A4"/>
    <w:rsid w:val="00542525"/>
    <w:rsid w:val="00542A48"/>
    <w:rsid w:val="00542F1C"/>
    <w:rsid w:val="00544EE9"/>
    <w:rsid w:val="00544F06"/>
    <w:rsid w:val="00546521"/>
    <w:rsid w:val="00546C12"/>
    <w:rsid w:val="00550ADD"/>
    <w:rsid w:val="005511DD"/>
    <w:rsid w:val="00553283"/>
    <w:rsid w:val="00553461"/>
    <w:rsid w:val="005539AC"/>
    <w:rsid w:val="00553FA9"/>
    <w:rsid w:val="00554FFD"/>
    <w:rsid w:val="005557F0"/>
    <w:rsid w:val="00555F10"/>
    <w:rsid w:val="005570D8"/>
    <w:rsid w:val="00557E9B"/>
    <w:rsid w:val="005600FB"/>
    <w:rsid w:val="00561C03"/>
    <w:rsid w:val="00562FB8"/>
    <w:rsid w:val="005634E8"/>
    <w:rsid w:val="00563DCB"/>
    <w:rsid w:val="0056451A"/>
    <w:rsid w:val="00564529"/>
    <w:rsid w:val="0056536F"/>
    <w:rsid w:val="00565A95"/>
    <w:rsid w:val="00566AA3"/>
    <w:rsid w:val="00567CC4"/>
    <w:rsid w:val="00570A7D"/>
    <w:rsid w:val="00570E82"/>
    <w:rsid w:val="0057244B"/>
    <w:rsid w:val="00573B66"/>
    <w:rsid w:val="005747E1"/>
    <w:rsid w:val="00574E54"/>
    <w:rsid w:val="00574F72"/>
    <w:rsid w:val="00576AAC"/>
    <w:rsid w:val="00576FB4"/>
    <w:rsid w:val="00577B0F"/>
    <w:rsid w:val="005803E4"/>
    <w:rsid w:val="00581D49"/>
    <w:rsid w:val="00582A07"/>
    <w:rsid w:val="00582E07"/>
    <w:rsid w:val="00584274"/>
    <w:rsid w:val="00584BCC"/>
    <w:rsid w:val="00585CA3"/>
    <w:rsid w:val="00586511"/>
    <w:rsid w:val="0058683F"/>
    <w:rsid w:val="00586C14"/>
    <w:rsid w:val="005871C7"/>
    <w:rsid w:val="00587943"/>
    <w:rsid w:val="00587B98"/>
    <w:rsid w:val="00587BE0"/>
    <w:rsid w:val="00590216"/>
    <w:rsid w:val="00590D6A"/>
    <w:rsid w:val="00590F95"/>
    <w:rsid w:val="00591A6F"/>
    <w:rsid w:val="00591C50"/>
    <w:rsid w:val="00594E07"/>
    <w:rsid w:val="00596855"/>
    <w:rsid w:val="00597158"/>
    <w:rsid w:val="00597384"/>
    <w:rsid w:val="005978D8"/>
    <w:rsid w:val="00597BA4"/>
    <w:rsid w:val="005A0116"/>
    <w:rsid w:val="005A041B"/>
    <w:rsid w:val="005A27B9"/>
    <w:rsid w:val="005A350A"/>
    <w:rsid w:val="005A4B88"/>
    <w:rsid w:val="005A5F88"/>
    <w:rsid w:val="005A71B4"/>
    <w:rsid w:val="005A7DE0"/>
    <w:rsid w:val="005B16F2"/>
    <w:rsid w:val="005B1B3F"/>
    <w:rsid w:val="005B20A1"/>
    <w:rsid w:val="005B2336"/>
    <w:rsid w:val="005B2DC7"/>
    <w:rsid w:val="005B359F"/>
    <w:rsid w:val="005B3ABC"/>
    <w:rsid w:val="005B3E0E"/>
    <w:rsid w:val="005B40CC"/>
    <w:rsid w:val="005B53A9"/>
    <w:rsid w:val="005B605A"/>
    <w:rsid w:val="005B6BE4"/>
    <w:rsid w:val="005B6C9D"/>
    <w:rsid w:val="005B6CFB"/>
    <w:rsid w:val="005C01B3"/>
    <w:rsid w:val="005C03D8"/>
    <w:rsid w:val="005C0CAB"/>
    <w:rsid w:val="005C1B0D"/>
    <w:rsid w:val="005C1EEC"/>
    <w:rsid w:val="005C1F69"/>
    <w:rsid w:val="005C239B"/>
    <w:rsid w:val="005C2410"/>
    <w:rsid w:val="005C2DC3"/>
    <w:rsid w:val="005C2EA1"/>
    <w:rsid w:val="005C31D2"/>
    <w:rsid w:val="005C339D"/>
    <w:rsid w:val="005C3493"/>
    <w:rsid w:val="005C3572"/>
    <w:rsid w:val="005C49A7"/>
    <w:rsid w:val="005C50BA"/>
    <w:rsid w:val="005C5B42"/>
    <w:rsid w:val="005C6042"/>
    <w:rsid w:val="005C6147"/>
    <w:rsid w:val="005C6215"/>
    <w:rsid w:val="005C6E6A"/>
    <w:rsid w:val="005C71F3"/>
    <w:rsid w:val="005D083C"/>
    <w:rsid w:val="005D136F"/>
    <w:rsid w:val="005D1460"/>
    <w:rsid w:val="005D1512"/>
    <w:rsid w:val="005D3088"/>
    <w:rsid w:val="005D3274"/>
    <w:rsid w:val="005D38C4"/>
    <w:rsid w:val="005D3CFF"/>
    <w:rsid w:val="005D48D2"/>
    <w:rsid w:val="005D575D"/>
    <w:rsid w:val="005D6BC2"/>
    <w:rsid w:val="005D7BC0"/>
    <w:rsid w:val="005E0260"/>
    <w:rsid w:val="005E0327"/>
    <w:rsid w:val="005E0B08"/>
    <w:rsid w:val="005E1CDD"/>
    <w:rsid w:val="005E28DE"/>
    <w:rsid w:val="005E2905"/>
    <w:rsid w:val="005E389E"/>
    <w:rsid w:val="005E3A37"/>
    <w:rsid w:val="005E3EC7"/>
    <w:rsid w:val="005E3FA8"/>
    <w:rsid w:val="005E4C80"/>
    <w:rsid w:val="005E52E4"/>
    <w:rsid w:val="005E5842"/>
    <w:rsid w:val="005E5DA7"/>
    <w:rsid w:val="005E6D62"/>
    <w:rsid w:val="005E7380"/>
    <w:rsid w:val="005E7DDD"/>
    <w:rsid w:val="005F0492"/>
    <w:rsid w:val="005F07A5"/>
    <w:rsid w:val="005F1630"/>
    <w:rsid w:val="005F22D7"/>
    <w:rsid w:val="005F233B"/>
    <w:rsid w:val="005F25A9"/>
    <w:rsid w:val="005F293B"/>
    <w:rsid w:val="005F3BE3"/>
    <w:rsid w:val="005F4357"/>
    <w:rsid w:val="005F4659"/>
    <w:rsid w:val="005F532A"/>
    <w:rsid w:val="005F591F"/>
    <w:rsid w:val="005F5FBE"/>
    <w:rsid w:val="005F65DC"/>
    <w:rsid w:val="005F6CA2"/>
    <w:rsid w:val="005F6DAA"/>
    <w:rsid w:val="00600296"/>
    <w:rsid w:val="00600565"/>
    <w:rsid w:val="00600A8D"/>
    <w:rsid w:val="00601440"/>
    <w:rsid w:val="00601B34"/>
    <w:rsid w:val="00601B98"/>
    <w:rsid w:val="0060263F"/>
    <w:rsid w:val="006027CE"/>
    <w:rsid w:val="00602807"/>
    <w:rsid w:val="00602F30"/>
    <w:rsid w:val="006034D4"/>
    <w:rsid w:val="006069C2"/>
    <w:rsid w:val="00606E8B"/>
    <w:rsid w:val="00607127"/>
    <w:rsid w:val="0061105A"/>
    <w:rsid w:val="00611C39"/>
    <w:rsid w:val="00612431"/>
    <w:rsid w:val="00612927"/>
    <w:rsid w:val="00613047"/>
    <w:rsid w:val="0061374D"/>
    <w:rsid w:val="00613911"/>
    <w:rsid w:val="00615CFA"/>
    <w:rsid w:val="00620C0D"/>
    <w:rsid w:val="00621595"/>
    <w:rsid w:val="00622E65"/>
    <w:rsid w:val="006258A8"/>
    <w:rsid w:val="0062595B"/>
    <w:rsid w:val="0063093B"/>
    <w:rsid w:val="006312C8"/>
    <w:rsid w:val="00631A15"/>
    <w:rsid w:val="00633718"/>
    <w:rsid w:val="00635084"/>
    <w:rsid w:val="00635327"/>
    <w:rsid w:val="0063571F"/>
    <w:rsid w:val="00635761"/>
    <w:rsid w:val="006362AA"/>
    <w:rsid w:val="00637826"/>
    <w:rsid w:val="0064008A"/>
    <w:rsid w:val="006411D6"/>
    <w:rsid w:val="0064123D"/>
    <w:rsid w:val="006415B8"/>
    <w:rsid w:val="00645229"/>
    <w:rsid w:val="006465F8"/>
    <w:rsid w:val="006468AA"/>
    <w:rsid w:val="00646BD8"/>
    <w:rsid w:val="00646F15"/>
    <w:rsid w:val="00647951"/>
    <w:rsid w:val="00650DBE"/>
    <w:rsid w:val="006513F2"/>
    <w:rsid w:val="006514D4"/>
    <w:rsid w:val="0065192D"/>
    <w:rsid w:val="00651EED"/>
    <w:rsid w:val="006523F9"/>
    <w:rsid w:val="0065263E"/>
    <w:rsid w:val="00652C26"/>
    <w:rsid w:val="0065319B"/>
    <w:rsid w:val="006535FC"/>
    <w:rsid w:val="00653E0A"/>
    <w:rsid w:val="00653E6C"/>
    <w:rsid w:val="00654462"/>
    <w:rsid w:val="00654F7B"/>
    <w:rsid w:val="00655E10"/>
    <w:rsid w:val="0065720C"/>
    <w:rsid w:val="006578DF"/>
    <w:rsid w:val="00657B28"/>
    <w:rsid w:val="00657B49"/>
    <w:rsid w:val="00660019"/>
    <w:rsid w:val="006602EA"/>
    <w:rsid w:val="00662284"/>
    <w:rsid w:val="0066287E"/>
    <w:rsid w:val="00663EDD"/>
    <w:rsid w:val="006641F1"/>
    <w:rsid w:val="00664ADC"/>
    <w:rsid w:val="00664FDD"/>
    <w:rsid w:val="006653DD"/>
    <w:rsid w:val="00665F05"/>
    <w:rsid w:val="00666366"/>
    <w:rsid w:val="006663DA"/>
    <w:rsid w:val="006665B3"/>
    <w:rsid w:val="00666BF8"/>
    <w:rsid w:val="006671E1"/>
    <w:rsid w:val="0067007B"/>
    <w:rsid w:val="006701DD"/>
    <w:rsid w:val="006704B4"/>
    <w:rsid w:val="0067094A"/>
    <w:rsid w:val="00671183"/>
    <w:rsid w:val="006722AA"/>
    <w:rsid w:val="00672505"/>
    <w:rsid w:val="00672C06"/>
    <w:rsid w:val="00673CC9"/>
    <w:rsid w:val="006747E2"/>
    <w:rsid w:val="00675742"/>
    <w:rsid w:val="00675E65"/>
    <w:rsid w:val="0067767E"/>
    <w:rsid w:val="006807BA"/>
    <w:rsid w:val="00680B35"/>
    <w:rsid w:val="006831F2"/>
    <w:rsid w:val="0068338D"/>
    <w:rsid w:val="006835E6"/>
    <w:rsid w:val="006839A6"/>
    <w:rsid w:val="00683DC2"/>
    <w:rsid w:val="00684161"/>
    <w:rsid w:val="00684FC4"/>
    <w:rsid w:val="0068525C"/>
    <w:rsid w:val="00685615"/>
    <w:rsid w:val="00686202"/>
    <w:rsid w:val="00686D4F"/>
    <w:rsid w:val="006873B9"/>
    <w:rsid w:val="006874F4"/>
    <w:rsid w:val="00687D8B"/>
    <w:rsid w:val="00690197"/>
    <w:rsid w:val="00690DE7"/>
    <w:rsid w:val="006929C5"/>
    <w:rsid w:val="00692D35"/>
    <w:rsid w:val="00692D93"/>
    <w:rsid w:val="00693A45"/>
    <w:rsid w:val="00693DF9"/>
    <w:rsid w:val="00694CA5"/>
    <w:rsid w:val="006954C8"/>
    <w:rsid w:val="00695FC0"/>
    <w:rsid w:val="00696FB3"/>
    <w:rsid w:val="006973AB"/>
    <w:rsid w:val="00697806"/>
    <w:rsid w:val="006A003F"/>
    <w:rsid w:val="006A07AC"/>
    <w:rsid w:val="006A145B"/>
    <w:rsid w:val="006A191F"/>
    <w:rsid w:val="006A26CE"/>
    <w:rsid w:val="006A34D8"/>
    <w:rsid w:val="006A4E11"/>
    <w:rsid w:val="006A5F72"/>
    <w:rsid w:val="006A684B"/>
    <w:rsid w:val="006A687B"/>
    <w:rsid w:val="006A6E0F"/>
    <w:rsid w:val="006A70B8"/>
    <w:rsid w:val="006B0C5F"/>
    <w:rsid w:val="006B11FF"/>
    <w:rsid w:val="006B190D"/>
    <w:rsid w:val="006B1A93"/>
    <w:rsid w:val="006B27A8"/>
    <w:rsid w:val="006B2977"/>
    <w:rsid w:val="006B2A32"/>
    <w:rsid w:val="006B33A9"/>
    <w:rsid w:val="006B35F0"/>
    <w:rsid w:val="006B3B1D"/>
    <w:rsid w:val="006B42DC"/>
    <w:rsid w:val="006B479B"/>
    <w:rsid w:val="006B4E6D"/>
    <w:rsid w:val="006B56D0"/>
    <w:rsid w:val="006B6C17"/>
    <w:rsid w:val="006B7E77"/>
    <w:rsid w:val="006C02B9"/>
    <w:rsid w:val="006C2A14"/>
    <w:rsid w:val="006C35BD"/>
    <w:rsid w:val="006C46B4"/>
    <w:rsid w:val="006C577B"/>
    <w:rsid w:val="006C5826"/>
    <w:rsid w:val="006C6106"/>
    <w:rsid w:val="006C65C5"/>
    <w:rsid w:val="006C790C"/>
    <w:rsid w:val="006D0EEE"/>
    <w:rsid w:val="006D1635"/>
    <w:rsid w:val="006D1676"/>
    <w:rsid w:val="006D19C6"/>
    <w:rsid w:val="006D1D45"/>
    <w:rsid w:val="006D34B6"/>
    <w:rsid w:val="006D375A"/>
    <w:rsid w:val="006D3EDF"/>
    <w:rsid w:val="006D47C5"/>
    <w:rsid w:val="006D4887"/>
    <w:rsid w:val="006D4CCB"/>
    <w:rsid w:val="006D5187"/>
    <w:rsid w:val="006D556F"/>
    <w:rsid w:val="006D5715"/>
    <w:rsid w:val="006D59B3"/>
    <w:rsid w:val="006D5AFA"/>
    <w:rsid w:val="006D74F6"/>
    <w:rsid w:val="006D7A72"/>
    <w:rsid w:val="006E0C6E"/>
    <w:rsid w:val="006E1202"/>
    <w:rsid w:val="006E1B49"/>
    <w:rsid w:val="006E2306"/>
    <w:rsid w:val="006E2381"/>
    <w:rsid w:val="006E27E2"/>
    <w:rsid w:val="006E3E52"/>
    <w:rsid w:val="006E43E0"/>
    <w:rsid w:val="006E47F4"/>
    <w:rsid w:val="006E4F4D"/>
    <w:rsid w:val="006E4F61"/>
    <w:rsid w:val="006E5954"/>
    <w:rsid w:val="006E5DAD"/>
    <w:rsid w:val="006E60A6"/>
    <w:rsid w:val="006E64AD"/>
    <w:rsid w:val="006E660A"/>
    <w:rsid w:val="006E67AF"/>
    <w:rsid w:val="006E7CAB"/>
    <w:rsid w:val="006F0E1D"/>
    <w:rsid w:val="006F14D6"/>
    <w:rsid w:val="006F16E7"/>
    <w:rsid w:val="006F227B"/>
    <w:rsid w:val="006F3435"/>
    <w:rsid w:val="006F3A39"/>
    <w:rsid w:val="006F3F24"/>
    <w:rsid w:val="006F4154"/>
    <w:rsid w:val="006F4518"/>
    <w:rsid w:val="006F4EC6"/>
    <w:rsid w:val="006F5B99"/>
    <w:rsid w:val="006F70D2"/>
    <w:rsid w:val="006F7D48"/>
    <w:rsid w:val="00700099"/>
    <w:rsid w:val="00700B49"/>
    <w:rsid w:val="00701024"/>
    <w:rsid w:val="007014F8"/>
    <w:rsid w:val="0070168A"/>
    <w:rsid w:val="00701A3A"/>
    <w:rsid w:val="00701D57"/>
    <w:rsid w:val="00702B68"/>
    <w:rsid w:val="0070310E"/>
    <w:rsid w:val="00703C4D"/>
    <w:rsid w:val="00704054"/>
    <w:rsid w:val="007041F3"/>
    <w:rsid w:val="00704DB7"/>
    <w:rsid w:val="00705F42"/>
    <w:rsid w:val="00706370"/>
    <w:rsid w:val="00706A1D"/>
    <w:rsid w:val="00706AFC"/>
    <w:rsid w:val="00706C68"/>
    <w:rsid w:val="00707DBB"/>
    <w:rsid w:val="0071011D"/>
    <w:rsid w:val="007108AC"/>
    <w:rsid w:val="00710F1D"/>
    <w:rsid w:val="00711457"/>
    <w:rsid w:val="0071177C"/>
    <w:rsid w:val="00711CE8"/>
    <w:rsid w:val="007125A3"/>
    <w:rsid w:val="007126DC"/>
    <w:rsid w:val="0071332D"/>
    <w:rsid w:val="00713886"/>
    <w:rsid w:val="00714D09"/>
    <w:rsid w:val="00715548"/>
    <w:rsid w:val="00715AB5"/>
    <w:rsid w:val="007169E4"/>
    <w:rsid w:val="0071726F"/>
    <w:rsid w:val="00717629"/>
    <w:rsid w:val="007177F9"/>
    <w:rsid w:val="00717C92"/>
    <w:rsid w:val="007208C4"/>
    <w:rsid w:val="00720D09"/>
    <w:rsid w:val="00720DC4"/>
    <w:rsid w:val="00720F32"/>
    <w:rsid w:val="00722D4D"/>
    <w:rsid w:val="0072324A"/>
    <w:rsid w:val="0072340C"/>
    <w:rsid w:val="0072395E"/>
    <w:rsid w:val="00723EA6"/>
    <w:rsid w:val="00724031"/>
    <w:rsid w:val="00724831"/>
    <w:rsid w:val="007248E9"/>
    <w:rsid w:val="00724958"/>
    <w:rsid w:val="007249EF"/>
    <w:rsid w:val="00726135"/>
    <w:rsid w:val="0072622B"/>
    <w:rsid w:val="00726858"/>
    <w:rsid w:val="00726AA1"/>
    <w:rsid w:val="0072780E"/>
    <w:rsid w:val="007278DE"/>
    <w:rsid w:val="00727B6F"/>
    <w:rsid w:val="007314B8"/>
    <w:rsid w:val="00731B72"/>
    <w:rsid w:val="00732102"/>
    <w:rsid w:val="007321E4"/>
    <w:rsid w:val="007326DE"/>
    <w:rsid w:val="00732F75"/>
    <w:rsid w:val="00733624"/>
    <w:rsid w:val="007336F0"/>
    <w:rsid w:val="007337E4"/>
    <w:rsid w:val="00734383"/>
    <w:rsid w:val="00734E68"/>
    <w:rsid w:val="007356B9"/>
    <w:rsid w:val="00735D1E"/>
    <w:rsid w:val="00736290"/>
    <w:rsid w:val="0073642C"/>
    <w:rsid w:val="007366BE"/>
    <w:rsid w:val="0073680D"/>
    <w:rsid w:val="00736872"/>
    <w:rsid w:val="00740B42"/>
    <w:rsid w:val="00741FEA"/>
    <w:rsid w:val="007446C4"/>
    <w:rsid w:val="007447CA"/>
    <w:rsid w:val="00745508"/>
    <w:rsid w:val="00745E16"/>
    <w:rsid w:val="00746710"/>
    <w:rsid w:val="007468A3"/>
    <w:rsid w:val="0074766E"/>
    <w:rsid w:val="00747873"/>
    <w:rsid w:val="00747D85"/>
    <w:rsid w:val="00751178"/>
    <w:rsid w:val="0075250D"/>
    <w:rsid w:val="00752E4C"/>
    <w:rsid w:val="0075319E"/>
    <w:rsid w:val="0075324F"/>
    <w:rsid w:val="00753C19"/>
    <w:rsid w:val="007546AD"/>
    <w:rsid w:val="0075507D"/>
    <w:rsid w:val="007557A9"/>
    <w:rsid w:val="007568D5"/>
    <w:rsid w:val="00756DBA"/>
    <w:rsid w:val="00756ECA"/>
    <w:rsid w:val="0076115A"/>
    <w:rsid w:val="007612E8"/>
    <w:rsid w:val="007614D2"/>
    <w:rsid w:val="00761674"/>
    <w:rsid w:val="007622FE"/>
    <w:rsid w:val="00763C8F"/>
    <w:rsid w:val="00763D22"/>
    <w:rsid w:val="00763FE8"/>
    <w:rsid w:val="007646A4"/>
    <w:rsid w:val="0076475E"/>
    <w:rsid w:val="007663B9"/>
    <w:rsid w:val="00767422"/>
    <w:rsid w:val="007677C5"/>
    <w:rsid w:val="007707AD"/>
    <w:rsid w:val="0077086E"/>
    <w:rsid w:val="007708E2"/>
    <w:rsid w:val="00771A8D"/>
    <w:rsid w:val="00772482"/>
    <w:rsid w:val="0077249A"/>
    <w:rsid w:val="00773054"/>
    <w:rsid w:val="007745A8"/>
    <w:rsid w:val="007747FF"/>
    <w:rsid w:val="00775425"/>
    <w:rsid w:val="007756B1"/>
    <w:rsid w:val="007759B2"/>
    <w:rsid w:val="00776E50"/>
    <w:rsid w:val="0077736E"/>
    <w:rsid w:val="00780112"/>
    <w:rsid w:val="00780D2B"/>
    <w:rsid w:val="0078101B"/>
    <w:rsid w:val="007813EA"/>
    <w:rsid w:val="007824E3"/>
    <w:rsid w:val="0078436F"/>
    <w:rsid w:val="0078522F"/>
    <w:rsid w:val="00785D8E"/>
    <w:rsid w:val="00785D93"/>
    <w:rsid w:val="00785EDE"/>
    <w:rsid w:val="0078607D"/>
    <w:rsid w:val="00786E06"/>
    <w:rsid w:val="007872F1"/>
    <w:rsid w:val="00787E85"/>
    <w:rsid w:val="0079019A"/>
    <w:rsid w:val="007912D6"/>
    <w:rsid w:val="00791664"/>
    <w:rsid w:val="00791C06"/>
    <w:rsid w:val="007920E4"/>
    <w:rsid w:val="00792EA9"/>
    <w:rsid w:val="00793581"/>
    <w:rsid w:val="00794366"/>
    <w:rsid w:val="007957FA"/>
    <w:rsid w:val="00796275"/>
    <w:rsid w:val="007963AA"/>
    <w:rsid w:val="00796767"/>
    <w:rsid w:val="00796F65"/>
    <w:rsid w:val="00796FA3"/>
    <w:rsid w:val="007A0429"/>
    <w:rsid w:val="007A1500"/>
    <w:rsid w:val="007A16CA"/>
    <w:rsid w:val="007A2019"/>
    <w:rsid w:val="007A2099"/>
    <w:rsid w:val="007A2C14"/>
    <w:rsid w:val="007A2FA5"/>
    <w:rsid w:val="007A3A81"/>
    <w:rsid w:val="007A45E0"/>
    <w:rsid w:val="007A4C48"/>
    <w:rsid w:val="007A4C80"/>
    <w:rsid w:val="007A5D08"/>
    <w:rsid w:val="007A61BA"/>
    <w:rsid w:val="007A6985"/>
    <w:rsid w:val="007A717A"/>
    <w:rsid w:val="007A75A5"/>
    <w:rsid w:val="007A7BEC"/>
    <w:rsid w:val="007A7EB9"/>
    <w:rsid w:val="007B0EF0"/>
    <w:rsid w:val="007B1B7B"/>
    <w:rsid w:val="007B2FE6"/>
    <w:rsid w:val="007B30E5"/>
    <w:rsid w:val="007B3117"/>
    <w:rsid w:val="007B3625"/>
    <w:rsid w:val="007B3CC0"/>
    <w:rsid w:val="007B400D"/>
    <w:rsid w:val="007B5080"/>
    <w:rsid w:val="007B5624"/>
    <w:rsid w:val="007B5DC3"/>
    <w:rsid w:val="007B656A"/>
    <w:rsid w:val="007B6E5C"/>
    <w:rsid w:val="007B7F29"/>
    <w:rsid w:val="007C092C"/>
    <w:rsid w:val="007C0EAC"/>
    <w:rsid w:val="007C23B8"/>
    <w:rsid w:val="007C23E8"/>
    <w:rsid w:val="007C4145"/>
    <w:rsid w:val="007C4263"/>
    <w:rsid w:val="007C485B"/>
    <w:rsid w:val="007C4D8E"/>
    <w:rsid w:val="007C5E10"/>
    <w:rsid w:val="007C60A9"/>
    <w:rsid w:val="007C653B"/>
    <w:rsid w:val="007C74F8"/>
    <w:rsid w:val="007D0123"/>
    <w:rsid w:val="007D159A"/>
    <w:rsid w:val="007D1918"/>
    <w:rsid w:val="007D1CF9"/>
    <w:rsid w:val="007D1FFF"/>
    <w:rsid w:val="007D2C73"/>
    <w:rsid w:val="007D3492"/>
    <w:rsid w:val="007D6AE2"/>
    <w:rsid w:val="007E0913"/>
    <w:rsid w:val="007E0B22"/>
    <w:rsid w:val="007E0BC9"/>
    <w:rsid w:val="007E0CBE"/>
    <w:rsid w:val="007E107B"/>
    <w:rsid w:val="007E1346"/>
    <w:rsid w:val="007E1665"/>
    <w:rsid w:val="007E3554"/>
    <w:rsid w:val="007E38C6"/>
    <w:rsid w:val="007E3D96"/>
    <w:rsid w:val="007E45E2"/>
    <w:rsid w:val="007E488A"/>
    <w:rsid w:val="007E49E2"/>
    <w:rsid w:val="007E4A0A"/>
    <w:rsid w:val="007E4CB6"/>
    <w:rsid w:val="007E4E83"/>
    <w:rsid w:val="007E67FD"/>
    <w:rsid w:val="007E73CB"/>
    <w:rsid w:val="007E7496"/>
    <w:rsid w:val="007E74D7"/>
    <w:rsid w:val="007E77A2"/>
    <w:rsid w:val="007E7DB8"/>
    <w:rsid w:val="007F03DD"/>
    <w:rsid w:val="007F0B32"/>
    <w:rsid w:val="007F0ED3"/>
    <w:rsid w:val="007F3462"/>
    <w:rsid w:val="007F37EA"/>
    <w:rsid w:val="007F4BD1"/>
    <w:rsid w:val="007F53E0"/>
    <w:rsid w:val="007F6B40"/>
    <w:rsid w:val="007F72AB"/>
    <w:rsid w:val="008002E9"/>
    <w:rsid w:val="008006D9"/>
    <w:rsid w:val="00800780"/>
    <w:rsid w:val="0080132F"/>
    <w:rsid w:val="00801A5A"/>
    <w:rsid w:val="008026BE"/>
    <w:rsid w:val="0080356D"/>
    <w:rsid w:val="00804130"/>
    <w:rsid w:val="00804B46"/>
    <w:rsid w:val="00804C54"/>
    <w:rsid w:val="008051E5"/>
    <w:rsid w:val="0080548F"/>
    <w:rsid w:val="0080623B"/>
    <w:rsid w:val="008065B4"/>
    <w:rsid w:val="00806DE3"/>
    <w:rsid w:val="00807047"/>
    <w:rsid w:val="008102D2"/>
    <w:rsid w:val="008108B3"/>
    <w:rsid w:val="008111F2"/>
    <w:rsid w:val="008115E3"/>
    <w:rsid w:val="00811EE9"/>
    <w:rsid w:val="0081292F"/>
    <w:rsid w:val="00812FC1"/>
    <w:rsid w:val="00813C5D"/>
    <w:rsid w:val="00813E82"/>
    <w:rsid w:val="0081402A"/>
    <w:rsid w:val="008144DC"/>
    <w:rsid w:val="008146E9"/>
    <w:rsid w:val="00814EA6"/>
    <w:rsid w:val="00815465"/>
    <w:rsid w:val="00815526"/>
    <w:rsid w:val="008161A4"/>
    <w:rsid w:val="0081668A"/>
    <w:rsid w:val="008169A9"/>
    <w:rsid w:val="00816EB3"/>
    <w:rsid w:val="0081715B"/>
    <w:rsid w:val="008173F4"/>
    <w:rsid w:val="00817930"/>
    <w:rsid w:val="00820E25"/>
    <w:rsid w:val="0082117E"/>
    <w:rsid w:val="00821408"/>
    <w:rsid w:val="00821A65"/>
    <w:rsid w:val="0082313C"/>
    <w:rsid w:val="008231A9"/>
    <w:rsid w:val="00823642"/>
    <w:rsid w:val="0082424B"/>
    <w:rsid w:val="008256BC"/>
    <w:rsid w:val="00825878"/>
    <w:rsid w:val="008261F1"/>
    <w:rsid w:val="00826860"/>
    <w:rsid w:val="00826946"/>
    <w:rsid w:val="0083147B"/>
    <w:rsid w:val="008318A0"/>
    <w:rsid w:val="00831BB9"/>
    <w:rsid w:val="00831BCB"/>
    <w:rsid w:val="0083211B"/>
    <w:rsid w:val="008321E2"/>
    <w:rsid w:val="00832D99"/>
    <w:rsid w:val="00833178"/>
    <w:rsid w:val="00833937"/>
    <w:rsid w:val="00833BCB"/>
    <w:rsid w:val="00833E7B"/>
    <w:rsid w:val="00834783"/>
    <w:rsid w:val="00835053"/>
    <w:rsid w:val="0083517F"/>
    <w:rsid w:val="008355C8"/>
    <w:rsid w:val="00835BCC"/>
    <w:rsid w:val="00835C4A"/>
    <w:rsid w:val="00835DFC"/>
    <w:rsid w:val="0084015C"/>
    <w:rsid w:val="008405B7"/>
    <w:rsid w:val="00842211"/>
    <w:rsid w:val="008436B4"/>
    <w:rsid w:val="008442ED"/>
    <w:rsid w:val="008447E0"/>
    <w:rsid w:val="00844AB7"/>
    <w:rsid w:val="00845AC0"/>
    <w:rsid w:val="00845C7C"/>
    <w:rsid w:val="0085040F"/>
    <w:rsid w:val="008508AB"/>
    <w:rsid w:val="00851997"/>
    <w:rsid w:val="00851D1A"/>
    <w:rsid w:val="00854EB2"/>
    <w:rsid w:val="008561C7"/>
    <w:rsid w:val="008563B9"/>
    <w:rsid w:val="008564DF"/>
    <w:rsid w:val="008567E4"/>
    <w:rsid w:val="0085686C"/>
    <w:rsid w:val="00856A0D"/>
    <w:rsid w:val="00856A39"/>
    <w:rsid w:val="00856B66"/>
    <w:rsid w:val="0086015C"/>
    <w:rsid w:val="00860B73"/>
    <w:rsid w:val="00861832"/>
    <w:rsid w:val="00861C59"/>
    <w:rsid w:val="0086255E"/>
    <w:rsid w:val="0086256E"/>
    <w:rsid w:val="008628FC"/>
    <w:rsid w:val="00863ABB"/>
    <w:rsid w:val="008643EC"/>
    <w:rsid w:val="00864D6F"/>
    <w:rsid w:val="00865738"/>
    <w:rsid w:val="008669C1"/>
    <w:rsid w:val="00866A61"/>
    <w:rsid w:val="008671C6"/>
    <w:rsid w:val="00871B6D"/>
    <w:rsid w:val="00871DE7"/>
    <w:rsid w:val="00872CD3"/>
    <w:rsid w:val="00873B45"/>
    <w:rsid w:val="0087455A"/>
    <w:rsid w:val="00874830"/>
    <w:rsid w:val="00874E52"/>
    <w:rsid w:val="00874FCD"/>
    <w:rsid w:val="00875057"/>
    <w:rsid w:val="00875273"/>
    <w:rsid w:val="0087563E"/>
    <w:rsid w:val="008756DD"/>
    <w:rsid w:val="00875B91"/>
    <w:rsid w:val="00876698"/>
    <w:rsid w:val="0087771A"/>
    <w:rsid w:val="00877A8E"/>
    <w:rsid w:val="00877F1A"/>
    <w:rsid w:val="00880FEF"/>
    <w:rsid w:val="00881845"/>
    <w:rsid w:val="00881BE7"/>
    <w:rsid w:val="00881CF3"/>
    <w:rsid w:val="00881F25"/>
    <w:rsid w:val="008820C2"/>
    <w:rsid w:val="008820EC"/>
    <w:rsid w:val="008821FF"/>
    <w:rsid w:val="0088239A"/>
    <w:rsid w:val="0088415E"/>
    <w:rsid w:val="0088495B"/>
    <w:rsid w:val="00884FA0"/>
    <w:rsid w:val="00885158"/>
    <w:rsid w:val="008851F9"/>
    <w:rsid w:val="0088538D"/>
    <w:rsid w:val="00885759"/>
    <w:rsid w:val="00885DD9"/>
    <w:rsid w:val="00886916"/>
    <w:rsid w:val="00886964"/>
    <w:rsid w:val="00886BA9"/>
    <w:rsid w:val="008874F8"/>
    <w:rsid w:val="00890C6C"/>
    <w:rsid w:val="00891E18"/>
    <w:rsid w:val="00892171"/>
    <w:rsid w:val="0089288B"/>
    <w:rsid w:val="00893BC0"/>
    <w:rsid w:val="00893F49"/>
    <w:rsid w:val="008943F6"/>
    <w:rsid w:val="00894894"/>
    <w:rsid w:val="00894A1D"/>
    <w:rsid w:val="00894A22"/>
    <w:rsid w:val="0089696B"/>
    <w:rsid w:val="008A06D7"/>
    <w:rsid w:val="008A29D3"/>
    <w:rsid w:val="008A3CA9"/>
    <w:rsid w:val="008A3CF6"/>
    <w:rsid w:val="008A46D2"/>
    <w:rsid w:val="008A4808"/>
    <w:rsid w:val="008A4812"/>
    <w:rsid w:val="008A4B87"/>
    <w:rsid w:val="008A5B7C"/>
    <w:rsid w:val="008A7616"/>
    <w:rsid w:val="008A7903"/>
    <w:rsid w:val="008A79D6"/>
    <w:rsid w:val="008B023B"/>
    <w:rsid w:val="008B0991"/>
    <w:rsid w:val="008B0EA2"/>
    <w:rsid w:val="008B1DE9"/>
    <w:rsid w:val="008B1DF0"/>
    <w:rsid w:val="008B21AC"/>
    <w:rsid w:val="008B2B77"/>
    <w:rsid w:val="008B33C9"/>
    <w:rsid w:val="008B3B4D"/>
    <w:rsid w:val="008B3C34"/>
    <w:rsid w:val="008B4062"/>
    <w:rsid w:val="008B4BDF"/>
    <w:rsid w:val="008B5E49"/>
    <w:rsid w:val="008B7024"/>
    <w:rsid w:val="008B7898"/>
    <w:rsid w:val="008B7C97"/>
    <w:rsid w:val="008C011C"/>
    <w:rsid w:val="008C1B4E"/>
    <w:rsid w:val="008C1D0E"/>
    <w:rsid w:val="008C2BA5"/>
    <w:rsid w:val="008C2E02"/>
    <w:rsid w:val="008C5386"/>
    <w:rsid w:val="008C6559"/>
    <w:rsid w:val="008C6951"/>
    <w:rsid w:val="008C6D66"/>
    <w:rsid w:val="008C74C0"/>
    <w:rsid w:val="008C77A1"/>
    <w:rsid w:val="008C7FBD"/>
    <w:rsid w:val="008D011C"/>
    <w:rsid w:val="008D0AA6"/>
    <w:rsid w:val="008D13C0"/>
    <w:rsid w:val="008D1C90"/>
    <w:rsid w:val="008D2530"/>
    <w:rsid w:val="008D2587"/>
    <w:rsid w:val="008D34FC"/>
    <w:rsid w:val="008D4097"/>
    <w:rsid w:val="008D41F4"/>
    <w:rsid w:val="008D4A13"/>
    <w:rsid w:val="008D59F5"/>
    <w:rsid w:val="008D5D0E"/>
    <w:rsid w:val="008D7073"/>
    <w:rsid w:val="008E021C"/>
    <w:rsid w:val="008E0686"/>
    <w:rsid w:val="008E0FCA"/>
    <w:rsid w:val="008E16A8"/>
    <w:rsid w:val="008E186B"/>
    <w:rsid w:val="008E31D0"/>
    <w:rsid w:val="008E4104"/>
    <w:rsid w:val="008E4350"/>
    <w:rsid w:val="008E5205"/>
    <w:rsid w:val="008E528E"/>
    <w:rsid w:val="008E5ADD"/>
    <w:rsid w:val="008E5D1F"/>
    <w:rsid w:val="008E63C4"/>
    <w:rsid w:val="008E71C6"/>
    <w:rsid w:val="008F0827"/>
    <w:rsid w:val="008F1046"/>
    <w:rsid w:val="008F14ED"/>
    <w:rsid w:val="008F1948"/>
    <w:rsid w:val="008F252C"/>
    <w:rsid w:val="008F2BE3"/>
    <w:rsid w:val="008F2C6F"/>
    <w:rsid w:val="008F2E7E"/>
    <w:rsid w:val="008F452F"/>
    <w:rsid w:val="008F4AB7"/>
    <w:rsid w:val="008F5D32"/>
    <w:rsid w:val="008F6360"/>
    <w:rsid w:val="008F668F"/>
    <w:rsid w:val="008F6975"/>
    <w:rsid w:val="008F7697"/>
    <w:rsid w:val="008F7C81"/>
    <w:rsid w:val="008F7E2F"/>
    <w:rsid w:val="00900433"/>
    <w:rsid w:val="0090056B"/>
    <w:rsid w:val="009009B4"/>
    <w:rsid w:val="009021CE"/>
    <w:rsid w:val="009021E2"/>
    <w:rsid w:val="00902661"/>
    <w:rsid w:val="009034BD"/>
    <w:rsid w:val="00903C55"/>
    <w:rsid w:val="00903CA9"/>
    <w:rsid w:val="009041D9"/>
    <w:rsid w:val="00904EA6"/>
    <w:rsid w:val="00904EFC"/>
    <w:rsid w:val="00906294"/>
    <w:rsid w:val="00906484"/>
    <w:rsid w:val="00906AEA"/>
    <w:rsid w:val="00907A85"/>
    <w:rsid w:val="00907B97"/>
    <w:rsid w:val="00910D99"/>
    <w:rsid w:val="00910EAA"/>
    <w:rsid w:val="00913084"/>
    <w:rsid w:val="00913910"/>
    <w:rsid w:val="0091459B"/>
    <w:rsid w:val="00915F8E"/>
    <w:rsid w:val="009164C9"/>
    <w:rsid w:val="009167AD"/>
    <w:rsid w:val="00917C19"/>
    <w:rsid w:val="00920351"/>
    <w:rsid w:val="009206FA"/>
    <w:rsid w:val="009213C5"/>
    <w:rsid w:val="00921A2B"/>
    <w:rsid w:val="00921AA0"/>
    <w:rsid w:val="00921C13"/>
    <w:rsid w:val="00922A5F"/>
    <w:rsid w:val="0092582B"/>
    <w:rsid w:val="00925CC5"/>
    <w:rsid w:val="00926A6C"/>
    <w:rsid w:val="00927408"/>
    <w:rsid w:val="00927FD6"/>
    <w:rsid w:val="00930D2C"/>
    <w:rsid w:val="00930D99"/>
    <w:rsid w:val="00931732"/>
    <w:rsid w:val="0093306E"/>
    <w:rsid w:val="009332F3"/>
    <w:rsid w:val="00933ABB"/>
    <w:rsid w:val="00934768"/>
    <w:rsid w:val="00935181"/>
    <w:rsid w:val="009354DF"/>
    <w:rsid w:val="00936515"/>
    <w:rsid w:val="00937A27"/>
    <w:rsid w:val="009409C2"/>
    <w:rsid w:val="00940C0D"/>
    <w:rsid w:val="00940CA2"/>
    <w:rsid w:val="00940EE4"/>
    <w:rsid w:val="00941A89"/>
    <w:rsid w:val="00943059"/>
    <w:rsid w:val="00943BFA"/>
    <w:rsid w:val="00943FD9"/>
    <w:rsid w:val="009449EC"/>
    <w:rsid w:val="00945570"/>
    <w:rsid w:val="00945BEA"/>
    <w:rsid w:val="00945CB9"/>
    <w:rsid w:val="00946876"/>
    <w:rsid w:val="00946E05"/>
    <w:rsid w:val="00947885"/>
    <w:rsid w:val="00951007"/>
    <w:rsid w:val="009514E7"/>
    <w:rsid w:val="00951FE0"/>
    <w:rsid w:val="00952204"/>
    <w:rsid w:val="00953B8D"/>
    <w:rsid w:val="00954A0B"/>
    <w:rsid w:val="00954BAE"/>
    <w:rsid w:val="00955FB2"/>
    <w:rsid w:val="00956DBD"/>
    <w:rsid w:val="00957A79"/>
    <w:rsid w:val="00957E49"/>
    <w:rsid w:val="00960654"/>
    <w:rsid w:val="009608A4"/>
    <w:rsid w:val="00960A01"/>
    <w:rsid w:val="00960AF3"/>
    <w:rsid w:val="00960C55"/>
    <w:rsid w:val="0096174E"/>
    <w:rsid w:val="00961944"/>
    <w:rsid w:val="00961F0E"/>
    <w:rsid w:val="00962A2A"/>
    <w:rsid w:val="00963003"/>
    <w:rsid w:val="0096645D"/>
    <w:rsid w:val="009665C5"/>
    <w:rsid w:val="009669BA"/>
    <w:rsid w:val="009675F4"/>
    <w:rsid w:val="00967731"/>
    <w:rsid w:val="00967AC3"/>
    <w:rsid w:val="0097054F"/>
    <w:rsid w:val="00970A72"/>
    <w:rsid w:val="00972ABA"/>
    <w:rsid w:val="0097316B"/>
    <w:rsid w:val="00973E87"/>
    <w:rsid w:val="009740C9"/>
    <w:rsid w:val="009742C2"/>
    <w:rsid w:val="00974557"/>
    <w:rsid w:val="0097470C"/>
    <w:rsid w:val="009748C7"/>
    <w:rsid w:val="009763D9"/>
    <w:rsid w:val="009764C7"/>
    <w:rsid w:val="009764D2"/>
    <w:rsid w:val="00976AD6"/>
    <w:rsid w:val="0098010E"/>
    <w:rsid w:val="00980647"/>
    <w:rsid w:val="00981477"/>
    <w:rsid w:val="00981A66"/>
    <w:rsid w:val="00982524"/>
    <w:rsid w:val="009825BC"/>
    <w:rsid w:val="00982C96"/>
    <w:rsid w:val="00983011"/>
    <w:rsid w:val="0098344F"/>
    <w:rsid w:val="00983DAF"/>
    <w:rsid w:val="00983E00"/>
    <w:rsid w:val="00985587"/>
    <w:rsid w:val="00985D68"/>
    <w:rsid w:val="00985E70"/>
    <w:rsid w:val="00986117"/>
    <w:rsid w:val="0098793A"/>
    <w:rsid w:val="0099145E"/>
    <w:rsid w:val="00993096"/>
    <w:rsid w:val="009934D9"/>
    <w:rsid w:val="00993EA7"/>
    <w:rsid w:val="00994A25"/>
    <w:rsid w:val="00995F35"/>
    <w:rsid w:val="00997690"/>
    <w:rsid w:val="00997E18"/>
    <w:rsid w:val="00997E73"/>
    <w:rsid w:val="009A00CD"/>
    <w:rsid w:val="009A101D"/>
    <w:rsid w:val="009A124B"/>
    <w:rsid w:val="009A141E"/>
    <w:rsid w:val="009A28A9"/>
    <w:rsid w:val="009A4179"/>
    <w:rsid w:val="009A4210"/>
    <w:rsid w:val="009A4ABB"/>
    <w:rsid w:val="009A5E6E"/>
    <w:rsid w:val="009A6E95"/>
    <w:rsid w:val="009A6FAA"/>
    <w:rsid w:val="009B0E26"/>
    <w:rsid w:val="009B13DE"/>
    <w:rsid w:val="009B3443"/>
    <w:rsid w:val="009B4365"/>
    <w:rsid w:val="009B4614"/>
    <w:rsid w:val="009B4E95"/>
    <w:rsid w:val="009B535D"/>
    <w:rsid w:val="009B539F"/>
    <w:rsid w:val="009B5B0B"/>
    <w:rsid w:val="009B5F99"/>
    <w:rsid w:val="009B65C0"/>
    <w:rsid w:val="009B6832"/>
    <w:rsid w:val="009B6BF7"/>
    <w:rsid w:val="009B7D56"/>
    <w:rsid w:val="009C0F21"/>
    <w:rsid w:val="009C2994"/>
    <w:rsid w:val="009C409C"/>
    <w:rsid w:val="009C63FC"/>
    <w:rsid w:val="009C644A"/>
    <w:rsid w:val="009C65DE"/>
    <w:rsid w:val="009C7340"/>
    <w:rsid w:val="009C7690"/>
    <w:rsid w:val="009C76C5"/>
    <w:rsid w:val="009C7835"/>
    <w:rsid w:val="009D000B"/>
    <w:rsid w:val="009D0190"/>
    <w:rsid w:val="009D0F17"/>
    <w:rsid w:val="009D1639"/>
    <w:rsid w:val="009D1D67"/>
    <w:rsid w:val="009D1F38"/>
    <w:rsid w:val="009D2171"/>
    <w:rsid w:val="009D2676"/>
    <w:rsid w:val="009D2CEF"/>
    <w:rsid w:val="009D2E3C"/>
    <w:rsid w:val="009D3048"/>
    <w:rsid w:val="009D35A3"/>
    <w:rsid w:val="009D397B"/>
    <w:rsid w:val="009D3AA0"/>
    <w:rsid w:val="009D4F45"/>
    <w:rsid w:val="009D5C8C"/>
    <w:rsid w:val="009D5FF7"/>
    <w:rsid w:val="009D6F86"/>
    <w:rsid w:val="009D749F"/>
    <w:rsid w:val="009D77CD"/>
    <w:rsid w:val="009D7E8B"/>
    <w:rsid w:val="009E0465"/>
    <w:rsid w:val="009E0CCD"/>
    <w:rsid w:val="009E0FCF"/>
    <w:rsid w:val="009E256C"/>
    <w:rsid w:val="009E2682"/>
    <w:rsid w:val="009E2DD2"/>
    <w:rsid w:val="009E36B1"/>
    <w:rsid w:val="009E3A00"/>
    <w:rsid w:val="009E493F"/>
    <w:rsid w:val="009E566A"/>
    <w:rsid w:val="009E68C5"/>
    <w:rsid w:val="009E6CA4"/>
    <w:rsid w:val="009E7E31"/>
    <w:rsid w:val="009F0C1A"/>
    <w:rsid w:val="009F0C2E"/>
    <w:rsid w:val="009F1A08"/>
    <w:rsid w:val="009F2278"/>
    <w:rsid w:val="009F3AEF"/>
    <w:rsid w:val="009F41A4"/>
    <w:rsid w:val="009F4600"/>
    <w:rsid w:val="009F4C15"/>
    <w:rsid w:val="009F5130"/>
    <w:rsid w:val="009F6251"/>
    <w:rsid w:val="009F7268"/>
    <w:rsid w:val="009F75BE"/>
    <w:rsid w:val="009F790D"/>
    <w:rsid w:val="009F7913"/>
    <w:rsid w:val="00A00DBB"/>
    <w:rsid w:val="00A02256"/>
    <w:rsid w:val="00A02EA9"/>
    <w:rsid w:val="00A03B49"/>
    <w:rsid w:val="00A0503B"/>
    <w:rsid w:val="00A05482"/>
    <w:rsid w:val="00A06525"/>
    <w:rsid w:val="00A06ACE"/>
    <w:rsid w:val="00A0763E"/>
    <w:rsid w:val="00A076C4"/>
    <w:rsid w:val="00A07A1B"/>
    <w:rsid w:val="00A10495"/>
    <w:rsid w:val="00A10B6B"/>
    <w:rsid w:val="00A10DC3"/>
    <w:rsid w:val="00A11BFD"/>
    <w:rsid w:val="00A1343F"/>
    <w:rsid w:val="00A13BBB"/>
    <w:rsid w:val="00A13F39"/>
    <w:rsid w:val="00A141B7"/>
    <w:rsid w:val="00A144BC"/>
    <w:rsid w:val="00A14EA3"/>
    <w:rsid w:val="00A154E6"/>
    <w:rsid w:val="00A15D5E"/>
    <w:rsid w:val="00A16E0F"/>
    <w:rsid w:val="00A170B4"/>
    <w:rsid w:val="00A17DA2"/>
    <w:rsid w:val="00A17EAF"/>
    <w:rsid w:val="00A20263"/>
    <w:rsid w:val="00A20671"/>
    <w:rsid w:val="00A210A8"/>
    <w:rsid w:val="00A210B3"/>
    <w:rsid w:val="00A212EB"/>
    <w:rsid w:val="00A21599"/>
    <w:rsid w:val="00A2199F"/>
    <w:rsid w:val="00A21BB1"/>
    <w:rsid w:val="00A21DF6"/>
    <w:rsid w:val="00A21EE7"/>
    <w:rsid w:val="00A21FA5"/>
    <w:rsid w:val="00A2544A"/>
    <w:rsid w:val="00A257DC"/>
    <w:rsid w:val="00A25C49"/>
    <w:rsid w:val="00A25DE1"/>
    <w:rsid w:val="00A26BA4"/>
    <w:rsid w:val="00A27923"/>
    <w:rsid w:val="00A27EB1"/>
    <w:rsid w:val="00A30BC3"/>
    <w:rsid w:val="00A31BE4"/>
    <w:rsid w:val="00A3287C"/>
    <w:rsid w:val="00A33452"/>
    <w:rsid w:val="00A33B96"/>
    <w:rsid w:val="00A3511D"/>
    <w:rsid w:val="00A35BDD"/>
    <w:rsid w:val="00A371C8"/>
    <w:rsid w:val="00A373B0"/>
    <w:rsid w:val="00A37C2E"/>
    <w:rsid w:val="00A37E28"/>
    <w:rsid w:val="00A41042"/>
    <w:rsid w:val="00A41209"/>
    <w:rsid w:val="00A4128A"/>
    <w:rsid w:val="00A4314F"/>
    <w:rsid w:val="00A43B27"/>
    <w:rsid w:val="00A43D38"/>
    <w:rsid w:val="00A44BB1"/>
    <w:rsid w:val="00A4500A"/>
    <w:rsid w:val="00A45469"/>
    <w:rsid w:val="00A45A1B"/>
    <w:rsid w:val="00A46E8D"/>
    <w:rsid w:val="00A51815"/>
    <w:rsid w:val="00A51F88"/>
    <w:rsid w:val="00A522D7"/>
    <w:rsid w:val="00A52575"/>
    <w:rsid w:val="00A53004"/>
    <w:rsid w:val="00A53511"/>
    <w:rsid w:val="00A535BF"/>
    <w:rsid w:val="00A53DC0"/>
    <w:rsid w:val="00A54AEB"/>
    <w:rsid w:val="00A551FA"/>
    <w:rsid w:val="00A55FFF"/>
    <w:rsid w:val="00A56FEE"/>
    <w:rsid w:val="00A5711F"/>
    <w:rsid w:val="00A57C9D"/>
    <w:rsid w:val="00A604DD"/>
    <w:rsid w:val="00A60693"/>
    <w:rsid w:val="00A607D2"/>
    <w:rsid w:val="00A61132"/>
    <w:rsid w:val="00A61B0B"/>
    <w:rsid w:val="00A62B14"/>
    <w:rsid w:val="00A62D97"/>
    <w:rsid w:val="00A62EF9"/>
    <w:rsid w:val="00A634A4"/>
    <w:rsid w:val="00A63A99"/>
    <w:rsid w:val="00A64201"/>
    <w:rsid w:val="00A6425B"/>
    <w:rsid w:val="00A663ED"/>
    <w:rsid w:val="00A6661D"/>
    <w:rsid w:val="00A66957"/>
    <w:rsid w:val="00A66F41"/>
    <w:rsid w:val="00A6714D"/>
    <w:rsid w:val="00A7051D"/>
    <w:rsid w:val="00A709F0"/>
    <w:rsid w:val="00A70E39"/>
    <w:rsid w:val="00A710F8"/>
    <w:rsid w:val="00A7145F"/>
    <w:rsid w:val="00A72880"/>
    <w:rsid w:val="00A74872"/>
    <w:rsid w:val="00A74CA6"/>
    <w:rsid w:val="00A74DF4"/>
    <w:rsid w:val="00A75432"/>
    <w:rsid w:val="00A75E44"/>
    <w:rsid w:val="00A76B9F"/>
    <w:rsid w:val="00A76DE4"/>
    <w:rsid w:val="00A77C36"/>
    <w:rsid w:val="00A8099F"/>
    <w:rsid w:val="00A812FD"/>
    <w:rsid w:val="00A81916"/>
    <w:rsid w:val="00A819F3"/>
    <w:rsid w:val="00A81CD3"/>
    <w:rsid w:val="00A8215F"/>
    <w:rsid w:val="00A82786"/>
    <w:rsid w:val="00A828B6"/>
    <w:rsid w:val="00A83131"/>
    <w:rsid w:val="00A832EF"/>
    <w:rsid w:val="00A8334A"/>
    <w:rsid w:val="00A83EC0"/>
    <w:rsid w:val="00A84485"/>
    <w:rsid w:val="00A86610"/>
    <w:rsid w:val="00A8672C"/>
    <w:rsid w:val="00A867A7"/>
    <w:rsid w:val="00A87178"/>
    <w:rsid w:val="00A87E1C"/>
    <w:rsid w:val="00A918D6"/>
    <w:rsid w:val="00A92FE4"/>
    <w:rsid w:val="00A93412"/>
    <w:rsid w:val="00A93801"/>
    <w:rsid w:val="00A93AE4"/>
    <w:rsid w:val="00A93AE9"/>
    <w:rsid w:val="00A9416B"/>
    <w:rsid w:val="00A94354"/>
    <w:rsid w:val="00A945E9"/>
    <w:rsid w:val="00A948B9"/>
    <w:rsid w:val="00A94A80"/>
    <w:rsid w:val="00A94E44"/>
    <w:rsid w:val="00A95756"/>
    <w:rsid w:val="00A959AF"/>
    <w:rsid w:val="00A96141"/>
    <w:rsid w:val="00A969B9"/>
    <w:rsid w:val="00A97ECC"/>
    <w:rsid w:val="00AA045A"/>
    <w:rsid w:val="00AA0A21"/>
    <w:rsid w:val="00AA0BA4"/>
    <w:rsid w:val="00AA0E62"/>
    <w:rsid w:val="00AA2649"/>
    <w:rsid w:val="00AA2ACE"/>
    <w:rsid w:val="00AA314E"/>
    <w:rsid w:val="00AA3163"/>
    <w:rsid w:val="00AA47A4"/>
    <w:rsid w:val="00AA5D81"/>
    <w:rsid w:val="00AA6E87"/>
    <w:rsid w:val="00AA70F5"/>
    <w:rsid w:val="00AB0B46"/>
    <w:rsid w:val="00AB150C"/>
    <w:rsid w:val="00AB1DD1"/>
    <w:rsid w:val="00AB2A2F"/>
    <w:rsid w:val="00AB2D40"/>
    <w:rsid w:val="00AB2FBB"/>
    <w:rsid w:val="00AB324F"/>
    <w:rsid w:val="00AB34E8"/>
    <w:rsid w:val="00AB4094"/>
    <w:rsid w:val="00AB477A"/>
    <w:rsid w:val="00AB4E64"/>
    <w:rsid w:val="00AB56A6"/>
    <w:rsid w:val="00AB5728"/>
    <w:rsid w:val="00AB7973"/>
    <w:rsid w:val="00AB7D47"/>
    <w:rsid w:val="00AB7D7F"/>
    <w:rsid w:val="00AC049D"/>
    <w:rsid w:val="00AC04E3"/>
    <w:rsid w:val="00AC2380"/>
    <w:rsid w:val="00AC2B3D"/>
    <w:rsid w:val="00AC343C"/>
    <w:rsid w:val="00AC43B2"/>
    <w:rsid w:val="00AC490F"/>
    <w:rsid w:val="00AC4F34"/>
    <w:rsid w:val="00AC5045"/>
    <w:rsid w:val="00AC5631"/>
    <w:rsid w:val="00AC5BC3"/>
    <w:rsid w:val="00AC6F75"/>
    <w:rsid w:val="00AC7771"/>
    <w:rsid w:val="00AC7830"/>
    <w:rsid w:val="00AC7A58"/>
    <w:rsid w:val="00AD0891"/>
    <w:rsid w:val="00AD1165"/>
    <w:rsid w:val="00AD11F5"/>
    <w:rsid w:val="00AD1A7B"/>
    <w:rsid w:val="00AD38A1"/>
    <w:rsid w:val="00AD3B0E"/>
    <w:rsid w:val="00AD3F3A"/>
    <w:rsid w:val="00AD45F8"/>
    <w:rsid w:val="00AD4D5F"/>
    <w:rsid w:val="00AD535C"/>
    <w:rsid w:val="00AD54BB"/>
    <w:rsid w:val="00AD799C"/>
    <w:rsid w:val="00AE073C"/>
    <w:rsid w:val="00AE0809"/>
    <w:rsid w:val="00AE0822"/>
    <w:rsid w:val="00AE1901"/>
    <w:rsid w:val="00AE3B1E"/>
    <w:rsid w:val="00AE48CF"/>
    <w:rsid w:val="00AE4A46"/>
    <w:rsid w:val="00AE5D4D"/>
    <w:rsid w:val="00AE6B02"/>
    <w:rsid w:val="00AF0453"/>
    <w:rsid w:val="00AF07A9"/>
    <w:rsid w:val="00AF2387"/>
    <w:rsid w:val="00AF34EE"/>
    <w:rsid w:val="00AF37CA"/>
    <w:rsid w:val="00AF3F22"/>
    <w:rsid w:val="00AF3FD4"/>
    <w:rsid w:val="00AF4127"/>
    <w:rsid w:val="00AF42EC"/>
    <w:rsid w:val="00AF4A46"/>
    <w:rsid w:val="00AF6783"/>
    <w:rsid w:val="00AF6D92"/>
    <w:rsid w:val="00AF7641"/>
    <w:rsid w:val="00B00C3E"/>
    <w:rsid w:val="00B0123B"/>
    <w:rsid w:val="00B01E67"/>
    <w:rsid w:val="00B02FFA"/>
    <w:rsid w:val="00B036FA"/>
    <w:rsid w:val="00B037E9"/>
    <w:rsid w:val="00B04424"/>
    <w:rsid w:val="00B06D40"/>
    <w:rsid w:val="00B07E83"/>
    <w:rsid w:val="00B1063D"/>
    <w:rsid w:val="00B11A95"/>
    <w:rsid w:val="00B11EAA"/>
    <w:rsid w:val="00B12002"/>
    <w:rsid w:val="00B120CD"/>
    <w:rsid w:val="00B123CD"/>
    <w:rsid w:val="00B12578"/>
    <w:rsid w:val="00B126E6"/>
    <w:rsid w:val="00B13453"/>
    <w:rsid w:val="00B13D54"/>
    <w:rsid w:val="00B1441D"/>
    <w:rsid w:val="00B1524E"/>
    <w:rsid w:val="00B15D57"/>
    <w:rsid w:val="00B15EBB"/>
    <w:rsid w:val="00B161F8"/>
    <w:rsid w:val="00B16DAD"/>
    <w:rsid w:val="00B16F4B"/>
    <w:rsid w:val="00B212DA"/>
    <w:rsid w:val="00B22411"/>
    <w:rsid w:val="00B22B69"/>
    <w:rsid w:val="00B22FFD"/>
    <w:rsid w:val="00B260BB"/>
    <w:rsid w:val="00B2630F"/>
    <w:rsid w:val="00B2794C"/>
    <w:rsid w:val="00B27D9A"/>
    <w:rsid w:val="00B302AE"/>
    <w:rsid w:val="00B30F28"/>
    <w:rsid w:val="00B319B1"/>
    <w:rsid w:val="00B31F46"/>
    <w:rsid w:val="00B33729"/>
    <w:rsid w:val="00B34EC5"/>
    <w:rsid w:val="00B35B6A"/>
    <w:rsid w:val="00B366C9"/>
    <w:rsid w:val="00B36AA5"/>
    <w:rsid w:val="00B36D92"/>
    <w:rsid w:val="00B37009"/>
    <w:rsid w:val="00B376C5"/>
    <w:rsid w:val="00B40291"/>
    <w:rsid w:val="00B40598"/>
    <w:rsid w:val="00B40C1D"/>
    <w:rsid w:val="00B40CA0"/>
    <w:rsid w:val="00B41082"/>
    <w:rsid w:val="00B41451"/>
    <w:rsid w:val="00B419C4"/>
    <w:rsid w:val="00B41B1F"/>
    <w:rsid w:val="00B42395"/>
    <w:rsid w:val="00B43A37"/>
    <w:rsid w:val="00B44350"/>
    <w:rsid w:val="00B4449B"/>
    <w:rsid w:val="00B45F82"/>
    <w:rsid w:val="00B46441"/>
    <w:rsid w:val="00B46465"/>
    <w:rsid w:val="00B4790D"/>
    <w:rsid w:val="00B47F40"/>
    <w:rsid w:val="00B512B9"/>
    <w:rsid w:val="00B52278"/>
    <w:rsid w:val="00B52AEC"/>
    <w:rsid w:val="00B52C5B"/>
    <w:rsid w:val="00B530A8"/>
    <w:rsid w:val="00B543BC"/>
    <w:rsid w:val="00B56F03"/>
    <w:rsid w:val="00B570D1"/>
    <w:rsid w:val="00B57433"/>
    <w:rsid w:val="00B57F34"/>
    <w:rsid w:val="00B60922"/>
    <w:rsid w:val="00B60FE5"/>
    <w:rsid w:val="00B61071"/>
    <w:rsid w:val="00B61197"/>
    <w:rsid w:val="00B6198A"/>
    <w:rsid w:val="00B62022"/>
    <w:rsid w:val="00B63236"/>
    <w:rsid w:val="00B6429C"/>
    <w:rsid w:val="00B64FDB"/>
    <w:rsid w:val="00B665F6"/>
    <w:rsid w:val="00B67001"/>
    <w:rsid w:val="00B6744A"/>
    <w:rsid w:val="00B677F8"/>
    <w:rsid w:val="00B70095"/>
    <w:rsid w:val="00B7031B"/>
    <w:rsid w:val="00B704BC"/>
    <w:rsid w:val="00B7088B"/>
    <w:rsid w:val="00B72CD0"/>
    <w:rsid w:val="00B73614"/>
    <w:rsid w:val="00B73F1A"/>
    <w:rsid w:val="00B74B0E"/>
    <w:rsid w:val="00B74F5E"/>
    <w:rsid w:val="00B750DD"/>
    <w:rsid w:val="00B750ED"/>
    <w:rsid w:val="00B76863"/>
    <w:rsid w:val="00B7718D"/>
    <w:rsid w:val="00B77A40"/>
    <w:rsid w:val="00B802A6"/>
    <w:rsid w:val="00B80477"/>
    <w:rsid w:val="00B80C4B"/>
    <w:rsid w:val="00B815F7"/>
    <w:rsid w:val="00B816A2"/>
    <w:rsid w:val="00B81FE6"/>
    <w:rsid w:val="00B824A5"/>
    <w:rsid w:val="00B84EF2"/>
    <w:rsid w:val="00B85296"/>
    <w:rsid w:val="00B85E2B"/>
    <w:rsid w:val="00B864A0"/>
    <w:rsid w:val="00B877AD"/>
    <w:rsid w:val="00B91AE3"/>
    <w:rsid w:val="00B92756"/>
    <w:rsid w:val="00B92C59"/>
    <w:rsid w:val="00B93399"/>
    <w:rsid w:val="00B941BC"/>
    <w:rsid w:val="00B943BF"/>
    <w:rsid w:val="00B94982"/>
    <w:rsid w:val="00B94A10"/>
    <w:rsid w:val="00B94B81"/>
    <w:rsid w:val="00B94D1D"/>
    <w:rsid w:val="00B95111"/>
    <w:rsid w:val="00B9557A"/>
    <w:rsid w:val="00B9640A"/>
    <w:rsid w:val="00B96737"/>
    <w:rsid w:val="00B968AA"/>
    <w:rsid w:val="00B97BA9"/>
    <w:rsid w:val="00B97EAB"/>
    <w:rsid w:val="00BA0445"/>
    <w:rsid w:val="00BA1E9C"/>
    <w:rsid w:val="00BA210C"/>
    <w:rsid w:val="00BA2258"/>
    <w:rsid w:val="00BA2943"/>
    <w:rsid w:val="00BA3248"/>
    <w:rsid w:val="00BA3D02"/>
    <w:rsid w:val="00BA4997"/>
    <w:rsid w:val="00BA51C0"/>
    <w:rsid w:val="00BA53F6"/>
    <w:rsid w:val="00BA554B"/>
    <w:rsid w:val="00BA5BF2"/>
    <w:rsid w:val="00BA6381"/>
    <w:rsid w:val="00BA6BDD"/>
    <w:rsid w:val="00BA762E"/>
    <w:rsid w:val="00BA7D5A"/>
    <w:rsid w:val="00BA7E70"/>
    <w:rsid w:val="00BB0FDF"/>
    <w:rsid w:val="00BB1583"/>
    <w:rsid w:val="00BB1898"/>
    <w:rsid w:val="00BB1A54"/>
    <w:rsid w:val="00BB1C0A"/>
    <w:rsid w:val="00BB28AC"/>
    <w:rsid w:val="00BB37D5"/>
    <w:rsid w:val="00BB3B88"/>
    <w:rsid w:val="00BB5B33"/>
    <w:rsid w:val="00BB5D74"/>
    <w:rsid w:val="00BB65E8"/>
    <w:rsid w:val="00BB6FA4"/>
    <w:rsid w:val="00BB7F25"/>
    <w:rsid w:val="00BC0594"/>
    <w:rsid w:val="00BC0607"/>
    <w:rsid w:val="00BC0754"/>
    <w:rsid w:val="00BC0CD2"/>
    <w:rsid w:val="00BC11C4"/>
    <w:rsid w:val="00BC17C2"/>
    <w:rsid w:val="00BC2459"/>
    <w:rsid w:val="00BC27E2"/>
    <w:rsid w:val="00BC2F5F"/>
    <w:rsid w:val="00BC3790"/>
    <w:rsid w:val="00BC3817"/>
    <w:rsid w:val="00BC3E54"/>
    <w:rsid w:val="00BC44A0"/>
    <w:rsid w:val="00BC44E3"/>
    <w:rsid w:val="00BC45B1"/>
    <w:rsid w:val="00BC4B34"/>
    <w:rsid w:val="00BC5B03"/>
    <w:rsid w:val="00BD008B"/>
    <w:rsid w:val="00BD109D"/>
    <w:rsid w:val="00BD12B1"/>
    <w:rsid w:val="00BD1AB6"/>
    <w:rsid w:val="00BD1E90"/>
    <w:rsid w:val="00BD224A"/>
    <w:rsid w:val="00BD2620"/>
    <w:rsid w:val="00BD3901"/>
    <w:rsid w:val="00BD3AE1"/>
    <w:rsid w:val="00BD4AF0"/>
    <w:rsid w:val="00BD5319"/>
    <w:rsid w:val="00BD579D"/>
    <w:rsid w:val="00BD5B07"/>
    <w:rsid w:val="00BD5FB0"/>
    <w:rsid w:val="00BE00CA"/>
    <w:rsid w:val="00BE021A"/>
    <w:rsid w:val="00BE038F"/>
    <w:rsid w:val="00BE179A"/>
    <w:rsid w:val="00BE1E25"/>
    <w:rsid w:val="00BE2693"/>
    <w:rsid w:val="00BE44C1"/>
    <w:rsid w:val="00BE5B1F"/>
    <w:rsid w:val="00BE5F97"/>
    <w:rsid w:val="00BE6CA1"/>
    <w:rsid w:val="00BE7D48"/>
    <w:rsid w:val="00BF22D4"/>
    <w:rsid w:val="00BF2DCF"/>
    <w:rsid w:val="00BF4023"/>
    <w:rsid w:val="00BF4095"/>
    <w:rsid w:val="00BF48B8"/>
    <w:rsid w:val="00BF570C"/>
    <w:rsid w:val="00BF5973"/>
    <w:rsid w:val="00BF5DE6"/>
    <w:rsid w:val="00BF6ADB"/>
    <w:rsid w:val="00BF78B0"/>
    <w:rsid w:val="00BF7B2A"/>
    <w:rsid w:val="00C004A1"/>
    <w:rsid w:val="00C00E9B"/>
    <w:rsid w:val="00C01562"/>
    <w:rsid w:val="00C0178F"/>
    <w:rsid w:val="00C01909"/>
    <w:rsid w:val="00C03539"/>
    <w:rsid w:val="00C03617"/>
    <w:rsid w:val="00C040F2"/>
    <w:rsid w:val="00C0518A"/>
    <w:rsid w:val="00C05655"/>
    <w:rsid w:val="00C05705"/>
    <w:rsid w:val="00C0662A"/>
    <w:rsid w:val="00C101BA"/>
    <w:rsid w:val="00C10478"/>
    <w:rsid w:val="00C104D2"/>
    <w:rsid w:val="00C1060E"/>
    <w:rsid w:val="00C10ECA"/>
    <w:rsid w:val="00C10F95"/>
    <w:rsid w:val="00C124F2"/>
    <w:rsid w:val="00C12F29"/>
    <w:rsid w:val="00C12F98"/>
    <w:rsid w:val="00C151A5"/>
    <w:rsid w:val="00C1569B"/>
    <w:rsid w:val="00C160A2"/>
    <w:rsid w:val="00C16545"/>
    <w:rsid w:val="00C205ED"/>
    <w:rsid w:val="00C20E8B"/>
    <w:rsid w:val="00C21D78"/>
    <w:rsid w:val="00C22748"/>
    <w:rsid w:val="00C22E09"/>
    <w:rsid w:val="00C2333C"/>
    <w:rsid w:val="00C23A0A"/>
    <w:rsid w:val="00C23B4F"/>
    <w:rsid w:val="00C24510"/>
    <w:rsid w:val="00C2480B"/>
    <w:rsid w:val="00C24D55"/>
    <w:rsid w:val="00C26FA6"/>
    <w:rsid w:val="00C2780C"/>
    <w:rsid w:val="00C27F3C"/>
    <w:rsid w:val="00C301F3"/>
    <w:rsid w:val="00C30AA4"/>
    <w:rsid w:val="00C31C78"/>
    <w:rsid w:val="00C33171"/>
    <w:rsid w:val="00C33207"/>
    <w:rsid w:val="00C334D7"/>
    <w:rsid w:val="00C340D3"/>
    <w:rsid w:val="00C341FD"/>
    <w:rsid w:val="00C34228"/>
    <w:rsid w:val="00C35278"/>
    <w:rsid w:val="00C3557D"/>
    <w:rsid w:val="00C35674"/>
    <w:rsid w:val="00C35DF8"/>
    <w:rsid w:val="00C3646D"/>
    <w:rsid w:val="00C36893"/>
    <w:rsid w:val="00C37874"/>
    <w:rsid w:val="00C40328"/>
    <w:rsid w:val="00C403A0"/>
    <w:rsid w:val="00C40598"/>
    <w:rsid w:val="00C40654"/>
    <w:rsid w:val="00C41230"/>
    <w:rsid w:val="00C4145A"/>
    <w:rsid w:val="00C41B34"/>
    <w:rsid w:val="00C4215F"/>
    <w:rsid w:val="00C42791"/>
    <w:rsid w:val="00C42B34"/>
    <w:rsid w:val="00C446A8"/>
    <w:rsid w:val="00C4648F"/>
    <w:rsid w:val="00C46E3F"/>
    <w:rsid w:val="00C47504"/>
    <w:rsid w:val="00C524CE"/>
    <w:rsid w:val="00C524D9"/>
    <w:rsid w:val="00C52B64"/>
    <w:rsid w:val="00C53069"/>
    <w:rsid w:val="00C53594"/>
    <w:rsid w:val="00C54049"/>
    <w:rsid w:val="00C541A4"/>
    <w:rsid w:val="00C55173"/>
    <w:rsid w:val="00C552CC"/>
    <w:rsid w:val="00C5557E"/>
    <w:rsid w:val="00C561B6"/>
    <w:rsid w:val="00C56FEA"/>
    <w:rsid w:val="00C624D4"/>
    <w:rsid w:val="00C6258C"/>
    <w:rsid w:val="00C63A74"/>
    <w:rsid w:val="00C65B17"/>
    <w:rsid w:val="00C663A0"/>
    <w:rsid w:val="00C664F1"/>
    <w:rsid w:val="00C66B2F"/>
    <w:rsid w:val="00C67410"/>
    <w:rsid w:val="00C71F79"/>
    <w:rsid w:val="00C723C0"/>
    <w:rsid w:val="00C72556"/>
    <w:rsid w:val="00C735A0"/>
    <w:rsid w:val="00C735EC"/>
    <w:rsid w:val="00C767C9"/>
    <w:rsid w:val="00C77C8B"/>
    <w:rsid w:val="00C77EDE"/>
    <w:rsid w:val="00C80447"/>
    <w:rsid w:val="00C80CFB"/>
    <w:rsid w:val="00C8233A"/>
    <w:rsid w:val="00C82340"/>
    <w:rsid w:val="00C82736"/>
    <w:rsid w:val="00C82AFA"/>
    <w:rsid w:val="00C82BFE"/>
    <w:rsid w:val="00C83FE3"/>
    <w:rsid w:val="00C84C2A"/>
    <w:rsid w:val="00C85170"/>
    <w:rsid w:val="00C86391"/>
    <w:rsid w:val="00C8787D"/>
    <w:rsid w:val="00C9064C"/>
    <w:rsid w:val="00C91C2E"/>
    <w:rsid w:val="00C91DF9"/>
    <w:rsid w:val="00C92571"/>
    <w:rsid w:val="00C928BD"/>
    <w:rsid w:val="00C93143"/>
    <w:rsid w:val="00C9348E"/>
    <w:rsid w:val="00C93DE5"/>
    <w:rsid w:val="00C94981"/>
    <w:rsid w:val="00C95270"/>
    <w:rsid w:val="00C953F4"/>
    <w:rsid w:val="00C9595A"/>
    <w:rsid w:val="00C9715A"/>
    <w:rsid w:val="00C97226"/>
    <w:rsid w:val="00C97327"/>
    <w:rsid w:val="00C976A5"/>
    <w:rsid w:val="00C97BE7"/>
    <w:rsid w:val="00CA0F40"/>
    <w:rsid w:val="00CA28BC"/>
    <w:rsid w:val="00CA2A79"/>
    <w:rsid w:val="00CA3838"/>
    <w:rsid w:val="00CA3BAC"/>
    <w:rsid w:val="00CA3F0E"/>
    <w:rsid w:val="00CA425F"/>
    <w:rsid w:val="00CA47A1"/>
    <w:rsid w:val="00CA56C0"/>
    <w:rsid w:val="00CA5C80"/>
    <w:rsid w:val="00CA5E24"/>
    <w:rsid w:val="00CA666B"/>
    <w:rsid w:val="00CB0AC9"/>
    <w:rsid w:val="00CB1C24"/>
    <w:rsid w:val="00CB2B31"/>
    <w:rsid w:val="00CB3088"/>
    <w:rsid w:val="00CB30A4"/>
    <w:rsid w:val="00CB356D"/>
    <w:rsid w:val="00CB3619"/>
    <w:rsid w:val="00CB3785"/>
    <w:rsid w:val="00CB3F36"/>
    <w:rsid w:val="00CB4398"/>
    <w:rsid w:val="00CB43E4"/>
    <w:rsid w:val="00CB4C19"/>
    <w:rsid w:val="00CB4C68"/>
    <w:rsid w:val="00CB514F"/>
    <w:rsid w:val="00CB65AB"/>
    <w:rsid w:val="00CB66C7"/>
    <w:rsid w:val="00CB6DB3"/>
    <w:rsid w:val="00CB6FAF"/>
    <w:rsid w:val="00CB722A"/>
    <w:rsid w:val="00CB76D9"/>
    <w:rsid w:val="00CB7B9B"/>
    <w:rsid w:val="00CC0B06"/>
    <w:rsid w:val="00CC0C5E"/>
    <w:rsid w:val="00CC119A"/>
    <w:rsid w:val="00CC14D3"/>
    <w:rsid w:val="00CC172D"/>
    <w:rsid w:val="00CC1E26"/>
    <w:rsid w:val="00CC21A2"/>
    <w:rsid w:val="00CC2E0B"/>
    <w:rsid w:val="00CC2F3F"/>
    <w:rsid w:val="00CC2F8C"/>
    <w:rsid w:val="00CC3B3D"/>
    <w:rsid w:val="00CC4975"/>
    <w:rsid w:val="00CC588D"/>
    <w:rsid w:val="00CC602B"/>
    <w:rsid w:val="00CD07AC"/>
    <w:rsid w:val="00CD0A54"/>
    <w:rsid w:val="00CD1608"/>
    <w:rsid w:val="00CD1B94"/>
    <w:rsid w:val="00CD205D"/>
    <w:rsid w:val="00CD2060"/>
    <w:rsid w:val="00CD20B9"/>
    <w:rsid w:val="00CD2143"/>
    <w:rsid w:val="00CD2259"/>
    <w:rsid w:val="00CD3A04"/>
    <w:rsid w:val="00CD6F66"/>
    <w:rsid w:val="00CE131F"/>
    <w:rsid w:val="00CE21E2"/>
    <w:rsid w:val="00CE30F6"/>
    <w:rsid w:val="00CE3E8A"/>
    <w:rsid w:val="00CE4C30"/>
    <w:rsid w:val="00CE514A"/>
    <w:rsid w:val="00CE540C"/>
    <w:rsid w:val="00CE7334"/>
    <w:rsid w:val="00CE7C3C"/>
    <w:rsid w:val="00CF0BA0"/>
    <w:rsid w:val="00CF1223"/>
    <w:rsid w:val="00CF1756"/>
    <w:rsid w:val="00CF19C2"/>
    <w:rsid w:val="00CF1CB4"/>
    <w:rsid w:val="00CF3118"/>
    <w:rsid w:val="00CF3766"/>
    <w:rsid w:val="00CF3C1B"/>
    <w:rsid w:val="00CF43D1"/>
    <w:rsid w:val="00CF43DC"/>
    <w:rsid w:val="00CF4A96"/>
    <w:rsid w:val="00CF5367"/>
    <w:rsid w:val="00CF5878"/>
    <w:rsid w:val="00CF5B63"/>
    <w:rsid w:val="00CF6608"/>
    <w:rsid w:val="00CF6B22"/>
    <w:rsid w:val="00CF6E1B"/>
    <w:rsid w:val="00CF7CD6"/>
    <w:rsid w:val="00D00980"/>
    <w:rsid w:val="00D00E22"/>
    <w:rsid w:val="00D010BA"/>
    <w:rsid w:val="00D01CBA"/>
    <w:rsid w:val="00D025E0"/>
    <w:rsid w:val="00D0282A"/>
    <w:rsid w:val="00D03045"/>
    <w:rsid w:val="00D03A74"/>
    <w:rsid w:val="00D043F0"/>
    <w:rsid w:val="00D05448"/>
    <w:rsid w:val="00D0578E"/>
    <w:rsid w:val="00D06008"/>
    <w:rsid w:val="00D06661"/>
    <w:rsid w:val="00D06688"/>
    <w:rsid w:val="00D068C4"/>
    <w:rsid w:val="00D07083"/>
    <w:rsid w:val="00D07739"/>
    <w:rsid w:val="00D07751"/>
    <w:rsid w:val="00D10848"/>
    <w:rsid w:val="00D10856"/>
    <w:rsid w:val="00D1203C"/>
    <w:rsid w:val="00D13011"/>
    <w:rsid w:val="00D133CB"/>
    <w:rsid w:val="00D133DE"/>
    <w:rsid w:val="00D13659"/>
    <w:rsid w:val="00D140B4"/>
    <w:rsid w:val="00D174F2"/>
    <w:rsid w:val="00D179BF"/>
    <w:rsid w:val="00D17A5C"/>
    <w:rsid w:val="00D2023B"/>
    <w:rsid w:val="00D20465"/>
    <w:rsid w:val="00D20A2F"/>
    <w:rsid w:val="00D20D9C"/>
    <w:rsid w:val="00D21A42"/>
    <w:rsid w:val="00D22674"/>
    <w:rsid w:val="00D22C48"/>
    <w:rsid w:val="00D2445E"/>
    <w:rsid w:val="00D248B8"/>
    <w:rsid w:val="00D24AB4"/>
    <w:rsid w:val="00D251C9"/>
    <w:rsid w:val="00D2530A"/>
    <w:rsid w:val="00D25B13"/>
    <w:rsid w:val="00D25C46"/>
    <w:rsid w:val="00D26304"/>
    <w:rsid w:val="00D270FC"/>
    <w:rsid w:val="00D27141"/>
    <w:rsid w:val="00D27525"/>
    <w:rsid w:val="00D27644"/>
    <w:rsid w:val="00D27688"/>
    <w:rsid w:val="00D27DEB"/>
    <w:rsid w:val="00D3031F"/>
    <w:rsid w:val="00D30B13"/>
    <w:rsid w:val="00D30CBC"/>
    <w:rsid w:val="00D32045"/>
    <w:rsid w:val="00D323B0"/>
    <w:rsid w:val="00D3240D"/>
    <w:rsid w:val="00D32791"/>
    <w:rsid w:val="00D32F7A"/>
    <w:rsid w:val="00D33935"/>
    <w:rsid w:val="00D33FF7"/>
    <w:rsid w:val="00D3459B"/>
    <w:rsid w:val="00D34ADF"/>
    <w:rsid w:val="00D3568A"/>
    <w:rsid w:val="00D376DB"/>
    <w:rsid w:val="00D4037E"/>
    <w:rsid w:val="00D40D94"/>
    <w:rsid w:val="00D4169C"/>
    <w:rsid w:val="00D41F95"/>
    <w:rsid w:val="00D42CEA"/>
    <w:rsid w:val="00D43C74"/>
    <w:rsid w:val="00D44027"/>
    <w:rsid w:val="00D441FF"/>
    <w:rsid w:val="00D4459B"/>
    <w:rsid w:val="00D448E0"/>
    <w:rsid w:val="00D465E1"/>
    <w:rsid w:val="00D466C9"/>
    <w:rsid w:val="00D467AB"/>
    <w:rsid w:val="00D4686A"/>
    <w:rsid w:val="00D46923"/>
    <w:rsid w:val="00D46C37"/>
    <w:rsid w:val="00D47929"/>
    <w:rsid w:val="00D479A6"/>
    <w:rsid w:val="00D47A30"/>
    <w:rsid w:val="00D50E6E"/>
    <w:rsid w:val="00D50F52"/>
    <w:rsid w:val="00D51064"/>
    <w:rsid w:val="00D524AA"/>
    <w:rsid w:val="00D526BB"/>
    <w:rsid w:val="00D53253"/>
    <w:rsid w:val="00D56348"/>
    <w:rsid w:val="00D57A56"/>
    <w:rsid w:val="00D57CEC"/>
    <w:rsid w:val="00D6048F"/>
    <w:rsid w:val="00D61164"/>
    <w:rsid w:val="00D61633"/>
    <w:rsid w:val="00D61ACE"/>
    <w:rsid w:val="00D61CCC"/>
    <w:rsid w:val="00D62207"/>
    <w:rsid w:val="00D62CFE"/>
    <w:rsid w:val="00D6388C"/>
    <w:rsid w:val="00D63F75"/>
    <w:rsid w:val="00D6404D"/>
    <w:rsid w:val="00D648E7"/>
    <w:rsid w:val="00D65460"/>
    <w:rsid w:val="00D655B4"/>
    <w:rsid w:val="00D65ED8"/>
    <w:rsid w:val="00D67630"/>
    <w:rsid w:val="00D70276"/>
    <w:rsid w:val="00D70AEE"/>
    <w:rsid w:val="00D72BCF"/>
    <w:rsid w:val="00D72C54"/>
    <w:rsid w:val="00D74C75"/>
    <w:rsid w:val="00D750F5"/>
    <w:rsid w:val="00D75381"/>
    <w:rsid w:val="00D75500"/>
    <w:rsid w:val="00D7663F"/>
    <w:rsid w:val="00D8009F"/>
    <w:rsid w:val="00D803D0"/>
    <w:rsid w:val="00D80A19"/>
    <w:rsid w:val="00D81606"/>
    <w:rsid w:val="00D8242E"/>
    <w:rsid w:val="00D83C3C"/>
    <w:rsid w:val="00D83F2D"/>
    <w:rsid w:val="00D84806"/>
    <w:rsid w:val="00D84824"/>
    <w:rsid w:val="00D8493E"/>
    <w:rsid w:val="00D850BC"/>
    <w:rsid w:val="00D8554C"/>
    <w:rsid w:val="00D856CA"/>
    <w:rsid w:val="00D8696D"/>
    <w:rsid w:val="00D86EF3"/>
    <w:rsid w:val="00D86FBD"/>
    <w:rsid w:val="00D870EB"/>
    <w:rsid w:val="00D8756F"/>
    <w:rsid w:val="00D90B57"/>
    <w:rsid w:val="00D91143"/>
    <w:rsid w:val="00D917F4"/>
    <w:rsid w:val="00D91CE6"/>
    <w:rsid w:val="00D930E6"/>
    <w:rsid w:val="00D93A23"/>
    <w:rsid w:val="00D9491E"/>
    <w:rsid w:val="00D959B0"/>
    <w:rsid w:val="00D971E1"/>
    <w:rsid w:val="00DA085C"/>
    <w:rsid w:val="00DA1201"/>
    <w:rsid w:val="00DA14FA"/>
    <w:rsid w:val="00DA1A4D"/>
    <w:rsid w:val="00DA1F0C"/>
    <w:rsid w:val="00DA2BAE"/>
    <w:rsid w:val="00DA3779"/>
    <w:rsid w:val="00DA5231"/>
    <w:rsid w:val="00DA5AD7"/>
    <w:rsid w:val="00DA5F19"/>
    <w:rsid w:val="00DA66C7"/>
    <w:rsid w:val="00DA73F9"/>
    <w:rsid w:val="00DB0B02"/>
    <w:rsid w:val="00DB20DC"/>
    <w:rsid w:val="00DB2216"/>
    <w:rsid w:val="00DB361A"/>
    <w:rsid w:val="00DB3C8B"/>
    <w:rsid w:val="00DB3D97"/>
    <w:rsid w:val="00DB4C5B"/>
    <w:rsid w:val="00DB5000"/>
    <w:rsid w:val="00DB58CE"/>
    <w:rsid w:val="00DB675B"/>
    <w:rsid w:val="00DB77A2"/>
    <w:rsid w:val="00DC0525"/>
    <w:rsid w:val="00DC12CB"/>
    <w:rsid w:val="00DC2720"/>
    <w:rsid w:val="00DC2B63"/>
    <w:rsid w:val="00DC3A41"/>
    <w:rsid w:val="00DC3B18"/>
    <w:rsid w:val="00DC3E54"/>
    <w:rsid w:val="00DC4317"/>
    <w:rsid w:val="00DC5331"/>
    <w:rsid w:val="00DC5DA0"/>
    <w:rsid w:val="00DC69CD"/>
    <w:rsid w:val="00DC7809"/>
    <w:rsid w:val="00DD046F"/>
    <w:rsid w:val="00DD0E46"/>
    <w:rsid w:val="00DD1403"/>
    <w:rsid w:val="00DD1551"/>
    <w:rsid w:val="00DD156A"/>
    <w:rsid w:val="00DD1797"/>
    <w:rsid w:val="00DD1D3A"/>
    <w:rsid w:val="00DD2A3E"/>
    <w:rsid w:val="00DD4AB4"/>
    <w:rsid w:val="00DD4D6C"/>
    <w:rsid w:val="00DD4F0F"/>
    <w:rsid w:val="00DD5054"/>
    <w:rsid w:val="00DD60CC"/>
    <w:rsid w:val="00DD62B1"/>
    <w:rsid w:val="00DD6506"/>
    <w:rsid w:val="00DD6667"/>
    <w:rsid w:val="00DD6A22"/>
    <w:rsid w:val="00DD733F"/>
    <w:rsid w:val="00DE00C5"/>
    <w:rsid w:val="00DE0C39"/>
    <w:rsid w:val="00DE1231"/>
    <w:rsid w:val="00DE1BDD"/>
    <w:rsid w:val="00DE276E"/>
    <w:rsid w:val="00DE3398"/>
    <w:rsid w:val="00DE35EB"/>
    <w:rsid w:val="00DE4309"/>
    <w:rsid w:val="00DE4432"/>
    <w:rsid w:val="00DE4B39"/>
    <w:rsid w:val="00DE4B51"/>
    <w:rsid w:val="00DE519B"/>
    <w:rsid w:val="00DE6502"/>
    <w:rsid w:val="00DE6616"/>
    <w:rsid w:val="00DE73F6"/>
    <w:rsid w:val="00DE7B7D"/>
    <w:rsid w:val="00DE7D7B"/>
    <w:rsid w:val="00DF0594"/>
    <w:rsid w:val="00DF089C"/>
    <w:rsid w:val="00DF164E"/>
    <w:rsid w:val="00DF20B7"/>
    <w:rsid w:val="00DF2659"/>
    <w:rsid w:val="00DF2E2B"/>
    <w:rsid w:val="00DF323C"/>
    <w:rsid w:val="00DF3DAC"/>
    <w:rsid w:val="00DF44AA"/>
    <w:rsid w:val="00DF4669"/>
    <w:rsid w:val="00DF4832"/>
    <w:rsid w:val="00DF6863"/>
    <w:rsid w:val="00DF6B5F"/>
    <w:rsid w:val="00DF6BF1"/>
    <w:rsid w:val="00DF6DE6"/>
    <w:rsid w:val="00DF78AD"/>
    <w:rsid w:val="00DF7C23"/>
    <w:rsid w:val="00E00917"/>
    <w:rsid w:val="00E01285"/>
    <w:rsid w:val="00E0142D"/>
    <w:rsid w:val="00E01671"/>
    <w:rsid w:val="00E016D4"/>
    <w:rsid w:val="00E01799"/>
    <w:rsid w:val="00E030F8"/>
    <w:rsid w:val="00E03E56"/>
    <w:rsid w:val="00E0440A"/>
    <w:rsid w:val="00E050E7"/>
    <w:rsid w:val="00E05206"/>
    <w:rsid w:val="00E0579D"/>
    <w:rsid w:val="00E076B9"/>
    <w:rsid w:val="00E076CD"/>
    <w:rsid w:val="00E07F5D"/>
    <w:rsid w:val="00E10327"/>
    <w:rsid w:val="00E104E0"/>
    <w:rsid w:val="00E1141B"/>
    <w:rsid w:val="00E13739"/>
    <w:rsid w:val="00E13FD3"/>
    <w:rsid w:val="00E1400D"/>
    <w:rsid w:val="00E1429C"/>
    <w:rsid w:val="00E14AC8"/>
    <w:rsid w:val="00E14FDC"/>
    <w:rsid w:val="00E15A8E"/>
    <w:rsid w:val="00E17FD0"/>
    <w:rsid w:val="00E21816"/>
    <w:rsid w:val="00E21C94"/>
    <w:rsid w:val="00E220C8"/>
    <w:rsid w:val="00E22194"/>
    <w:rsid w:val="00E22536"/>
    <w:rsid w:val="00E22865"/>
    <w:rsid w:val="00E238F6"/>
    <w:rsid w:val="00E23DE0"/>
    <w:rsid w:val="00E24654"/>
    <w:rsid w:val="00E2482B"/>
    <w:rsid w:val="00E25491"/>
    <w:rsid w:val="00E25B4B"/>
    <w:rsid w:val="00E267CB"/>
    <w:rsid w:val="00E26D3B"/>
    <w:rsid w:val="00E27A6C"/>
    <w:rsid w:val="00E30135"/>
    <w:rsid w:val="00E30CEE"/>
    <w:rsid w:val="00E3101F"/>
    <w:rsid w:val="00E32CC2"/>
    <w:rsid w:val="00E32DC3"/>
    <w:rsid w:val="00E33093"/>
    <w:rsid w:val="00E332EC"/>
    <w:rsid w:val="00E334D7"/>
    <w:rsid w:val="00E34646"/>
    <w:rsid w:val="00E35E66"/>
    <w:rsid w:val="00E36A57"/>
    <w:rsid w:val="00E37283"/>
    <w:rsid w:val="00E37C1F"/>
    <w:rsid w:val="00E408B7"/>
    <w:rsid w:val="00E42E7F"/>
    <w:rsid w:val="00E43952"/>
    <w:rsid w:val="00E43C83"/>
    <w:rsid w:val="00E44CCD"/>
    <w:rsid w:val="00E459D0"/>
    <w:rsid w:val="00E45EBE"/>
    <w:rsid w:val="00E47D30"/>
    <w:rsid w:val="00E50341"/>
    <w:rsid w:val="00E504A4"/>
    <w:rsid w:val="00E50848"/>
    <w:rsid w:val="00E50EDE"/>
    <w:rsid w:val="00E51056"/>
    <w:rsid w:val="00E5203C"/>
    <w:rsid w:val="00E520EE"/>
    <w:rsid w:val="00E53392"/>
    <w:rsid w:val="00E53E56"/>
    <w:rsid w:val="00E5714E"/>
    <w:rsid w:val="00E57C89"/>
    <w:rsid w:val="00E60FA9"/>
    <w:rsid w:val="00E610D1"/>
    <w:rsid w:val="00E612E2"/>
    <w:rsid w:val="00E616A9"/>
    <w:rsid w:val="00E61723"/>
    <w:rsid w:val="00E61CA3"/>
    <w:rsid w:val="00E6200C"/>
    <w:rsid w:val="00E621D0"/>
    <w:rsid w:val="00E622EB"/>
    <w:rsid w:val="00E62611"/>
    <w:rsid w:val="00E637CD"/>
    <w:rsid w:val="00E6431A"/>
    <w:rsid w:val="00E65BE4"/>
    <w:rsid w:val="00E66008"/>
    <w:rsid w:val="00E679DC"/>
    <w:rsid w:val="00E7198D"/>
    <w:rsid w:val="00E71BE9"/>
    <w:rsid w:val="00E7202C"/>
    <w:rsid w:val="00E72A57"/>
    <w:rsid w:val="00E72DB5"/>
    <w:rsid w:val="00E732BF"/>
    <w:rsid w:val="00E73742"/>
    <w:rsid w:val="00E73DD4"/>
    <w:rsid w:val="00E73FAD"/>
    <w:rsid w:val="00E7422C"/>
    <w:rsid w:val="00E74B5B"/>
    <w:rsid w:val="00E74D4D"/>
    <w:rsid w:val="00E74DC4"/>
    <w:rsid w:val="00E74E41"/>
    <w:rsid w:val="00E7614E"/>
    <w:rsid w:val="00E77D09"/>
    <w:rsid w:val="00E8038F"/>
    <w:rsid w:val="00E809D6"/>
    <w:rsid w:val="00E82485"/>
    <w:rsid w:val="00E82AA9"/>
    <w:rsid w:val="00E840B2"/>
    <w:rsid w:val="00E8421F"/>
    <w:rsid w:val="00E843AA"/>
    <w:rsid w:val="00E84953"/>
    <w:rsid w:val="00E84EDD"/>
    <w:rsid w:val="00E867B2"/>
    <w:rsid w:val="00E86B91"/>
    <w:rsid w:val="00E8777B"/>
    <w:rsid w:val="00E919AA"/>
    <w:rsid w:val="00E93437"/>
    <w:rsid w:val="00E9352C"/>
    <w:rsid w:val="00E93839"/>
    <w:rsid w:val="00E947E7"/>
    <w:rsid w:val="00E94B1D"/>
    <w:rsid w:val="00E9523D"/>
    <w:rsid w:val="00E9609F"/>
    <w:rsid w:val="00E96705"/>
    <w:rsid w:val="00E9735D"/>
    <w:rsid w:val="00E978E9"/>
    <w:rsid w:val="00EA1259"/>
    <w:rsid w:val="00EA1968"/>
    <w:rsid w:val="00EA1D70"/>
    <w:rsid w:val="00EA2E00"/>
    <w:rsid w:val="00EA34BE"/>
    <w:rsid w:val="00EA357E"/>
    <w:rsid w:val="00EA3D69"/>
    <w:rsid w:val="00EA3E18"/>
    <w:rsid w:val="00EA42ED"/>
    <w:rsid w:val="00EA633E"/>
    <w:rsid w:val="00EA6D5E"/>
    <w:rsid w:val="00EA7C43"/>
    <w:rsid w:val="00EB090C"/>
    <w:rsid w:val="00EB374B"/>
    <w:rsid w:val="00EB3FE6"/>
    <w:rsid w:val="00EB4205"/>
    <w:rsid w:val="00EB51EC"/>
    <w:rsid w:val="00EB53D9"/>
    <w:rsid w:val="00EB5DC0"/>
    <w:rsid w:val="00EB67E1"/>
    <w:rsid w:val="00EB69DF"/>
    <w:rsid w:val="00EB731A"/>
    <w:rsid w:val="00EB7B22"/>
    <w:rsid w:val="00EC13E9"/>
    <w:rsid w:val="00EC183A"/>
    <w:rsid w:val="00EC1F6E"/>
    <w:rsid w:val="00EC2455"/>
    <w:rsid w:val="00EC2A82"/>
    <w:rsid w:val="00EC40F6"/>
    <w:rsid w:val="00EC4524"/>
    <w:rsid w:val="00EC5D03"/>
    <w:rsid w:val="00EC61E1"/>
    <w:rsid w:val="00EC6EA7"/>
    <w:rsid w:val="00EC7D17"/>
    <w:rsid w:val="00EC7D8C"/>
    <w:rsid w:val="00ED0955"/>
    <w:rsid w:val="00ED0FC1"/>
    <w:rsid w:val="00ED135D"/>
    <w:rsid w:val="00ED1EB7"/>
    <w:rsid w:val="00ED22E2"/>
    <w:rsid w:val="00ED259D"/>
    <w:rsid w:val="00ED2A0A"/>
    <w:rsid w:val="00ED3BCC"/>
    <w:rsid w:val="00ED44AD"/>
    <w:rsid w:val="00ED5943"/>
    <w:rsid w:val="00ED6024"/>
    <w:rsid w:val="00ED6755"/>
    <w:rsid w:val="00ED76D4"/>
    <w:rsid w:val="00ED7790"/>
    <w:rsid w:val="00EE0A9A"/>
    <w:rsid w:val="00EE0E30"/>
    <w:rsid w:val="00EE26B8"/>
    <w:rsid w:val="00EE29DA"/>
    <w:rsid w:val="00EE31A2"/>
    <w:rsid w:val="00EE38A9"/>
    <w:rsid w:val="00EE3A51"/>
    <w:rsid w:val="00EE4092"/>
    <w:rsid w:val="00EE4768"/>
    <w:rsid w:val="00EE4EDE"/>
    <w:rsid w:val="00EE5792"/>
    <w:rsid w:val="00EE5AD1"/>
    <w:rsid w:val="00EE5D9E"/>
    <w:rsid w:val="00EE7060"/>
    <w:rsid w:val="00EE794C"/>
    <w:rsid w:val="00EE7FE6"/>
    <w:rsid w:val="00EF069B"/>
    <w:rsid w:val="00EF0E10"/>
    <w:rsid w:val="00EF1475"/>
    <w:rsid w:val="00EF20EA"/>
    <w:rsid w:val="00EF2213"/>
    <w:rsid w:val="00EF22F5"/>
    <w:rsid w:val="00EF3063"/>
    <w:rsid w:val="00EF3243"/>
    <w:rsid w:val="00EF39F6"/>
    <w:rsid w:val="00EF4926"/>
    <w:rsid w:val="00EF4C58"/>
    <w:rsid w:val="00EF4D0E"/>
    <w:rsid w:val="00EF4D8D"/>
    <w:rsid w:val="00EF5124"/>
    <w:rsid w:val="00EF6253"/>
    <w:rsid w:val="00EF66E2"/>
    <w:rsid w:val="00EF6A92"/>
    <w:rsid w:val="00EF730E"/>
    <w:rsid w:val="00EF7700"/>
    <w:rsid w:val="00F0077F"/>
    <w:rsid w:val="00F0208D"/>
    <w:rsid w:val="00F02352"/>
    <w:rsid w:val="00F02EAE"/>
    <w:rsid w:val="00F03558"/>
    <w:rsid w:val="00F0371D"/>
    <w:rsid w:val="00F03EED"/>
    <w:rsid w:val="00F0438A"/>
    <w:rsid w:val="00F0459E"/>
    <w:rsid w:val="00F05B13"/>
    <w:rsid w:val="00F06125"/>
    <w:rsid w:val="00F0695A"/>
    <w:rsid w:val="00F10ECB"/>
    <w:rsid w:val="00F10EEB"/>
    <w:rsid w:val="00F116BF"/>
    <w:rsid w:val="00F11EC2"/>
    <w:rsid w:val="00F12E18"/>
    <w:rsid w:val="00F13305"/>
    <w:rsid w:val="00F14777"/>
    <w:rsid w:val="00F15AD4"/>
    <w:rsid w:val="00F16495"/>
    <w:rsid w:val="00F173CA"/>
    <w:rsid w:val="00F17717"/>
    <w:rsid w:val="00F17C51"/>
    <w:rsid w:val="00F2027A"/>
    <w:rsid w:val="00F2034A"/>
    <w:rsid w:val="00F207AA"/>
    <w:rsid w:val="00F215B2"/>
    <w:rsid w:val="00F217F2"/>
    <w:rsid w:val="00F22092"/>
    <w:rsid w:val="00F23D65"/>
    <w:rsid w:val="00F2442F"/>
    <w:rsid w:val="00F2571F"/>
    <w:rsid w:val="00F25B3D"/>
    <w:rsid w:val="00F25EB6"/>
    <w:rsid w:val="00F2609C"/>
    <w:rsid w:val="00F26140"/>
    <w:rsid w:val="00F26AA6"/>
    <w:rsid w:val="00F270CD"/>
    <w:rsid w:val="00F27A3F"/>
    <w:rsid w:val="00F27E37"/>
    <w:rsid w:val="00F27E78"/>
    <w:rsid w:val="00F30DD5"/>
    <w:rsid w:val="00F30F3F"/>
    <w:rsid w:val="00F32076"/>
    <w:rsid w:val="00F32441"/>
    <w:rsid w:val="00F336A2"/>
    <w:rsid w:val="00F33C45"/>
    <w:rsid w:val="00F34CFE"/>
    <w:rsid w:val="00F369F0"/>
    <w:rsid w:val="00F37671"/>
    <w:rsid w:val="00F37C66"/>
    <w:rsid w:val="00F4022E"/>
    <w:rsid w:val="00F4061A"/>
    <w:rsid w:val="00F409D7"/>
    <w:rsid w:val="00F40AD3"/>
    <w:rsid w:val="00F4116A"/>
    <w:rsid w:val="00F41993"/>
    <w:rsid w:val="00F41BE9"/>
    <w:rsid w:val="00F41DA6"/>
    <w:rsid w:val="00F42970"/>
    <w:rsid w:val="00F429B5"/>
    <w:rsid w:val="00F43113"/>
    <w:rsid w:val="00F433E0"/>
    <w:rsid w:val="00F438AF"/>
    <w:rsid w:val="00F43FF1"/>
    <w:rsid w:val="00F44853"/>
    <w:rsid w:val="00F44CAE"/>
    <w:rsid w:val="00F45A8F"/>
    <w:rsid w:val="00F477AD"/>
    <w:rsid w:val="00F50F89"/>
    <w:rsid w:val="00F51AA7"/>
    <w:rsid w:val="00F51D85"/>
    <w:rsid w:val="00F52022"/>
    <w:rsid w:val="00F521BB"/>
    <w:rsid w:val="00F52895"/>
    <w:rsid w:val="00F531A1"/>
    <w:rsid w:val="00F53B71"/>
    <w:rsid w:val="00F54017"/>
    <w:rsid w:val="00F54154"/>
    <w:rsid w:val="00F54917"/>
    <w:rsid w:val="00F54F16"/>
    <w:rsid w:val="00F555EC"/>
    <w:rsid w:val="00F55C53"/>
    <w:rsid w:val="00F56270"/>
    <w:rsid w:val="00F56F3C"/>
    <w:rsid w:val="00F605C7"/>
    <w:rsid w:val="00F60B24"/>
    <w:rsid w:val="00F615BF"/>
    <w:rsid w:val="00F61A11"/>
    <w:rsid w:val="00F61CE4"/>
    <w:rsid w:val="00F61E06"/>
    <w:rsid w:val="00F6260E"/>
    <w:rsid w:val="00F627D5"/>
    <w:rsid w:val="00F62FEF"/>
    <w:rsid w:val="00F63189"/>
    <w:rsid w:val="00F6340B"/>
    <w:rsid w:val="00F63BDD"/>
    <w:rsid w:val="00F642CB"/>
    <w:rsid w:val="00F651B5"/>
    <w:rsid w:val="00F653C4"/>
    <w:rsid w:val="00F6552E"/>
    <w:rsid w:val="00F65973"/>
    <w:rsid w:val="00F661F0"/>
    <w:rsid w:val="00F66687"/>
    <w:rsid w:val="00F6669B"/>
    <w:rsid w:val="00F66E75"/>
    <w:rsid w:val="00F66F09"/>
    <w:rsid w:val="00F702A6"/>
    <w:rsid w:val="00F70E20"/>
    <w:rsid w:val="00F712CB"/>
    <w:rsid w:val="00F72F44"/>
    <w:rsid w:val="00F738B9"/>
    <w:rsid w:val="00F746B9"/>
    <w:rsid w:val="00F759D4"/>
    <w:rsid w:val="00F77867"/>
    <w:rsid w:val="00F77E2D"/>
    <w:rsid w:val="00F80F14"/>
    <w:rsid w:val="00F81463"/>
    <w:rsid w:val="00F829B7"/>
    <w:rsid w:val="00F8313B"/>
    <w:rsid w:val="00F8469A"/>
    <w:rsid w:val="00F84F15"/>
    <w:rsid w:val="00F85A3E"/>
    <w:rsid w:val="00F863A7"/>
    <w:rsid w:val="00F866A1"/>
    <w:rsid w:val="00F87B4A"/>
    <w:rsid w:val="00F9050B"/>
    <w:rsid w:val="00F92639"/>
    <w:rsid w:val="00F93C1A"/>
    <w:rsid w:val="00F94211"/>
    <w:rsid w:val="00F94339"/>
    <w:rsid w:val="00F94414"/>
    <w:rsid w:val="00F944E0"/>
    <w:rsid w:val="00F946D6"/>
    <w:rsid w:val="00F94BAE"/>
    <w:rsid w:val="00F958E1"/>
    <w:rsid w:val="00F966BC"/>
    <w:rsid w:val="00F97FBF"/>
    <w:rsid w:val="00FA03AB"/>
    <w:rsid w:val="00FA0CAA"/>
    <w:rsid w:val="00FA27C6"/>
    <w:rsid w:val="00FA38F1"/>
    <w:rsid w:val="00FA3CF8"/>
    <w:rsid w:val="00FA4C5B"/>
    <w:rsid w:val="00FA4F24"/>
    <w:rsid w:val="00FA6958"/>
    <w:rsid w:val="00FB06FB"/>
    <w:rsid w:val="00FB0F0B"/>
    <w:rsid w:val="00FB1882"/>
    <w:rsid w:val="00FB1E74"/>
    <w:rsid w:val="00FB2E6C"/>
    <w:rsid w:val="00FB3A3D"/>
    <w:rsid w:val="00FB3A6A"/>
    <w:rsid w:val="00FB67A1"/>
    <w:rsid w:val="00FB75D8"/>
    <w:rsid w:val="00FB760D"/>
    <w:rsid w:val="00FB7C4A"/>
    <w:rsid w:val="00FC1194"/>
    <w:rsid w:val="00FC166E"/>
    <w:rsid w:val="00FC1C20"/>
    <w:rsid w:val="00FC2190"/>
    <w:rsid w:val="00FC25FB"/>
    <w:rsid w:val="00FC43F0"/>
    <w:rsid w:val="00FC470B"/>
    <w:rsid w:val="00FC4C8D"/>
    <w:rsid w:val="00FC5023"/>
    <w:rsid w:val="00FC5574"/>
    <w:rsid w:val="00FC5BEA"/>
    <w:rsid w:val="00FC5C50"/>
    <w:rsid w:val="00FC6F7A"/>
    <w:rsid w:val="00FC703E"/>
    <w:rsid w:val="00FC70A6"/>
    <w:rsid w:val="00FC7BEE"/>
    <w:rsid w:val="00FD0409"/>
    <w:rsid w:val="00FD0A8B"/>
    <w:rsid w:val="00FD11FA"/>
    <w:rsid w:val="00FD2233"/>
    <w:rsid w:val="00FD4B17"/>
    <w:rsid w:val="00FD58D8"/>
    <w:rsid w:val="00FD7F65"/>
    <w:rsid w:val="00FE0D8E"/>
    <w:rsid w:val="00FE10A4"/>
    <w:rsid w:val="00FE1706"/>
    <w:rsid w:val="00FE1E34"/>
    <w:rsid w:val="00FE2D3B"/>
    <w:rsid w:val="00FE344F"/>
    <w:rsid w:val="00FE373F"/>
    <w:rsid w:val="00FE3834"/>
    <w:rsid w:val="00FE4BCC"/>
    <w:rsid w:val="00FE50E6"/>
    <w:rsid w:val="00FE51D4"/>
    <w:rsid w:val="00FE5C10"/>
    <w:rsid w:val="00FE5F6D"/>
    <w:rsid w:val="00FE62DB"/>
    <w:rsid w:val="00FE72B7"/>
    <w:rsid w:val="00FE76BE"/>
    <w:rsid w:val="00FF0ED2"/>
    <w:rsid w:val="00FF1A11"/>
    <w:rsid w:val="00FF21C6"/>
    <w:rsid w:val="00FF3366"/>
    <w:rsid w:val="00FF3397"/>
    <w:rsid w:val="00FF352E"/>
    <w:rsid w:val="00FF3A49"/>
    <w:rsid w:val="00FF3DBC"/>
    <w:rsid w:val="00FF4945"/>
    <w:rsid w:val="00FF4F85"/>
    <w:rsid w:val="00FF5419"/>
    <w:rsid w:val="00FF5BE7"/>
    <w:rsid w:val="00FF5FB9"/>
    <w:rsid w:val="00FF5FF6"/>
    <w:rsid w:val="00FF79B7"/>
    <w:rsid w:val="00FF7BB5"/>
    <w:rsid w:val="020376CB"/>
    <w:rsid w:val="02217A3B"/>
    <w:rsid w:val="02ED71E1"/>
    <w:rsid w:val="03B7379D"/>
    <w:rsid w:val="04BB30D1"/>
    <w:rsid w:val="054D2871"/>
    <w:rsid w:val="056A361B"/>
    <w:rsid w:val="05BC6E8A"/>
    <w:rsid w:val="06385CAB"/>
    <w:rsid w:val="06981DF9"/>
    <w:rsid w:val="0A156F27"/>
    <w:rsid w:val="0AAD3186"/>
    <w:rsid w:val="0B1438D0"/>
    <w:rsid w:val="0C245821"/>
    <w:rsid w:val="0DCC0628"/>
    <w:rsid w:val="0FD86D98"/>
    <w:rsid w:val="113C5C95"/>
    <w:rsid w:val="11465658"/>
    <w:rsid w:val="12844DBF"/>
    <w:rsid w:val="13112655"/>
    <w:rsid w:val="13156269"/>
    <w:rsid w:val="13173AF2"/>
    <w:rsid w:val="144C163A"/>
    <w:rsid w:val="1542514C"/>
    <w:rsid w:val="155775AF"/>
    <w:rsid w:val="15B23B13"/>
    <w:rsid w:val="15C4502F"/>
    <w:rsid w:val="15E0488D"/>
    <w:rsid w:val="17435DC2"/>
    <w:rsid w:val="17B44F95"/>
    <w:rsid w:val="18235495"/>
    <w:rsid w:val="194A7DCF"/>
    <w:rsid w:val="1B220AE4"/>
    <w:rsid w:val="1C110A5D"/>
    <w:rsid w:val="1C4903E6"/>
    <w:rsid w:val="1CF21D0A"/>
    <w:rsid w:val="1E79148A"/>
    <w:rsid w:val="213A3FD0"/>
    <w:rsid w:val="224D3194"/>
    <w:rsid w:val="24E97972"/>
    <w:rsid w:val="26A169C6"/>
    <w:rsid w:val="27375AFD"/>
    <w:rsid w:val="2A88139D"/>
    <w:rsid w:val="2D1103DD"/>
    <w:rsid w:val="2D4358F5"/>
    <w:rsid w:val="2DAF2F3E"/>
    <w:rsid w:val="2F644BFC"/>
    <w:rsid w:val="30590093"/>
    <w:rsid w:val="331733E5"/>
    <w:rsid w:val="33EF5317"/>
    <w:rsid w:val="3521224D"/>
    <w:rsid w:val="35223CF8"/>
    <w:rsid w:val="356C0713"/>
    <w:rsid w:val="366A1D6B"/>
    <w:rsid w:val="379F51C3"/>
    <w:rsid w:val="38E806B5"/>
    <w:rsid w:val="394B78FE"/>
    <w:rsid w:val="39EA6087"/>
    <w:rsid w:val="3A0131F9"/>
    <w:rsid w:val="3A3B2B7D"/>
    <w:rsid w:val="3B017179"/>
    <w:rsid w:val="3B41550A"/>
    <w:rsid w:val="3C7855A5"/>
    <w:rsid w:val="3EE75BD4"/>
    <w:rsid w:val="3F0E06AA"/>
    <w:rsid w:val="3FB820D3"/>
    <w:rsid w:val="4182744A"/>
    <w:rsid w:val="422A522B"/>
    <w:rsid w:val="42B01906"/>
    <w:rsid w:val="449D46B2"/>
    <w:rsid w:val="451C7536"/>
    <w:rsid w:val="4614088C"/>
    <w:rsid w:val="464A64A5"/>
    <w:rsid w:val="497B255A"/>
    <w:rsid w:val="49EE4C9D"/>
    <w:rsid w:val="4A5B3948"/>
    <w:rsid w:val="4BA72B42"/>
    <w:rsid w:val="4C0C1F2C"/>
    <w:rsid w:val="4C127502"/>
    <w:rsid w:val="4CD2783B"/>
    <w:rsid w:val="4CDC5861"/>
    <w:rsid w:val="4DE17FCB"/>
    <w:rsid w:val="4F004DC6"/>
    <w:rsid w:val="4FA36CBE"/>
    <w:rsid w:val="50581E98"/>
    <w:rsid w:val="511A0697"/>
    <w:rsid w:val="524D3814"/>
    <w:rsid w:val="534B3EAC"/>
    <w:rsid w:val="542F4D0F"/>
    <w:rsid w:val="549C7E08"/>
    <w:rsid w:val="55621A7A"/>
    <w:rsid w:val="556C4B68"/>
    <w:rsid w:val="565428FA"/>
    <w:rsid w:val="56B063AF"/>
    <w:rsid w:val="570F4BA9"/>
    <w:rsid w:val="57C6056B"/>
    <w:rsid w:val="58011CBE"/>
    <w:rsid w:val="58AD693A"/>
    <w:rsid w:val="58E655E4"/>
    <w:rsid w:val="59116E93"/>
    <w:rsid w:val="59D86361"/>
    <w:rsid w:val="5A991C45"/>
    <w:rsid w:val="5B3B6BAB"/>
    <w:rsid w:val="5D81714F"/>
    <w:rsid w:val="5FF80FF4"/>
    <w:rsid w:val="6064705C"/>
    <w:rsid w:val="60AD2116"/>
    <w:rsid w:val="612F11EA"/>
    <w:rsid w:val="61593D32"/>
    <w:rsid w:val="61860091"/>
    <w:rsid w:val="62AC11D1"/>
    <w:rsid w:val="62E466A9"/>
    <w:rsid w:val="64353B87"/>
    <w:rsid w:val="656F7435"/>
    <w:rsid w:val="65FF2938"/>
    <w:rsid w:val="669F63FD"/>
    <w:rsid w:val="66C873F3"/>
    <w:rsid w:val="67EC4452"/>
    <w:rsid w:val="69A478B3"/>
    <w:rsid w:val="6A120526"/>
    <w:rsid w:val="6B335661"/>
    <w:rsid w:val="6C8228D8"/>
    <w:rsid w:val="6D9A3AB8"/>
    <w:rsid w:val="6DD5591A"/>
    <w:rsid w:val="73876AC3"/>
    <w:rsid w:val="7402480A"/>
    <w:rsid w:val="742B4EDD"/>
    <w:rsid w:val="743A614F"/>
    <w:rsid w:val="74597E39"/>
    <w:rsid w:val="74BB16B0"/>
    <w:rsid w:val="74CD1469"/>
    <w:rsid w:val="7649463D"/>
    <w:rsid w:val="76CF22EC"/>
    <w:rsid w:val="78412EB3"/>
    <w:rsid w:val="7980255A"/>
    <w:rsid w:val="7B1367C3"/>
    <w:rsid w:val="7C5A1D52"/>
    <w:rsid w:val="7CE107C1"/>
    <w:rsid w:val="7D944AEA"/>
    <w:rsid w:val="7E0C67BE"/>
    <w:rsid w:val="7F0B27BF"/>
    <w:rsid w:val="7F937FCB"/>
    <w:rsid w:val="7FE56F0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9"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uiPriority="39" w:name="toc 4"/>
    <w:lsdException w:uiPriority="39" w:name="toc 5"/>
    <w:lsdException w:qFormat="1" w:uiPriority="39" w:semiHidden="0" w:name="toc 6"/>
    <w:lsdException w:uiPriority="39" w:name="toc 7"/>
    <w:lsdException w:uiPriority="39" w:name="toc 8"/>
    <w:lsdException w:uiPriority="39"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uiPriority="99" w:name="Body Text Indent 3"/>
    <w:lsdException w:qFormat="1" w:unhideWhenUsed="0" w:uiPriority="0" w:semiHidden="0"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qFormat="1" w:uiPriority="99"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9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3"/>
    <w:next w:val="1"/>
    <w:link w:val="55"/>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56"/>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link w:val="47"/>
    <w:qFormat/>
    <w:uiPriority w:val="0"/>
    <w:pPr>
      <w:keepNext/>
      <w:keepLines/>
      <w:spacing w:before="260" w:after="260" w:line="416" w:lineRule="auto"/>
      <w:outlineLvl w:val="2"/>
    </w:pPr>
    <w:rPr>
      <w:b/>
      <w:bCs/>
      <w:sz w:val="32"/>
      <w:szCs w:val="32"/>
    </w:rPr>
  </w:style>
  <w:style w:type="paragraph" w:styleId="6">
    <w:name w:val="heading 4"/>
    <w:basedOn w:val="1"/>
    <w:next w:val="1"/>
    <w:link w:val="60"/>
    <w:qFormat/>
    <w:uiPriority w:val="0"/>
    <w:pPr>
      <w:keepNext/>
      <w:keepLines/>
      <w:spacing w:before="280" w:after="290" w:line="376" w:lineRule="auto"/>
      <w:outlineLvl w:val="3"/>
    </w:pPr>
    <w:rPr>
      <w:rFonts w:ascii="Arial" w:hAnsi="Arial" w:eastAsia="黑体"/>
      <w:b/>
      <w:bCs/>
      <w:sz w:val="28"/>
      <w:szCs w:val="28"/>
    </w:rPr>
  </w:style>
  <w:style w:type="paragraph" w:styleId="7">
    <w:name w:val="heading 6"/>
    <w:basedOn w:val="1"/>
    <w:next w:val="1"/>
    <w:link w:val="67"/>
    <w:qFormat/>
    <w:uiPriority w:val="0"/>
    <w:pPr>
      <w:keepNext/>
      <w:keepLines/>
      <w:widowControl/>
      <w:tabs>
        <w:tab w:val="left" w:pos="1440"/>
      </w:tabs>
      <w:spacing w:before="240" w:after="64" w:line="320" w:lineRule="auto"/>
      <w:ind w:left="1152" w:hanging="1152"/>
      <w:jc w:val="center"/>
      <w:outlineLvl w:val="5"/>
    </w:pPr>
    <w:rPr>
      <w:rFonts w:ascii="Arial" w:hAnsi="Arial" w:eastAsia="黑体"/>
      <w:bCs/>
      <w:kern w:val="0"/>
      <w:sz w:val="24"/>
    </w:rPr>
  </w:style>
  <w:style w:type="paragraph" w:styleId="8">
    <w:name w:val="heading 7"/>
    <w:basedOn w:val="1"/>
    <w:next w:val="1"/>
    <w:link w:val="68"/>
    <w:qFormat/>
    <w:uiPriority w:val="0"/>
    <w:pPr>
      <w:keepNext/>
      <w:keepLines/>
      <w:widowControl/>
      <w:tabs>
        <w:tab w:val="left" w:pos="2520"/>
      </w:tabs>
      <w:spacing w:before="240" w:after="64" w:line="320" w:lineRule="auto"/>
      <w:ind w:left="1296" w:hanging="1296"/>
      <w:jc w:val="center"/>
      <w:outlineLvl w:val="6"/>
    </w:pPr>
    <w:rPr>
      <w:bCs/>
      <w:kern w:val="0"/>
      <w:sz w:val="24"/>
    </w:rPr>
  </w:style>
  <w:style w:type="paragraph" w:styleId="9">
    <w:name w:val="heading 8"/>
    <w:basedOn w:val="1"/>
    <w:next w:val="1"/>
    <w:link w:val="58"/>
    <w:qFormat/>
    <w:uiPriority w:val="0"/>
    <w:pPr>
      <w:keepNext/>
      <w:keepLines/>
      <w:widowControl/>
      <w:tabs>
        <w:tab w:val="left" w:pos="1440"/>
      </w:tabs>
      <w:spacing w:before="240" w:after="64" w:line="320" w:lineRule="auto"/>
      <w:ind w:left="1440" w:hanging="1440"/>
      <w:jc w:val="center"/>
      <w:outlineLvl w:val="7"/>
    </w:pPr>
    <w:rPr>
      <w:rFonts w:ascii="Arial" w:hAnsi="Arial" w:eastAsia="黑体"/>
      <w:b/>
      <w:kern w:val="0"/>
      <w:sz w:val="24"/>
    </w:rPr>
  </w:style>
  <w:style w:type="paragraph" w:styleId="10">
    <w:name w:val="heading 9"/>
    <w:basedOn w:val="1"/>
    <w:next w:val="1"/>
    <w:link w:val="69"/>
    <w:qFormat/>
    <w:uiPriority w:val="0"/>
    <w:pPr>
      <w:keepNext/>
      <w:keepLines/>
      <w:widowControl/>
      <w:tabs>
        <w:tab w:val="left" w:pos="1584"/>
      </w:tabs>
      <w:spacing w:before="240" w:after="64" w:line="320" w:lineRule="auto"/>
      <w:ind w:left="1584" w:hanging="1584"/>
      <w:jc w:val="center"/>
      <w:outlineLvl w:val="8"/>
    </w:pPr>
    <w:rPr>
      <w:rFonts w:ascii="Arial" w:hAnsi="Arial" w:eastAsia="黑体"/>
      <w:b/>
      <w:kern w:val="0"/>
      <w:szCs w:val="21"/>
    </w:rPr>
  </w:style>
  <w:style w:type="character" w:default="1" w:styleId="38">
    <w:name w:val="Default Paragraph Font"/>
    <w:semiHidden/>
    <w:unhideWhenUsed/>
    <w:qFormat/>
    <w:uiPriority w:val="1"/>
  </w:style>
  <w:style w:type="table" w:default="1" w:styleId="36">
    <w:name w:val="Normal Table"/>
    <w:semiHidden/>
    <w:unhideWhenUsed/>
    <w:qFormat/>
    <w:uiPriority w:val="99"/>
    <w:tblPr>
      <w:tblCellMar>
        <w:top w:w="0" w:type="dxa"/>
        <w:left w:w="108" w:type="dxa"/>
        <w:bottom w:w="0" w:type="dxa"/>
        <w:right w:w="108" w:type="dxa"/>
      </w:tblCellMar>
    </w:tblPr>
  </w:style>
  <w:style w:type="paragraph" w:styleId="3">
    <w:name w:val="List Paragraph"/>
    <w:basedOn w:val="1"/>
    <w:link w:val="74"/>
    <w:qFormat/>
    <w:uiPriority w:val="34"/>
    <w:pPr>
      <w:ind w:firstLine="420" w:firstLineChars="200"/>
    </w:pPr>
    <w:rPr>
      <w:rFonts w:ascii="Calibri" w:hAnsi="Calibri"/>
      <w:szCs w:val="22"/>
    </w:rPr>
  </w:style>
  <w:style w:type="paragraph" w:styleId="11">
    <w:name w:val="Normal Indent"/>
    <w:basedOn w:val="1"/>
    <w:link w:val="66"/>
    <w:qFormat/>
    <w:uiPriority w:val="0"/>
    <w:pPr>
      <w:ind w:firstLine="420"/>
    </w:pPr>
    <w:rPr>
      <w:rFonts w:ascii="Arial Unicode MS" w:hAnsi="Arial Unicode MS" w:eastAsia="仿宋_GB2312"/>
      <w:sz w:val="32"/>
    </w:rPr>
  </w:style>
  <w:style w:type="paragraph" w:styleId="12">
    <w:name w:val="Document Map"/>
    <w:basedOn w:val="1"/>
    <w:link w:val="75"/>
    <w:unhideWhenUsed/>
    <w:qFormat/>
    <w:uiPriority w:val="99"/>
    <w:rPr>
      <w:rFonts w:ascii="宋体"/>
      <w:sz w:val="18"/>
      <w:szCs w:val="18"/>
    </w:rPr>
  </w:style>
  <w:style w:type="paragraph" w:styleId="13">
    <w:name w:val="annotation text"/>
    <w:basedOn w:val="1"/>
    <w:link w:val="70"/>
    <w:qFormat/>
    <w:uiPriority w:val="0"/>
    <w:pPr>
      <w:jc w:val="left"/>
    </w:pPr>
  </w:style>
  <w:style w:type="paragraph" w:styleId="14">
    <w:name w:val="Body Text 3"/>
    <w:basedOn w:val="1"/>
    <w:link w:val="48"/>
    <w:qFormat/>
    <w:uiPriority w:val="0"/>
    <w:rPr>
      <w:rFonts w:ascii="宋体"/>
      <w:sz w:val="24"/>
      <w:szCs w:val="20"/>
    </w:rPr>
  </w:style>
  <w:style w:type="paragraph" w:styleId="15">
    <w:name w:val="Body Text"/>
    <w:basedOn w:val="1"/>
    <w:link w:val="53"/>
    <w:qFormat/>
    <w:uiPriority w:val="0"/>
    <w:pPr>
      <w:spacing w:after="120"/>
    </w:pPr>
  </w:style>
  <w:style w:type="paragraph" w:styleId="16">
    <w:name w:val="Body Text Indent"/>
    <w:basedOn w:val="1"/>
    <w:qFormat/>
    <w:uiPriority w:val="0"/>
    <w:pPr>
      <w:widowControl/>
      <w:overflowPunct w:val="0"/>
      <w:autoSpaceDE w:val="0"/>
      <w:autoSpaceDN w:val="0"/>
      <w:adjustRightInd w:val="0"/>
      <w:spacing w:line="360" w:lineRule="auto"/>
      <w:ind w:firstLine="540"/>
      <w:textAlignment w:val="baseline"/>
    </w:pPr>
    <w:rPr>
      <w:rFonts w:ascii="宋体" w:hAnsi="MS Sans Serif"/>
      <w:spacing w:val="12"/>
      <w:kern w:val="0"/>
      <w:sz w:val="24"/>
      <w:szCs w:val="20"/>
    </w:rPr>
  </w:style>
  <w:style w:type="paragraph" w:styleId="17">
    <w:name w:val="Block Text"/>
    <w:basedOn w:val="1"/>
    <w:qFormat/>
    <w:uiPriority w:val="0"/>
    <w:pPr>
      <w:adjustRightInd w:val="0"/>
      <w:ind w:left="420" w:right="33"/>
      <w:jc w:val="left"/>
      <w:textAlignment w:val="baseline"/>
    </w:pPr>
    <w:rPr>
      <w:kern w:val="0"/>
      <w:sz w:val="24"/>
      <w:szCs w:val="20"/>
    </w:rPr>
  </w:style>
  <w:style w:type="paragraph" w:styleId="18">
    <w:name w:val="toc 3"/>
    <w:basedOn w:val="1"/>
    <w:next w:val="1"/>
    <w:qFormat/>
    <w:uiPriority w:val="39"/>
    <w:pPr>
      <w:tabs>
        <w:tab w:val="right" w:leader="dot" w:pos="8640"/>
      </w:tabs>
      <w:spacing w:line="360" w:lineRule="auto"/>
      <w:ind w:left="719" w:leftChars="342" w:right="250" w:rightChars="119" w:hanging="1"/>
    </w:pPr>
  </w:style>
  <w:style w:type="paragraph" w:styleId="19">
    <w:name w:val="Plain Text"/>
    <w:basedOn w:val="1"/>
    <w:link w:val="63"/>
    <w:qFormat/>
    <w:uiPriority w:val="0"/>
    <w:rPr>
      <w:rFonts w:ascii="宋体" w:hAnsi="Courier New"/>
      <w:szCs w:val="21"/>
    </w:rPr>
  </w:style>
  <w:style w:type="paragraph" w:styleId="20">
    <w:name w:val="Date"/>
    <w:basedOn w:val="1"/>
    <w:next w:val="1"/>
    <w:qFormat/>
    <w:uiPriority w:val="0"/>
    <w:pPr>
      <w:ind w:left="100" w:leftChars="2500"/>
    </w:pPr>
    <w:rPr>
      <w:rFonts w:ascii="宋体" w:hAnsi="宋体"/>
      <w:sz w:val="28"/>
      <w:szCs w:val="20"/>
    </w:rPr>
  </w:style>
  <w:style w:type="paragraph" w:styleId="21">
    <w:name w:val="Body Text Indent 2"/>
    <w:basedOn w:val="1"/>
    <w:link w:val="71"/>
    <w:qFormat/>
    <w:uiPriority w:val="0"/>
    <w:pPr>
      <w:widowControl/>
      <w:overflowPunct w:val="0"/>
      <w:autoSpaceDE w:val="0"/>
      <w:autoSpaceDN w:val="0"/>
      <w:adjustRightInd w:val="0"/>
      <w:spacing w:line="360" w:lineRule="auto"/>
      <w:ind w:firstLine="555"/>
      <w:textAlignment w:val="baseline"/>
    </w:pPr>
    <w:rPr>
      <w:rFonts w:ascii="宋体" w:hAnsi="MS Sans Serif"/>
      <w:b/>
      <w:spacing w:val="12"/>
      <w:kern w:val="0"/>
      <w:sz w:val="24"/>
      <w:szCs w:val="20"/>
    </w:rPr>
  </w:style>
  <w:style w:type="paragraph" w:styleId="22">
    <w:name w:val="Balloon Text"/>
    <w:basedOn w:val="1"/>
    <w:qFormat/>
    <w:uiPriority w:val="0"/>
    <w:rPr>
      <w:sz w:val="18"/>
      <w:szCs w:val="18"/>
    </w:rPr>
  </w:style>
  <w:style w:type="paragraph" w:styleId="23">
    <w:name w:val="footer"/>
    <w:basedOn w:val="1"/>
    <w:link w:val="49"/>
    <w:qFormat/>
    <w:uiPriority w:val="0"/>
    <w:pPr>
      <w:tabs>
        <w:tab w:val="center" w:pos="4153"/>
        <w:tab w:val="right" w:pos="8306"/>
      </w:tabs>
      <w:snapToGrid w:val="0"/>
      <w:jc w:val="left"/>
    </w:pPr>
    <w:rPr>
      <w:sz w:val="18"/>
      <w:szCs w:val="18"/>
    </w:rPr>
  </w:style>
  <w:style w:type="paragraph" w:styleId="24">
    <w:name w:val="header"/>
    <w:basedOn w:val="1"/>
    <w:link w:val="50"/>
    <w:qFormat/>
    <w:uiPriority w:val="0"/>
    <w:pPr>
      <w:pBdr>
        <w:bottom w:val="single" w:color="auto" w:sz="6" w:space="1"/>
      </w:pBdr>
      <w:tabs>
        <w:tab w:val="center" w:pos="4153"/>
        <w:tab w:val="right" w:pos="8306"/>
      </w:tabs>
      <w:snapToGrid w:val="0"/>
      <w:jc w:val="center"/>
    </w:pPr>
    <w:rPr>
      <w:sz w:val="18"/>
      <w:szCs w:val="18"/>
    </w:rPr>
  </w:style>
  <w:style w:type="paragraph" w:styleId="25">
    <w:name w:val="toc 1"/>
    <w:basedOn w:val="1"/>
    <w:next w:val="1"/>
    <w:qFormat/>
    <w:uiPriority w:val="39"/>
    <w:pPr>
      <w:widowControl/>
      <w:autoSpaceDE w:val="0"/>
      <w:autoSpaceDN w:val="0"/>
      <w:adjustRightInd w:val="0"/>
      <w:spacing w:line="400" w:lineRule="exact"/>
      <w:jc w:val="left"/>
    </w:pPr>
    <w:rPr>
      <w:b/>
      <w:bCs/>
      <w:caps/>
      <w:kern w:val="0"/>
      <w:sz w:val="28"/>
      <w:lang w:val="zh-CN"/>
    </w:rPr>
  </w:style>
  <w:style w:type="paragraph" w:styleId="26">
    <w:name w:val="footnote text"/>
    <w:basedOn w:val="1"/>
    <w:qFormat/>
    <w:uiPriority w:val="0"/>
    <w:pPr>
      <w:autoSpaceDE w:val="0"/>
      <w:autoSpaceDN w:val="0"/>
      <w:adjustRightInd w:val="0"/>
      <w:spacing w:line="240" w:lineRule="atLeast"/>
      <w:jc w:val="left"/>
    </w:pPr>
    <w:rPr>
      <w:rFonts w:ascii="MingLiU" w:eastAsia="MingLiU"/>
      <w:kern w:val="0"/>
      <w:sz w:val="24"/>
      <w:szCs w:val="20"/>
      <w:lang w:eastAsia="zh-TW"/>
    </w:rPr>
  </w:style>
  <w:style w:type="paragraph" w:styleId="27">
    <w:name w:val="toc 6"/>
    <w:basedOn w:val="1"/>
    <w:next w:val="1"/>
    <w:unhideWhenUsed/>
    <w:qFormat/>
    <w:uiPriority w:val="39"/>
    <w:pPr>
      <w:ind w:left="2100" w:leftChars="1000"/>
    </w:pPr>
    <w:rPr>
      <w:rFonts w:ascii="Times New Roman" w:hAnsi="Times New Roman" w:eastAsia="宋体" w:cs="Times New Roman"/>
      <w:szCs w:val="20"/>
    </w:rPr>
  </w:style>
  <w:style w:type="paragraph" w:styleId="28">
    <w:name w:val="toc 2"/>
    <w:basedOn w:val="1"/>
    <w:next w:val="1"/>
    <w:qFormat/>
    <w:uiPriority w:val="39"/>
    <w:pPr>
      <w:tabs>
        <w:tab w:val="right" w:leader="dot" w:pos="8296"/>
      </w:tabs>
      <w:spacing w:line="360" w:lineRule="auto"/>
      <w:ind w:left="451" w:leftChars="172" w:right="69" w:rightChars="33" w:hanging="90" w:hangingChars="28"/>
      <w:jc w:val="center"/>
    </w:pPr>
    <w:rPr>
      <w:rFonts w:ascii="宋体" w:hAnsi="宋体"/>
      <w:b/>
      <w:sz w:val="32"/>
      <w:szCs w:val="32"/>
    </w:rPr>
  </w:style>
  <w:style w:type="paragraph" w:styleId="29">
    <w:name w:val="Body Text 2"/>
    <w:basedOn w:val="1"/>
    <w:qFormat/>
    <w:uiPriority w:val="0"/>
    <w:pPr>
      <w:spacing w:after="120" w:line="480" w:lineRule="auto"/>
    </w:pPr>
  </w:style>
  <w:style w:type="paragraph" w:styleId="30">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styleId="31">
    <w:name w:val="Normal (Web)"/>
    <w:basedOn w:val="1"/>
    <w:qFormat/>
    <w:uiPriority w:val="99"/>
    <w:pPr>
      <w:widowControl/>
      <w:spacing w:before="100" w:beforeAutospacing="1" w:after="100" w:afterAutospacing="1"/>
      <w:jc w:val="left"/>
    </w:pPr>
    <w:rPr>
      <w:rFonts w:ascii="宋体" w:hAnsi="宋体"/>
      <w:kern w:val="0"/>
      <w:sz w:val="24"/>
      <w:szCs w:val="20"/>
    </w:rPr>
  </w:style>
  <w:style w:type="paragraph" w:styleId="32">
    <w:name w:val="Title"/>
    <w:basedOn w:val="1"/>
    <w:link w:val="62"/>
    <w:qFormat/>
    <w:uiPriority w:val="0"/>
    <w:pPr>
      <w:widowControl/>
      <w:spacing w:before="240" w:after="60"/>
      <w:jc w:val="center"/>
      <w:outlineLvl w:val="0"/>
    </w:pPr>
    <w:rPr>
      <w:rFonts w:ascii="Arial" w:hAnsi="Arial" w:cs="Arial"/>
      <w:b/>
      <w:bCs/>
      <w:kern w:val="0"/>
      <w:sz w:val="44"/>
      <w:szCs w:val="32"/>
    </w:rPr>
  </w:style>
  <w:style w:type="paragraph" w:styleId="33">
    <w:name w:val="annotation subject"/>
    <w:basedOn w:val="13"/>
    <w:next w:val="13"/>
    <w:qFormat/>
    <w:uiPriority w:val="0"/>
    <w:rPr>
      <w:b/>
      <w:bCs/>
    </w:rPr>
  </w:style>
  <w:style w:type="paragraph" w:styleId="34">
    <w:name w:val="Body Text First Indent"/>
    <w:basedOn w:val="15"/>
    <w:qFormat/>
    <w:uiPriority w:val="0"/>
    <w:pPr>
      <w:widowControl w:val="0"/>
      <w:adjustRightInd w:val="0"/>
      <w:spacing w:after="0" w:line="312" w:lineRule="auto"/>
      <w:ind w:firstLine="567"/>
      <w:jc w:val="both"/>
      <w:textAlignment w:val="baseline"/>
    </w:pPr>
    <w:rPr>
      <w:sz w:val="28"/>
    </w:rPr>
  </w:style>
  <w:style w:type="paragraph" w:styleId="35">
    <w:name w:val="Body Text First Indent 2"/>
    <w:basedOn w:val="16"/>
    <w:qFormat/>
    <w:uiPriority w:val="0"/>
    <w:pPr>
      <w:tabs>
        <w:tab w:val="left" w:pos="360"/>
      </w:tabs>
      <w:ind w:firstLine="420"/>
    </w:pPr>
    <w:rPr>
      <w:rFonts w:ascii="仿宋_GB2312" w:eastAsia="仿宋_GB2312"/>
      <w:sz w:val="24"/>
    </w:rPr>
  </w:style>
  <w:style w:type="table" w:styleId="37">
    <w:name w:val="Table Grid"/>
    <w:basedOn w:val="36"/>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9">
    <w:name w:val="Strong"/>
    <w:qFormat/>
    <w:uiPriority w:val="22"/>
    <w:rPr>
      <w:rFonts w:ascii="Times New Roman" w:hAnsi="Times New Roman" w:eastAsia="宋体" w:cs="Times New Roman"/>
      <w:b/>
      <w:bCs/>
    </w:rPr>
  </w:style>
  <w:style w:type="character" w:styleId="40">
    <w:name w:val="page number"/>
    <w:qFormat/>
    <w:uiPriority w:val="0"/>
    <w:rPr>
      <w:rFonts w:ascii="Times New Roman" w:hAnsi="Times New Roman" w:eastAsia="宋体" w:cs="Times New Roman"/>
    </w:rPr>
  </w:style>
  <w:style w:type="character" w:styleId="41">
    <w:name w:val="Emphasis"/>
    <w:qFormat/>
    <w:uiPriority w:val="20"/>
    <w:rPr>
      <w:rFonts w:ascii="Times New Roman" w:hAnsi="Times New Roman" w:eastAsia="宋体" w:cs="Times New Roman"/>
      <w:i/>
      <w:iCs/>
    </w:rPr>
  </w:style>
  <w:style w:type="character" w:styleId="42">
    <w:name w:val="Hyperlink"/>
    <w:qFormat/>
    <w:uiPriority w:val="99"/>
    <w:rPr>
      <w:rFonts w:ascii="Times New Roman" w:hAnsi="Times New Roman" w:eastAsia="宋体" w:cs="Times New Roman"/>
      <w:color w:val="0000FF"/>
      <w:u w:val="single"/>
    </w:rPr>
  </w:style>
  <w:style w:type="character" w:styleId="43">
    <w:name w:val="annotation reference"/>
    <w:qFormat/>
    <w:uiPriority w:val="0"/>
    <w:rPr>
      <w:rFonts w:ascii="Times New Roman" w:hAnsi="Times New Roman" w:eastAsia="宋体" w:cs="Times New Roman"/>
      <w:sz w:val="21"/>
      <w:szCs w:val="21"/>
    </w:rPr>
  </w:style>
  <w:style w:type="character" w:styleId="44">
    <w:name w:val="footnote reference"/>
    <w:qFormat/>
    <w:uiPriority w:val="0"/>
    <w:rPr>
      <w:rFonts w:ascii="Times New Roman" w:hAnsi="Times New Roman" w:eastAsia="宋体" w:cs="Times New Roman"/>
      <w:vertAlign w:val="superscript"/>
    </w:rPr>
  </w:style>
  <w:style w:type="paragraph" w:customStyle="1" w:styleId="45">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46">
    <w:name w:val="样式 正文11 + 首行缩进:  2 字符"/>
    <w:basedOn w:val="1"/>
    <w:qFormat/>
    <w:uiPriority w:val="0"/>
    <w:pPr>
      <w:spacing w:line="500" w:lineRule="exact"/>
      <w:ind w:firstLine="560" w:firstLineChars="200"/>
    </w:pPr>
    <w:rPr>
      <w:rFonts w:ascii="宋体" w:hAnsi="宋体" w:cs="宋体"/>
      <w:color w:val="FF0000"/>
      <w:sz w:val="28"/>
    </w:rPr>
  </w:style>
  <w:style w:type="character" w:customStyle="1" w:styleId="47">
    <w:name w:val="标题 3 Char1"/>
    <w:link w:val="5"/>
    <w:qFormat/>
    <w:uiPriority w:val="0"/>
    <w:rPr>
      <w:rFonts w:ascii="Times New Roman" w:hAnsi="Times New Roman" w:eastAsia="宋体" w:cs="Times New Roman"/>
      <w:b/>
      <w:bCs/>
      <w:kern w:val="2"/>
      <w:sz w:val="32"/>
      <w:szCs w:val="32"/>
      <w:lang w:val="en-US" w:eastAsia="zh-CN" w:bidi="ar-SA"/>
    </w:rPr>
  </w:style>
  <w:style w:type="character" w:customStyle="1" w:styleId="48">
    <w:name w:val="正文文本 3 Char"/>
    <w:link w:val="14"/>
    <w:qFormat/>
    <w:uiPriority w:val="0"/>
    <w:rPr>
      <w:rFonts w:ascii="宋体" w:hAnsi="Times New Roman" w:eastAsia="宋体" w:cs="Times New Roman"/>
      <w:kern w:val="2"/>
      <w:sz w:val="24"/>
    </w:rPr>
  </w:style>
  <w:style w:type="character" w:customStyle="1" w:styleId="49">
    <w:name w:val="页脚 Char"/>
    <w:link w:val="23"/>
    <w:qFormat/>
    <w:uiPriority w:val="0"/>
    <w:rPr>
      <w:rFonts w:ascii="Times New Roman" w:hAnsi="Times New Roman" w:eastAsia="宋体" w:cs="Times New Roman"/>
      <w:kern w:val="2"/>
      <w:sz w:val="18"/>
      <w:szCs w:val="18"/>
    </w:rPr>
  </w:style>
  <w:style w:type="character" w:customStyle="1" w:styleId="50">
    <w:name w:val="页眉 Char"/>
    <w:link w:val="24"/>
    <w:qFormat/>
    <w:uiPriority w:val="0"/>
    <w:rPr>
      <w:rFonts w:ascii="Times New Roman" w:hAnsi="Times New Roman" w:eastAsia="宋体" w:cs="Times New Roman"/>
      <w:kern w:val="2"/>
      <w:sz w:val="18"/>
      <w:szCs w:val="18"/>
    </w:rPr>
  </w:style>
  <w:style w:type="character" w:customStyle="1" w:styleId="51">
    <w:name w:val="纯文本 Char"/>
    <w:qFormat/>
    <w:uiPriority w:val="99"/>
    <w:rPr>
      <w:rFonts w:ascii="宋体" w:hAnsi="Courier New" w:eastAsia="宋体" w:cs="Courier New"/>
      <w:szCs w:val="21"/>
    </w:rPr>
  </w:style>
  <w:style w:type="character" w:customStyle="1" w:styleId="52">
    <w:name w:val="标题 3 Char Char"/>
    <w:qFormat/>
    <w:uiPriority w:val="0"/>
    <w:rPr>
      <w:rFonts w:ascii="Times New Roman" w:hAnsi="Times New Roman" w:eastAsia="宋体" w:cs="Times New Roman"/>
      <w:b/>
      <w:bCs/>
      <w:kern w:val="2"/>
      <w:sz w:val="21"/>
      <w:szCs w:val="24"/>
      <w:lang w:val="en-US" w:eastAsia="zh-CN" w:bidi="ar-SA"/>
    </w:rPr>
  </w:style>
  <w:style w:type="character" w:customStyle="1" w:styleId="53">
    <w:name w:val="正文文本 Char"/>
    <w:link w:val="15"/>
    <w:qFormat/>
    <w:uiPriority w:val="0"/>
    <w:rPr>
      <w:rFonts w:ascii="Times New Roman" w:hAnsi="Times New Roman" w:eastAsia="宋体" w:cs="Times New Roman"/>
      <w:kern w:val="2"/>
      <w:sz w:val="21"/>
      <w:szCs w:val="24"/>
      <w:lang w:val="en-US" w:eastAsia="zh-CN" w:bidi="ar-SA"/>
    </w:rPr>
  </w:style>
  <w:style w:type="character" w:customStyle="1" w:styleId="54">
    <w:name w:val="textcontents"/>
    <w:qFormat/>
    <w:uiPriority w:val="0"/>
    <w:rPr>
      <w:rFonts w:ascii="Times New Roman" w:hAnsi="Times New Roman" w:eastAsia="宋体" w:cs="Times New Roman"/>
    </w:rPr>
  </w:style>
  <w:style w:type="character" w:customStyle="1" w:styleId="55">
    <w:name w:val="标题 1 Char1"/>
    <w:link w:val="2"/>
    <w:qFormat/>
    <w:uiPriority w:val="0"/>
    <w:rPr>
      <w:rFonts w:ascii="Times New Roman" w:hAnsi="Times New Roman" w:eastAsia="宋体" w:cs="Times New Roman"/>
      <w:b/>
      <w:bCs/>
      <w:kern w:val="44"/>
      <w:sz w:val="44"/>
      <w:szCs w:val="44"/>
    </w:rPr>
  </w:style>
  <w:style w:type="character" w:customStyle="1" w:styleId="56">
    <w:name w:val="标题 2 Char"/>
    <w:link w:val="4"/>
    <w:qFormat/>
    <w:uiPriority w:val="0"/>
    <w:rPr>
      <w:rFonts w:ascii="Arial" w:hAnsi="Arial" w:eastAsia="黑体" w:cs="Times New Roman"/>
      <w:b/>
      <w:bCs/>
      <w:kern w:val="2"/>
      <w:sz w:val="32"/>
      <w:szCs w:val="32"/>
    </w:rPr>
  </w:style>
  <w:style w:type="character" w:customStyle="1" w:styleId="57">
    <w:name w:val="纯文本 Char1"/>
    <w:qFormat/>
    <w:uiPriority w:val="0"/>
    <w:rPr>
      <w:rFonts w:ascii="宋体" w:hAnsi="Courier New" w:eastAsia="宋体" w:cs="Courier New"/>
      <w:kern w:val="2"/>
      <w:sz w:val="21"/>
      <w:szCs w:val="21"/>
      <w:lang w:val="en-US" w:eastAsia="zh-CN" w:bidi="ar-SA"/>
    </w:rPr>
  </w:style>
  <w:style w:type="character" w:customStyle="1" w:styleId="58">
    <w:name w:val="标题 8 Char"/>
    <w:link w:val="9"/>
    <w:qFormat/>
    <w:uiPriority w:val="0"/>
    <w:rPr>
      <w:rFonts w:ascii="Arial" w:hAnsi="Arial" w:eastAsia="黑体" w:cs="Times New Roman"/>
      <w:b/>
      <w:sz w:val="24"/>
      <w:szCs w:val="24"/>
    </w:rPr>
  </w:style>
  <w:style w:type="character" w:customStyle="1" w:styleId="59">
    <w:name w:val="标题 Char1"/>
    <w:qFormat/>
    <w:uiPriority w:val="0"/>
    <w:rPr>
      <w:rFonts w:ascii="Arial" w:hAnsi="Arial" w:eastAsia="宋体" w:cs="Arial"/>
      <w:b/>
      <w:bCs/>
      <w:sz w:val="44"/>
      <w:szCs w:val="32"/>
      <w:lang w:val="en-US" w:eastAsia="zh-CN" w:bidi="ar-SA"/>
    </w:rPr>
  </w:style>
  <w:style w:type="character" w:customStyle="1" w:styleId="60">
    <w:name w:val="标题 4 Char"/>
    <w:link w:val="6"/>
    <w:qFormat/>
    <w:uiPriority w:val="0"/>
    <w:rPr>
      <w:rFonts w:ascii="Arial" w:hAnsi="Arial" w:eastAsia="黑体" w:cs="Times New Roman"/>
      <w:b/>
      <w:bCs/>
      <w:kern w:val="2"/>
      <w:sz w:val="28"/>
      <w:szCs w:val="28"/>
    </w:rPr>
  </w:style>
  <w:style w:type="character" w:customStyle="1" w:styleId="61">
    <w:name w:val="标题 1 Char"/>
    <w:qFormat/>
    <w:uiPriority w:val="0"/>
    <w:rPr>
      <w:rFonts w:ascii="Times New Roman" w:hAnsi="Times New Roman" w:eastAsia="宋体" w:cs="Times New Roman"/>
      <w:b/>
      <w:bCs/>
      <w:kern w:val="44"/>
      <w:sz w:val="44"/>
      <w:szCs w:val="44"/>
    </w:rPr>
  </w:style>
  <w:style w:type="character" w:customStyle="1" w:styleId="62">
    <w:name w:val="标题 Char"/>
    <w:link w:val="32"/>
    <w:qFormat/>
    <w:uiPriority w:val="0"/>
    <w:rPr>
      <w:rFonts w:ascii="Arial" w:hAnsi="Arial" w:eastAsia="宋体" w:cs="Arial"/>
      <w:b/>
      <w:bCs/>
      <w:sz w:val="44"/>
      <w:szCs w:val="32"/>
      <w:lang w:val="en-US" w:eastAsia="zh-CN" w:bidi="ar-SA"/>
    </w:rPr>
  </w:style>
  <w:style w:type="character" w:customStyle="1" w:styleId="63">
    <w:name w:val="纯文本 Char2"/>
    <w:link w:val="19"/>
    <w:qFormat/>
    <w:uiPriority w:val="0"/>
    <w:rPr>
      <w:rFonts w:ascii="宋体" w:hAnsi="Courier New" w:eastAsia="宋体" w:cs="Courier New"/>
      <w:kern w:val="2"/>
      <w:sz w:val="21"/>
      <w:szCs w:val="21"/>
    </w:rPr>
  </w:style>
  <w:style w:type="character" w:customStyle="1" w:styleId="64">
    <w:name w:val="样式 样式 四号 首行缩进:  0.74 厘米 行距: 1.5 倍行距 + 宋体 四号 行距: 1.5 倍行距 Char"/>
    <w:link w:val="65"/>
    <w:qFormat/>
    <w:uiPriority w:val="0"/>
    <w:rPr>
      <w:rFonts w:ascii="宋体" w:hAnsi="宋体" w:eastAsia="宋体" w:cs="Times New Roman"/>
      <w:sz w:val="28"/>
    </w:rPr>
  </w:style>
  <w:style w:type="paragraph" w:customStyle="1" w:styleId="65">
    <w:name w:val="样式 样式 四号 首行缩进:  0.74 厘米 行距: 1.5 倍行距 + 宋体 四号 行距: 1.5 倍行距"/>
    <w:basedOn w:val="1"/>
    <w:link w:val="64"/>
    <w:qFormat/>
    <w:uiPriority w:val="0"/>
    <w:pPr>
      <w:spacing w:line="360" w:lineRule="auto"/>
      <w:ind w:firstLine="560" w:firstLineChars="200"/>
    </w:pPr>
    <w:rPr>
      <w:rFonts w:ascii="宋体" w:hAnsi="宋体"/>
      <w:kern w:val="0"/>
      <w:sz w:val="28"/>
      <w:szCs w:val="20"/>
    </w:rPr>
  </w:style>
  <w:style w:type="character" w:customStyle="1" w:styleId="66">
    <w:name w:val="正文缩进 Char"/>
    <w:link w:val="11"/>
    <w:qFormat/>
    <w:uiPriority w:val="0"/>
    <w:rPr>
      <w:rFonts w:ascii="Arial Unicode MS" w:hAnsi="Arial Unicode MS" w:eastAsia="仿宋_GB2312" w:cs="Times New Roman"/>
      <w:kern w:val="2"/>
      <w:sz w:val="32"/>
      <w:szCs w:val="24"/>
    </w:rPr>
  </w:style>
  <w:style w:type="character" w:customStyle="1" w:styleId="67">
    <w:name w:val="标题 6 Char"/>
    <w:link w:val="7"/>
    <w:qFormat/>
    <w:uiPriority w:val="0"/>
    <w:rPr>
      <w:rFonts w:ascii="Arial" w:hAnsi="Arial" w:eastAsia="黑体" w:cs="Times New Roman"/>
      <w:bCs/>
      <w:sz w:val="24"/>
      <w:szCs w:val="24"/>
    </w:rPr>
  </w:style>
  <w:style w:type="character" w:customStyle="1" w:styleId="68">
    <w:name w:val="标题 7 Char"/>
    <w:link w:val="8"/>
    <w:qFormat/>
    <w:uiPriority w:val="0"/>
    <w:rPr>
      <w:rFonts w:ascii="Times New Roman" w:hAnsi="Times New Roman" w:eastAsia="宋体" w:cs="Times New Roman"/>
      <w:bCs/>
      <w:sz w:val="24"/>
      <w:szCs w:val="24"/>
    </w:rPr>
  </w:style>
  <w:style w:type="character" w:customStyle="1" w:styleId="69">
    <w:name w:val="标题 9 Char"/>
    <w:link w:val="10"/>
    <w:qFormat/>
    <w:uiPriority w:val="0"/>
    <w:rPr>
      <w:rFonts w:ascii="Arial" w:hAnsi="Arial" w:eastAsia="黑体" w:cs="Times New Roman"/>
      <w:b/>
      <w:sz w:val="21"/>
      <w:szCs w:val="21"/>
    </w:rPr>
  </w:style>
  <w:style w:type="character" w:customStyle="1" w:styleId="70">
    <w:name w:val="批注文字 Char"/>
    <w:link w:val="13"/>
    <w:qFormat/>
    <w:uiPriority w:val="0"/>
    <w:rPr>
      <w:rFonts w:ascii="Times New Roman" w:hAnsi="Times New Roman" w:eastAsia="宋体" w:cs="Times New Roman"/>
      <w:kern w:val="2"/>
      <w:sz w:val="21"/>
      <w:szCs w:val="24"/>
    </w:rPr>
  </w:style>
  <w:style w:type="character" w:customStyle="1" w:styleId="71">
    <w:name w:val="正文文本缩进 2 Char"/>
    <w:link w:val="21"/>
    <w:qFormat/>
    <w:uiPriority w:val="0"/>
    <w:rPr>
      <w:rFonts w:ascii="宋体" w:hAnsi="MS Sans Serif" w:eastAsia="宋体" w:cs="Times New Roman"/>
      <w:b/>
      <w:spacing w:val="12"/>
      <w:sz w:val="24"/>
    </w:rPr>
  </w:style>
  <w:style w:type="character" w:customStyle="1" w:styleId="72">
    <w:name w:val="UserStyle_29"/>
    <w:qFormat/>
    <w:uiPriority w:val="0"/>
    <w:rPr>
      <w:rFonts w:ascii="Times New Roman" w:hAnsi="Times New Roman" w:eastAsia="宋体"/>
    </w:rPr>
  </w:style>
  <w:style w:type="character" w:customStyle="1" w:styleId="73">
    <w:name w:val="标题 3 Char"/>
    <w:qFormat/>
    <w:uiPriority w:val="0"/>
    <w:rPr>
      <w:rFonts w:ascii="Times New Roman" w:hAnsi="Times New Roman" w:eastAsia="宋体" w:cs="Times New Roman"/>
      <w:b/>
      <w:bCs/>
      <w:kern w:val="2"/>
      <w:sz w:val="32"/>
      <w:szCs w:val="32"/>
      <w:lang w:val="en-US" w:eastAsia="zh-CN" w:bidi="ar-SA"/>
    </w:rPr>
  </w:style>
  <w:style w:type="character" w:customStyle="1" w:styleId="74">
    <w:name w:val="列出段落 Char"/>
    <w:link w:val="3"/>
    <w:qFormat/>
    <w:uiPriority w:val="34"/>
    <w:rPr>
      <w:rFonts w:ascii="Calibri" w:hAnsi="Calibri"/>
      <w:kern w:val="2"/>
      <w:sz w:val="21"/>
      <w:szCs w:val="22"/>
    </w:rPr>
  </w:style>
  <w:style w:type="character" w:customStyle="1" w:styleId="75">
    <w:name w:val="文档结构图 Char"/>
    <w:link w:val="12"/>
    <w:semiHidden/>
    <w:qFormat/>
    <w:uiPriority w:val="99"/>
    <w:rPr>
      <w:rFonts w:ascii="宋体" w:hAnsi="Times New Roman" w:eastAsia="宋体" w:cs="Times New Roman"/>
      <w:kern w:val="2"/>
      <w:sz w:val="18"/>
      <w:szCs w:val="18"/>
    </w:rPr>
  </w:style>
  <w:style w:type="paragraph" w:customStyle="1" w:styleId="76">
    <w:name w:val="(文字) (文字)"/>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
    <w:name w:val="3"/>
    <w:basedOn w:val="1"/>
    <w:next w:val="31"/>
    <w:qFormat/>
    <w:uiPriority w:val="0"/>
    <w:pPr>
      <w:spacing w:before="100" w:beforeAutospacing="1" w:after="100" w:afterAutospacing="1"/>
    </w:pPr>
    <w:rPr>
      <w:rFonts w:ascii="宋体" w:hAnsi="宋体" w:cs="黑体"/>
      <w:sz w:val="24"/>
    </w:rPr>
  </w:style>
  <w:style w:type="paragraph" w:customStyle="1" w:styleId="78">
    <w:name w:val="Char Char Char"/>
    <w:basedOn w:val="1"/>
    <w:qFormat/>
    <w:uiPriority w:val="0"/>
    <w:rPr>
      <w:rFonts w:ascii="Tahoma" w:hAnsi="Tahoma"/>
      <w:sz w:val="24"/>
      <w:szCs w:val="20"/>
    </w:rPr>
  </w:style>
  <w:style w:type="paragraph" w:customStyle="1" w:styleId="7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center"/>
    </w:pPr>
    <w:rPr>
      <w:rFonts w:ascii="Courier New" w:hAnsi="Courier New"/>
      <w:b/>
      <w:kern w:val="0"/>
      <w:sz w:val="44"/>
      <w:szCs w:val="20"/>
    </w:rPr>
  </w:style>
  <w:style w:type="paragraph" w:customStyle="1" w:styleId="80">
    <w:name w:val="菲页(卷)"/>
    <w:basedOn w:val="2"/>
    <w:next w:val="81"/>
    <w:qFormat/>
    <w:uiPriority w:val="0"/>
    <w:pPr>
      <w:keepLines w:val="0"/>
      <w:widowControl/>
      <w:tabs>
        <w:tab w:val="left" w:pos="432"/>
      </w:tabs>
      <w:spacing w:before="0" w:after="0" w:line="240" w:lineRule="auto"/>
      <w:ind w:left="432" w:hanging="432"/>
      <w:jc w:val="center"/>
      <w:outlineLvl w:val="1"/>
    </w:pPr>
    <w:rPr>
      <w:rFonts w:ascii="黑体" w:eastAsia="黑体"/>
      <w:bCs w:val="0"/>
      <w:kern w:val="0"/>
      <w:sz w:val="52"/>
      <w:szCs w:val="20"/>
    </w:rPr>
  </w:style>
  <w:style w:type="paragraph" w:customStyle="1" w:styleId="81">
    <w:name w:val="正文1"/>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82">
    <w:name w:val="列表段落1"/>
    <w:basedOn w:val="1"/>
    <w:qFormat/>
    <w:uiPriority w:val="0"/>
    <w:pPr>
      <w:ind w:firstLine="420" w:firstLineChars="200"/>
    </w:pPr>
  </w:style>
  <w:style w:type="paragraph" w:customStyle="1" w:styleId="83">
    <w:name w:val="修订1"/>
    <w:qFormat/>
    <w:uiPriority w:val="0"/>
    <w:rPr>
      <w:rFonts w:ascii="Times New Roman" w:hAnsi="Times New Roman" w:eastAsia="宋体" w:cs="Times New Roman"/>
      <w:kern w:val="2"/>
      <w:sz w:val="21"/>
      <w:szCs w:val="24"/>
      <w:lang w:val="en-US" w:eastAsia="zh-CN" w:bidi="ar-SA"/>
    </w:rPr>
  </w:style>
  <w:style w:type="paragraph" w:customStyle="1" w:styleId="84">
    <w:name w:val="Char Char Char Char Char Char Char Char Char Char Char Char Char Char Char Char Char Char Char"/>
    <w:basedOn w:val="1"/>
    <w:qFormat/>
    <w:uiPriority w:val="0"/>
    <w:pPr>
      <w:tabs>
        <w:tab w:val="left" w:pos="360"/>
      </w:tabs>
    </w:pPr>
    <w:rPr>
      <w:sz w:val="24"/>
    </w:rPr>
  </w:style>
  <w:style w:type="paragraph" w:customStyle="1" w:styleId="85">
    <w:name w:val="菲页2"/>
    <w:basedOn w:val="5"/>
    <w:qFormat/>
    <w:uiPriority w:val="0"/>
    <w:pPr>
      <w:widowControl/>
      <w:tabs>
        <w:tab w:val="left" w:pos="720"/>
      </w:tabs>
      <w:spacing w:before="120" w:after="120" w:line="360" w:lineRule="auto"/>
      <w:ind w:left="720" w:hanging="720"/>
      <w:jc w:val="center"/>
    </w:pPr>
    <w:rPr>
      <w:rFonts w:ascii="黑体" w:hAnsi="宋体" w:eastAsia="黑体"/>
      <w:bCs w:val="0"/>
      <w:kern w:val="0"/>
      <w:sz w:val="44"/>
      <w:szCs w:val="20"/>
    </w:rPr>
  </w:style>
  <w:style w:type="paragraph" w:customStyle="1" w:styleId="86">
    <w:name w:val="默认段落字体 Para Char"/>
    <w:basedOn w:val="1"/>
    <w:qFormat/>
    <w:uiPriority w:val="0"/>
    <w:rPr>
      <w:rFonts w:ascii="Tahoma" w:hAnsi="Tahoma"/>
      <w:sz w:val="24"/>
      <w:szCs w:val="20"/>
    </w:rPr>
  </w:style>
  <w:style w:type="paragraph" w:customStyle="1" w:styleId="87">
    <w:name w:val="目录"/>
    <w:basedOn w:val="1"/>
    <w:qFormat/>
    <w:uiPriority w:val="0"/>
    <w:pPr>
      <w:widowControl/>
      <w:jc w:val="center"/>
    </w:pPr>
    <w:rPr>
      <w:rFonts w:ascii="宋体"/>
      <w:kern w:val="0"/>
      <w:sz w:val="36"/>
      <w:szCs w:val="20"/>
    </w:rPr>
  </w:style>
  <w:style w:type="paragraph" w:customStyle="1" w:styleId="88">
    <w:name w:val="Char Char Char Char Char Char"/>
    <w:basedOn w:val="1"/>
    <w:qFormat/>
    <w:uiPriority w:val="0"/>
    <w:pPr>
      <w:snapToGrid w:val="0"/>
      <w:spacing w:line="360" w:lineRule="auto"/>
      <w:ind w:firstLine="200" w:firstLineChars="200"/>
    </w:pPr>
  </w:style>
  <w:style w:type="paragraph" w:customStyle="1" w:styleId="89">
    <w:name w:val="Char Char Char Char"/>
    <w:basedOn w:val="1"/>
    <w:qFormat/>
    <w:uiPriority w:val="0"/>
    <w:rPr>
      <w:rFonts w:ascii="Tahoma" w:hAnsi="Tahoma"/>
      <w:sz w:val="24"/>
      <w:szCs w:val="20"/>
    </w:rPr>
  </w:style>
  <w:style w:type="paragraph" w:customStyle="1" w:styleId="90">
    <w:name w:val="Char"/>
    <w:basedOn w:val="1"/>
    <w:qFormat/>
    <w:uiPriority w:val="0"/>
    <w:pPr>
      <w:spacing w:line="360" w:lineRule="auto"/>
      <w:ind w:firstLine="200" w:firstLineChars="200"/>
    </w:pPr>
    <w:rPr>
      <w:rFonts w:ascii="宋体" w:hAnsi="宋体" w:cs="宋体"/>
      <w:sz w:val="24"/>
    </w:rPr>
  </w:style>
  <w:style w:type="paragraph" w:customStyle="1" w:styleId="91">
    <w:name w:val="Char1"/>
    <w:basedOn w:val="1"/>
    <w:qFormat/>
    <w:uiPriority w:val="0"/>
    <w:pPr>
      <w:spacing w:line="360" w:lineRule="auto"/>
      <w:ind w:firstLine="200" w:firstLineChars="200"/>
    </w:pPr>
    <w:rPr>
      <w:rFonts w:ascii="宋体" w:hAnsi="宋体" w:cs="宋体"/>
      <w:sz w:val="24"/>
    </w:rPr>
  </w:style>
  <w:style w:type="paragraph" w:customStyle="1" w:styleId="92">
    <w:name w:val="Char1 Char Char Char Char Char Char"/>
    <w:basedOn w:val="1"/>
    <w:qFormat/>
    <w:uiPriority w:val="0"/>
    <w:rPr>
      <w:szCs w:val="20"/>
    </w:rPr>
  </w:style>
  <w:style w:type="paragraph" w:customStyle="1" w:styleId="93">
    <w:name w:val="Char Char Char Char1"/>
    <w:basedOn w:val="1"/>
    <w:qFormat/>
    <w:uiPriority w:val="0"/>
    <w:pPr>
      <w:spacing w:line="360" w:lineRule="auto"/>
      <w:ind w:firstLine="200" w:firstLineChars="200"/>
    </w:pPr>
    <w:rPr>
      <w:rFonts w:ascii="宋体" w:hAnsi="宋体" w:cs="宋体"/>
      <w:sz w:val="24"/>
    </w:rPr>
  </w:style>
  <w:style w:type="character" w:customStyle="1" w:styleId="94">
    <w:name w:val="NormalCharacter"/>
    <w:qFormat/>
    <w:uiPriority w:val="0"/>
  </w:style>
  <w:style w:type="paragraph" w:customStyle="1" w:styleId="95">
    <w:name w:val="188"/>
    <w:basedOn w:val="1"/>
    <w:qFormat/>
    <w:uiPriority w:val="0"/>
    <w:pPr>
      <w:widowControl/>
      <w:ind w:firstLine="420" w:firstLineChars="200"/>
      <w:textAlignment w:val="baseline"/>
    </w:pPr>
    <w:rPr>
      <w:rFonts w:ascii="Calibri" w:hAnsi="Calibri"/>
      <w:szCs w:val="22"/>
    </w:rPr>
  </w:style>
  <w:style w:type="paragraph" w:customStyle="1" w:styleId="96">
    <w:name w:val="Table Paragraph"/>
    <w:basedOn w:val="1"/>
    <w:qFormat/>
    <w:uiPriority w:val="1"/>
    <w:rPr>
      <w:rFonts w:ascii="宋体" w:hAnsi="宋体" w:cs="宋体"/>
      <w:lang w:val="zh-CN" w:bidi="zh-CN"/>
    </w:rPr>
  </w:style>
  <w:style w:type="paragraph" w:customStyle="1" w:styleId="97">
    <w:name w:val="表格文字"/>
    <w:basedOn w:val="1"/>
    <w:qFormat/>
    <w:uiPriority w:val="0"/>
    <w:pPr>
      <w:adjustRightInd w:val="0"/>
      <w:spacing w:line="420" w:lineRule="atLeast"/>
      <w:jc w:val="left"/>
      <w:textAlignment w:val="baseline"/>
    </w:pPr>
    <w:rPr>
      <w:rFonts w:asciiTheme="minorHAnsi" w:hAnsiTheme="minorHAnsi" w:eastAsiaTheme="minorEastAsia" w:cstheme="minorBidi"/>
      <w:kern w:val="0"/>
      <w:szCs w:val="20"/>
    </w:rPr>
  </w:style>
  <w:style w:type="paragraph" w:customStyle="1" w:styleId="98">
    <w:name w:val="段"/>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 w:type="paragraph" w:styleId="99">
    <w:name w:val="No Spacing"/>
    <w:qFormat/>
    <w:uiPriority w:val="1"/>
    <w:pPr>
      <w:widowControl w:val="0"/>
      <w:jc w:val="both"/>
    </w:pPr>
    <w:rPr>
      <w:rFonts w:ascii="Times New Roman" w:hAnsi="Times New Roman" w:eastAsia="宋体" w:cs="Times New Roman"/>
      <w:kern w:val="2"/>
      <w:sz w:val="21"/>
      <w:szCs w:val="21"/>
      <w:lang w:val="en-US" w:eastAsia="zh-CN" w:bidi="ar-SA"/>
    </w:rPr>
  </w:style>
  <w:style w:type="character" w:customStyle="1" w:styleId="100">
    <w:name w:val="font11"/>
    <w:basedOn w:val="38"/>
    <w:qFormat/>
    <w:uiPriority w:val="0"/>
    <w:rPr>
      <w:rFonts w:hint="eastAsia" w:ascii="微软雅黑" w:hAnsi="微软雅黑" w:eastAsia="微软雅黑" w:cs="微软雅黑"/>
      <w:color w:val="000000"/>
      <w:sz w:val="18"/>
      <w:szCs w:val="18"/>
      <w:u w:val="none"/>
    </w:rPr>
  </w:style>
  <w:style w:type="character" w:customStyle="1" w:styleId="101">
    <w:name w:val="font21"/>
    <w:basedOn w:val="38"/>
    <w:qFormat/>
    <w:uiPriority w:val="0"/>
    <w:rPr>
      <w:rFonts w:hint="eastAsia" w:ascii="微软雅黑" w:hAnsi="微软雅黑" w:eastAsia="微软雅黑" w:cs="微软雅黑"/>
      <w:color w:val="000000"/>
      <w:sz w:val="18"/>
      <w:szCs w:val="18"/>
      <w:u w:val="none"/>
    </w:rPr>
  </w:style>
  <w:style w:type="paragraph" w:customStyle="1" w:styleId="102">
    <w:name w:val="章节题目"/>
    <w:basedOn w:val="103"/>
    <w:next w:val="1"/>
    <w:unhideWhenUsed/>
    <w:qFormat/>
    <w:uiPriority w:val="0"/>
    <w:pPr>
      <w:spacing w:before="720" w:after="400" w:line="540" w:lineRule="atLeast"/>
      <w:ind w:right="2160"/>
    </w:pPr>
    <w:rPr>
      <w:rFonts w:hint="eastAsia" w:ascii="Times New Roman" w:hAnsi="Times New Roman"/>
      <w:spacing w:val="-40"/>
      <w:sz w:val="60"/>
    </w:rPr>
  </w:style>
  <w:style w:type="paragraph" w:customStyle="1" w:styleId="103">
    <w:name w:val="基准标题"/>
    <w:basedOn w:val="1"/>
    <w:next w:val="15"/>
    <w:unhideWhenUsed/>
    <w:qFormat/>
    <w:uiPriority w:val="0"/>
    <w:pPr>
      <w:keepNext/>
      <w:keepLines/>
      <w:spacing w:before="140" w:line="220" w:lineRule="atLeast"/>
    </w:pPr>
    <w:rPr>
      <w:rFonts w:hint="eastAsia" w:ascii="Arial" w:hAnsi="Arial"/>
      <w:spacing w:val="-4"/>
      <w:kern w:val="28"/>
      <w:sz w:val="22"/>
    </w:rPr>
  </w:style>
  <w:style w:type="paragraph" w:customStyle="1" w:styleId="104">
    <w:name w:val="Table Text"/>
    <w:basedOn w:val="1"/>
    <w:semiHidden/>
    <w:qFormat/>
    <w:uiPriority w:val="0"/>
    <w:rPr>
      <w:rFonts w:ascii="Times New Roman" w:hAnsi="Times New Roman" w:eastAsia="宋体" w:cs="Times New Roman"/>
      <w:sz w:val="22"/>
    </w:rPr>
  </w:style>
  <w:style w:type="paragraph" w:customStyle="1" w:styleId="105">
    <w:name w:val="目录 61"/>
    <w:next w:val="1"/>
    <w:qFormat/>
    <w:uiPriority w:val="0"/>
    <w:pPr>
      <w:wordWrap w:val="0"/>
      <w:ind w:left="2125"/>
      <w:jc w:val="both"/>
    </w:pPr>
    <w:rPr>
      <w:rFonts w:ascii="Times New Roman" w:hAnsi="Times New Roman" w:eastAsia="宋体" w:cs="Times New Roman"/>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2.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1.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7D2A6E4-47AC-4A7D-A4ED-AED52143E8E2}">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79</Pages>
  <Words>10302</Words>
  <Characters>11593</Characters>
  <Lines>370</Lines>
  <Paragraphs>104</Paragraphs>
  <TotalTime>59</TotalTime>
  <ScaleCrop>false</ScaleCrop>
  <LinksUpToDate>false</LinksUpToDate>
  <CharactersWithSpaces>11834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2020-10-22T07:41:00Z</dcterms:created>
  <dc:creator>User</dc:creator>
  <cp:lastModifiedBy>VIP</cp:lastModifiedBy>
  <cp:lastPrinted>2021-01-28T07:49:00Z</cp:lastPrinted>
  <dcterms:modified xsi:type="dcterms:W3CDTF">2025-03-27T06:29:56Z</dcterms:modified>
  <dc:title>招标公告</dc:title>
  <cp:revision>171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_2015_ms_pID_725343">
    <vt:lpwstr>(2)vk4G/vtQUy2+J7WAYok6MqUnFAk/H4oQc7NVGtGD+DrIIIaSApEyYuaphqqEm8Gsg0plwRCk_x000d_
v6+C/tmztNoQZpMrGA5i0j0TnLW4nMpSLMq1vcHIk04mxLxs6ZQ0wV5RBJH6bT1WWQxJAtPG_x000d_
DVXtPWYiZMlzEu6KOIT3ALLBGmZ2z6QZfJieezT/BMv7LoWdBZtdVgFyBEA5FoLvTqxsUhDw_x000d_
L4a8lZ7jqAEIMJeiPR</vt:lpwstr>
  </property>
  <property fmtid="{D5CDD505-2E9C-101B-9397-08002B2CF9AE}" pid="4" name="_2015_ms_pID_7253431">
    <vt:lpwstr>BFoqTzIJyoFscnbe2Na13qZXG+1HhMiW2SVN85K9r45+u9FjyC+V5x_x000d_
QvE/vC4ZVFY6x7erRd8dZ3jO/1iGL1u98c01MWE7p3fWbRvjIecBgcpBIovb/Zo3gceLo6i0_x000d_
jw2mfOKtvGx0ZNWrER34/fZAJcaLzrW8EvgVTpGj+/+4MM4AvONnMx7hNVkXyRROiN4=</vt:lpwstr>
  </property>
  <property fmtid="{D5CDD505-2E9C-101B-9397-08002B2CF9AE}" pid="5" name="_readonly">
    <vt:lpwstr/>
  </property>
  <property fmtid="{D5CDD505-2E9C-101B-9397-08002B2CF9AE}" pid="6" name="_change">
    <vt:lpwstr/>
  </property>
  <property fmtid="{D5CDD505-2E9C-101B-9397-08002B2CF9AE}" pid="7" name="_full-control">
    <vt:lpwstr/>
  </property>
  <property fmtid="{D5CDD505-2E9C-101B-9397-08002B2CF9AE}" pid="8" name="sflag">
    <vt:lpwstr>1595403849</vt:lpwstr>
  </property>
  <property fmtid="{D5CDD505-2E9C-101B-9397-08002B2CF9AE}" pid="9" name="ICV">
    <vt:lpwstr>0A64A64BA0E6434CBFC258CA0E12EA33_13</vt:lpwstr>
  </property>
  <property fmtid="{D5CDD505-2E9C-101B-9397-08002B2CF9AE}" pid="10" name="KSOTemplateDocerSaveRecord">
    <vt:lpwstr>eyJoZGlkIjoiMWQyMzk2ZGNjZmQ0YzRhZTZhYmI4MTIxYjUyYmZiZGEiLCJ1c2VySWQiOiI0NjM5MTA2NjYifQ==</vt:lpwstr>
  </property>
</Properties>
</file>