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D306">
      <w:pPr>
        <w:pStyle w:val="2"/>
        <w:spacing w:line="243" w:lineRule="auto"/>
        <w:rPr>
          <w:color w:val="auto"/>
          <w:highlight w:val="none"/>
        </w:rPr>
      </w:pPr>
    </w:p>
    <w:p w14:paraId="2A3CC840">
      <w:pPr>
        <w:pStyle w:val="2"/>
        <w:spacing w:line="243" w:lineRule="auto"/>
        <w:rPr>
          <w:color w:val="auto"/>
          <w:highlight w:val="none"/>
        </w:rPr>
      </w:pPr>
    </w:p>
    <w:p w14:paraId="3372D69F">
      <w:pPr>
        <w:pStyle w:val="2"/>
        <w:spacing w:line="243" w:lineRule="auto"/>
        <w:rPr>
          <w:color w:val="auto"/>
          <w:highlight w:val="none"/>
        </w:rPr>
      </w:pPr>
    </w:p>
    <w:p w14:paraId="545C9650">
      <w:pPr>
        <w:pStyle w:val="2"/>
        <w:spacing w:line="243" w:lineRule="auto"/>
        <w:rPr>
          <w:color w:val="auto"/>
          <w:highlight w:val="none"/>
        </w:rPr>
      </w:pPr>
    </w:p>
    <w:p w14:paraId="16528207">
      <w:pPr>
        <w:pStyle w:val="2"/>
        <w:spacing w:line="261" w:lineRule="auto"/>
        <w:jc w:val="center"/>
        <w:outlineLvl w:val="9"/>
        <w:rPr>
          <w:color w:val="auto"/>
          <w:highlight w:val="none"/>
        </w:rPr>
      </w:pPr>
      <w:r>
        <w:rPr>
          <w:rFonts w:hint="eastAsia" w:ascii="宋体" w:hAnsi="宋体" w:eastAsia="宋体" w:cs="宋体"/>
          <w:color w:val="auto"/>
          <w:spacing w:val="10"/>
          <w:sz w:val="56"/>
          <w:szCs w:val="56"/>
          <w:highlight w:val="none"/>
          <w:lang w:eastAsia="zh-CN"/>
          <w14:textOutline w14:w="10151" w14:cap="sq" w14:cmpd="sng">
            <w14:solidFill>
              <w14:srgbClr w14:val="000000"/>
            </w14:solidFill>
            <w14:prstDash w14:val="solid"/>
            <w14:bevel/>
          </w14:textOutline>
        </w:rPr>
        <w:t>核心业务运维服务</w:t>
      </w:r>
    </w:p>
    <w:p w14:paraId="6F790F93">
      <w:pPr>
        <w:pStyle w:val="2"/>
        <w:spacing w:line="261" w:lineRule="auto"/>
        <w:rPr>
          <w:color w:val="auto"/>
          <w:highlight w:val="none"/>
        </w:rPr>
      </w:pPr>
    </w:p>
    <w:p w14:paraId="399AB852">
      <w:pPr>
        <w:pStyle w:val="2"/>
        <w:spacing w:line="261" w:lineRule="auto"/>
        <w:rPr>
          <w:color w:val="auto"/>
          <w:highlight w:val="none"/>
        </w:rPr>
      </w:pPr>
    </w:p>
    <w:p w14:paraId="73B645FB">
      <w:pPr>
        <w:pStyle w:val="2"/>
        <w:spacing w:line="262" w:lineRule="auto"/>
        <w:rPr>
          <w:color w:val="auto"/>
          <w:highlight w:val="none"/>
        </w:rPr>
      </w:pPr>
    </w:p>
    <w:p w14:paraId="66F81937">
      <w:pPr>
        <w:pStyle w:val="2"/>
        <w:spacing w:line="262" w:lineRule="auto"/>
        <w:rPr>
          <w:color w:val="auto"/>
          <w:highlight w:val="none"/>
        </w:rPr>
      </w:pPr>
    </w:p>
    <w:p w14:paraId="1171F743">
      <w:pPr>
        <w:pStyle w:val="2"/>
        <w:spacing w:line="262" w:lineRule="auto"/>
        <w:rPr>
          <w:color w:val="auto"/>
          <w:highlight w:val="none"/>
        </w:rPr>
      </w:pPr>
    </w:p>
    <w:p w14:paraId="0EEC314F">
      <w:pPr>
        <w:pStyle w:val="2"/>
        <w:spacing w:line="262" w:lineRule="auto"/>
        <w:rPr>
          <w:color w:val="auto"/>
          <w:highlight w:val="none"/>
        </w:rPr>
      </w:pPr>
    </w:p>
    <w:p w14:paraId="6A694AA2">
      <w:pPr>
        <w:spacing w:before="179" w:line="1306" w:lineRule="exact"/>
        <w:ind w:left="3095"/>
        <w:outlineLvl w:val="9"/>
        <w:rPr>
          <w:rFonts w:ascii="宋体" w:hAnsi="宋体" w:eastAsia="宋体" w:cs="宋体"/>
          <w:color w:val="auto"/>
          <w:sz w:val="55"/>
          <w:szCs w:val="55"/>
          <w:highlight w:val="none"/>
        </w:rPr>
      </w:pPr>
      <w:bookmarkStart w:id="0" w:name="_Toc22460"/>
      <w:r>
        <w:rPr>
          <w:rFonts w:ascii="宋体" w:hAnsi="宋体" w:eastAsia="宋体" w:cs="宋体"/>
          <w:color w:val="auto"/>
          <w:spacing w:val="7"/>
          <w:position w:val="57"/>
          <w:sz w:val="55"/>
          <w:szCs w:val="55"/>
          <w:highlight w:val="none"/>
          <w14:textOutline w14:w="10151" w14:cap="sq" w14:cmpd="sng">
            <w14:solidFill>
              <w14:srgbClr w14:val="000000"/>
            </w14:solidFill>
            <w14:prstDash w14:val="solid"/>
            <w14:bevel/>
          </w14:textOutline>
        </w:rPr>
        <w:t>竞争性磋商文件</w:t>
      </w:r>
      <w:bookmarkEnd w:id="0"/>
    </w:p>
    <w:p w14:paraId="2F639315">
      <w:pPr>
        <w:spacing w:line="225" w:lineRule="auto"/>
        <w:ind w:left="2971"/>
        <w:rPr>
          <w:rFonts w:hint="eastAsia" w:ascii="宋体" w:hAnsi="宋体" w:eastAsia="宋体" w:cs="宋体"/>
          <w:color w:val="auto"/>
          <w:sz w:val="35"/>
          <w:szCs w:val="35"/>
          <w:highlight w:val="none"/>
          <w:lang w:eastAsia="zh-CN"/>
        </w:rPr>
      </w:pP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项目编号：</w:t>
      </w:r>
      <w:r>
        <w:rPr>
          <w:rFonts w:hint="eastAsia" w:ascii="宋体" w:hAnsi="宋体" w:eastAsia="宋体" w:cs="宋体"/>
          <w:color w:val="auto"/>
          <w:sz w:val="35"/>
          <w:szCs w:val="35"/>
          <w:highlight w:val="none"/>
          <w:lang w:eastAsia="zh-CN"/>
          <w14:textOutline w14:w="6537" w14:cap="sq" w14:cmpd="sng">
            <w14:solidFill>
              <w14:srgbClr w14:val="000000"/>
            </w14:solidFill>
            <w14:prstDash w14:val="solid"/>
            <w14:bevel/>
          </w14:textOutline>
        </w:rPr>
        <w:t>JM-2024-10-01249</w:t>
      </w:r>
    </w:p>
    <w:p w14:paraId="24C6C7DD">
      <w:pPr>
        <w:pStyle w:val="2"/>
        <w:spacing w:line="254" w:lineRule="auto"/>
        <w:rPr>
          <w:color w:val="auto"/>
          <w:highlight w:val="none"/>
        </w:rPr>
      </w:pPr>
    </w:p>
    <w:p w14:paraId="511FD371">
      <w:pPr>
        <w:pStyle w:val="2"/>
        <w:spacing w:line="254" w:lineRule="auto"/>
        <w:rPr>
          <w:color w:val="auto"/>
          <w:highlight w:val="none"/>
        </w:rPr>
      </w:pPr>
    </w:p>
    <w:p w14:paraId="49CD913C">
      <w:pPr>
        <w:pStyle w:val="2"/>
        <w:spacing w:line="254" w:lineRule="auto"/>
        <w:rPr>
          <w:color w:val="auto"/>
          <w:highlight w:val="none"/>
        </w:rPr>
      </w:pPr>
    </w:p>
    <w:p w14:paraId="2760FFE3">
      <w:pPr>
        <w:pStyle w:val="2"/>
        <w:spacing w:line="255" w:lineRule="auto"/>
        <w:rPr>
          <w:color w:val="auto"/>
          <w:highlight w:val="none"/>
        </w:rPr>
      </w:pPr>
    </w:p>
    <w:p w14:paraId="2B7BC9C5">
      <w:pPr>
        <w:pStyle w:val="2"/>
        <w:spacing w:line="255" w:lineRule="auto"/>
        <w:rPr>
          <w:color w:val="auto"/>
          <w:highlight w:val="none"/>
        </w:rPr>
      </w:pPr>
    </w:p>
    <w:p w14:paraId="3AECB10A">
      <w:pPr>
        <w:pStyle w:val="2"/>
        <w:spacing w:line="255" w:lineRule="auto"/>
        <w:rPr>
          <w:color w:val="auto"/>
          <w:highlight w:val="none"/>
        </w:rPr>
      </w:pPr>
    </w:p>
    <w:p w14:paraId="694FAA99">
      <w:pPr>
        <w:pStyle w:val="2"/>
        <w:spacing w:line="255" w:lineRule="auto"/>
        <w:rPr>
          <w:color w:val="auto"/>
          <w:highlight w:val="none"/>
        </w:rPr>
      </w:pPr>
    </w:p>
    <w:p w14:paraId="48B5C660">
      <w:pPr>
        <w:pStyle w:val="2"/>
        <w:spacing w:line="255" w:lineRule="auto"/>
        <w:rPr>
          <w:color w:val="auto"/>
          <w:highlight w:val="none"/>
        </w:rPr>
      </w:pPr>
    </w:p>
    <w:p w14:paraId="05673F32">
      <w:pPr>
        <w:pStyle w:val="2"/>
        <w:spacing w:line="255" w:lineRule="auto"/>
        <w:rPr>
          <w:color w:val="auto"/>
          <w:highlight w:val="none"/>
        </w:rPr>
      </w:pPr>
    </w:p>
    <w:p w14:paraId="3279E113">
      <w:pPr>
        <w:pStyle w:val="2"/>
        <w:spacing w:line="255" w:lineRule="auto"/>
        <w:rPr>
          <w:color w:val="auto"/>
          <w:highlight w:val="none"/>
        </w:rPr>
      </w:pPr>
    </w:p>
    <w:p w14:paraId="07313E92">
      <w:pPr>
        <w:pStyle w:val="2"/>
        <w:spacing w:line="255" w:lineRule="auto"/>
        <w:rPr>
          <w:color w:val="auto"/>
          <w:highlight w:val="none"/>
        </w:rPr>
      </w:pPr>
    </w:p>
    <w:p w14:paraId="0F7B22BA">
      <w:pPr>
        <w:pStyle w:val="2"/>
        <w:spacing w:line="255" w:lineRule="auto"/>
        <w:rPr>
          <w:rFonts w:ascii="宋体" w:hAnsi="宋体" w:eastAsia="宋体" w:cs="宋体"/>
          <w:snapToGrid w:val="0"/>
          <w:color w:val="auto"/>
          <w:spacing w:val="10"/>
          <w:kern w:val="0"/>
          <w:sz w:val="31"/>
          <w:szCs w:val="31"/>
          <w:highlight w:val="none"/>
          <w:lang w:val="en-US" w:eastAsia="en-US" w:bidi="ar-SA"/>
          <w14:textOutline w14:w="5793" w14:cap="sq" w14:cmpd="sng">
            <w14:solidFill>
              <w14:srgbClr w14:val="000000"/>
            </w14:solidFill>
            <w14:prstDash w14:val="solid"/>
            <w14:bevel/>
          </w14:textOutline>
        </w:rPr>
      </w:pPr>
    </w:p>
    <w:p w14:paraId="720C77CB">
      <w:pPr>
        <w:spacing w:before="100" w:line="225" w:lineRule="auto"/>
        <w:jc w:val="center"/>
        <w:outlineLvl w:val="9"/>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pPr>
      <w:bookmarkStart w:id="1" w:name="_Toc11763"/>
      <w:r>
        <w:rPr>
          <w:rFonts w:ascii="宋体" w:hAnsi="宋体" w:eastAsia="宋体" w:cs="宋体"/>
          <w:snapToGrid w:val="0"/>
          <w:color w:val="auto"/>
          <w:spacing w:val="10"/>
          <w:kern w:val="0"/>
          <w:sz w:val="31"/>
          <w:szCs w:val="31"/>
          <w:highlight w:val="none"/>
          <w:lang w:val="en-US" w:eastAsia="en-US" w:bidi="ar-SA"/>
          <w14:textOutline w14:w="5793" w14:cap="sq" w14:cmpd="sng">
            <w14:solidFill>
              <w14:srgbClr w14:val="000000"/>
            </w14:solidFill>
            <w14:prstDash w14:val="solid"/>
            <w14:bevel/>
          </w14:textOutline>
        </w:rPr>
        <w:t>采购人：</w:t>
      </w:r>
      <w:bookmarkEnd w:id="1"/>
      <w:r>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t>长春市财政信息中心</w:t>
      </w:r>
    </w:p>
    <w:p w14:paraId="53D254DD">
      <w:pPr>
        <w:pStyle w:val="2"/>
        <w:spacing w:line="349" w:lineRule="auto"/>
        <w:rPr>
          <w:rFonts w:ascii="宋体" w:hAnsi="宋体" w:eastAsia="宋体" w:cs="宋体"/>
          <w:snapToGrid w:val="0"/>
          <w:color w:val="auto"/>
          <w:spacing w:val="10"/>
          <w:kern w:val="0"/>
          <w:sz w:val="31"/>
          <w:szCs w:val="31"/>
          <w:highlight w:val="none"/>
          <w:lang w:val="en-US" w:eastAsia="en-US" w:bidi="ar-SA"/>
          <w14:textOutline w14:w="5793" w14:cap="sq" w14:cmpd="sng">
            <w14:solidFill>
              <w14:srgbClr w14:val="000000"/>
            </w14:solidFill>
            <w14:prstDash w14:val="solid"/>
            <w14:bevel/>
          </w14:textOutline>
        </w:rPr>
      </w:pPr>
    </w:p>
    <w:p w14:paraId="5718B672">
      <w:pPr>
        <w:spacing w:before="101" w:line="225" w:lineRule="auto"/>
        <w:jc w:val="center"/>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pPr>
      <w:r>
        <w:rPr>
          <w:rFonts w:ascii="宋体" w:hAnsi="宋体" w:eastAsia="宋体" w:cs="宋体"/>
          <w:snapToGrid w:val="0"/>
          <w:color w:val="auto"/>
          <w:spacing w:val="10"/>
          <w:kern w:val="0"/>
          <w:sz w:val="31"/>
          <w:szCs w:val="31"/>
          <w:highlight w:val="none"/>
          <w:lang w:val="en-US" w:eastAsia="en-US" w:bidi="ar-SA"/>
          <w14:textOutline w14:w="5793" w14:cap="sq" w14:cmpd="sng">
            <w14:solidFill>
              <w14:srgbClr w14:val="000000"/>
            </w14:solidFill>
            <w14:prstDash w14:val="solid"/>
            <w14:bevel/>
          </w14:textOutline>
        </w:rPr>
        <w:t>采购代理机构：</w:t>
      </w:r>
      <w:r>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t>北京环亚恒信建设工程咨询有限公司</w:t>
      </w:r>
    </w:p>
    <w:p w14:paraId="3F576FC5">
      <w:pPr>
        <w:pStyle w:val="2"/>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pPr>
    </w:p>
    <w:p w14:paraId="751FE37C">
      <w:pPr>
        <w:pStyle w:val="6"/>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pPr>
    </w:p>
    <w:p w14:paraId="1F49446B">
      <w:pPr>
        <w:rPr>
          <w:rFonts w:hint="eastAsia" w:ascii="宋体" w:hAnsi="宋体" w:eastAsia="宋体" w:cs="宋体"/>
          <w:snapToGrid w:val="0"/>
          <w:color w:val="auto"/>
          <w:spacing w:val="10"/>
          <w:kern w:val="0"/>
          <w:sz w:val="31"/>
          <w:szCs w:val="31"/>
          <w:highlight w:val="none"/>
          <w:lang w:val="en-US" w:eastAsia="zh-CN" w:bidi="ar-SA"/>
          <w14:textOutline w14:w="5793" w14:cap="sq" w14:cmpd="sng">
            <w14:solidFill>
              <w14:srgbClr w14:val="000000"/>
            </w14:solidFill>
            <w14:prstDash w14:val="solid"/>
            <w14:bevel/>
          </w14:textOutline>
        </w:rPr>
      </w:pPr>
    </w:p>
    <w:p w14:paraId="2D54C733">
      <w:pPr>
        <w:spacing w:line="219" w:lineRule="auto"/>
        <w:ind w:left="4206"/>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pPr>
    </w:p>
    <w:p w14:paraId="716AF866">
      <w:pPr>
        <w:spacing w:line="219" w:lineRule="auto"/>
        <w:ind w:left="4206"/>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pPr>
    </w:p>
    <w:p w14:paraId="3A375A5F">
      <w:pPr>
        <w:spacing w:line="219" w:lineRule="auto"/>
        <w:ind w:left="4206"/>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pPr>
    </w:p>
    <w:p w14:paraId="24E43DC3">
      <w:pPr>
        <w:spacing w:line="219" w:lineRule="auto"/>
        <w:ind w:left="4206"/>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t>202</w:t>
      </w:r>
      <w:r>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t>4</w:t>
      </w:r>
      <w:r>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t>年</w:t>
      </w:r>
      <w:r>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t>10</w:t>
      </w:r>
      <w:r>
        <w:rPr>
          <w:rFonts w:ascii="宋体" w:hAnsi="宋体" w:eastAsia="宋体" w:cs="宋体"/>
          <w:color w:val="auto"/>
          <w:spacing w:val="-2"/>
          <w:sz w:val="31"/>
          <w:szCs w:val="31"/>
          <w:highlight w:val="none"/>
          <w14:textOutline w14:w="5793" w14:cap="sq" w14:cmpd="sng">
            <w14:solidFill>
              <w14:srgbClr w14:val="000000"/>
            </w14:solidFill>
            <w14:prstDash w14:val="solid"/>
            <w14:bevel/>
          </w14:textOutline>
        </w:rPr>
        <w:t>月</w:t>
      </w:r>
    </w:p>
    <w:p w14:paraId="56822BEE">
      <w:pPr>
        <w:pStyle w:val="2"/>
        <w:rPr>
          <w:rFonts w:hint="eastAsia"/>
          <w:color w:val="auto"/>
          <w:highlight w:val="none"/>
          <w:lang w:val="en-US" w:eastAsia="zh-CN"/>
        </w:rPr>
      </w:pPr>
    </w:p>
    <w:p w14:paraId="0173F6DF">
      <w:pPr>
        <w:spacing w:line="225" w:lineRule="auto"/>
        <w:rPr>
          <w:rFonts w:ascii="宋体" w:hAnsi="宋体" w:eastAsia="宋体" w:cs="宋体"/>
          <w:color w:val="auto"/>
          <w:sz w:val="31"/>
          <w:szCs w:val="31"/>
          <w:highlight w:val="none"/>
        </w:rPr>
        <w:sectPr>
          <w:footerReference r:id="rId5" w:type="default"/>
          <w:pgSz w:w="11906" w:h="16839"/>
          <w:pgMar w:top="1431" w:right="897" w:bottom="1722" w:left="916" w:header="0" w:footer="1343" w:gutter="0"/>
          <w:cols w:space="720" w:num="1"/>
        </w:sectPr>
      </w:pPr>
    </w:p>
    <w:sdt>
      <w:sdtPr>
        <w:rPr>
          <w:rFonts w:ascii="宋体" w:hAnsi="宋体" w:eastAsia="宋体" w:cs="Arial"/>
          <w:b/>
          <w:bCs/>
          <w:snapToGrid w:val="0"/>
          <w:color w:val="auto"/>
          <w:kern w:val="0"/>
          <w:sz w:val="40"/>
          <w:szCs w:val="40"/>
          <w:highlight w:val="none"/>
          <w:lang w:val="en-US" w:eastAsia="en-US" w:bidi="ar-SA"/>
        </w:rPr>
        <w:id w:val="147463224"/>
        <w15:color w:val="DBDBDB"/>
        <w:docPartObj>
          <w:docPartGallery w:val="Table of Contents"/>
          <w:docPartUnique/>
        </w:docPartObj>
      </w:sdtPr>
      <w:sdtEndPr>
        <w:rPr>
          <w:rFonts w:ascii="宋体" w:hAnsi="宋体" w:eastAsia="宋体" w:cs="宋体"/>
          <w:b/>
          <w:bCs/>
          <w:snapToGrid w:val="0"/>
          <w:color w:val="auto"/>
          <w:kern w:val="0"/>
          <w:sz w:val="21"/>
          <w:szCs w:val="20"/>
          <w:highlight w:val="none"/>
          <w:lang w:val="en-US" w:eastAsia="en-US" w:bidi="ar-SA"/>
        </w:rPr>
      </w:sdtEndPr>
      <w:sdtContent>
        <w:p w14:paraId="22531B96">
          <w:pPr>
            <w:spacing w:before="0" w:beforeLines="0" w:after="0" w:afterLines="0" w:line="240" w:lineRule="auto"/>
            <w:ind w:left="0" w:leftChars="0" w:right="0" w:rightChars="0" w:firstLine="0" w:firstLineChars="0"/>
            <w:jc w:val="center"/>
            <w:rPr>
              <w:rFonts w:ascii="宋体" w:hAnsi="宋体" w:eastAsia="宋体" w:cs="Arial"/>
              <w:b/>
              <w:bCs/>
              <w:snapToGrid w:val="0"/>
              <w:color w:val="auto"/>
              <w:kern w:val="0"/>
              <w:sz w:val="40"/>
              <w:szCs w:val="40"/>
              <w:highlight w:val="none"/>
              <w:lang w:val="en-US" w:eastAsia="en-US" w:bidi="ar-SA"/>
            </w:rPr>
          </w:pPr>
        </w:p>
        <w:p w14:paraId="5D1FDC5D">
          <w:pPr>
            <w:spacing w:before="0" w:beforeLines="0" w:after="0" w:afterLines="0" w:line="240" w:lineRule="auto"/>
            <w:ind w:left="0" w:leftChars="0" w:right="0" w:rightChars="0" w:firstLine="0" w:firstLineChars="0"/>
            <w:jc w:val="center"/>
            <w:rPr>
              <w:rFonts w:ascii="宋体" w:hAnsi="宋体" w:eastAsia="宋体" w:cs="Arial"/>
              <w:b/>
              <w:bCs/>
              <w:snapToGrid w:val="0"/>
              <w:color w:val="auto"/>
              <w:kern w:val="0"/>
              <w:sz w:val="40"/>
              <w:szCs w:val="40"/>
              <w:highlight w:val="none"/>
              <w:lang w:val="en-US" w:eastAsia="en-US" w:bidi="ar-SA"/>
            </w:rPr>
          </w:pPr>
        </w:p>
        <w:p w14:paraId="27CF4B17">
          <w:pPr>
            <w:spacing w:before="0" w:beforeLines="0" w:after="0" w:afterLines="0" w:line="240" w:lineRule="auto"/>
            <w:ind w:left="0" w:leftChars="0" w:right="0" w:rightChars="0" w:firstLine="0" w:firstLineChars="0"/>
            <w:jc w:val="center"/>
            <w:rPr>
              <w:rFonts w:ascii="宋体" w:hAnsi="宋体" w:eastAsia="宋体" w:cs="Arial"/>
              <w:b/>
              <w:bCs/>
              <w:snapToGrid w:val="0"/>
              <w:color w:val="auto"/>
              <w:kern w:val="0"/>
              <w:sz w:val="40"/>
              <w:szCs w:val="40"/>
              <w:highlight w:val="none"/>
              <w:lang w:val="en-US" w:eastAsia="en-US" w:bidi="ar-SA"/>
            </w:rPr>
          </w:pPr>
        </w:p>
        <w:p w14:paraId="01C10300">
          <w:pPr>
            <w:spacing w:before="0" w:beforeLines="0" w:after="0" w:afterLines="0" w:line="240" w:lineRule="auto"/>
            <w:ind w:left="0" w:leftChars="0" w:right="0" w:rightChars="0" w:firstLine="0" w:firstLineChars="0"/>
            <w:jc w:val="center"/>
            <w:rPr>
              <w:rFonts w:ascii="宋体" w:hAnsi="宋体" w:eastAsia="宋体"/>
              <w:b/>
              <w:bCs/>
              <w:color w:val="auto"/>
              <w:sz w:val="40"/>
              <w:szCs w:val="40"/>
              <w:highlight w:val="none"/>
            </w:rPr>
          </w:pPr>
          <w:r>
            <w:rPr>
              <w:rFonts w:ascii="宋体" w:hAnsi="宋体" w:eastAsia="宋体"/>
              <w:b w:val="0"/>
              <w:bCs w:val="0"/>
              <w:color w:val="auto"/>
              <w:sz w:val="72"/>
              <w:szCs w:val="72"/>
              <w:highlight w:val="none"/>
            </w:rPr>
            <w:t>目录</w:t>
          </w:r>
        </w:p>
        <w:p w14:paraId="118C6C83">
          <w:pPr>
            <w:spacing w:before="0" w:beforeLines="0" w:after="0" w:afterLines="0" w:line="240" w:lineRule="auto"/>
            <w:ind w:left="0" w:leftChars="0" w:right="0" w:rightChars="0" w:firstLine="0" w:firstLineChars="0"/>
            <w:jc w:val="center"/>
            <w:rPr>
              <w:rFonts w:ascii="宋体" w:hAnsi="宋体" w:eastAsia="宋体"/>
              <w:b/>
              <w:bCs/>
              <w:color w:val="auto"/>
              <w:sz w:val="40"/>
              <w:szCs w:val="40"/>
              <w:highlight w:val="none"/>
            </w:rPr>
          </w:pPr>
        </w:p>
        <w:p w14:paraId="500D00D0">
          <w:pPr>
            <w:spacing w:before="0" w:beforeLines="0" w:after="0" w:afterLines="0" w:line="240" w:lineRule="auto"/>
            <w:ind w:left="0" w:leftChars="0" w:right="0" w:rightChars="0" w:firstLine="0" w:firstLineChars="0"/>
            <w:jc w:val="center"/>
            <w:rPr>
              <w:rFonts w:ascii="宋体" w:hAnsi="宋体" w:eastAsia="宋体"/>
              <w:b/>
              <w:bCs/>
              <w:color w:val="auto"/>
              <w:sz w:val="40"/>
              <w:szCs w:val="40"/>
              <w:highlight w:val="none"/>
            </w:rPr>
          </w:pPr>
        </w:p>
        <w:p w14:paraId="7C157DEF">
          <w:pPr>
            <w:spacing w:before="0" w:beforeLines="0" w:after="0" w:afterLines="0" w:line="240" w:lineRule="auto"/>
            <w:ind w:left="0" w:leftChars="0" w:right="0" w:rightChars="0" w:firstLine="0" w:firstLineChars="0"/>
            <w:jc w:val="center"/>
            <w:rPr>
              <w:rFonts w:ascii="宋体" w:hAnsi="宋体" w:eastAsia="宋体"/>
              <w:b/>
              <w:bCs/>
              <w:color w:val="auto"/>
              <w:sz w:val="40"/>
              <w:szCs w:val="40"/>
              <w:highlight w:val="none"/>
            </w:rPr>
          </w:pPr>
        </w:p>
        <w:p w14:paraId="0AB39752">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_Toc30989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第一章</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_Toc30989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73B47AE">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_Toc30898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第二章</w:t>
          </w:r>
          <w:r>
            <w:rPr>
              <w:rFonts w:hint="eastAsia" w:ascii="宋体" w:hAnsi="宋体" w:eastAsia="宋体" w:cs="宋体"/>
              <w:color w:val="auto"/>
              <w:spacing w:val="9"/>
              <w:sz w:val="32"/>
              <w:szCs w:val="32"/>
              <w:highlight w:val="none"/>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_Toc30898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29B775A">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_Toc9538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14:textOutline w14:w="7972" w14:cap="sq" w14:cmpd="sng">
                <w14:solidFill>
                  <w14:srgbClr w14:val="000000"/>
                </w14:solidFill>
                <w14:prstDash w14:val="solid"/>
                <w14:bevel/>
              </w14:textOutline>
            </w:rPr>
            <w:t>第三章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7972" w14:cap="sq" w14:cmpd="sng">
                <w14:solidFill>
                  <w14:srgbClr w14:val="000000"/>
                </w14:solidFill>
                <w14:prstDash w14:val="solid"/>
                <w14:bevel/>
              </w14:textOutline>
            </w:rPr>
            <w:t>磋商评审细则</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_Toc9538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F12C490">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_Toc6086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14:textOutline w14:w="7972" w14:cap="sq" w14:cmpd="sng">
                <w14:solidFill>
                  <w14:srgbClr w14:val="000000"/>
                </w14:solidFill>
                <w14:prstDash w14:val="solid"/>
                <w14:bevel/>
              </w14:textOutline>
            </w:rPr>
            <w:t>第四章 服务需求及要求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_Toc6086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1772794">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_Toc10127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14:textOutline w14:w="7972" w14:cap="sq" w14:cmpd="sng">
                <w14:solidFill>
                  <w14:srgbClr w14:val="000000"/>
                </w14:solidFill>
                <w14:prstDash w14:val="solid"/>
                <w14:bevel/>
              </w14:textOutline>
            </w:rPr>
            <w:t>第</w:t>
          </w:r>
          <w:r>
            <w:rPr>
              <w:rFonts w:hint="eastAsia" w:ascii="宋体" w:hAnsi="宋体" w:eastAsia="宋体" w:cs="宋体"/>
              <w:color w:val="auto"/>
              <w:spacing w:val="8"/>
              <w:sz w:val="32"/>
              <w:szCs w:val="32"/>
              <w:highlight w:val="none"/>
              <w:lang w:val="en-US" w:eastAsia="zh-CN"/>
              <w14:textOutline w14:w="7972" w14:cap="sq" w14:cmpd="sng">
                <w14:solidFill>
                  <w14:srgbClr w14:val="000000"/>
                </w14:solidFill>
                <w14:prstDash w14:val="solid"/>
                <w14:bevel/>
              </w14:textOutline>
            </w:rPr>
            <w:t>五</w:t>
          </w:r>
          <w:r>
            <w:rPr>
              <w:rFonts w:hint="eastAsia" w:ascii="宋体" w:hAnsi="宋体" w:eastAsia="宋体" w:cs="宋体"/>
              <w:color w:val="auto"/>
              <w:spacing w:val="8"/>
              <w:sz w:val="32"/>
              <w:szCs w:val="32"/>
              <w:highlight w:val="none"/>
              <w14:textOutline w14:w="7972" w14:cap="sq" w14:cmpd="sng">
                <w14:solidFill>
                  <w14:srgbClr w14:val="000000"/>
                </w14:solidFill>
                <w14:prstDash w14:val="solid"/>
                <w14:bevel/>
              </w14:textOutline>
            </w:rPr>
            <w:t xml:space="preserve">章 </w:t>
          </w:r>
          <w:r>
            <w:rPr>
              <w:rFonts w:hint="eastAsia" w:ascii="宋体" w:hAnsi="宋体" w:eastAsia="宋体" w:cs="宋体"/>
              <w:color w:val="auto"/>
              <w:spacing w:val="8"/>
              <w:sz w:val="32"/>
              <w:szCs w:val="32"/>
              <w:highlight w:val="none"/>
              <w:lang w:eastAsia="zh-CN"/>
              <w14:textOutline w14:w="7972" w14:cap="sq" w14:cmpd="sng">
                <w14:solidFill>
                  <w14:srgbClr w14:val="000000"/>
                </w14:solidFill>
                <w14:prstDash w14:val="solid"/>
                <w14:bevel/>
              </w14:textOutline>
            </w:rPr>
            <w:t>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_Toc10127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7F7B67C">
          <w:pPr>
            <w:pStyle w:val="9"/>
            <w:keepNext w:val="0"/>
            <w:keepLines w:val="0"/>
            <w:pageBreakBefore w:val="0"/>
            <w:widowControl/>
            <w:tabs>
              <w:tab w:val="right" w:leader="dot" w:pos="1019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_Toc4705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第</w:t>
          </w:r>
          <w:r>
            <w:rPr>
              <w:rFonts w:hint="eastAsia" w:ascii="宋体" w:hAnsi="宋体" w:eastAsia="宋体" w:cs="宋体"/>
              <w:color w:val="auto"/>
              <w:spacing w:val="9"/>
              <w:sz w:val="32"/>
              <w:szCs w:val="32"/>
              <w:highlight w:val="none"/>
              <w:lang w:val="en-US" w:eastAsia="zh-CN"/>
              <w14:textOutline w14:w="7972" w14:cap="sq" w14:cmpd="sng">
                <w14:solidFill>
                  <w14:srgbClr w14:val="000000"/>
                </w14:solidFill>
                <w14:prstDash w14:val="solid"/>
                <w14:bevel/>
              </w14:textOutline>
            </w:rPr>
            <w:t>六</w:t>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章</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磋商响应文件格式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_Toc4705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BD6F5A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宋体"/>
              <w:color w:val="auto"/>
              <w:sz w:val="20"/>
              <w:szCs w:val="20"/>
              <w:highlight w:val="none"/>
            </w:rPr>
            <w:sectPr>
              <w:footerReference r:id="rId6" w:type="default"/>
              <w:pgSz w:w="11906" w:h="16839"/>
              <w:pgMar w:top="1104" w:right="850" w:bottom="400" w:left="857" w:header="0" w:footer="0" w:gutter="0"/>
              <w:pgNumType w:start="1"/>
              <w:cols w:space="720" w:num="1"/>
            </w:sectPr>
          </w:pPr>
          <w:r>
            <w:rPr>
              <w:rFonts w:hint="eastAsia" w:ascii="宋体" w:hAnsi="宋体" w:eastAsia="宋体" w:cs="宋体"/>
              <w:color w:val="auto"/>
              <w:sz w:val="32"/>
              <w:szCs w:val="32"/>
              <w:highlight w:val="none"/>
            </w:rPr>
            <w:fldChar w:fldCharType="end"/>
          </w:r>
        </w:p>
      </w:sdtContent>
    </w:sdt>
    <w:p w14:paraId="542E3ED8">
      <w:pPr>
        <w:spacing w:before="86" w:line="360" w:lineRule="auto"/>
        <w:ind w:left="2890"/>
        <w:outlineLvl w:val="0"/>
        <w:rPr>
          <w:rFonts w:ascii="宋体" w:hAnsi="宋体" w:eastAsia="宋体" w:cs="宋体"/>
          <w:color w:val="auto"/>
          <w:sz w:val="43"/>
          <w:szCs w:val="43"/>
          <w:highlight w:val="none"/>
        </w:rPr>
      </w:pPr>
      <w:bookmarkStart w:id="2" w:name="_Toc30989"/>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第一章</w:t>
      </w:r>
      <w:r>
        <w:rPr>
          <w:rFonts w:ascii="宋体" w:hAnsi="宋体" w:eastAsia="宋体" w:cs="宋体"/>
          <w:color w:val="auto"/>
          <w:spacing w:val="9"/>
          <w:sz w:val="43"/>
          <w:szCs w:val="43"/>
          <w:highlight w:val="none"/>
        </w:rPr>
        <w:t xml:space="preserve"> </w:t>
      </w:r>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竞争性磋商公告</w:t>
      </w:r>
      <w:bookmarkEnd w:id="2"/>
    </w:p>
    <w:p w14:paraId="3927AA48">
      <w:pPr>
        <w:spacing w:before="85"/>
        <w:rPr>
          <w:color w:val="auto"/>
          <w:highlight w:val="none"/>
        </w:rPr>
      </w:pPr>
    </w:p>
    <w:tbl>
      <w:tblPr>
        <w:tblStyle w:val="15"/>
        <w:tblW w:w="10379"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379"/>
      </w:tblGrid>
      <w:tr w14:paraId="41EFFEA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10379" w:type="dxa"/>
            <w:vAlign w:val="top"/>
          </w:tcPr>
          <w:p w14:paraId="645448E1">
            <w:pPr>
              <w:pStyle w:val="16"/>
              <w:spacing w:before="154" w:line="228" w:lineRule="auto"/>
              <w:ind w:left="95"/>
              <w:rPr>
                <w:color w:val="auto"/>
                <w:highlight w:val="none"/>
              </w:rPr>
            </w:pPr>
            <w:r>
              <w:rPr>
                <w:color w:val="auto"/>
                <w:spacing w:val="6"/>
                <w:highlight w:val="none"/>
              </w:rPr>
              <w:t>项目概况</w:t>
            </w:r>
          </w:p>
          <w:p w14:paraId="0EF4ED41">
            <w:pPr>
              <w:pStyle w:val="16"/>
              <w:spacing w:before="220" w:line="432" w:lineRule="auto"/>
              <w:ind w:left="85" w:right="83" w:firstLine="428"/>
              <w:jc w:val="both"/>
              <w:rPr>
                <w:color w:val="auto"/>
                <w:highlight w:val="none"/>
              </w:rPr>
            </w:pPr>
            <w:r>
              <w:rPr>
                <w:rFonts w:hint="eastAsia"/>
                <w:color w:val="auto"/>
                <w:spacing w:val="10"/>
                <w:highlight w:val="none"/>
                <w:u w:val="single" w:color="auto"/>
                <w:lang w:eastAsia="zh-CN"/>
              </w:rPr>
              <w:t>核心业务运维服务</w:t>
            </w:r>
            <w:r>
              <w:rPr>
                <w:rFonts w:hint="eastAsia"/>
                <w:color w:val="auto"/>
                <w:spacing w:val="10"/>
                <w:highlight w:val="none"/>
                <w:u w:val="none" w:color="auto"/>
                <w:lang w:eastAsia="zh-CN"/>
              </w:rPr>
              <w:t>采购项目</w:t>
            </w:r>
            <w:r>
              <w:rPr>
                <w:color w:val="auto"/>
                <w:spacing w:val="10"/>
                <w:highlight w:val="none"/>
              </w:rPr>
              <w:t>的潜在供应商应在</w:t>
            </w:r>
            <w:r>
              <w:rPr>
                <w:color w:val="auto"/>
                <w:spacing w:val="10"/>
                <w:highlight w:val="none"/>
                <w:u w:val="single" w:color="auto"/>
              </w:rPr>
              <w:t>政府采购云平台（网址：</w:t>
            </w:r>
            <w:r>
              <w:rPr>
                <w:color w:val="auto"/>
                <w:highlight w:val="none"/>
                <w:u w:val="single" w:color="auto"/>
              </w:rPr>
              <w:t>http</w:t>
            </w:r>
            <w:r>
              <w:rPr>
                <w:color w:val="auto"/>
                <w:spacing w:val="10"/>
                <w:highlight w:val="none"/>
                <w:u w:val="single" w:color="auto"/>
              </w:rPr>
              <w:t>://</w:t>
            </w:r>
            <w:r>
              <w:rPr>
                <w:color w:val="auto"/>
                <w:highlight w:val="none"/>
                <w:u w:val="single" w:color="auto"/>
              </w:rPr>
              <w:t>www</w:t>
            </w:r>
            <w:r>
              <w:rPr>
                <w:color w:val="auto"/>
                <w:spacing w:val="5"/>
                <w:highlight w:val="none"/>
                <w:u w:val="single" w:color="auto"/>
              </w:rPr>
              <w:t>.</w:t>
            </w:r>
            <w:r>
              <w:rPr>
                <w:color w:val="auto"/>
                <w:highlight w:val="none"/>
                <w:u w:val="single" w:color="auto"/>
              </w:rPr>
              <w:t>zcygov</w:t>
            </w:r>
            <w:r>
              <w:rPr>
                <w:color w:val="auto"/>
                <w:spacing w:val="5"/>
                <w:highlight w:val="none"/>
                <w:u w:val="single" w:color="auto"/>
              </w:rPr>
              <w:t>.</w:t>
            </w:r>
            <w:r>
              <w:rPr>
                <w:color w:val="auto"/>
                <w:highlight w:val="none"/>
                <w:u w:val="single" w:color="auto"/>
              </w:rPr>
              <w:t>cn</w:t>
            </w:r>
            <w:r>
              <w:rPr>
                <w:color w:val="auto"/>
                <w:spacing w:val="5"/>
                <w:highlight w:val="none"/>
                <w:u w:val="single" w:color="auto"/>
              </w:rPr>
              <w:t>）</w:t>
            </w:r>
            <w:r>
              <w:rPr>
                <w:color w:val="auto"/>
                <w:spacing w:val="5"/>
                <w:highlight w:val="none"/>
              </w:rPr>
              <w:t>获取采购文件（操作路径：登录“政采云”平台-项目采购-获取采购文件-找到本项目-点击“申</w:t>
            </w:r>
            <w:r>
              <w:rPr>
                <w:color w:val="auto"/>
                <w:spacing w:val="4"/>
                <w:highlight w:val="none"/>
              </w:rPr>
              <w:t>请获取采购文件”</w:t>
            </w:r>
            <w:r>
              <w:rPr>
                <w:color w:val="auto"/>
                <w:spacing w:val="1"/>
                <w:highlight w:val="none"/>
              </w:rPr>
              <w:t>），</w:t>
            </w:r>
            <w:r>
              <w:rPr>
                <w:color w:val="auto"/>
                <w:spacing w:val="4"/>
                <w:highlight w:val="none"/>
              </w:rPr>
              <w:t>并于</w:t>
            </w:r>
            <w:r>
              <w:rPr>
                <w:color w:val="auto"/>
                <w:spacing w:val="-37"/>
                <w:highlight w:val="none"/>
              </w:rPr>
              <w:t xml:space="preserve"> </w:t>
            </w:r>
            <w:r>
              <w:rPr>
                <w:rFonts w:hint="eastAsia"/>
                <w:color w:val="auto"/>
                <w:spacing w:val="4"/>
                <w:highlight w:val="none"/>
                <w:u w:val="single" w:color="auto"/>
                <w:lang w:eastAsia="zh-CN"/>
              </w:rPr>
              <w:t>2024年11月12日14时00分</w:t>
            </w:r>
            <w:r>
              <w:rPr>
                <w:color w:val="auto"/>
                <w:spacing w:val="3"/>
                <w:highlight w:val="none"/>
              </w:rPr>
              <w:t>（北京时间）前提交响应文件。</w:t>
            </w:r>
          </w:p>
        </w:tc>
      </w:tr>
    </w:tbl>
    <w:p w14:paraId="587B1067">
      <w:pPr>
        <w:keepNext w:val="0"/>
        <w:keepLines w:val="0"/>
        <w:pageBreakBefore w:val="0"/>
        <w:widowControl/>
        <w:kinsoku w:val="0"/>
        <w:wordWrap/>
        <w:overflowPunct/>
        <w:topLinePunct w:val="0"/>
        <w:autoSpaceDE w:val="0"/>
        <w:autoSpaceDN w:val="0"/>
        <w:bidi w:val="0"/>
        <w:adjustRightInd w:val="0"/>
        <w:snapToGrid w:val="0"/>
        <w:spacing w:before="130" w:line="340" w:lineRule="exact"/>
        <w:ind w:left="520"/>
        <w:textAlignment w:val="baseline"/>
        <w:outlineLvl w:val="9"/>
        <w:rPr>
          <w:rFonts w:ascii="宋体" w:hAnsi="宋体" w:eastAsia="宋体" w:cs="宋体"/>
          <w:color w:val="auto"/>
          <w:spacing w:val="8"/>
          <w:sz w:val="21"/>
          <w:szCs w:val="21"/>
          <w:highlight w:val="none"/>
        </w:rPr>
      </w:pPr>
      <w:bookmarkStart w:id="3" w:name="_Toc20962"/>
    </w:p>
    <w:p w14:paraId="5CD47CC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一、项目基本情况</w:t>
      </w:r>
      <w:bookmarkEnd w:id="3"/>
    </w:p>
    <w:p w14:paraId="72A9A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2"/>
          <w:szCs w:val="22"/>
          <w:highlight w:val="none"/>
          <w:lang w:val="en-US" w:eastAsia="zh-CN"/>
        </w:rPr>
      </w:pPr>
      <w:r>
        <w:rPr>
          <w:rFonts w:hint="eastAsia" w:ascii="宋体" w:hAnsi="宋体" w:eastAsia="宋体" w:cs="宋体"/>
          <w:color w:val="auto"/>
          <w:spacing w:val="5"/>
          <w:sz w:val="22"/>
          <w:szCs w:val="22"/>
          <w:highlight w:val="none"/>
          <w:lang w:val="en-US" w:eastAsia="zh-CN"/>
        </w:rPr>
        <w:t>项目编号：JM-2024-10-01249</w:t>
      </w:r>
    </w:p>
    <w:p w14:paraId="2F6482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9"/>
          <w:sz w:val="22"/>
          <w:szCs w:val="22"/>
          <w:highlight w:val="none"/>
          <w:lang w:eastAsia="zh-CN"/>
        </w:rPr>
      </w:pPr>
      <w:r>
        <w:rPr>
          <w:rFonts w:hint="eastAsia" w:ascii="宋体" w:hAnsi="宋体" w:eastAsia="宋体" w:cs="宋体"/>
          <w:color w:val="auto"/>
          <w:spacing w:val="9"/>
          <w:sz w:val="22"/>
          <w:szCs w:val="22"/>
          <w:highlight w:val="none"/>
        </w:rPr>
        <w:t>项目名称：</w:t>
      </w:r>
      <w:r>
        <w:rPr>
          <w:rFonts w:hint="eastAsia" w:ascii="宋体" w:hAnsi="宋体" w:eastAsia="宋体" w:cs="宋体"/>
          <w:color w:val="auto"/>
          <w:spacing w:val="9"/>
          <w:sz w:val="22"/>
          <w:szCs w:val="22"/>
          <w:highlight w:val="none"/>
          <w:lang w:eastAsia="zh-CN"/>
        </w:rPr>
        <w:t>核心业务运维服务</w:t>
      </w:r>
    </w:p>
    <w:p w14:paraId="3269D8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采购方式：竞争性磋商</w:t>
      </w:r>
    </w:p>
    <w:p w14:paraId="166B39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5"/>
          <w:sz w:val="22"/>
          <w:szCs w:val="22"/>
          <w:highlight w:val="none"/>
          <w:lang w:eastAsia="zh-CN"/>
        </w:rPr>
        <w:t>预算金额</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5"/>
          <w:sz w:val="22"/>
          <w:szCs w:val="22"/>
          <w:highlight w:val="none"/>
          <w:lang w:val="en-US" w:eastAsia="zh-CN"/>
        </w:rPr>
        <w:t>440620元</w:t>
      </w:r>
    </w:p>
    <w:p w14:paraId="381756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9"/>
          <w:sz w:val="22"/>
          <w:szCs w:val="22"/>
          <w:highlight w:val="none"/>
        </w:rPr>
        <w:t>采购需求：</w:t>
      </w:r>
      <w:r>
        <w:rPr>
          <w:rFonts w:hint="eastAsia" w:ascii="宋体" w:hAnsi="宋体" w:eastAsia="宋体" w:cs="宋体"/>
          <w:color w:val="auto"/>
          <w:spacing w:val="9"/>
          <w:sz w:val="22"/>
          <w:szCs w:val="22"/>
          <w:highlight w:val="none"/>
          <w:lang w:eastAsia="zh-CN"/>
        </w:rPr>
        <w:t>长春市财政局核心业务系统包括长春市财政局运用到的多个重要信息系统，该系统能否安全、稳定、高效的运行，直接影响到各处室的工作效率，需要专业的运维服务，确保该系统平稳运行（具体详见竞争性磋商文件）。</w:t>
      </w:r>
    </w:p>
    <w:p w14:paraId="2C6867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lang w:eastAsia="zh-CN"/>
        </w:rPr>
        <w:t>服务期</w:t>
      </w:r>
      <w:r>
        <w:rPr>
          <w:rFonts w:hint="eastAsia" w:ascii="宋体" w:hAnsi="宋体" w:eastAsia="宋体" w:cs="宋体"/>
          <w:color w:val="auto"/>
          <w:spacing w:val="19"/>
          <w:sz w:val="22"/>
          <w:szCs w:val="22"/>
          <w:highlight w:val="none"/>
        </w:rPr>
        <w:t>：</w:t>
      </w:r>
      <w:r>
        <w:rPr>
          <w:rFonts w:hint="eastAsia" w:ascii="宋体" w:hAnsi="宋体" w:eastAsia="宋体" w:cs="宋体"/>
          <w:color w:val="auto"/>
          <w:spacing w:val="7"/>
          <w:sz w:val="22"/>
          <w:szCs w:val="22"/>
          <w:highlight w:val="none"/>
          <w:lang w:eastAsia="zh-CN"/>
        </w:rPr>
        <w:t>自合同签订之日起一年</w:t>
      </w:r>
    </w:p>
    <w:p w14:paraId="20228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9"/>
          <w:sz w:val="22"/>
          <w:szCs w:val="22"/>
          <w:highlight w:val="none"/>
        </w:rPr>
        <w:t>质量标准：</w:t>
      </w:r>
      <w:r>
        <w:rPr>
          <w:rFonts w:hint="eastAsia" w:ascii="宋体" w:hAnsi="宋体" w:eastAsia="宋体" w:cs="宋体"/>
          <w:color w:val="auto"/>
          <w:spacing w:val="9"/>
          <w:sz w:val="22"/>
          <w:szCs w:val="22"/>
          <w:highlight w:val="none"/>
          <w:lang w:eastAsia="zh-CN"/>
        </w:rPr>
        <w:t>优质服务</w:t>
      </w:r>
    </w:p>
    <w:p w14:paraId="4D055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本项目不接受联合体参与。</w:t>
      </w:r>
    </w:p>
    <w:p w14:paraId="2F8FD7E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color w:val="auto"/>
          <w:sz w:val="22"/>
          <w:szCs w:val="22"/>
          <w:highlight w:val="none"/>
        </w:rPr>
      </w:pPr>
      <w:bookmarkStart w:id="4" w:name="_Toc31668"/>
      <w:r>
        <w:rPr>
          <w:rFonts w:hint="eastAsia" w:ascii="宋体" w:hAnsi="宋体" w:eastAsia="宋体" w:cs="宋体"/>
          <w:color w:val="auto"/>
          <w:spacing w:val="4"/>
          <w:sz w:val="22"/>
          <w:szCs w:val="22"/>
          <w:highlight w:val="none"/>
        </w:rPr>
        <w:t>二、</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4"/>
          <w:sz w:val="22"/>
          <w:szCs w:val="22"/>
          <w:highlight w:val="none"/>
        </w:rPr>
        <w:t>申请人的资格要求</w:t>
      </w:r>
      <w:bookmarkEnd w:id="4"/>
    </w:p>
    <w:p w14:paraId="5CCE0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9"/>
        <w:rPr>
          <w:rFonts w:hint="eastAsia" w:ascii="宋体" w:hAnsi="宋体" w:eastAsia="宋体" w:cs="宋体"/>
          <w:color w:val="auto"/>
          <w:sz w:val="22"/>
          <w:szCs w:val="22"/>
          <w:highlight w:val="none"/>
        </w:rPr>
      </w:pPr>
      <w:bookmarkStart w:id="5" w:name="_Toc30986"/>
      <w:r>
        <w:rPr>
          <w:rFonts w:hint="eastAsia" w:ascii="宋体" w:hAnsi="宋体" w:eastAsia="宋体" w:cs="宋体"/>
          <w:color w:val="auto"/>
          <w:spacing w:val="8"/>
          <w:sz w:val="22"/>
          <w:szCs w:val="22"/>
          <w:highlight w:val="none"/>
        </w:rPr>
        <w:t>1.满足《中华人民共和国政府采购法》第二十二条规定。</w:t>
      </w:r>
      <w:bookmarkEnd w:id="5"/>
    </w:p>
    <w:p w14:paraId="280CD4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2.落实政府采购政策需满足的资格要求：</w:t>
      </w:r>
      <w:r>
        <w:rPr>
          <w:rFonts w:hint="eastAsia" w:ascii="宋体" w:hAnsi="宋体" w:eastAsia="宋体" w:cs="宋体"/>
          <w:color w:val="auto"/>
          <w:spacing w:val="5"/>
          <w:sz w:val="22"/>
          <w:szCs w:val="22"/>
          <w:highlight w:val="none"/>
          <w:u w:val="single"/>
        </w:rPr>
        <w:t>本项目专门面向中小企业采购</w:t>
      </w:r>
      <w:r>
        <w:rPr>
          <w:rFonts w:hint="eastAsia" w:ascii="宋体" w:hAnsi="宋体" w:eastAsia="宋体" w:cs="宋体"/>
          <w:color w:val="auto"/>
          <w:spacing w:val="5"/>
          <w:sz w:val="22"/>
          <w:szCs w:val="22"/>
          <w:highlight w:val="none"/>
        </w:rPr>
        <w:t>（供应商应为中小微企业、监狱企业、</w:t>
      </w:r>
      <w:r>
        <w:rPr>
          <w:rFonts w:hint="eastAsia" w:ascii="宋体" w:hAnsi="宋体" w:eastAsia="宋体" w:cs="宋体"/>
          <w:color w:val="auto"/>
          <w:spacing w:val="7"/>
          <w:sz w:val="22"/>
          <w:szCs w:val="22"/>
          <w:highlight w:val="none"/>
        </w:rPr>
        <w:t>残疾人福利性单位)。需要落实的政府采购政策：《</w:t>
      </w:r>
      <w:r>
        <w:rPr>
          <w:rFonts w:hint="eastAsia" w:ascii="宋体" w:hAnsi="宋体" w:eastAsia="宋体" w:cs="宋体"/>
          <w:color w:val="auto"/>
          <w:spacing w:val="6"/>
          <w:sz w:val="22"/>
          <w:szCs w:val="22"/>
          <w:highlight w:val="none"/>
        </w:rPr>
        <w:t>政府采购促进中小企业发展管理办法》(财库[2020]46号)、</w:t>
      </w:r>
      <w:r>
        <w:rPr>
          <w:rFonts w:hint="eastAsia" w:ascii="宋体" w:hAnsi="宋体" w:eastAsia="宋体" w:cs="宋体"/>
          <w:color w:val="auto"/>
          <w:spacing w:val="9"/>
          <w:sz w:val="22"/>
          <w:szCs w:val="22"/>
          <w:highlight w:val="none"/>
        </w:rPr>
        <w:t>《关于进一步加大政府采购支持中小企业力度的通知》（财库〔2022〕19号）、《关于政府采购支持监</w:t>
      </w:r>
      <w:r>
        <w:rPr>
          <w:rFonts w:hint="eastAsia" w:ascii="宋体" w:hAnsi="宋体" w:eastAsia="宋体" w:cs="宋体"/>
          <w:color w:val="auto"/>
          <w:spacing w:val="8"/>
          <w:sz w:val="22"/>
          <w:szCs w:val="22"/>
          <w:highlight w:val="none"/>
        </w:rPr>
        <w:t>狱企业</w:t>
      </w:r>
      <w:r>
        <w:rPr>
          <w:rFonts w:hint="eastAsia" w:ascii="宋体" w:hAnsi="宋体" w:eastAsia="宋体" w:cs="宋体"/>
          <w:color w:val="auto"/>
          <w:spacing w:val="6"/>
          <w:sz w:val="22"/>
          <w:szCs w:val="22"/>
          <w:highlight w:val="none"/>
        </w:rPr>
        <w:t>发展有关问题的通知》(财库〔2014〕68号)、《关于促进残疾人就业政府采购政策的通知》（财库〔2</w:t>
      </w:r>
      <w:r>
        <w:rPr>
          <w:rFonts w:hint="eastAsia" w:ascii="宋体" w:hAnsi="宋体" w:eastAsia="宋体" w:cs="宋体"/>
          <w:color w:val="auto"/>
          <w:spacing w:val="5"/>
          <w:sz w:val="22"/>
          <w:szCs w:val="22"/>
          <w:highlight w:val="none"/>
        </w:rPr>
        <w:t>017〕141</w:t>
      </w:r>
      <w:r>
        <w:rPr>
          <w:rFonts w:hint="eastAsia" w:ascii="宋体" w:hAnsi="宋体" w:eastAsia="宋体" w:cs="宋体"/>
          <w:color w:val="auto"/>
          <w:spacing w:val="7"/>
          <w:sz w:val="22"/>
          <w:szCs w:val="22"/>
          <w:highlight w:val="none"/>
        </w:rPr>
        <w:t>号)、《关于环境标志产品政府采购实施的意见》（财库〔2006〕90号）、《节能产品政府采购实施意见》的通</w:t>
      </w:r>
      <w:r>
        <w:rPr>
          <w:rFonts w:hint="eastAsia" w:ascii="宋体" w:hAnsi="宋体" w:eastAsia="宋体" w:cs="宋体"/>
          <w:color w:val="auto"/>
          <w:spacing w:val="5"/>
          <w:sz w:val="22"/>
          <w:szCs w:val="22"/>
          <w:highlight w:val="none"/>
        </w:rPr>
        <w:t>知（财库〔2004〕185号）、《关于调整优化节能产品、环境标志产品政府采</w:t>
      </w:r>
      <w:r>
        <w:rPr>
          <w:rFonts w:hint="eastAsia" w:ascii="宋体" w:hAnsi="宋体" w:eastAsia="宋体" w:cs="宋体"/>
          <w:color w:val="auto"/>
          <w:spacing w:val="4"/>
          <w:sz w:val="22"/>
          <w:szCs w:val="22"/>
          <w:highlight w:val="none"/>
        </w:rPr>
        <w:t>购执行机制的通知》（财库〔2019〕</w:t>
      </w:r>
      <w:r>
        <w:rPr>
          <w:rFonts w:hint="eastAsia" w:ascii="宋体" w:hAnsi="宋体" w:eastAsia="宋体" w:cs="宋体"/>
          <w:color w:val="auto"/>
          <w:spacing w:val="9"/>
          <w:sz w:val="22"/>
          <w:szCs w:val="22"/>
          <w:highlight w:val="none"/>
        </w:rPr>
        <w:t>9号）等国家最新政策。专门面向中小企业采购的项目或者采购包，不再执行价格评审优惠的扶持政策。</w:t>
      </w:r>
    </w:p>
    <w:p w14:paraId="7DAF0B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hint="eastAsia" w:ascii="宋体" w:hAnsi="宋体" w:eastAsia="宋体" w:cs="宋体"/>
          <w:color w:val="auto"/>
          <w:sz w:val="22"/>
          <w:szCs w:val="22"/>
          <w:highlight w:val="none"/>
        </w:rPr>
      </w:pPr>
      <w:bookmarkStart w:id="6" w:name="_Toc13849"/>
      <w:r>
        <w:rPr>
          <w:rFonts w:hint="eastAsia" w:ascii="宋体" w:hAnsi="宋体" w:eastAsia="宋体" w:cs="宋体"/>
          <w:color w:val="auto"/>
          <w:spacing w:val="7"/>
          <w:sz w:val="22"/>
          <w:szCs w:val="22"/>
          <w:highlight w:val="none"/>
        </w:rPr>
        <w:t>3.本项目的特定资格要求：</w:t>
      </w:r>
      <w:bookmarkEnd w:id="6"/>
    </w:p>
    <w:p w14:paraId="71DB5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本次招标要求申请人须是在中国境内注册，具有独立法人资格，能独立承担民事责任能力，具有有效的营业执照，并在人员、设备、资金等方面具有承担本项目的能力。</w:t>
      </w:r>
    </w:p>
    <w:p w14:paraId="17959E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供应商应按照《长春市财政局关于加强政府采购信用体系建设简化</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资格条件有关事项的通知》（长财采购[2022]2066号）文件要求在</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中提交反映其财务状况、依法缴纳税收和社会保障资金情况的资格条件承诺函，并对资格条件承诺函有关内容的真实性、有效性、合法性负责。</w:t>
      </w:r>
    </w:p>
    <w:p w14:paraId="2E875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 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至响应文件提交截止时间止）。</w:t>
      </w:r>
    </w:p>
    <w:p w14:paraId="0DA5C2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其他要求：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DC185B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color w:val="auto"/>
          <w:sz w:val="22"/>
          <w:szCs w:val="22"/>
          <w:highlight w:val="none"/>
        </w:rPr>
      </w:pPr>
      <w:bookmarkStart w:id="7" w:name="_Toc12140"/>
      <w:r>
        <w:rPr>
          <w:rFonts w:hint="eastAsia" w:ascii="宋体" w:hAnsi="宋体" w:eastAsia="宋体" w:cs="宋体"/>
          <w:color w:val="auto"/>
          <w:spacing w:val="8"/>
          <w:sz w:val="22"/>
          <w:szCs w:val="22"/>
          <w:highlight w:val="none"/>
        </w:rPr>
        <w:t>三、获取采购文件</w:t>
      </w:r>
      <w:bookmarkEnd w:id="7"/>
    </w:p>
    <w:p w14:paraId="573E6A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时间：</w:t>
      </w:r>
      <w:r>
        <w:rPr>
          <w:rFonts w:hint="eastAsia" w:ascii="宋体" w:hAnsi="宋体" w:eastAsia="宋体" w:cs="宋体"/>
          <w:color w:val="auto"/>
          <w:spacing w:val="9"/>
          <w:sz w:val="22"/>
          <w:szCs w:val="22"/>
          <w:highlight w:val="none"/>
          <w:lang w:eastAsia="zh-CN"/>
        </w:rPr>
        <w:t>202</w:t>
      </w:r>
      <w:r>
        <w:rPr>
          <w:rFonts w:hint="eastAsia" w:ascii="宋体" w:hAnsi="宋体" w:eastAsia="宋体" w:cs="宋体"/>
          <w:color w:val="auto"/>
          <w:spacing w:val="9"/>
          <w:sz w:val="22"/>
          <w:szCs w:val="22"/>
          <w:highlight w:val="none"/>
          <w:lang w:val="en-US" w:eastAsia="zh-CN"/>
        </w:rPr>
        <w:t>4</w:t>
      </w:r>
      <w:r>
        <w:rPr>
          <w:rFonts w:hint="eastAsia" w:ascii="宋体" w:hAnsi="宋体" w:eastAsia="宋体" w:cs="宋体"/>
          <w:color w:val="auto"/>
          <w:spacing w:val="9"/>
          <w:sz w:val="22"/>
          <w:szCs w:val="22"/>
          <w:highlight w:val="none"/>
          <w:lang w:eastAsia="zh-CN"/>
        </w:rPr>
        <w:t>年</w:t>
      </w:r>
      <w:r>
        <w:rPr>
          <w:rFonts w:hint="eastAsia" w:ascii="宋体" w:hAnsi="宋体" w:eastAsia="宋体" w:cs="宋体"/>
          <w:color w:val="auto"/>
          <w:spacing w:val="9"/>
          <w:sz w:val="22"/>
          <w:szCs w:val="22"/>
          <w:highlight w:val="none"/>
          <w:lang w:val="en-US" w:eastAsia="zh-CN"/>
        </w:rPr>
        <w:t>10</w:t>
      </w:r>
      <w:r>
        <w:rPr>
          <w:rFonts w:hint="eastAsia" w:ascii="宋体" w:hAnsi="宋体" w:eastAsia="宋体" w:cs="宋体"/>
          <w:color w:val="auto"/>
          <w:spacing w:val="9"/>
          <w:sz w:val="22"/>
          <w:szCs w:val="22"/>
          <w:highlight w:val="none"/>
          <w:lang w:eastAsia="zh-CN"/>
        </w:rPr>
        <w:t>月</w:t>
      </w:r>
      <w:r>
        <w:rPr>
          <w:rFonts w:hint="eastAsia" w:ascii="宋体" w:hAnsi="宋体" w:eastAsia="宋体" w:cs="宋体"/>
          <w:color w:val="auto"/>
          <w:spacing w:val="9"/>
          <w:sz w:val="22"/>
          <w:szCs w:val="22"/>
          <w:highlight w:val="none"/>
          <w:lang w:val="en-US" w:eastAsia="zh-CN"/>
        </w:rPr>
        <w:t>28</w:t>
      </w:r>
      <w:r>
        <w:rPr>
          <w:rFonts w:hint="eastAsia" w:ascii="宋体" w:hAnsi="宋体" w:eastAsia="宋体" w:cs="宋体"/>
          <w:color w:val="auto"/>
          <w:spacing w:val="9"/>
          <w:sz w:val="22"/>
          <w:szCs w:val="22"/>
          <w:highlight w:val="none"/>
          <w:lang w:eastAsia="zh-CN"/>
        </w:rPr>
        <w:t>日至202</w:t>
      </w:r>
      <w:r>
        <w:rPr>
          <w:rFonts w:hint="eastAsia" w:ascii="宋体" w:hAnsi="宋体" w:eastAsia="宋体" w:cs="宋体"/>
          <w:color w:val="auto"/>
          <w:spacing w:val="9"/>
          <w:sz w:val="22"/>
          <w:szCs w:val="22"/>
          <w:highlight w:val="none"/>
          <w:lang w:val="en-US" w:eastAsia="zh-CN"/>
        </w:rPr>
        <w:t>4</w:t>
      </w:r>
      <w:r>
        <w:rPr>
          <w:rFonts w:hint="eastAsia" w:ascii="宋体" w:hAnsi="宋体" w:eastAsia="宋体" w:cs="宋体"/>
          <w:color w:val="auto"/>
          <w:spacing w:val="9"/>
          <w:sz w:val="22"/>
          <w:szCs w:val="22"/>
          <w:highlight w:val="none"/>
          <w:lang w:eastAsia="zh-CN"/>
        </w:rPr>
        <w:t>年</w:t>
      </w:r>
      <w:r>
        <w:rPr>
          <w:rFonts w:hint="eastAsia" w:ascii="宋体" w:hAnsi="宋体" w:eastAsia="宋体" w:cs="宋体"/>
          <w:color w:val="auto"/>
          <w:spacing w:val="9"/>
          <w:sz w:val="22"/>
          <w:szCs w:val="22"/>
          <w:highlight w:val="none"/>
          <w:lang w:val="en-US" w:eastAsia="zh-CN"/>
        </w:rPr>
        <w:t>11</w:t>
      </w:r>
      <w:r>
        <w:rPr>
          <w:rFonts w:hint="eastAsia" w:ascii="宋体" w:hAnsi="宋体" w:eastAsia="宋体" w:cs="宋体"/>
          <w:color w:val="auto"/>
          <w:spacing w:val="9"/>
          <w:sz w:val="22"/>
          <w:szCs w:val="22"/>
          <w:highlight w:val="none"/>
          <w:lang w:eastAsia="zh-CN"/>
        </w:rPr>
        <w:t>月</w:t>
      </w:r>
      <w:r>
        <w:rPr>
          <w:rFonts w:hint="eastAsia" w:ascii="宋体" w:hAnsi="宋体" w:eastAsia="宋体" w:cs="宋体"/>
          <w:color w:val="auto"/>
          <w:spacing w:val="9"/>
          <w:sz w:val="22"/>
          <w:szCs w:val="22"/>
          <w:highlight w:val="none"/>
          <w:lang w:val="en-US" w:eastAsia="zh-CN"/>
        </w:rPr>
        <w:t>04</w:t>
      </w:r>
      <w:r>
        <w:rPr>
          <w:rFonts w:hint="eastAsia" w:ascii="宋体" w:hAnsi="宋体" w:eastAsia="宋体" w:cs="宋体"/>
          <w:color w:val="auto"/>
          <w:spacing w:val="9"/>
          <w:sz w:val="22"/>
          <w:szCs w:val="22"/>
          <w:highlight w:val="none"/>
          <w:lang w:eastAsia="zh-CN"/>
        </w:rPr>
        <w:t>日</w:t>
      </w:r>
      <w:r>
        <w:rPr>
          <w:rFonts w:hint="eastAsia" w:ascii="宋体" w:hAnsi="宋体" w:eastAsia="宋体" w:cs="宋体"/>
          <w:color w:val="auto"/>
          <w:spacing w:val="9"/>
          <w:sz w:val="22"/>
          <w:szCs w:val="22"/>
          <w:highlight w:val="none"/>
        </w:rPr>
        <w:t>，每天0</w:t>
      </w:r>
      <w:r>
        <w:rPr>
          <w:rFonts w:hint="eastAsia" w:ascii="宋体" w:hAnsi="宋体" w:eastAsia="宋体" w:cs="宋体"/>
          <w:color w:val="auto"/>
          <w:spacing w:val="9"/>
          <w:sz w:val="22"/>
          <w:szCs w:val="22"/>
          <w:highlight w:val="none"/>
          <w:lang w:val="en-US" w:eastAsia="zh-CN"/>
        </w:rPr>
        <w:t>9</w:t>
      </w:r>
      <w:r>
        <w:rPr>
          <w:rFonts w:hint="eastAsia" w:ascii="宋体" w:hAnsi="宋体" w:eastAsia="宋体" w:cs="宋体"/>
          <w:color w:val="auto"/>
          <w:spacing w:val="9"/>
          <w:sz w:val="22"/>
          <w:szCs w:val="22"/>
          <w:highlight w:val="none"/>
        </w:rPr>
        <w:t>时</w:t>
      </w:r>
      <w:r>
        <w:rPr>
          <w:rFonts w:hint="eastAsia" w:ascii="宋体" w:hAnsi="宋体" w:eastAsia="宋体" w:cs="宋体"/>
          <w:color w:val="auto"/>
          <w:spacing w:val="9"/>
          <w:sz w:val="22"/>
          <w:szCs w:val="22"/>
          <w:highlight w:val="none"/>
          <w:lang w:val="en-US" w:eastAsia="zh-CN"/>
        </w:rPr>
        <w:t>00</w:t>
      </w:r>
      <w:r>
        <w:rPr>
          <w:rFonts w:hint="eastAsia" w:ascii="宋体" w:hAnsi="宋体" w:eastAsia="宋体" w:cs="宋体"/>
          <w:color w:val="auto"/>
          <w:spacing w:val="9"/>
          <w:sz w:val="22"/>
          <w:szCs w:val="22"/>
          <w:highlight w:val="none"/>
        </w:rPr>
        <w:t>分至16时00分（北京时间，法定节假日除外）</w:t>
      </w:r>
    </w:p>
    <w:p w14:paraId="126FC6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地点：政府采购云平台（网址：http://www.zcygov.cn）。</w:t>
      </w:r>
    </w:p>
    <w:p w14:paraId="32E6A4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9"/>
          <w:sz w:val="22"/>
          <w:szCs w:val="22"/>
          <w:highlight w:val="none"/>
        </w:rPr>
      </w:pPr>
      <w:r>
        <w:rPr>
          <w:rFonts w:hint="eastAsia" w:ascii="宋体" w:hAnsi="宋体" w:eastAsia="宋体" w:cs="宋体"/>
          <w:color w:val="auto"/>
          <w:spacing w:val="10"/>
          <w:sz w:val="22"/>
          <w:szCs w:val="22"/>
          <w:highlight w:val="none"/>
        </w:rPr>
        <w:t>方式：网上免费获取。潜在供应商可自行在“政采云”平台（网址：</w:t>
      </w:r>
      <w:r>
        <w:rPr>
          <w:rFonts w:hint="eastAsia" w:ascii="宋体" w:hAnsi="宋体" w:eastAsia="宋体" w:cs="宋体"/>
          <w:color w:val="auto"/>
          <w:sz w:val="22"/>
          <w:szCs w:val="22"/>
          <w:highlight w:val="none"/>
        </w:rPr>
        <w:t>http</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zcygov</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0"/>
          <w:sz w:val="22"/>
          <w:szCs w:val="22"/>
          <w:highlight w:val="none"/>
        </w:rPr>
        <w:t>）下载</w:t>
      </w:r>
      <w:r>
        <w:rPr>
          <w:rFonts w:hint="eastAsia" w:ascii="宋体" w:hAnsi="宋体" w:eastAsia="宋体" w:cs="宋体"/>
          <w:color w:val="auto"/>
          <w:spacing w:val="10"/>
          <w:sz w:val="22"/>
          <w:szCs w:val="22"/>
          <w:highlight w:val="none"/>
          <w:lang w:eastAsia="zh-CN"/>
        </w:rPr>
        <w:t>竞争性磋商文件</w:t>
      </w:r>
      <w:r>
        <w:rPr>
          <w:rFonts w:hint="eastAsia" w:ascii="宋体" w:hAnsi="宋体" w:eastAsia="宋体" w:cs="宋体"/>
          <w:color w:val="auto"/>
          <w:spacing w:val="7"/>
          <w:sz w:val="22"/>
          <w:szCs w:val="22"/>
          <w:highlight w:val="none"/>
        </w:rPr>
        <w:t>（操作路径：登录“政采云</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7"/>
          <w:sz w:val="22"/>
          <w:szCs w:val="22"/>
          <w:highlight w:val="none"/>
        </w:rPr>
        <w:t>”平台-项目采购-获取采购文件-找</w:t>
      </w:r>
      <w:r>
        <w:rPr>
          <w:rFonts w:hint="eastAsia" w:ascii="宋体" w:hAnsi="宋体" w:eastAsia="宋体" w:cs="宋体"/>
          <w:color w:val="auto"/>
          <w:spacing w:val="6"/>
          <w:sz w:val="22"/>
          <w:szCs w:val="22"/>
          <w:highlight w:val="none"/>
        </w:rPr>
        <w:t>到本项目-点击“</w:t>
      </w:r>
      <w:r>
        <w:rPr>
          <w:rFonts w:hint="eastAsia" w:ascii="宋体" w:hAnsi="宋体" w:eastAsia="宋体" w:cs="宋体"/>
          <w:color w:val="auto"/>
          <w:spacing w:val="-65"/>
          <w:sz w:val="22"/>
          <w:szCs w:val="22"/>
          <w:highlight w:val="none"/>
        </w:rPr>
        <w:t xml:space="preserve"> </w:t>
      </w:r>
      <w:r>
        <w:rPr>
          <w:rFonts w:hint="eastAsia" w:ascii="宋体" w:hAnsi="宋体" w:eastAsia="宋体" w:cs="宋体"/>
          <w:color w:val="auto"/>
          <w:spacing w:val="6"/>
          <w:sz w:val="22"/>
          <w:szCs w:val="22"/>
          <w:highlight w:val="none"/>
        </w:rPr>
        <w:t>申请获取采购文件”</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6"/>
          <w:sz w:val="22"/>
          <w:szCs w:val="22"/>
          <w:highlight w:val="none"/>
        </w:rPr>
        <w:t>其他</w:t>
      </w:r>
      <w:r>
        <w:rPr>
          <w:rFonts w:hint="eastAsia" w:ascii="宋体" w:hAnsi="宋体" w:eastAsia="宋体" w:cs="宋体"/>
          <w:color w:val="auto"/>
          <w:spacing w:val="9"/>
          <w:sz w:val="22"/>
          <w:szCs w:val="22"/>
          <w:highlight w:val="none"/>
        </w:rPr>
        <w:t>途径获取的采购文件开标时一律按无效投标处理。</w:t>
      </w:r>
    </w:p>
    <w:p w14:paraId="399EC6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未进行网上注册并办理CA认证的供应商将无法参与本次招标活动。</w:t>
      </w:r>
    </w:p>
    <w:p w14:paraId="4E7EC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售价：0元</w:t>
      </w:r>
    </w:p>
    <w:p w14:paraId="7CB9C10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color w:val="auto"/>
          <w:sz w:val="22"/>
          <w:szCs w:val="22"/>
          <w:highlight w:val="none"/>
        </w:rPr>
      </w:pPr>
      <w:bookmarkStart w:id="8" w:name="_Toc740"/>
      <w:r>
        <w:rPr>
          <w:rFonts w:hint="eastAsia" w:ascii="宋体" w:hAnsi="宋体" w:eastAsia="宋体" w:cs="宋体"/>
          <w:color w:val="auto"/>
          <w:spacing w:val="6"/>
          <w:sz w:val="22"/>
          <w:szCs w:val="22"/>
          <w:highlight w:val="none"/>
        </w:rPr>
        <w:t>四、响应文件提交</w:t>
      </w:r>
      <w:bookmarkEnd w:id="8"/>
    </w:p>
    <w:p w14:paraId="3DA16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截止时间：</w:t>
      </w:r>
      <w:r>
        <w:rPr>
          <w:rFonts w:hint="eastAsia" w:ascii="宋体" w:hAnsi="宋体" w:eastAsia="宋体" w:cs="宋体"/>
          <w:color w:val="auto"/>
          <w:spacing w:val="1"/>
          <w:sz w:val="22"/>
          <w:szCs w:val="22"/>
          <w:highlight w:val="none"/>
          <w:lang w:eastAsia="zh-CN"/>
        </w:rPr>
        <w:t>2024年11月12日14时00分</w:t>
      </w:r>
      <w:r>
        <w:rPr>
          <w:rFonts w:hint="eastAsia" w:ascii="宋体" w:hAnsi="宋体" w:eastAsia="宋体" w:cs="宋体"/>
          <w:color w:val="auto"/>
          <w:spacing w:val="1"/>
          <w:sz w:val="22"/>
          <w:szCs w:val="22"/>
          <w:highlight w:val="none"/>
        </w:rPr>
        <w:t>（北京时间）</w:t>
      </w:r>
    </w:p>
    <w:p w14:paraId="4311D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6"/>
          <w:sz w:val="22"/>
          <w:szCs w:val="22"/>
          <w:highlight w:val="none"/>
        </w:rPr>
        <w:t>地点：</w:t>
      </w:r>
      <w:r>
        <w:rPr>
          <w:rFonts w:hint="eastAsia" w:ascii="宋体" w:hAnsi="宋体" w:eastAsia="宋体" w:cs="宋体"/>
          <w:color w:val="auto"/>
          <w:spacing w:val="6"/>
          <w:sz w:val="22"/>
          <w:szCs w:val="22"/>
          <w:highlight w:val="none"/>
          <w:lang w:eastAsia="zh-CN"/>
        </w:rPr>
        <w:t>长春市高新区鸿达街248号吉林日报副楼4楼第三开标室</w:t>
      </w:r>
    </w:p>
    <w:p w14:paraId="1C89E3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响应文件提交方式：本项目为全流程电子化项目，通过“政采云</w:t>
      </w:r>
      <w:r>
        <w:rPr>
          <w:rFonts w:hint="eastAsia" w:ascii="宋体" w:hAnsi="宋体" w:eastAsia="宋体" w:cs="宋体"/>
          <w:color w:val="auto"/>
          <w:spacing w:val="-67"/>
          <w:sz w:val="22"/>
          <w:szCs w:val="22"/>
          <w:highlight w:val="none"/>
        </w:rPr>
        <w:t xml:space="preserve"> </w:t>
      </w:r>
      <w:r>
        <w:rPr>
          <w:rFonts w:hint="eastAsia" w:ascii="宋体" w:hAnsi="宋体" w:eastAsia="宋体" w:cs="宋体"/>
          <w:color w:val="auto"/>
          <w:spacing w:val="10"/>
          <w:sz w:val="22"/>
          <w:szCs w:val="22"/>
          <w:highlight w:val="none"/>
        </w:rPr>
        <w:t>”平台（</w:t>
      </w:r>
      <w:r>
        <w:rPr>
          <w:rFonts w:hint="eastAsia" w:ascii="宋体" w:hAnsi="宋体" w:eastAsia="宋体" w:cs="宋体"/>
          <w:color w:val="auto"/>
          <w:sz w:val="22"/>
          <w:szCs w:val="22"/>
          <w:highlight w:val="none"/>
        </w:rPr>
        <w:t>http</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zcygov</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0"/>
          <w:sz w:val="22"/>
          <w:szCs w:val="22"/>
          <w:highlight w:val="none"/>
        </w:rPr>
        <w:t>）实行在</w:t>
      </w:r>
      <w:r>
        <w:rPr>
          <w:rFonts w:hint="eastAsia" w:ascii="宋体" w:hAnsi="宋体" w:eastAsia="宋体" w:cs="宋体"/>
          <w:color w:val="auto"/>
          <w:spacing w:val="7"/>
          <w:sz w:val="22"/>
          <w:szCs w:val="22"/>
          <w:highlight w:val="none"/>
        </w:rPr>
        <w:t>线电子投标，供应商应先安装“政采云投标客户端</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7"/>
          <w:sz w:val="22"/>
          <w:szCs w:val="22"/>
          <w:highlight w:val="none"/>
        </w:rPr>
        <w:t>”（请自行前往“政采云</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7"/>
          <w:sz w:val="22"/>
          <w:szCs w:val="22"/>
          <w:highlight w:val="none"/>
        </w:rPr>
        <w:t>”平台进</w:t>
      </w:r>
      <w:r>
        <w:rPr>
          <w:rFonts w:hint="eastAsia" w:ascii="宋体" w:hAnsi="宋体" w:eastAsia="宋体" w:cs="宋体"/>
          <w:color w:val="auto"/>
          <w:spacing w:val="6"/>
          <w:sz w:val="22"/>
          <w:szCs w:val="22"/>
          <w:highlight w:val="none"/>
        </w:rPr>
        <w:t>行下载</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
          <w:sz w:val="22"/>
          <w:szCs w:val="22"/>
          <w:highlight w:val="none"/>
        </w:rPr>
        <w:t>并按照本项目磋</w:t>
      </w:r>
      <w:r>
        <w:rPr>
          <w:rFonts w:hint="eastAsia" w:ascii="宋体" w:hAnsi="宋体" w:eastAsia="宋体" w:cs="宋体"/>
          <w:color w:val="auto"/>
          <w:spacing w:val="7"/>
          <w:sz w:val="22"/>
          <w:szCs w:val="22"/>
          <w:highlight w:val="none"/>
        </w:rPr>
        <w:t>商文件和“政采云</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7"/>
          <w:sz w:val="22"/>
          <w:szCs w:val="22"/>
          <w:highlight w:val="none"/>
        </w:rPr>
        <w:t>”平台的要求编制、加密后在响应文件截止时间前通过网络上传至“政采云”平台</w:t>
      </w:r>
      <w:r>
        <w:rPr>
          <w:rFonts w:hint="eastAsia" w:ascii="宋体" w:hAnsi="宋体" w:eastAsia="宋体" w:cs="宋体"/>
          <w:color w:val="auto"/>
          <w:spacing w:val="6"/>
          <w:sz w:val="22"/>
          <w:szCs w:val="22"/>
          <w:highlight w:val="none"/>
        </w:rPr>
        <w:t>，供应商在</w:t>
      </w:r>
      <w:r>
        <w:rPr>
          <w:rFonts w:hint="eastAsia" w:ascii="宋体" w:hAnsi="宋体" w:eastAsia="宋体" w:cs="宋体"/>
          <w:color w:val="auto"/>
          <w:spacing w:val="9"/>
          <w:sz w:val="22"/>
          <w:szCs w:val="22"/>
          <w:highlight w:val="none"/>
        </w:rPr>
        <w:t>“政采云</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9"/>
          <w:sz w:val="22"/>
          <w:szCs w:val="22"/>
          <w:highlight w:val="none"/>
        </w:rPr>
        <w:t>”平台提交电子版响应文件时，请填写参加采购活动经办人联系方式。</w:t>
      </w:r>
    </w:p>
    <w:p w14:paraId="7061E55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color w:val="auto"/>
          <w:sz w:val="22"/>
          <w:szCs w:val="22"/>
          <w:highlight w:val="none"/>
        </w:rPr>
      </w:pPr>
      <w:bookmarkStart w:id="9" w:name="_Toc5975"/>
      <w:r>
        <w:rPr>
          <w:rFonts w:hint="eastAsia" w:ascii="宋体" w:hAnsi="宋体" w:eastAsia="宋体" w:cs="宋体"/>
          <w:color w:val="auto"/>
          <w:spacing w:val="6"/>
          <w:sz w:val="22"/>
          <w:szCs w:val="22"/>
          <w:highlight w:val="none"/>
        </w:rPr>
        <w:t>五、开启</w:t>
      </w:r>
      <w:bookmarkEnd w:id="9"/>
    </w:p>
    <w:p w14:paraId="564CC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截止时间：</w:t>
      </w:r>
      <w:r>
        <w:rPr>
          <w:rFonts w:hint="eastAsia" w:ascii="宋体" w:hAnsi="宋体" w:eastAsia="宋体" w:cs="宋体"/>
          <w:color w:val="auto"/>
          <w:spacing w:val="1"/>
          <w:sz w:val="22"/>
          <w:szCs w:val="22"/>
          <w:highlight w:val="none"/>
          <w:lang w:eastAsia="zh-CN"/>
        </w:rPr>
        <w:t>2024年11月12日14时00分</w:t>
      </w:r>
      <w:r>
        <w:rPr>
          <w:rFonts w:hint="eastAsia" w:ascii="宋体" w:hAnsi="宋体" w:eastAsia="宋体" w:cs="宋体"/>
          <w:color w:val="auto"/>
          <w:spacing w:val="1"/>
          <w:sz w:val="22"/>
          <w:szCs w:val="22"/>
          <w:highlight w:val="none"/>
        </w:rPr>
        <w:t>（北京时间）</w:t>
      </w:r>
    </w:p>
    <w:p w14:paraId="410533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6"/>
          <w:position w:val="20"/>
          <w:sz w:val="22"/>
          <w:szCs w:val="22"/>
          <w:highlight w:val="none"/>
        </w:rPr>
        <w:t>地点：</w:t>
      </w:r>
      <w:r>
        <w:rPr>
          <w:rFonts w:hint="eastAsia" w:ascii="宋体" w:hAnsi="宋体" w:eastAsia="宋体" w:cs="宋体"/>
          <w:color w:val="auto"/>
          <w:spacing w:val="6"/>
          <w:position w:val="20"/>
          <w:sz w:val="22"/>
          <w:szCs w:val="22"/>
          <w:highlight w:val="none"/>
          <w:lang w:eastAsia="zh-CN"/>
        </w:rPr>
        <w:t>长春市高新区鸿达街248号吉林日报副楼4楼第三开标室</w:t>
      </w:r>
    </w:p>
    <w:p w14:paraId="6A4C405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color w:val="auto"/>
          <w:sz w:val="22"/>
          <w:szCs w:val="22"/>
          <w:highlight w:val="none"/>
        </w:rPr>
      </w:pPr>
      <w:bookmarkStart w:id="10" w:name="_Toc1498"/>
      <w:r>
        <w:rPr>
          <w:rFonts w:hint="eastAsia" w:ascii="宋体" w:hAnsi="宋体" w:eastAsia="宋体" w:cs="宋体"/>
          <w:color w:val="auto"/>
          <w:spacing w:val="7"/>
          <w:sz w:val="22"/>
          <w:szCs w:val="22"/>
          <w:highlight w:val="none"/>
        </w:rPr>
        <w:t>六、公告期限</w:t>
      </w:r>
      <w:bookmarkEnd w:id="10"/>
    </w:p>
    <w:p w14:paraId="5B44F4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自本公告发布之日起5个工作日。</w:t>
      </w:r>
    </w:p>
    <w:p w14:paraId="3865825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7"/>
          <w:sz w:val="22"/>
          <w:szCs w:val="22"/>
          <w:highlight w:val="none"/>
        </w:rPr>
      </w:pPr>
      <w:bookmarkStart w:id="11" w:name="_Toc28008"/>
      <w:r>
        <w:rPr>
          <w:rFonts w:hint="eastAsia" w:ascii="宋体" w:hAnsi="宋体" w:eastAsia="宋体" w:cs="宋体"/>
          <w:color w:val="auto"/>
          <w:spacing w:val="7"/>
          <w:sz w:val="22"/>
          <w:szCs w:val="22"/>
          <w:highlight w:val="none"/>
        </w:rPr>
        <w:t>七、其他补充事宜</w:t>
      </w:r>
      <w:bookmarkEnd w:id="11"/>
    </w:p>
    <w:p w14:paraId="4DD52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本次采购公告发布媒介：《中国政府采购网》、政采云平台发布同步推送到《吉林省政府采购网》、《长春市公共资源交易网》。</w:t>
      </w:r>
    </w:p>
    <w:p w14:paraId="2010E1C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7"/>
          <w:sz w:val="22"/>
          <w:szCs w:val="22"/>
          <w:highlight w:val="none"/>
        </w:rPr>
      </w:pPr>
      <w:bookmarkStart w:id="12" w:name="_Toc14701"/>
      <w:r>
        <w:rPr>
          <w:rFonts w:hint="eastAsia" w:ascii="宋体" w:hAnsi="宋体" w:eastAsia="宋体" w:cs="宋体"/>
          <w:color w:val="auto"/>
          <w:spacing w:val="7"/>
          <w:sz w:val="22"/>
          <w:szCs w:val="22"/>
          <w:highlight w:val="none"/>
        </w:rPr>
        <w:t>八、凡对本次采购提出询问，请按以下方式联系</w:t>
      </w:r>
      <w:bookmarkEnd w:id="12"/>
    </w:p>
    <w:p w14:paraId="0832C5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bookmarkStart w:id="13" w:name="_Toc14725"/>
      <w:r>
        <w:rPr>
          <w:rFonts w:hint="eastAsia" w:ascii="宋体" w:hAnsi="宋体" w:eastAsia="宋体" w:cs="宋体"/>
          <w:color w:val="auto"/>
          <w:spacing w:val="7"/>
          <w:sz w:val="22"/>
          <w:szCs w:val="22"/>
          <w:highlight w:val="none"/>
        </w:rPr>
        <w:t>1.采购人信息</w:t>
      </w:r>
      <w:bookmarkEnd w:id="13"/>
    </w:p>
    <w:p w14:paraId="6864EF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名称：</w:t>
      </w:r>
      <w:r>
        <w:rPr>
          <w:rFonts w:hint="eastAsia" w:ascii="宋体" w:hAnsi="宋体" w:eastAsia="宋体" w:cs="宋体"/>
          <w:color w:val="auto"/>
          <w:spacing w:val="7"/>
          <w:sz w:val="22"/>
          <w:szCs w:val="22"/>
          <w:highlight w:val="none"/>
          <w:lang w:eastAsia="zh-CN"/>
        </w:rPr>
        <w:t>长春市财政信息中心</w:t>
      </w:r>
    </w:p>
    <w:p w14:paraId="03C72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地址：</w:t>
      </w:r>
      <w:r>
        <w:rPr>
          <w:rFonts w:hint="eastAsia" w:ascii="宋体" w:hAnsi="宋体" w:eastAsia="宋体" w:cs="宋体"/>
          <w:color w:val="auto"/>
          <w:spacing w:val="7"/>
          <w:sz w:val="22"/>
          <w:szCs w:val="22"/>
          <w:highlight w:val="none"/>
          <w:lang w:eastAsia="zh-CN"/>
        </w:rPr>
        <w:t>长春市朝阳区前进大街2688号</w:t>
      </w:r>
    </w:p>
    <w:p w14:paraId="71A14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联系人：</w:t>
      </w:r>
      <w:r>
        <w:rPr>
          <w:rFonts w:hint="eastAsia" w:ascii="宋体" w:hAnsi="宋体" w:eastAsia="宋体" w:cs="宋体"/>
          <w:color w:val="auto"/>
          <w:spacing w:val="7"/>
          <w:sz w:val="22"/>
          <w:szCs w:val="22"/>
          <w:highlight w:val="none"/>
          <w:lang w:eastAsia="zh-CN"/>
        </w:rPr>
        <w:t>陈晓东</w:t>
      </w:r>
    </w:p>
    <w:p w14:paraId="3165E7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联系方式：</w:t>
      </w:r>
      <w:r>
        <w:rPr>
          <w:rFonts w:hint="eastAsia" w:ascii="宋体" w:hAnsi="宋体" w:eastAsia="宋体" w:cs="宋体"/>
          <w:color w:val="auto"/>
          <w:spacing w:val="7"/>
          <w:sz w:val="22"/>
          <w:szCs w:val="22"/>
          <w:highlight w:val="none"/>
          <w:lang w:eastAsia="zh-CN"/>
        </w:rPr>
        <w:t>13844873734</w:t>
      </w:r>
    </w:p>
    <w:p w14:paraId="0A0D98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bookmarkStart w:id="14" w:name="_Toc2100"/>
      <w:r>
        <w:rPr>
          <w:rFonts w:hint="eastAsia" w:ascii="宋体" w:hAnsi="宋体" w:eastAsia="宋体" w:cs="宋体"/>
          <w:color w:val="auto"/>
          <w:spacing w:val="7"/>
          <w:sz w:val="22"/>
          <w:szCs w:val="22"/>
          <w:highlight w:val="none"/>
        </w:rPr>
        <w:t>2.采购代理机构信息</w:t>
      </w:r>
      <w:bookmarkEnd w:id="14"/>
    </w:p>
    <w:p w14:paraId="10F75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名称：</w:t>
      </w:r>
      <w:r>
        <w:rPr>
          <w:rFonts w:hint="eastAsia" w:ascii="宋体" w:hAnsi="宋体" w:eastAsia="宋体" w:cs="宋体"/>
          <w:color w:val="auto"/>
          <w:spacing w:val="7"/>
          <w:sz w:val="22"/>
          <w:szCs w:val="22"/>
          <w:highlight w:val="none"/>
          <w:lang w:eastAsia="zh-CN"/>
        </w:rPr>
        <w:t>北京环亚恒信建设工程咨询有限公司</w:t>
      </w:r>
    </w:p>
    <w:p w14:paraId="07706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地址：</w:t>
      </w:r>
      <w:r>
        <w:rPr>
          <w:rFonts w:hint="eastAsia" w:ascii="宋体" w:hAnsi="宋体" w:eastAsia="宋体" w:cs="宋体"/>
          <w:color w:val="auto"/>
          <w:spacing w:val="7"/>
          <w:sz w:val="22"/>
          <w:szCs w:val="22"/>
          <w:highlight w:val="none"/>
          <w:lang w:eastAsia="zh-CN"/>
        </w:rPr>
        <w:t>长春市二道区临河街3268号东皇大厦6楼</w:t>
      </w:r>
    </w:p>
    <w:p w14:paraId="44E01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联系方式：</w:t>
      </w:r>
      <w:r>
        <w:rPr>
          <w:rFonts w:hint="eastAsia" w:ascii="宋体" w:hAnsi="宋体" w:eastAsia="宋体" w:cs="宋体"/>
          <w:color w:val="auto"/>
          <w:spacing w:val="7"/>
          <w:sz w:val="22"/>
          <w:szCs w:val="22"/>
          <w:highlight w:val="none"/>
          <w:lang w:eastAsia="zh-CN"/>
        </w:rPr>
        <w:t>17790010455</w:t>
      </w:r>
    </w:p>
    <w:p w14:paraId="135CE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bookmarkStart w:id="15" w:name="_Toc31984"/>
      <w:r>
        <w:rPr>
          <w:rFonts w:hint="eastAsia" w:ascii="宋体" w:hAnsi="宋体" w:eastAsia="宋体" w:cs="宋体"/>
          <w:color w:val="auto"/>
          <w:spacing w:val="7"/>
          <w:sz w:val="22"/>
          <w:szCs w:val="22"/>
          <w:highlight w:val="none"/>
        </w:rPr>
        <w:t>3.项目联系方式</w:t>
      </w:r>
      <w:bookmarkEnd w:id="15"/>
    </w:p>
    <w:p w14:paraId="400D7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r>
        <w:rPr>
          <w:rFonts w:hint="eastAsia" w:ascii="宋体" w:hAnsi="宋体" w:eastAsia="宋体" w:cs="宋体"/>
          <w:color w:val="auto"/>
          <w:spacing w:val="7"/>
          <w:sz w:val="22"/>
          <w:szCs w:val="22"/>
          <w:highlight w:val="none"/>
        </w:rPr>
        <w:t>项目联系人：</w:t>
      </w:r>
      <w:r>
        <w:rPr>
          <w:rFonts w:hint="eastAsia" w:ascii="宋体" w:hAnsi="宋体" w:eastAsia="宋体" w:cs="宋体"/>
          <w:color w:val="auto"/>
          <w:spacing w:val="7"/>
          <w:sz w:val="22"/>
          <w:szCs w:val="22"/>
          <w:highlight w:val="none"/>
          <w:lang w:eastAsia="zh-CN"/>
        </w:rPr>
        <w:t>张磊</w:t>
      </w:r>
    </w:p>
    <w:p w14:paraId="61B04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电话：</w:t>
      </w:r>
      <w:r>
        <w:rPr>
          <w:rFonts w:hint="eastAsia" w:ascii="宋体" w:hAnsi="宋体" w:eastAsia="宋体" w:cs="宋体"/>
          <w:color w:val="auto"/>
          <w:spacing w:val="7"/>
          <w:sz w:val="22"/>
          <w:szCs w:val="22"/>
          <w:highlight w:val="none"/>
          <w:lang w:eastAsia="zh-CN"/>
        </w:rPr>
        <w:t>17790010455</w:t>
      </w:r>
    </w:p>
    <w:p w14:paraId="45ECC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7"/>
          <w:sz w:val="22"/>
          <w:szCs w:val="22"/>
          <w:highlight w:val="none"/>
          <w:lang w:eastAsia="zh-CN"/>
        </w:rPr>
      </w:pPr>
      <w:bookmarkStart w:id="16" w:name="_Toc21331"/>
      <w:r>
        <w:rPr>
          <w:rFonts w:hint="eastAsia" w:ascii="宋体" w:hAnsi="宋体" w:eastAsia="宋体" w:cs="宋体"/>
          <w:color w:val="auto"/>
          <w:spacing w:val="7"/>
          <w:sz w:val="22"/>
          <w:szCs w:val="22"/>
          <w:highlight w:val="none"/>
        </w:rPr>
        <w:t>4.</w:t>
      </w:r>
      <w:bookmarkEnd w:id="16"/>
      <w:r>
        <w:rPr>
          <w:rFonts w:hint="eastAsia" w:ascii="宋体" w:hAnsi="宋体" w:eastAsia="宋体" w:cs="宋体"/>
          <w:color w:val="auto"/>
          <w:spacing w:val="7"/>
          <w:sz w:val="22"/>
          <w:szCs w:val="22"/>
          <w:highlight w:val="none"/>
        </w:rPr>
        <w:t>监督部门：</w:t>
      </w:r>
      <w:r>
        <w:rPr>
          <w:rFonts w:hint="eastAsia" w:ascii="宋体" w:hAnsi="宋体" w:eastAsia="宋体" w:cs="宋体"/>
          <w:color w:val="auto"/>
          <w:spacing w:val="7"/>
          <w:sz w:val="22"/>
          <w:szCs w:val="22"/>
          <w:highlight w:val="none"/>
          <w:lang w:eastAsia="zh-CN"/>
        </w:rPr>
        <w:t>长春市财政局政府采购管理工作办公室</w:t>
      </w:r>
    </w:p>
    <w:p w14:paraId="4C9C41A7">
      <w:pPr>
        <w:keepNext w:val="0"/>
        <w:keepLines w:val="0"/>
        <w:pageBreakBefore w:val="0"/>
        <w:widowControl/>
        <w:kinsoku w:val="0"/>
        <w:wordWrap/>
        <w:overflowPunct/>
        <w:topLinePunct w:val="0"/>
        <w:autoSpaceDE w:val="0"/>
        <w:autoSpaceDN w:val="0"/>
        <w:bidi w:val="0"/>
        <w:adjustRightInd w:val="0"/>
        <w:snapToGrid w:val="0"/>
        <w:spacing w:before="222" w:line="340" w:lineRule="exact"/>
        <w:textAlignment w:val="baseline"/>
        <w:rPr>
          <w:rFonts w:hint="eastAsia" w:ascii="宋体" w:hAnsi="宋体" w:eastAsia="宋体" w:cs="宋体"/>
          <w:color w:val="auto"/>
          <w:spacing w:val="7"/>
          <w:sz w:val="20"/>
          <w:szCs w:val="20"/>
          <w:highlight w:val="none"/>
          <w:lang w:eastAsia="zh-CN"/>
        </w:rPr>
      </w:pPr>
    </w:p>
    <w:p w14:paraId="69EC3364">
      <w:pPr>
        <w:spacing w:line="231" w:lineRule="auto"/>
        <w:rPr>
          <w:rFonts w:ascii="宋体" w:hAnsi="宋体" w:eastAsia="宋体" w:cs="宋体"/>
          <w:color w:val="auto"/>
          <w:sz w:val="20"/>
          <w:szCs w:val="20"/>
          <w:highlight w:val="none"/>
        </w:rPr>
        <w:sectPr>
          <w:footerReference r:id="rId7" w:type="default"/>
          <w:pgSz w:w="11906" w:h="16839"/>
          <w:pgMar w:top="1221" w:right="1221" w:bottom="1157" w:left="1276" w:header="0" w:footer="992" w:gutter="0"/>
          <w:pgNumType w:fmt="decimal" w:start="1"/>
          <w:cols w:space="720" w:num="1"/>
        </w:sectPr>
      </w:pPr>
    </w:p>
    <w:p w14:paraId="7CEC8B75">
      <w:pPr>
        <w:spacing w:before="86" w:line="360" w:lineRule="auto"/>
        <w:jc w:val="center"/>
        <w:outlineLvl w:val="0"/>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pPr>
      <w:bookmarkStart w:id="17" w:name="_Toc30898"/>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第二章</w:t>
      </w:r>
      <w:r>
        <w:rPr>
          <w:rFonts w:hint="eastAsia" w:ascii="宋体" w:hAnsi="宋体" w:eastAsia="宋体" w:cs="宋体"/>
          <w:color w:val="auto"/>
          <w:spacing w:val="9"/>
          <w:sz w:val="43"/>
          <w:szCs w:val="43"/>
          <w:highlight w:val="none"/>
          <w:lang w:val="en-US" w:eastAsia="zh-CN"/>
          <w14:textOutline w14:w="7972" w14:cap="sq" w14:cmpd="sng">
            <w14:solidFill>
              <w14:srgbClr w14:val="000000"/>
            </w14:solidFill>
            <w14:prstDash w14:val="solid"/>
            <w14:bevel/>
          </w14:textOutline>
        </w:rPr>
        <w:t xml:space="preserve"> </w:t>
      </w:r>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供应商须知</w:t>
      </w:r>
      <w:bookmarkEnd w:id="17"/>
    </w:p>
    <w:p w14:paraId="6F923FA3">
      <w:pPr>
        <w:spacing w:line="212" w:lineRule="auto"/>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一、供应商须知前附表</w:t>
      </w:r>
    </w:p>
    <w:tbl>
      <w:tblPr>
        <w:tblStyle w:val="15"/>
        <w:tblpPr w:leftFromText="180" w:rightFromText="180" w:vertAnchor="text" w:horzAnchor="page" w:tblpX="716" w:tblpY="272"/>
        <w:tblOverlap w:val="never"/>
        <w:tblW w:w="104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2178"/>
        <w:gridCol w:w="7840"/>
      </w:tblGrid>
      <w:tr w14:paraId="0455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74" w:type="dxa"/>
            <w:vAlign w:val="top"/>
          </w:tcPr>
          <w:p w14:paraId="197B534E">
            <w:pPr>
              <w:pStyle w:val="16"/>
              <w:spacing w:before="35" w:line="217" w:lineRule="auto"/>
              <w:ind w:left="13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2178" w:type="dxa"/>
            <w:vAlign w:val="top"/>
          </w:tcPr>
          <w:p w14:paraId="0D3D46AD">
            <w:pPr>
              <w:pStyle w:val="16"/>
              <w:spacing w:before="35" w:line="217" w:lineRule="auto"/>
              <w:ind w:left="4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条</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款</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名</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
                <w:sz w:val="21"/>
                <w:szCs w:val="21"/>
                <w:highlight w:val="none"/>
              </w:rPr>
              <w:t>称</w:t>
            </w:r>
          </w:p>
        </w:tc>
        <w:tc>
          <w:tcPr>
            <w:tcW w:w="7840" w:type="dxa"/>
            <w:vAlign w:val="top"/>
          </w:tcPr>
          <w:p w14:paraId="0C90A9E2">
            <w:pPr>
              <w:pStyle w:val="16"/>
              <w:spacing w:before="35" w:line="217" w:lineRule="auto"/>
              <w:ind w:left="334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编</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8"/>
                <w:sz w:val="21"/>
                <w:szCs w:val="21"/>
                <w:highlight w:val="none"/>
              </w:rPr>
              <w:t>列</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8"/>
                <w:sz w:val="21"/>
                <w:szCs w:val="21"/>
                <w:highlight w:val="none"/>
              </w:rPr>
              <w:t>内</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8"/>
                <w:sz w:val="21"/>
                <w:szCs w:val="21"/>
                <w:highlight w:val="none"/>
              </w:rPr>
              <w:t>容</w:t>
            </w:r>
          </w:p>
        </w:tc>
      </w:tr>
      <w:tr w14:paraId="24B3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74" w:type="dxa"/>
            <w:vAlign w:val="center"/>
          </w:tcPr>
          <w:p w14:paraId="36A8CF9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2178" w:type="dxa"/>
            <w:vAlign w:val="center"/>
          </w:tcPr>
          <w:p w14:paraId="79FD4045">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采购人</w:t>
            </w:r>
          </w:p>
        </w:tc>
        <w:tc>
          <w:tcPr>
            <w:tcW w:w="7840" w:type="dxa"/>
            <w:vAlign w:val="top"/>
          </w:tcPr>
          <w:p w14:paraId="6A7D993C">
            <w:pPr>
              <w:pStyle w:val="16"/>
              <w:spacing w:before="32" w:line="228"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采 购 人：</w:t>
            </w:r>
            <w:r>
              <w:rPr>
                <w:rFonts w:hint="eastAsia" w:ascii="宋体" w:hAnsi="宋体" w:eastAsia="宋体" w:cs="宋体"/>
                <w:color w:val="auto"/>
                <w:spacing w:val="8"/>
                <w:sz w:val="21"/>
                <w:szCs w:val="21"/>
                <w:highlight w:val="none"/>
                <w:lang w:eastAsia="zh-CN"/>
              </w:rPr>
              <w:t>长春市财政信息中心</w:t>
            </w:r>
          </w:p>
          <w:p w14:paraId="28389BEE">
            <w:pPr>
              <w:pStyle w:val="16"/>
              <w:spacing w:before="24" w:line="22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地址：</w:t>
            </w:r>
            <w:r>
              <w:rPr>
                <w:rFonts w:hint="eastAsia" w:ascii="宋体" w:hAnsi="宋体" w:eastAsia="宋体" w:cs="宋体"/>
                <w:color w:val="auto"/>
                <w:spacing w:val="9"/>
                <w:sz w:val="21"/>
                <w:szCs w:val="21"/>
                <w:highlight w:val="none"/>
                <w:lang w:eastAsia="zh-CN"/>
              </w:rPr>
              <w:t>长春市朝阳区前进大街2688号</w:t>
            </w:r>
          </w:p>
          <w:p w14:paraId="712E0466">
            <w:pPr>
              <w:pStyle w:val="16"/>
              <w:spacing w:before="24" w:line="22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联系人：</w:t>
            </w:r>
            <w:r>
              <w:rPr>
                <w:rFonts w:hint="eastAsia" w:ascii="宋体" w:hAnsi="宋体" w:eastAsia="宋体" w:cs="宋体"/>
                <w:color w:val="auto"/>
                <w:spacing w:val="8"/>
                <w:sz w:val="21"/>
                <w:szCs w:val="21"/>
                <w:highlight w:val="none"/>
                <w:lang w:eastAsia="zh-CN"/>
              </w:rPr>
              <w:t>陈晓东</w:t>
            </w:r>
          </w:p>
          <w:p w14:paraId="1574DF2D">
            <w:pPr>
              <w:pStyle w:val="16"/>
              <w:spacing w:before="26" w:line="217"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联系方式：</w:t>
            </w:r>
            <w:r>
              <w:rPr>
                <w:rFonts w:hint="eastAsia" w:ascii="宋体" w:hAnsi="宋体" w:eastAsia="宋体" w:cs="宋体"/>
                <w:color w:val="auto"/>
                <w:spacing w:val="5"/>
                <w:sz w:val="21"/>
                <w:szCs w:val="21"/>
                <w:highlight w:val="none"/>
                <w:lang w:eastAsia="zh-CN"/>
              </w:rPr>
              <w:t>13844873734</w:t>
            </w:r>
          </w:p>
        </w:tc>
      </w:tr>
      <w:tr w14:paraId="5D131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74" w:type="dxa"/>
            <w:vAlign w:val="center"/>
          </w:tcPr>
          <w:p w14:paraId="73CA6CE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2178" w:type="dxa"/>
            <w:vAlign w:val="center"/>
          </w:tcPr>
          <w:p w14:paraId="0122F429">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采购代理机构</w:t>
            </w:r>
          </w:p>
        </w:tc>
        <w:tc>
          <w:tcPr>
            <w:tcW w:w="7840" w:type="dxa"/>
            <w:vAlign w:val="top"/>
          </w:tcPr>
          <w:p w14:paraId="5A067D9C">
            <w:pPr>
              <w:pStyle w:val="16"/>
              <w:spacing w:before="33" w:line="228"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名称：</w:t>
            </w:r>
            <w:r>
              <w:rPr>
                <w:rFonts w:hint="eastAsia" w:cs="宋体"/>
                <w:color w:val="auto"/>
                <w:spacing w:val="9"/>
                <w:sz w:val="21"/>
                <w:szCs w:val="21"/>
                <w:highlight w:val="none"/>
                <w:lang w:eastAsia="zh-CN"/>
              </w:rPr>
              <w:t>北京环亚恒信建设工程咨询有限公司</w:t>
            </w:r>
          </w:p>
          <w:p w14:paraId="77A265D8">
            <w:pPr>
              <w:pStyle w:val="16"/>
              <w:spacing w:before="24" w:line="22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地址：</w:t>
            </w:r>
            <w:r>
              <w:rPr>
                <w:rFonts w:hint="eastAsia" w:cs="宋体"/>
                <w:color w:val="auto"/>
                <w:spacing w:val="8"/>
                <w:sz w:val="21"/>
                <w:szCs w:val="21"/>
                <w:highlight w:val="none"/>
                <w:lang w:eastAsia="zh-CN"/>
              </w:rPr>
              <w:t>长春市二道区临河街3268号东皇大厦6楼</w:t>
            </w:r>
          </w:p>
          <w:p w14:paraId="137167A7">
            <w:pPr>
              <w:pStyle w:val="16"/>
              <w:spacing w:before="23" w:line="230"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联系人：</w:t>
            </w:r>
            <w:r>
              <w:rPr>
                <w:rFonts w:hint="eastAsia" w:cs="宋体"/>
                <w:color w:val="auto"/>
                <w:spacing w:val="8"/>
                <w:sz w:val="21"/>
                <w:szCs w:val="21"/>
                <w:highlight w:val="none"/>
                <w:lang w:eastAsia="zh-CN"/>
              </w:rPr>
              <w:t>张磊</w:t>
            </w:r>
          </w:p>
          <w:p w14:paraId="12A73C82">
            <w:pPr>
              <w:pStyle w:val="16"/>
              <w:spacing w:before="24" w:line="216"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联系方式：</w:t>
            </w:r>
            <w:r>
              <w:rPr>
                <w:rFonts w:hint="eastAsia" w:cs="宋体"/>
                <w:color w:val="auto"/>
                <w:spacing w:val="6"/>
                <w:sz w:val="21"/>
                <w:szCs w:val="21"/>
                <w:highlight w:val="none"/>
                <w:lang w:eastAsia="zh-CN"/>
              </w:rPr>
              <w:t>17790010455</w:t>
            </w:r>
          </w:p>
        </w:tc>
      </w:tr>
      <w:tr w14:paraId="4CE8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4" w:type="dxa"/>
            <w:vAlign w:val="center"/>
          </w:tcPr>
          <w:p w14:paraId="0C36D9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2178" w:type="dxa"/>
            <w:vAlign w:val="center"/>
          </w:tcPr>
          <w:p w14:paraId="55F27D6F">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项目名称及编号</w:t>
            </w:r>
          </w:p>
        </w:tc>
        <w:tc>
          <w:tcPr>
            <w:tcW w:w="7840" w:type="dxa"/>
            <w:vAlign w:val="center"/>
          </w:tcPr>
          <w:p w14:paraId="029FB911">
            <w:pPr>
              <w:pStyle w:val="16"/>
              <w:spacing w:before="23" w:line="216" w:lineRule="auto"/>
              <w:ind w:left="116"/>
              <w:jc w:val="both"/>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项目名称：</w:t>
            </w:r>
            <w:r>
              <w:rPr>
                <w:rFonts w:hint="eastAsia" w:ascii="宋体" w:hAnsi="宋体" w:eastAsia="宋体" w:cs="宋体"/>
                <w:color w:val="auto"/>
                <w:spacing w:val="9"/>
                <w:sz w:val="21"/>
                <w:szCs w:val="21"/>
                <w:highlight w:val="none"/>
                <w:lang w:eastAsia="zh-CN"/>
              </w:rPr>
              <w:t>核心业务运维服务</w:t>
            </w:r>
          </w:p>
          <w:p w14:paraId="72928994">
            <w:pPr>
              <w:pStyle w:val="16"/>
              <w:spacing w:before="23" w:line="216" w:lineRule="auto"/>
              <w:ind w:left="1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项目编号：</w:t>
            </w:r>
            <w:r>
              <w:rPr>
                <w:rFonts w:hint="eastAsia" w:cs="宋体"/>
                <w:color w:val="auto"/>
                <w:sz w:val="21"/>
                <w:szCs w:val="21"/>
                <w:highlight w:val="none"/>
                <w:lang w:eastAsia="zh-CN"/>
              </w:rPr>
              <w:t>JM-2024-10-01249</w:t>
            </w:r>
          </w:p>
        </w:tc>
      </w:tr>
      <w:tr w14:paraId="1EC2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center"/>
          </w:tcPr>
          <w:p w14:paraId="55D8E2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2178" w:type="dxa"/>
            <w:vAlign w:val="center"/>
          </w:tcPr>
          <w:p w14:paraId="35A9E1D7">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采购需求</w:t>
            </w:r>
          </w:p>
        </w:tc>
        <w:tc>
          <w:tcPr>
            <w:tcW w:w="7840" w:type="dxa"/>
            <w:vAlign w:val="center"/>
          </w:tcPr>
          <w:p w14:paraId="7E4BE6F2">
            <w:pPr>
              <w:pStyle w:val="16"/>
              <w:spacing w:before="168" w:line="228" w:lineRule="auto"/>
              <w:ind w:left="115"/>
              <w:jc w:val="both"/>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长春市财政局核心业务系统包括长春市财政局运用到的多个重要信息系统，该系统能否安全、稳定、高效的运行，直接影响到各处室的工作效率，需要专业的运维服务，确保该系统平稳运行（具体详见竞争性磋商文件）</w:t>
            </w:r>
            <w:r>
              <w:rPr>
                <w:rFonts w:hint="eastAsia" w:ascii="宋体" w:hAnsi="宋体" w:eastAsia="宋体" w:cs="宋体"/>
                <w:color w:val="auto"/>
                <w:sz w:val="21"/>
                <w:szCs w:val="21"/>
                <w:highlight w:val="none"/>
                <w:lang w:eastAsia="zh-CN"/>
              </w:rPr>
              <w:t>。</w:t>
            </w:r>
          </w:p>
        </w:tc>
      </w:tr>
      <w:tr w14:paraId="0004A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4" w:type="dxa"/>
            <w:vAlign w:val="center"/>
          </w:tcPr>
          <w:p w14:paraId="4BEC2B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2178" w:type="dxa"/>
            <w:vAlign w:val="center"/>
          </w:tcPr>
          <w:p w14:paraId="166575FE">
            <w:pPr>
              <w:pStyle w:val="16"/>
              <w:spacing w:line="240" w:lineRule="auto"/>
              <w:ind w:left="0" w:right="0" w:firstLine="0"/>
              <w:jc w:val="center"/>
              <w:rPr>
                <w:rFonts w:hint="eastAsia" w:ascii="宋体" w:hAnsi="宋体" w:eastAsia="宋体" w:cs="宋体"/>
                <w:color w:val="auto"/>
                <w:sz w:val="21"/>
                <w:szCs w:val="21"/>
                <w:highlight w:val="none"/>
                <w:lang w:eastAsia="zh-CN"/>
              </w:rPr>
            </w:pPr>
            <w:r>
              <w:rPr>
                <w:rFonts w:hint="eastAsia" w:cs="宋体"/>
                <w:color w:val="auto"/>
                <w:spacing w:val="6"/>
                <w:sz w:val="21"/>
                <w:szCs w:val="21"/>
                <w:highlight w:val="none"/>
                <w:lang w:eastAsia="zh-CN"/>
              </w:rPr>
              <w:t>服务地点</w:t>
            </w:r>
          </w:p>
        </w:tc>
        <w:tc>
          <w:tcPr>
            <w:tcW w:w="7840" w:type="dxa"/>
            <w:vAlign w:val="top"/>
          </w:tcPr>
          <w:p w14:paraId="433D72C9">
            <w:pPr>
              <w:pStyle w:val="16"/>
              <w:spacing w:before="152" w:line="228" w:lineRule="auto"/>
              <w:ind w:left="113"/>
              <w:rPr>
                <w:rFonts w:hint="eastAsia" w:ascii="宋体" w:hAnsi="宋体" w:eastAsia="宋体" w:cs="宋体"/>
                <w:color w:val="auto"/>
                <w:sz w:val="21"/>
                <w:szCs w:val="21"/>
                <w:highlight w:val="none"/>
                <w:lang w:eastAsia="zh-CN"/>
              </w:rPr>
            </w:pPr>
            <w:r>
              <w:rPr>
                <w:rFonts w:hint="eastAsia" w:cs="宋体"/>
                <w:color w:val="auto"/>
                <w:spacing w:val="9"/>
                <w:sz w:val="21"/>
                <w:szCs w:val="21"/>
                <w:highlight w:val="none"/>
                <w:lang w:eastAsia="zh-CN"/>
              </w:rPr>
              <w:t>采购人指定地点</w:t>
            </w:r>
          </w:p>
        </w:tc>
      </w:tr>
      <w:tr w14:paraId="7A471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74" w:type="dxa"/>
            <w:vAlign w:val="center"/>
          </w:tcPr>
          <w:p w14:paraId="22BEA84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2178" w:type="dxa"/>
            <w:vAlign w:val="center"/>
          </w:tcPr>
          <w:p w14:paraId="5609AAE3">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position w:val="4"/>
                <w:sz w:val="21"/>
                <w:szCs w:val="21"/>
                <w:highlight w:val="none"/>
              </w:rPr>
              <w:t>资金来源及</w:t>
            </w:r>
          </w:p>
          <w:p w14:paraId="69EE3796">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落实情况</w:t>
            </w:r>
          </w:p>
        </w:tc>
        <w:tc>
          <w:tcPr>
            <w:tcW w:w="7840" w:type="dxa"/>
            <w:vAlign w:val="top"/>
          </w:tcPr>
          <w:p w14:paraId="58D4421E">
            <w:pPr>
              <w:pStyle w:val="16"/>
              <w:spacing w:before="66" w:line="228"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资金来源：</w:t>
            </w:r>
            <w:r>
              <w:rPr>
                <w:rFonts w:hint="eastAsia" w:ascii="宋体" w:hAnsi="宋体" w:eastAsia="宋体" w:cs="宋体"/>
                <w:color w:val="auto"/>
                <w:spacing w:val="7"/>
                <w:sz w:val="21"/>
                <w:szCs w:val="21"/>
                <w:highlight w:val="none"/>
                <w:lang w:eastAsia="zh-CN"/>
              </w:rPr>
              <w:t>自筹</w:t>
            </w:r>
            <w:r>
              <w:rPr>
                <w:rFonts w:hint="eastAsia" w:ascii="宋体" w:hAnsi="宋体" w:eastAsia="宋体" w:cs="宋体"/>
                <w:color w:val="auto"/>
                <w:spacing w:val="7"/>
                <w:sz w:val="21"/>
                <w:szCs w:val="21"/>
                <w:highlight w:val="none"/>
              </w:rPr>
              <w:t>；出资比例：100%；</w:t>
            </w:r>
          </w:p>
          <w:p w14:paraId="6AD7E8DD">
            <w:pPr>
              <w:pStyle w:val="16"/>
              <w:spacing w:before="23" w:line="229"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资金落实情况：已落实。</w:t>
            </w:r>
          </w:p>
        </w:tc>
      </w:tr>
      <w:tr w14:paraId="20B0E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Align w:val="center"/>
          </w:tcPr>
          <w:p w14:paraId="48AE630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2178" w:type="dxa"/>
            <w:vAlign w:val="center"/>
          </w:tcPr>
          <w:p w14:paraId="377E8708">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cs="宋体"/>
                <w:color w:val="auto"/>
                <w:spacing w:val="8"/>
                <w:sz w:val="21"/>
                <w:szCs w:val="21"/>
                <w:highlight w:val="none"/>
                <w:lang w:eastAsia="zh-CN"/>
              </w:rPr>
              <w:t>服务期</w:t>
            </w:r>
          </w:p>
        </w:tc>
        <w:tc>
          <w:tcPr>
            <w:tcW w:w="7840" w:type="dxa"/>
            <w:vAlign w:val="top"/>
          </w:tcPr>
          <w:p w14:paraId="341BBAA5">
            <w:pPr>
              <w:pStyle w:val="16"/>
              <w:spacing w:before="171" w:line="228" w:lineRule="auto"/>
              <w:ind w:left="113"/>
              <w:rPr>
                <w:rFonts w:hint="eastAsia" w:ascii="宋体" w:hAnsi="宋体" w:eastAsia="宋体" w:cs="宋体"/>
                <w:color w:val="auto"/>
                <w:sz w:val="21"/>
                <w:szCs w:val="21"/>
                <w:highlight w:val="none"/>
                <w:lang w:eastAsia="zh-CN"/>
              </w:rPr>
            </w:pPr>
            <w:r>
              <w:rPr>
                <w:rFonts w:hint="eastAsia" w:cs="宋体"/>
                <w:color w:val="auto"/>
                <w:spacing w:val="8"/>
                <w:sz w:val="21"/>
                <w:szCs w:val="21"/>
                <w:highlight w:val="none"/>
                <w:lang w:eastAsia="zh-CN"/>
              </w:rPr>
              <w:t>自合同签订之日起一年</w:t>
            </w:r>
          </w:p>
        </w:tc>
      </w:tr>
      <w:tr w14:paraId="4424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4" w:type="dxa"/>
            <w:vAlign w:val="center"/>
          </w:tcPr>
          <w:p w14:paraId="6E8CF5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2178" w:type="dxa"/>
            <w:vAlign w:val="center"/>
          </w:tcPr>
          <w:p w14:paraId="3455175D">
            <w:pPr>
              <w:pStyle w:val="16"/>
              <w:spacing w:line="240" w:lineRule="auto"/>
              <w:ind w:left="0" w:right="0" w:firstLine="0"/>
              <w:jc w:val="center"/>
              <w:rPr>
                <w:rFonts w:hint="eastAsia" w:ascii="宋体" w:hAnsi="宋体" w:eastAsia="宋体" w:cs="宋体"/>
                <w:color w:val="auto"/>
                <w:sz w:val="21"/>
                <w:szCs w:val="21"/>
                <w:highlight w:val="none"/>
                <w:lang w:eastAsia="zh-CN"/>
              </w:rPr>
            </w:pPr>
            <w:r>
              <w:rPr>
                <w:rFonts w:hint="eastAsia" w:cs="宋体"/>
                <w:color w:val="auto"/>
                <w:spacing w:val="7"/>
                <w:sz w:val="21"/>
                <w:szCs w:val="21"/>
                <w:highlight w:val="none"/>
                <w:lang w:eastAsia="zh-CN"/>
              </w:rPr>
              <w:t>质量标准</w:t>
            </w:r>
          </w:p>
        </w:tc>
        <w:tc>
          <w:tcPr>
            <w:tcW w:w="7840" w:type="dxa"/>
            <w:vAlign w:val="top"/>
          </w:tcPr>
          <w:p w14:paraId="41EB8697">
            <w:pPr>
              <w:pStyle w:val="16"/>
              <w:spacing w:before="153" w:line="228"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优质服务</w:t>
            </w:r>
          </w:p>
        </w:tc>
      </w:tr>
      <w:tr w14:paraId="53D1C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4" w:type="dxa"/>
            <w:vAlign w:val="center"/>
          </w:tcPr>
          <w:p w14:paraId="1067A0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2178" w:type="dxa"/>
            <w:vAlign w:val="center"/>
          </w:tcPr>
          <w:p w14:paraId="237443AB">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采购方式</w:t>
            </w:r>
          </w:p>
        </w:tc>
        <w:tc>
          <w:tcPr>
            <w:tcW w:w="7840" w:type="dxa"/>
            <w:vAlign w:val="top"/>
          </w:tcPr>
          <w:p w14:paraId="7AC816EA">
            <w:pPr>
              <w:pStyle w:val="16"/>
              <w:spacing w:before="154"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竞争性磋商</w:t>
            </w:r>
          </w:p>
        </w:tc>
      </w:tr>
      <w:tr w14:paraId="31A8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474" w:type="dxa"/>
            <w:vAlign w:val="center"/>
          </w:tcPr>
          <w:p w14:paraId="3ACC24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2178" w:type="dxa"/>
            <w:vAlign w:val="center"/>
          </w:tcPr>
          <w:p w14:paraId="5B1DFCB3">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供应商资格条件</w:t>
            </w:r>
          </w:p>
        </w:tc>
        <w:tc>
          <w:tcPr>
            <w:tcW w:w="7840" w:type="dxa"/>
            <w:vAlign w:val="top"/>
          </w:tcPr>
          <w:p w14:paraId="2D0642BC">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CB0B1F9">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专门面向中小企业采购（供应商应为中小微企业、监狱企业、残疾人福利性单位)。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等国家最新政策。专门面向中小企业采购的项目或者采购包，不再执行价格评审优惠的扶持政策。</w:t>
            </w:r>
          </w:p>
          <w:p w14:paraId="710EEE0D">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D6BA5B7">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本次招标要求申请人须是在中国境内注册，具有独立法人资格，能独立承担民事责任能力，具有有效的营业执照，并在人员、设备、资金等方面具有承担本项目的能力。</w:t>
            </w:r>
          </w:p>
          <w:p w14:paraId="5D81515E">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供应商应按照《长春市财政局关于加强政府采购信用体系建设简化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资格条件有关事项的通知》（长财采购[2022]2066号）文件要求在</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中提交反映其财务状况、依法缴纳税收和社会保障资金情况的资格条件承诺函，并对资格条件承诺函有关内容的真实性、有效性、合法性负责。</w:t>
            </w:r>
          </w:p>
          <w:p w14:paraId="540E2004">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至响应文件提交截止时间止）。</w:t>
            </w:r>
          </w:p>
          <w:p w14:paraId="734D9ECF">
            <w:pPr>
              <w:pStyle w:val="16"/>
              <w:spacing w:before="27" w:line="239" w:lineRule="auto"/>
              <w:ind w:left="113" w:right="107" w:firstLine="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其他要求：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12E7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4" w:type="dxa"/>
            <w:vAlign w:val="center"/>
          </w:tcPr>
          <w:p w14:paraId="6AFF9DD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11</w:t>
            </w:r>
          </w:p>
        </w:tc>
        <w:tc>
          <w:tcPr>
            <w:tcW w:w="2178" w:type="dxa"/>
            <w:vAlign w:val="center"/>
          </w:tcPr>
          <w:p w14:paraId="22AD8994">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磋商预备会</w:t>
            </w:r>
          </w:p>
        </w:tc>
        <w:tc>
          <w:tcPr>
            <w:tcW w:w="7840" w:type="dxa"/>
            <w:vAlign w:val="top"/>
          </w:tcPr>
          <w:p w14:paraId="3970EA0C">
            <w:pPr>
              <w:pStyle w:val="16"/>
              <w:spacing w:before="149" w:line="230"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不召开</w:t>
            </w:r>
          </w:p>
        </w:tc>
      </w:tr>
      <w:tr w14:paraId="4DA6A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74" w:type="dxa"/>
            <w:vAlign w:val="center"/>
          </w:tcPr>
          <w:p w14:paraId="7B82667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12</w:t>
            </w:r>
          </w:p>
        </w:tc>
        <w:tc>
          <w:tcPr>
            <w:tcW w:w="2178" w:type="dxa"/>
            <w:vAlign w:val="center"/>
          </w:tcPr>
          <w:p w14:paraId="702EA7E8">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供应商提出问题的</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截止时间</w:t>
            </w:r>
          </w:p>
        </w:tc>
        <w:tc>
          <w:tcPr>
            <w:tcW w:w="7840" w:type="dxa"/>
            <w:vAlign w:val="top"/>
          </w:tcPr>
          <w:p w14:paraId="3F453B36">
            <w:pPr>
              <w:pStyle w:val="16"/>
              <w:spacing w:before="23" w:line="243" w:lineRule="auto"/>
              <w:ind w:left="112" w:right="53"/>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投标供应商提出问题的截止时间：响应文件截止时间5日前</w:t>
            </w:r>
          </w:p>
          <w:p w14:paraId="5FF40F62">
            <w:pPr>
              <w:pStyle w:val="16"/>
              <w:spacing w:before="23" w:line="243" w:lineRule="auto"/>
              <w:ind w:left="112" w:right="5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登录政采云平台</w:t>
            </w:r>
            <w:r>
              <w:rPr>
                <w:rFonts w:hint="eastAsia" w:ascii="宋体" w:hAnsi="宋体" w:eastAsia="宋体" w:cs="宋体"/>
                <w:color w:val="auto"/>
                <w:sz w:val="21"/>
                <w:szCs w:val="21"/>
                <w:highlight w:val="none"/>
                <w:lang w:val="zh-CN" w:eastAsia="zh-CN"/>
              </w:rPr>
              <w:fldChar w:fldCharType="begin"/>
            </w:r>
            <w:r>
              <w:rPr>
                <w:rFonts w:hint="eastAsia" w:ascii="宋体" w:hAnsi="宋体" w:eastAsia="宋体" w:cs="宋体"/>
                <w:color w:val="auto"/>
                <w:sz w:val="21"/>
                <w:szCs w:val="21"/>
                <w:highlight w:val="none"/>
                <w:lang w:val="zh-CN" w:eastAsia="zh-CN"/>
              </w:rPr>
              <w:instrText xml:space="preserve"> HYPERLINK "https://www.zcygov.cn/" </w:instrText>
            </w:r>
            <w:r>
              <w:rPr>
                <w:rFonts w:hint="eastAsia" w:ascii="宋体" w:hAnsi="宋体" w:eastAsia="宋体" w:cs="宋体"/>
                <w:color w:val="auto"/>
                <w:sz w:val="21"/>
                <w:szCs w:val="21"/>
                <w:highlight w:val="none"/>
                <w:lang w:val="zh-CN" w:eastAsia="zh-CN"/>
              </w:rPr>
              <w:fldChar w:fldCharType="separate"/>
            </w:r>
            <w:r>
              <w:rPr>
                <w:rFonts w:hint="eastAsia" w:ascii="宋体" w:hAnsi="宋体" w:eastAsia="宋体" w:cs="宋体"/>
                <w:color w:val="auto"/>
                <w:sz w:val="21"/>
                <w:szCs w:val="21"/>
                <w:highlight w:val="none"/>
                <w:lang w:val="zh-CN" w:eastAsia="zh-CN"/>
              </w:rPr>
              <w:t>https://www.zcygov.cn/</w:t>
            </w:r>
            <w:r>
              <w:rPr>
                <w:rFonts w:hint="eastAsia" w:ascii="宋体" w:hAnsi="宋体" w:eastAsia="宋体" w:cs="宋体"/>
                <w:color w:val="auto"/>
                <w:sz w:val="21"/>
                <w:szCs w:val="21"/>
                <w:highlight w:val="none"/>
                <w:lang w:val="zh-CN" w:eastAsia="zh-CN"/>
              </w:rPr>
              <w:fldChar w:fldCharType="end"/>
            </w:r>
            <w:r>
              <w:rPr>
                <w:rFonts w:hint="eastAsia" w:ascii="宋体" w:hAnsi="宋体" w:eastAsia="宋体" w:cs="宋体"/>
                <w:color w:val="auto"/>
                <w:sz w:val="21"/>
                <w:szCs w:val="21"/>
                <w:highlight w:val="none"/>
                <w:lang w:val="zh-CN" w:eastAsia="zh-CN"/>
              </w:rPr>
              <w:t>在线申请提出问题，并电话通知代理机构。</w:t>
            </w:r>
          </w:p>
        </w:tc>
      </w:tr>
      <w:tr w14:paraId="1129A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center"/>
          </w:tcPr>
          <w:p w14:paraId="147EC5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13</w:t>
            </w:r>
          </w:p>
        </w:tc>
        <w:tc>
          <w:tcPr>
            <w:tcW w:w="2178" w:type="dxa"/>
            <w:vAlign w:val="center"/>
          </w:tcPr>
          <w:p w14:paraId="086108E7">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采购人书面澄清或</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者修改的时间</w:t>
            </w:r>
          </w:p>
        </w:tc>
        <w:tc>
          <w:tcPr>
            <w:tcW w:w="7840" w:type="dxa"/>
            <w:vAlign w:val="top"/>
          </w:tcPr>
          <w:p w14:paraId="7F522891">
            <w:pPr>
              <w:pStyle w:val="16"/>
              <w:spacing w:before="32" w:line="234" w:lineRule="auto"/>
              <w:ind w:left="113" w:right="107" w:firstLine="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响应文件截止时间5日前，请潜在供应商在参加与本项目活动期间关注网站信息，所</w:t>
            </w:r>
            <w:r>
              <w:rPr>
                <w:rFonts w:hint="eastAsia" w:ascii="宋体" w:hAnsi="宋体" w:eastAsia="宋体" w:cs="宋体"/>
                <w:color w:val="auto"/>
                <w:spacing w:val="9"/>
                <w:sz w:val="21"/>
                <w:szCs w:val="21"/>
                <w:highlight w:val="none"/>
              </w:rPr>
              <w:t>有有意愿的供应商有义务在网上自行查询，无需书面回复</w:t>
            </w:r>
          </w:p>
        </w:tc>
      </w:tr>
      <w:tr w14:paraId="1E8B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center"/>
          </w:tcPr>
          <w:p w14:paraId="17E45DE9">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14</w:t>
            </w:r>
          </w:p>
        </w:tc>
        <w:tc>
          <w:tcPr>
            <w:tcW w:w="2178" w:type="dxa"/>
            <w:vAlign w:val="center"/>
          </w:tcPr>
          <w:p w14:paraId="7EE4F50D">
            <w:pPr>
              <w:pStyle w:val="16"/>
              <w:spacing w:line="240" w:lineRule="auto"/>
              <w:ind w:left="0" w:right="0" w:firstLine="0"/>
              <w:jc w:val="center"/>
              <w:rPr>
                <w:rFonts w:hint="eastAsia" w:cs="宋体"/>
                <w:color w:val="auto"/>
                <w:spacing w:val="8"/>
                <w:sz w:val="21"/>
                <w:szCs w:val="21"/>
                <w:highlight w:val="none"/>
                <w:lang w:eastAsia="zh-CN"/>
              </w:rPr>
            </w:pPr>
            <w:r>
              <w:rPr>
                <w:rFonts w:hint="eastAsia" w:cs="宋体"/>
                <w:color w:val="auto"/>
                <w:spacing w:val="8"/>
                <w:sz w:val="21"/>
                <w:szCs w:val="21"/>
                <w:highlight w:val="none"/>
                <w:lang w:eastAsia="zh-CN"/>
              </w:rPr>
              <w:t>分包</w:t>
            </w:r>
          </w:p>
        </w:tc>
        <w:tc>
          <w:tcPr>
            <w:tcW w:w="7840" w:type="dxa"/>
            <w:vAlign w:val="center"/>
          </w:tcPr>
          <w:p w14:paraId="24DE54A8">
            <w:pPr>
              <w:pStyle w:val="16"/>
              <w:spacing w:before="32" w:line="234" w:lineRule="auto"/>
              <w:ind w:left="113" w:right="107" w:firstLine="9"/>
              <w:jc w:val="both"/>
              <w:rPr>
                <w:rFonts w:hint="eastAsia" w:cs="宋体"/>
                <w:color w:val="auto"/>
                <w:spacing w:val="8"/>
                <w:sz w:val="21"/>
                <w:szCs w:val="21"/>
                <w:highlight w:val="none"/>
                <w:lang w:eastAsia="zh-CN"/>
              </w:rPr>
            </w:pPr>
            <w:r>
              <w:rPr>
                <w:rFonts w:hint="eastAsia" w:cs="宋体"/>
                <w:color w:val="auto"/>
                <w:spacing w:val="8"/>
                <w:sz w:val="21"/>
                <w:szCs w:val="21"/>
                <w:highlight w:val="none"/>
                <w:lang w:eastAsia="zh-CN"/>
              </w:rPr>
              <w:t>不允许</w:t>
            </w:r>
          </w:p>
        </w:tc>
      </w:tr>
      <w:tr w14:paraId="74A1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center"/>
          </w:tcPr>
          <w:p w14:paraId="15D0B6A5">
            <w:pPr>
              <w:keepNext w:val="0"/>
              <w:keepLines w:val="0"/>
              <w:widowControl/>
              <w:suppressLineNumbers w:val="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15</w:t>
            </w:r>
          </w:p>
        </w:tc>
        <w:tc>
          <w:tcPr>
            <w:tcW w:w="2178" w:type="dxa"/>
            <w:vAlign w:val="center"/>
          </w:tcPr>
          <w:p w14:paraId="04D9F68B">
            <w:pPr>
              <w:pStyle w:val="16"/>
              <w:spacing w:line="240" w:lineRule="auto"/>
              <w:ind w:left="0" w:right="0" w:firstLine="0"/>
              <w:jc w:val="center"/>
              <w:rPr>
                <w:rFonts w:hint="eastAsia" w:ascii="宋体" w:hAnsi="宋体" w:eastAsia="宋体" w:cs="宋体"/>
                <w:color w:val="auto"/>
                <w:spacing w:val="8"/>
                <w:sz w:val="21"/>
                <w:szCs w:val="21"/>
                <w:highlight w:val="none"/>
                <w:lang w:eastAsia="zh-CN"/>
              </w:rPr>
            </w:pPr>
            <w:r>
              <w:rPr>
                <w:rFonts w:hint="eastAsia" w:cs="宋体"/>
                <w:color w:val="auto"/>
                <w:spacing w:val="8"/>
                <w:sz w:val="21"/>
                <w:szCs w:val="21"/>
                <w:highlight w:val="none"/>
                <w:lang w:eastAsia="zh-CN"/>
              </w:rPr>
              <w:t>偏离</w:t>
            </w:r>
          </w:p>
        </w:tc>
        <w:tc>
          <w:tcPr>
            <w:tcW w:w="7840" w:type="dxa"/>
            <w:vAlign w:val="center"/>
          </w:tcPr>
          <w:p w14:paraId="6BEBC9C4">
            <w:pPr>
              <w:pStyle w:val="16"/>
              <w:spacing w:before="32" w:line="234" w:lineRule="auto"/>
              <w:ind w:left="113" w:right="107" w:firstLine="9"/>
              <w:jc w:val="both"/>
              <w:rPr>
                <w:rFonts w:hint="eastAsia" w:ascii="宋体" w:hAnsi="宋体" w:eastAsia="宋体" w:cs="宋体"/>
                <w:color w:val="auto"/>
                <w:spacing w:val="8"/>
                <w:sz w:val="21"/>
                <w:szCs w:val="21"/>
                <w:highlight w:val="none"/>
                <w:lang w:eastAsia="zh-CN"/>
              </w:rPr>
            </w:pPr>
            <w:r>
              <w:rPr>
                <w:rFonts w:hint="eastAsia" w:cs="宋体"/>
                <w:color w:val="auto"/>
                <w:spacing w:val="8"/>
                <w:sz w:val="21"/>
                <w:szCs w:val="21"/>
                <w:highlight w:val="none"/>
                <w:lang w:eastAsia="zh-CN"/>
              </w:rPr>
              <w:t>不允许负偏离</w:t>
            </w:r>
          </w:p>
        </w:tc>
      </w:tr>
      <w:tr w14:paraId="76BB3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Align w:val="center"/>
          </w:tcPr>
          <w:p w14:paraId="2C1825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16</w:t>
            </w:r>
          </w:p>
        </w:tc>
        <w:tc>
          <w:tcPr>
            <w:tcW w:w="2178" w:type="dxa"/>
            <w:vAlign w:val="center"/>
          </w:tcPr>
          <w:p w14:paraId="5AF77112">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构成响应文件的</w:t>
            </w:r>
            <w:r>
              <w:rPr>
                <w:rFonts w:hint="eastAsia" w:ascii="宋体" w:hAnsi="宋体" w:eastAsia="宋体" w:cs="宋体"/>
                <w:color w:val="auto"/>
                <w:spacing w:val="7"/>
                <w:sz w:val="21"/>
                <w:szCs w:val="21"/>
                <w:highlight w:val="none"/>
              </w:rPr>
              <w:t>其他材料</w:t>
            </w:r>
          </w:p>
        </w:tc>
        <w:tc>
          <w:tcPr>
            <w:tcW w:w="7840" w:type="dxa"/>
            <w:vAlign w:val="top"/>
          </w:tcPr>
          <w:p w14:paraId="038D0F8A">
            <w:pPr>
              <w:pStyle w:val="16"/>
              <w:spacing w:before="170"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详见磋商评审细则</w:t>
            </w:r>
          </w:p>
        </w:tc>
      </w:tr>
      <w:tr w14:paraId="4599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474" w:type="dxa"/>
            <w:vAlign w:val="center"/>
          </w:tcPr>
          <w:p w14:paraId="41E309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17</w:t>
            </w:r>
          </w:p>
        </w:tc>
        <w:tc>
          <w:tcPr>
            <w:tcW w:w="2178" w:type="dxa"/>
            <w:vAlign w:val="center"/>
          </w:tcPr>
          <w:p w14:paraId="76A6CAF1">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采购预算</w:t>
            </w:r>
          </w:p>
        </w:tc>
        <w:tc>
          <w:tcPr>
            <w:tcW w:w="7840" w:type="dxa"/>
            <w:vAlign w:val="top"/>
          </w:tcPr>
          <w:p w14:paraId="45BD8177">
            <w:pPr>
              <w:pStyle w:val="16"/>
              <w:spacing w:before="31" w:line="228" w:lineRule="auto"/>
              <w:ind w:left="112"/>
              <w:rPr>
                <w:rFonts w:hint="eastAsia" w:ascii="宋体" w:hAnsi="宋体" w:eastAsia="宋体" w:cs="宋体"/>
                <w:color w:val="auto"/>
                <w:sz w:val="21"/>
                <w:szCs w:val="21"/>
                <w:highlight w:val="none"/>
                <w:lang w:eastAsia="zh-CN"/>
              </w:rPr>
            </w:pPr>
            <w:r>
              <w:rPr>
                <w:rFonts w:hint="eastAsia" w:cs="宋体"/>
                <w:color w:val="auto"/>
                <w:spacing w:val="6"/>
                <w:sz w:val="21"/>
                <w:szCs w:val="21"/>
                <w:highlight w:val="none"/>
                <w:lang w:eastAsia="zh-CN"/>
              </w:rPr>
              <w:t>预算金额</w:t>
            </w:r>
            <w:r>
              <w:rPr>
                <w:rFonts w:hint="eastAsia" w:ascii="宋体" w:hAnsi="宋体" w:eastAsia="宋体" w:cs="宋体"/>
                <w:color w:val="auto"/>
                <w:spacing w:val="6"/>
                <w:sz w:val="21"/>
                <w:szCs w:val="21"/>
                <w:highlight w:val="none"/>
              </w:rPr>
              <w:t>：</w:t>
            </w:r>
            <w:r>
              <w:rPr>
                <w:rFonts w:hint="eastAsia" w:cs="宋体"/>
                <w:color w:val="auto"/>
                <w:spacing w:val="6"/>
                <w:sz w:val="21"/>
                <w:szCs w:val="21"/>
                <w:highlight w:val="none"/>
                <w:lang w:eastAsia="zh-CN"/>
              </w:rPr>
              <w:t>440620元</w:t>
            </w:r>
          </w:p>
          <w:p w14:paraId="169F822E">
            <w:pPr>
              <w:pStyle w:val="16"/>
              <w:spacing w:before="25" w:line="216"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注：</w:t>
            </w:r>
            <w:r>
              <w:rPr>
                <w:rFonts w:hint="eastAsia" w:ascii="宋体" w:hAnsi="宋体" w:eastAsia="宋体" w:cs="宋体"/>
                <w:color w:val="auto"/>
                <w:spacing w:val="9"/>
                <w:sz w:val="21"/>
                <w:szCs w:val="21"/>
                <w:highlight w:val="none"/>
              </w:rPr>
              <w:t>超出最高投标限价的首次报价及最终报价视为无效报价，投标将被否决。</w:t>
            </w:r>
            <w:r>
              <w:rPr>
                <w:rFonts w:hint="eastAsia" w:ascii="宋体" w:hAnsi="宋体" w:eastAsia="宋体" w:cs="宋体"/>
                <w:color w:val="auto"/>
                <w:sz w:val="21"/>
                <w:szCs w:val="21"/>
                <w:highlight w:val="none"/>
                <w:lang w:val="zh-CN"/>
              </w:rPr>
              <w:t>供应商在报价时应充分考虑成本及利润，不得出现明显低于本地市场价格或者明显低于其他通过符合性审查供应商的报价等恶意竞标的情况。</w:t>
            </w:r>
          </w:p>
        </w:tc>
      </w:tr>
      <w:tr w14:paraId="3E0C7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74" w:type="dxa"/>
            <w:vAlign w:val="center"/>
          </w:tcPr>
          <w:p w14:paraId="1720AF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18</w:t>
            </w:r>
          </w:p>
        </w:tc>
        <w:tc>
          <w:tcPr>
            <w:tcW w:w="2178" w:type="dxa"/>
            <w:vAlign w:val="center"/>
          </w:tcPr>
          <w:p w14:paraId="795CC39D">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磋商有效期</w:t>
            </w:r>
          </w:p>
        </w:tc>
        <w:tc>
          <w:tcPr>
            <w:tcW w:w="7840" w:type="dxa"/>
            <w:vAlign w:val="top"/>
          </w:tcPr>
          <w:p w14:paraId="724CE703">
            <w:pPr>
              <w:pStyle w:val="16"/>
              <w:spacing w:before="151" w:line="229"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投标截止之日起60日历天</w:t>
            </w:r>
          </w:p>
        </w:tc>
      </w:tr>
      <w:tr w14:paraId="3CC7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74" w:type="dxa"/>
            <w:vAlign w:val="center"/>
          </w:tcPr>
          <w:p w14:paraId="50C0D4D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19</w:t>
            </w:r>
          </w:p>
        </w:tc>
        <w:tc>
          <w:tcPr>
            <w:tcW w:w="2178" w:type="dxa"/>
            <w:vAlign w:val="center"/>
          </w:tcPr>
          <w:p w14:paraId="41DC6B6A">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磋商保证金</w:t>
            </w:r>
          </w:p>
        </w:tc>
        <w:tc>
          <w:tcPr>
            <w:tcW w:w="7840" w:type="dxa"/>
            <w:vAlign w:val="center"/>
          </w:tcPr>
          <w:p w14:paraId="5DDC5651">
            <w:pPr>
              <w:pStyle w:val="16"/>
              <w:spacing w:before="23" w:line="243" w:lineRule="auto"/>
              <w:ind w:left="112" w:right="5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eastAsia="zh-CN"/>
              </w:rPr>
              <w:t>不收取磋商</w:t>
            </w:r>
            <w:r>
              <w:rPr>
                <w:rFonts w:hint="eastAsia" w:ascii="宋体" w:hAnsi="宋体" w:eastAsia="宋体" w:cs="宋体"/>
                <w:color w:val="auto"/>
                <w:sz w:val="21"/>
                <w:szCs w:val="21"/>
                <w:highlight w:val="none"/>
              </w:rPr>
              <w:t>保证金</w:t>
            </w:r>
          </w:p>
        </w:tc>
      </w:tr>
      <w:tr w14:paraId="01B9F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74" w:type="dxa"/>
            <w:vAlign w:val="center"/>
          </w:tcPr>
          <w:p w14:paraId="1F5476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20</w:t>
            </w:r>
          </w:p>
        </w:tc>
        <w:tc>
          <w:tcPr>
            <w:tcW w:w="2178" w:type="dxa"/>
            <w:vAlign w:val="center"/>
          </w:tcPr>
          <w:p w14:paraId="309A0AD7">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近年财务状况</w:t>
            </w:r>
            <w:r>
              <w:rPr>
                <w:rFonts w:hint="eastAsia" w:ascii="宋体" w:hAnsi="宋体" w:eastAsia="宋体" w:cs="宋体"/>
                <w:color w:val="auto"/>
                <w:spacing w:val="4"/>
                <w:sz w:val="21"/>
                <w:szCs w:val="21"/>
                <w:highlight w:val="none"/>
              </w:rPr>
              <w:t>的年份要求</w:t>
            </w:r>
          </w:p>
        </w:tc>
        <w:tc>
          <w:tcPr>
            <w:tcW w:w="7840" w:type="dxa"/>
            <w:vAlign w:val="top"/>
          </w:tcPr>
          <w:p w14:paraId="15765E47">
            <w:pPr>
              <w:pStyle w:val="16"/>
              <w:spacing w:before="144" w:line="22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近三年(202</w:t>
            </w:r>
            <w:r>
              <w:rPr>
                <w:rFonts w:hint="eastAsia"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年度、202</w:t>
            </w:r>
            <w:r>
              <w:rPr>
                <w:rFonts w:hint="eastAsia"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年度、20</w:t>
            </w:r>
            <w:r>
              <w:rPr>
                <w:rFonts w:hint="eastAsia" w:ascii="宋体" w:hAnsi="宋体" w:eastAsia="宋体" w:cs="宋体"/>
                <w:color w:val="auto"/>
                <w:spacing w:val="5"/>
                <w:sz w:val="21"/>
                <w:szCs w:val="21"/>
                <w:highlight w:val="none"/>
              </w:rPr>
              <w:t>2</w:t>
            </w:r>
            <w:r>
              <w:rPr>
                <w:rFonts w:hint="eastAsia"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年度)</w:t>
            </w:r>
          </w:p>
        </w:tc>
      </w:tr>
      <w:tr w14:paraId="65B2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center"/>
          </w:tcPr>
          <w:p w14:paraId="69D2DA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21</w:t>
            </w:r>
          </w:p>
        </w:tc>
        <w:tc>
          <w:tcPr>
            <w:tcW w:w="2178" w:type="dxa"/>
            <w:vAlign w:val="center"/>
          </w:tcPr>
          <w:p w14:paraId="592D038C">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近年完成的类似项目的年份要求</w:t>
            </w:r>
          </w:p>
        </w:tc>
        <w:tc>
          <w:tcPr>
            <w:tcW w:w="7840" w:type="dxa"/>
            <w:vAlign w:val="top"/>
          </w:tcPr>
          <w:p w14:paraId="764019F4">
            <w:pPr>
              <w:pStyle w:val="16"/>
              <w:spacing w:before="139" w:line="228" w:lineRule="auto"/>
              <w:ind w:left="115"/>
              <w:rPr>
                <w:rFonts w:hint="eastAsia" w:ascii="宋体" w:hAnsi="宋体" w:eastAsia="宋体" w:cs="宋体"/>
                <w:color w:val="auto"/>
                <w:sz w:val="21"/>
                <w:szCs w:val="21"/>
                <w:highlight w:val="none"/>
                <w:lang w:eastAsia="zh-CN"/>
              </w:rPr>
            </w:pPr>
            <w:r>
              <w:rPr>
                <w:rFonts w:hint="eastAsia" w:cs="宋体"/>
                <w:color w:val="auto"/>
                <w:spacing w:val="-4"/>
                <w:sz w:val="21"/>
                <w:szCs w:val="21"/>
                <w:highlight w:val="none"/>
                <w:lang w:eastAsia="zh-CN"/>
              </w:rPr>
              <w:t>2021年1月1日-至今</w:t>
            </w:r>
          </w:p>
        </w:tc>
      </w:tr>
      <w:tr w14:paraId="67904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474" w:type="dxa"/>
            <w:vAlign w:val="center"/>
          </w:tcPr>
          <w:p w14:paraId="36EEB91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22</w:t>
            </w:r>
          </w:p>
        </w:tc>
        <w:tc>
          <w:tcPr>
            <w:tcW w:w="2178" w:type="dxa"/>
            <w:vAlign w:val="center"/>
          </w:tcPr>
          <w:p w14:paraId="184818F6">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文件份数</w:t>
            </w:r>
          </w:p>
        </w:tc>
        <w:tc>
          <w:tcPr>
            <w:tcW w:w="7840" w:type="dxa"/>
            <w:vAlign w:val="top"/>
          </w:tcPr>
          <w:p w14:paraId="2D8200F1">
            <w:pPr>
              <w:pStyle w:val="16"/>
              <w:spacing w:before="32" w:line="234" w:lineRule="auto"/>
              <w:ind w:left="116" w:right="53" w:hanging="3"/>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1.供应商在“政采云”平台（http：//www.zcygov.cn）上制作响应文件一份（此</w:t>
            </w:r>
          </w:p>
          <w:p w14:paraId="3A121061">
            <w:pPr>
              <w:pStyle w:val="16"/>
              <w:spacing w:before="32" w:line="234" w:lineRule="auto"/>
              <w:ind w:left="116" w:right="53" w:hanging="3"/>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响应文件须上传至“政采云”平台）。</w:t>
            </w:r>
          </w:p>
          <w:p w14:paraId="11C71EF2">
            <w:pPr>
              <w:pStyle w:val="16"/>
              <w:spacing w:before="32" w:line="234" w:lineRule="auto"/>
              <w:ind w:left="116" w:right="53" w:hanging="3"/>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2.纸质版响应文件份数要求：</w:t>
            </w:r>
          </w:p>
          <w:p w14:paraId="10D8562F">
            <w:pPr>
              <w:pStyle w:val="16"/>
              <w:spacing w:before="32" w:line="234" w:lineRule="auto"/>
              <w:ind w:left="116" w:right="53" w:hanging="3"/>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成交结果公示后成交</w:t>
            </w:r>
            <w:r>
              <w:rPr>
                <w:rFonts w:hint="eastAsia" w:cs="宋体"/>
                <w:color w:val="auto"/>
                <w:spacing w:val="4"/>
                <w:sz w:val="21"/>
                <w:szCs w:val="21"/>
                <w:highlight w:val="none"/>
                <w:lang w:eastAsia="zh-CN"/>
              </w:rPr>
              <w:t>单位</w:t>
            </w:r>
            <w:r>
              <w:rPr>
                <w:rFonts w:hint="eastAsia" w:ascii="宋体" w:hAnsi="宋体" w:eastAsia="宋体" w:cs="宋体"/>
                <w:color w:val="auto"/>
                <w:spacing w:val="4"/>
                <w:sz w:val="21"/>
                <w:szCs w:val="21"/>
                <w:highlight w:val="none"/>
              </w:rPr>
              <w:t>需将纸质版响应性文件及电子版文件（响应文件格式为签字盖章后的 PDF 及 word 版本）递交至采购代理机构存档留存。</w:t>
            </w:r>
          </w:p>
          <w:p w14:paraId="0742137A">
            <w:pPr>
              <w:pStyle w:val="16"/>
              <w:spacing w:before="32" w:line="234" w:lineRule="auto"/>
              <w:ind w:left="116" w:right="53" w:hanging="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纸质版响应文件为上传至“政采云 ”平台的电子打印版（打印后响应文件正本须盖章处仍须加盖公章，并编制目录页码）。</w:t>
            </w:r>
          </w:p>
        </w:tc>
      </w:tr>
      <w:tr w14:paraId="635F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Align w:val="center"/>
          </w:tcPr>
          <w:p w14:paraId="2667BD6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2178" w:type="dxa"/>
            <w:vAlign w:val="center"/>
          </w:tcPr>
          <w:p w14:paraId="4198B660">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装订要求</w:t>
            </w:r>
          </w:p>
        </w:tc>
        <w:tc>
          <w:tcPr>
            <w:tcW w:w="7840" w:type="dxa"/>
            <w:vAlign w:val="top"/>
          </w:tcPr>
          <w:p w14:paraId="36DC4DF2">
            <w:pPr>
              <w:pStyle w:val="16"/>
              <w:spacing w:before="32" w:line="234" w:lineRule="auto"/>
              <w:ind w:left="116" w:right="53" w:hanging="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装订要求：要求响应文件的装订要整齐、牢固，便于保管和利用，不易拆散和换页，</w:t>
            </w:r>
            <w:r>
              <w:rPr>
                <w:rFonts w:hint="eastAsia" w:ascii="宋体" w:hAnsi="宋体" w:eastAsia="宋体" w:cs="宋体"/>
                <w:color w:val="auto"/>
                <w:spacing w:val="8"/>
                <w:sz w:val="21"/>
                <w:szCs w:val="21"/>
                <w:highlight w:val="none"/>
              </w:rPr>
              <w:t>不得采用活页装订。响应文件用纸统一使用</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8"/>
                <w:sz w:val="21"/>
                <w:szCs w:val="21"/>
                <w:highlight w:val="none"/>
              </w:rPr>
              <w:t>A4</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8"/>
                <w:sz w:val="21"/>
                <w:szCs w:val="21"/>
                <w:highlight w:val="none"/>
              </w:rPr>
              <w:t>规格复印纸。</w:t>
            </w:r>
          </w:p>
        </w:tc>
      </w:tr>
      <w:tr w14:paraId="11CE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74" w:type="dxa"/>
            <w:vAlign w:val="center"/>
          </w:tcPr>
          <w:p w14:paraId="2CDD0F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24</w:t>
            </w:r>
          </w:p>
        </w:tc>
        <w:tc>
          <w:tcPr>
            <w:tcW w:w="2178" w:type="dxa"/>
            <w:vAlign w:val="center"/>
          </w:tcPr>
          <w:p w14:paraId="08968CB0">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递交文件地点</w:t>
            </w:r>
          </w:p>
        </w:tc>
        <w:tc>
          <w:tcPr>
            <w:tcW w:w="7840" w:type="dxa"/>
            <w:vAlign w:val="top"/>
          </w:tcPr>
          <w:p w14:paraId="10519BD8">
            <w:pPr>
              <w:pStyle w:val="16"/>
              <w:spacing w:before="33" w:line="22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地点：</w:t>
            </w:r>
            <w:r>
              <w:rPr>
                <w:rFonts w:hint="eastAsia" w:cs="宋体"/>
                <w:color w:val="auto"/>
                <w:spacing w:val="6"/>
                <w:sz w:val="21"/>
                <w:szCs w:val="21"/>
                <w:highlight w:val="none"/>
                <w:lang w:eastAsia="zh-CN"/>
              </w:rPr>
              <w:t>长春市高新区鸿达街248号吉林日报副楼4楼第三开标室</w:t>
            </w:r>
          </w:p>
          <w:p w14:paraId="2FEABAE5">
            <w:pPr>
              <w:pStyle w:val="16"/>
              <w:spacing w:before="23" w:line="228" w:lineRule="auto"/>
              <w:ind w:lef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收件人：</w:t>
            </w:r>
            <w:r>
              <w:rPr>
                <w:rFonts w:hint="eastAsia" w:cs="宋体"/>
                <w:color w:val="auto"/>
                <w:spacing w:val="9"/>
                <w:sz w:val="21"/>
                <w:szCs w:val="21"/>
                <w:highlight w:val="none"/>
                <w:lang w:eastAsia="zh-CN"/>
              </w:rPr>
              <w:t>北京环亚恒信建设工程咨询有限公司</w:t>
            </w:r>
          </w:p>
          <w:p w14:paraId="2826E3A3">
            <w:pPr>
              <w:pStyle w:val="16"/>
              <w:spacing w:before="24" w:line="217"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提交截止时间：</w:t>
            </w:r>
            <w:r>
              <w:rPr>
                <w:rFonts w:hint="eastAsia" w:cs="宋体"/>
                <w:color w:val="auto"/>
                <w:spacing w:val="2"/>
                <w:sz w:val="21"/>
                <w:szCs w:val="21"/>
                <w:highlight w:val="none"/>
                <w:lang w:eastAsia="zh-CN"/>
              </w:rPr>
              <w:t>2024年11月12日14时00分</w:t>
            </w:r>
            <w:r>
              <w:rPr>
                <w:rFonts w:hint="eastAsia" w:ascii="宋体" w:hAnsi="宋体" w:eastAsia="宋体" w:cs="宋体"/>
                <w:color w:val="auto"/>
                <w:spacing w:val="1"/>
                <w:sz w:val="21"/>
                <w:szCs w:val="21"/>
                <w:highlight w:val="none"/>
              </w:rPr>
              <w:t>（北京时间）</w:t>
            </w:r>
          </w:p>
        </w:tc>
      </w:tr>
      <w:tr w14:paraId="1469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74" w:type="dxa"/>
            <w:vAlign w:val="center"/>
          </w:tcPr>
          <w:p w14:paraId="207E3A8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25</w:t>
            </w:r>
          </w:p>
        </w:tc>
        <w:tc>
          <w:tcPr>
            <w:tcW w:w="2178" w:type="dxa"/>
            <w:vAlign w:val="center"/>
          </w:tcPr>
          <w:p w14:paraId="0B6434EB">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磋商小组的构成</w:t>
            </w:r>
          </w:p>
        </w:tc>
        <w:tc>
          <w:tcPr>
            <w:tcW w:w="7840" w:type="dxa"/>
            <w:vAlign w:val="top"/>
          </w:tcPr>
          <w:p w14:paraId="56D73B83">
            <w:pPr>
              <w:pStyle w:val="16"/>
              <w:spacing w:before="32" w:line="22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磋商小组构成：社会专家3人；</w:t>
            </w:r>
          </w:p>
          <w:p w14:paraId="20674178">
            <w:pPr>
              <w:pStyle w:val="16"/>
              <w:spacing w:before="24" w:line="22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磋商小组确定方式：社会专家从</w:t>
            </w:r>
            <w:r>
              <w:rPr>
                <w:rFonts w:hint="eastAsia" w:ascii="宋体" w:hAnsi="宋体" w:eastAsia="宋体" w:cs="宋体"/>
                <w:color w:val="auto"/>
                <w:spacing w:val="9"/>
                <w:sz w:val="21"/>
                <w:szCs w:val="21"/>
                <w:highlight w:val="none"/>
                <w:lang w:val="en-US" w:eastAsia="zh-CN"/>
              </w:rPr>
              <w:t>政采云</w:t>
            </w:r>
            <w:r>
              <w:rPr>
                <w:rFonts w:hint="eastAsia" w:ascii="宋体" w:hAnsi="宋体" w:eastAsia="宋体" w:cs="宋体"/>
                <w:color w:val="auto"/>
                <w:spacing w:val="9"/>
                <w:sz w:val="21"/>
                <w:szCs w:val="21"/>
                <w:highlight w:val="none"/>
              </w:rPr>
              <w:t>专家库随机抽取。</w:t>
            </w:r>
          </w:p>
        </w:tc>
      </w:tr>
      <w:tr w14:paraId="6461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74" w:type="dxa"/>
            <w:vAlign w:val="center"/>
          </w:tcPr>
          <w:p w14:paraId="24F167B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26</w:t>
            </w:r>
          </w:p>
        </w:tc>
        <w:tc>
          <w:tcPr>
            <w:tcW w:w="2178" w:type="dxa"/>
            <w:vAlign w:val="center"/>
          </w:tcPr>
          <w:p w14:paraId="5F9E0470">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是否授权磋商小组</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确定成交供应商</w:t>
            </w:r>
          </w:p>
        </w:tc>
        <w:tc>
          <w:tcPr>
            <w:tcW w:w="7840" w:type="dxa"/>
            <w:vAlign w:val="top"/>
          </w:tcPr>
          <w:p w14:paraId="5CBAA45E">
            <w:pPr>
              <w:pStyle w:val="16"/>
              <w:numPr>
                <w:ilvl w:val="0"/>
                <w:numId w:val="0"/>
              </w:numPr>
              <w:spacing w:before="39" w:line="237" w:lineRule="auto"/>
              <w:ind w:left="425" w:leftChars="0" w:right="100" w:righ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否，磋商小组应当根据综合评分情况，按照评审得分由高到低顺序推荐前三名为成</w:t>
            </w:r>
            <w:r>
              <w:rPr>
                <w:rFonts w:hint="eastAsia" w:ascii="宋体" w:hAnsi="宋体" w:eastAsia="宋体" w:cs="宋体"/>
                <w:color w:val="auto"/>
                <w:spacing w:val="9"/>
                <w:sz w:val="21"/>
                <w:szCs w:val="21"/>
                <w:highlight w:val="none"/>
              </w:rPr>
              <w:t>交候选供应商，原则上确定排序第一的成交候</w:t>
            </w:r>
            <w:r>
              <w:rPr>
                <w:rFonts w:hint="eastAsia" w:ascii="宋体" w:hAnsi="宋体" w:eastAsia="宋体" w:cs="宋体"/>
                <w:color w:val="auto"/>
                <w:spacing w:val="8"/>
                <w:sz w:val="21"/>
                <w:szCs w:val="21"/>
                <w:highlight w:val="none"/>
              </w:rPr>
              <w:t>选供应商为本项目预成交供应商。</w:t>
            </w:r>
          </w:p>
        </w:tc>
      </w:tr>
      <w:tr w14:paraId="78B82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74" w:type="dxa"/>
            <w:vAlign w:val="center"/>
          </w:tcPr>
          <w:p w14:paraId="7CA150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27</w:t>
            </w:r>
          </w:p>
        </w:tc>
        <w:tc>
          <w:tcPr>
            <w:tcW w:w="2178" w:type="dxa"/>
            <w:vAlign w:val="center"/>
          </w:tcPr>
          <w:p w14:paraId="21C65AD3">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评审方法</w:t>
            </w:r>
          </w:p>
        </w:tc>
        <w:tc>
          <w:tcPr>
            <w:tcW w:w="7840" w:type="dxa"/>
            <w:vAlign w:val="top"/>
          </w:tcPr>
          <w:p w14:paraId="74283278">
            <w:pPr>
              <w:pStyle w:val="16"/>
              <w:spacing w:before="118" w:line="229"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综合评分法</w:t>
            </w:r>
          </w:p>
        </w:tc>
      </w:tr>
      <w:tr w14:paraId="38DA7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Align w:val="center"/>
          </w:tcPr>
          <w:p w14:paraId="6943C1D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2"/>
                <w:szCs w:val="22"/>
                <w:highlight w:val="none"/>
                <w:u w:val="none"/>
                <w:lang w:val="en-US" w:eastAsia="zh-CN" w:bidi="ar"/>
              </w:rPr>
              <w:t>28</w:t>
            </w:r>
          </w:p>
        </w:tc>
        <w:tc>
          <w:tcPr>
            <w:tcW w:w="2178" w:type="dxa"/>
            <w:vAlign w:val="center"/>
          </w:tcPr>
          <w:p w14:paraId="2AD36E86">
            <w:pPr>
              <w:pStyle w:val="16"/>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报价次数</w:t>
            </w:r>
          </w:p>
        </w:tc>
        <w:tc>
          <w:tcPr>
            <w:tcW w:w="7840" w:type="dxa"/>
            <w:vAlign w:val="top"/>
          </w:tcPr>
          <w:p w14:paraId="0BD28112">
            <w:pPr>
              <w:pStyle w:val="16"/>
              <w:spacing w:before="32" w:line="234" w:lineRule="auto"/>
              <w:ind w:left="112" w:right="110" w:firstLine="1"/>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本项目二轮报价，报价不公开；只有通过形式、资格性检查和响应性评审的供应商</w:t>
            </w:r>
            <w:r>
              <w:rPr>
                <w:rFonts w:hint="eastAsia" w:ascii="宋体" w:hAnsi="宋体" w:eastAsia="宋体" w:cs="宋体"/>
                <w:color w:val="auto"/>
                <w:spacing w:val="9"/>
                <w:sz w:val="21"/>
                <w:szCs w:val="21"/>
                <w:highlight w:val="none"/>
              </w:rPr>
              <w:t>才有资格进入第二轮报价，第二轮报价即为最终报价。</w:t>
            </w:r>
          </w:p>
        </w:tc>
      </w:tr>
      <w:tr w14:paraId="79BC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74" w:type="dxa"/>
            <w:vAlign w:val="center"/>
          </w:tcPr>
          <w:p w14:paraId="4C844FC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2"/>
                <w:szCs w:val="22"/>
                <w:highlight w:val="none"/>
                <w:u w:val="none"/>
                <w:lang w:val="en-US" w:eastAsia="zh-CN" w:bidi="ar"/>
              </w:rPr>
              <w:t>29</w:t>
            </w:r>
          </w:p>
        </w:tc>
        <w:tc>
          <w:tcPr>
            <w:tcW w:w="2178" w:type="dxa"/>
            <w:vAlign w:val="center"/>
          </w:tcPr>
          <w:p w14:paraId="5BE1EB44">
            <w:pPr>
              <w:pStyle w:val="16"/>
              <w:spacing w:line="240" w:lineRule="auto"/>
              <w:ind w:left="0" w:right="0" w:firstLine="0"/>
              <w:jc w:val="center"/>
              <w:rPr>
                <w:rFonts w:hint="eastAsia" w:ascii="宋体" w:hAnsi="宋体" w:eastAsia="宋体" w:cs="宋体"/>
                <w:color w:val="auto"/>
                <w:spacing w:val="5"/>
                <w:sz w:val="21"/>
                <w:szCs w:val="21"/>
                <w:highlight w:val="none"/>
                <w:u w:val="single" w:color="auto"/>
              </w:rPr>
            </w:pPr>
            <w:r>
              <w:rPr>
                <w:rFonts w:hint="eastAsia" w:ascii="宋体" w:hAnsi="宋体" w:eastAsia="宋体" w:cs="宋体"/>
                <w:color w:val="auto"/>
                <w:spacing w:val="6"/>
                <w:sz w:val="21"/>
                <w:szCs w:val="21"/>
                <w:highlight w:val="none"/>
              </w:rPr>
              <w:t>付款方式</w:t>
            </w:r>
          </w:p>
        </w:tc>
        <w:tc>
          <w:tcPr>
            <w:tcW w:w="7840" w:type="dxa"/>
            <w:vAlign w:val="top"/>
          </w:tcPr>
          <w:p w14:paraId="76403312">
            <w:pPr>
              <w:pStyle w:val="16"/>
              <w:spacing w:before="151" w:line="228" w:lineRule="auto"/>
              <w:ind w:left="116"/>
              <w:rPr>
                <w:rFonts w:hint="eastAsia" w:ascii="宋体" w:hAnsi="宋体" w:eastAsia="宋体" w:cs="宋体"/>
                <w:color w:val="auto"/>
                <w:spacing w:val="5"/>
                <w:sz w:val="21"/>
                <w:szCs w:val="21"/>
                <w:highlight w:val="none"/>
                <w:u w:val="single" w:color="auto"/>
              </w:rPr>
            </w:pPr>
            <w:r>
              <w:rPr>
                <w:rFonts w:hint="eastAsia" w:ascii="宋体" w:hAnsi="宋体" w:eastAsia="宋体" w:cs="宋体"/>
                <w:color w:val="auto"/>
                <w:spacing w:val="5"/>
                <w:sz w:val="21"/>
                <w:szCs w:val="21"/>
                <w:highlight w:val="none"/>
                <w:u w:val="single" w:color="auto"/>
              </w:rPr>
              <w:t>以合同</w:t>
            </w:r>
            <w:r>
              <w:rPr>
                <w:rFonts w:hint="eastAsia" w:ascii="宋体" w:hAnsi="宋体" w:eastAsia="宋体" w:cs="宋体"/>
                <w:color w:val="auto"/>
                <w:spacing w:val="5"/>
                <w:sz w:val="21"/>
                <w:szCs w:val="21"/>
                <w:highlight w:val="none"/>
                <w:u w:val="single" w:color="auto"/>
                <w:lang w:val="en-US" w:eastAsia="zh-CN"/>
              </w:rPr>
              <w:t>签订</w:t>
            </w:r>
            <w:r>
              <w:rPr>
                <w:rFonts w:hint="eastAsia" w:ascii="宋体" w:hAnsi="宋体" w:eastAsia="宋体" w:cs="宋体"/>
                <w:color w:val="auto"/>
                <w:spacing w:val="5"/>
                <w:sz w:val="21"/>
                <w:szCs w:val="21"/>
                <w:highlight w:val="none"/>
                <w:u w:val="single" w:color="auto"/>
              </w:rPr>
              <w:t>为准</w:t>
            </w:r>
          </w:p>
        </w:tc>
      </w:tr>
      <w:tr w14:paraId="0DEAC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92" w:type="dxa"/>
            <w:gridSpan w:val="3"/>
            <w:vAlign w:val="top"/>
          </w:tcPr>
          <w:p w14:paraId="4F3D4F5D">
            <w:pPr>
              <w:pStyle w:val="16"/>
              <w:spacing w:before="151"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其他补充内容</w:t>
            </w:r>
          </w:p>
        </w:tc>
      </w:tr>
      <w:tr w14:paraId="623F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4" w:type="dxa"/>
            <w:vAlign w:val="center"/>
          </w:tcPr>
          <w:p w14:paraId="0B963990">
            <w:pPr>
              <w:pStyle w:val="16"/>
              <w:spacing w:before="65" w:line="189" w:lineRule="auto"/>
              <w:ind w:left="244"/>
              <w:jc w:val="both"/>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30</w:t>
            </w:r>
          </w:p>
        </w:tc>
        <w:tc>
          <w:tcPr>
            <w:tcW w:w="10018" w:type="dxa"/>
            <w:gridSpan w:val="2"/>
            <w:vAlign w:val="top"/>
          </w:tcPr>
          <w:p w14:paraId="2936DD2D">
            <w:pPr>
              <w:pStyle w:val="16"/>
              <w:spacing w:before="32" w:line="277" w:lineRule="auto"/>
              <w:ind w:left="111" w:right="53" w:firstLine="1"/>
              <w:jc w:val="both"/>
              <w:rPr>
                <w:rFonts w:hint="eastAsia" w:ascii="宋体" w:hAnsi="宋体" w:eastAsia="宋体" w:cs="宋体"/>
                <w:color w:val="auto"/>
                <w:sz w:val="21"/>
                <w:szCs w:val="21"/>
                <w:highlight w:val="none"/>
                <w:lang w:val="en-US"/>
              </w:rPr>
            </w:pPr>
            <w:r>
              <w:rPr>
                <w:rFonts w:hint="eastAsia" w:ascii="宋体" w:hAnsi="宋体" w:eastAsia="宋体" w:cs="宋体"/>
                <w:color w:val="auto"/>
                <w:spacing w:val="10"/>
                <w:sz w:val="21"/>
                <w:szCs w:val="21"/>
                <w:highlight w:val="none"/>
              </w:rPr>
              <w:t>招标代理服务费：参考招标代理服务费计费执行计价格〔2002〕1980</w:t>
            </w:r>
            <w:r>
              <w:rPr>
                <w:rFonts w:hint="eastAsia" w:ascii="宋体" w:hAnsi="宋体" w:eastAsia="宋体" w:cs="宋体"/>
                <w:color w:val="auto"/>
                <w:spacing w:val="9"/>
                <w:sz w:val="21"/>
                <w:szCs w:val="21"/>
                <w:highlight w:val="none"/>
              </w:rPr>
              <w:t>号文件、招标代理机构按国家发改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委发改办价格〔2003〕857号文件费率标准、国家发展计划委员会计价格〔2015〕299号文件的取费标准</w:t>
            </w:r>
            <w:r>
              <w:rPr>
                <w:rFonts w:hint="eastAsia" w:ascii="宋体" w:hAnsi="宋体" w:eastAsia="宋体" w:cs="宋体"/>
                <w:color w:val="auto"/>
                <w:spacing w:val="5"/>
                <w:sz w:val="21"/>
                <w:szCs w:val="21"/>
                <w:highlight w:val="none"/>
                <w:lang w:val="en-US" w:eastAsia="zh-CN"/>
              </w:rPr>
              <w:t>收取代理服务费</w:t>
            </w:r>
            <w:r>
              <w:rPr>
                <w:rFonts w:hint="eastAsia" w:cs="宋体"/>
                <w:color w:val="auto"/>
                <w:spacing w:val="5"/>
                <w:sz w:val="21"/>
                <w:szCs w:val="21"/>
                <w:highlight w:val="none"/>
                <w:lang w:val="en-US" w:eastAsia="zh-CN"/>
              </w:rPr>
              <w:t xml:space="preserve"> 8000 元</w:t>
            </w:r>
            <w:r>
              <w:rPr>
                <w:rFonts w:hint="eastAsia" w:ascii="宋体" w:hAnsi="宋体" w:eastAsia="宋体" w:cs="宋体"/>
                <w:color w:val="auto"/>
                <w:spacing w:val="5"/>
                <w:sz w:val="21"/>
                <w:szCs w:val="21"/>
                <w:highlight w:val="none"/>
                <w:lang w:val="en-US" w:eastAsia="zh-CN"/>
              </w:rPr>
              <w:t>，由中标单位支付。</w:t>
            </w:r>
          </w:p>
        </w:tc>
      </w:tr>
      <w:tr w14:paraId="5D312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7" w:hRule="atLeast"/>
        </w:trPr>
        <w:tc>
          <w:tcPr>
            <w:tcW w:w="474" w:type="dxa"/>
            <w:vAlign w:val="top"/>
          </w:tcPr>
          <w:p w14:paraId="6DCEA9F5">
            <w:pPr>
              <w:spacing w:line="259" w:lineRule="auto"/>
              <w:rPr>
                <w:rFonts w:hint="eastAsia" w:ascii="宋体" w:hAnsi="宋体" w:eastAsia="宋体" w:cs="宋体"/>
                <w:color w:val="auto"/>
                <w:sz w:val="21"/>
                <w:szCs w:val="21"/>
                <w:highlight w:val="none"/>
              </w:rPr>
            </w:pPr>
          </w:p>
          <w:p w14:paraId="066922A3">
            <w:pPr>
              <w:spacing w:line="259" w:lineRule="auto"/>
              <w:rPr>
                <w:rFonts w:hint="eastAsia" w:ascii="宋体" w:hAnsi="宋体" w:eastAsia="宋体" w:cs="宋体"/>
                <w:color w:val="auto"/>
                <w:sz w:val="21"/>
                <w:szCs w:val="21"/>
                <w:highlight w:val="none"/>
              </w:rPr>
            </w:pPr>
          </w:p>
          <w:p w14:paraId="3F060A2F">
            <w:pPr>
              <w:spacing w:line="259" w:lineRule="auto"/>
              <w:rPr>
                <w:rFonts w:hint="eastAsia" w:ascii="宋体" w:hAnsi="宋体" w:eastAsia="宋体" w:cs="宋体"/>
                <w:color w:val="auto"/>
                <w:sz w:val="21"/>
                <w:szCs w:val="21"/>
                <w:highlight w:val="none"/>
              </w:rPr>
            </w:pPr>
          </w:p>
          <w:p w14:paraId="1C99276A">
            <w:pPr>
              <w:spacing w:line="259" w:lineRule="auto"/>
              <w:rPr>
                <w:rFonts w:hint="eastAsia" w:ascii="宋体" w:hAnsi="宋体" w:eastAsia="宋体" w:cs="宋体"/>
                <w:color w:val="auto"/>
                <w:sz w:val="21"/>
                <w:szCs w:val="21"/>
                <w:highlight w:val="none"/>
              </w:rPr>
            </w:pPr>
          </w:p>
          <w:p w14:paraId="2B324BDA">
            <w:pPr>
              <w:spacing w:line="260" w:lineRule="auto"/>
              <w:rPr>
                <w:rFonts w:hint="eastAsia" w:ascii="宋体" w:hAnsi="宋体" w:eastAsia="宋体" w:cs="宋体"/>
                <w:color w:val="auto"/>
                <w:sz w:val="21"/>
                <w:szCs w:val="21"/>
                <w:highlight w:val="none"/>
              </w:rPr>
            </w:pPr>
          </w:p>
          <w:p w14:paraId="69C0902B">
            <w:pPr>
              <w:spacing w:line="260" w:lineRule="auto"/>
              <w:rPr>
                <w:rFonts w:hint="eastAsia" w:ascii="宋体" w:hAnsi="宋体" w:eastAsia="宋体" w:cs="宋体"/>
                <w:color w:val="auto"/>
                <w:sz w:val="21"/>
                <w:szCs w:val="21"/>
                <w:highlight w:val="none"/>
              </w:rPr>
            </w:pPr>
          </w:p>
          <w:p w14:paraId="2F1DB9A0">
            <w:pPr>
              <w:spacing w:line="260" w:lineRule="auto"/>
              <w:rPr>
                <w:rFonts w:hint="eastAsia" w:ascii="宋体" w:hAnsi="宋体" w:eastAsia="宋体" w:cs="宋体"/>
                <w:color w:val="auto"/>
                <w:sz w:val="21"/>
                <w:szCs w:val="21"/>
                <w:highlight w:val="none"/>
              </w:rPr>
            </w:pPr>
          </w:p>
          <w:p w14:paraId="7456A14F">
            <w:pPr>
              <w:pStyle w:val="16"/>
              <w:spacing w:before="65" w:line="189" w:lineRule="auto"/>
              <w:ind w:left="244"/>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31</w:t>
            </w:r>
          </w:p>
        </w:tc>
        <w:tc>
          <w:tcPr>
            <w:tcW w:w="10018" w:type="dxa"/>
            <w:gridSpan w:val="2"/>
            <w:vAlign w:val="top"/>
          </w:tcPr>
          <w:p w14:paraId="4E0370EF">
            <w:pPr>
              <w:pStyle w:val="16"/>
              <w:spacing w:before="37" w:line="264" w:lineRule="auto"/>
              <w:ind w:left="114" w:right="41" w:firstLine="1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1.根据工信部等部委发布的《关于印发中小企业划型</w:t>
            </w:r>
            <w:r>
              <w:rPr>
                <w:rFonts w:hint="eastAsia" w:ascii="宋体" w:hAnsi="宋体" w:eastAsia="宋体" w:cs="宋体"/>
                <w:color w:val="auto"/>
                <w:spacing w:val="6"/>
                <w:sz w:val="21"/>
                <w:szCs w:val="21"/>
                <w:highlight w:val="none"/>
              </w:rPr>
              <w:t>标准规定的通知》（工信部联企业〔2011〕300</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w:t>
            </w: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9"/>
                <w:sz w:val="21"/>
                <w:szCs w:val="21"/>
                <w:highlight w:val="none"/>
              </w:rPr>
              <w:t>符合相关条件的为中小微型企业。</w:t>
            </w:r>
          </w:p>
          <w:p w14:paraId="7F8E1FE8">
            <w:pPr>
              <w:pStyle w:val="16"/>
              <w:spacing w:before="78" w:line="287" w:lineRule="auto"/>
              <w:ind w:left="113" w:right="107" w:firstLine="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2.本项目属于专门面向中小企</w:t>
            </w:r>
            <w:bookmarkStart w:id="99" w:name="_GoBack"/>
            <w:bookmarkEnd w:id="99"/>
            <w:r>
              <w:rPr>
                <w:rFonts w:hint="eastAsia" w:ascii="宋体" w:hAnsi="宋体" w:eastAsia="宋体" w:cs="宋体"/>
                <w:color w:val="auto"/>
                <w:spacing w:val="9"/>
                <w:sz w:val="21"/>
                <w:szCs w:val="21"/>
                <w:highlight w:val="none"/>
              </w:rPr>
              <w:t>业。按照《政府采购促进中小企业发展管理办法》</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9"/>
                <w:sz w:val="21"/>
                <w:szCs w:val="21"/>
                <w:highlight w:val="none"/>
              </w:rPr>
              <w:t>（财库[2020]46号）</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9"/>
                <w:sz w:val="21"/>
                <w:szCs w:val="21"/>
                <w:highlight w:val="none"/>
              </w:rPr>
              <w:t>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要求，供应商应为中小微企业，残疾人福利性单位、监狱单位视同小型、微型企业，享受本项目面向中小企业采购的政策。（中小微企业投标的出具中小企业声明函、残疾人福利性单位投标的出具残疾人福利性单位声明函、监狱企业投标的提供由省级以上监狱管理局、戒毒管理局(含新疆生产建设兵团)出具的属于</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7"/>
                <w:sz w:val="21"/>
                <w:szCs w:val="21"/>
                <w:highlight w:val="none"/>
              </w:rPr>
              <w:t>监狱企业的证明文件）。</w:t>
            </w:r>
          </w:p>
          <w:p w14:paraId="7DAB2913">
            <w:pPr>
              <w:pStyle w:val="16"/>
              <w:spacing w:before="82" w:line="264" w:lineRule="auto"/>
              <w:ind w:left="117" w:right="107" w:hanging="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3.符合要求的中小企业应当提供《政府采购促进中小企业发展管理办法》（财库[2020]46</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6"/>
                <w:sz w:val="21"/>
                <w:szCs w:val="21"/>
                <w:highlight w:val="none"/>
              </w:rPr>
              <w:t>号）规定的《中</w:t>
            </w:r>
            <w:r>
              <w:rPr>
                <w:rFonts w:hint="eastAsia" w:ascii="宋体" w:hAnsi="宋体" w:eastAsia="宋体" w:cs="宋体"/>
                <w:color w:val="auto"/>
                <w:spacing w:val="9"/>
                <w:sz w:val="21"/>
                <w:szCs w:val="21"/>
                <w:highlight w:val="none"/>
              </w:rPr>
              <w:t>小企业声明函》。无论实际情况如何，未提供《中小企业声明函》视为不符合条件。</w:t>
            </w:r>
          </w:p>
          <w:p w14:paraId="61CDC26B">
            <w:pPr>
              <w:pStyle w:val="16"/>
              <w:spacing w:before="79" w:line="265" w:lineRule="auto"/>
              <w:ind w:left="112"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4.以联合体形式参加政府采购活动，联合体各方均为中小企业的，联合体视同中小企业。其中，联合体各方均为小微企业的，联合体视同小微企业。</w:t>
            </w:r>
          </w:p>
          <w:p w14:paraId="5A7B236B">
            <w:pPr>
              <w:pStyle w:val="16"/>
              <w:spacing w:before="78"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5.按照《政府采购促进中小企业发展管理办法》</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0"/>
                <w:sz w:val="21"/>
                <w:szCs w:val="21"/>
                <w:highlight w:val="none"/>
              </w:rPr>
              <w:t>（财库[2020]46</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0"/>
                <w:sz w:val="21"/>
                <w:szCs w:val="21"/>
                <w:highlight w:val="none"/>
              </w:rPr>
              <w:t>号）规定，享受扶</w:t>
            </w:r>
            <w:r>
              <w:rPr>
                <w:rFonts w:hint="eastAsia" w:ascii="宋体" w:hAnsi="宋体" w:eastAsia="宋体" w:cs="宋体"/>
                <w:color w:val="auto"/>
                <w:spacing w:val="9"/>
                <w:sz w:val="21"/>
                <w:szCs w:val="21"/>
                <w:highlight w:val="none"/>
              </w:rPr>
              <w:t>持政策获得政府采购合同的，小微企业不得将合同分包给大中型企业，中型企业不得将合同分包给大型企业。</w:t>
            </w:r>
          </w:p>
        </w:tc>
      </w:tr>
      <w:tr w14:paraId="6D6B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474" w:type="dxa"/>
            <w:vAlign w:val="top"/>
          </w:tcPr>
          <w:p w14:paraId="0BB7C803">
            <w:pPr>
              <w:spacing w:line="270" w:lineRule="auto"/>
              <w:rPr>
                <w:rFonts w:hint="eastAsia" w:ascii="宋体" w:hAnsi="宋体" w:eastAsia="宋体" w:cs="宋体"/>
                <w:color w:val="auto"/>
                <w:sz w:val="21"/>
                <w:szCs w:val="21"/>
                <w:highlight w:val="none"/>
              </w:rPr>
            </w:pPr>
          </w:p>
          <w:p w14:paraId="6734D76D">
            <w:pPr>
              <w:spacing w:line="270" w:lineRule="auto"/>
              <w:rPr>
                <w:rFonts w:hint="eastAsia" w:ascii="宋体" w:hAnsi="宋体" w:eastAsia="宋体" w:cs="宋体"/>
                <w:color w:val="auto"/>
                <w:sz w:val="21"/>
                <w:szCs w:val="21"/>
                <w:highlight w:val="none"/>
              </w:rPr>
            </w:pPr>
          </w:p>
          <w:p w14:paraId="75255C3D">
            <w:pPr>
              <w:spacing w:line="270" w:lineRule="auto"/>
              <w:rPr>
                <w:rFonts w:hint="eastAsia" w:ascii="宋体" w:hAnsi="宋体" w:eastAsia="宋体" w:cs="宋体"/>
                <w:color w:val="auto"/>
                <w:sz w:val="21"/>
                <w:szCs w:val="21"/>
                <w:highlight w:val="none"/>
              </w:rPr>
            </w:pPr>
          </w:p>
          <w:p w14:paraId="6D5DA469">
            <w:pPr>
              <w:spacing w:line="270" w:lineRule="auto"/>
              <w:rPr>
                <w:rFonts w:hint="eastAsia" w:ascii="宋体" w:hAnsi="宋体" w:eastAsia="宋体" w:cs="宋体"/>
                <w:color w:val="auto"/>
                <w:sz w:val="21"/>
                <w:szCs w:val="21"/>
                <w:highlight w:val="none"/>
              </w:rPr>
            </w:pPr>
          </w:p>
          <w:p w14:paraId="1D43FC99">
            <w:pPr>
              <w:spacing w:line="271" w:lineRule="auto"/>
              <w:rPr>
                <w:rFonts w:hint="eastAsia" w:ascii="宋体" w:hAnsi="宋体" w:eastAsia="宋体" w:cs="宋体"/>
                <w:color w:val="auto"/>
                <w:sz w:val="21"/>
                <w:szCs w:val="21"/>
                <w:highlight w:val="none"/>
              </w:rPr>
            </w:pPr>
          </w:p>
          <w:p w14:paraId="4DD648D3">
            <w:pPr>
              <w:spacing w:line="271" w:lineRule="auto"/>
              <w:rPr>
                <w:rFonts w:hint="eastAsia" w:ascii="宋体" w:hAnsi="宋体" w:eastAsia="宋体" w:cs="宋体"/>
                <w:color w:val="auto"/>
                <w:sz w:val="21"/>
                <w:szCs w:val="21"/>
                <w:highlight w:val="none"/>
              </w:rPr>
            </w:pPr>
          </w:p>
          <w:p w14:paraId="6B62A944">
            <w:pPr>
              <w:pStyle w:val="16"/>
              <w:spacing w:before="65" w:line="189" w:lineRule="auto"/>
              <w:ind w:left="24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3</w:t>
            </w:r>
            <w:r>
              <w:rPr>
                <w:rFonts w:hint="eastAsia" w:cs="宋体"/>
                <w:color w:val="auto"/>
                <w:spacing w:val="-2"/>
                <w:sz w:val="21"/>
                <w:szCs w:val="21"/>
                <w:highlight w:val="none"/>
                <w:lang w:val="en-US" w:eastAsia="zh-CN"/>
              </w:rPr>
              <w:t>2</w:t>
            </w:r>
          </w:p>
        </w:tc>
        <w:tc>
          <w:tcPr>
            <w:tcW w:w="10018" w:type="dxa"/>
            <w:gridSpan w:val="2"/>
            <w:vAlign w:val="top"/>
          </w:tcPr>
          <w:p w14:paraId="2A303A3A">
            <w:pPr>
              <w:pStyle w:val="16"/>
              <w:spacing w:before="32" w:line="227"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供应商不得以低于成本价不正当竞争，特制定如下预防措施：</w:t>
            </w:r>
          </w:p>
          <w:p w14:paraId="264CA01E">
            <w:pPr>
              <w:pStyle w:val="16"/>
              <w:spacing w:before="81" w:line="289" w:lineRule="auto"/>
              <w:ind w:left="111" w:right="39" w:firstLine="1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1.在评审过程中，供应商报价过低，有可能影响</w:t>
            </w:r>
            <w:r>
              <w:rPr>
                <w:rFonts w:hint="eastAsia" w:ascii="宋体" w:hAnsi="宋体" w:eastAsia="宋体" w:cs="宋体"/>
                <w:color w:val="auto"/>
                <w:spacing w:val="10"/>
                <w:sz w:val="21"/>
                <w:szCs w:val="21"/>
                <w:highlight w:val="none"/>
                <w:lang w:val="en-US" w:eastAsia="zh-CN"/>
              </w:rPr>
              <w:t>服务</w:t>
            </w:r>
            <w:r>
              <w:rPr>
                <w:rFonts w:hint="eastAsia" w:ascii="宋体" w:hAnsi="宋体" w:eastAsia="宋体" w:cs="宋体"/>
                <w:color w:val="auto"/>
                <w:spacing w:val="10"/>
                <w:sz w:val="21"/>
                <w:szCs w:val="21"/>
                <w:highlight w:val="none"/>
              </w:rPr>
              <w:t>质量</w:t>
            </w:r>
            <w:r>
              <w:rPr>
                <w:rFonts w:hint="eastAsia" w:ascii="宋体" w:hAnsi="宋体" w:eastAsia="宋体" w:cs="宋体"/>
                <w:color w:val="auto"/>
                <w:spacing w:val="9"/>
                <w:sz w:val="21"/>
                <w:szCs w:val="21"/>
                <w:highlight w:val="none"/>
              </w:rPr>
              <w:t>或者不能诚信履约的，评审小组应当要求其在</w:t>
            </w:r>
            <w:r>
              <w:rPr>
                <w:rFonts w:hint="eastAsia" w:ascii="宋体" w:hAnsi="宋体" w:eastAsia="宋体" w:cs="宋体"/>
                <w:color w:val="auto"/>
                <w:spacing w:val="8"/>
                <w:sz w:val="21"/>
                <w:szCs w:val="21"/>
                <w:highlight w:val="none"/>
              </w:rPr>
              <w:t>合理的时间内提供书面说明，并提交相关证明材料，供应商不能证明其报价合理性的，评审小组应当将其</w:t>
            </w:r>
            <w:r>
              <w:rPr>
                <w:rFonts w:hint="eastAsia" w:ascii="宋体" w:hAnsi="宋体" w:eastAsia="宋体" w:cs="宋体"/>
                <w:color w:val="auto"/>
                <w:spacing w:val="6"/>
                <w:sz w:val="21"/>
                <w:szCs w:val="21"/>
                <w:highlight w:val="none"/>
              </w:rPr>
              <w:t>作为无效处理。供应商的书面说明材料应当按</w:t>
            </w:r>
            <w:r>
              <w:rPr>
                <w:rFonts w:hint="eastAsia" w:ascii="宋体" w:hAnsi="宋体" w:eastAsia="宋体" w:cs="宋体"/>
                <w:color w:val="auto"/>
                <w:spacing w:val="5"/>
                <w:sz w:val="21"/>
                <w:szCs w:val="21"/>
                <w:highlight w:val="none"/>
              </w:rPr>
              <w:t>照国家财务会计制度的规定要求，逐项就供应商提供的货物、</w:t>
            </w:r>
            <w:r>
              <w:rPr>
                <w:rFonts w:hint="eastAsia" w:ascii="宋体" w:hAnsi="宋体" w:eastAsia="宋体" w:cs="宋体"/>
                <w:color w:val="auto"/>
                <w:spacing w:val="10"/>
                <w:sz w:val="21"/>
                <w:szCs w:val="21"/>
                <w:highlight w:val="none"/>
              </w:rPr>
              <w:t>工程和服务的主营业务成本、税金及附加、销售费用、管理费用、财务费用等成本构成事项详</w:t>
            </w:r>
            <w:r>
              <w:rPr>
                <w:rFonts w:hint="eastAsia" w:ascii="宋体" w:hAnsi="宋体" w:eastAsia="宋体" w:cs="宋体"/>
                <w:color w:val="auto"/>
                <w:spacing w:val="9"/>
                <w:sz w:val="21"/>
                <w:szCs w:val="21"/>
                <w:highlight w:val="none"/>
              </w:rPr>
              <w:t>细陈述）。</w:t>
            </w:r>
          </w:p>
          <w:p w14:paraId="26F9028F">
            <w:pPr>
              <w:pStyle w:val="16"/>
              <w:spacing w:before="81" w:line="289" w:lineRule="auto"/>
              <w:ind w:left="111" w:right="39" w:firstLine="1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2.供应商书面说明应当签字确认或者加盖公章，否则无效。书面说明的签字确认，由其法定代表人或授</w:t>
            </w:r>
            <w:r>
              <w:rPr>
                <w:rFonts w:hint="eastAsia" w:ascii="宋体" w:hAnsi="宋体" w:eastAsia="宋体" w:cs="宋体"/>
                <w:color w:val="auto"/>
                <w:spacing w:val="6"/>
                <w:sz w:val="21"/>
                <w:szCs w:val="21"/>
                <w:highlight w:val="none"/>
              </w:rPr>
              <w:t>权代表完成。</w:t>
            </w:r>
          </w:p>
          <w:p w14:paraId="13A4456D">
            <w:pPr>
              <w:pStyle w:val="16"/>
              <w:spacing w:before="82" w:line="284" w:lineRule="auto"/>
              <w:ind w:left="114" w:right="79"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3.供应商提供书面说明后，评审小组应当结合采购项目采购需求、专业实</w:t>
            </w:r>
            <w:r>
              <w:rPr>
                <w:rFonts w:hint="eastAsia" w:ascii="宋体" w:hAnsi="宋体" w:eastAsia="宋体" w:cs="宋体"/>
                <w:color w:val="auto"/>
                <w:spacing w:val="8"/>
                <w:sz w:val="21"/>
                <w:szCs w:val="21"/>
                <w:highlight w:val="none"/>
              </w:rPr>
              <w:t>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有权将其按废标</w:t>
            </w:r>
            <w:r>
              <w:rPr>
                <w:rFonts w:hint="eastAsia" w:ascii="宋体" w:hAnsi="宋体" w:eastAsia="宋体" w:cs="宋体"/>
                <w:color w:val="auto"/>
                <w:spacing w:val="2"/>
                <w:sz w:val="21"/>
                <w:szCs w:val="21"/>
                <w:highlight w:val="none"/>
              </w:rPr>
              <w:t>处理。</w:t>
            </w:r>
          </w:p>
        </w:tc>
      </w:tr>
      <w:tr w14:paraId="0952B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7" w:hRule="atLeast"/>
        </w:trPr>
        <w:tc>
          <w:tcPr>
            <w:tcW w:w="474" w:type="dxa"/>
            <w:vAlign w:val="center"/>
          </w:tcPr>
          <w:p w14:paraId="3EE2E705">
            <w:pPr>
              <w:pStyle w:val="16"/>
              <w:spacing w:before="6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3</w:t>
            </w:r>
            <w:r>
              <w:rPr>
                <w:rFonts w:hint="eastAsia" w:cs="宋体"/>
                <w:color w:val="auto"/>
                <w:spacing w:val="-2"/>
                <w:sz w:val="21"/>
                <w:szCs w:val="21"/>
                <w:highlight w:val="none"/>
                <w:lang w:val="en-US" w:eastAsia="zh-CN"/>
              </w:rPr>
              <w:t>3</w:t>
            </w:r>
          </w:p>
        </w:tc>
        <w:tc>
          <w:tcPr>
            <w:tcW w:w="10018" w:type="dxa"/>
            <w:gridSpan w:val="2"/>
            <w:vAlign w:val="top"/>
          </w:tcPr>
          <w:p w14:paraId="4FAE8BED">
            <w:pPr>
              <w:pStyle w:val="16"/>
              <w:spacing w:before="32" w:line="228" w:lineRule="auto"/>
              <w:ind w:left="1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电子标说明：</w:t>
            </w:r>
          </w:p>
          <w:p w14:paraId="21AF22A6">
            <w:pPr>
              <w:pStyle w:val="16"/>
              <w:spacing w:before="26" w:line="271" w:lineRule="exact"/>
              <w:ind w:left="114"/>
              <w:rPr>
                <w:rFonts w:hint="eastAsia" w:ascii="宋体" w:hAnsi="宋体" w:eastAsia="宋体" w:cs="宋体"/>
                <w:color w:val="auto"/>
                <w:sz w:val="21"/>
                <w:szCs w:val="21"/>
                <w:highlight w:val="none"/>
              </w:rPr>
            </w:pPr>
            <w:r>
              <w:rPr>
                <w:rFonts w:hint="eastAsia" w:ascii="宋体" w:hAnsi="宋体" w:eastAsia="宋体" w:cs="宋体"/>
                <w:color w:val="auto"/>
                <w:spacing w:val="9"/>
                <w:position w:val="4"/>
                <w:sz w:val="21"/>
                <w:szCs w:val="21"/>
                <w:highlight w:val="none"/>
              </w:rPr>
              <w:t>上传的电子证件及资料均需按要求签字盖章上传，否则按未签章处理。</w:t>
            </w:r>
          </w:p>
          <w:p w14:paraId="64A5FF00">
            <w:pPr>
              <w:pStyle w:val="16"/>
              <w:spacing w:line="228" w:lineRule="auto"/>
              <w:ind w:left="114"/>
              <w:rPr>
                <w:rFonts w:hint="eastAsia" w:ascii="宋体" w:hAnsi="宋体" w:eastAsia="宋体" w:cs="宋体"/>
                <w:color w:val="auto"/>
                <w:sz w:val="21"/>
                <w:szCs w:val="21"/>
                <w:highlight w:val="none"/>
              </w:rPr>
            </w:pPr>
            <w:r>
              <w:rPr>
                <w:rFonts w:hint="eastAsia" w:cs="宋体"/>
                <w:color w:val="auto"/>
                <w:spacing w:val="8"/>
                <w:sz w:val="21"/>
                <w:szCs w:val="21"/>
                <w:highlight w:val="none"/>
                <w:lang w:eastAsia="zh-CN"/>
              </w:rPr>
              <w:t>响应文件</w:t>
            </w:r>
            <w:r>
              <w:rPr>
                <w:rFonts w:hint="eastAsia" w:ascii="宋体" w:hAnsi="宋体" w:eastAsia="宋体" w:cs="宋体"/>
                <w:color w:val="auto"/>
                <w:spacing w:val="8"/>
                <w:sz w:val="21"/>
                <w:szCs w:val="21"/>
                <w:highlight w:val="none"/>
              </w:rPr>
              <w:t>电子版方面技术支持：95763</w:t>
            </w:r>
          </w:p>
          <w:p w14:paraId="7F314E5E">
            <w:pPr>
              <w:pStyle w:val="16"/>
              <w:spacing w:before="4" w:line="265" w:lineRule="exact"/>
              <w:ind w:left="112"/>
              <w:rPr>
                <w:rFonts w:hint="eastAsia" w:ascii="宋体" w:hAnsi="宋体" w:eastAsia="宋体" w:cs="宋体"/>
                <w:color w:val="auto"/>
                <w:sz w:val="21"/>
                <w:szCs w:val="21"/>
                <w:highlight w:val="none"/>
              </w:rPr>
            </w:pPr>
            <w:r>
              <w:rPr>
                <w:rFonts w:hint="eastAsia" w:ascii="宋体" w:hAnsi="宋体" w:eastAsia="宋体" w:cs="宋体"/>
                <w:color w:val="auto"/>
                <w:spacing w:val="7"/>
                <w:position w:val="2"/>
                <w:sz w:val="21"/>
                <w:szCs w:val="21"/>
                <w:highlight w:val="none"/>
              </w:rPr>
              <w:t>供应商在政府采购云平台（网址：</w:t>
            </w:r>
            <w:r>
              <w:rPr>
                <w:rFonts w:hint="eastAsia" w:ascii="宋体" w:hAnsi="宋体" w:eastAsia="宋体" w:cs="宋体"/>
                <w:color w:val="auto"/>
                <w:position w:val="2"/>
                <w:sz w:val="21"/>
                <w:szCs w:val="21"/>
                <w:highlight w:val="none"/>
              </w:rPr>
              <w:t>http</w:t>
            </w:r>
            <w:r>
              <w:rPr>
                <w:rFonts w:hint="eastAsia" w:ascii="宋体" w:hAnsi="宋体" w:eastAsia="宋体" w:cs="宋体"/>
                <w:color w:val="auto"/>
                <w:spacing w:val="7"/>
                <w:position w:val="2"/>
                <w:sz w:val="21"/>
                <w:szCs w:val="21"/>
                <w:highlight w:val="none"/>
              </w:rPr>
              <w:t xml:space="preserve">:// </w:t>
            </w:r>
            <w:r>
              <w:rPr>
                <w:rFonts w:hint="eastAsia" w:ascii="宋体" w:hAnsi="宋体" w:eastAsia="宋体" w:cs="宋体"/>
                <w:color w:val="auto"/>
                <w:position w:val="2"/>
                <w:sz w:val="21"/>
                <w:szCs w:val="21"/>
                <w:highlight w:val="none"/>
              </w:rPr>
              <w:t>www</w:t>
            </w:r>
            <w:r>
              <w:rPr>
                <w:rFonts w:hint="eastAsia" w:ascii="宋体" w:hAnsi="宋体" w:eastAsia="宋体" w:cs="宋体"/>
                <w:color w:val="auto"/>
                <w:spacing w:val="7"/>
                <w:position w:val="2"/>
                <w:sz w:val="21"/>
                <w:szCs w:val="21"/>
                <w:highlight w:val="none"/>
              </w:rPr>
              <w:t>.</w:t>
            </w:r>
            <w:r>
              <w:rPr>
                <w:rFonts w:hint="eastAsia" w:ascii="宋体" w:hAnsi="宋体" w:eastAsia="宋体" w:cs="宋体"/>
                <w:color w:val="auto"/>
                <w:position w:val="2"/>
                <w:sz w:val="21"/>
                <w:szCs w:val="21"/>
                <w:highlight w:val="none"/>
              </w:rPr>
              <w:t>zcygov</w:t>
            </w:r>
            <w:r>
              <w:rPr>
                <w:rFonts w:hint="eastAsia" w:ascii="宋体" w:hAnsi="宋体" w:eastAsia="宋体" w:cs="宋体"/>
                <w:color w:val="auto"/>
                <w:spacing w:val="7"/>
                <w:position w:val="2"/>
                <w:sz w:val="21"/>
                <w:szCs w:val="21"/>
                <w:highlight w:val="none"/>
              </w:rPr>
              <w:t>.</w:t>
            </w:r>
            <w:r>
              <w:rPr>
                <w:rFonts w:hint="eastAsia" w:ascii="宋体" w:hAnsi="宋体" w:eastAsia="宋体" w:cs="宋体"/>
                <w:color w:val="auto"/>
                <w:position w:val="2"/>
                <w:sz w:val="21"/>
                <w:szCs w:val="21"/>
                <w:highlight w:val="none"/>
              </w:rPr>
              <w:t>cn</w:t>
            </w:r>
            <w:r>
              <w:rPr>
                <w:rFonts w:hint="eastAsia" w:ascii="宋体" w:hAnsi="宋体" w:eastAsia="宋体" w:cs="宋体"/>
                <w:color w:val="auto"/>
                <w:spacing w:val="7"/>
                <w:position w:val="2"/>
                <w:sz w:val="21"/>
                <w:szCs w:val="21"/>
                <w:highlight w:val="none"/>
              </w:rPr>
              <w:t>）通过数字证书制作响应</w:t>
            </w:r>
            <w:r>
              <w:rPr>
                <w:rFonts w:hint="eastAsia" w:ascii="宋体" w:hAnsi="宋体" w:eastAsia="宋体" w:cs="宋体"/>
                <w:color w:val="auto"/>
                <w:spacing w:val="6"/>
                <w:position w:val="2"/>
                <w:sz w:val="21"/>
                <w:szCs w:val="21"/>
                <w:highlight w:val="none"/>
              </w:rPr>
              <w:t>文件</w:t>
            </w:r>
            <w:r>
              <w:rPr>
                <w:rFonts w:hint="eastAsia" w:ascii="宋体" w:hAnsi="宋体" w:eastAsia="宋体" w:cs="宋体"/>
                <w:color w:val="auto"/>
                <w:spacing w:val="-27"/>
                <w:position w:val="2"/>
                <w:sz w:val="21"/>
                <w:szCs w:val="21"/>
                <w:highlight w:val="none"/>
              </w:rPr>
              <w:t xml:space="preserve"> </w:t>
            </w:r>
            <w:r>
              <w:rPr>
                <w:rFonts w:hint="eastAsia" w:ascii="宋体" w:hAnsi="宋体" w:eastAsia="宋体" w:cs="宋体"/>
                <w:color w:val="auto"/>
                <w:spacing w:val="6"/>
                <w:position w:val="2"/>
                <w:sz w:val="21"/>
                <w:szCs w:val="21"/>
                <w:highlight w:val="none"/>
              </w:rPr>
              <w:t>1</w:t>
            </w:r>
            <w:r>
              <w:rPr>
                <w:rFonts w:hint="eastAsia" w:ascii="宋体" w:hAnsi="宋体" w:eastAsia="宋体" w:cs="宋体"/>
                <w:color w:val="auto"/>
                <w:spacing w:val="15"/>
                <w:w w:val="101"/>
                <w:position w:val="2"/>
                <w:sz w:val="21"/>
                <w:szCs w:val="21"/>
                <w:highlight w:val="none"/>
              </w:rPr>
              <w:t xml:space="preserve"> </w:t>
            </w:r>
            <w:r>
              <w:rPr>
                <w:rFonts w:hint="eastAsia" w:ascii="宋体" w:hAnsi="宋体" w:eastAsia="宋体" w:cs="宋体"/>
                <w:color w:val="auto"/>
                <w:spacing w:val="6"/>
                <w:position w:val="2"/>
                <w:sz w:val="21"/>
                <w:szCs w:val="21"/>
                <w:highlight w:val="none"/>
              </w:rPr>
              <w:t>份（此响应文件需</w:t>
            </w:r>
          </w:p>
          <w:p w14:paraId="3A20FE36">
            <w:pPr>
              <w:pStyle w:val="16"/>
              <w:spacing w:before="28" w:line="241" w:lineRule="auto"/>
              <w:ind w:left="114" w:right="155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上传至政府采购云平台，并在开标时持编制响应文件的</w:t>
            </w:r>
            <w:r>
              <w:rPr>
                <w:rFonts w:hint="eastAsia"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数字</w:t>
            </w:r>
            <w:r>
              <w:rPr>
                <w:rFonts w:hint="eastAsia" w:ascii="宋体" w:hAnsi="宋体" w:eastAsia="宋体" w:cs="宋体"/>
                <w:color w:val="auto"/>
                <w:spacing w:val="8"/>
                <w:sz w:val="21"/>
                <w:szCs w:val="21"/>
                <w:highlight w:val="none"/>
              </w:rPr>
              <w:t>证书进行远程解密）。</w:t>
            </w:r>
            <w:r>
              <w:rPr>
                <w:rFonts w:hint="eastAsia" w:ascii="宋体" w:hAnsi="宋体" w:eastAsia="宋体" w:cs="宋体"/>
                <w:color w:val="auto"/>
                <w:spacing w:val="2"/>
                <w:sz w:val="21"/>
                <w:szCs w:val="21"/>
                <w:highlight w:val="none"/>
              </w:rPr>
              <w:t>备注：</w:t>
            </w:r>
          </w:p>
          <w:p w14:paraId="48BF426A">
            <w:pPr>
              <w:pStyle w:val="16"/>
              <w:spacing w:before="4" w:line="249" w:lineRule="auto"/>
              <w:ind w:left="114" w:right="107" w:firstLine="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响应文件电子版(U</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0"/>
                <w:sz w:val="21"/>
                <w:szCs w:val="21"/>
                <w:highlight w:val="none"/>
              </w:rPr>
              <w:t>盘)按竞争性磋商文件规定执行，用数字证书编制的电子版按政府</w:t>
            </w:r>
            <w:r>
              <w:rPr>
                <w:rFonts w:hint="eastAsia" w:ascii="宋体" w:hAnsi="宋体" w:eastAsia="宋体" w:cs="宋体"/>
                <w:color w:val="auto"/>
                <w:spacing w:val="9"/>
                <w:sz w:val="21"/>
                <w:szCs w:val="21"/>
                <w:highlight w:val="none"/>
              </w:rPr>
              <w:t>采购云平台要求进行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投标操作。</w:t>
            </w:r>
          </w:p>
          <w:p w14:paraId="6D8556E9">
            <w:pPr>
              <w:pStyle w:val="16"/>
              <w:spacing w:before="24" w:line="228"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响应文件解密：远程自行解密。</w:t>
            </w:r>
          </w:p>
          <w:p w14:paraId="075AD723">
            <w:pPr>
              <w:pStyle w:val="16"/>
              <w:spacing w:before="49" w:line="242" w:lineRule="auto"/>
              <w:ind w:left="111" w:right="107" w:firstLine="3"/>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腾讯会议号：</w:t>
            </w:r>
            <w:r>
              <w:rPr>
                <w:rFonts w:hint="eastAsia" w:cs="宋体"/>
                <w:b/>
                <w:bCs/>
                <w:color w:val="auto"/>
                <w:spacing w:val="7"/>
                <w:sz w:val="21"/>
                <w:szCs w:val="21"/>
                <w:highlight w:val="none"/>
                <w:lang w:val="en-US" w:eastAsia="zh-CN"/>
              </w:rPr>
              <w:t>280-972-007</w:t>
            </w:r>
            <w:r>
              <w:rPr>
                <w:rFonts w:hint="eastAsia" w:ascii="宋体" w:hAnsi="宋体" w:eastAsia="宋体" w:cs="宋体"/>
                <w:b/>
                <w:bCs/>
                <w:color w:val="auto"/>
                <w:spacing w:val="7"/>
                <w:sz w:val="21"/>
                <w:szCs w:val="21"/>
                <w:highlight w:val="none"/>
              </w:rPr>
              <w:t>，</w:t>
            </w:r>
            <w:r>
              <w:rPr>
                <w:rFonts w:hint="eastAsia" w:ascii="宋体" w:hAnsi="宋体" w:eastAsia="宋体" w:cs="宋体"/>
                <w:color w:val="auto"/>
                <w:spacing w:val="7"/>
                <w:sz w:val="21"/>
                <w:szCs w:val="21"/>
                <w:highlight w:val="none"/>
              </w:rPr>
              <w:t>投标单位在投标截止前</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30</w:t>
            </w:r>
            <w:r>
              <w:rPr>
                <w:rFonts w:hint="eastAsia" w:ascii="宋体" w:hAnsi="宋体" w:eastAsia="宋体" w:cs="宋体"/>
                <w:color w:val="auto"/>
                <w:spacing w:val="20"/>
                <w:w w:val="101"/>
                <w:sz w:val="21"/>
                <w:szCs w:val="21"/>
                <w:highlight w:val="none"/>
              </w:rPr>
              <w:t xml:space="preserve"> </w:t>
            </w:r>
            <w:r>
              <w:rPr>
                <w:rFonts w:hint="eastAsia" w:ascii="宋体" w:hAnsi="宋体" w:eastAsia="宋体" w:cs="宋体"/>
                <w:color w:val="auto"/>
                <w:spacing w:val="7"/>
                <w:sz w:val="21"/>
                <w:szCs w:val="21"/>
                <w:highlight w:val="none"/>
              </w:rPr>
              <w:t>分钟内进入腾讯会议，</w:t>
            </w:r>
            <w:r>
              <w:rPr>
                <w:rFonts w:hint="eastAsia" w:ascii="宋体" w:hAnsi="宋体" w:eastAsia="宋体" w:cs="宋体"/>
                <w:color w:val="auto"/>
                <w:spacing w:val="6"/>
                <w:sz w:val="21"/>
                <w:szCs w:val="21"/>
                <w:highlight w:val="none"/>
              </w:rPr>
              <w:t>并将姓名修改为</w:t>
            </w:r>
            <w:r>
              <w:rPr>
                <w:rFonts w:hint="eastAsia" w:cs="宋体"/>
                <w:color w:val="auto"/>
                <w:spacing w:val="6"/>
                <w:sz w:val="21"/>
                <w:szCs w:val="21"/>
                <w:highlight w:val="none"/>
                <w:lang w:eastAsia="zh-CN"/>
              </w:rPr>
              <w:t>供应商</w:t>
            </w:r>
            <w:r>
              <w:rPr>
                <w:rFonts w:hint="eastAsia" w:cs="宋体"/>
                <w:color w:val="auto"/>
                <w:spacing w:val="6"/>
                <w:sz w:val="21"/>
                <w:szCs w:val="21"/>
                <w:highlight w:val="none"/>
                <w:lang w:val="en-US" w:eastAsia="zh-CN"/>
              </w:rPr>
              <w:t>+联系方式</w:t>
            </w:r>
            <w:r>
              <w:rPr>
                <w:rFonts w:hint="eastAsia" w:ascii="宋体" w:hAnsi="宋体" w:eastAsia="宋体" w:cs="宋体"/>
                <w:color w:val="auto"/>
                <w:spacing w:val="9"/>
                <w:sz w:val="21"/>
                <w:szCs w:val="21"/>
                <w:highlight w:val="none"/>
              </w:rPr>
              <w:t>。</w:t>
            </w:r>
            <w:r>
              <w:rPr>
                <w:rFonts w:hint="eastAsia"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在开标过程中，如无故离开远程</w:t>
            </w:r>
            <w:r>
              <w:rPr>
                <w:rFonts w:hint="eastAsia" w:ascii="宋体" w:hAnsi="宋体" w:eastAsia="宋体" w:cs="宋体"/>
                <w:color w:val="auto"/>
                <w:spacing w:val="8"/>
                <w:sz w:val="21"/>
                <w:szCs w:val="21"/>
                <w:highlight w:val="none"/>
              </w:rPr>
              <w:t>开标会议室，后果自负。</w:t>
            </w:r>
            <w:r>
              <w:rPr>
                <w:rFonts w:hint="eastAsia"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对开标有异议的，应当在远程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开标时提出，非远程开标中提出的开标异议，招标人或者行政监督部门不予受理。</w:t>
            </w:r>
          </w:p>
        </w:tc>
      </w:tr>
      <w:tr w14:paraId="4E560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474" w:type="dxa"/>
            <w:vAlign w:val="center"/>
          </w:tcPr>
          <w:p w14:paraId="6A9E2410">
            <w:pPr>
              <w:pStyle w:val="16"/>
              <w:spacing w:before="160"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3</w:t>
            </w:r>
            <w:r>
              <w:rPr>
                <w:rFonts w:hint="eastAsia" w:cs="宋体"/>
                <w:color w:val="auto"/>
                <w:spacing w:val="-2"/>
                <w:sz w:val="21"/>
                <w:szCs w:val="21"/>
                <w:highlight w:val="none"/>
                <w:lang w:val="en-US" w:eastAsia="zh-CN"/>
              </w:rPr>
              <w:t>4</w:t>
            </w:r>
          </w:p>
        </w:tc>
        <w:tc>
          <w:tcPr>
            <w:tcW w:w="10018" w:type="dxa"/>
            <w:gridSpan w:val="2"/>
            <w:vAlign w:val="top"/>
          </w:tcPr>
          <w:p w14:paraId="36CFDD6C">
            <w:pPr>
              <w:pStyle w:val="16"/>
              <w:spacing w:before="127" w:line="228" w:lineRule="auto"/>
              <w:ind w:left="1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合同公示：成交单位与采购人签订合同后二个工作日内，将扫描件交于采购代理机构，采购代理机构协助采购人，将政府采购合同在省级以上人民政府部门指定的媒体上公告(涉及国家秘密、商业秘密内容除外)。</w:t>
            </w:r>
          </w:p>
        </w:tc>
      </w:tr>
      <w:tr w14:paraId="7E5D8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492" w:type="dxa"/>
            <w:gridSpan w:val="3"/>
            <w:vAlign w:val="top"/>
          </w:tcPr>
          <w:p w14:paraId="09BBB6AC">
            <w:pPr>
              <w:pStyle w:val="16"/>
              <w:spacing w:before="128" w:line="227"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注：磋商公告与竞争性磋商文件有不一致之处以竞争性磋商文件为准。</w:t>
            </w:r>
          </w:p>
        </w:tc>
      </w:tr>
    </w:tbl>
    <w:p w14:paraId="1CF4B77F">
      <w:pPr>
        <w:pStyle w:val="2"/>
        <w:rPr>
          <w:color w:val="auto"/>
          <w:highlight w:val="none"/>
        </w:rPr>
      </w:pPr>
    </w:p>
    <w:p w14:paraId="72251950">
      <w:pPr>
        <w:rPr>
          <w:color w:val="auto"/>
          <w:highlight w:val="none"/>
        </w:rPr>
        <w:sectPr>
          <w:footerReference r:id="rId8" w:type="default"/>
          <w:pgSz w:w="11906" w:h="16839"/>
          <w:pgMar w:top="1134" w:right="671" w:bottom="1155" w:left="737" w:header="0" w:footer="992" w:gutter="0"/>
          <w:pgNumType w:fmt="decimal"/>
          <w:cols w:space="720" w:num="1"/>
        </w:sectPr>
      </w:pPr>
    </w:p>
    <w:p w14:paraId="30AB8E6F">
      <w:pPr>
        <w:spacing w:before="63" w:line="225" w:lineRule="auto"/>
        <w:ind w:left="3875"/>
        <w:outlineLvl w:val="1"/>
        <w:rPr>
          <w:rFonts w:hint="eastAsia" w:ascii="宋体" w:hAnsi="宋体" w:eastAsia="宋体" w:cs="宋体"/>
          <w:color w:val="auto"/>
          <w:sz w:val="31"/>
          <w:szCs w:val="31"/>
          <w:highlight w:val="none"/>
          <w:lang w:eastAsia="zh-CN"/>
        </w:rPr>
      </w:pPr>
      <w:bookmarkStart w:id="18" w:name="_Toc21732"/>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二、供应商须知</w:t>
      </w:r>
      <w:bookmarkEnd w:id="18"/>
      <w:r>
        <w:rPr>
          <w:rFonts w:hint="eastAsia" w:ascii="宋体" w:hAnsi="宋体" w:eastAsia="宋体" w:cs="宋体"/>
          <w:color w:val="auto"/>
          <w:spacing w:val="8"/>
          <w:sz w:val="31"/>
          <w:szCs w:val="31"/>
          <w:highlight w:val="none"/>
          <w:lang w:eastAsia="zh-CN"/>
          <w14:textOutline w14:w="5793" w14:cap="sq" w14:cmpd="sng">
            <w14:solidFill>
              <w14:srgbClr w14:val="000000"/>
            </w14:solidFill>
            <w14:prstDash w14:val="solid"/>
            <w14:bevel/>
          </w14:textOutline>
        </w:rPr>
        <w:t>正文</w:t>
      </w:r>
    </w:p>
    <w:p w14:paraId="590A96A1">
      <w:pPr>
        <w:pStyle w:val="2"/>
        <w:spacing w:line="240" w:lineRule="auto"/>
        <w:ind w:left="0" w:right="0" w:firstLine="0" w:firstLineChars="0"/>
        <w:rPr>
          <w:color w:val="auto"/>
          <w:highlight w:val="none"/>
        </w:rPr>
      </w:pPr>
    </w:p>
    <w:p w14:paraId="33213DC7">
      <w:pPr>
        <w:keepNext w:val="0"/>
        <w:keepLines w:val="0"/>
        <w:pageBreakBefore w:val="0"/>
        <w:wordWrap/>
        <w:overflowPunct/>
        <w:topLinePunct w:val="0"/>
        <w:autoSpaceDE w:val="0"/>
        <w:autoSpaceDN w:val="0"/>
        <w:bidi w:val="0"/>
        <w:adjustRightInd w:val="0"/>
        <w:spacing w:line="360" w:lineRule="auto"/>
        <w:ind w:left="0" w:right="0" w:firstLine="436" w:firstLineChars="200"/>
        <w:jc w:val="center"/>
        <w:outlineLvl w:val="9"/>
        <w:rPr>
          <w:rFonts w:ascii="宋体" w:hAnsi="宋体" w:eastAsia="宋体" w:cs="宋体"/>
          <w:color w:val="auto"/>
          <w:sz w:val="20"/>
          <w:szCs w:val="20"/>
          <w:highlight w:val="none"/>
        </w:rPr>
      </w:pPr>
      <w:bookmarkStart w:id="19" w:name="_Toc4443"/>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第一部分</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磋商程序</w:t>
      </w:r>
      <w:bookmarkEnd w:id="19"/>
    </w:p>
    <w:p w14:paraId="7422BBD5">
      <w:pPr>
        <w:keepNext w:val="0"/>
        <w:keepLines w:val="0"/>
        <w:pageBreakBefore w:val="0"/>
        <w:wordWrap/>
        <w:overflowPunct/>
        <w:topLinePunct w:val="0"/>
        <w:autoSpaceDE w:val="0"/>
        <w:autoSpaceDN w:val="0"/>
        <w:bidi w:val="0"/>
        <w:adjustRightInd w:val="0"/>
        <w:spacing w:line="360" w:lineRule="auto"/>
        <w:ind w:left="0" w:right="0" w:firstLine="416" w:firstLineChars="200"/>
        <w:jc w:val="lef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1、采购方式</w:t>
      </w:r>
    </w:p>
    <w:p w14:paraId="727019B7">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本次采购采用竞争性磋商的方式，采购人及其</w:t>
      </w:r>
      <w:r>
        <w:rPr>
          <w:rFonts w:ascii="宋体" w:hAnsi="宋体" w:eastAsia="宋体" w:cs="宋体"/>
          <w:color w:val="auto"/>
          <w:spacing w:val="7"/>
          <w:position w:val="15"/>
          <w:sz w:val="20"/>
          <w:szCs w:val="20"/>
          <w:highlight w:val="none"/>
        </w:rPr>
        <w:t>委托代理机构采用以国家法律规定的竞争性磋商方式确定</w:t>
      </w:r>
      <w:r>
        <w:rPr>
          <w:rFonts w:ascii="宋体" w:hAnsi="宋体" w:eastAsia="宋体" w:cs="宋体"/>
          <w:color w:val="auto"/>
          <w:spacing w:val="7"/>
          <w:sz w:val="20"/>
          <w:szCs w:val="20"/>
          <w:highlight w:val="none"/>
        </w:rPr>
        <w:t>参加磋商的供应商。</w:t>
      </w:r>
    </w:p>
    <w:p w14:paraId="76E47C2A">
      <w:pPr>
        <w:keepNext w:val="0"/>
        <w:keepLines w:val="0"/>
        <w:pageBreakBefore w:val="0"/>
        <w:wordWrap/>
        <w:overflowPunct/>
        <w:topLinePunct w:val="0"/>
        <w:autoSpaceDE w:val="0"/>
        <w:autoSpaceDN w:val="0"/>
        <w:bidi w:val="0"/>
        <w:adjustRightInd w:val="0"/>
        <w:spacing w:line="360" w:lineRule="auto"/>
        <w:ind w:left="0" w:right="0" w:firstLine="420" w:firstLineChars="200"/>
        <w:jc w:val="lef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2.磋商程序</w:t>
      </w:r>
    </w:p>
    <w:p w14:paraId="3A943761">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9"/>
          <w:position w:val="15"/>
          <w:sz w:val="20"/>
          <w:szCs w:val="20"/>
          <w:highlight w:val="none"/>
        </w:rPr>
      </w:pPr>
      <w:r>
        <w:rPr>
          <w:rFonts w:ascii="宋体" w:hAnsi="宋体" w:eastAsia="宋体" w:cs="宋体"/>
          <w:color w:val="auto"/>
          <w:spacing w:val="9"/>
          <w:position w:val="15"/>
          <w:sz w:val="20"/>
          <w:szCs w:val="20"/>
          <w:highlight w:val="none"/>
        </w:rPr>
        <w:t>2.1 在规定的时间内由供应商将磋商响应文件提交给采购代理机构，由磋商小组对磋商响应文件进行评审。</w:t>
      </w:r>
    </w:p>
    <w:p w14:paraId="26BF931D">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9"/>
          <w:position w:val="15"/>
          <w:sz w:val="20"/>
          <w:szCs w:val="20"/>
          <w:highlight w:val="none"/>
        </w:rPr>
        <w:t>2.2 就商务、技术及价格进行磋商，经过磋商小组的评审确定</w:t>
      </w:r>
      <w:r>
        <w:rPr>
          <w:rFonts w:ascii="宋体" w:hAnsi="宋体" w:eastAsia="宋体" w:cs="宋体"/>
          <w:color w:val="auto"/>
          <w:spacing w:val="8"/>
          <w:position w:val="15"/>
          <w:sz w:val="20"/>
          <w:szCs w:val="20"/>
          <w:highlight w:val="none"/>
        </w:rPr>
        <w:t>最终成交供应商。</w:t>
      </w:r>
    </w:p>
    <w:p w14:paraId="574C77A9">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3.本项目的特定资格要求：</w:t>
      </w:r>
    </w:p>
    <w:p w14:paraId="10F7FEC9">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3.1</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本次招标要求申请人须是在中国境内注册，具有独立法人资格，能独立承担民事责任能力，具有有效的营业执照，并在人员、设备、资金等方面具有承担本项目的能力。</w:t>
      </w:r>
    </w:p>
    <w:p w14:paraId="6AF628DE">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3.</w:t>
      </w:r>
      <w:r>
        <w:rPr>
          <w:rFonts w:hint="eastAsia" w:ascii="宋体" w:hAnsi="宋体" w:eastAsia="宋体" w:cs="宋体"/>
          <w:color w:val="auto"/>
          <w:spacing w:val="7"/>
          <w:sz w:val="20"/>
          <w:szCs w:val="20"/>
          <w:highlight w:val="none"/>
          <w:lang w:val="en-US" w:eastAsia="zh-CN"/>
        </w:rPr>
        <w:t>2</w:t>
      </w:r>
      <w:r>
        <w:rPr>
          <w:rFonts w:hint="eastAsia" w:ascii="宋体" w:hAnsi="宋体" w:eastAsia="宋体" w:cs="宋体"/>
          <w:color w:val="auto"/>
          <w:spacing w:val="7"/>
          <w:sz w:val="20"/>
          <w:szCs w:val="20"/>
          <w:highlight w:val="none"/>
        </w:rPr>
        <w:t xml:space="preserve"> 供应商应按照《长春市财政局关于加强政府采购信用体系建设简化</w:t>
      </w:r>
      <w:r>
        <w:rPr>
          <w:rFonts w:hint="eastAsia" w:ascii="宋体" w:hAnsi="宋体" w:eastAsia="宋体" w:cs="宋体"/>
          <w:color w:val="auto"/>
          <w:spacing w:val="7"/>
          <w:sz w:val="20"/>
          <w:szCs w:val="20"/>
          <w:highlight w:val="none"/>
          <w:lang w:eastAsia="zh-CN"/>
        </w:rPr>
        <w:t>供应商</w:t>
      </w:r>
      <w:r>
        <w:rPr>
          <w:rFonts w:hint="eastAsia" w:ascii="宋体" w:hAnsi="宋体" w:eastAsia="宋体" w:cs="宋体"/>
          <w:color w:val="auto"/>
          <w:spacing w:val="7"/>
          <w:sz w:val="20"/>
          <w:szCs w:val="20"/>
          <w:highlight w:val="none"/>
        </w:rPr>
        <w:t>资格条件有关事项的通知》（长财采购[2022]2066号）文件要求在</w:t>
      </w:r>
      <w:r>
        <w:rPr>
          <w:rFonts w:hint="eastAsia" w:ascii="宋体" w:hAnsi="宋体" w:eastAsia="宋体" w:cs="宋体"/>
          <w:color w:val="auto"/>
          <w:spacing w:val="7"/>
          <w:sz w:val="20"/>
          <w:szCs w:val="20"/>
          <w:highlight w:val="none"/>
          <w:lang w:eastAsia="zh-CN"/>
        </w:rPr>
        <w:t>响应文件</w:t>
      </w:r>
      <w:r>
        <w:rPr>
          <w:rFonts w:hint="eastAsia" w:ascii="宋体" w:hAnsi="宋体" w:eastAsia="宋体" w:cs="宋体"/>
          <w:color w:val="auto"/>
          <w:spacing w:val="7"/>
          <w:sz w:val="20"/>
          <w:szCs w:val="20"/>
          <w:highlight w:val="none"/>
        </w:rPr>
        <w:t>中提交反映其财务状况、依法缴纳税收和社会保障资金情况的资格条件承诺函，并对资格条件承诺函有关内容的真实性、有效性、合法性负责。</w:t>
      </w:r>
    </w:p>
    <w:p w14:paraId="7D1A0C67">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3.</w:t>
      </w:r>
      <w:r>
        <w:rPr>
          <w:rFonts w:hint="eastAsia" w:ascii="宋体" w:hAnsi="宋体" w:eastAsia="宋体" w:cs="宋体"/>
          <w:color w:val="auto"/>
          <w:spacing w:val="7"/>
          <w:sz w:val="20"/>
          <w:szCs w:val="20"/>
          <w:highlight w:val="none"/>
          <w:lang w:val="en-US" w:eastAsia="zh-CN"/>
        </w:rPr>
        <w:t>3</w:t>
      </w:r>
      <w:r>
        <w:rPr>
          <w:rFonts w:hint="eastAsia" w:ascii="宋体" w:hAnsi="宋体" w:eastAsia="宋体" w:cs="宋体"/>
          <w:color w:val="auto"/>
          <w:spacing w:val="7"/>
          <w:sz w:val="20"/>
          <w:szCs w:val="20"/>
          <w:highlight w:val="none"/>
        </w:rPr>
        <w:t xml:space="preserve"> 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至响应文件提交截止时间止）。</w:t>
      </w:r>
    </w:p>
    <w:p w14:paraId="62117C0D">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3.</w:t>
      </w:r>
      <w:r>
        <w:rPr>
          <w:rFonts w:hint="eastAsia" w:ascii="宋体" w:hAnsi="宋体" w:eastAsia="宋体" w:cs="宋体"/>
          <w:color w:val="auto"/>
          <w:spacing w:val="7"/>
          <w:sz w:val="20"/>
          <w:szCs w:val="20"/>
          <w:highlight w:val="none"/>
          <w:lang w:val="en-US" w:eastAsia="zh-CN"/>
        </w:rPr>
        <w:t>4</w:t>
      </w:r>
      <w:r>
        <w:rPr>
          <w:rFonts w:hint="eastAsia" w:ascii="宋体" w:hAnsi="宋体" w:eastAsia="宋体" w:cs="宋体"/>
          <w:color w:val="auto"/>
          <w:spacing w:val="7"/>
          <w:sz w:val="20"/>
          <w:szCs w:val="20"/>
          <w:highlight w:val="none"/>
        </w:rPr>
        <w:t xml:space="preserve"> 其他要求：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E170CAA">
      <w:pPr>
        <w:keepNext w:val="0"/>
        <w:keepLines w:val="0"/>
        <w:pageBreakBefore w:val="0"/>
        <w:wordWrap/>
        <w:overflowPunct/>
        <w:topLinePunct w:val="0"/>
        <w:autoSpaceDE w:val="0"/>
        <w:autoSpaceDN w:val="0"/>
        <w:bidi w:val="0"/>
        <w:adjustRightInd w:val="0"/>
        <w:spacing w:line="360" w:lineRule="auto"/>
        <w:ind w:left="0" w:right="0" w:firstLine="424" w:firstLineChars="200"/>
        <w:jc w:val="lef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4.磋商费用</w:t>
      </w:r>
    </w:p>
    <w:p w14:paraId="77B133AF">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供应商应承担所有与准备和参加磋商有关的费用，采</w:t>
      </w:r>
      <w:r>
        <w:rPr>
          <w:rFonts w:ascii="宋体" w:hAnsi="宋体" w:eastAsia="宋体" w:cs="宋体"/>
          <w:color w:val="auto"/>
          <w:spacing w:val="7"/>
          <w:position w:val="15"/>
          <w:sz w:val="20"/>
          <w:szCs w:val="20"/>
          <w:highlight w:val="none"/>
        </w:rPr>
        <w:t>购代理机构和采购人在任何情况下均无义务和责任</w:t>
      </w:r>
      <w:r>
        <w:rPr>
          <w:rFonts w:ascii="宋体" w:hAnsi="宋体" w:eastAsia="宋体" w:cs="宋体"/>
          <w:color w:val="auto"/>
          <w:spacing w:val="7"/>
          <w:sz w:val="20"/>
          <w:szCs w:val="20"/>
          <w:highlight w:val="none"/>
        </w:rPr>
        <w:t>承担这些费用。</w:t>
      </w:r>
    </w:p>
    <w:p w14:paraId="68429DA2">
      <w:pPr>
        <w:keepNext w:val="0"/>
        <w:keepLines w:val="0"/>
        <w:pageBreakBefore w:val="0"/>
        <w:wordWrap/>
        <w:overflowPunct/>
        <w:topLinePunct w:val="0"/>
        <w:autoSpaceDE w:val="0"/>
        <w:autoSpaceDN w:val="0"/>
        <w:bidi w:val="0"/>
        <w:adjustRightInd w:val="0"/>
        <w:spacing w:line="360" w:lineRule="auto"/>
        <w:ind w:left="0" w:right="0" w:firstLine="432" w:firstLineChars="200"/>
        <w:jc w:val="center"/>
        <w:outlineLvl w:val="9"/>
        <w:rPr>
          <w:rFonts w:ascii="宋体" w:hAnsi="宋体" w:eastAsia="宋体" w:cs="宋体"/>
          <w:color w:val="auto"/>
          <w:sz w:val="20"/>
          <w:szCs w:val="20"/>
          <w:highlight w:val="none"/>
        </w:rPr>
      </w:pPr>
      <w:bookmarkStart w:id="20" w:name="_Toc1759"/>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第二部分</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磋商文件</w:t>
      </w:r>
      <w:bookmarkEnd w:id="20"/>
    </w:p>
    <w:p w14:paraId="0B93A5E2">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1.供应商应认真阅读竞争性磋商文件所有的事项、格式、条款和技术规格等。如供应商没有按照磋商文件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要求提交全部资料，或者磋商相应文件没有对磋商文件在各方面</w:t>
      </w:r>
      <w:r>
        <w:rPr>
          <w:rFonts w:ascii="宋体" w:hAnsi="宋体" w:eastAsia="宋体" w:cs="宋体"/>
          <w:color w:val="auto"/>
          <w:spacing w:val="7"/>
          <w:sz w:val="20"/>
          <w:szCs w:val="20"/>
          <w:highlight w:val="none"/>
        </w:rPr>
        <w:t>都作出实质性响应是供应商的风险，并可能导致其报价被拒绝。</w:t>
      </w:r>
    </w:p>
    <w:p w14:paraId="36DD2B33">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2.磋商文件的澄清及修改</w:t>
      </w:r>
    </w:p>
    <w:p w14:paraId="3C75C6D2">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position w:val="15"/>
          <w:sz w:val="20"/>
          <w:szCs w:val="20"/>
          <w:highlight w:val="none"/>
        </w:rPr>
        <w:t>2.1</w:t>
      </w:r>
      <w:r>
        <w:rPr>
          <w:rFonts w:ascii="宋体" w:hAnsi="宋体" w:eastAsia="宋体" w:cs="宋体"/>
          <w:color w:val="auto"/>
          <w:spacing w:val="-34"/>
          <w:position w:val="15"/>
          <w:sz w:val="20"/>
          <w:szCs w:val="20"/>
          <w:highlight w:val="none"/>
        </w:rPr>
        <w:t xml:space="preserve"> </w:t>
      </w:r>
      <w:r>
        <w:rPr>
          <w:rFonts w:ascii="宋体" w:hAnsi="宋体" w:eastAsia="宋体" w:cs="宋体"/>
          <w:color w:val="auto"/>
          <w:spacing w:val="8"/>
          <w:position w:val="15"/>
          <w:sz w:val="20"/>
          <w:szCs w:val="20"/>
          <w:highlight w:val="none"/>
        </w:rPr>
        <w:t>任何要求对磋商文件进行澄清的供应商，磋商截止时间前均应以书面形式通知采购代理机构。采购</w:t>
      </w:r>
      <w:r>
        <w:rPr>
          <w:rFonts w:ascii="宋体" w:hAnsi="宋体" w:eastAsia="宋体" w:cs="宋体"/>
          <w:color w:val="auto"/>
          <w:spacing w:val="5"/>
          <w:sz w:val="20"/>
          <w:szCs w:val="20"/>
          <w:highlight w:val="none"/>
        </w:rPr>
        <w:t>代理机构应以书面形式予以答复，并将书面答复发给每个购买磋商文件的供应商（答复中不包</w:t>
      </w:r>
      <w:r>
        <w:rPr>
          <w:rFonts w:ascii="宋体" w:hAnsi="宋体" w:eastAsia="宋体" w:cs="宋体"/>
          <w:color w:val="auto"/>
          <w:spacing w:val="4"/>
          <w:sz w:val="20"/>
          <w:szCs w:val="20"/>
          <w:highlight w:val="none"/>
        </w:rPr>
        <w:t>括问题的来源）。</w:t>
      </w:r>
    </w:p>
    <w:p w14:paraId="4427579B">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2.2 采购人可主动地或在解答供应商提出的澄清问题时对磋商文件进行修改，磋商文件的修改应以书面 </w:t>
      </w:r>
      <w:r>
        <w:rPr>
          <w:rFonts w:ascii="宋体" w:hAnsi="宋体" w:eastAsia="宋体" w:cs="宋体"/>
          <w:color w:val="auto"/>
          <w:spacing w:val="8"/>
          <w:sz w:val="20"/>
          <w:szCs w:val="20"/>
          <w:highlight w:val="none"/>
        </w:rPr>
        <w:t>形式通知采购代理机构，由采购代理机构通知所有购买磋商</w:t>
      </w:r>
      <w:r>
        <w:rPr>
          <w:rFonts w:ascii="宋体" w:hAnsi="宋体" w:eastAsia="宋体" w:cs="宋体"/>
          <w:color w:val="auto"/>
          <w:spacing w:val="7"/>
          <w:sz w:val="20"/>
          <w:szCs w:val="20"/>
          <w:highlight w:val="none"/>
        </w:rPr>
        <w:t>文件的供应商，并对其具有约束力。供应商在收到</w:t>
      </w:r>
      <w:r>
        <w:rPr>
          <w:rFonts w:ascii="宋体" w:hAnsi="宋体" w:eastAsia="宋体" w:cs="宋体"/>
          <w:color w:val="auto"/>
          <w:spacing w:val="9"/>
          <w:sz w:val="20"/>
          <w:szCs w:val="20"/>
          <w:highlight w:val="none"/>
        </w:rPr>
        <w:t>上述通知后，应立即向采购代理机构以书面形式回函确认。</w:t>
      </w:r>
    </w:p>
    <w:p w14:paraId="79BED516">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2.3 为使供应商有足够的时间对磋商响应文件的修改部分进行研究，采购人有权决定是否延长磋商截止期。</w:t>
      </w:r>
    </w:p>
    <w:p w14:paraId="688096D8">
      <w:pPr>
        <w:keepNext w:val="0"/>
        <w:keepLines w:val="0"/>
        <w:pageBreakBefore w:val="0"/>
        <w:wordWrap/>
        <w:overflowPunct/>
        <w:topLinePunct w:val="0"/>
        <w:autoSpaceDE w:val="0"/>
        <w:autoSpaceDN w:val="0"/>
        <w:bidi w:val="0"/>
        <w:adjustRightInd w:val="0"/>
        <w:spacing w:line="360" w:lineRule="auto"/>
        <w:ind w:left="0" w:right="0" w:firstLine="436" w:firstLineChars="200"/>
        <w:jc w:val="center"/>
        <w:outlineLvl w:val="9"/>
        <w:rPr>
          <w:rFonts w:ascii="宋体" w:hAnsi="宋体" w:eastAsia="宋体" w:cs="宋体"/>
          <w:color w:val="auto"/>
          <w:sz w:val="20"/>
          <w:szCs w:val="20"/>
          <w:highlight w:val="none"/>
        </w:rPr>
      </w:pPr>
      <w:bookmarkStart w:id="21" w:name="_Toc24522"/>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第三部分</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磋商响应文件的编制</w:t>
      </w:r>
      <w:bookmarkEnd w:id="21"/>
    </w:p>
    <w:p w14:paraId="25A0BFC0">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1.磋商范围及磋商相应文件中计量单位的使用</w:t>
      </w:r>
    </w:p>
    <w:p w14:paraId="555C9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1.1</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供应商应按磋商文件的</w:t>
      </w:r>
      <w:r>
        <w:rPr>
          <w:rFonts w:hint="eastAsia" w:ascii="宋体" w:hAnsi="宋体" w:eastAsia="宋体" w:cs="宋体"/>
          <w:color w:val="auto"/>
          <w:spacing w:val="9"/>
          <w:sz w:val="20"/>
          <w:szCs w:val="20"/>
          <w:highlight w:val="none"/>
          <w:lang w:val="en-US" w:eastAsia="zh-CN"/>
        </w:rPr>
        <w:t>要求</w:t>
      </w:r>
      <w:r>
        <w:rPr>
          <w:rFonts w:ascii="宋体" w:hAnsi="宋体" w:eastAsia="宋体" w:cs="宋体"/>
          <w:color w:val="auto"/>
          <w:spacing w:val="9"/>
          <w:sz w:val="20"/>
          <w:szCs w:val="20"/>
          <w:highlight w:val="none"/>
        </w:rPr>
        <w:t>进行报价，不能将整个的内容拆开就其</w:t>
      </w:r>
      <w:r>
        <w:rPr>
          <w:rFonts w:ascii="宋体" w:hAnsi="宋体" w:eastAsia="宋体" w:cs="宋体"/>
          <w:color w:val="auto"/>
          <w:spacing w:val="8"/>
          <w:sz w:val="20"/>
          <w:szCs w:val="20"/>
          <w:highlight w:val="none"/>
        </w:rPr>
        <w:t>中一项或一部分进行报价。</w:t>
      </w:r>
    </w:p>
    <w:p w14:paraId="3397A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ascii="宋体" w:hAnsi="宋体" w:eastAsia="宋体" w:cs="宋体"/>
          <w:color w:val="auto"/>
          <w:sz w:val="20"/>
          <w:szCs w:val="20"/>
          <w:highlight w:val="none"/>
        </w:rPr>
      </w:pPr>
      <w:r>
        <w:rPr>
          <w:rFonts w:ascii="宋体" w:hAnsi="宋体" w:eastAsia="宋体" w:cs="宋体"/>
          <w:color w:val="auto"/>
          <w:spacing w:val="7"/>
          <w:position w:val="15"/>
          <w:sz w:val="20"/>
          <w:szCs w:val="20"/>
          <w:highlight w:val="none"/>
        </w:rPr>
        <w:t>1.2 磋商响应文件中所使用的计量单位，除磋商文件中有特殊要求外，应采用中华人民共和国法</w:t>
      </w:r>
      <w:r>
        <w:rPr>
          <w:rFonts w:ascii="宋体" w:hAnsi="宋体" w:eastAsia="宋体" w:cs="宋体"/>
          <w:color w:val="auto"/>
          <w:spacing w:val="6"/>
          <w:position w:val="15"/>
          <w:sz w:val="20"/>
          <w:szCs w:val="20"/>
          <w:highlight w:val="none"/>
        </w:rPr>
        <w:t>定计量单</w:t>
      </w:r>
      <w:r>
        <w:rPr>
          <w:rFonts w:ascii="宋体" w:hAnsi="宋体" w:eastAsia="宋体" w:cs="宋体"/>
          <w:color w:val="auto"/>
          <w:sz w:val="20"/>
          <w:szCs w:val="20"/>
          <w:highlight w:val="none"/>
        </w:rPr>
        <w:t>位。</w:t>
      </w:r>
    </w:p>
    <w:p w14:paraId="11A3108C">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2.磋商响应文件构成</w:t>
      </w:r>
    </w:p>
    <w:p w14:paraId="38F29CC9">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hint="eastAsia" w:ascii="宋体" w:hAnsi="宋体" w:eastAsia="宋体" w:cs="宋体"/>
          <w:color w:val="auto"/>
          <w:spacing w:val="10"/>
          <w:position w:val="15"/>
          <w:sz w:val="20"/>
          <w:szCs w:val="20"/>
          <w:highlight w:val="none"/>
          <w:lang w:eastAsia="zh-CN"/>
        </w:rPr>
      </w:pPr>
      <w:r>
        <w:rPr>
          <w:rFonts w:ascii="宋体" w:hAnsi="宋体" w:eastAsia="宋体" w:cs="宋体"/>
          <w:color w:val="auto"/>
          <w:spacing w:val="10"/>
          <w:position w:val="15"/>
          <w:sz w:val="20"/>
          <w:szCs w:val="20"/>
          <w:highlight w:val="none"/>
        </w:rPr>
        <w:t>供应商应完整的按磋商文件提供的磋商相应文件格式填写磋商响应文件</w:t>
      </w:r>
      <w:r>
        <w:rPr>
          <w:rFonts w:hint="eastAsia" w:ascii="宋体" w:hAnsi="宋体" w:eastAsia="宋体" w:cs="宋体"/>
          <w:color w:val="auto"/>
          <w:spacing w:val="10"/>
          <w:position w:val="15"/>
          <w:sz w:val="20"/>
          <w:szCs w:val="20"/>
          <w:highlight w:val="none"/>
          <w:lang w:eastAsia="zh-CN"/>
        </w:rPr>
        <w:t>。</w:t>
      </w:r>
    </w:p>
    <w:p w14:paraId="31385AD9">
      <w:pPr>
        <w:keepNext w:val="0"/>
        <w:keepLines w:val="0"/>
        <w:pageBreakBefore w:val="0"/>
        <w:wordWrap/>
        <w:overflowPunct/>
        <w:topLinePunct w:val="0"/>
        <w:autoSpaceDE w:val="0"/>
        <w:autoSpaceDN w:val="0"/>
        <w:bidi w:val="0"/>
        <w:adjustRightInd w:val="0"/>
        <w:spacing w:line="360" w:lineRule="auto"/>
        <w:ind w:left="0" w:right="0" w:firstLine="412" w:firstLineChars="200"/>
        <w:jc w:val="left"/>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3.报价</w:t>
      </w:r>
    </w:p>
    <w:p w14:paraId="6E9E70F6">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3.1.1</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供应商应按采购人提供的</w:t>
      </w:r>
      <w:r>
        <w:rPr>
          <w:rFonts w:hint="eastAsia" w:ascii="宋体" w:hAnsi="宋体" w:eastAsia="宋体" w:cs="宋体"/>
          <w:color w:val="auto"/>
          <w:spacing w:val="7"/>
          <w:sz w:val="20"/>
          <w:szCs w:val="20"/>
          <w:highlight w:val="none"/>
          <w:lang w:val="en-US" w:eastAsia="zh-CN"/>
        </w:rPr>
        <w:t>磋商文件</w:t>
      </w:r>
      <w:r>
        <w:rPr>
          <w:rFonts w:ascii="宋体" w:hAnsi="宋体" w:eastAsia="宋体" w:cs="宋体"/>
          <w:color w:val="auto"/>
          <w:spacing w:val="7"/>
          <w:sz w:val="20"/>
          <w:szCs w:val="20"/>
          <w:highlight w:val="none"/>
        </w:rPr>
        <w:t>的要求填写相应表格。</w:t>
      </w:r>
    </w:p>
    <w:p w14:paraId="351FE780">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w:t>
      </w:r>
      <w:r>
        <w:rPr>
          <w:rFonts w:hint="eastAsia" w:ascii="宋体" w:hAnsi="宋体" w:eastAsia="宋体" w:cs="宋体"/>
          <w:color w:val="auto"/>
          <w:spacing w:val="9"/>
          <w:sz w:val="20"/>
          <w:szCs w:val="20"/>
          <w:highlight w:val="none"/>
          <w:lang w:val="en-US" w:eastAsia="zh-CN"/>
        </w:rPr>
        <w:t>2</w:t>
      </w:r>
      <w:r>
        <w:rPr>
          <w:rFonts w:ascii="宋体" w:hAnsi="宋体" w:eastAsia="宋体" w:cs="宋体"/>
          <w:color w:val="auto"/>
          <w:spacing w:val="9"/>
          <w:sz w:val="20"/>
          <w:szCs w:val="20"/>
          <w:highlight w:val="none"/>
        </w:rPr>
        <w:t xml:space="preserve"> 采购人设有最高投标限价的，供</w:t>
      </w:r>
      <w:r>
        <w:rPr>
          <w:rFonts w:ascii="宋体" w:hAnsi="宋体" w:eastAsia="宋体" w:cs="宋体"/>
          <w:color w:val="auto"/>
          <w:spacing w:val="8"/>
          <w:sz w:val="20"/>
          <w:szCs w:val="20"/>
          <w:highlight w:val="none"/>
        </w:rPr>
        <w:t>应商的磋商报价不得超过最高投标限价。</w:t>
      </w:r>
    </w:p>
    <w:p w14:paraId="28315D7B">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w:t>
      </w:r>
      <w:r>
        <w:rPr>
          <w:rFonts w:hint="eastAsia" w:ascii="宋体" w:hAnsi="宋体" w:eastAsia="宋体" w:cs="宋体"/>
          <w:color w:val="auto"/>
          <w:spacing w:val="8"/>
          <w:sz w:val="20"/>
          <w:szCs w:val="20"/>
          <w:highlight w:val="none"/>
          <w:lang w:val="en-US" w:eastAsia="zh-CN"/>
        </w:rPr>
        <w:t>3</w:t>
      </w:r>
      <w:r>
        <w:rPr>
          <w:rFonts w:ascii="宋体" w:hAnsi="宋体" w:eastAsia="宋体" w:cs="宋体"/>
          <w:color w:val="auto"/>
          <w:spacing w:val="8"/>
          <w:sz w:val="20"/>
          <w:szCs w:val="20"/>
          <w:highlight w:val="none"/>
        </w:rPr>
        <w:t xml:space="preserve"> 磋商报价为供应商在响应文件中提出的各项支付金额的总和。</w:t>
      </w:r>
    </w:p>
    <w:p w14:paraId="4C10D62A">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3.1.</w:t>
      </w:r>
      <w:r>
        <w:rPr>
          <w:rFonts w:hint="eastAsia" w:ascii="宋体" w:hAnsi="宋体" w:eastAsia="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 xml:space="preserve"> 供应商的磋商报价，应是完成本须知和采购文件中所列采购</w:t>
      </w:r>
      <w:r>
        <w:rPr>
          <w:rFonts w:hint="eastAsia" w:ascii="宋体" w:hAnsi="宋体" w:eastAsia="宋体" w:cs="宋体"/>
          <w:color w:val="auto"/>
          <w:spacing w:val="8"/>
          <w:sz w:val="20"/>
          <w:szCs w:val="20"/>
          <w:highlight w:val="none"/>
          <w:lang w:val="en-US" w:eastAsia="zh-CN"/>
        </w:rPr>
        <w:t>服务范围</w:t>
      </w:r>
      <w:r>
        <w:rPr>
          <w:rFonts w:ascii="宋体" w:hAnsi="宋体" w:eastAsia="宋体" w:cs="宋体"/>
          <w:color w:val="auto"/>
          <w:spacing w:val="8"/>
          <w:sz w:val="20"/>
          <w:szCs w:val="20"/>
          <w:highlight w:val="none"/>
        </w:rPr>
        <w:t>的全部，不得以任何理由予以重复，作为供应商计算单价或总价的依据。</w:t>
      </w:r>
    </w:p>
    <w:p w14:paraId="7BFDE724">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 xml:space="preserve"> 供应商在参与响应活动时务必按照采购人提供的格式进行报价。</w:t>
      </w:r>
    </w:p>
    <w:p w14:paraId="3D2882F1">
      <w:pPr>
        <w:keepNext w:val="0"/>
        <w:keepLines w:val="0"/>
        <w:pageBreakBefore w:val="0"/>
        <w:wordWrap/>
        <w:overflowPunct/>
        <w:topLinePunct w:val="0"/>
        <w:autoSpaceDE w:val="0"/>
        <w:autoSpaceDN w:val="0"/>
        <w:bidi w:val="0"/>
        <w:adjustRightInd w:val="0"/>
        <w:spacing w:line="360" w:lineRule="auto"/>
        <w:ind w:left="0" w:right="0" w:firstLine="424" w:firstLineChars="200"/>
        <w:jc w:val="lef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4.保证金（如有）</w:t>
      </w:r>
    </w:p>
    <w:p w14:paraId="34396E53">
      <w:pPr>
        <w:keepNext w:val="0"/>
        <w:keepLines w:val="0"/>
        <w:pageBreakBefore w:val="0"/>
        <w:wordWrap/>
        <w:overflowPunct/>
        <w:topLinePunct w:val="0"/>
        <w:autoSpaceDE w:val="0"/>
        <w:autoSpaceDN w:val="0"/>
        <w:bidi w:val="0"/>
        <w:adjustRightInd w:val="0"/>
        <w:spacing w:line="360" w:lineRule="auto"/>
        <w:ind w:left="0" w:right="0" w:firstLine="444" w:firstLineChars="200"/>
        <w:jc w:val="lef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4.1</w:t>
      </w:r>
      <w:r>
        <w:rPr>
          <w:rFonts w:ascii="宋体" w:hAnsi="宋体" w:eastAsia="宋体" w:cs="宋体"/>
          <w:color w:val="auto"/>
          <w:spacing w:val="-38"/>
          <w:sz w:val="20"/>
          <w:szCs w:val="20"/>
          <w:highlight w:val="none"/>
        </w:rPr>
        <w:t xml:space="preserve"> </w:t>
      </w:r>
      <w:r>
        <w:rPr>
          <w:rFonts w:ascii="宋体" w:hAnsi="宋体" w:eastAsia="宋体" w:cs="宋体"/>
          <w:color w:val="auto"/>
          <w:spacing w:val="11"/>
          <w:sz w:val="20"/>
          <w:szCs w:val="20"/>
          <w:highlight w:val="none"/>
          <w:u w:val="single" w:color="auto"/>
        </w:rPr>
        <w:t>供应商应按供应商须知前附表要求的金</w:t>
      </w:r>
      <w:r>
        <w:rPr>
          <w:rFonts w:ascii="宋体" w:hAnsi="宋体" w:eastAsia="宋体" w:cs="宋体"/>
          <w:color w:val="auto"/>
          <w:spacing w:val="10"/>
          <w:sz w:val="20"/>
          <w:szCs w:val="20"/>
          <w:highlight w:val="none"/>
          <w:u w:val="single" w:color="auto"/>
        </w:rPr>
        <w:t>额和方式并于磋商截止日前递交至采购代理机构（以实际到</w:t>
      </w:r>
    </w:p>
    <w:p w14:paraId="54D74F86">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账为准</w:t>
      </w:r>
      <w:r>
        <w:rPr>
          <w:rFonts w:ascii="宋体" w:hAnsi="宋体" w:eastAsia="宋体" w:cs="宋体"/>
          <w:color w:val="auto"/>
          <w:spacing w:val="16"/>
          <w:sz w:val="20"/>
          <w:szCs w:val="20"/>
          <w:highlight w:val="none"/>
          <w:u w:val="single" w:color="auto"/>
        </w:rPr>
        <w:t>）</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并作为其磋商响应文件的一部分。</w:t>
      </w:r>
    </w:p>
    <w:p w14:paraId="07FCF135">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9"/>
          <w:position w:val="15"/>
          <w:sz w:val="20"/>
          <w:szCs w:val="20"/>
          <w:highlight w:val="none"/>
        </w:rPr>
        <w:t>4.2</w:t>
      </w:r>
      <w:r>
        <w:rPr>
          <w:rFonts w:ascii="宋体" w:hAnsi="宋体" w:eastAsia="宋体" w:cs="宋体"/>
          <w:color w:val="auto"/>
          <w:spacing w:val="-40"/>
          <w:position w:val="15"/>
          <w:sz w:val="20"/>
          <w:szCs w:val="20"/>
          <w:highlight w:val="none"/>
        </w:rPr>
        <w:t xml:space="preserve"> </w:t>
      </w:r>
      <w:r>
        <w:rPr>
          <w:rFonts w:ascii="宋体" w:hAnsi="宋体" w:eastAsia="宋体" w:cs="宋体"/>
          <w:color w:val="auto"/>
          <w:spacing w:val="9"/>
          <w:position w:val="15"/>
          <w:sz w:val="20"/>
          <w:szCs w:val="20"/>
          <w:highlight w:val="none"/>
        </w:rPr>
        <w:t>保证金是为了保护采购人免遭因供应商</w:t>
      </w:r>
      <w:r>
        <w:rPr>
          <w:rFonts w:ascii="宋体" w:hAnsi="宋体" w:eastAsia="宋体" w:cs="宋体"/>
          <w:color w:val="auto"/>
          <w:spacing w:val="8"/>
          <w:position w:val="15"/>
          <w:sz w:val="20"/>
          <w:szCs w:val="20"/>
          <w:highlight w:val="none"/>
        </w:rPr>
        <w:t>的行为蒙受损失而要求的。</w:t>
      </w:r>
    </w:p>
    <w:p w14:paraId="4807A16F">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下列任何情况发生，保证金将被没收：</w:t>
      </w:r>
    </w:p>
    <w:p w14:paraId="78A343E4">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9"/>
          <w:position w:val="15"/>
          <w:sz w:val="20"/>
          <w:szCs w:val="20"/>
          <w:highlight w:val="none"/>
        </w:rPr>
      </w:pPr>
      <w:r>
        <w:rPr>
          <w:rFonts w:ascii="宋体" w:hAnsi="宋体" w:eastAsia="宋体" w:cs="宋体"/>
          <w:color w:val="auto"/>
          <w:spacing w:val="9"/>
          <w:position w:val="15"/>
          <w:sz w:val="20"/>
          <w:szCs w:val="20"/>
          <w:highlight w:val="none"/>
        </w:rPr>
        <w:t>（1）在递交磋商响应文件之日后到有效期满前，供应商擅自退出竞争性采购的；</w:t>
      </w:r>
    </w:p>
    <w:p w14:paraId="137B88ED">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（2）成交供应商在规定的时间内不与采购人签订合同的；</w:t>
      </w:r>
    </w:p>
    <w:p w14:paraId="5C3CEEB5">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磋商保证金的递交形式详见供应商须知前附表。</w:t>
      </w:r>
    </w:p>
    <w:p w14:paraId="76DA59B6">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4.4</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凡未按磋商文件要求提交保证金的，</w:t>
      </w:r>
      <w:r>
        <w:rPr>
          <w:rFonts w:ascii="宋体" w:hAnsi="宋体" w:eastAsia="宋体" w:cs="宋体"/>
          <w:color w:val="auto"/>
          <w:spacing w:val="8"/>
          <w:sz w:val="20"/>
          <w:szCs w:val="20"/>
          <w:highlight w:val="none"/>
        </w:rPr>
        <w:t>将被视为非响应性而予以拒绝。</w:t>
      </w:r>
    </w:p>
    <w:p w14:paraId="10F55CD8">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hint="eastAsia" w:ascii="宋体" w:hAnsi="宋体" w:eastAsia="宋体" w:cs="宋体"/>
          <w:color w:val="auto"/>
          <w:spacing w:val="7"/>
          <w:position w:val="15"/>
          <w:sz w:val="20"/>
          <w:szCs w:val="20"/>
          <w:highlight w:val="none"/>
        </w:rPr>
      </w:pPr>
      <w:r>
        <w:rPr>
          <w:rFonts w:ascii="宋体" w:hAnsi="宋体" w:eastAsia="宋体" w:cs="宋体"/>
          <w:color w:val="auto"/>
          <w:spacing w:val="10"/>
          <w:sz w:val="20"/>
          <w:szCs w:val="20"/>
          <w:highlight w:val="none"/>
        </w:rPr>
        <w:t>4.5</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rPr>
        <w:t>成交供应商的保证金，在接到成交通知书并签订合同后扣除成交服务费后，剩余部分凭签订的合同</w:t>
      </w:r>
      <w:r>
        <w:rPr>
          <w:rFonts w:ascii="宋体" w:hAnsi="宋体" w:eastAsia="宋体" w:cs="宋体"/>
          <w:color w:val="auto"/>
          <w:spacing w:val="7"/>
          <w:position w:val="15"/>
          <w:sz w:val="20"/>
          <w:szCs w:val="20"/>
          <w:highlight w:val="none"/>
        </w:rPr>
        <w:t>原件无息退还成交供应商；未成交供应商的磋商保证金在公示结束后</w:t>
      </w:r>
      <w:r>
        <w:rPr>
          <w:rFonts w:ascii="宋体" w:hAnsi="宋体" w:eastAsia="宋体" w:cs="宋体"/>
          <w:color w:val="auto"/>
          <w:spacing w:val="-33"/>
          <w:position w:val="15"/>
          <w:sz w:val="20"/>
          <w:szCs w:val="20"/>
          <w:highlight w:val="none"/>
        </w:rPr>
        <w:t xml:space="preserve"> </w:t>
      </w:r>
      <w:r>
        <w:rPr>
          <w:rFonts w:ascii="宋体" w:hAnsi="宋体" w:eastAsia="宋体" w:cs="宋体"/>
          <w:color w:val="auto"/>
          <w:spacing w:val="7"/>
          <w:position w:val="15"/>
          <w:sz w:val="20"/>
          <w:szCs w:val="20"/>
          <w:highlight w:val="none"/>
        </w:rPr>
        <w:t>5</w:t>
      </w:r>
      <w:r>
        <w:rPr>
          <w:rFonts w:ascii="宋体" w:hAnsi="宋体" w:eastAsia="宋体" w:cs="宋体"/>
          <w:color w:val="auto"/>
          <w:spacing w:val="-38"/>
          <w:position w:val="15"/>
          <w:sz w:val="20"/>
          <w:szCs w:val="20"/>
          <w:highlight w:val="none"/>
        </w:rPr>
        <w:t xml:space="preserve"> </w:t>
      </w:r>
      <w:r>
        <w:rPr>
          <w:rFonts w:ascii="宋体" w:hAnsi="宋体" w:eastAsia="宋体" w:cs="宋体"/>
          <w:color w:val="auto"/>
          <w:spacing w:val="7"/>
          <w:position w:val="15"/>
          <w:sz w:val="20"/>
          <w:szCs w:val="20"/>
          <w:highlight w:val="none"/>
        </w:rPr>
        <w:t>个工作日内无息退还（适用于已</w:t>
      </w:r>
      <w:r>
        <w:rPr>
          <w:rFonts w:hint="eastAsia" w:ascii="宋体" w:hAnsi="宋体" w:eastAsia="宋体" w:cs="宋体"/>
          <w:color w:val="auto"/>
          <w:spacing w:val="7"/>
          <w:position w:val="15"/>
          <w:sz w:val="20"/>
          <w:szCs w:val="20"/>
          <w:highlight w:val="none"/>
        </w:rPr>
        <w:t>递交磋商保证金的供应商）。</w:t>
      </w:r>
    </w:p>
    <w:p w14:paraId="12A9ED91">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ascii="宋体" w:hAnsi="宋体" w:eastAsia="宋体" w:cs="宋体"/>
          <w:color w:val="auto"/>
          <w:spacing w:val="8"/>
          <w:sz w:val="20"/>
          <w:szCs w:val="20"/>
          <w:highlight w:val="none"/>
        </w:rPr>
      </w:pPr>
      <w:r>
        <w:rPr>
          <w:rFonts w:ascii="宋体" w:hAnsi="宋体" w:eastAsia="宋体" w:cs="宋体"/>
          <w:color w:val="auto"/>
          <w:spacing w:val="10"/>
          <w:position w:val="15"/>
          <w:sz w:val="20"/>
          <w:szCs w:val="20"/>
          <w:highlight w:val="none"/>
        </w:rPr>
        <w:t>4.6</w:t>
      </w:r>
      <w:r>
        <w:rPr>
          <w:rFonts w:ascii="宋体" w:hAnsi="宋体" w:eastAsia="宋体" w:cs="宋体"/>
          <w:color w:val="auto"/>
          <w:spacing w:val="-18"/>
          <w:position w:val="15"/>
          <w:sz w:val="20"/>
          <w:szCs w:val="20"/>
          <w:highlight w:val="none"/>
        </w:rPr>
        <w:t xml:space="preserve"> </w:t>
      </w:r>
      <w:r>
        <w:rPr>
          <w:rFonts w:ascii="宋体" w:hAnsi="宋体" w:eastAsia="宋体" w:cs="宋体"/>
          <w:color w:val="auto"/>
          <w:spacing w:val="10"/>
          <w:position w:val="15"/>
          <w:sz w:val="20"/>
          <w:szCs w:val="20"/>
          <w:highlight w:val="none"/>
        </w:rPr>
        <w:t>办理保证金退还时需提供供应商开户许可证复印件并加盖单位公章，可将该复印件扫面后邮件发给</w:t>
      </w:r>
      <w:r>
        <w:rPr>
          <w:rFonts w:ascii="宋体" w:hAnsi="宋体" w:eastAsia="宋体" w:cs="宋体"/>
          <w:color w:val="auto"/>
          <w:spacing w:val="8"/>
          <w:sz w:val="20"/>
          <w:szCs w:val="20"/>
          <w:highlight w:val="none"/>
        </w:rPr>
        <w:t>采购代理公司的联系人。</w:t>
      </w:r>
    </w:p>
    <w:p w14:paraId="28171ECA">
      <w:pPr>
        <w:keepNext w:val="0"/>
        <w:keepLines w:val="0"/>
        <w:pageBreakBefore w:val="0"/>
        <w:wordWrap/>
        <w:overflowPunct/>
        <w:topLinePunct w:val="0"/>
        <w:autoSpaceDE w:val="0"/>
        <w:autoSpaceDN w:val="0"/>
        <w:bidi w:val="0"/>
        <w:adjustRightInd w:val="0"/>
        <w:spacing w:line="360" w:lineRule="auto"/>
        <w:ind w:left="0" w:right="0" w:firstLine="420" w:firstLineChars="200"/>
        <w:jc w:val="lef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5.有效期</w:t>
      </w:r>
    </w:p>
    <w:p w14:paraId="5CF5DA62">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position w:val="15"/>
          <w:sz w:val="20"/>
          <w:szCs w:val="20"/>
          <w:highlight w:val="none"/>
        </w:rPr>
        <w:t>5.1</w:t>
      </w:r>
      <w:r>
        <w:rPr>
          <w:rFonts w:ascii="宋体" w:hAnsi="宋体" w:eastAsia="宋体" w:cs="宋体"/>
          <w:color w:val="auto"/>
          <w:spacing w:val="-41"/>
          <w:position w:val="15"/>
          <w:sz w:val="20"/>
          <w:szCs w:val="20"/>
          <w:highlight w:val="none"/>
        </w:rPr>
        <w:t xml:space="preserve"> </w:t>
      </w:r>
      <w:r>
        <w:rPr>
          <w:rFonts w:ascii="宋体" w:hAnsi="宋体" w:eastAsia="宋体" w:cs="宋体"/>
          <w:color w:val="auto"/>
          <w:spacing w:val="7"/>
          <w:position w:val="15"/>
          <w:sz w:val="20"/>
          <w:szCs w:val="20"/>
          <w:highlight w:val="none"/>
        </w:rPr>
        <w:t>供应商的磋商响应文件应在规定的投标截止之日起</w:t>
      </w:r>
      <w:r>
        <w:rPr>
          <w:rFonts w:ascii="宋体" w:hAnsi="宋体" w:eastAsia="宋体" w:cs="宋体"/>
          <w:color w:val="auto"/>
          <w:spacing w:val="-38"/>
          <w:position w:val="15"/>
          <w:sz w:val="20"/>
          <w:szCs w:val="20"/>
          <w:highlight w:val="none"/>
        </w:rPr>
        <w:t xml:space="preserve"> </w:t>
      </w:r>
      <w:r>
        <w:rPr>
          <w:rFonts w:hint="eastAsia" w:ascii="宋体" w:hAnsi="宋体" w:eastAsia="宋体" w:cs="宋体"/>
          <w:color w:val="auto"/>
          <w:spacing w:val="7"/>
          <w:position w:val="15"/>
          <w:sz w:val="20"/>
          <w:szCs w:val="20"/>
          <w:highlight w:val="none"/>
          <w:lang w:val="en-US" w:eastAsia="zh-CN"/>
        </w:rPr>
        <w:t>60</w:t>
      </w:r>
      <w:r>
        <w:rPr>
          <w:rFonts w:ascii="宋体" w:hAnsi="宋体" w:eastAsia="宋体" w:cs="宋体"/>
          <w:color w:val="auto"/>
          <w:spacing w:val="7"/>
          <w:position w:val="15"/>
          <w:sz w:val="20"/>
          <w:szCs w:val="20"/>
          <w:highlight w:val="none"/>
        </w:rPr>
        <w:t xml:space="preserve"> 日历天</w:t>
      </w:r>
      <w:r>
        <w:rPr>
          <w:rFonts w:ascii="宋体" w:hAnsi="宋体" w:eastAsia="宋体" w:cs="宋体"/>
          <w:color w:val="auto"/>
          <w:spacing w:val="6"/>
          <w:position w:val="15"/>
          <w:sz w:val="20"/>
          <w:szCs w:val="20"/>
          <w:highlight w:val="none"/>
        </w:rPr>
        <w:t>内保持有效，有效期不满足要求的磋商</w:t>
      </w:r>
      <w:r>
        <w:rPr>
          <w:rFonts w:ascii="宋体" w:hAnsi="宋体" w:eastAsia="宋体" w:cs="宋体"/>
          <w:color w:val="auto"/>
          <w:spacing w:val="8"/>
          <w:sz w:val="20"/>
          <w:szCs w:val="20"/>
          <w:highlight w:val="none"/>
        </w:rPr>
        <w:t>响应文件将被视为非实质性响应而予以拒绝。</w:t>
      </w:r>
    </w:p>
    <w:p w14:paraId="62574E74">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5.2 采购人可根据实际情况，在原有效期截止之前，要求供应商同意延长有效期。接受该要求的供应商</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将不得要求修正其报价，且本须知中有关保证金的要求将在延长的有效</w:t>
      </w:r>
      <w:r>
        <w:rPr>
          <w:rFonts w:ascii="宋体" w:hAnsi="宋体" w:eastAsia="宋体" w:cs="宋体"/>
          <w:color w:val="auto"/>
          <w:spacing w:val="7"/>
          <w:sz w:val="20"/>
          <w:szCs w:val="20"/>
          <w:highlight w:val="none"/>
        </w:rPr>
        <w:t>期内继续有效。供应商也可以拒绝采购</w:t>
      </w:r>
      <w:r>
        <w:rPr>
          <w:rFonts w:ascii="宋体" w:hAnsi="宋体" w:eastAsia="宋体" w:cs="宋体"/>
          <w:color w:val="auto"/>
          <w:spacing w:val="9"/>
          <w:sz w:val="20"/>
          <w:szCs w:val="20"/>
          <w:highlight w:val="none"/>
        </w:rPr>
        <w:t>人的这种要求，其保证金将不会被没收。上述要求和答复都应以书面形式提交。</w:t>
      </w:r>
    </w:p>
    <w:p w14:paraId="42D065AD">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6.磋商响应文件的签署及规定</w:t>
      </w:r>
    </w:p>
    <w:p w14:paraId="6C64DA72">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6.1 供应商递交纸质响应文件正本、副本，电子文件（U 盘）</w:t>
      </w:r>
      <w:r>
        <w:rPr>
          <w:rFonts w:hint="eastAsia" w:ascii="宋体" w:hAnsi="宋体" w:eastAsia="宋体" w:cs="宋体"/>
          <w:color w:val="auto"/>
          <w:spacing w:val="7"/>
          <w:sz w:val="20"/>
          <w:szCs w:val="20"/>
          <w:highlight w:val="none"/>
          <w:lang w:eastAsia="zh-CN"/>
        </w:rPr>
        <w:t>，数量以代理机构通知为准</w:t>
      </w:r>
      <w:r>
        <w:rPr>
          <w:rFonts w:ascii="宋体" w:hAnsi="宋体" w:eastAsia="宋体" w:cs="宋体"/>
          <w:color w:val="auto"/>
          <w:spacing w:val="7"/>
          <w:sz w:val="20"/>
          <w:szCs w:val="20"/>
          <w:highlight w:val="none"/>
        </w:rPr>
        <w:t>。</w:t>
      </w:r>
    </w:p>
    <w:p w14:paraId="6F955DF9">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6.2</w:t>
      </w:r>
      <w:r>
        <w:rPr>
          <w:rFonts w:ascii="宋体" w:hAnsi="宋体" w:eastAsia="宋体" w:cs="宋体"/>
          <w:color w:val="auto"/>
          <w:spacing w:val="-20"/>
          <w:sz w:val="20"/>
          <w:szCs w:val="20"/>
          <w:highlight w:val="none"/>
        </w:rPr>
        <w:t xml:space="preserve"> </w:t>
      </w:r>
      <w:r>
        <w:rPr>
          <w:rFonts w:ascii="宋体" w:hAnsi="宋体" w:eastAsia="宋体" w:cs="宋体"/>
          <w:color w:val="auto"/>
          <w:spacing w:val="10"/>
          <w:sz w:val="20"/>
          <w:szCs w:val="20"/>
          <w:highlight w:val="none"/>
        </w:rPr>
        <w:t>磋商响应文件的正本需打印或用不褪色墨水书写，并由供应商的法定代表人或经其授权的代表在磋</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商响应文件上签字并加盖单位印章。授权代表须持有书面的“法定代表人授权书</w:t>
      </w:r>
      <w:r>
        <w:rPr>
          <w:rFonts w:ascii="宋体" w:hAnsi="宋体" w:eastAsia="宋体" w:cs="宋体"/>
          <w:color w:val="auto"/>
          <w:spacing w:val="-69"/>
          <w:sz w:val="20"/>
          <w:szCs w:val="20"/>
          <w:highlight w:val="none"/>
        </w:rPr>
        <w:t xml:space="preserve"> </w:t>
      </w:r>
      <w:r>
        <w:rPr>
          <w:rFonts w:ascii="宋体" w:hAnsi="宋体" w:eastAsia="宋体" w:cs="宋体"/>
          <w:color w:val="auto"/>
          <w:spacing w:val="7"/>
          <w:sz w:val="20"/>
          <w:szCs w:val="20"/>
          <w:highlight w:val="none"/>
        </w:rPr>
        <w:t>”（标准格式附后</w:t>
      </w:r>
      <w:r>
        <w:rPr>
          <w:rFonts w:ascii="宋体" w:hAnsi="宋体" w:eastAsia="宋体" w:cs="宋体"/>
          <w:color w:val="auto"/>
          <w:spacing w:val="5"/>
          <w:sz w:val="20"/>
          <w:szCs w:val="20"/>
          <w:highlight w:val="none"/>
        </w:rPr>
        <w:t>），</w:t>
      </w:r>
      <w:r>
        <w:rPr>
          <w:rFonts w:ascii="宋体" w:hAnsi="宋体" w:eastAsia="宋体" w:cs="宋体"/>
          <w:color w:val="auto"/>
          <w:spacing w:val="7"/>
          <w:sz w:val="20"/>
          <w:szCs w:val="20"/>
          <w:highlight w:val="none"/>
        </w:rPr>
        <w:t>并将其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附在磋商响应文件中。如磋商响应文件需进行修改，则应有供</w:t>
      </w:r>
      <w:r>
        <w:rPr>
          <w:rFonts w:ascii="宋体" w:hAnsi="宋体" w:eastAsia="宋体" w:cs="宋体"/>
          <w:color w:val="auto"/>
          <w:spacing w:val="7"/>
          <w:sz w:val="20"/>
          <w:szCs w:val="20"/>
          <w:highlight w:val="none"/>
        </w:rPr>
        <w:t>应商的法定代表人或经其授权的代表在修改的每</w:t>
      </w:r>
      <w:r>
        <w:rPr>
          <w:rFonts w:ascii="宋体" w:hAnsi="宋体" w:eastAsia="宋体" w:cs="宋体"/>
          <w:color w:val="auto"/>
          <w:spacing w:val="9"/>
          <w:sz w:val="20"/>
          <w:szCs w:val="20"/>
          <w:highlight w:val="none"/>
        </w:rPr>
        <w:t>一页上签字。磋商响应文件的副本可以是正本的复印件。</w:t>
      </w:r>
    </w:p>
    <w:p w14:paraId="70E8CB22">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6.3</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任何行间插字、涂改和增删，必须由磋商响应按文件签字人签字或盖章</w:t>
      </w:r>
      <w:r>
        <w:rPr>
          <w:rFonts w:ascii="宋体" w:hAnsi="宋体" w:eastAsia="宋体" w:cs="宋体"/>
          <w:color w:val="auto"/>
          <w:spacing w:val="8"/>
          <w:sz w:val="20"/>
          <w:szCs w:val="20"/>
          <w:highlight w:val="none"/>
        </w:rPr>
        <w:t>后才有效。</w:t>
      </w:r>
    </w:p>
    <w:p w14:paraId="48AC3788">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8"/>
          <w:sz w:val="20"/>
          <w:szCs w:val="20"/>
          <w:highlight w:val="none"/>
        </w:rPr>
      </w:pPr>
      <w:r>
        <w:rPr>
          <w:rFonts w:ascii="宋体" w:hAnsi="宋体" w:eastAsia="宋体" w:cs="宋体"/>
          <w:color w:val="auto"/>
          <w:spacing w:val="9"/>
          <w:sz w:val="20"/>
          <w:szCs w:val="20"/>
          <w:highlight w:val="none"/>
        </w:rPr>
        <w:t>6.4</w:t>
      </w:r>
      <w:r>
        <w:rPr>
          <w:rFonts w:ascii="宋体" w:hAnsi="宋体" w:eastAsia="宋体" w:cs="宋体"/>
          <w:color w:val="auto"/>
          <w:spacing w:val="-42"/>
          <w:sz w:val="20"/>
          <w:szCs w:val="20"/>
          <w:highlight w:val="none"/>
        </w:rPr>
        <w:t xml:space="preserve"> </w:t>
      </w:r>
      <w:r>
        <w:rPr>
          <w:rFonts w:ascii="宋体" w:hAnsi="宋体" w:eastAsia="宋体" w:cs="宋体"/>
          <w:color w:val="auto"/>
          <w:spacing w:val="9"/>
          <w:sz w:val="20"/>
          <w:szCs w:val="20"/>
          <w:highlight w:val="none"/>
        </w:rPr>
        <w:t>磋商响应文件因字迹潦草或表达不清</w:t>
      </w:r>
      <w:r>
        <w:rPr>
          <w:rFonts w:ascii="宋体" w:hAnsi="宋体" w:eastAsia="宋体" w:cs="宋体"/>
          <w:color w:val="auto"/>
          <w:spacing w:val="8"/>
          <w:sz w:val="20"/>
          <w:szCs w:val="20"/>
          <w:highlight w:val="none"/>
        </w:rPr>
        <w:t>所引起的后果由供应商负责。</w:t>
      </w:r>
    </w:p>
    <w:p w14:paraId="18525943">
      <w:pPr>
        <w:keepNext w:val="0"/>
        <w:keepLines w:val="0"/>
        <w:pageBreakBefore w:val="0"/>
        <w:wordWrap/>
        <w:overflowPunct/>
        <w:topLinePunct w:val="0"/>
        <w:autoSpaceDE w:val="0"/>
        <w:autoSpaceDN w:val="0"/>
        <w:bidi w:val="0"/>
        <w:adjustRightInd w:val="0"/>
        <w:spacing w:line="360" w:lineRule="auto"/>
        <w:ind w:left="0" w:right="0" w:firstLine="420" w:firstLineChars="200"/>
        <w:jc w:val="lef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6.5 其他要求：</w:t>
      </w:r>
    </w:p>
    <w:p w14:paraId="3275A812">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（1）评标过程中以电子响应文件为主，纸质响应文件为辅。（当纸质响应文件与电子响应文件内容不符时，以电子响应文件为准。）</w:t>
      </w:r>
    </w:p>
    <w:p w14:paraId="6A866116">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position w:val="15"/>
          <w:sz w:val="20"/>
          <w:szCs w:val="20"/>
          <w:highlight w:val="none"/>
        </w:rPr>
        <w:t>（2）供应商在“政采云</w:t>
      </w:r>
      <w:r>
        <w:rPr>
          <w:rFonts w:ascii="宋体" w:hAnsi="宋体" w:eastAsia="宋体" w:cs="宋体"/>
          <w:color w:val="auto"/>
          <w:spacing w:val="-64"/>
          <w:position w:val="15"/>
          <w:sz w:val="20"/>
          <w:szCs w:val="20"/>
          <w:highlight w:val="none"/>
        </w:rPr>
        <w:t xml:space="preserve"> </w:t>
      </w:r>
      <w:r>
        <w:rPr>
          <w:rFonts w:ascii="宋体" w:hAnsi="宋体" w:eastAsia="宋体" w:cs="宋体"/>
          <w:color w:val="auto"/>
          <w:spacing w:val="9"/>
          <w:position w:val="15"/>
          <w:sz w:val="20"/>
          <w:szCs w:val="20"/>
          <w:highlight w:val="none"/>
        </w:rPr>
        <w:t>”平台（</w:t>
      </w:r>
      <w:r>
        <w:rPr>
          <w:rFonts w:ascii="宋体" w:hAnsi="宋体" w:eastAsia="宋体" w:cs="宋体"/>
          <w:color w:val="auto"/>
          <w:position w:val="15"/>
          <w:sz w:val="20"/>
          <w:szCs w:val="20"/>
          <w:highlight w:val="none"/>
        </w:rPr>
        <w:t>http</w:t>
      </w:r>
      <w:r>
        <w:rPr>
          <w:rFonts w:ascii="宋体" w:hAnsi="宋体" w:eastAsia="宋体" w:cs="宋体"/>
          <w:color w:val="auto"/>
          <w:spacing w:val="9"/>
          <w:position w:val="15"/>
          <w:sz w:val="20"/>
          <w:szCs w:val="20"/>
          <w:highlight w:val="none"/>
        </w:rPr>
        <w:t>：//</w:t>
      </w:r>
      <w:r>
        <w:rPr>
          <w:rFonts w:ascii="宋体" w:hAnsi="宋体" w:eastAsia="宋体" w:cs="宋体"/>
          <w:color w:val="auto"/>
          <w:position w:val="15"/>
          <w:sz w:val="20"/>
          <w:szCs w:val="20"/>
          <w:highlight w:val="none"/>
        </w:rPr>
        <w:t>www</w:t>
      </w:r>
      <w:r>
        <w:rPr>
          <w:rFonts w:ascii="宋体" w:hAnsi="宋体" w:eastAsia="宋体" w:cs="宋体"/>
          <w:color w:val="auto"/>
          <w:spacing w:val="9"/>
          <w:position w:val="15"/>
          <w:sz w:val="20"/>
          <w:szCs w:val="20"/>
          <w:highlight w:val="none"/>
        </w:rPr>
        <w:t>.</w:t>
      </w:r>
      <w:r>
        <w:rPr>
          <w:rFonts w:ascii="宋体" w:hAnsi="宋体" w:eastAsia="宋体" w:cs="宋体"/>
          <w:color w:val="auto"/>
          <w:position w:val="15"/>
          <w:sz w:val="20"/>
          <w:szCs w:val="20"/>
          <w:highlight w:val="none"/>
        </w:rPr>
        <w:t>zcygov</w:t>
      </w:r>
      <w:r>
        <w:rPr>
          <w:rFonts w:ascii="宋体" w:hAnsi="宋体" w:eastAsia="宋体" w:cs="宋体"/>
          <w:color w:val="auto"/>
          <w:spacing w:val="9"/>
          <w:position w:val="15"/>
          <w:sz w:val="20"/>
          <w:szCs w:val="20"/>
          <w:highlight w:val="none"/>
        </w:rPr>
        <w:t>.</w:t>
      </w:r>
      <w:r>
        <w:rPr>
          <w:rFonts w:ascii="宋体" w:hAnsi="宋体" w:eastAsia="宋体" w:cs="宋体"/>
          <w:color w:val="auto"/>
          <w:position w:val="15"/>
          <w:sz w:val="20"/>
          <w:szCs w:val="20"/>
          <w:highlight w:val="none"/>
        </w:rPr>
        <w:t>cn</w:t>
      </w:r>
      <w:r>
        <w:rPr>
          <w:rFonts w:ascii="宋体" w:hAnsi="宋体" w:eastAsia="宋体" w:cs="宋体"/>
          <w:color w:val="auto"/>
          <w:spacing w:val="9"/>
          <w:position w:val="15"/>
          <w:sz w:val="20"/>
          <w:szCs w:val="20"/>
          <w:highlight w:val="none"/>
        </w:rPr>
        <w:t>）上制作响应文件</w:t>
      </w:r>
      <w:r>
        <w:rPr>
          <w:rFonts w:ascii="宋体" w:hAnsi="宋体" w:eastAsia="宋体" w:cs="宋体"/>
          <w:color w:val="auto"/>
          <w:spacing w:val="-24"/>
          <w:position w:val="15"/>
          <w:sz w:val="20"/>
          <w:szCs w:val="20"/>
          <w:highlight w:val="none"/>
        </w:rPr>
        <w:t xml:space="preserve"> </w:t>
      </w:r>
      <w:r>
        <w:rPr>
          <w:rFonts w:ascii="宋体" w:hAnsi="宋体" w:eastAsia="宋体" w:cs="宋体"/>
          <w:color w:val="auto"/>
          <w:spacing w:val="9"/>
          <w:position w:val="15"/>
          <w:sz w:val="20"/>
          <w:szCs w:val="20"/>
          <w:highlight w:val="none"/>
        </w:rPr>
        <w:t>1</w:t>
      </w:r>
      <w:r>
        <w:rPr>
          <w:rFonts w:ascii="宋体" w:hAnsi="宋体" w:eastAsia="宋体" w:cs="宋体"/>
          <w:color w:val="auto"/>
          <w:spacing w:val="-38"/>
          <w:position w:val="15"/>
          <w:sz w:val="20"/>
          <w:szCs w:val="20"/>
          <w:highlight w:val="none"/>
        </w:rPr>
        <w:t xml:space="preserve"> </w:t>
      </w:r>
      <w:r>
        <w:rPr>
          <w:rFonts w:ascii="宋体" w:hAnsi="宋体" w:eastAsia="宋体" w:cs="宋体"/>
          <w:color w:val="auto"/>
          <w:spacing w:val="9"/>
          <w:position w:val="15"/>
          <w:sz w:val="20"/>
          <w:szCs w:val="20"/>
          <w:highlight w:val="none"/>
        </w:rPr>
        <w:t>份（此响应文件须上传至</w:t>
      </w:r>
      <w:r>
        <w:rPr>
          <w:rFonts w:ascii="宋体" w:hAnsi="宋体" w:eastAsia="宋体" w:cs="宋体"/>
          <w:color w:val="auto"/>
          <w:spacing w:val="4"/>
          <w:sz w:val="20"/>
          <w:szCs w:val="20"/>
          <w:highlight w:val="none"/>
        </w:rPr>
        <w:t>“政采云</w:t>
      </w:r>
      <w:r>
        <w:rPr>
          <w:rFonts w:ascii="宋体" w:hAnsi="宋体" w:eastAsia="宋体" w:cs="宋体"/>
          <w:color w:val="auto"/>
          <w:spacing w:val="-67"/>
          <w:sz w:val="20"/>
          <w:szCs w:val="20"/>
          <w:highlight w:val="none"/>
        </w:rPr>
        <w:t xml:space="preserve"> </w:t>
      </w:r>
      <w:r>
        <w:rPr>
          <w:rFonts w:ascii="宋体" w:hAnsi="宋体" w:eastAsia="宋体" w:cs="宋体"/>
          <w:color w:val="auto"/>
          <w:spacing w:val="4"/>
          <w:sz w:val="20"/>
          <w:szCs w:val="20"/>
          <w:highlight w:val="none"/>
        </w:rPr>
        <w:t>”平台）。</w:t>
      </w:r>
    </w:p>
    <w:p w14:paraId="3F263282">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（3）供应商在制作响应文件时，电子响应文件以“政采云</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”平</w:t>
      </w:r>
      <w:r>
        <w:rPr>
          <w:rFonts w:ascii="宋体" w:hAnsi="宋体" w:eastAsia="宋体" w:cs="宋体"/>
          <w:color w:val="auto"/>
          <w:spacing w:val="6"/>
          <w:sz w:val="20"/>
          <w:szCs w:val="20"/>
          <w:highlight w:val="none"/>
        </w:rPr>
        <w:t>台的响应文件格式为准；纸质响应文件以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采购文件中《响应文件格式》为准。供应商上传至“政采云</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”平台的电子响应文件内容，在纸质响应文件中均</w:t>
      </w:r>
      <w:r>
        <w:rPr>
          <w:rFonts w:ascii="宋体" w:hAnsi="宋体" w:eastAsia="宋体" w:cs="宋体"/>
          <w:color w:val="auto"/>
          <w:spacing w:val="5"/>
          <w:sz w:val="20"/>
          <w:szCs w:val="20"/>
          <w:highlight w:val="none"/>
        </w:rPr>
        <w:t>应体现。</w:t>
      </w:r>
    </w:p>
    <w:p w14:paraId="2E7B3CDB">
      <w:pPr>
        <w:keepNext w:val="0"/>
        <w:keepLines w:val="0"/>
        <w:pageBreakBefore w:val="0"/>
        <w:wordWrap/>
        <w:overflowPunct/>
        <w:topLinePunct w:val="0"/>
        <w:autoSpaceDE w:val="0"/>
        <w:autoSpaceDN w:val="0"/>
        <w:bidi w:val="0"/>
        <w:adjustRightInd w:val="0"/>
        <w:spacing w:line="360" w:lineRule="auto"/>
        <w:ind w:left="0" w:right="0" w:firstLine="436" w:firstLineChars="200"/>
        <w:jc w:val="center"/>
        <w:outlineLvl w:val="9"/>
        <w:rPr>
          <w:rFonts w:ascii="宋体" w:hAnsi="宋体" w:eastAsia="宋体" w:cs="宋体"/>
          <w:color w:val="auto"/>
          <w:sz w:val="20"/>
          <w:szCs w:val="20"/>
          <w:highlight w:val="none"/>
        </w:rPr>
      </w:pPr>
      <w:bookmarkStart w:id="22" w:name="_Toc1973"/>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第</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四</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部分</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磋商响应文件的评审</w:t>
      </w:r>
      <w:bookmarkEnd w:id="22"/>
    </w:p>
    <w:p w14:paraId="1D00D5B6">
      <w:pPr>
        <w:keepNext w:val="0"/>
        <w:keepLines w:val="0"/>
        <w:pageBreakBefore w:val="0"/>
        <w:wordWrap/>
        <w:overflowPunct/>
        <w:topLinePunct w:val="0"/>
        <w:autoSpaceDE w:val="0"/>
        <w:autoSpaceDN w:val="0"/>
        <w:bidi w:val="0"/>
        <w:adjustRightInd w:val="0"/>
        <w:spacing w:line="360" w:lineRule="auto"/>
        <w:ind w:left="0" w:right="0" w:firstLine="420" w:firstLineChars="200"/>
        <w:jc w:val="lef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1.组建磋商小组</w:t>
      </w:r>
    </w:p>
    <w:p w14:paraId="026B895C">
      <w:pPr>
        <w:keepNext w:val="0"/>
        <w:keepLines w:val="0"/>
        <w:pageBreakBefore w:val="0"/>
        <w:wordWrap/>
        <w:overflowPunct/>
        <w:topLinePunct w:val="0"/>
        <w:autoSpaceDE w:val="0"/>
        <w:autoSpaceDN w:val="0"/>
        <w:bidi w:val="0"/>
        <w:adjustRightInd w:val="0"/>
        <w:spacing w:line="360" w:lineRule="auto"/>
        <w:ind w:left="0" w:right="0" w:firstLine="440" w:firstLineChars="200"/>
        <w:jc w:val="left"/>
        <w:rPr>
          <w:rFonts w:ascii="宋体" w:hAnsi="宋体" w:eastAsia="宋体" w:cs="宋体"/>
          <w:color w:val="auto"/>
          <w:sz w:val="20"/>
          <w:szCs w:val="20"/>
          <w:highlight w:val="none"/>
        </w:rPr>
      </w:pPr>
      <w:r>
        <w:rPr>
          <w:rFonts w:ascii="宋体" w:hAnsi="宋体" w:eastAsia="宋体" w:cs="宋体"/>
          <w:color w:val="auto"/>
          <w:spacing w:val="10"/>
          <w:position w:val="15"/>
          <w:sz w:val="20"/>
          <w:szCs w:val="20"/>
          <w:highlight w:val="none"/>
        </w:rPr>
        <w:t>磋商小组根据采购内容的特点进行组建，并负责评审磋商工作。磋商小组的构成及抽</w:t>
      </w:r>
      <w:r>
        <w:rPr>
          <w:rFonts w:ascii="宋体" w:hAnsi="宋体" w:eastAsia="宋体" w:cs="宋体"/>
          <w:color w:val="auto"/>
          <w:spacing w:val="9"/>
          <w:position w:val="15"/>
          <w:sz w:val="20"/>
          <w:szCs w:val="20"/>
          <w:highlight w:val="none"/>
        </w:rPr>
        <w:t>取方式详见供应商</w:t>
      </w:r>
      <w:r>
        <w:rPr>
          <w:rFonts w:ascii="宋体" w:hAnsi="宋体" w:eastAsia="宋体" w:cs="宋体"/>
          <w:color w:val="auto"/>
          <w:spacing w:val="6"/>
          <w:sz w:val="20"/>
          <w:szCs w:val="20"/>
          <w:highlight w:val="none"/>
        </w:rPr>
        <w:t>须知前附表。</w:t>
      </w:r>
    </w:p>
    <w:p w14:paraId="203BA8A3">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2.磋商响应文件的初审与澄清</w:t>
      </w:r>
    </w:p>
    <w:p w14:paraId="4D6FB310">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磋商响应文件的初审分为形式、资格性检查和响应性评</w:t>
      </w:r>
      <w:r>
        <w:rPr>
          <w:rFonts w:ascii="宋体" w:hAnsi="宋体" w:eastAsia="宋体" w:cs="宋体"/>
          <w:color w:val="auto"/>
          <w:spacing w:val="7"/>
          <w:sz w:val="20"/>
          <w:szCs w:val="20"/>
          <w:highlight w:val="none"/>
        </w:rPr>
        <w:t>审。形式、资格、响应性评审依据法律、法规和磋</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商文件的规定，对磋商响应文件中的资格证明、磋商保证金等</w:t>
      </w:r>
      <w:r>
        <w:rPr>
          <w:rFonts w:ascii="宋体" w:hAnsi="宋体" w:eastAsia="宋体" w:cs="宋体"/>
          <w:color w:val="auto"/>
          <w:spacing w:val="7"/>
          <w:sz w:val="20"/>
          <w:szCs w:val="20"/>
          <w:highlight w:val="none"/>
        </w:rPr>
        <w:t>进行审查，以确定供应商是否具备报价资格。评</w:t>
      </w:r>
      <w:r>
        <w:rPr>
          <w:rFonts w:ascii="宋体" w:hAnsi="宋体" w:eastAsia="宋体" w:cs="宋体"/>
          <w:color w:val="auto"/>
          <w:spacing w:val="9"/>
          <w:sz w:val="20"/>
          <w:szCs w:val="20"/>
          <w:highlight w:val="none"/>
        </w:rPr>
        <w:t>审标准详见《磋商评审细则》。磋商响应文件的澄清</w:t>
      </w:r>
    </w:p>
    <w:p w14:paraId="784104FF">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8"/>
          <w:position w:val="15"/>
          <w:sz w:val="20"/>
          <w:szCs w:val="20"/>
          <w:highlight w:val="none"/>
        </w:rPr>
        <w:t>3.1 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29B54FA5">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8"/>
          <w:position w:val="15"/>
          <w:sz w:val="20"/>
          <w:szCs w:val="20"/>
          <w:highlight w:val="none"/>
        </w:rPr>
        <w:t>3.2</w:t>
      </w:r>
      <w:r>
        <w:rPr>
          <w:rFonts w:ascii="宋体" w:hAnsi="宋体" w:eastAsia="宋体" w:cs="宋体"/>
          <w:color w:val="auto"/>
          <w:spacing w:val="-41"/>
          <w:position w:val="15"/>
          <w:sz w:val="20"/>
          <w:szCs w:val="20"/>
          <w:highlight w:val="none"/>
        </w:rPr>
        <w:t xml:space="preserve"> </w:t>
      </w:r>
      <w:r>
        <w:rPr>
          <w:rFonts w:ascii="宋体" w:hAnsi="宋体" w:eastAsia="宋体" w:cs="宋体"/>
          <w:color w:val="auto"/>
          <w:spacing w:val="8"/>
          <w:position w:val="15"/>
          <w:sz w:val="20"/>
          <w:szCs w:val="20"/>
          <w:highlight w:val="none"/>
        </w:rPr>
        <w:t>澄清文件将作为磋商响应文件内容的一部分。</w:t>
      </w:r>
    </w:p>
    <w:p w14:paraId="7FA2092A">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4.比较与评价</w:t>
      </w:r>
    </w:p>
    <w:p w14:paraId="7CB1CB35">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4.1</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经审查合格的磋商响应文件。</w:t>
      </w:r>
    </w:p>
    <w:p w14:paraId="74996457">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4.1.1</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磋商小组所有成员应当集中与单一供应商分别进行磋商，并给予所有参加磋商的供应商平等的磋商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机会。在磋商过程中，磋商小组可以根据磋商文件和磋商情况实质性变动</w:t>
      </w:r>
      <w:r>
        <w:rPr>
          <w:rFonts w:ascii="宋体" w:hAnsi="宋体" w:eastAsia="宋体" w:cs="宋体"/>
          <w:color w:val="auto"/>
          <w:spacing w:val="7"/>
          <w:sz w:val="20"/>
          <w:szCs w:val="20"/>
          <w:highlight w:val="none"/>
        </w:rPr>
        <w:t>采购内容中的技术、服务要求以及合</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同草案条款，但不变动磋商文件中的其他内容</w:t>
      </w:r>
      <w:r>
        <w:rPr>
          <w:rFonts w:ascii="宋体" w:hAnsi="宋体" w:eastAsia="宋体" w:cs="宋体"/>
          <w:color w:val="auto"/>
          <w:spacing w:val="9"/>
          <w:sz w:val="20"/>
          <w:szCs w:val="20"/>
          <w:highlight w:val="none"/>
        </w:rPr>
        <w:t>。实质性变动的内容，须经采购人代表确认。</w:t>
      </w:r>
    </w:p>
    <w:p w14:paraId="7D4B1930">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4.1.2</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对磋商文件作出的实质性变动是磋商文件的有效组成部分，磋商小组将及时以书面形式同时通知所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有参加磋商的供应商。</w:t>
      </w:r>
    </w:p>
    <w:p w14:paraId="2974FBE6">
      <w:pPr>
        <w:keepNext w:val="0"/>
        <w:keepLines w:val="0"/>
        <w:pageBreakBefore w:val="0"/>
        <w:wordWrap/>
        <w:overflowPunct/>
        <w:topLinePunct w:val="0"/>
        <w:autoSpaceDE w:val="0"/>
        <w:autoSpaceDN w:val="0"/>
        <w:bidi w:val="0"/>
        <w:adjustRightInd w:val="0"/>
        <w:spacing w:line="360" w:lineRule="auto"/>
        <w:ind w:left="0" w:right="0" w:firstLine="444" w:firstLineChars="200"/>
        <w:jc w:val="lef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4.1.3</w:t>
      </w:r>
      <w:r>
        <w:rPr>
          <w:rFonts w:ascii="宋体" w:hAnsi="宋体" w:eastAsia="宋体" w:cs="宋体"/>
          <w:color w:val="auto"/>
          <w:spacing w:val="-32"/>
          <w:sz w:val="20"/>
          <w:szCs w:val="20"/>
          <w:highlight w:val="none"/>
        </w:rPr>
        <w:t xml:space="preserve"> </w:t>
      </w:r>
      <w:r>
        <w:rPr>
          <w:rFonts w:ascii="宋体" w:hAnsi="宋体" w:eastAsia="宋体" w:cs="宋体"/>
          <w:color w:val="auto"/>
          <w:spacing w:val="11"/>
          <w:sz w:val="20"/>
          <w:szCs w:val="20"/>
          <w:highlight w:val="none"/>
        </w:rPr>
        <w:t>供应商应当按照磋商文件的变动情况和磋商小组的要求重新提交响应文件，并由其法定代表人或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授权代表签字或者加盖公章。由授权代表签字的，应当附法定代表人授权</w:t>
      </w:r>
      <w:r>
        <w:rPr>
          <w:rFonts w:ascii="宋体" w:hAnsi="宋体" w:eastAsia="宋体" w:cs="宋体"/>
          <w:color w:val="auto"/>
          <w:spacing w:val="7"/>
          <w:sz w:val="20"/>
          <w:szCs w:val="20"/>
          <w:highlight w:val="none"/>
        </w:rPr>
        <w:t>书。供应商为自然人的，应当由本人</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签字并附身份证明。</w:t>
      </w:r>
    </w:p>
    <w:p w14:paraId="394641FB">
      <w:pPr>
        <w:keepNext w:val="0"/>
        <w:keepLines w:val="0"/>
        <w:pageBreakBefore w:val="0"/>
        <w:wordWrap/>
        <w:overflowPunct/>
        <w:topLinePunct w:val="0"/>
        <w:autoSpaceDE w:val="0"/>
        <w:autoSpaceDN w:val="0"/>
        <w:bidi w:val="0"/>
        <w:adjustRightInd w:val="0"/>
        <w:spacing w:line="360" w:lineRule="auto"/>
        <w:ind w:left="0" w:right="0" w:firstLine="444" w:firstLineChars="200"/>
        <w:jc w:val="lef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4.1.4</w:t>
      </w:r>
      <w:r>
        <w:rPr>
          <w:rFonts w:ascii="宋体" w:hAnsi="宋体" w:eastAsia="宋体" w:cs="宋体"/>
          <w:color w:val="auto"/>
          <w:spacing w:val="-32"/>
          <w:sz w:val="20"/>
          <w:szCs w:val="20"/>
          <w:highlight w:val="none"/>
        </w:rPr>
        <w:t xml:space="preserve"> </w:t>
      </w:r>
      <w:r>
        <w:rPr>
          <w:rFonts w:ascii="宋体" w:hAnsi="宋体" w:eastAsia="宋体" w:cs="宋体"/>
          <w:color w:val="auto"/>
          <w:spacing w:val="11"/>
          <w:sz w:val="20"/>
          <w:szCs w:val="20"/>
          <w:highlight w:val="none"/>
        </w:rPr>
        <w:t>磋商结束后，磋商小组将要求所有实质性响应的供应商在规定时间内提交最后报价，提交最后报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价的供应商不得少于</w:t>
      </w:r>
      <w:r>
        <w:rPr>
          <w:rFonts w:ascii="宋体" w:hAnsi="宋体" w:eastAsia="宋体" w:cs="宋体"/>
          <w:color w:val="auto"/>
          <w:spacing w:val="-21"/>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家。最后报价是供应商响应文件的有效组成部分。</w:t>
      </w:r>
    </w:p>
    <w:p w14:paraId="415EF3DE">
      <w:pPr>
        <w:keepNext w:val="0"/>
        <w:keepLines w:val="0"/>
        <w:pageBreakBefore w:val="0"/>
        <w:wordWrap/>
        <w:overflowPunct/>
        <w:topLinePunct w:val="0"/>
        <w:autoSpaceDE w:val="0"/>
        <w:autoSpaceDN w:val="0"/>
        <w:bidi w:val="0"/>
        <w:adjustRightInd w:val="0"/>
        <w:spacing w:line="360" w:lineRule="auto"/>
        <w:ind w:left="0" w:right="0" w:firstLine="444" w:firstLineChars="200"/>
        <w:jc w:val="lef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4.1.5</w:t>
      </w:r>
      <w:r>
        <w:rPr>
          <w:rFonts w:ascii="宋体" w:hAnsi="宋体" w:eastAsia="宋体" w:cs="宋体"/>
          <w:color w:val="auto"/>
          <w:spacing w:val="-16"/>
          <w:sz w:val="20"/>
          <w:szCs w:val="20"/>
          <w:highlight w:val="none"/>
        </w:rPr>
        <w:t xml:space="preserve"> </w:t>
      </w:r>
      <w:r>
        <w:rPr>
          <w:rFonts w:ascii="宋体" w:hAnsi="宋体" w:eastAsia="宋体" w:cs="宋体"/>
          <w:color w:val="auto"/>
          <w:spacing w:val="11"/>
          <w:sz w:val="20"/>
          <w:szCs w:val="20"/>
          <w:highlight w:val="none"/>
        </w:rPr>
        <w:t>已提交响应文件的供应商，在提交最后报价之前，可以根据</w:t>
      </w:r>
      <w:r>
        <w:rPr>
          <w:rFonts w:ascii="宋体" w:hAnsi="宋体" w:eastAsia="宋体" w:cs="宋体"/>
          <w:color w:val="auto"/>
          <w:spacing w:val="10"/>
          <w:sz w:val="20"/>
          <w:szCs w:val="20"/>
          <w:highlight w:val="none"/>
        </w:rPr>
        <w:t>磋商情况退出磋商。采购人、采购代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理机构将退还退出磋商的供应商的磋商保证金（如有）。</w:t>
      </w:r>
    </w:p>
    <w:p w14:paraId="606286AD">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4.1.6</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经磋商确定最终采购内容和提交最后报价的供应商后，由磋商小组采用综合评分法对提交最后报价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的供应商的响应文件和最后报价进行综合评分。</w:t>
      </w:r>
    </w:p>
    <w:p w14:paraId="5ECAFF2B">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pacing w:val="9"/>
          <w:position w:val="15"/>
          <w:sz w:val="20"/>
          <w:szCs w:val="20"/>
          <w:highlight w:val="none"/>
        </w:rPr>
      </w:pPr>
      <w:r>
        <w:rPr>
          <w:rFonts w:ascii="宋体" w:hAnsi="宋体" w:eastAsia="宋体" w:cs="宋体"/>
          <w:color w:val="auto"/>
          <w:spacing w:val="9"/>
          <w:position w:val="15"/>
          <w:sz w:val="20"/>
          <w:szCs w:val="20"/>
          <w:highlight w:val="none"/>
        </w:rPr>
        <w:t>4.2</w:t>
      </w:r>
      <w:r>
        <w:rPr>
          <w:rFonts w:ascii="宋体" w:hAnsi="宋体" w:eastAsia="宋体" w:cs="宋体"/>
          <w:color w:val="auto"/>
          <w:spacing w:val="-41"/>
          <w:position w:val="15"/>
          <w:sz w:val="20"/>
          <w:szCs w:val="20"/>
          <w:highlight w:val="none"/>
        </w:rPr>
        <w:t xml:space="preserve"> </w:t>
      </w:r>
      <w:r>
        <w:rPr>
          <w:rFonts w:ascii="宋体" w:hAnsi="宋体" w:eastAsia="宋体" w:cs="宋体"/>
          <w:color w:val="auto"/>
          <w:spacing w:val="9"/>
          <w:position w:val="15"/>
          <w:sz w:val="20"/>
          <w:szCs w:val="20"/>
          <w:highlight w:val="none"/>
        </w:rPr>
        <w:t>评审严格按照磋商文件的要求和条件进行。</w:t>
      </w:r>
    </w:p>
    <w:p w14:paraId="71DECDCB">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pacing w:val="7"/>
          <w:position w:val="15"/>
          <w:sz w:val="20"/>
          <w:szCs w:val="20"/>
          <w:highlight w:val="none"/>
        </w:rPr>
      </w:pPr>
      <w:r>
        <w:rPr>
          <w:rFonts w:ascii="宋体" w:hAnsi="宋体" w:eastAsia="宋体" w:cs="宋体"/>
          <w:color w:val="auto"/>
          <w:spacing w:val="7"/>
          <w:position w:val="15"/>
          <w:sz w:val="20"/>
          <w:szCs w:val="20"/>
          <w:highlight w:val="none"/>
        </w:rPr>
        <w:t>4.3</w:t>
      </w:r>
      <w:r>
        <w:rPr>
          <w:rFonts w:ascii="宋体" w:hAnsi="宋体" w:eastAsia="宋体" w:cs="宋体"/>
          <w:color w:val="auto"/>
          <w:spacing w:val="-38"/>
          <w:position w:val="15"/>
          <w:sz w:val="20"/>
          <w:szCs w:val="20"/>
          <w:highlight w:val="none"/>
        </w:rPr>
        <w:t xml:space="preserve"> </w:t>
      </w:r>
      <w:r>
        <w:rPr>
          <w:rFonts w:ascii="宋体" w:hAnsi="宋体" w:eastAsia="宋体" w:cs="宋体"/>
          <w:color w:val="auto"/>
          <w:spacing w:val="7"/>
          <w:position w:val="15"/>
          <w:sz w:val="20"/>
          <w:szCs w:val="20"/>
          <w:highlight w:val="none"/>
        </w:rPr>
        <w:t>本次评审将采用下列方法：</w:t>
      </w:r>
    </w:p>
    <w:p w14:paraId="6AC00249">
      <w:pPr>
        <w:keepNext w:val="0"/>
        <w:keepLines w:val="0"/>
        <w:pageBreakBefore w:val="0"/>
        <w:wordWrap/>
        <w:overflowPunct/>
        <w:topLinePunct w:val="0"/>
        <w:autoSpaceDE w:val="0"/>
        <w:autoSpaceDN w:val="0"/>
        <w:bidi w:val="0"/>
        <w:adjustRightInd w:val="0"/>
        <w:spacing w:line="360" w:lineRule="auto"/>
        <w:ind w:left="0" w:right="0" w:firstLine="424" w:firstLineChars="200"/>
        <w:jc w:val="lef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详见评分标准。</w:t>
      </w:r>
    </w:p>
    <w:p w14:paraId="3E27A981">
      <w:pPr>
        <w:keepNext w:val="0"/>
        <w:keepLines w:val="0"/>
        <w:pageBreakBefore w:val="0"/>
        <w:wordWrap/>
        <w:overflowPunct/>
        <w:topLinePunct w:val="0"/>
        <w:autoSpaceDE w:val="0"/>
        <w:autoSpaceDN w:val="0"/>
        <w:bidi w:val="0"/>
        <w:adjustRightInd w:val="0"/>
        <w:spacing w:line="360" w:lineRule="auto"/>
        <w:ind w:left="0" w:right="0" w:firstLine="428" w:firstLineChars="200"/>
        <w:jc w:val="lef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5.评审过程及保密原则</w:t>
      </w:r>
    </w:p>
    <w:p w14:paraId="6B07BAB5">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8"/>
          <w:position w:val="15"/>
          <w:sz w:val="20"/>
          <w:szCs w:val="20"/>
          <w:highlight w:val="none"/>
        </w:rPr>
        <w:t>5.1 磋商响应文件递交后，直接授予成交供应商合同止，凡与本次采购有关人员对属于审查、澄清、评价和比较报价的有关资料以及授标意向等，均不得向供应商或其他无关的人员透露。</w:t>
      </w:r>
    </w:p>
    <w:p w14:paraId="4BD72EFE">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pacing w:val="8"/>
          <w:position w:val="15"/>
          <w:sz w:val="20"/>
          <w:szCs w:val="20"/>
          <w:highlight w:val="none"/>
        </w:rPr>
      </w:pPr>
      <w:r>
        <w:rPr>
          <w:rFonts w:ascii="宋体" w:hAnsi="宋体" w:eastAsia="宋体" w:cs="宋体"/>
          <w:color w:val="auto"/>
          <w:spacing w:val="8"/>
          <w:position w:val="15"/>
          <w:sz w:val="20"/>
          <w:szCs w:val="20"/>
          <w:highlight w:val="none"/>
        </w:rPr>
        <w:t>5.2 在磋商评审期间，供应商试图影响采购人和磋商小组的任何活动，将导致其报价被拒绝，并承担相应的法律责任。</w:t>
      </w:r>
    </w:p>
    <w:p w14:paraId="0F7F66DA">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6.本项目采用综合评分法，评审标准详见附表《磋商评审细则》，</w:t>
      </w:r>
      <w:r>
        <w:rPr>
          <w:rFonts w:ascii="宋体" w:hAnsi="宋体" w:eastAsia="宋体" w:cs="宋体"/>
          <w:color w:val="auto"/>
          <w:spacing w:val="8"/>
          <w:sz w:val="20"/>
          <w:szCs w:val="20"/>
          <w:highlight w:val="none"/>
        </w:rPr>
        <w:t>评审时磋商小组将严格按照评审细则中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的分值设置与评审因素进行量化打分。磋商文件中没有规定的评审标准不得作为评审依据。评审时，磋商小组各成员独立对每个有效响应的文件进行评价、打分，然后汇总每</w:t>
      </w:r>
      <w:r>
        <w:rPr>
          <w:rFonts w:ascii="宋体" w:hAnsi="宋体" w:eastAsia="宋体" w:cs="宋体"/>
          <w:color w:val="auto"/>
          <w:spacing w:val="8"/>
          <w:sz w:val="20"/>
          <w:szCs w:val="20"/>
          <w:highlight w:val="none"/>
        </w:rPr>
        <w:t>个供应商每项评分</w:t>
      </w:r>
      <w:r>
        <w:rPr>
          <w:rFonts w:ascii="宋体" w:hAnsi="宋体" w:eastAsia="宋体" w:cs="宋体"/>
          <w:color w:val="auto"/>
          <w:spacing w:val="4"/>
          <w:sz w:val="20"/>
          <w:szCs w:val="20"/>
          <w:highlight w:val="none"/>
        </w:rPr>
        <w:t>因素的得分。</w:t>
      </w:r>
    </w:p>
    <w:p w14:paraId="1B5E525A">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7.磋商小组根据综合评分情况，按照评审得分由高到低顺序推荐</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名以上成交候选供应商</w:t>
      </w:r>
      <w:r>
        <w:rPr>
          <w:rFonts w:ascii="宋体" w:hAnsi="宋体" w:eastAsia="宋体" w:cs="宋体"/>
          <w:color w:val="auto"/>
          <w:spacing w:val="8"/>
          <w:sz w:val="20"/>
          <w:szCs w:val="20"/>
          <w:highlight w:val="none"/>
        </w:rPr>
        <w:t>，并编写评审报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告。评审得分相同的，按照最后报价由低到高的顺序推荐。</w:t>
      </w:r>
      <w:r>
        <w:rPr>
          <w:rFonts w:ascii="宋体" w:hAnsi="宋体" w:eastAsia="宋体" w:cs="宋体"/>
          <w:color w:val="auto"/>
          <w:spacing w:val="7"/>
          <w:sz w:val="20"/>
          <w:szCs w:val="20"/>
          <w:highlight w:val="none"/>
        </w:rPr>
        <w:t>评审得分且最后报价相同的，按照技术部分优劣顺</w:t>
      </w:r>
      <w:r>
        <w:rPr>
          <w:rFonts w:ascii="宋体" w:hAnsi="宋体" w:eastAsia="宋体" w:cs="宋体"/>
          <w:color w:val="auto"/>
          <w:spacing w:val="5"/>
          <w:sz w:val="20"/>
          <w:szCs w:val="20"/>
          <w:highlight w:val="none"/>
        </w:rPr>
        <w:t>序推荐。</w:t>
      </w:r>
    </w:p>
    <w:p w14:paraId="6622235C">
      <w:pPr>
        <w:keepNext w:val="0"/>
        <w:keepLines w:val="0"/>
        <w:pageBreakBefore w:val="0"/>
        <w:wordWrap/>
        <w:overflowPunct/>
        <w:topLinePunct w:val="0"/>
        <w:autoSpaceDE w:val="0"/>
        <w:autoSpaceDN w:val="0"/>
        <w:bidi w:val="0"/>
        <w:adjustRightInd w:val="0"/>
        <w:spacing w:line="360" w:lineRule="auto"/>
        <w:ind w:left="0" w:right="0"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lang w:val="en-US" w:eastAsia="en-US"/>
        </w:rPr>
        <w:t>8.</w:t>
      </w:r>
      <w:r>
        <w:rPr>
          <w:rFonts w:ascii="宋体" w:hAnsi="宋体" w:eastAsia="宋体" w:cs="宋体"/>
          <w:color w:val="auto"/>
          <w:spacing w:val="9"/>
          <w:sz w:val="20"/>
          <w:szCs w:val="20"/>
          <w:highlight w:val="none"/>
        </w:rPr>
        <w:t>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3E61E814">
      <w:pPr>
        <w:keepNext w:val="0"/>
        <w:keepLines w:val="0"/>
        <w:pageBreakBefore w:val="0"/>
        <w:wordWrap/>
        <w:overflowPunct/>
        <w:topLinePunct w:val="0"/>
        <w:autoSpaceDE w:val="0"/>
        <w:autoSpaceDN w:val="0"/>
        <w:bidi w:val="0"/>
        <w:adjustRightInd w:val="0"/>
        <w:spacing w:line="360" w:lineRule="auto"/>
        <w:ind w:left="0" w:right="0" w:firstLine="432" w:firstLineChars="2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 磋商小组完成评标后，应当向采购人提交书面评标报告。</w:t>
      </w:r>
    </w:p>
    <w:p w14:paraId="2B02BFE8">
      <w:pPr>
        <w:spacing w:line="227" w:lineRule="auto"/>
        <w:rPr>
          <w:rFonts w:ascii="宋体" w:hAnsi="宋体" w:eastAsia="宋体" w:cs="宋体"/>
          <w:color w:val="auto"/>
          <w:sz w:val="20"/>
          <w:szCs w:val="20"/>
          <w:highlight w:val="none"/>
        </w:rPr>
        <w:sectPr>
          <w:footerReference r:id="rId9" w:type="default"/>
          <w:pgSz w:w="11906" w:h="16839"/>
          <w:pgMar w:top="1334" w:right="964" w:bottom="1156" w:left="972" w:header="0" w:footer="992" w:gutter="0"/>
          <w:pgNumType w:fmt="decimal"/>
          <w:cols w:space="720" w:num="1"/>
        </w:sectPr>
      </w:pPr>
    </w:p>
    <w:p w14:paraId="0BA04C0F">
      <w:pPr>
        <w:spacing w:before="89" w:line="223" w:lineRule="auto"/>
        <w:ind w:left="3173"/>
        <w:outlineLvl w:val="0"/>
        <w:rPr>
          <w:rFonts w:ascii="宋体" w:hAnsi="宋体" w:eastAsia="宋体" w:cs="宋体"/>
          <w:color w:val="auto"/>
          <w:sz w:val="43"/>
          <w:szCs w:val="43"/>
          <w:highlight w:val="none"/>
        </w:rPr>
      </w:pPr>
      <w:bookmarkStart w:id="23" w:name="_Toc9538"/>
      <w:r>
        <w:rPr>
          <w:rFonts w:ascii="宋体" w:hAnsi="宋体" w:eastAsia="宋体" w:cs="宋体"/>
          <w:color w:val="auto"/>
          <w:spacing w:val="8"/>
          <w:sz w:val="43"/>
          <w:szCs w:val="43"/>
          <w:highlight w:val="none"/>
          <w14:textOutline w14:w="7972" w14:cap="sq" w14:cmpd="sng">
            <w14:solidFill>
              <w14:srgbClr w14:val="000000"/>
            </w14:solidFill>
            <w14:prstDash w14:val="solid"/>
            <w14:bevel/>
          </w14:textOutline>
        </w:rPr>
        <w:t>第三章</w:t>
      </w:r>
      <w:r>
        <w:rPr>
          <w:rFonts w:ascii="宋体" w:hAnsi="宋体" w:eastAsia="宋体" w:cs="宋体"/>
          <w:color w:val="auto"/>
          <w:spacing w:val="8"/>
          <w:sz w:val="43"/>
          <w:szCs w:val="43"/>
          <w:highlight w:val="none"/>
        </w:rPr>
        <w:t xml:space="preserve"> </w:t>
      </w:r>
      <w:r>
        <w:rPr>
          <w:rFonts w:ascii="宋体" w:hAnsi="宋体" w:eastAsia="宋体" w:cs="宋体"/>
          <w:color w:val="auto"/>
          <w:spacing w:val="8"/>
          <w:sz w:val="43"/>
          <w:szCs w:val="43"/>
          <w:highlight w:val="none"/>
          <w14:textOutline w14:w="7972" w14:cap="sq" w14:cmpd="sng">
            <w14:solidFill>
              <w14:srgbClr w14:val="000000"/>
            </w14:solidFill>
            <w14:prstDash w14:val="solid"/>
            <w14:bevel/>
          </w14:textOutline>
        </w:rPr>
        <w:t>磋商评审细则</w:t>
      </w:r>
      <w:bookmarkEnd w:id="23"/>
    </w:p>
    <w:p w14:paraId="45420E9A">
      <w:pPr>
        <w:spacing w:before="241" w:line="221" w:lineRule="auto"/>
        <w:ind w:left="3411"/>
        <w:outlineLvl w:val="1"/>
        <w:rPr>
          <w:rFonts w:ascii="宋体" w:hAnsi="宋体" w:eastAsia="宋体" w:cs="宋体"/>
          <w:color w:val="auto"/>
          <w:sz w:val="28"/>
          <w:szCs w:val="28"/>
          <w:highlight w:val="none"/>
        </w:rPr>
      </w:pPr>
      <w:bookmarkStart w:id="24" w:name="_Toc7571"/>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（一）形式、资格及响应性审查</w:t>
      </w:r>
      <w:bookmarkEnd w:id="24"/>
    </w:p>
    <w:p w14:paraId="56B9317D">
      <w:pPr>
        <w:spacing w:line="118" w:lineRule="exact"/>
        <w:rPr>
          <w:color w:val="auto"/>
          <w:highlight w:val="none"/>
        </w:rPr>
      </w:pPr>
    </w:p>
    <w:tbl>
      <w:tblPr>
        <w:tblStyle w:val="15"/>
        <w:tblW w:w="10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1928"/>
        <w:gridCol w:w="7832"/>
      </w:tblGrid>
      <w:tr w14:paraId="2425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93" w:type="dxa"/>
            <w:gridSpan w:val="2"/>
            <w:vAlign w:val="top"/>
          </w:tcPr>
          <w:p w14:paraId="761877C0">
            <w:pPr>
              <w:pStyle w:val="16"/>
              <w:spacing w:before="134" w:line="228" w:lineRule="auto"/>
              <w:ind w:left="1032"/>
              <w:rPr>
                <w:color w:val="auto"/>
                <w:highlight w:val="none"/>
              </w:rPr>
            </w:pPr>
            <w:r>
              <w:rPr>
                <w:color w:val="auto"/>
                <w:spacing w:val="7"/>
                <w:highlight w:val="none"/>
              </w:rPr>
              <w:t>评审因素</w:t>
            </w:r>
          </w:p>
        </w:tc>
        <w:tc>
          <w:tcPr>
            <w:tcW w:w="7832" w:type="dxa"/>
            <w:vAlign w:val="top"/>
          </w:tcPr>
          <w:p w14:paraId="743B2777">
            <w:pPr>
              <w:pStyle w:val="16"/>
              <w:spacing w:before="134" w:line="229" w:lineRule="auto"/>
              <w:ind w:left="3498"/>
              <w:rPr>
                <w:color w:val="auto"/>
                <w:highlight w:val="none"/>
              </w:rPr>
            </w:pPr>
            <w:r>
              <w:rPr>
                <w:color w:val="auto"/>
                <w:spacing w:val="7"/>
                <w:highlight w:val="none"/>
              </w:rPr>
              <w:t>评审标准</w:t>
            </w:r>
          </w:p>
        </w:tc>
      </w:tr>
      <w:tr w14:paraId="0E9FA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65" w:type="dxa"/>
            <w:vMerge w:val="restart"/>
            <w:tcBorders>
              <w:bottom w:val="nil"/>
            </w:tcBorders>
            <w:vAlign w:val="top"/>
          </w:tcPr>
          <w:p w14:paraId="6653CAE9">
            <w:pPr>
              <w:spacing w:line="338" w:lineRule="auto"/>
              <w:rPr>
                <w:rFonts w:ascii="Arial"/>
                <w:color w:val="auto"/>
                <w:sz w:val="21"/>
                <w:highlight w:val="none"/>
              </w:rPr>
            </w:pPr>
          </w:p>
          <w:p w14:paraId="26F3E09C">
            <w:pPr>
              <w:spacing w:line="339" w:lineRule="auto"/>
              <w:rPr>
                <w:rFonts w:ascii="Arial"/>
                <w:color w:val="auto"/>
                <w:sz w:val="21"/>
                <w:highlight w:val="none"/>
              </w:rPr>
            </w:pPr>
          </w:p>
          <w:p w14:paraId="4302AFF5">
            <w:pPr>
              <w:pStyle w:val="16"/>
              <w:spacing w:before="65" w:line="468" w:lineRule="exact"/>
              <w:ind w:left="174"/>
              <w:rPr>
                <w:color w:val="auto"/>
                <w:highlight w:val="none"/>
              </w:rPr>
            </w:pPr>
            <w:r>
              <w:rPr>
                <w:color w:val="auto"/>
                <w:spacing w:val="6"/>
                <w:position w:val="20"/>
                <w:highlight w:val="none"/>
              </w:rPr>
              <w:t>形式评</w:t>
            </w:r>
          </w:p>
          <w:p w14:paraId="758AF486">
            <w:pPr>
              <w:pStyle w:val="16"/>
              <w:spacing w:line="229" w:lineRule="auto"/>
              <w:ind w:left="178"/>
              <w:rPr>
                <w:color w:val="auto"/>
                <w:highlight w:val="none"/>
              </w:rPr>
            </w:pPr>
            <w:r>
              <w:rPr>
                <w:color w:val="auto"/>
                <w:spacing w:val="4"/>
                <w:highlight w:val="none"/>
              </w:rPr>
              <w:t>审标准</w:t>
            </w:r>
          </w:p>
        </w:tc>
        <w:tc>
          <w:tcPr>
            <w:tcW w:w="1928" w:type="dxa"/>
            <w:vAlign w:val="top"/>
          </w:tcPr>
          <w:p w14:paraId="2E54AAB1">
            <w:pPr>
              <w:pStyle w:val="16"/>
              <w:spacing w:before="155" w:line="228" w:lineRule="auto"/>
              <w:ind w:left="442"/>
              <w:rPr>
                <w:color w:val="auto"/>
                <w:highlight w:val="none"/>
              </w:rPr>
            </w:pPr>
            <w:r>
              <w:rPr>
                <w:color w:val="auto"/>
                <w:spacing w:val="8"/>
                <w:highlight w:val="none"/>
              </w:rPr>
              <w:t>供应商名称</w:t>
            </w:r>
          </w:p>
        </w:tc>
        <w:tc>
          <w:tcPr>
            <w:tcW w:w="7832" w:type="dxa"/>
            <w:vAlign w:val="top"/>
          </w:tcPr>
          <w:p w14:paraId="5D94FC46">
            <w:pPr>
              <w:pStyle w:val="16"/>
              <w:spacing w:before="155" w:line="228" w:lineRule="auto"/>
              <w:ind w:left="117"/>
              <w:rPr>
                <w:color w:val="auto"/>
                <w:highlight w:val="none"/>
              </w:rPr>
            </w:pPr>
            <w:r>
              <w:rPr>
                <w:color w:val="auto"/>
                <w:spacing w:val="8"/>
                <w:highlight w:val="none"/>
              </w:rPr>
              <w:t>与营业执照一致。</w:t>
            </w:r>
          </w:p>
        </w:tc>
      </w:tr>
      <w:tr w14:paraId="76003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5" w:type="dxa"/>
            <w:vMerge w:val="continue"/>
            <w:tcBorders>
              <w:top w:val="nil"/>
              <w:bottom w:val="nil"/>
            </w:tcBorders>
            <w:vAlign w:val="top"/>
          </w:tcPr>
          <w:p w14:paraId="038707C2">
            <w:pPr>
              <w:rPr>
                <w:rFonts w:ascii="Arial"/>
                <w:color w:val="auto"/>
                <w:sz w:val="21"/>
                <w:highlight w:val="none"/>
              </w:rPr>
            </w:pPr>
          </w:p>
        </w:tc>
        <w:tc>
          <w:tcPr>
            <w:tcW w:w="1928" w:type="dxa"/>
            <w:vAlign w:val="top"/>
          </w:tcPr>
          <w:p w14:paraId="583D2CCD">
            <w:pPr>
              <w:pStyle w:val="16"/>
              <w:spacing w:before="79" w:line="312" w:lineRule="exact"/>
              <w:ind w:left="446"/>
              <w:rPr>
                <w:color w:val="auto"/>
                <w:highlight w:val="none"/>
              </w:rPr>
            </w:pPr>
            <w:r>
              <w:rPr>
                <w:color w:val="auto"/>
                <w:spacing w:val="7"/>
                <w:position w:val="7"/>
                <w:highlight w:val="none"/>
              </w:rPr>
              <w:t>首次报价函</w:t>
            </w:r>
          </w:p>
          <w:p w14:paraId="004FFACD">
            <w:pPr>
              <w:pStyle w:val="16"/>
              <w:spacing w:line="227" w:lineRule="auto"/>
              <w:ind w:left="548"/>
              <w:rPr>
                <w:color w:val="auto"/>
                <w:highlight w:val="none"/>
              </w:rPr>
            </w:pPr>
            <w:r>
              <w:rPr>
                <w:color w:val="auto"/>
                <w:spacing w:val="7"/>
                <w:highlight w:val="none"/>
              </w:rPr>
              <w:t>签字盖章</w:t>
            </w:r>
          </w:p>
        </w:tc>
        <w:tc>
          <w:tcPr>
            <w:tcW w:w="7832" w:type="dxa"/>
            <w:vAlign w:val="top"/>
          </w:tcPr>
          <w:p w14:paraId="49194611">
            <w:pPr>
              <w:pStyle w:val="16"/>
              <w:spacing w:before="235" w:line="227" w:lineRule="auto"/>
              <w:ind w:left="111"/>
              <w:rPr>
                <w:color w:val="auto"/>
                <w:highlight w:val="none"/>
              </w:rPr>
            </w:pPr>
            <w:r>
              <w:rPr>
                <w:color w:val="auto"/>
                <w:spacing w:val="9"/>
                <w:highlight w:val="none"/>
              </w:rPr>
              <w:t>报价函均应加盖供应商印章并经法定代表人或其委托代理人签字或盖章。</w:t>
            </w:r>
          </w:p>
        </w:tc>
      </w:tr>
      <w:tr w14:paraId="0AD6C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65" w:type="dxa"/>
            <w:vMerge w:val="continue"/>
            <w:tcBorders>
              <w:top w:val="nil"/>
              <w:bottom w:val="nil"/>
            </w:tcBorders>
            <w:vAlign w:val="top"/>
          </w:tcPr>
          <w:p w14:paraId="5E1AC428">
            <w:pPr>
              <w:rPr>
                <w:rFonts w:ascii="Arial"/>
                <w:color w:val="auto"/>
                <w:sz w:val="21"/>
                <w:highlight w:val="none"/>
              </w:rPr>
            </w:pPr>
          </w:p>
        </w:tc>
        <w:tc>
          <w:tcPr>
            <w:tcW w:w="1928" w:type="dxa"/>
            <w:vAlign w:val="top"/>
          </w:tcPr>
          <w:p w14:paraId="066E88F9">
            <w:pPr>
              <w:pStyle w:val="16"/>
              <w:spacing w:before="132" w:line="228" w:lineRule="auto"/>
              <w:ind w:left="348"/>
              <w:rPr>
                <w:color w:val="auto"/>
                <w:highlight w:val="none"/>
              </w:rPr>
            </w:pPr>
            <w:r>
              <w:rPr>
                <w:color w:val="auto"/>
                <w:spacing w:val="6"/>
                <w:highlight w:val="none"/>
              </w:rPr>
              <w:t>响应文件格式</w:t>
            </w:r>
          </w:p>
        </w:tc>
        <w:tc>
          <w:tcPr>
            <w:tcW w:w="7832" w:type="dxa"/>
            <w:vAlign w:val="top"/>
          </w:tcPr>
          <w:p w14:paraId="03FCDB2C">
            <w:pPr>
              <w:pStyle w:val="16"/>
              <w:spacing w:before="132" w:line="228" w:lineRule="auto"/>
              <w:ind w:left="115"/>
              <w:rPr>
                <w:color w:val="auto"/>
                <w:highlight w:val="none"/>
              </w:rPr>
            </w:pPr>
            <w:r>
              <w:rPr>
                <w:color w:val="auto"/>
                <w:spacing w:val="8"/>
                <w:highlight w:val="none"/>
              </w:rPr>
              <w:t>符合磋商文件中 “响应文件格式</w:t>
            </w:r>
            <w:r>
              <w:rPr>
                <w:color w:val="auto"/>
                <w:spacing w:val="-60"/>
                <w:highlight w:val="none"/>
              </w:rPr>
              <w:t xml:space="preserve"> </w:t>
            </w:r>
            <w:r>
              <w:rPr>
                <w:color w:val="auto"/>
                <w:spacing w:val="8"/>
                <w:highlight w:val="none"/>
              </w:rPr>
              <w:t>”的要求，按磋商文件的要求盖章、签署。</w:t>
            </w:r>
          </w:p>
        </w:tc>
      </w:tr>
      <w:tr w14:paraId="4640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5" w:type="dxa"/>
            <w:vMerge w:val="continue"/>
            <w:tcBorders>
              <w:top w:val="nil"/>
            </w:tcBorders>
            <w:vAlign w:val="top"/>
          </w:tcPr>
          <w:p w14:paraId="1E3D9771">
            <w:pPr>
              <w:rPr>
                <w:rFonts w:ascii="Arial"/>
                <w:color w:val="auto"/>
                <w:sz w:val="21"/>
                <w:highlight w:val="none"/>
              </w:rPr>
            </w:pPr>
          </w:p>
        </w:tc>
        <w:tc>
          <w:tcPr>
            <w:tcW w:w="1928" w:type="dxa"/>
            <w:vAlign w:val="top"/>
          </w:tcPr>
          <w:p w14:paraId="1C1430B4">
            <w:pPr>
              <w:pStyle w:val="16"/>
              <w:spacing w:before="132" w:line="227" w:lineRule="auto"/>
              <w:ind w:left="546"/>
              <w:rPr>
                <w:color w:val="auto"/>
                <w:highlight w:val="none"/>
              </w:rPr>
            </w:pPr>
            <w:r>
              <w:rPr>
                <w:color w:val="auto"/>
                <w:spacing w:val="8"/>
                <w:highlight w:val="none"/>
              </w:rPr>
              <w:t>报价唯一</w:t>
            </w:r>
          </w:p>
        </w:tc>
        <w:tc>
          <w:tcPr>
            <w:tcW w:w="7832" w:type="dxa"/>
            <w:vAlign w:val="top"/>
          </w:tcPr>
          <w:p w14:paraId="7D4EA458">
            <w:pPr>
              <w:pStyle w:val="16"/>
              <w:spacing w:before="132" w:line="227" w:lineRule="auto"/>
              <w:ind w:left="113"/>
              <w:rPr>
                <w:color w:val="auto"/>
                <w:highlight w:val="none"/>
              </w:rPr>
            </w:pPr>
            <w:r>
              <w:rPr>
                <w:color w:val="auto"/>
                <w:spacing w:val="8"/>
                <w:highlight w:val="none"/>
              </w:rPr>
              <w:t>每轮报价只能有一个有效报价。</w:t>
            </w:r>
          </w:p>
        </w:tc>
      </w:tr>
      <w:tr w14:paraId="5F688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25" w:type="dxa"/>
            <w:gridSpan w:val="3"/>
            <w:vAlign w:val="top"/>
          </w:tcPr>
          <w:p w14:paraId="4E945DE1">
            <w:pPr>
              <w:pStyle w:val="16"/>
              <w:spacing w:before="131" w:line="228" w:lineRule="auto"/>
              <w:ind w:left="116"/>
              <w:rPr>
                <w:color w:val="auto"/>
                <w:highlight w:val="none"/>
              </w:rPr>
            </w:pPr>
            <w:r>
              <w:rPr>
                <w:color w:val="auto"/>
                <w:spacing w:val="10"/>
                <w:highlight w:val="none"/>
              </w:rPr>
              <w:t>注：供应商有一项不满足形式评审标准的，</w:t>
            </w:r>
            <w:r>
              <w:rPr>
                <w:color w:val="auto"/>
                <w:spacing w:val="9"/>
                <w:highlight w:val="none"/>
              </w:rPr>
              <w:t>其响应文件将被否决，不再进入后续资格评审。</w:t>
            </w:r>
          </w:p>
        </w:tc>
      </w:tr>
      <w:tr w14:paraId="4EDD8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65" w:type="dxa"/>
            <w:vMerge w:val="restart"/>
            <w:vAlign w:val="center"/>
          </w:tcPr>
          <w:p w14:paraId="011C47A1">
            <w:pPr>
              <w:pStyle w:val="16"/>
              <w:spacing w:before="65" w:line="468" w:lineRule="exact"/>
              <w:ind w:left="180"/>
              <w:jc w:val="center"/>
              <w:rPr>
                <w:color w:val="auto"/>
                <w:highlight w:val="none"/>
              </w:rPr>
            </w:pPr>
            <w:r>
              <w:rPr>
                <w:color w:val="auto"/>
                <w:spacing w:val="3"/>
                <w:position w:val="20"/>
                <w:highlight w:val="none"/>
              </w:rPr>
              <w:t>资格评</w:t>
            </w:r>
          </w:p>
          <w:p w14:paraId="2D2534CD">
            <w:pPr>
              <w:pStyle w:val="16"/>
              <w:spacing w:line="229" w:lineRule="auto"/>
              <w:ind w:left="178"/>
              <w:jc w:val="center"/>
              <w:rPr>
                <w:color w:val="auto"/>
                <w:highlight w:val="none"/>
              </w:rPr>
            </w:pPr>
            <w:r>
              <w:rPr>
                <w:color w:val="auto"/>
                <w:spacing w:val="4"/>
                <w:highlight w:val="none"/>
              </w:rPr>
              <w:t>审标准</w:t>
            </w:r>
          </w:p>
        </w:tc>
        <w:tc>
          <w:tcPr>
            <w:tcW w:w="1928" w:type="dxa"/>
            <w:vAlign w:val="top"/>
          </w:tcPr>
          <w:p w14:paraId="7172785F">
            <w:pPr>
              <w:pStyle w:val="16"/>
              <w:spacing w:before="165" w:line="228" w:lineRule="auto"/>
              <w:ind w:left="555"/>
              <w:rPr>
                <w:color w:val="auto"/>
                <w:highlight w:val="none"/>
              </w:rPr>
            </w:pPr>
            <w:r>
              <w:rPr>
                <w:color w:val="auto"/>
                <w:spacing w:val="5"/>
                <w:highlight w:val="none"/>
              </w:rPr>
              <w:t>营业执照</w:t>
            </w:r>
          </w:p>
        </w:tc>
        <w:tc>
          <w:tcPr>
            <w:tcW w:w="7832" w:type="dxa"/>
            <w:vAlign w:val="top"/>
          </w:tcPr>
          <w:p w14:paraId="2C2E5D90">
            <w:pPr>
              <w:pStyle w:val="16"/>
              <w:spacing w:before="164" w:line="228" w:lineRule="auto"/>
              <w:ind w:left="117"/>
              <w:rPr>
                <w:color w:val="auto"/>
                <w:highlight w:val="none"/>
              </w:rPr>
            </w:pPr>
            <w:r>
              <w:rPr>
                <w:color w:val="auto"/>
                <w:spacing w:val="9"/>
                <w:highlight w:val="none"/>
              </w:rPr>
              <w:t>具有有效营业执照副本，</w:t>
            </w:r>
            <w:r>
              <w:rPr>
                <w:color w:val="auto"/>
                <w:spacing w:val="9"/>
                <w:highlight w:val="none"/>
                <w14:textOutline w14:w="3795" w14:cap="sq" w14:cmpd="sng">
                  <w14:solidFill>
                    <w14:srgbClr w14:val="000000"/>
                  </w14:solidFill>
                  <w14:prstDash w14:val="solid"/>
                  <w14:bevel/>
                </w14:textOutline>
              </w:rPr>
              <w:t>标书内附营业执照副本复印件加盖公章</w:t>
            </w:r>
            <w:r>
              <w:rPr>
                <w:color w:val="auto"/>
                <w:spacing w:val="9"/>
                <w:highlight w:val="none"/>
              </w:rPr>
              <w:t>。</w:t>
            </w:r>
          </w:p>
        </w:tc>
      </w:tr>
      <w:tr w14:paraId="6DAC4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965" w:type="dxa"/>
            <w:vMerge w:val="continue"/>
            <w:vAlign w:val="top"/>
          </w:tcPr>
          <w:p w14:paraId="082580A0">
            <w:pPr>
              <w:rPr>
                <w:rFonts w:ascii="Arial"/>
                <w:color w:val="auto"/>
                <w:sz w:val="21"/>
                <w:highlight w:val="none"/>
              </w:rPr>
            </w:pPr>
          </w:p>
        </w:tc>
        <w:tc>
          <w:tcPr>
            <w:tcW w:w="1928" w:type="dxa"/>
            <w:vAlign w:val="top"/>
          </w:tcPr>
          <w:p w14:paraId="648BD36D">
            <w:pPr>
              <w:rPr>
                <w:rFonts w:ascii="Arial"/>
                <w:color w:val="auto"/>
                <w:sz w:val="21"/>
                <w:highlight w:val="none"/>
              </w:rPr>
            </w:pPr>
          </w:p>
          <w:p w14:paraId="6E617BBF">
            <w:pPr>
              <w:rPr>
                <w:rFonts w:ascii="Arial"/>
                <w:color w:val="auto"/>
                <w:sz w:val="21"/>
                <w:highlight w:val="none"/>
              </w:rPr>
            </w:pPr>
          </w:p>
          <w:p w14:paraId="58643160">
            <w:pPr>
              <w:rPr>
                <w:rFonts w:ascii="Arial"/>
                <w:color w:val="auto"/>
                <w:sz w:val="21"/>
                <w:highlight w:val="none"/>
              </w:rPr>
            </w:pPr>
          </w:p>
          <w:p w14:paraId="2A135663">
            <w:pPr>
              <w:rPr>
                <w:rFonts w:ascii="Arial"/>
                <w:color w:val="auto"/>
                <w:sz w:val="21"/>
                <w:highlight w:val="none"/>
              </w:rPr>
            </w:pPr>
          </w:p>
          <w:p w14:paraId="41EDE7D0">
            <w:pPr>
              <w:rPr>
                <w:rFonts w:ascii="Arial"/>
                <w:color w:val="auto"/>
                <w:sz w:val="21"/>
                <w:highlight w:val="none"/>
              </w:rPr>
            </w:pPr>
          </w:p>
          <w:p w14:paraId="10D62EB5">
            <w:pPr>
              <w:rPr>
                <w:rFonts w:ascii="Arial"/>
                <w:color w:val="auto"/>
                <w:sz w:val="21"/>
                <w:highlight w:val="none"/>
              </w:rPr>
            </w:pPr>
          </w:p>
          <w:p w14:paraId="1D9BAF94">
            <w:pPr>
              <w:rPr>
                <w:rFonts w:ascii="Arial"/>
                <w:color w:val="auto"/>
                <w:sz w:val="21"/>
                <w:highlight w:val="none"/>
              </w:rPr>
            </w:pPr>
          </w:p>
          <w:p w14:paraId="06694501">
            <w:pPr>
              <w:rPr>
                <w:rFonts w:ascii="Arial"/>
                <w:color w:val="auto"/>
                <w:sz w:val="21"/>
                <w:highlight w:val="none"/>
              </w:rPr>
            </w:pPr>
          </w:p>
          <w:p w14:paraId="2A0DF7BC">
            <w:pPr>
              <w:spacing w:line="241" w:lineRule="auto"/>
              <w:rPr>
                <w:rFonts w:ascii="Arial"/>
                <w:color w:val="auto"/>
                <w:sz w:val="21"/>
                <w:highlight w:val="none"/>
              </w:rPr>
            </w:pPr>
          </w:p>
          <w:p w14:paraId="44E2620D">
            <w:pPr>
              <w:pStyle w:val="16"/>
              <w:spacing w:before="65" w:line="228" w:lineRule="auto"/>
              <w:ind w:left="548"/>
              <w:rPr>
                <w:color w:val="auto"/>
                <w:highlight w:val="none"/>
              </w:rPr>
            </w:pPr>
            <w:r>
              <w:rPr>
                <w:color w:val="auto"/>
                <w:spacing w:val="7"/>
                <w:highlight w:val="none"/>
              </w:rPr>
              <w:t>信誉要求</w:t>
            </w:r>
          </w:p>
        </w:tc>
        <w:tc>
          <w:tcPr>
            <w:tcW w:w="7832" w:type="dxa"/>
            <w:vAlign w:val="top"/>
          </w:tcPr>
          <w:p w14:paraId="41B9D077">
            <w:pPr>
              <w:pStyle w:val="16"/>
              <w:spacing w:before="132" w:line="432" w:lineRule="auto"/>
              <w:ind w:left="114" w:right="108"/>
              <w:jc w:val="both"/>
              <w:rPr>
                <w:color w:val="auto"/>
                <w:spacing w:val="16"/>
                <w:highlight w:val="none"/>
              </w:rPr>
            </w:pPr>
            <w:r>
              <w:rPr>
                <w:color w:val="auto"/>
                <w:spacing w:val="11"/>
                <w:highlight w:val="none"/>
              </w:rPr>
              <w:t>参加政府采购活动前三年内，在经营活动中没有重大违法记录；拒绝列入政府取消</w:t>
            </w:r>
            <w:r>
              <w:rPr>
                <w:color w:val="auto"/>
                <w:spacing w:val="-5"/>
                <w:highlight w:val="none"/>
              </w:rPr>
              <w:t>投标资格记录期间的企业或个人投标；对在“信用中国”网站</w:t>
            </w:r>
            <w:r>
              <w:rPr>
                <w:color w:val="auto"/>
                <w:spacing w:val="14"/>
                <w:highlight w:val="none"/>
              </w:rPr>
              <w:t>(</w:t>
            </w:r>
            <w:r>
              <w:rPr>
                <w:color w:val="auto"/>
                <w:highlight w:val="none"/>
              </w:rPr>
              <w:t>www</w:t>
            </w:r>
            <w:r>
              <w:rPr>
                <w:color w:val="auto"/>
                <w:spacing w:val="14"/>
                <w:highlight w:val="none"/>
              </w:rPr>
              <w:t>.</w:t>
            </w:r>
            <w:r>
              <w:rPr>
                <w:color w:val="auto"/>
                <w:highlight w:val="none"/>
              </w:rPr>
              <w:t>creditchina</w:t>
            </w:r>
            <w:r>
              <w:rPr>
                <w:color w:val="auto"/>
                <w:spacing w:val="14"/>
                <w:highlight w:val="none"/>
              </w:rPr>
              <w:t>.</w:t>
            </w:r>
            <w:r>
              <w:rPr>
                <w:color w:val="auto"/>
                <w:highlight w:val="none"/>
              </w:rPr>
              <w:t>gov</w:t>
            </w:r>
            <w:r>
              <w:rPr>
                <w:color w:val="auto"/>
                <w:spacing w:val="14"/>
                <w:highlight w:val="none"/>
              </w:rPr>
              <w:t>.</w:t>
            </w:r>
            <w:r>
              <w:rPr>
                <w:color w:val="auto"/>
                <w:highlight w:val="none"/>
              </w:rPr>
              <w:t>cn</w:t>
            </w:r>
            <w:r>
              <w:rPr>
                <w:color w:val="auto"/>
                <w:spacing w:val="14"/>
                <w:highlight w:val="none"/>
              </w:rPr>
              <w:t>)存在失信被执行人、重大税收违法失信主体、</w:t>
            </w:r>
            <w:r>
              <w:rPr>
                <w:color w:val="auto"/>
                <w:spacing w:val="13"/>
                <w:highlight w:val="none"/>
              </w:rPr>
              <w:t>政府采购</w:t>
            </w:r>
            <w:r>
              <w:rPr>
                <w:color w:val="auto"/>
                <w:spacing w:val="9"/>
                <w:highlight w:val="none"/>
              </w:rPr>
              <w:t>严重违法失信行为记录名单，被中国政府采购网(</w:t>
            </w:r>
            <w:r>
              <w:rPr>
                <w:color w:val="auto"/>
                <w:highlight w:val="none"/>
              </w:rPr>
              <w:t>www</w:t>
            </w:r>
            <w:r>
              <w:rPr>
                <w:color w:val="auto"/>
                <w:spacing w:val="9"/>
                <w:highlight w:val="none"/>
              </w:rPr>
              <w:t>.</w:t>
            </w:r>
            <w:r>
              <w:rPr>
                <w:color w:val="auto"/>
                <w:highlight w:val="none"/>
              </w:rPr>
              <w:t>ccgp</w:t>
            </w:r>
            <w:r>
              <w:rPr>
                <w:color w:val="auto"/>
                <w:spacing w:val="9"/>
                <w:highlight w:val="none"/>
              </w:rPr>
              <w:t>.</w:t>
            </w:r>
            <w:r>
              <w:rPr>
                <w:color w:val="auto"/>
                <w:highlight w:val="none"/>
              </w:rPr>
              <w:t>gov</w:t>
            </w:r>
            <w:r>
              <w:rPr>
                <w:color w:val="auto"/>
                <w:spacing w:val="9"/>
                <w:highlight w:val="none"/>
              </w:rPr>
              <w:t>.</w:t>
            </w:r>
            <w:r>
              <w:rPr>
                <w:color w:val="auto"/>
                <w:highlight w:val="none"/>
              </w:rPr>
              <w:t>cn</w:t>
            </w:r>
            <w:r>
              <w:rPr>
                <w:color w:val="auto"/>
                <w:spacing w:val="9"/>
                <w:highlight w:val="none"/>
              </w:rPr>
              <w:t>)列入政府采购严重违法失信行为记录名单（详见财库[2016]125号文件</w:t>
            </w:r>
            <w:r>
              <w:rPr>
                <w:color w:val="auto"/>
                <w:spacing w:val="25"/>
                <w:highlight w:val="none"/>
              </w:rPr>
              <w:t>），</w:t>
            </w:r>
            <w:r>
              <w:rPr>
                <w:color w:val="auto"/>
                <w:spacing w:val="9"/>
                <w:highlight w:val="none"/>
              </w:rPr>
              <w:t>被工商行政管理机关在</w:t>
            </w:r>
            <w:r>
              <w:rPr>
                <w:color w:val="auto"/>
                <w:spacing w:val="11"/>
                <w:highlight w:val="none"/>
              </w:rPr>
              <w:t>国家企业信用信息公示系统（</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color w:val="auto"/>
                <w:highlight w:val="none"/>
              </w:rPr>
              <w:t>http</w:t>
            </w:r>
            <w:r>
              <w:rPr>
                <w:color w:val="auto"/>
                <w:spacing w:val="11"/>
                <w:highlight w:val="none"/>
              </w:rPr>
              <w:t>://</w:t>
            </w:r>
            <w:r>
              <w:rPr>
                <w:color w:val="auto"/>
                <w:highlight w:val="none"/>
              </w:rPr>
              <w:t>www</w:t>
            </w:r>
            <w:r>
              <w:rPr>
                <w:color w:val="auto"/>
                <w:spacing w:val="11"/>
                <w:highlight w:val="none"/>
              </w:rPr>
              <w:t>.</w:t>
            </w:r>
            <w:r>
              <w:rPr>
                <w:color w:val="auto"/>
                <w:highlight w:val="none"/>
              </w:rPr>
              <w:t>gsxt</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w:t>
            </w:r>
            <w:r>
              <w:rPr>
                <w:color w:val="auto"/>
                <w:highlight w:val="none"/>
              </w:rPr>
              <w:t>index</w:t>
            </w:r>
            <w:r>
              <w:rPr>
                <w:color w:val="auto"/>
                <w:spacing w:val="11"/>
                <w:highlight w:val="none"/>
              </w:rPr>
              <w:t>.</w:t>
            </w:r>
            <w:r>
              <w:rPr>
                <w:color w:val="auto"/>
                <w:highlight w:val="none"/>
              </w:rPr>
              <w:t>html</w:t>
            </w:r>
            <w:r>
              <w:rPr>
                <w:color w:val="auto"/>
                <w:highlight w:val="none"/>
              </w:rPr>
              <w:fldChar w:fldCharType="end"/>
            </w:r>
            <w:r>
              <w:rPr>
                <w:color w:val="auto"/>
                <w:spacing w:val="11"/>
                <w:highlight w:val="none"/>
              </w:rPr>
              <w:t>）</w:t>
            </w:r>
            <w:r>
              <w:rPr>
                <w:color w:val="auto"/>
                <w:spacing w:val="10"/>
                <w:highlight w:val="none"/>
              </w:rPr>
              <w:t>中列入经营异</w:t>
            </w:r>
            <w:r>
              <w:rPr>
                <w:color w:val="auto"/>
                <w:spacing w:val="11"/>
                <w:highlight w:val="none"/>
              </w:rPr>
              <w:t>常名录或严重违法失信企业名单及其他不符合《中华人民共和国政府采购法》第二十二条规定条件的供应商，不得参与政府采购活动（查询截止时点：本项目采购公告发布之日起至响应文件提交截止时间止</w:t>
            </w:r>
            <w:r>
              <w:rPr>
                <w:color w:val="auto"/>
                <w:spacing w:val="16"/>
                <w:highlight w:val="none"/>
              </w:rPr>
              <w:t>）；</w:t>
            </w:r>
          </w:p>
          <w:p w14:paraId="3459A88E">
            <w:pPr>
              <w:pStyle w:val="16"/>
              <w:spacing w:before="132" w:line="432" w:lineRule="auto"/>
              <w:ind w:left="114" w:right="108"/>
              <w:jc w:val="both"/>
              <w:rPr>
                <w:color w:val="auto"/>
                <w:highlight w:val="none"/>
              </w:rPr>
            </w:pPr>
            <w:r>
              <w:rPr>
                <w:b/>
                <w:bCs/>
                <w:color w:val="auto"/>
                <w:spacing w:val="9"/>
                <w:highlight w:val="none"/>
              </w:rPr>
              <w:t>提供信誉良好承诺书（格式自拟）并加盖供应商公章。</w:t>
            </w:r>
          </w:p>
        </w:tc>
      </w:tr>
      <w:tr w14:paraId="4737E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965" w:type="dxa"/>
            <w:vMerge w:val="continue"/>
            <w:vAlign w:val="top"/>
          </w:tcPr>
          <w:p w14:paraId="2110288F">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top"/>
          </w:tcPr>
          <w:p w14:paraId="587BC476">
            <w:pPr>
              <w:spacing w:line="302" w:lineRule="auto"/>
              <w:rPr>
                <w:rFonts w:ascii="Arial"/>
                <w:color w:val="auto"/>
                <w:sz w:val="21"/>
                <w:highlight w:val="none"/>
              </w:rPr>
            </w:pPr>
          </w:p>
          <w:p w14:paraId="540A8CC6">
            <w:pPr>
              <w:pStyle w:val="16"/>
              <w:spacing w:before="65" w:line="228" w:lineRule="auto"/>
              <w:ind w:left="129"/>
              <w:rPr>
                <w:color w:val="auto"/>
                <w:highlight w:val="none"/>
              </w:rPr>
            </w:pPr>
            <w:r>
              <w:rPr>
                <w:color w:val="auto"/>
                <w:spacing w:val="8"/>
                <w:highlight w:val="none"/>
              </w:rPr>
              <w:t>财务状况、依法缴</w:t>
            </w:r>
          </w:p>
          <w:p w14:paraId="7801FA6C">
            <w:pPr>
              <w:pStyle w:val="16"/>
              <w:spacing w:before="221" w:line="228" w:lineRule="auto"/>
              <w:ind w:left="130"/>
              <w:rPr>
                <w:color w:val="auto"/>
                <w:highlight w:val="none"/>
              </w:rPr>
            </w:pPr>
            <w:r>
              <w:rPr>
                <w:color w:val="auto"/>
                <w:spacing w:val="8"/>
                <w:highlight w:val="none"/>
              </w:rPr>
              <w:t>纳税收和社会保障</w:t>
            </w:r>
          </w:p>
          <w:p w14:paraId="2C5CAC30">
            <w:pPr>
              <w:pStyle w:val="16"/>
              <w:spacing w:before="221" w:line="229" w:lineRule="auto"/>
              <w:ind w:left="557"/>
              <w:rPr>
                <w:color w:val="auto"/>
                <w:highlight w:val="none"/>
              </w:rPr>
            </w:pPr>
            <w:r>
              <w:rPr>
                <w:color w:val="auto"/>
                <w:spacing w:val="5"/>
                <w:highlight w:val="none"/>
              </w:rPr>
              <w:t>资金情况</w:t>
            </w:r>
          </w:p>
        </w:tc>
        <w:tc>
          <w:tcPr>
            <w:tcW w:w="7832" w:type="dxa"/>
            <w:tcBorders>
              <w:left w:val="single" w:color="auto" w:sz="4" w:space="0"/>
            </w:tcBorders>
            <w:vAlign w:val="top"/>
          </w:tcPr>
          <w:p w14:paraId="711A5E53">
            <w:pPr>
              <w:pStyle w:val="16"/>
              <w:spacing w:before="134" w:line="432" w:lineRule="auto"/>
              <w:ind w:left="113" w:right="108"/>
              <w:jc w:val="both"/>
              <w:rPr>
                <w:rFonts w:hint="eastAsia"/>
                <w:color w:val="auto"/>
                <w:spacing w:val="9"/>
                <w:highlight w:val="none"/>
                <w:lang w:eastAsia="zh-CN"/>
              </w:rPr>
            </w:pPr>
            <w:r>
              <w:rPr>
                <w:color w:val="auto"/>
                <w:spacing w:val="9"/>
                <w:highlight w:val="none"/>
              </w:rPr>
              <w:t>供应商应按照《长春市财政局关于加强政府采购信用体系建设简化</w:t>
            </w:r>
            <w:r>
              <w:rPr>
                <w:rFonts w:hint="eastAsia"/>
                <w:color w:val="auto"/>
                <w:spacing w:val="9"/>
                <w:highlight w:val="none"/>
                <w:lang w:eastAsia="zh-CN"/>
              </w:rPr>
              <w:t>供应商</w:t>
            </w:r>
            <w:r>
              <w:rPr>
                <w:color w:val="auto"/>
                <w:spacing w:val="9"/>
                <w:highlight w:val="none"/>
              </w:rPr>
              <w:t>资格条件 有关事项的通知》（长财采购[2022]2066号）文件要求在</w:t>
            </w:r>
            <w:r>
              <w:rPr>
                <w:rFonts w:hint="eastAsia"/>
                <w:color w:val="auto"/>
                <w:spacing w:val="9"/>
                <w:highlight w:val="none"/>
                <w:lang w:eastAsia="zh-CN"/>
              </w:rPr>
              <w:t>响应文件</w:t>
            </w:r>
            <w:r>
              <w:rPr>
                <w:color w:val="auto"/>
                <w:spacing w:val="9"/>
                <w:highlight w:val="none"/>
              </w:rPr>
              <w:t>中提交反映其财务状况、依法缴纳税收和社会保障资金情况的资格条件承诺函，并对资格条件承诺函有关内容的真实性、有效性、合法性负责</w:t>
            </w:r>
            <w:r>
              <w:rPr>
                <w:rFonts w:hint="eastAsia"/>
                <w:color w:val="auto"/>
                <w:spacing w:val="9"/>
                <w:highlight w:val="none"/>
                <w:lang w:eastAsia="zh-CN"/>
              </w:rPr>
              <w:t>；</w:t>
            </w:r>
          </w:p>
          <w:p w14:paraId="7835F931">
            <w:pPr>
              <w:pStyle w:val="16"/>
              <w:spacing w:before="134" w:line="432" w:lineRule="auto"/>
              <w:ind w:left="113" w:right="108"/>
              <w:jc w:val="both"/>
              <w:rPr>
                <w:rFonts w:hint="eastAsia" w:eastAsia="宋体"/>
                <w:color w:val="auto"/>
                <w:highlight w:val="none"/>
                <w:lang w:eastAsia="zh-CN"/>
              </w:rPr>
            </w:pPr>
            <w:r>
              <w:rPr>
                <w:b/>
                <w:bCs/>
                <w:color w:val="auto"/>
                <w:spacing w:val="9"/>
                <w:highlight w:val="none"/>
              </w:rPr>
              <w:t>标书内</w:t>
            </w:r>
            <w:r>
              <w:rPr>
                <w:rFonts w:hint="eastAsia"/>
                <w:b/>
                <w:bCs/>
                <w:color w:val="auto"/>
                <w:spacing w:val="9"/>
                <w:highlight w:val="none"/>
                <w:lang w:val="en-US" w:eastAsia="zh-CN"/>
              </w:rPr>
              <w:t>附</w:t>
            </w:r>
            <w:r>
              <w:rPr>
                <w:b/>
                <w:bCs/>
                <w:color w:val="auto"/>
                <w:spacing w:val="9"/>
                <w:highlight w:val="none"/>
              </w:rPr>
              <w:t>加盖供应商公章</w:t>
            </w:r>
            <w:r>
              <w:rPr>
                <w:rFonts w:hint="eastAsia"/>
                <w:b/>
                <w:bCs/>
                <w:color w:val="auto"/>
                <w:spacing w:val="9"/>
                <w:highlight w:val="none"/>
                <w:lang w:val="en-US" w:eastAsia="zh-CN"/>
              </w:rPr>
              <w:t>的</w:t>
            </w:r>
            <w:r>
              <w:rPr>
                <w:b/>
                <w:bCs/>
                <w:color w:val="auto"/>
                <w:spacing w:val="9"/>
                <w:highlight w:val="none"/>
              </w:rPr>
              <w:t>资格条件承诺函</w:t>
            </w:r>
            <w:r>
              <w:rPr>
                <w:rFonts w:hint="eastAsia"/>
                <w:b/>
                <w:bCs/>
                <w:color w:val="auto"/>
                <w:spacing w:val="9"/>
                <w:highlight w:val="none"/>
                <w:lang w:eastAsia="zh-CN"/>
              </w:rPr>
              <w:t>。</w:t>
            </w:r>
          </w:p>
        </w:tc>
      </w:tr>
      <w:tr w14:paraId="523C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65" w:type="dxa"/>
            <w:vMerge w:val="continue"/>
            <w:vAlign w:val="top"/>
          </w:tcPr>
          <w:p w14:paraId="10CF9EA8">
            <w:pPr>
              <w:rPr>
                <w:rFonts w:ascii="Arial"/>
                <w:color w:val="auto"/>
                <w:sz w:val="21"/>
                <w:highlight w:val="none"/>
              </w:rPr>
            </w:pPr>
          </w:p>
        </w:tc>
        <w:tc>
          <w:tcPr>
            <w:tcW w:w="1928" w:type="dxa"/>
            <w:vAlign w:val="center"/>
          </w:tcPr>
          <w:p w14:paraId="6FBCAC31">
            <w:pPr>
              <w:pStyle w:val="16"/>
              <w:spacing w:before="65" w:line="228" w:lineRule="auto"/>
              <w:jc w:val="center"/>
              <w:rPr>
                <w:color w:val="auto"/>
                <w:highlight w:val="none"/>
              </w:rPr>
            </w:pPr>
            <w:r>
              <w:rPr>
                <w:rFonts w:hint="eastAsia"/>
                <w:color w:val="auto"/>
                <w:highlight w:val="none"/>
              </w:rPr>
              <w:t>政策认定</w:t>
            </w:r>
          </w:p>
        </w:tc>
        <w:tc>
          <w:tcPr>
            <w:tcW w:w="7832" w:type="dxa"/>
            <w:vAlign w:val="top"/>
          </w:tcPr>
          <w:p w14:paraId="5134887A">
            <w:pPr>
              <w:pStyle w:val="16"/>
              <w:spacing w:before="134" w:line="432" w:lineRule="auto"/>
              <w:ind w:left="113" w:right="108"/>
              <w:jc w:val="both"/>
              <w:rPr>
                <w:rFonts w:hint="eastAsia"/>
                <w:color w:val="auto"/>
                <w:spacing w:val="9"/>
                <w:highlight w:val="none"/>
                <w:lang w:val="zh-CN" w:eastAsia="zh-CN"/>
              </w:rPr>
            </w:pPr>
            <w:r>
              <w:rPr>
                <w:rFonts w:hint="eastAsia" w:ascii="宋体" w:hAnsi="宋体" w:eastAsia="宋体" w:cs="宋体"/>
                <w:color w:val="auto"/>
                <w:sz w:val="21"/>
                <w:szCs w:val="21"/>
                <w:highlight w:val="none"/>
                <w:lang w:val="zh-CN" w:eastAsia="zh-CN"/>
              </w:rPr>
              <w:t>本项目专门面向中小企业采购，供应商须是中、小微企业，残疾人福利性单位、监</w:t>
            </w:r>
            <w:r>
              <w:rPr>
                <w:rFonts w:hint="eastAsia"/>
                <w:color w:val="auto"/>
                <w:spacing w:val="9"/>
                <w:highlight w:val="none"/>
                <w:lang w:val="zh-CN" w:eastAsia="zh-CN"/>
              </w:rPr>
              <w:t>狱企业视同小型、微型企业。</w:t>
            </w:r>
          </w:p>
          <w:p w14:paraId="3149F074">
            <w:pPr>
              <w:pStyle w:val="16"/>
              <w:spacing w:before="134" w:line="432" w:lineRule="auto"/>
              <w:ind w:left="113" w:right="108"/>
              <w:jc w:val="both"/>
              <w:rPr>
                <w:color w:val="auto"/>
                <w:highlight w:val="none"/>
              </w:rPr>
            </w:pPr>
            <w:r>
              <w:rPr>
                <w:rFonts w:hint="eastAsia"/>
                <w:b/>
                <w:bCs/>
                <w:color w:val="auto"/>
                <w:spacing w:val="9"/>
                <w:highlight w:val="none"/>
                <w:lang w:val="zh-CN" w:eastAsia="zh-CN"/>
              </w:rPr>
              <w:t>提供中小企业声明函或残疾人福利性单位、监狱企业证明。</w:t>
            </w:r>
          </w:p>
        </w:tc>
      </w:tr>
      <w:tr w14:paraId="4DA9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65" w:type="dxa"/>
            <w:vMerge w:val="continue"/>
            <w:vAlign w:val="top"/>
          </w:tcPr>
          <w:p w14:paraId="5F88A07E">
            <w:pPr>
              <w:rPr>
                <w:rFonts w:ascii="Arial"/>
                <w:color w:val="auto"/>
                <w:sz w:val="21"/>
                <w:highlight w:val="none"/>
              </w:rPr>
            </w:pPr>
          </w:p>
        </w:tc>
        <w:tc>
          <w:tcPr>
            <w:tcW w:w="1928" w:type="dxa"/>
            <w:vAlign w:val="top"/>
          </w:tcPr>
          <w:p w14:paraId="45D7E3C2">
            <w:pPr>
              <w:spacing w:line="254" w:lineRule="auto"/>
              <w:rPr>
                <w:rFonts w:ascii="Arial"/>
                <w:color w:val="auto"/>
                <w:sz w:val="21"/>
                <w:highlight w:val="none"/>
              </w:rPr>
            </w:pPr>
          </w:p>
          <w:p w14:paraId="29205D38">
            <w:pPr>
              <w:spacing w:line="254" w:lineRule="auto"/>
              <w:rPr>
                <w:rFonts w:ascii="Arial"/>
                <w:color w:val="auto"/>
                <w:sz w:val="21"/>
                <w:highlight w:val="none"/>
              </w:rPr>
            </w:pPr>
          </w:p>
          <w:p w14:paraId="44ACFF30">
            <w:pPr>
              <w:spacing w:line="255" w:lineRule="auto"/>
              <w:rPr>
                <w:rFonts w:ascii="Arial"/>
                <w:color w:val="auto"/>
                <w:sz w:val="21"/>
                <w:highlight w:val="none"/>
              </w:rPr>
            </w:pPr>
          </w:p>
          <w:p w14:paraId="3A7C3185">
            <w:pPr>
              <w:pStyle w:val="16"/>
              <w:spacing w:before="65" w:line="229" w:lineRule="auto"/>
              <w:ind w:left="549"/>
              <w:rPr>
                <w:color w:val="auto"/>
                <w:highlight w:val="none"/>
              </w:rPr>
            </w:pPr>
            <w:r>
              <w:rPr>
                <w:color w:val="auto"/>
                <w:spacing w:val="7"/>
                <w:highlight w:val="none"/>
              </w:rPr>
              <w:t>其他要求</w:t>
            </w:r>
          </w:p>
        </w:tc>
        <w:tc>
          <w:tcPr>
            <w:tcW w:w="7832" w:type="dxa"/>
            <w:vAlign w:val="top"/>
          </w:tcPr>
          <w:p w14:paraId="270BF960">
            <w:pPr>
              <w:pStyle w:val="16"/>
              <w:spacing w:before="132" w:line="432" w:lineRule="auto"/>
              <w:ind w:left="115" w:right="109" w:firstLine="1"/>
              <w:jc w:val="both"/>
              <w:rPr>
                <w:color w:val="auto"/>
                <w:highlight w:val="none"/>
              </w:rPr>
            </w:pPr>
            <w:r>
              <w:rPr>
                <w:color w:val="auto"/>
                <w:spacing w:val="11"/>
                <w:highlight w:val="none"/>
              </w:rPr>
              <w:t>与采购人存在利害关系可能影响招标公正性的法人、其他组织或者个人，不得参加</w:t>
            </w:r>
            <w:r>
              <w:rPr>
                <w:color w:val="auto"/>
                <w:spacing w:val="3"/>
                <w:highlight w:val="none"/>
              </w:rPr>
              <w:t xml:space="preserve"> </w:t>
            </w:r>
            <w:r>
              <w:rPr>
                <w:color w:val="auto"/>
                <w:spacing w:val="11"/>
                <w:highlight w:val="none"/>
              </w:rPr>
              <w:t>投标。单位负责人为同一人或者存在控股、管理关系的不同单位，不得参加同一标</w:t>
            </w:r>
          </w:p>
          <w:p w14:paraId="36A1F4F3">
            <w:pPr>
              <w:pStyle w:val="16"/>
              <w:spacing w:line="229" w:lineRule="auto"/>
              <w:ind w:left="114"/>
              <w:rPr>
                <w:color w:val="auto"/>
                <w:highlight w:val="none"/>
              </w:rPr>
            </w:pPr>
            <w:r>
              <w:rPr>
                <w:color w:val="auto"/>
                <w:spacing w:val="11"/>
                <w:highlight w:val="none"/>
              </w:rPr>
              <w:t>段投标或者未划分标段的同一招标项目投标。违反上述规定的，相关投</w:t>
            </w:r>
            <w:r>
              <w:rPr>
                <w:color w:val="auto"/>
                <w:spacing w:val="10"/>
                <w:highlight w:val="none"/>
              </w:rPr>
              <w:t>标均无效。</w:t>
            </w:r>
          </w:p>
          <w:p w14:paraId="5A48CBA3">
            <w:pPr>
              <w:pStyle w:val="16"/>
              <w:spacing w:before="219" w:line="228" w:lineRule="auto"/>
              <w:ind w:left="114"/>
              <w:rPr>
                <w:color w:val="auto"/>
                <w:highlight w:val="none"/>
              </w:rPr>
            </w:pPr>
            <w:r>
              <w:rPr>
                <w:rFonts w:hint="eastAsia"/>
                <w:b/>
                <w:bCs/>
                <w:color w:val="auto"/>
                <w:spacing w:val="9"/>
                <w:highlight w:val="none"/>
                <w:lang w:val="zh-CN" w:eastAsia="zh-CN"/>
              </w:rPr>
              <w:t>提供承诺书（格式自拟）并加盖供应商公章。</w:t>
            </w:r>
          </w:p>
        </w:tc>
      </w:tr>
      <w:tr w14:paraId="1302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725" w:type="dxa"/>
            <w:gridSpan w:val="3"/>
            <w:vAlign w:val="top"/>
          </w:tcPr>
          <w:p w14:paraId="1C32A10A">
            <w:pPr>
              <w:pStyle w:val="16"/>
              <w:spacing w:before="183" w:line="228" w:lineRule="auto"/>
              <w:ind w:left="116"/>
              <w:rPr>
                <w:color w:val="auto"/>
                <w:highlight w:val="none"/>
              </w:rPr>
            </w:pPr>
            <w:r>
              <w:rPr>
                <w:color w:val="auto"/>
                <w:spacing w:val="10"/>
                <w:highlight w:val="none"/>
              </w:rPr>
              <w:t>注：供应商有一项不满足资格评审标准的，</w:t>
            </w:r>
            <w:r>
              <w:rPr>
                <w:color w:val="auto"/>
                <w:spacing w:val="9"/>
                <w:highlight w:val="none"/>
              </w:rPr>
              <w:t>其响应文件将被否决，不再进入后续响应性评审。</w:t>
            </w:r>
          </w:p>
        </w:tc>
      </w:tr>
      <w:tr w14:paraId="25AE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750822BC">
            <w:pPr>
              <w:pStyle w:val="16"/>
              <w:spacing w:line="240" w:lineRule="auto"/>
              <w:ind w:left="0" w:right="0" w:firstLine="0"/>
              <w:jc w:val="center"/>
              <w:rPr>
                <w:color w:val="auto"/>
                <w:highlight w:val="none"/>
              </w:rPr>
            </w:pPr>
            <w:r>
              <w:rPr>
                <w:color w:val="auto"/>
                <w:spacing w:val="3"/>
                <w:highlight w:val="none"/>
              </w:rPr>
              <w:t>响应性</w:t>
            </w:r>
            <w:r>
              <w:rPr>
                <w:color w:val="auto"/>
                <w:spacing w:val="5"/>
                <w:highlight w:val="none"/>
              </w:rPr>
              <w:t>评审</w:t>
            </w:r>
            <w:r>
              <w:rPr>
                <w:color w:val="auto"/>
                <w:spacing w:val="4"/>
                <w:highlight w:val="none"/>
              </w:rPr>
              <w:t>标准</w:t>
            </w:r>
          </w:p>
        </w:tc>
        <w:tc>
          <w:tcPr>
            <w:tcW w:w="1928" w:type="dxa"/>
            <w:tcBorders>
              <w:top w:val="single" w:color="auto" w:sz="4" w:space="0"/>
              <w:left w:val="single" w:color="auto" w:sz="4" w:space="0"/>
              <w:bottom w:val="single" w:color="auto" w:sz="4" w:space="0"/>
              <w:right w:val="single" w:color="auto" w:sz="4" w:space="0"/>
            </w:tcBorders>
            <w:vAlign w:val="center"/>
          </w:tcPr>
          <w:p w14:paraId="76BF1488">
            <w:pPr>
              <w:pStyle w:val="16"/>
              <w:spacing w:before="132" w:line="432" w:lineRule="auto"/>
              <w:ind w:left="115" w:right="109" w:firstLine="1"/>
              <w:jc w:val="center"/>
              <w:rPr>
                <w:rFonts w:hint="eastAsia" w:eastAsia="宋体"/>
                <w:color w:val="auto"/>
                <w:spacing w:val="11"/>
                <w:highlight w:val="none"/>
                <w:lang w:eastAsia="zh-CN"/>
              </w:rPr>
            </w:pPr>
            <w:r>
              <w:rPr>
                <w:rFonts w:hint="eastAsia"/>
                <w:color w:val="auto"/>
                <w:spacing w:val="11"/>
                <w:highlight w:val="none"/>
                <w:lang w:eastAsia="zh-CN"/>
              </w:rPr>
              <w:t>服务期</w:t>
            </w:r>
          </w:p>
        </w:tc>
        <w:tc>
          <w:tcPr>
            <w:tcW w:w="7832" w:type="dxa"/>
            <w:tcBorders>
              <w:left w:val="single" w:color="auto" w:sz="4" w:space="0"/>
            </w:tcBorders>
            <w:vAlign w:val="top"/>
          </w:tcPr>
          <w:p w14:paraId="2315A17C">
            <w:pPr>
              <w:pStyle w:val="16"/>
              <w:spacing w:before="215" w:line="228" w:lineRule="auto"/>
              <w:ind w:left="114"/>
              <w:jc w:val="left"/>
              <w:rPr>
                <w:rFonts w:hint="eastAsia" w:eastAsia="宋体"/>
                <w:color w:val="auto"/>
                <w:highlight w:val="none"/>
                <w:lang w:eastAsia="zh-CN"/>
              </w:rPr>
            </w:pPr>
            <w:r>
              <w:rPr>
                <w:rFonts w:hint="eastAsia"/>
                <w:b/>
                <w:bCs/>
                <w:color w:val="auto"/>
                <w:spacing w:val="9"/>
                <w:highlight w:val="none"/>
                <w:lang w:val="zh-CN" w:eastAsia="zh-CN"/>
              </w:rPr>
              <w:t>自合同签订之日起一年</w:t>
            </w:r>
          </w:p>
        </w:tc>
      </w:tr>
      <w:tr w14:paraId="3F802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5" w:type="dxa"/>
            <w:vMerge w:val="continue"/>
            <w:tcBorders>
              <w:top w:val="single" w:color="auto" w:sz="4" w:space="0"/>
              <w:left w:val="single" w:color="auto" w:sz="4" w:space="0"/>
              <w:bottom w:val="single" w:color="auto" w:sz="4" w:space="0"/>
              <w:right w:val="single" w:color="auto" w:sz="4" w:space="0"/>
            </w:tcBorders>
            <w:vAlign w:val="top"/>
          </w:tcPr>
          <w:p w14:paraId="13D3A8EB">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top"/>
          </w:tcPr>
          <w:p w14:paraId="54F14EFD">
            <w:pPr>
              <w:pStyle w:val="16"/>
              <w:spacing w:before="132" w:line="432" w:lineRule="auto"/>
              <w:ind w:left="115" w:right="109" w:firstLine="1"/>
              <w:jc w:val="center"/>
              <w:rPr>
                <w:rFonts w:hint="eastAsia" w:eastAsia="宋体"/>
                <w:color w:val="auto"/>
                <w:spacing w:val="11"/>
                <w:highlight w:val="none"/>
                <w:lang w:eastAsia="zh-CN"/>
              </w:rPr>
            </w:pPr>
            <w:r>
              <w:rPr>
                <w:rFonts w:hint="eastAsia"/>
                <w:color w:val="auto"/>
                <w:spacing w:val="11"/>
                <w:highlight w:val="none"/>
                <w:lang w:eastAsia="zh-CN"/>
              </w:rPr>
              <w:t>质量标准</w:t>
            </w:r>
          </w:p>
        </w:tc>
        <w:tc>
          <w:tcPr>
            <w:tcW w:w="7832" w:type="dxa"/>
            <w:tcBorders>
              <w:left w:val="single" w:color="auto" w:sz="4" w:space="0"/>
            </w:tcBorders>
            <w:vAlign w:val="top"/>
          </w:tcPr>
          <w:p w14:paraId="2CDE0778">
            <w:pPr>
              <w:pStyle w:val="16"/>
              <w:spacing w:before="132" w:line="228" w:lineRule="auto"/>
              <w:ind w:left="115"/>
              <w:jc w:val="left"/>
              <w:rPr>
                <w:rFonts w:hint="eastAsia" w:eastAsia="宋体"/>
                <w:color w:val="auto"/>
                <w:highlight w:val="none"/>
                <w:lang w:eastAsia="zh-CN"/>
              </w:rPr>
            </w:pPr>
            <w:r>
              <w:rPr>
                <w:rFonts w:hint="eastAsia"/>
                <w:color w:val="auto"/>
                <w:spacing w:val="9"/>
                <w:highlight w:val="none"/>
                <w:lang w:eastAsia="zh-CN"/>
              </w:rPr>
              <w:t>优质服务</w:t>
            </w:r>
          </w:p>
        </w:tc>
      </w:tr>
      <w:tr w14:paraId="1F141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5" w:type="dxa"/>
            <w:vMerge w:val="continue"/>
            <w:tcBorders>
              <w:top w:val="single" w:color="auto" w:sz="4" w:space="0"/>
              <w:left w:val="single" w:color="auto" w:sz="4" w:space="0"/>
              <w:bottom w:val="single" w:color="auto" w:sz="4" w:space="0"/>
              <w:right w:val="single" w:color="auto" w:sz="4" w:space="0"/>
            </w:tcBorders>
            <w:vAlign w:val="top"/>
          </w:tcPr>
          <w:p w14:paraId="6EFA7F03">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top"/>
          </w:tcPr>
          <w:p w14:paraId="61049765">
            <w:pPr>
              <w:pStyle w:val="16"/>
              <w:spacing w:before="132" w:line="432" w:lineRule="auto"/>
              <w:ind w:left="115" w:right="109" w:firstLine="1"/>
              <w:jc w:val="center"/>
              <w:rPr>
                <w:color w:val="auto"/>
                <w:spacing w:val="11"/>
                <w:highlight w:val="none"/>
              </w:rPr>
            </w:pPr>
            <w:r>
              <w:rPr>
                <w:color w:val="auto"/>
                <w:spacing w:val="11"/>
                <w:highlight w:val="none"/>
              </w:rPr>
              <w:t>磋商有效期</w:t>
            </w:r>
          </w:p>
        </w:tc>
        <w:tc>
          <w:tcPr>
            <w:tcW w:w="7832" w:type="dxa"/>
            <w:tcBorders>
              <w:left w:val="single" w:color="auto" w:sz="4" w:space="0"/>
            </w:tcBorders>
            <w:vAlign w:val="top"/>
          </w:tcPr>
          <w:p w14:paraId="08DF16F6">
            <w:pPr>
              <w:pStyle w:val="16"/>
              <w:spacing w:before="132" w:line="229" w:lineRule="auto"/>
              <w:ind w:left="115"/>
              <w:jc w:val="left"/>
              <w:rPr>
                <w:rFonts w:hint="eastAsia" w:eastAsia="宋体"/>
                <w:color w:val="auto"/>
                <w:highlight w:val="none"/>
                <w:lang w:eastAsia="zh-CN"/>
              </w:rPr>
            </w:pPr>
            <w:r>
              <w:rPr>
                <w:rFonts w:hint="eastAsia"/>
                <w:color w:val="auto"/>
                <w:spacing w:val="8"/>
                <w:highlight w:val="none"/>
                <w:lang w:eastAsia="zh-CN"/>
              </w:rPr>
              <w:t>投标截止之日起60日历天</w:t>
            </w:r>
          </w:p>
        </w:tc>
      </w:tr>
      <w:tr w14:paraId="16EA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65" w:type="dxa"/>
            <w:vMerge w:val="continue"/>
            <w:tcBorders>
              <w:top w:val="single" w:color="auto" w:sz="4" w:space="0"/>
              <w:left w:val="single" w:color="auto" w:sz="4" w:space="0"/>
              <w:bottom w:val="single" w:color="auto" w:sz="4" w:space="0"/>
              <w:right w:val="single" w:color="auto" w:sz="4" w:space="0"/>
            </w:tcBorders>
            <w:vAlign w:val="top"/>
          </w:tcPr>
          <w:p w14:paraId="16D03371">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0B2B272">
            <w:pPr>
              <w:pStyle w:val="16"/>
              <w:spacing w:before="132" w:line="432" w:lineRule="auto"/>
              <w:ind w:left="115" w:right="109" w:firstLine="1"/>
              <w:jc w:val="center"/>
              <w:rPr>
                <w:color w:val="auto"/>
                <w:spacing w:val="11"/>
                <w:highlight w:val="none"/>
              </w:rPr>
            </w:pPr>
            <w:r>
              <w:rPr>
                <w:color w:val="auto"/>
                <w:spacing w:val="11"/>
                <w:highlight w:val="none"/>
              </w:rPr>
              <w:t>磋商报价</w:t>
            </w:r>
          </w:p>
        </w:tc>
        <w:tc>
          <w:tcPr>
            <w:tcW w:w="7832" w:type="dxa"/>
            <w:tcBorders>
              <w:left w:val="single" w:color="auto" w:sz="4" w:space="0"/>
            </w:tcBorders>
            <w:vAlign w:val="top"/>
          </w:tcPr>
          <w:p w14:paraId="0E4FAA44">
            <w:pPr>
              <w:pStyle w:val="16"/>
              <w:spacing w:before="31" w:line="228" w:lineRule="auto"/>
              <w:ind w:left="112"/>
              <w:jc w:val="left"/>
              <w:rPr>
                <w:rFonts w:hint="eastAsia" w:eastAsia="宋体"/>
                <w:color w:val="auto"/>
                <w:highlight w:val="none"/>
                <w:lang w:eastAsia="zh-CN"/>
              </w:rPr>
            </w:pPr>
            <w:r>
              <w:rPr>
                <w:rFonts w:hint="eastAsia"/>
                <w:color w:val="auto"/>
                <w:spacing w:val="6"/>
                <w:highlight w:val="none"/>
                <w:lang w:eastAsia="zh-CN"/>
              </w:rPr>
              <w:t>预算金额</w:t>
            </w:r>
            <w:r>
              <w:rPr>
                <w:color w:val="auto"/>
                <w:spacing w:val="6"/>
                <w:highlight w:val="none"/>
              </w:rPr>
              <w:t>：</w:t>
            </w:r>
            <w:r>
              <w:rPr>
                <w:rFonts w:hint="eastAsia"/>
                <w:color w:val="auto"/>
                <w:spacing w:val="6"/>
                <w:highlight w:val="none"/>
                <w:lang w:eastAsia="zh-CN"/>
              </w:rPr>
              <w:t>440620元</w:t>
            </w:r>
          </w:p>
          <w:p w14:paraId="078CBFDF">
            <w:pPr>
              <w:pStyle w:val="16"/>
              <w:spacing w:before="25" w:line="216" w:lineRule="auto"/>
              <w:ind w:left="112"/>
              <w:jc w:val="left"/>
              <w:rPr>
                <w:color w:val="auto"/>
                <w:highlight w:val="none"/>
              </w:rPr>
            </w:pPr>
            <w:r>
              <w:rPr>
                <w:rFonts w:hint="eastAsia"/>
                <w:color w:val="auto"/>
                <w:spacing w:val="9"/>
                <w:highlight w:val="none"/>
                <w:lang w:val="en-US" w:eastAsia="zh-CN"/>
              </w:rPr>
              <w:t>注：</w:t>
            </w:r>
            <w:r>
              <w:rPr>
                <w:color w:val="auto"/>
                <w:spacing w:val="9"/>
                <w:highlight w:val="none"/>
              </w:rPr>
              <w:t>超出最高投标限价的首次报价及最终报价视为无效报价，投标将被否决。</w:t>
            </w:r>
          </w:p>
        </w:tc>
      </w:tr>
      <w:tr w14:paraId="4E074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5" w:type="dxa"/>
            <w:vMerge w:val="continue"/>
            <w:tcBorders>
              <w:top w:val="single" w:color="auto" w:sz="4" w:space="0"/>
              <w:left w:val="single" w:color="auto" w:sz="4" w:space="0"/>
              <w:bottom w:val="single" w:color="auto" w:sz="4" w:space="0"/>
              <w:right w:val="single" w:color="auto" w:sz="4" w:space="0"/>
            </w:tcBorders>
            <w:vAlign w:val="top"/>
          </w:tcPr>
          <w:p w14:paraId="2BB13327">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D1FDC32">
            <w:pPr>
              <w:pStyle w:val="16"/>
              <w:spacing w:before="132" w:line="432" w:lineRule="auto"/>
              <w:ind w:left="115" w:right="109" w:firstLine="1"/>
              <w:jc w:val="center"/>
              <w:rPr>
                <w:rFonts w:hint="eastAsia"/>
                <w:color w:val="auto"/>
                <w:spacing w:val="11"/>
                <w:highlight w:val="none"/>
              </w:rPr>
            </w:pPr>
            <w:r>
              <w:rPr>
                <w:color w:val="auto"/>
                <w:spacing w:val="11"/>
                <w:highlight w:val="none"/>
              </w:rPr>
              <w:t>权利义务</w:t>
            </w:r>
          </w:p>
        </w:tc>
        <w:tc>
          <w:tcPr>
            <w:tcW w:w="7832" w:type="dxa"/>
            <w:tcBorders>
              <w:left w:val="single" w:color="auto" w:sz="4" w:space="0"/>
            </w:tcBorders>
            <w:vAlign w:val="center"/>
          </w:tcPr>
          <w:p w14:paraId="158B48E3">
            <w:pPr>
              <w:keepNext w:val="0"/>
              <w:keepLines w:val="0"/>
              <w:pageBreakBefore w:val="0"/>
              <w:kinsoku/>
              <w:wordWrap/>
              <w:overflowPunct/>
              <w:topLinePunct w:val="0"/>
              <w:bidi w:val="0"/>
              <w:adjustRightInd w:val="0"/>
              <w:snapToGrid w:val="0"/>
              <w:spacing w:line="360" w:lineRule="exact"/>
              <w:ind w:left="0" w:leftChars="0" w:firstLine="212" w:firstLineChars="100"/>
              <w:jc w:val="left"/>
              <w:textAlignment w:val="auto"/>
              <w:rPr>
                <w:rFonts w:hint="eastAsia"/>
                <w:color w:val="auto"/>
                <w:highlight w:val="none"/>
              </w:rPr>
            </w:pPr>
            <w:r>
              <w:rPr>
                <w:rFonts w:hint="eastAsia" w:ascii="宋体" w:hAnsi="宋体" w:eastAsia="宋体" w:cs="宋体"/>
                <w:snapToGrid w:val="0"/>
                <w:color w:val="auto"/>
                <w:spacing w:val="6"/>
                <w:kern w:val="0"/>
                <w:sz w:val="20"/>
                <w:szCs w:val="20"/>
                <w:highlight w:val="none"/>
                <w:lang w:val="en-US" w:eastAsia="zh-CN" w:bidi="ar-SA"/>
              </w:rPr>
              <w:t>符合第五章“合同条款及格式”的相关规定</w:t>
            </w:r>
          </w:p>
        </w:tc>
      </w:tr>
      <w:tr w14:paraId="50A6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5" w:type="dxa"/>
            <w:vMerge w:val="continue"/>
            <w:tcBorders>
              <w:top w:val="single" w:color="auto" w:sz="4" w:space="0"/>
              <w:left w:val="single" w:color="auto" w:sz="4" w:space="0"/>
              <w:bottom w:val="single" w:color="auto" w:sz="4" w:space="0"/>
              <w:right w:val="single" w:color="auto" w:sz="4" w:space="0"/>
            </w:tcBorders>
            <w:vAlign w:val="top"/>
          </w:tcPr>
          <w:p w14:paraId="5559FC35">
            <w:pPr>
              <w:rPr>
                <w:rFonts w:ascii="Arial"/>
                <w:color w:val="auto"/>
                <w:sz w:val="21"/>
                <w:highlight w:val="none"/>
              </w:rPr>
            </w:pPr>
          </w:p>
        </w:tc>
        <w:tc>
          <w:tcPr>
            <w:tcW w:w="1928" w:type="dxa"/>
            <w:tcBorders>
              <w:top w:val="single" w:color="auto" w:sz="4" w:space="0"/>
              <w:left w:val="single" w:color="auto" w:sz="4" w:space="0"/>
              <w:bottom w:val="single" w:color="auto" w:sz="4" w:space="0"/>
              <w:right w:val="single" w:color="auto" w:sz="4" w:space="0"/>
            </w:tcBorders>
            <w:vAlign w:val="top"/>
          </w:tcPr>
          <w:p w14:paraId="313147AB">
            <w:pPr>
              <w:pStyle w:val="16"/>
              <w:spacing w:before="132" w:line="432" w:lineRule="auto"/>
              <w:ind w:left="115" w:right="109" w:firstLine="1"/>
              <w:jc w:val="center"/>
              <w:rPr>
                <w:color w:val="auto"/>
                <w:spacing w:val="11"/>
                <w:highlight w:val="none"/>
              </w:rPr>
            </w:pPr>
            <w:r>
              <w:rPr>
                <w:rFonts w:hint="eastAsia"/>
                <w:color w:val="auto"/>
                <w:spacing w:val="11"/>
                <w:highlight w:val="none"/>
              </w:rPr>
              <w:t>服务需求及要求</w:t>
            </w:r>
          </w:p>
        </w:tc>
        <w:tc>
          <w:tcPr>
            <w:tcW w:w="7832" w:type="dxa"/>
            <w:tcBorders>
              <w:left w:val="single" w:color="auto" w:sz="4" w:space="0"/>
            </w:tcBorders>
            <w:vAlign w:val="top"/>
          </w:tcPr>
          <w:p w14:paraId="0580E3BF">
            <w:pPr>
              <w:pStyle w:val="16"/>
              <w:spacing w:before="124" w:line="228" w:lineRule="auto"/>
              <w:ind w:left="115"/>
              <w:jc w:val="left"/>
              <w:rPr>
                <w:color w:val="auto"/>
                <w:highlight w:val="none"/>
              </w:rPr>
            </w:pPr>
            <w:r>
              <w:rPr>
                <w:rFonts w:hint="eastAsia"/>
                <w:color w:val="auto"/>
                <w:highlight w:val="none"/>
              </w:rPr>
              <w:t>完全响应</w:t>
            </w:r>
            <w:r>
              <w:rPr>
                <w:rFonts w:hint="eastAsia"/>
                <w:color w:val="auto"/>
                <w:highlight w:val="none"/>
                <w:lang w:eastAsia="zh-CN"/>
              </w:rPr>
              <w:t>竞争性磋商文件</w:t>
            </w:r>
            <w:r>
              <w:rPr>
                <w:rFonts w:hint="eastAsia"/>
                <w:color w:val="auto"/>
                <w:highlight w:val="none"/>
              </w:rPr>
              <w:t>要求，</w:t>
            </w:r>
            <w:r>
              <w:rPr>
                <w:rFonts w:hint="eastAsia"/>
                <w:b/>
                <w:bCs/>
                <w:color w:val="auto"/>
                <w:highlight w:val="none"/>
              </w:rPr>
              <w:t>标书中附承诺书</w:t>
            </w:r>
            <w:r>
              <w:rPr>
                <w:rFonts w:hint="eastAsia"/>
                <w:color w:val="auto"/>
                <w:highlight w:val="none"/>
              </w:rPr>
              <w:t>。</w:t>
            </w:r>
          </w:p>
        </w:tc>
      </w:tr>
      <w:tr w14:paraId="3C0A0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725" w:type="dxa"/>
            <w:gridSpan w:val="3"/>
            <w:vAlign w:val="top"/>
          </w:tcPr>
          <w:p w14:paraId="2B08CF2E">
            <w:pPr>
              <w:pStyle w:val="16"/>
              <w:spacing w:before="134" w:line="228" w:lineRule="auto"/>
              <w:ind w:left="116"/>
              <w:rPr>
                <w:color w:val="auto"/>
                <w:highlight w:val="none"/>
              </w:rPr>
            </w:pPr>
            <w:r>
              <w:rPr>
                <w:color w:val="auto"/>
                <w:spacing w:val="10"/>
                <w:highlight w:val="none"/>
              </w:rPr>
              <w:t>注：供应商有一项不满足响应性评审标准的</w:t>
            </w:r>
            <w:r>
              <w:rPr>
                <w:color w:val="auto"/>
                <w:spacing w:val="9"/>
                <w:highlight w:val="none"/>
              </w:rPr>
              <w:t>，其响应文件将被否决，不再进入后续详细评审。</w:t>
            </w:r>
          </w:p>
        </w:tc>
      </w:tr>
    </w:tbl>
    <w:p w14:paraId="5A86B4F1">
      <w:pPr>
        <w:pStyle w:val="2"/>
        <w:rPr>
          <w:color w:val="auto"/>
          <w:highlight w:val="none"/>
        </w:rPr>
      </w:pPr>
    </w:p>
    <w:p w14:paraId="66439C9D">
      <w:pPr>
        <w:rPr>
          <w:color w:val="auto"/>
          <w:highlight w:val="none"/>
        </w:rPr>
        <w:sectPr>
          <w:footerReference r:id="rId10" w:type="default"/>
          <w:pgSz w:w="11906" w:h="16839"/>
          <w:pgMar w:top="1246" w:right="588" w:bottom="1157" w:left="587" w:header="0" w:footer="992" w:gutter="0"/>
          <w:pgNumType w:fmt="decimal"/>
          <w:cols w:space="720" w:num="1"/>
        </w:sectPr>
      </w:pPr>
    </w:p>
    <w:p w14:paraId="348CA6BB">
      <w:pPr>
        <w:spacing w:before="241" w:line="221" w:lineRule="auto"/>
        <w:jc w:val="center"/>
        <w:outlineLvl w:val="1"/>
        <w:rPr>
          <w:rFonts w:hint="eastAsia" w:ascii="宋体" w:hAnsi="宋体" w:eastAsia="宋体" w:cs="宋体"/>
          <w:color w:val="auto"/>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z w:val="28"/>
          <w:szCs w:val="28"/>
          <w:highlight w:val="none"/>
          <w:lang w:eastAsia="zh-CN"/>
          <w14:textOutline w14:w="5103" w14:cap="sq" w14:cmpd="sng">
            <w14:solidFill>
              <w14:srgbClr w14:val="000000"/>
            </w14:solidFill>
            <w14:prstDash w14:val="solid"/>
            <w14:bevel/>
          </w14:textOutline>
        </w:rPr>
        <w:t>（二）综合打分表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3"/>
        <w:gridCol w:w="1305"/>
        <w:gridCol w:w="6161"/>
        <w:gridCol w:w="1131"/>
      </w:tblGrid>
      <w:tr w14:paraId="2E4D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ABF4BB6">
            <w:pPr>
              <w:widowControl w:val="0"/>
              <w:jc w:val="center"/>
              <w:rPr>
                <w:color w:val="auto"/>
              </w:rPr>
            </w:pPr>
            <w:r>
              <w:rPr>
                <w:rFonts w:hint="eastAsia"/>
                <w:color w:val="auto"/>
              </w:rPr>
              <w:t>序号</w:t>
            </w:r>
          </w:p>
        </w:tc>
        <w:tc>
          <w:tcPr>
            <w:tcW w:w="1203" w:type="dxa"/>
            <w:vAlign w:val="center"/>
          </w:tcPr>
          <w:p w14:paraId="17C88998">
            <w:pPr>
              <w:widowControl w:val="0"/>
              <w:jc w:val="center"/>
              <w:rPr>
                <w:color w:val="auto"/>
              </w:rPr>
            </w:pPr>
            <w:r>
              <w:rPr>
                <w:rFonts w:hint="eastAsia"/>
                <w:color w:val="auto"/>
              </w:rPr>
              <w:t>评分项目</w:t>
            </w:r>
          </w:p>
        </w:tc>
        <w:tc>
          <w:tcPr>
            <w:tcW w:w="1305" w:type="dxa"/>
            <w:vAlign w:val="center"/>
          </w:tcPr>
          <w:p w14:paraId="03534518">
            <w:pPr>
              <w:widowControl w:val="0"/>
              <w:jc w:val="center"/>
              <w:rPr>
                <w:color w:val="auto"/>
              </w:rPr>
            </w:pPr>
            <w:r>
              <w:rPr>
                <w:rFonts w:hint="eastAsia"/>
                <w:color w:val="auto"/>
              </w:rPr>
              <w:t>评审因素</w:t>
            </w:r>
          </w:p>
        </w:tc>
        <w:tc>
          <w:tcPr>
            <w:tcW w:w="6161" w:type="dxa"/>
            <w:vAlign w:val="center"/>
          </w:tcPr>
          <w:p w14:paraId="2C8E5807">
            <w:pPr>
              <w:widowControl w:val="0"/>
              <w:jc w:val="center"/>
              <w:rPr>
                <w:color w:val="auto"/>
              </w:rPr>
            </w:pPr>
            <w:r>
              <w:rPr>
                <w:rFonts w:hint="eastAsia"/>
                <w:color w:val="auto"/>
              </w:rPr>
              <w:t>评分标准</w:t>
            </w:r>
          </w:p>
        </w:tc>
        <w:tc>
          <w:tcPr>
            <w:tcW w:w="1131" w:type="dxa"/>
            <w:vAlign w:val="center"/>
          </w:tcPr>
          <w:p w14:paraId="69730937">
            <w:pPr>
              <w:widowControl w:val="0"/>
              <w:jc w:val="center"/>
              <w:rPr>
                <w:rFonts w:hint="eastAsia"/>
                <w:color w:val="auto"/>
              </w:rPr>
            </w:pPr>
            <w:r>
              <w:rPr>
                <w:rFonts w:hint="eastAsia"/>
                <w:color w:val="auto"/>
              </w:rPr>
              <w:t>分值</w:t>
            </w:r>
          </w:p>
        </w:tc>
      </w:tr>
      <w:tr w14:paraId="66FE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426" w:type="dxa"/>
            <w:vAlign w:val="center"/>
          </w:tcPr>
          <w:p w14:paraId="35BD2FAE">
            <w:pPr>
              <w:widowControl w:val="0"/>
              <w:jc w:val="center"/>
              <w:rPr>
                <w:color w:val="auto"/>
              </w:rPr>
            </w:pPr>
            <w:r>
              <w:rPr>
                <w:rFonts w:hint="eastAsia"/>
                <w:color w:val="auto"/>
              </w:rPr>
              <w:t>1</w:t>
            </w:r>
          </w:p>
        </w:tc>
        <w:tc>
          <w:tcPr>
            <w:tcW w:w="1203" w:type="dxa"/>
            <w:vAlign w:val="center"/>
          </w:tcPr>
          <w:p w14:paraId="238533D4">
            <w:pPr>
              <w:widowControl w:val="0"/>
              <w:jc w:val="center"/>
              <w:rPr>
                <w:color w:val="auto"/>
              </w:rPr>
            </w:pPr>
            <w:r>
              <w:rPr>
                <w:rFonts w:hint="eastAsia"/>
                <w:color w:val="auto"/>
              </w:rPr>
              <w:t>报价部分</w:t>
            </w:r>
          </w:p>
          <w:p w14:paraId="35DAF7F5">
            <w:pPr>
              <w:pStyle w:val="2"/>
              <w:widowControl w:val="0"/>
              <w:jc w:val="center"/>
              <w:rPr>
                <w:rFonts w:hint="eastAsia"/>
                <w:color w:val="auto"/>
              </w:rPr>
            </w:pPr>
            <w:r>
              <w:rPr>
                <w:rFonts w:hint="eastAsia"/>
                <w:color w:val="auto"/>
              </w:rPr>
              <w:t>（10分）</w:t>
            </w:r>
          </w:p>
        </w:tc>
        <w:tc>
          <w:tcPr>
            <w:tcW w:w="1305" w:type="dxa"/>
            <w:vAlign w:val="center"/>
          </w:tcPr>
          <w:p w14:paraId="2C67525D">
            <w:pPr>
              <w:widowControl w:val="0"/>
              <w:jc w:val="center"/>
              <w:rPr>
                <w:rFonts w:hint="eastAsia"/>
                <w:color w:val="auto"/>
              </w:rPr>
            </w:pPr>
            <w:r>
              <w:rPr>
                <w:rFonts w:hint="eastAsia"/>
                <w:color w:val="auto"/>
              </w:rPr>
              <w:t>响应报价</w:t>
            </w:r>
          </w:p>
        </w:tc>
        <w:tc>
          <w:tcPr>
            <w:tcW w:w="6161" w:type="dxa"/>
            <w:vAlign w:val="center"/>
          </w:tcPr>
          <w:p w14:paraId="30B49D65">
            <w:pPr>
              <w:widowControl w:val="0"/>
              <w:rPr>
                <w:rFonts w:hint="eastAsia"/>
                <w:color w:val="auto"/>
              </w:rPr>
            </w:pPr>
            <w:r>
              <w:rPr>
                <w:rFonts w:hint="eastAsia"/>
                <w:color w:val="auto"/>
              </w:rPr>
              <w:t>价格分统一采用低价优先法计算，即满足磋商文件要求且最后报价最低的磋商报价为磋商基准价，其价格分为满分。其他响应供应商的价格分统一按照下列公式计算：</w:t>
            </w:r>
          </w:p>
          <w:p w14:paraId="1C06FCC4">
            <w:pPr>
              <w:widowControl w:val="0"/>
              <w:rPr>
                <w:rFonts w:hint="eastAsia"/>
                <w:color w:val="auto"/>
              </w:rPr>
            </w:pPr>
            <w:r>
              <w:rPr>
                <w:rFonts w:hint="eastAsia"/>
                <w:color w:val="auto"/>
              </w:rPr>
              <w:t>磋商报价得分=(磋商基准价／最后磋商报价)×100×价格权重</w:t>
            </w:r>
          </w:p>
          <w:p w14:paraId="12CF83E4">
            <w:pPr>
              <w:widowControl w:val="0"/>
              <w:rPr>
                <w:color w:val="auto"/>
              </w:rPr>
            </w:pPr>
            <w:r>
              <w:rPr>
                <w:rFonts w:hint="eastAsia"/>
                <w:color w:val="auto"/>
              </w:rPr>
              <w:t>磋商报价得分四舍五入后，小数点后保留两位有效数。</w:t>
            </w:r>
          </w:p>
        </w:tc>
        <w:tc>
          <w:tcPr>
            <w:tcW w:w="1131" w:type="dxa"/>
            <w:shd w:val="clear" w:color="auto" w:fill="auto"/>
            <w:vAlign w:val="center"/>
          </w:tcPr>
          <w:p w14:paraId="2AB64DB7">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10分</w:t>
            </w:r>
          </w:p>
        </w:tc>
      </w:tr>
      <w:tr w14:paraId="455E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26" w:type="dxa"/>
            <w:vMerge w:val="restart"/>
            <w:vAlign w:val="center"/>
          </w:tcPr>
          <w:p w14:paraId="2969B876">
            <w:pPr>
              <w:widowControl w:val="0"/>
              <w:jc w:val="center"/>
              <w:rPr>
                <w:color w:val="auto"/>
              </w:rPr>
            </w:pPr>
            <w:r>
              <w:rPr>
                <w:rFonts w:hint="eastAsia"/>
                <w:color w:val="auto"/>
              </w:rPr>
              <w:t>2</w:t>
            </w:r>
          </w:p>
        </w:tc>
        <w:tc>
          <w:tcPr>
            <w:tcW w:w="1203" w:type="dxa"/>
            <w:vMerge w:val="restart"/>
            <w:vAlign w:val="center"/>
          </w:tcPr>
          <w:p w14:paraId="13181DD3">
            <w:pPr>
              <w:widowControl w:val="0"/>
              <w:jc w:val="center"/>
              <w:rPr>
                <w:color w:val="auto"/>
              </w:rPr>
            </w:pPr>
            <w:r>
              <w:rPr>
                <w:rFonts w:hint="eastAsia"/>
                <w:color w:val="auto"/>
              </w:rPr>
              <w:t>商务部分</w:t>
            </w:r>
          </w:p>
          <w:p w14:paraId="57D65325">
            <w:pPr>
              <w:pStyle w:val="2"/>
              <w:widowControl w:val="0"/>
              <w:jc w:val="center"/>
              <w:rPr>
                <w:rFonts w:hint="eastAsia"/>
                <w:color w:val="auto"/>
              </w:rPr>
            </w:pPr>
            <w:r>
              <w:rPr>
                <w:rFonts w:hint="eastAsia"/>
                <w:color w:val="auto"/>
              </w:rPr>
              <w:t>（30分）</w:t>
            </w:r>
          </w:p>
        </w:tc>
        <w:tc>
          <w:tcPr>
            <w:tcW w:w="1305" w:type="dxa"/>
            <w:vAlign w:val="center"/>
          </w:tcPr>
          <w:p w14:paraId="544088D5">
            <w:pPr>
              <w:widowControl w:val="0"/>
              <w:jc w:val="center"/>
              <w:rPr>
                <w:color w:val="auto"/>
              </w:rPr>
            </w:pPr>
            <w:r>
              <w:rPr>
                <w:rFonts w:hint="eastAsia"/>
                <w:color w:val="auto"/>
              </w:rPr>
              <w:t>企业业绩</w:t>
            </w:r>
          </w:p>
        </w:tc>
        <w:tc>
          <w:tcPr>
            <w:tcW w:w="6161" w:type="dxa"/>
            <w:vAlign w:val="center"/>
          </w:tcPr>
          <w:p w14:paraId="0908A4D6">
            <w:pPr>
              <w:widowControl w:val="0"/>
              <w:rPr>
                <w:rFonts w:hint="eastAsia"/>
                <w:color w:val="auto"/>
              </w:rPr>
            </w:pPr>
            <w:r>
              <w:rPr>
                <w:rFonts w:hint="eastAsia" w:eastAsia="宋体"/>
                <w:color w:val="auto"/>
                <w:lang w:val="en-US" w:eastAsia="zh-CN"/>
              </w:rPr>
              <w:t>供应商</w:t>
            </w:r>
            <w:r>
              <w:rPr>
                <w:rFonts w:hint="eastAsia"/>
                <w:color w:val="auto"/>
              </w:rPr>
              <w:t>2021年1月1日至今（以合同签订日期为准）独立承担的类似项目成功案例，每提供一个得2分，最多得10分。</w:t>
            </w:r>
          </w:p>
          <w:p w14:paraId="4ACE3DC7">
            <w:pPr>
              <w:widowControl w:val="0"/>
              <w:rPr>
                <w:color w:val="auto"/>
              </w:rPr>
            </w:pPr>
            <w:r>
              <w:rPr>
                <w:rFonts w:hint="eastAsia"/>
                <w:color w:val="auto"/>
              </w:rPr>
              <w:t>（响应文件中附加盖供应商公章的中标通知书或合同复印件。）</w:t>
            </w:r>
          </w:p>
        </w:tc>
        <w:tc>
          <w:tcPr>
            <w:tcW w:w="1131" w:type="dxa"/>
            <w:shd w:val="clear" w:color="auto" w:fill="auto"/>
            <w:vAlign w:val="center"/>
          </w:tcPr>
          <w:p w14:paraId="7A83866D">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10分</w:t>
            </w:r>
          </w:p>
        </w:tc>
      </w:tr>
      <w:tr w14:paraId="2E6F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426" w:type="dxa"/>
            <w:vMerge w:val="continue"/>
            <w:vAlign w:val="center"/>
          </w:tcPr>
          <w:p w14:paraId="50A9CFAE">
            <w:pPr>
              <w:widowControl w:val="0"/>
              <w:jc w:val="center"/>
              <w:rPr>
                <w:color w:val="auto"/>
              </w:rPr>
            </w:pPr>
          </w:p>
        </w:tc>
        <w:tc>
          <w:tcPr>
            <w:tcW w:w="1203" w:type="dxa"/>
            <w:vMerge w:val="continue"/>
            <w:vAlign w:val="center"/>
          </w:tcPr>
          <w:p w14:paraId="1D911A82">
            <w:pPr>
              <w:widowControl w:val="0"/>
              <w:jc w:val="center"/>
              <w:rPr>
                <w:color w:val="auto"/>
              </w:rPr>
            </w:pPr>
          </w:p>
        </w:tc>
        <w:tc>
          <w:tcPr>
            <w:tcW w:w="1305" w:type="dxa"/>
            <w:vAlign w:val="center"/>
          </w:tcPr>
          <w:p w14:paraId="62B2ADF6">
            <w:pPr>
              <w:widowControl w:val="0"/>
              <w:jc w:val="center"/>
              <w:rPr>
                <w:rFonts w:hint="default" w:eastAsia="宋体"/>
                <w:color w:val="auto"/>
                <w:lang w:val="en-US" w:eastAsia="zh-CN"/>
              </w:rPr>
            </w:pPr>
            <w:r>
              <w:rPr>
                <w:rFonts w:hint="eastAsia" w:eastAsia="宋体"/>
                <w:color w:val="auto"/>
                <w:lang w:val="en-US" w:eastAsia="zh-CN"/>
              </w:rPr>
              <w:t>企业实力</w:t>
            </w:r>
          </w:p>
        </w:tc>
        <w:tc>
          <w:tcPr>
            <w:tcW w:w="6161" w:type="dxa"/>
            <w:vAlign w:val="center"/>
          </w:tcPr>
          <w:p w14:paraId="0AB2AECB">
            <w:pPr>
              <w:widowControl w:val="0"/>
              <w:rPr>
                <w:color w:val="auto"/>
              </w:rPr>
            </w:pPr>
            <w:r>
              <w:rPr>
                <w:rFonts w:hint="eastAsia"/>
                <w:color w:val="auto"/>
              </w:rPr>
              <w:t>1.供应商具有ISO20000（信息技术服务管理体系认证）含二级及以上得2分，不能满足的不得分。（以响应文件中加盖供应商公章的有效证书文件复印件或其他有效证明文件复印件为评分依据）</w:t>
            </w:r>
          </w:p>
          <w:p w14:paraId="7A12CB29">
            <w:pPr>
              <w:pStyle w:val="2"/>
              <w:widowControl w:val="0"/>
              <w:rPr>
                <w:color w:val="auto"/>
              </w:rPr>
            </w:pPr>
            <w:r>
              <w:rPr>
                <w:rFonts w:hint="eastAsia"/>
                <w:color w:val="auto"/>
              </w:rPr>
              <w:t>2. 供应商具有ISO27001信息安全管理体系认证的得2分，不能满足的不得分。（以响应文件中加盖供应商公章的有效证书文件复印件或其他有效证明文件复印件为评分依据）</w:t>
            </w:r>
          </w:p>
          <w:p w14:paraId="29BDF873">
            <w:pPr>
              <w:pStyle w:val="2"/>
              <w:widowControl w:val="0"/>
              <w:rPr>
                <w:rFonts w:hint="eastAsia"/>
                <w:color w:val="auto"/>
              </w:rPr>
            </w:pPr>
            <w:r>
              <w:rPr>
                <w:rFonts w:hint="eastAsia"/>
                <w:color w:val="auto"/>
              </w:rPr>
              <w:t>3. 供应商具有中国网络安全审查技术与认证中心发放的信息系统风险评估资质三级及以上的得2分，不能满足的不得分。</w:t>
            </w:r>
          </w:p>
          <w:p w14:paraId="4C929400">
            <w:pPr>
              <w:pStyle w:val="2"/>
              <w:widowControl w:val="0"/>
              <w:rPr>
                <w:color w:val="auto"/>
              </w:rPr>
            </w:pPr>
            <w:r>
              <w:rPr>
                <w:rFonts w:hint="eastAsia"/>
                <w:color w:val="auto"/>
              </w:rPr>
              <w:t>（以响应文件中加盖供应商公章的有效证书文件复印件或其他有效证明文件复印件为评分依据）</w:t>
            </w:r>
          </w:p>
          <w:p w14:paraId="3D8E712D">
            <w:pPr>
              <w:pStyle w:val="2"/>
              <w:widowControl w:val="0"/>
              <w:rPr>
                <w:rFonts w:hint="eastAsia"/>
                <w:color w:val="auto"/>
              </w:rPr>
            </w:pPr>
            <w:r>
              <w:rPr>
                <w:rFonts w:hint="eastAsia"/>
                <w:color w:val="auto"/>
              </w:rPr>
              <w:t>4. 供应商具备公安部第三研究所（国家认证认可委员会批准的认证机构）认证发放的网络安全等级保护测评机构证书的得2分，不能满足的不得分。</w:t>
            </w:r>
          </w:p>
          <w:p w14:paraId="247C5EDE">
            <w:pPr>
              <w:pStyle w:val="2"/>
              <w:widowControl w:val="0"/>
              <w:rPr>
                <w:color w:val="auto"/>
              </w:rPr>
            </w:pPr>
            <w:r>
              <w:rPr>
                <w:rFonts w:hint="eastAsia"/>
                <w:color w:val="auto"/>
              </w:rPr>
              <w:t>（以响应文件中加盖供应商公章的有效证书文件复印件或其他有效证明文件复印件为评分依据）</w:t>
            </w:r>
          </w:p>
          <w:p w14:paraId="2BB7794A">
            <w:pPr>
              <w:pStyle w:val="2"/>
              <w:widowControl w:val="0"/>
              <w:rPr>
                <w:rFonts w:hint="eastAsia"/>
                <w:color w:val="auto"/>
              </w:rPr>
            </w:pPr>
            <w:r>
              <w:rPr>
                <w:rFonts w:hint="eastAsia"/>
                <w:color w:val="auto"/>
              </w:rPr>
              <w:t>5. 供应商具有中国网络安全审查技术与认证中心颁发的信息安全服务资质认证证书（信息系统安全运维三级）含三级及以上得2分，不能满足的不得分。</w:t>
            </w:r>
          </w:p>
          <w:p w14:paraId="1FD50DF7">
            <w:pPr>
              <w:pStyle w:val="2"/>
              <w:widowControl w:val="0"/>
              <w:rPr>
                <w:color w:val="auto"/>
              </w:rPr>
            </w:pPr>
            <w:r>
              <w:rPr>
                <w:rFonts w:hint="eastAsia"/>
                <w:color w:val="auto"/>
              </w:rPr>
              <w:t>（以响应文件中加盖供应商公章的有效证书文件复印件或其他有效证明文件复印件为评分依据）</w:t>
            </w:r>
          </w:p>
          <w:p w14:paraId="0A085019">
            <w:pPr>
              <w:pStyle w:val="2"/>
              <w:widowControl w:val="0"/>
              <w:rPr>
                <w:rFonts w:hint="eastAsia"/>
                <w:color w:val="auto"/>
              </w:rPr>
            </w:pPr>
            <w:r>
              <w:rPr>
                <w:rFonts w:hint="eastAsia"/>
                <w:color w:val="auto"/>
              </w:rPr>
              <w:t>6. 供应商具有环境管理体系认证证书ISO14001得2分，不能满足的不得分。</w:t>
            </w:r>
          </w:p>
          <w:p w14:paraId="2159A514">
            <w:pPr>
              <w:pStyle w:val="2"/>
              <w:widowControl w:val="0"/>
              <w:rPr>
                <w:color w:val="auto"/>
              </w:rPr>
            </w:pPr>
            <w:r>
              <w:rPr>
                <w:rFonts w:hint="eastAsia"/>
                <w:color w:val="auto"/>
              </w:rPr>
              <w:t>（以响应文件中加盖供应商公章的有效证书文件复印件或其他有效证明文件复印件为评分依据）</w:t>
            </w:r>
          </w:p>
          <w:p w14:paraId="5C807E6B">
            <w:pPr>
              <w:pStyle w:val="2"/>
              <w:widowControl w:val="0"/>
              <w:rPr>
                <w:color w:val="auto"/>
              </w:rPr>
            </w:pPr>
            <w:r>
              <w:rPr>
                <w:rFonts w:hint="eastAsia"/>
                <w:color w:val="auto"/>
              </w:rPr>
              <w:t>7. 供应商具备信息技术服务运行维护标准符合性证书/ITSS三级以上（含三级）的得2分，不能满足的不得分。（以响应文件中加盖供应商公章的有效证书文件复印件或其他有效证明文件复印件为评分依据）</w:t>
            </w:r>
          </w:p>
          <w:p w14:paraId="473A7437">
            <w:pPr>
              <w:pStyle w:val="2"/>
              <w:widowControl w:val="0"/>
              <w:rPr>
                <w:rFonts w:hint="eastAsia"/>
                <w:color w:val="auto"/>
              </w:rPr>
            </w:pPr>
            <w:r>
              <w:rPr>
                <w:rFonts w:hint="eastAsia"/>
                <w:color w:val="auto"/>
              </w:rPr>
              <w:t>8. 供应商具有质量管理体系认证证书ISO9001得2分，不能满足不得分。</w:t>
            </w:r>
          </w:p>
          <w:p w14:paraId="60CA1572">
            <w:pPr>
              <w:pStyle w:val="2"/>
              <w:widowControl w:val="0"/>
              <w:rPr>
                <w:color w:val="auto"/>
              </w:rPr>
            </w:pPr>
            <w:r>
              <w:rPr>
                <w:rFonts w:hint="eastAsia"/>
                <w:color w:val="auto"/>
              </w:rPr>
              <w:t>（以响应文件中加盖供应商公章的有效证书文件复印件或其他有效证明文件复印件为评分依据）</w:t>
            </w:r>
          </w:p>
          <w:p w14:paraId="4BE4AAAE">
            <w:pPr>
              <w:pStyle w:val="2"/>
              <w:widowControl w:val="0"/>
              <w:rPr>
                <w:rFonts w:hint="eastAsia"/>
                <w:color w:val="auto"/>
              </w:rPr>
            </w:pPr>
            <w:r>
              <w:rPr>
                <w:rFonts w:hint="eastAsia"/>
                <w:color w:val="auto"/>
              </w:rPr>
              <w:t>9. 供应商具有职业健康认证管理体系的得2分，不能满足的不得分。</w:t>
            </w:r>
          </w:p>
          <w:p w14:paraId="4628CBAF">
            <w:pPr>
              <w:pStyle w:val="2"/>
              <w:widowControl w:val="0"/>
              <w:rPr>
                <w:color w:val="auto"/>
              </w:rPr>
            </w:pPr>
            <w:r>
              <w:rPr>
                <w:rFonts w:hint="eastAsia"/>
                <w:color w:val="auto"/>
              </w:rPr>
              <w:t>（以响应文件中加盖供应商公章的有效证书文件复印件或其他有效证明文件复印件为评分依据）</w:t>
            </w:r>
          </w:p>
          <w:p w14:paraId="79A4543D">
            <w:pPr>
              <w:pStyle w:val="2"/>
              <w:widowControl w:val="0"/>
              <w:rPr>
                <w:color w:val="auto"/>
              </w:rPr>
            </w:pPr>
            <w:r>
              <w:rPr>
                <w:rFonts w:hint="eastAsia"/>
                <w:color w:val="auto"/>
              </w:rPr>
              <w:t>10.供应商具有中国网格安全审查技术与认证中心发放的信息系统安全集成服务资质（二级）的得2分，不能满足的不得分。</w:t>
            </w:r>
          </w:p>
          <w:p w14:paraId="7BC8B42B">
            <w:pPr>
              <w:pStyle w:val="2"/>
              <w:widowControl w:val="0"/>
              <w:rPr>
                <w:rFonts w:hint="eastAsia"/>
                <w:color w:val="auto"/>
              </w:rPr>
            </w:pPr>
            <w:r>
              <w:rPr>
                <w:rFonts w:hint="eastAsia"/>
                <w:color w:val="auto"/>
              </w:rPr>
              <w:t>（以响应文件中加盖供应商公章的有效证书文件复印件或其他有效证明文件复印件为评分依据）</w:t>
            </w:r>
          </w:p>
        </w:tc>
        <w:tc>
          <w:tcPr>
            <w:tcW w:w="1131" w:type="dxa"/>
            <w:shd w:val="clear" w:color="auto" w:fill="auto"/>
            <w:vAlign w:val="center"/>
          </w:tcPr>
          <w:p w14:paraId="0FAA505E">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20分</w:t>
            </w:r>
          </w:p>
        </w:tc>
      </w:tr>
      <w:tr w14:paraId="0D2E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6" w:hRule="atLeast"/>
        </w:trPr>
        <w:tc>
          <w:tcPr>
            <w:tcW w:w="426" w:type="dxa"/>
            <w:vMerge w:val="restart"/>
            <w:vAlign w:val="center"/>
          </w:tcPr>
          <w:p w14:paraId="779A634D">
            <w:pPr>
              <w:widowControl w:val="0"/>
              <w:jc w:val="center"/>
              <w:rPr>
                <w:rFonts w:hint="eastAsia"/>
                <w:color w:val="auto"/>
              </w:rPr>
            </w:pPr>
            <w:r>
              <w:rPr>
                <w:rFonts w:hint="eastAsia"/>
                <w:color w:val="auto"/>
              </w:rPr>
              <w:t>3</w:t>
            </w:r>
          </w:p>
        </w:tc>
        <w:tc>
          <w:tcPr>
            <w:tcW w:w="1203" w:type="dxa"/>
            <w:vMerge w:val="restart"/>
            <w:vAlign w:val="center"/>
          </w:tcPr>
          <w:p w14:paraId="1EE563A2">
            <w:pPr>
              <w:widowControl w:val="0"/>
              <w:jc w:val="center"/>
              <w:rPr>
                <w:color w:val="auto"/>
              </w:rPr>
            </w:pPr>
            <w:r>
              <w:rPr>
                <w:rFonts w:hint="eastAsia"/>
                <w:color w:val="auto"/>
              </w:rPr>
              <w:t>技术部分</w:t>
            </w:r>
          </w:p>
          <w:p w14:paraId="78E08332">
            <w:pPr>
              <w:pStyle w:val="2"/>
              <w:widowControl w:val="0"/>
              <w:jc w:val="center"/>
              <w:rPr>
                <w:rFonts w:hint="eastAsia"/>
                <w:color w:val="auto"/>
              </w:rPr>
            </w:pPr>
            <w:r>
              <w:rPr>
                <w:rFonts w:hint="eastAsia"/>
                <w:color w:val="auto"/>
              </w:rPr>
              <w:t>（60分）</w:t>
            </w:r>
          </w:p>
        </w:tc>
        <w:tc>
          <w:tcPr>
            <w:tcW w:w="1305" w:type="dxa"/>
            <w:vAlign w:val="center"/>
          </w:tcPr>
          <w:p w14:paraId="581609AD">
            <w:pPr>
              <w:widowControl w:val="0"/>
              <w:jc w:val="center"/>
              <w:rPr>
                <w:rFonts w:hint="default" w:eastAsia="宋体"/>
                <w:color w:val="auto"/>
                <w:lang w:val="en-US" w:eastAsia="zh-CN"/>
              </w:rPr>
            </w:pPr>
            <w:r>
              <w:rPr>
                <w:rFonts w:hint="eastAsia" w:eastAsia="宋体"/>
                <w:color w:val="auto"/>
                <w:lang w:val="en-US" w:eastAsia="zh-CN"/>
              </w:rPr>
              <w:t>人员配备</w:t>
            </w:r>
          </w:p>
        </w:tc>
        <w:tc>
          <w:tcPr>
            <w:tcW w:w="6161" w:type="dxa"/>
            <w:vAlign w:val="center"/>
          </w:tcPr>
          <w:p w14:paraId="1411A17D">
            <w:pPr>
              <w:widowControl w:val="0"/>
              <w:rPr>
                <w:rFonts w:hint="eastAsia"/>
                <w:color w:val="auto"/>
              </w:rPr>
            </w:pPr>
            <w:r>
              <w:rPr>
                <w:rFonts w:hint="eastAsia"/>
                <w:color w:val="auto"/>
              </w:rPr>
              <w:t>1. 供应商每提供1个由中国信息安全测评中心颁发的注册信息安全专业人员证书（CISP）得2分，最多得6分；没有的不得分。</w:t>
            </w:r>
          </w:p>
          <w:p w14:paraId="4F6F5A0A">
            <w:pPr>
              <w:widowControl w:val="0"/>
              <w:rPr>
                <w:color w:val="auto"/>
              </w:rPr>
            </w:pPr>
            <w:r>
              <w:rPr>
                <w:rFonts w:hint="eastAsia"/>
                <w:color w:val="auto"/>
              </w:rPr>
              <w:t>（以响应文件中加盖供应商公章的有效证书文件复印件或其他有效证明文件复印件为评分依据）</w:t>
            </w:r>
          </w:p>
          <w:p w14:paraId="01B21761">
            <w:pPr>
              <w:pStyle w:val="2"/>
              <w:widowControl w:val="0"/>
              <w:rPr>
                <w:rFonts w:hint="eastAsia"/>
                <w:color w:val="auto"/>
              </w:rPr>
            </w:pPr>
            <w:r>
              <w:rPr>
                <w:rFonts w:hint="eastAsia"/>
                <w:color w:val="auto"/>
              </w:rPr>
              <w:t>2. 供应商可提供网络安全等级保护高级测评师认证证书，满足的得3分，不满足的得0分。</w:t>
            </w:r>
          </w:p>
          <w:p w14:paraId="21344984">
            <w:pPr>
              <w:pStyle w:val="2"/>
              <w:widowControl w:val="0"/>
              <w:rPr>
                <w:color w:val="auto"/>
              </w:rPr>
            </w:pPr>
            <w:r>
              <w:rPr>
                <w:rFonts w:hint="eastAsia"/>
                <w:color w:val="auto"/>
              </w:rPr>
              <w:t>（以响应文件中加盖供应商公章的有效证书文件复印件或其他有效证明文件复印件为评分依据）</w:t>
            </w:r>
          </w:p>
          <w:p w14:paraId="698AC89E">
            <w:pPr>
              <w:pStyle w:val="2"/>
              <w:widowControl w:val="0"/>
              <w:rPr>
                <w:rFonts w:hint="eastAsia"/>
                <w:color w:val="auto"/>
              </w:rPr>
            </w:pPr>
            <w:r>
              <w:rPr>
                <w:rFonts w:hint="eastAsia"/>
                <w:color w:val="auto"/>
              </w:rPr>
              <w:t>3. 供应商每提供1个IT服务工程师（ITSS）人员证书得2分，最多得6分；没有的不得分。</w:t>
            </w:r>
          </w:p>
          <w:p w14:paraId="363F9F47">
            <w:pPr>
              <w:pStyle w:val="2"/>
              <w:widowControl w:val="0"/>
              <w:rPr>
                <w:color w:val="auto"/>
              </w:rPr>
            </w:pPr>
            <w:r>
              <w:rPr>
                <w:rFonts w:hint="eastAsia"/>
                <w:color w:val="auto"/>
              </w:rPr>
              <w:t>（以响应文件中加盖供应商公章的有效证书文件复印件或其他有效证明文件复印件为评分依据）</w:t>
            </w:r>
          </w:p>
          <w:p w14:paraId="0CAD7CC4">
            <w:pPr>
              <w:pStyle w:val="2"/>
              <w:widowControl w:val="0"/>
              <w:rPr>
                <w:rFonts w:hint="eastAsia"/>
                <w:color w:val="auto"/>
              </w:rPr>
            </w:pPr>
            <w:r>
              <w:rPr>
                <w:rFonts w:hint="eastAsia"/>
                <w:color w:val="auto"/>
              </w:rPr>
              <w:t>4. 供应商可提供IT服务项目经理（ITSS）人员证书。满足的得3分；不满足的得0分。</w:t>
            </w:r>
          </w:p>
          <w:p w14:paraId="29DC6822">
            <w:pPr>
              <w:pStyle w:val="2"/>
              <w:widowControl w:val="0"/>
              <w:rPr>
                <w:color w:val="auto"/>
              </w:rPr>
            </w:pPr>
            <w:r>
              <w:rPr>
                <w:rFonts w:hint="eastAsia"/>
                <w:color w:val="auto"/>
              </w:rPr>
              <w:t>（以响应文件中加盖供应商公章的有效证书文件复印件或其他有效证明文件复印件为评分依据）</w:t>
            </w:r>
          </w:p>
          <w:p w14:paraId="235CA4B2">
            <w:pPr>
              <w:pStyle w:val="2"/>
              <w:widowControl w:val="0"/>
              <w:rPr>
                <w:color w:val="auto"/>
              </w:rPr>
            </w:pPr>
            <w:r>
              <w:rPr>
                <w:rFonts w:hint="eastAsia"/>
                <w:color w:val="auto"/>
              </w:rPr>
              <w:t>5. 供应商可提供1个信息安全保障人员（CISAW）的得2分，没有的不得分。（以响应文件中加盖供应商公章的有效证书文件复印件或其他有效证明文件复印件为评分依据）</w:t>
            </w:r>
          </w:p>
          <w:p w14:paraId="3A43B050">
            <w:pPr>
              <w:pStyle w:val="2"/>
              <w:widowControl w:val="0"/>
              <w:rPr>
                <w:rFonts w:hint="eastAsia"/>
                <w:color w:val="auto"/>
              </w:rPr>
            </w:pPr>
            <w:r>
              <w:rPr>
                <w:rFonts w:hint="eastAsia"/>
                <w:color w:val="auto"/>
              </w:rPr>
              <w:t>6. 供应商每提供1个HCIE认证证书或其他同等级认证证书的得2分，最多得6分；没有的不得分。</w:t>
            </w:r>
          </w:p>
          <w:p w14:paraId="3D617A80">
            <w:pPr>
              <w:pStyle w:val="2"/>
              <w:widowControl w:val="0"/>
              <w:rPr>
                <w:color w:val="auto"/>
              </w:rPr>
            </w:pPr>
            <w:r>
              <w:rPr>
                <w:rFonts w:hint="eastAsia"/>
                <w:color w:val="auto"/>
              </w:rPr>
              <w:t>（以响应文件中加盖供应商公章的有效证书文件复印件或其他有效证明文件复印件为评分依据）</w:t>
            </w:r>
          </w:p>
          <w:p w14:paraId="0CCE3311">
            <w:pPr>
              <w:pStyle w:val="2"/>
              <w:widowControl w:val="0"/>
              <w:rPr>
                <w:rFonts w:hint="eastAsia"/>
                <w:color w:val="auto"/>
              </w:rPr>
            </w:pPr>
            <w:r>
              <w:rPr>
                <w:rFonts w:hint="eastAsia"/>
                <w:color w:val="auto"/>
              </w:rPr>
              <w:t>7. 供应商每提供1个HCIP认证证书或其他同等级认证证书的得1分，最多得4分；没有的不得分。</w:t>
            </w:r>
          </w:p>
          <w:p w14:paraId="607E1D12">
            <w:pPr>
              <w:pStyle w:val="2"/>
              <w:widowControl w:val="0"/>
              <w:rPr>
                <w:rFonts w:hint="eastAsia"/>
                <w:color w:val="auto"/>
              </w:rPr>
            </w:pPr>
            <w:r>
              <w:rPr>
                <w:rFonts w:hint="eastAsia"/>
                <w:color w:val="auto"/>
              </w:rPr>
              <w:t>（以响应文件中加盖供应商公章的有效证书文件复印件或其他有效证明文件复印件为评分依据）</w:t>
            </w:r>
          </w:p>
        </w:tc>
        <w:tc>
          <w:tcPr>
            <w:tcW w:w="1131" w:type="dxa"/>
            <w:shd w:val="clear" w:color="auto" w:fill="auto"/>
            <w:vAlign w:val="center"/>
          </w:tcPr>
          <w:p w14:paraId="74F1BE3F">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30分</w:t>
            </w:r>
          </w:p>
        </w:tc>
      </w:tr>
      <w:tr w14:paraId="7295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26" w:type="dxa"/>
            <w:vMerge w:val="continue"/>
            <w:vAlign w:val="center"/>
          </w:tcPr>
          <w:p w14:paraId="1AD08F8A">
            <w:pPr>
              <w:widowControl w:val="0"/>
              <w:jc w:val="center"/>
              <w:rPr>
                <w:rFonts w:hint="eastAsia"/>
                <w:color w:val="auto"/>
              </w:rPr>
            </w:pPr>
          </w:p>
        </w:tc>
        <w:tc>
          <w:tcPr>
            <w:tcW w:w="1203" w:type="dxa"/>
            <w:vMerge w:val="continue"/>
            <w:vAlign w:val="center"/>
          </w:tcPr>
          <w:p w14:paraId="4E1F58BB">
            <w:pPr>
              <w:widowControl w:val="0"/>
              <w:jc w:val="center"/>
              <w:rPr>
                <w:color w:val="auto"/>
              </w:rPr>
            </w:pPr>
          </w:p>
        </w:tc>
        <w:tc>
          <w:tcPr>
            <w:tcW w:w="1305" w:type="dxa"/>
            <w:vAlign w:val="center"/>
          </w:tcPr>
          <w:p w14:paraId="239BCF3C">
            <w:pPr>
              <w:widowControl w:val="0"/>
              <w:jc w:val="center"/>
              <w:rPr>
                <w:rFonts w:hint="eastAsia"/>
                <w:color w:val="auto"/>
              </w:rPr>
            </w:pPr>
            <w:r>
              <w:rPr>
                <w:rFonts w:hint="eastAsia"/>
                <w:color w:val="auto"/>
              </w:rPr>
              <w:t>服务方案</w:t>
            </w:r>
          </w:p>
        </w:tc>
        <w:tc>
          <w:tcPr>
            <w:tcW w:w="6161" w:type="dxa"/>
            <w:vAlign w:val="center"/>
          </w:tcPr>
          <w:p w14:paraId="2768F594">
            <w:pPr>
              <w:widowControl w:val="0"/>
              <w:rPr>
                <w:rFonts w:hint="eastAsia"/>
                <w:color w:val="auto"/>
              </w:rPr>
            </w:pPr>
            <w:r>
              <w:rPr>
                <w:rFonts w:hint="eastAsia"/>
                <w:color w:val="auto"/>
              </w:rPr>
              <w:t>根据磋商文件，提出项目技术服务方案，给出得分；</w:t>
            </w:r>
          </w:p>
          <w:p w14:paraId="00A1E791">
            <w:pPr>
              <w:widowControl w:val="0"/>
              <w:rPr>
                <w:rFonts w:hint="eastAsia"/>
                <w:color w:val="auto"/>
              </w:rPr>
            </w:pPr>
            <w:r>
              <w:rPr>
                <w:rFonts w:hint="eastAsia"/>
                <w:color w:val="auto"/>
              </w:rPr>
              <w:t>（1）项目技术服务方案编制科学合理，内容全面且有针对性，技术方案详细、先进且具备可行性，措施得力、切实可行的，得10分；</w:t>
            </w:r>
          </w:p>
          <w:p w14:paraId="5E3D4D03">
            <w:pPr>
              <w:widowControl w:val="0"/>
              <w:rPr>
                <w:rFonts w:hint="eastAsia"/>
                <w:color w:val="auto"/>
              </w:rPr>
            </w:pPr>
            <w:r>
              <w:rPr>
                <w:rFonts w:hint="eastAsia"/>
                <w:color w:val="auto"/>
              </w:rPr>
              <w:t>（2）项目技术服务方案编制比较科学合理，内容比较全面、比较有针对性，技术方案比较详细、先进性和可行性一般，措施比较得力、可行的，得5分；</w:t>
            </w:r>
          </w:p>
          <w:p w14:paraId="70C053CA">
            <w:pPr>
              <w:widowControl w:val="0"/>
              <w:rPr>
                <w:rFonts w:hint="eastAsia"/>
                <w:color w:val="auto"/>
              </w:rPr>
            </w:pPr>
            <w:r>
              <w:rPr>
                <w:rFonts w:hint="eastAsia"/>
                <w:color w:val="auto"/>
              </w:rPr>
              <w:t>（3）项目技术服务方案编制不够科学合理，比较简单、针对性不强，技术方案简单、技术落后，措施不完备、可行性差的，得2分。</w:t>
            </w:r>
          </w:p>
          <w:p w14:paraId="2B69E759">
            <w:pPr>
              <w:widowControl w:val="0"/>
              <w:rPr>
                <w:rFonts w:hint="eastAsia"/>
                <w:color w:val="auto"/>
              </w:rPr>
            </w:pPr>
            <w:r>
              <w:rPr>
                <w:rFonts w:hint="eastAsia"/>
                <w:color w:val="auto"/>
              </w:rPr>
              <w:t>（4）严重缺项或无此项内容的，得0分。</w:t>
            </w:r>
          </w:p>
        </w:tc>
        <w:tc>
          <w:tcPr>
            <w:tcW w:w="1131" w:type="dxa"/>
            <w:shd w:val="clear" w:color="auto" w:fill="auto"/>
            <w:vAlign w:val="center"/>
          </w:tcPr>
          <w:p w14:paraId="62A6173B">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10分</w:t>
            </w:r>
          </w:p>
        </w:tc>
      </w:tr>
      <w:tr w14:paraId="00E8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426" w:type="dxa"/>
            <w:vMerge w:val="continue"/>
            <w:vAlign w:val="center"/>
          </w:tcPr>
          <w:p w14:paraId="150D8D6D">
            <w:pPr>
              <w:widowControl w:val="0"/>
              <w:jc w:val="center"/>
              <w:rPr>
                <w:rFonts w:hint="eastAsia"/>
                <w:color w:val="auto"/>
              </w:rPr>
            </w:pPr>
          </w:p>
        </w:tc>
        <w:tc>
          <w:tcPr>
            <w:tcW w:w="1203" w:type="dxa"/>
            <w:vMerge w:val="continue"/>
            <w:vAlign w:val="center"/>
          </w:tcPr>
          <w:p w14:paraId="43F738B5">
            <w:pPr>
              <w:widowControl w:val="0"/>
              <w:jc w:val="center"/>
              <w:rPr>
                <w:color w:val="auto"/>
              </w:rPr>
            </w:pPr>
          </w:p>
        </w:tc>
        <w:tc>
          <w:tcPr>
            <w:tcW w:w="1305" w:type="dxa"/>
            <w:vAlign w:val="center"/>
          </w:tcPr>
          <w:p w14:paraId="7E4754BD">
            <w:pPr>
              <w:widowControl w:val="0"/>
              <w:jc w:val="center"/>
              <w:rPr>
                <w:rFonts w:hint="eastAsia"/>
                <w:color w:val="auto"/>
              </w:rPr>
            </w:pPr>
            <w:r>
              <w:rPr>
                <w:rFonts w:hint="eastAsia"/>
                <w:color w:val="auto"/>
              </w:rPr>
              <w:t>质量保证措施及承诺</w:t>
            </w:r>
          </w:p>
        </w:tc>
        <w:tc>
          <w:tcPr>
            <w:tcW w:w="6161" w:type="dxa"/>
            <w:vAlign w:val="center"/>
          </w:tcPr>
          <w:p w14:paraId="177A7D35">
            <w:pPr>
              <w:widowControl w:val="0"/>
              <w:rPr>
                <w:rFonts w:hint="eastAsia"/>
                <w:color w:val="auto"/>
              </w:rPr>
            </w:pPr>
            <w:r>
              <w:rPr>
                <w:rFonts w:hint="eastAsia"/>
                <w:color w:val="auto"/>
              </w:rPr>
              <w:t>根据磋商文件，在技术服务方案中提出服务质量保证措施及承诺，给出得分；</w:t>
            </w:r>
          </w:p>
          <w:p w14:paraId="51221898">
            <w:pPr>
              <w:widowControl w:val="0"/>
              <w:rPr>
                <w:rFonts w:hint="eastAsia"/>
                <w:color w:val="auto"/>
              </w:rPr>
            </w:pPr>
            <w:r>
              <w:rPr>
                <w:rFonts w:hint="eastAsia"/>
                <w:color w:val="auto"/>
              </w:rPr>
              <w:t>（1）响应供应商服务质量保证措施科学合理，符合本项目实际情况，质量承诺满足采购人需求，在服务过程中能够根据招标人需求对项目实施进行适当调整，得10分；</w:t>
            </w:r>
          </w:p>
          <w:p w14:paraId="24165DDB">
            <w:pPr>
              <w:widowControl w:val="0"/>
              <w:rPr>
                <w:rFonts w:hint="eastAsia"/>
                <w:color w:val="auto"/>
              </w:rPr>
            </w:pPr>
            <w:r>
              <w:rPr>
                <w:rFonts w:hint="eastAsia"/>
                <w:color w:val="auto"/>
              </w:rPr>
              <w:t>（2）响应供应商服务质量保证措施基本科学合理，基本符合本项目实际情况，质量承诺基本满足采购人需求，得5分；</w:t>
            </w:r>
          </w:p>
          <w:p w14:paraId="091B5DD9">
            <w:pPr>
              <w:widowControl w:val="0"/>
              <w:rPr>
                <w:rFonts w:hint="eastAsia"/>
                <w:color w:val="auto"/>
              </w:rPr>
            </w:pPr>
            <w:r>
              <w:rPr>
                <w:rFonts w:hint="eastAsia"/>
                <w:color w:val="auto"/>
              </w:rPr>
              <w:t>（3）响应供应商服务质量保证措施不符合项目实际情况，质量承诺无法满足采购人需求，依情况得2分。</w:t>
            </w:r>
          </w:p>
          <w:p w14:paraId="118AC076">
            <w:pPr>
              <w:widowControl w:val="0"/>
              <w:rPr>
                <w:rFonts w:hint="eastAsia"/>
                <w:color w:val="auto"/>
              </w:rPr>
            </w:pPr>
            <w:r>
              <w:rPr>
                <w:rFonts w:hint="eastAsia"/>
                <w:color w:val="auto"/>
              </w:rPr>
              <w:t>（4）严重缺项或无此项内容的，得0分。</w:t>
            </w:r>
          </w:p>
        </w:tc>
        <w:tc>
          <w:tcPr>
            <w:tcW w:w="1131" w:type="dxa"/>
            <w:shd w:val="clear" w:color="auto" w:fill="auto"/>
            <w:vAlign w:val="center"/>
          </w:tcPr>
          <w:p w14:paraId="7116F1E1">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10分</w:t>
            </w:r>
          </w:p>
        </w:tc>
      </w:tr>
      <w:tr w14:paraId="5DCE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426" w:type="dxa"/>
            <w:vMerge w:val="continue"/>
            <w:vAlign w:val="center"/>
          </w:tcPr>
          <w:p w14:paraId="504F0D06">
            <w:pPr>
              <w:widowControl w:val="0"/>
              <w:jc w:val="center"/>
              <w:rPr>
                <w:rFonts w:hint="eastAsia"/>
                <w:color w:val="auto"/>
              </w:rPr>
            </w:pPr>
          </w:p>
        </w:tc>
        <w:tc>
          <w:tcPr>
            <w:tcW w:w="1203" w:type="dxa"/>
            <w:vMerge w:val="continue"/>
            <w:vAlign w:val="center"/>
          </w:tcPr>
          <w:p w14:paraId="03B37739">
            <w:pPr>
              <w:widowControl w:val="0"/>
              <w:jc w:val="center"/>
              <w:rPr>
                <w:color w:val="auto"/>
              </w:rPr>
            </w:pPr>
          </w:p>
        </w:tc>
        <w:tc>
          <w:tcPr>
            <w:tcW w:w="1305" w:type="dxa"/>
            <w:vAlign w:val="center"/>
          </w:tcPr>
          <w:p w14:paraId="16F18998">
            <w:pPr>
              <w:widowControl w:val="0"/>
              <w:jc w:val="center"/>
              <w:rPr>
                <w:rFonts w:hint="eastAsia"/>
                <w:color w:val="auto"/>
              </w:rPr>
            </w:pPr>
            <w:r>
              <w:rPr>
                <w:rFonts w:hint="eastAsia"/>
                <w:color w:val="auto"/>
              </w:rPr>
              <w:t>应急处理能力措施</w:t>
            </w:r>
          </w:p>
        </w:tc>
        <w:tc>
          <w:tcPr>
            <w:tcW w:w="6161" w:type="dxa"/>
            <w:vAlign w:val="center"/>
          </w:tcPr>
          <w:p w14:paraId="1D15D43E">
            <w:pPr>
              <w:widowControl w:val="0"/>
              <w:rPr>
                <w:rFonts w:hint="eastAsia"/>
                <w:color w:val="auto"/>
              </w:rPr>
            </w:pPr>
            <w:r>
              <w:rPr>
                <w:rFonts w:hint="eastAsia"/>
                <w:color w:val="auto"/>
              </w:rPr>
              <w:t>根据磋商文件，在技术服务方案中提出应急处理能力措施，给出得分：</w:t>
            </w:r>
          </w:p>
          <w:p w14:paraId="697C17BA">
            <w:pPr>
              <w:widowControl w:val="0"/>
              <w:rPr>
                <w:rFonts w:hint="eastAsia"/>
                <w:color w:val="auto"/>
              </w:rPr>
            </w:pPr>
            <w:r>
              <w:rPr>
                <w:rFonts w:hint="eastAsia"/>
                <w:color w:val="auto"/>
              </w:rPr>
              <w:t>（1）应急处理目标明确，各阶段工作、关键节点安全控制措施及风险防控措施完善、合理、可行的，得5分；</w:t>
            </w:r>
          </w:p>
          <w:p w14:paraId="58A7262B">
            <w:pPr>
              <w:widowControl w:val="0"/>
              <w:rPr>
                <w:rFonts w:hint="eastAsia"/>
                <w:color w:val="auto"/>
              </w:rPr>
            </w:pPr>
            <w:r>
              <w:rPr>
                <w:rFonts w:hint="eastAsia"/>
                <w:color w:val="auto"/>
              </w:rPr>
              <w:t>（2）应急处理目标比较明确，各阶段工作、关键节点安全控制措施及风险防控措施比较完善，合理性和可行性一般，得3分；</w:t>
            </w:r>
          </w:p>
          <w:p w14:paraId="1F70132B">
            <w:pPr>
              <w:widowControl w:val="0"/>
              <w:rPr>
                <w:rFonts w:hint="eastAsia"/>
                <w:color w:val="auto"/>
              </w:rPr>
            </w:pPr>
            <w:r>
              <w:rPr>
                <w:rFonts w:hint="eastAsia"/>
                <w:color w:val="auto"/>
              </w:rPr>
              <w:t>（3）应急处理目标不清，各阶段工作、关键节点安全控制措施及风险防控措施较差，合理性、可行性较差的，得1分；</w:t>
            </w:r>
          </w:p>
          <w:p w14:paraId="4B38556C">
            <w:pPr>
              <w:widowControl w:val="0"/>
              <w:rPr>
                <w:rFonts w:hint="eastAsia"/>
                <w:color w:val="auto"/>
              </w:rPr>
            </w:pPr>
            <w:r>
              <w:rPr>
                <w:rFonts w:hint="eastAsia"/>
                <w:color w:val="auto"/>
              </w:rPr>
              <w:t>（4）严重缺项或无此项内容的，得0分。</w:t>
            </w:r>
          </w:p>
        </w:tc>
        <w:tc>
          <w:tcPr>
            <w:tcW w:w="1131" w:type="dxa"/>
            <w:shd w:val="clear" w:color="auto" w:fill="auto"/>
            <w:vAlign w:val="center"/>
          </w:tcPr>
          <w:p w14:paraId="5B25D6BC">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5分</w:t>
            </w:r>
          </w:p>
        </w:tc>
      </w:tr>
      <w:tr w14:paraId="3E88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6" w:type="dxa"/>
            <w:vMerge w:val="continue"/>
            <w:vAlign w:val="center"/>
          </w:tcPr>
          <w:p w14:paraId="6A9CEDE1">
            <w:pPr>
              <w:widowControl w:val="0"/>
              <w:jc w:val="center"/>
              <w:rPr>
                <w:rFonts w:hint="eastAsia"/>
                <w:color w:val="auto"/>
              </w:rPr>
            </w:pPr>
          </w:p>
        </w:tc>
        <w:tc>
          <w:tcPr>
            <w:tcW w:w="1203" w:type="dxa"/>
            <w:vMerge w:val="continue"/>
            <w:vAlign w:val="center"/>
          </w:tcPr>
          <w:p w14:paraId="215ECFD2">
            <w:pPr>
              <w:widowControl w:val="0"/>
              <w:jc w:val="center"/>
              <w:rPr>
                <w:color w:val="auto"/>
              </w:rPr>
            </w:pPr>
          </w:p>
        </w:tc>
        <w:tc>
          <w:tcPr>
            <w:tcW w:w="1305" w:type="dxa"/>
            <w:vAlign w:val="center"/>
          </w:tcPr>
          <w:p w14:paraId="4D576129">
            <w:pPr>
              <w:widowControl w:val="0"/>
              <w:jc w:val="center"/>
              <w:rPr>
                <w:rFonts w:hint="default" w:eastAsia="宋体"/>
                <w:color w:val="auto"/>
                <w:lang w:val="en-US" w:eastAsia="zh-CN"/>
              </w:rPr>
            </w:pPr>
            <w:r>
              <w:rPr>
                <w:rFonts w:hint="eastAsia" w:eastAsia="宋体"/>
                <w:color w:val="auto"/>
                <w:lang w:val="en-US" w:eastAsia="zh-CN"/>
              </w:rPr>
              <w:t>优惠条件</w:t>
            </w:r>
          </w:p>
        </w:tc>
        <w:tc>
          <w:tcPr>
            <w:tcW w:w="6161" w:type="dxa"/>
            <w:vAlign w:val="center"/>
          </w:tcPr>
          <w:p w14:paraId="2C3752BD">
            <w:pPr>
              <w:widowControl w:val="0"/>
              <w:rPr>
                <w:rFonts w:hint="eastAsia"/>
                <w:color w:val="auto"/>
              </w:rPr>
            </w:pPr>
            <w:r>
              <w:rPr>
                <w:rFonts w:hint="eastAsia"/>
                <w:color w:val="auto"/>
              </w:rPr>
              <w:t>根据磋商文件，在技术服务方案中提出针对本项目具有实质性意义的优惠条件，每条得1分，最高得5分。</w:t>
            </w:r>
          </w:p>
        </w:tc>
        <w:tc>
          <w:tcPr>
            <w:tcW w:w="1131" w:type="dxa"/>
            <w:shd w:val="clear" w:color="auto" w:fill="auto"/>
            <w:vAlign w:val="center"/>
          </w:tcPr>
          <w:p w14:paraId="26D08939">
            <w:pPr>
              <w:widowControl w:val="0"/>
              <w:jc w:val="center"/>
              <w:rPr>
                <w:rFonts w:hint="eastAsia" w:ascii="Arial" w:hAnsi="Arial" w:eastAsia="Arial" w:cs="Arial"/>
                <w:snapToGrid w:val="0"/>
                <w:color w:val="auto"/>
                <w:kern w:val="0"/>
                <w:sz w:val="21"/>
                <w:szCs w:val="21"/>
                <w:lang w:val="en-US" w:eastAsia="en-US" w:bidi="ar-SA"/>
              </w:rPr>
            </w:pPr>
            <w:r>
              <w:rPr>
                <w:rFonts w:hint="eastAsia"/>
                <w:color w:val="auto"/>
              </w:rPr>
              <w:t>5分</w:t>
            </w:r>
          </w:p>
        </w:tc>
      </w:tr>
    </w:tbl>
    <w:p w14:paraId="68A62342">
      <w:pPr>
        <w:rPr>
          <w:color w:val="auto"/>
        </w:rPr>
      </w:pPr>
    </w:p>
    <w:p w14:paraId="5DCC48DE">
      <w:pPr>
        <w:rPr>
          <w:color w:val="auto"/>
          <w:highlight w:val="none"/>
        </w:rPr>
      </w:pPr>
      <w:r>
        <w:rPr>
          <w:color w:val="auto"/>
          <w:highlight w:val="none"/>
        </w:rPr>
        <w:br w:type="page"/>
      </w:r>
    </w:p>
    <w:p w14:paraId="2E7EA39E">
      <w:pPr>
        <w:pStyle w:val="2"/>
        <w:spacing w:line="315" w:lineRule="auto"/>
        <w:rPr>
          <w:color w:val="auto"/>
          <w:highlight w:val="none"/>
        </w:rPr>
      </w:pPr>
    </w:p>
    <w:p w14:paraId="0E4E4BAE">
      <w:pPr>
        <w:spacing w:before="89" w:line="223" w:lineRule="auto"/>
        <w:ind w:left="3173"/>
        <w:outlineLvl w:val="0"/>
        <w:rPr>
          <w:rFonts w:ascii="宋体" w:hAnsi="宋体" w:eastAsia="宋体" w:cs="宋体"/>
          <w:color w:val="auto"/>
          <w:spacing w:val="8"/>
          <w:sz w:val="43"/>
          <w:szCs w:val="43"/>
          <w:highlight w:val="none"/>
          <w14:textOutline w14:w="7972" w14:cap="sq" w14:cmpd="sng">
            <w14:solidFill>
              <w14:srgbClr w14:val="000000"/>
            </w14:solidFill>
            <w14:prstDash w14:val="solid"/>
            <w14:bevel/>
          </w14:textOutline>
        </w:rPr>
      </w:pPr>
      <w:bookmarkStart w:id="25" w:name="_Toc6086"/>
      <w:r>
        <w:rPr>
          <w:rFonts w:hint="eastAsia" w:ascii="宋体" w:hAnsi="宋体" w:eastAsia="宋体" w:cs="宋体"/>
          <w:color w:val="auto"/>
          <w:spacing w:val="8"/>
          <w:sz w:val="43"/>
          <w:szCs w:val="43"/>
          <w:highlight w:val="none"/>
          <w14:textOutline w14:w="7972" w14:cap="sq" w14:cmpd="sng">
            <w14:solidFill>
              <w14:srgbClr w14:val="000000"/>
            </w14:solidFill>
            <w14:prstDash w14:val="solid"/>
            <w14:bevel/>
          </w14:textOutline>
        </w:rPr>
        <w:t>第四章 服务需求及要求</w:t>
      </w:r>
      <w:bookmarkEnd w:id="25"/>
    </w:p>
    <w:p w14:paraId="258BD953">
      <w:pPr>
        <w:spacing w:line="219" w:lineRule="auto"/>
        <w:rPr>
          <w:rFonts w:ascii="宋体" w:hAnsi="宋体" w:eastAsia="宋体" w:cs="宋体"/>
          <w:color w:val="auto"/>
          <w:sz w:val="24"/>
          <w:szCs w:val="24"/>
          <w:highlight w:val="none"/>
        </w:rPr>
      </w:pPr>
    </w:p>
    <w:p w14:paraId="77FD6512">
      <w:pPr>
        <w:spacing w:line="360" w:lineRule="auto"/>
        <w:rPr>
          <w:rFonts w:ascii="宋体" w:hAnsi="宋体" w:eastAsia="宋体"/>
          <w:b/>
          <w:bCs/>
          <w:color w:val="auto"/>
        </w:rPr>
      </w:pPr>
      <w:r>
        <w:rPr>
          <w:rFonts w:hint="eastAsia" w:ascii="宋体" w:hAnsi="宋体" w:eastAsia="宋体" w:cs="宋体"/>
          <w:b/>
          <w:bCs/>
          <w:color w:val="auto"/>
        </w:rPr>
        <w:t>服务内容</w:t>
      </w:r>
    </w:p>
    <w:tbl>
      <w:tblPr>
        <w:tblStyle w:val="10"/>
        <w:tblW w:w="8637" w:type="dxa"/>
        <w:jc w:val="center"/>
        <w:tblLayout w:type="autofit"/>
        <w:tblCellMar>
          <w:top w:w="0" w:type="dxa"/>
          <w:left w:w="108" w:type="dxa"/>
          <w:bottom w:w="0" w:type="dxa"/>
          <w:right w:w="108" w:type="dxa"/>
        </w:tblCellMar>
      </w:tblPr>
      <w:tblGrid>
        <w:gridCol w:w="477"/>
        <w:gridCol w:w="789"/>
        <w:gridCol w:w="3691"/>
        <w:gridCol w:w="703"/>
        <w:gridCol w:w="744"/>
        <w:gridCol w:w="477"/>
        <w:gridCol w:w="764"/>
        <w:gridCol w:w="992"/>
      </w:tblGrid>
      <w:tr w14:paraId="1EA13A95">
        <w:tblPrEx>
          <w:tblCellMar>
            <w:top w:w="0" w:type="dxa"/>
            <w:left w:w="108" w:type="dxa"/>
            <w:bottom w:w="0" w:type="dxa"/>
            <w:right w:w="108" w:type="dxa"/>
          </w:tblCellMar>
        </w:tblPrEx>
        <w:trPr>
          <w:trHeight w:val="499"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14:paraId="4F1B57FA">
            <w:pPr>
              <w:jc w:val="center"/>
              <w:rPr>
                <w:rFonts w:ascii="宋体" w:hAnsi="宋体" w:eastAsia="宋体"/>
                <w:color w:val="auto"/>
              </w:rPr>
            </w:pPr>
            <w:r>
              <w:rPr>
                <w:rFonts w:hint="eastAsia" w:ascii="宋体" w:hAnsi="宋体" w:eastAsia="宋体" w:cs="宋体"/>
                <w:color w:val="auto"/>
              </w:rPr>
              <w:t>序号</w:t>
            </w:r>
          </w:p>
        </w:tc>
        <w:tc>
          <w:tcPr>
            <w:tcW w:w="789" w:type="dxa"/>
            <w:tcBorders>
              <w:top w:val="single" w:color="auto" w:sz="8" w:space="0"/>
              <w:left w:val="nil"/>
              <w:bottom w:val="single" w:color="auto" w:sz="8" w:space="0"/>
              <w:right w:val="single" w:color="auto" w:sz="8" w:space="0"/>
            </w:tcBorders>
            <w:shd w:val="clear" w:color="auto" w:fill="auto"/>
            <w:vAlign w:val="center"/>
          </w:tcPr>
          <w:p w14:paraId="670AF626">
            <w:pPr>
              <w:jc w:val="center"/>
              <w:rPr>
                <w:rFonts w:ascii="宋体" w:hAnsi="宋体" w:eastAsia="宋体"/>
                <w:color w:val="auto"/>
              </w:rPr>
            </w:pPr>
            <w:r>
              <w:rPr>
                <w:rFonts w:hint="eastAsia" w:ascii="宋体" w:hAnsi="宋体" w:eastAsia="宋体" w:cs="宋体"/>
                <w:color w:val="auto"/>
              </w:rPr>
              <w:t>服务内容</w:t>
            </w:r>
          </w:p>
        </w:tc>
        <w:tc>
          <w:tcPr>
            <w:tcW w:w="3691" w:type="dxa"/>
            <w:tcBorders>
              <w:top w:val="single" w:color="auto" w:sz="8" w:space="0"/>
              <w:left w:val="nil"/>
              <w:bottom w:val="single" w:color="auto" w:sz="8" w:space="0"/>
              <w:right w:val="single" w:color="auto" w:sz="8" w:space="0"/>
            </w:tcBorders>
            <w:shd w:val="clear" w:color="auto" w:fill="auto"/>
            <w:vAlign w:val="center"/>
          </w:tcPr>
          <w:p w14:paraId="2A91F1F6">
            <w:pPr>
              <w:jc w:val="center"/>
              <w:rPr>
                <w:rFonts w:ascii="宋体" w:hAnsi="宋体" w:eastAsia="宋体"/>
                <w:color w:val="auto"/>
              </w:rPr>
            </w:pPr>
            <w:r>
              <w:rPr>
                <w:rFonts w:hint="eastAsia" w:ascii="宋体" w:hAnsi="宋体" w:eastAsia="宋体" w:cs="宋体"/>
                <w:color w:val="auto"/>
              </w:rPr>
              <w:t>关键、主要内容描述</w:t>
            </w:r>
          </w:p>
        </w:tc>
        <w:tc>
          <w:tcPr>
            <w:tcW w:w="703" w:type="dxa"/>
            <w:tcBorders>
              <w:top w:val="single" w:color="auto" w:sz="8" w:space="0"/>
              <w:left w:val="nil"/>
              <w:bottom w:val="single" w:color="auto" w:sz="8" w:space="0"/>
              <w:right w:val="single" w:color="auto" w:sz="8" w:space="0"/>
            </w:tcBorders>
            <w:shd w:val="clear" w:color="auto" w:fill="auto"/>
            <w:vAlign w:val="center"/>
          </w:tcPr>
          <w:p w14:paraId="3BFC4242">
            <w:pPr>
              <w:jc w:val="center"/>
              <w:rPr>
                <w:rFonts w:ascii="宋体" w:hAnsi="宋体" w:eastAsia="宋体"/>
                <w:color w:val="auto"/>
              </w:rPr>
            </w:pPr>
            <w:r>
              <w:rPr>
                <w:rFonts w:hint="eastAsia" w:ascii="宋体" w:hAnsi="宋体" w:eastAsia="宋体" w:cs="宋体"/>
                <w:color w:val="auto"/>
              </w:rPr>
              <w:t>运维人员级别</w:t>
            </w:r>
          </w:p>
        </w:tc>
        <w:tc>
          <w:tcPr>
            <w:tcW w:w="744" w:type="dxa"/>
            <w:tcBorders>
              <w:top w:val="single" w:color="auto" w:sz="8" w:space="0"/>
              <w:left w:val="nil"/>
              <w:bottom w:val="single" w:color="auto" w:sz="8" w:space="0"/>
              <w:right w:val="single" w:color="auto" w:sz="8" w:space="0"/>
            </w:tcBorders>
            <w:vAlign w:val="center"/>
          </w:tcPr>
          <w:p w14:paraId="5786BA49">
            <w:pPr>
              <w:jc w:val="center"/>
              <w:rPr>
                <w:rFonts w:ascii="宋体" w:hAnsi="宋体" w:eastAsia="宋体"/>
                <w:color w:val="auto"/>
              </w:rPr>
            </w:pPr>
            <w:r>
              <w:rPr>
                <w:rFonts w:hint="eastAsia" w:ascii="宋体" w:hAnsi="宋体" w:eastAsia="宋体" w:cs="宋体"/>
                <w:color w:val="auto"/>
              </w:rPr>
              <w:t>主要成果物</w:t>
            </w:r>
          </w:p>
        </w:tc>
        <w:tc>
          <w:tcPr>
            <w:tcW w:w="0" w:type="auto"/>
            <w:tcBorders>
              <w:top w:val="single" w:color="auto" w:sz="8" w:space="0"/>
              <w:left w:val="nil"/>
              <w:bottom w:val="single" w:color="auto" w:sz="8" w:space="0"/>
              <w:right w:val="single" w:color="auto" w:sz="8" w:space="0"/>
            </w:tcBorders>
            <w:vAlign w:val="center"/>
          </w:tcPr>
          <w:p w14:paraId="66A57A54">
            <w:pPr>
              <w:jc w:val="center"/>
              <w:rPr>
                <w:rFonts w:ascii="宋体" w:hAnsi="宋体" w:eastAsia="宋体"/>
                <w:color w:val="auto"/>
              </w:rPr>
            </w:pPr>
            <w:r>
              <w:rPr>
                <w:rFonts w:hint="eastAsia" w:ascii="宋体" w:hAnsi="宋体" w:eastAsia="宋体" w:cs="宋体"/>
                <w:color w:val="auto"/>
              </w:rPr>
              <w:t>人数</w:t>
            </w:r>
          </w:p>
        </w:tc>
        <w:tc>
          <w:tcPr>
            <w:tcW w:w="764" w:type="dxa"/>
            <w:tcBorders>
              <w:top w:val="single" w:color="auto" w:sz="8" w:space="0"/>
              <w:left w:val="nil"/>
              <w:bottom w:val="single" w:color="auto" w:sz="8" w:space="0"/>
              <w:right w:val="single" w:color="auto" w:sz="8" w:space="0"/>
            </w:tcBorders>
            <w:vAlign w:val="center"/>
          </w:tcPr>
          <w:p w14:paraId="7552D35C">
            <w:pPr>
              <w:jc w:val="center"/>
              <w:rPr>
                <w:rFonts w:ascii="宋体" w:hAnsi="宋体" w:eastAsia="宋体"/>
                <w:color w:val="auto"/>
              </w:rPr>
            </w:pPr>
            <w:r>
              <w:rPr>
                <w:rFonts w:hint="eastAsia" w:ascii="宋体" w:hAnsi="宋体" w:eastAsia="宋体" w:cs="宋体"/>
                <w:color w:val="auto"/>
              </w:rPr>
              <w:t>服务时间</w:t>
            </w:r>
          </w:p>
        </w:tc>
        <w:tc>
          <w:tcPr>
            <w:tcW w:w="992" w:type="dxa"/>
            <w:tcBorders>
              <w:top w:val="single" w:color="auto" w:sz="8" w:space="0"/>
              <w:left w:val="nil"/>
              <w:bottom w:val="single" w:color="auto" w:sz="8" w:space="0"/>
              <w:right w:val="single" w:color="auto" w:sz="8" w:space="0"/>
            </w:tcBorders>
            <w:vAlign w:val="center"/>
          </w:tcPr>
          <w:p w14:paraId="05837161">
            <w:pPr>
              <w:jc w:val="center"/>
              <w:rPr>
                <w:rFonts w:ascii="宋体" w:hAnsi="宋体" w:eastAsia="宋体"/>
                <w:color w:val="auto"/>
              </w:rPr>
            </w:pPr>
            <w:r>
              <w:rPr>
                <w:rFonts w:hint="eastAsia" w:ascii="宋体" w:hAnsi="宋体" w:eastAsia="宋体" w:cs="宋体"/>
                <w:color w:val="auto"/>
              </w:rPr>
              <w:t>服务频率</w:t>
            </w:r>
          </w:p>
        </w:tc>
      </w:tr>
      <w:tr w14:paraId="3510F5B6">
        <w:tblPrEx>
          <w:tblCellMar>
            <w:top w:w="0" w:type="dxa"/>
            <w:left w:w="108" w:type="dxa"/>
            <w:bottom w:w="0" w:type="dxa"/>
            <w:right w:w="108" w:type="dxa"/>
          </w:tblCellMar>
        </w:tblPrEx>
        <w:trPr>
          <w:trHeight w:val="499"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2A511D47">
            <w:pPr>
              <w:jc w:val="center"/>
              <w:rPr>
                <w:rFonts w:ascii="宋体" w:hAnsi="宋体" w:eastAsia="宋体" w:cs="Times New Roman"/>
                <w:color w:val="auto"/>
                <w:sz w:val="22"/>
              </w:rPr>
            </w:pPr>
            <w:r>
              <w:rPr>
                <w:rFonts w:ascii="宋体" w:hAnsi="宋体" w:eastAsia="宋体" w:cs="Times New Roman"/>
                <w:color w:val="auto"/>
                <w:sz w:val="22"/>
              </w:rPr>
              <w:t>1</w:t>
            </w:r>
          </w:p>
        </w:tc>
        <w:tc>
          <w:tcPr>
            <w:tcW w:w="789" w:type="dxa"/>
            <w:tcBorders>
              <w:top w:val="nil"/>
              <w:left w:val="nil"/>
              <w:bottom w:val="single" w:color="auto" w:sz="8" w:space="0"/>
              <w:right w:val="single" w:color="auto" w:sz="8" w:space="0"/>
            </w:tcBorders>
            <w:shd w:val="clear" w:color="auto" w:fill="auto"/>
            <w:vAlign w:val="center"/>
          </w:tcPr>
          <w:p w14:paraId="04DCFAA6">
            <w:pPr>
              <w:jc w:val="center"/>
              <w:rPr>
                <w:rFonts w:ascii="宋体" w:hAnsi="宋体" w:eastAsia="宋体"/>
                <w:color w:val="auto"/>
              </w:rPr>
            </w:pPr>
            <w:r>
              <w:rPr>
                <w:rFonts w:hint="eastAsia" w:ascii="宋体" w:hAnsi="宋体" w:eastAsia="宋体" w:cs="宋体"/>
                <w:color w:val="auto"/>
              </w:rPr>
              <w:t>设备巡检运维服务</w:t>
            </w:r>
          </w:p>
        </w:tc>
        <w:tc>
          <w:tcPr>
            <w:tcW w:w="3691" w:type="dxa"/>
            <w:tcBorders>
              <w:top w:val="nil"/>
              <w:left w:val="nil"/>
              <w:bottom w:val="single" w:color="auto" w:sz="8" w:space="0"/>
              <w:right w:val="single" w:color="auto" w:sz="8" w:space="0"/>
            </w:tcBorders>
            <w:shd w:val="clear" w:color="auto" w:fill="auto"/>
          </w:tcPr>
          <w:p w14:paraId="586576A8">
            <w:pPr>
              <w:rPr>
                <w:rFonts w:ascii="宋体" w:hAnsi="宋体" w:eastAsia="宋体"/>
                <w:color w:val="auto"/>
                <w:lang w:eastAsia="zh-CN"/>
              </w:rPr>
            </w:pPr>
            <w:r>
              <w:rPr>
                <w:rFonts w:hint="eastAsia" w:ascii="宋体" w:hAnsi="宋体" w:eastAsia="宋体"/>
                <w:color w:val="auto"/>
                <w:lang w:eastAsia="zh-CN"/>
              </w:rPr>
              <w:t>1. 针对财政综合信息管理系统、库银横连系统、集中财务系统、非税票据系统、非税土地出让金系统、农财乡镇系统、资产管理系统、集中财务系统（政府会计制度专版）及配套中间件运行状态及基础环境进行巡检，根据巡检结果每月出具巡检报告，并根据巡检的结果给出针对中间件及数据库的意见或建议，如果意见或建议合理，并得到用户采纳，需配合完成优化或改进工作；</w:t>
            </w:r>
          </w:p>
          <w:p w14:paraId="084D6213">
            <w:pPr>
              <w:pStyle w:val="2"/>
              <w:rPr>
                <w:rFonts w:hint="eastAsia" w:ascii="宋体" w:hAnsi="宋体" w:eastAsia="宋体"/>
                <w:color w:val="auto"/>
                <w:lang w:eastAsia="zh-CN"/>
              </w:rPr>
            </w:pPr>
          </w:p>
          <w:p w14:paraId="5BC0EE96">
            <w:pPr>
              <w:pStyle w:val="2"/>
              <w:rPr>
                <w:rFonts w:ascii="宋体" w:hAnsi="宋体" w:eastAsia="宋体"/>
                <w:color w:val="auto"/>
                <w:lang w:eastAsia="zh-CN"/>
              </w:rPr>
            </w:pPr>
            <w:r>
              <w:rPr>
                <w:rFonts w:hint="eastAsia" w:ascii="宋体" w:hAnsi="宋体" w:eastAsia="宋体"/>
                <w:color w:val="auto"/>
                <w:lang w:eastAsia="zh-CN"/>
              </w:rPr>
              <w:t>2. 针对长春市财政信息中心微信公众号服务器的操作系统、硬件状态进行巡检，根据巡检结果每月出具巡检报告；</w:t>
            </w:r>
          </w:p>
          <w:p w14:paraId="11044D77">
            <w:pPr>
              <w:pStyle w:val="2"/>
              <w:rPr>
                <w:rFonts w:ascii="宋体" w:hAnsi="宋体" w:eastAsia="宋体"/>
                <w:color w:val="auto"/>
                <w:lang w:eastAsia="zh-CN"/>
              </w:rPr>
            </w:pPr>
            <w:r>
              <w:rPr>
                <w:rFonts w:hint="eastAsia" w:ascii="宋体" w:hAnsi="宋体" w:eastAsia="宋体"/>
                <w:color w:val="auto"/>
                <w:lang w:eastAsia="zh-CN"/>
              </w:rPr>
              <w:t>3. 每次进行软、硬件故障处理后形成软、硬件处理记录；</w:t>
            </w:r>
          </w:p>
          <w:p w14:paraId="5A33B56E">
            <w:pPr>
              <w:pStyle w:val="2"/>
              <w:rPr>
                <w:rFonts w:ascii="宋体" w:hAnsi="宋体" w:eastAsia="宋体"/>
                <w:color w:val="auto"/>
                <w:lang w:eastAsia="zh-CN"/>
              </w:rPr>
            </w:pPr>
            <w:r>
              <w:rPr>
                <w:rFonts w:hint="eastAsia" w:ascii="宋体" w:hAnsi="宋体" w:eastAsia="宋体"/>
                <w:color w:val="auto"/>
                <w:lang w:eastAsia="zh-CN"/>
              </w:rPr>
              <w:t>4. 定期对各服务器设备的</w:t>
            </w:r>
            <w:r>
              <w:rPr>
                <w:rFonts w:ascii="宋体" w:hAnsi="宋体" w:eastAsia="宋体"/>
                <w:color w:val="auto"/>
                <w:lang w:eastAsia="zh-CN"/>
              </w:rPr>
              <w:t>CPU</w:t>
            </w:r>
            <w:r>
              <w:rPr>
                <w:rFonts w:hint="eastAsia" w:ascii="宋体" w:hAnsi="宋体" w:eastAsia="宋体"/>
                <w:color w:val="auto"/>
                <w:lang w:eastAsia="zh-CN"/>
              </w:rPr>
              <w:t>利用率、内存利用率、磁盘利用率、端口流量、报警信息等关键工作指标进行例行监控，当发生异常情况时，及时进行跟踪和处理；服务器操作系统状况监测、系统配置管理、安全加固、系统升级；</w:t>
            </w:r>
          </w:p>
          <w:p w14:paraId="7C0BBBB8">
            <w:pPr>
              <w:pStyle w:val="2"/>
              <w:rPr>
                <w:rFonts w:ascii="宋体" w:hAnsi="宋体" w:eastAsia="宋体"/>
                <w:color w:val="auto"/>
                <w:lang w:eastAsia="zh-CN"/>
              </w:rPr>
            </w:pPr>
            <w:r>
              <w:rPr>
                <w:rFonts w:hint="eastAsia" w:ascii="宋体" w:hAnsi="宋体" w:eastAsia="宋体"/>
                <w:color w:val="auto"/>
                <w:lang w:eastAsia="zh-CN"/>
              </w:rPr>
              <w:t>5. 在年末向用户提供年度系统维护情况报告；</w:t>
            </w:r>
          </w:p>
          <w:p w14:paraId="3926E2F2">
            <w:pPr>
              <w:pStyle w:val="2"/>
              <w:rPr>
                <w:rFonts w:ascii="宋体" w:hAnsi="宋体" w:eastAsia="宋体"/>
                <w:color w:val="auto"/>
                <w:lang w:eastAsia="zh-CN"/>
              </w:rPr>
            </w:pPr>
            <w:r>
              <w:rPr>
                <w:rFonts w:hint="eastAsia" w:ascii="宋体" w:hAnsi="宋体" w:eastAsia="宋体"/>
                <w:color w:val="auto"/>
                <w:lang w:eastAsia="zh-CN"/>
              </w:rPr>
              <w:t>6. 服务期满前十五天通知用户并完成年度现场维护，提供服务总结报告；</w:t>
            </w:r>
          </w:p>
          <w:p w14:paraId="1B80CC53">
            <w:pPr>
              <w:pStyle w:val="2"/>
              <w:rPr>
                <w:rFonts w:hint="eastAsia" w:ascii="宋体" w:hAnsi="宋体" w:eastAsia="宋体"/>
                <w:color w:val="auto"/>
                <w:lang w:eastAsia="zh-CN"/>
              </w:rPr>
            </w:pPr>
            <w:r>
              <w:rPr>
                <w:rFonts w:hint="eastAsia" w:ascii="宋体" w:hAnsi="宋体" w:eastAsia="宋体"/>
                <w:color w:val="auto"/>
                <w:lang w:eastAsia="zh-CN"/>
              </w:rPr>
              <w:t>7. 提供</w:t>
            </w:r>
            <w:r>
              <w:rPr>
                <w:rFonts w:ascii="宋体" w:hAnsi="宋体" w:eastAsia="宋体"/>
                <w:color w:val="auto"/>
                <w:lang w:eastAsia="zh-CN"/>
              </w:rPr>
              <w:t>2</w:t>
            </w:r>
            <w:r>
              <w:rPr>
                <w:rFonts w:hint="eastAsia" w:ascii="宋体" w:hAnsi="宋体" w:eastAsia="宋体"/>
                <w:color w:val="auto"/>
                <w:lang w:eastAsia="zh-CN"/>
              </w:rPr>
              <w:t>名中级工程师</w:t>
            </w:r>
            <w:r>
              <w:rPr>
                <w:rFonts w:ascii="宋体" w:hAnsi="宋体" w:eastAsia="宋体"/>
                <w:color w:val="auto"/>
                <w:lang w:eastAsia="zh-CN"/>
              </w:rPr>
              <w:t xml:space="preserve"> 5*8</w:t>
            </w:r>
            <w:r>
              <w:rPr>
                <w:rFonts w:hint="eastAsia" w:ascii="宋体" w:hAnsi="宋体" w:eastAsia="宋体"/>
                <w:color w:val="auto"/>
                <w:lang w:eastAsia="zh-CN"/>
              </w:rPr>
              <w:t>小时驻场服务。</w:t>
            </w:r>
          </w:p>
        </w:tc>
        <w:tc>
          <w:tcPr>
            <w:tcW w:w="703" w:type="dxa"/>
            <w:tcBorders>
              <w:top w:val="nil"/>
              <w:left w:val="nil"/>
              <w:bottom w:val="single" w:color="auto" w:sz="8" w:space="0"/>
              <w:right w:val="single" w:color="auto" w:sz="8" w:space="0"/>
            </w:tcBorders>
            <w:shd w:val="clear" w:color="auto" w:fill="auto"/>
            <w:vAlign w:val="center"/>
          </w:tcPr>
          <w:p w14:paraId="372B4BEB">
            <w:pPr>
              <w:jc w:val="center"/>
              <w:rPr>
                <w:rFonts w:ascii="宋体" w:hAnsi="宋体" w:eastAsia="宋体"/>
                <w:color w:val="auto"/>
              </w:rPr>
            </w:pPr>
            <w:r>
              <w:rPr>
                <w:rFonts w:hint="eastAsia" w:ascii="宋体" w:hAnsi="宋体" w:eastAsia="宋体" w:cs="宋体"/>
                <w:color w:val="auto"/>
                <w:lang w:eastAsia="zh-CN"/>
              </w:rPr>
              <w:t>中</w:t>
            </w:r>
            <w:r>
              <w:rPr>
                <w:rFonts w:hint="eastAsia" w:ascii="宋体" w:hAnsi="宋体" w:eastAsia="宋体" w:cs="宋体"/>
                <w:color w:val="auto"/>
              </w:rPr>
              <w:t>级工程师</w:t>
            </w:r>
          </w:p>
        </w:tc>
        <w:tc>
          <w:tcPr>
            <w:tcW w:w="744" w:type="dxa"/>
            <w:tcBorders>
              <w:top w:val="nil"/>
              <w:left w:val="nil"/>
              <w:bottom w:val="single" w:color="auto" w:sz="8" w:space="0"/>
              <w:right w:val="single" w:color="auto" w:sz="8" w:space="0"/>
            </w:tcBorders>
            <w:vAlign w:val="center"/>
          </w:tcPr>
          <w:p w14:paraId="130C3FF4">
            <w:pPr>
              <w:jc w:val="center"/>
              <w:rPr>
                <w:rFonts w:ascii="宋体" w:hAnsi="宋体" w:eastAsia="宋体"/>
                <w:color w:val="auto"/>
              </w:rPr>
            </w:pPr>
            <w:r>
              <w:rPr>
                <w:rFonts w:hint="eastAsia" w:ascii="宋体" w:hAnsi="宋体" w:eastAsia="宋体" w:cs="宋体"/>
                <w:color w:val="auto"/>
              </w:rPr>
              <w:t>日常巡检报告</w:t>
            </w:r>
          </w:p>
        </w:tc>
        <w:tc>
          <w:tcPr>
            <w:tcW w:w="0" w:type="auto"/>
            <w:tcBorders>
              <w:top w:val="nil"/>
              <w:left w:val="nil"/>
              <w:bottom w:val="single" w:color="auto" w:sz="8" w:space="0"/>
              <w:right w:val="single" w:color="auto" w:sz="8" w:space="0"/>
            </w:tcBorders>
            <w:vAlign w:val="center"/>
          </w:tcPr>
          <w:p w14:paraId="57FE355A">
            <w:pPr>
              <w:jc w:val="center"/>
              <w:rPr>
                <w:rFonts w:ascii="宋体" w:hAnsi="宋体" w:eastAsia="宋体"/>
                <w:color w:val="auto"/>
              </w:rPr>
            </w:pPr>
            <w:r>
              <w:rPr>
                <w:rFonts w:hint="eastAsia" w:ascii="宋体" w:hAnsi="宋体" w:eastAsia="宋体"/>
                <w:color w:val="auto"/>
              </w:rPr>
              <w:t>2</w:t>
            </w:r>
            <w:r>
              <w:rPr>
                <w:rFonts w:hint="eastAsia" w:ascii="宋体" w:hAnsi="宋体" w:eastAsia="宋体" w:cs="宋体"/>
                <w:color w:val="auto"/>
              </w:rPr>
              <w:t>人</w:t>
            </w:r>
          </w:p>
        </w:tc>
        <w:tc>
          <w:tcPr>
            <w:tcW w:w="764" w:type="dxa"/>
            <w:tcBorders>
              <w:top w:val="nil"/>
              <w:left w:val="nil"/>
              <w:bottom w:val="single" w:color="auto" w:sz="8" w:space="0"/>
              <w:right w:val="single" w:color="auto" w:sz="8" w:space="0"/>
            </w:tcBorders>
            <w:vAlign w:val="center"/>
          </w:tcPr>
          <w:p w14:paraId="4E51A2FF">
            <w:pPr>
              <w:jc w:val="center"/>
              <w:rPr>
                <w:rFonts w:ascii="宋体" w:hAnsi="宋体" w:eastAsia="宋体"/>
                <w:color w:val="auto"/>
              </w:rPr>
            </w:pPr>
            <w:r>
              <w:rPr>
                <w:rFonts w:hint="eastAsia" w:ascii="宋体" w:hAnsi="宋体" w:eastAsia="宋体"/>
                <w:color w:val="auto"/>
              </w:rPr>
              <w:t>1</w:t>
            </w:r>
            <w:r>
              <w:rPr>
                <w:rFonts w:hint="eastAsia" w:ascii="宋体" w:hAnsi="宋体" w:eastAsia="宋体" w:cs="宋体"/>
                <w:color w:val="auto"/>
              </w:rPr>
              <w:t>年</w:t>
            </w:r>
          </w:p>
        </w:tc>
        <w:tc>
          <w:tcPr>
            <w:tcW w:w="992" w:type="dxa"/>
            <w:tcBorders>
              <w:top w:val="nil"/>
              <w:left w:val="nil"/>
              <w:bottom w:val="single" w:color="auto" w:sz="8" w:space="0"/>
              <w:right w:val="single" w:color="auto" w:sz="8" w:space="0"/>
            </w:tcBorders>
            <w:vAlign w:val="center"/>
          </w:tcPr>
          <w:p w14:paraId="2CE700A8">
            <w:pPr>
              <w:jc w:val="center"/>
              <w:rPr>
                <w:rFonts w:ascii="宋体" w:hAnsi="宋体" w:eastAsia="宋体"/>
                <w:color w:val="auto"/>
              </w:rPr>
            </w:pPr>
            <w:r>
              <w:rPr>
                <w:rFonts w:hint="eastAsia" w:ascii="宋体" w:hAnsi="宋体" w:eastAsia="宋体" w:cs="宋体"/>
                <w:color w:val="auto"/>
              </w:rPr>
              <w:t>项目启动后</w:t>
            </w:r>
            <w:r>
              <w:rPr>
                <w:rFonts w:hint="eastAsia" w:ascii="宋体" w:hAnsi="宋体" w:eastAsia="宋体"/>
                <w:color w:val="auto"/>
              </w:rPr>
              <w:t>1</w:t>
            </w:r>
            <w:r>
              <w:rPr>
                <w:rFonts w:hint="eastAsia" w:ascii="宋体" w:hAnsi="宋体" w:eastAsia="宋体" w:cs="宋体"/>
                <w:color w:val="auto"/>
              </w:rPr>
              <w:t>年</w:t>
            </w:r>
          </w:p>
        </w:tc>
      </w:tr>
      <w:tr w14:paraId="39BA2ED8">
        <w:tblPrEx>
          <w:tblCellMar>
            <w:top w:w="0" w:type="dxa"/>
            <w:left w:w="108" w:type="dxa"/>
            <w:bottom w:w="0" w:type="dxa"/>
            <w:right w:w="108" w:type="dxa"/>
          </w:tblCellMar>
        </w:tblPrEx>
        <w:trPr>
          <w:trHeight w:val="499" w:hRule="atLeast"/>
          <w:jc w:val="center"/>
        </w:trPr>
        <w:tc>
          <w:tcPr>
            <w:tcW w:w="0" w:type="auto"/>
            <w:tcBorders>
              <w:top w:val="nil"/>
              <w:left w:val="single" w:color="auto" w:sz="8" w:space="0"/>
              <w:bottom w:val="single" w:color="auto" w:sz="4" w:space="0"/>
              <w:right w:val="single" w:color="auto" w:sz="8" w:space="0"/>
            </w:tcBorders>
            <w:shd w:val="clear" w:color="auto" w:fill="auto"/>
            <w:vAlign w:val="center"/>
          </w:tcPr>
          <w:p w14:paraId="66AF284C">
            <w:pPr>
              <w:jc w:val="center"/>
              <w:rPr>
                <w:rFonts w:ascii="宋体" w:hAnsi="宋体" w:eastAsia="宋体" w:cs="Times New Roman"/>
                <w:color w:val="auto"/>
                <w:sz w:val="22"/>
              </w:rPr>
            </w:pPr>
            <w:r>
              <w:rPr>
                <w:rFonts w:ascii="宋体" w:hAnsi="宋体" w:eastAsia="宋体" w:cs="Times New Roman"/>
                <w:color w:val="auto"/>
                <w:sz w:val="22"/>
              </w:rPr>
              <w:t>2</w:t>
            </w:r>
          </w:p>
        </w:tc>
        <w:tc>
          <w:tcPr>
            <w:tcW w:w="789" w:type="dxa"/>
            <w:tcBorders>
              <w:top w:val="nil"/>
              <w:left w:val="nil"/>
              <w:bottom w:val="single" w:color="auto" w:sz="4" w:space="0"/>
              <w:right w:val="single" w:color="auto" w:sz="8" w:space="0"/>
            </w:tcBorders>
            <w:shd w:val="clear" w:color="auto" w:fill="auto"/>
            <w:vAlign w:val="center"/>
          </w:tcPr>
          <w:p w14:paraId="68A9DC00">
            <w:pPr>
              <w:jc w:val="center"/>
              <w:rPr>
                <w:rFonts w:ascii="宋体" w:hAnsi="宋体" w:eastAsia="宋体"/>
                <w:color w:val="auto"/>
              </w:rPr>
            </w:pPr>
            <w:r>
              <w:rPr>
                <w:rFonts w:hint="eastAsia" w:ascii="宋体" w:hAnsi="宋体" w:eastAsia="宋体" w:cs="宋体"/>
                <w:color w:val="auto"/>
              </w:rPr>
              <w:t>业务系统升级服务</w:t>
            </w:r>
          </w:p>
        </w:tc>
        <w:tc>
          <w:tcPr>
            <w:tcW w:w="3691" w:type="dxa"/>
            <w:tcBorders>
              <w:top w:val="nil"/>
              <w:left w:val="nil"/>
              <w:bottom w:val="single" w:color="auto" w:sz="4" w:space="0"/>
              <w:right w:val="single" w:color="auto" w:sz="8" w:space="0"/>
            </w:tcBorders>
            <w:shd w:val="clear" w:color="auto" w:fill="auto"/>
          </w:tcPr>
          <w:p w14:paraId="5769D785">
            <w:pPr>
              <w:rPr>
                <w:rFonts w:ascii="宋体" w:hAnsi="宋体" w:eastAsia="宋体"/>
                <w:color w:val="auto"/>
                <w:lang w:eastAsia="zh-CN"/>
              </w:rPr>
            </w:pPr>
            <w:r>
              <w:rPr>
                <w:rFonts w:hint="eastAsia" w:ascii="宋体" w:hAnsi="宋体" w:eastAsia="宋体" w:cs="宋体"/>
                <w:color w:val="auto"/>
                <w:lang w:eastAsia="zh-CN"/>
              </w:rPr>
              <w:t>提供</w:t>
            </w:r>
            <w:r>
              <w:rPr>
                <w:rFonts w:ascii="宋体" w:hAnsi="宋体" w:eastAsia="宋体"/>
                <w:color w:val="auto"/>
                <w:lang w:eastAsia="zh-CN"/>
              </w:rPr>
              <w:t>2</w:t>
            </w:r>
            <w:r>
              <w:rPr>
                <w:rFonts w:hint="eastAsia" w:ascii="宋体" w:hAnsi="宋体" w:eastAsia="宋体" w:cs="宋体"/>
                <w:color w:val="auto"/>
                <w:lang w:eastAsia="zh-CN"/>
              </w:rPr>
              <w:t>名中级工程师，针对财政综合信息管理系统、库银横连系统、集中财务业务系统、非税票据系统、非税土地出让金系统、资产管理系统、集中财务系统（政府会计制度专版）、库银横联系统和农财乡镇运维服务在新功能上线前，配合软件单位完成基础的功能及压力测试，确保新功能不能影响系统正常工作，正式上线后，进行</w:t>
            </w:r>
            <w:r>
              <w:rPr>
                <w:rFonts w:ascii="宋体" w:hAnsi="宋体" w:eastAsia="宋体"/>
                <w:color w:val="auto"/>
                <w:lang w:eastAsia="zh-CN"/>
              </w:rPr>
              <w:t>7</w:t>
            </w:r>
            <w:r>
              <w:rPr>
                <w:rFonts w:hint="eastAsia" w:ascii="宋体" w:hAnsi="宋体" w:eastAsia="宋体" w:cs="宋体"/>
                <w:color w:val="auto"/>
                <w:lang w:eastAsia="zh-CN"/>
              </w:rPr>
              <w:t>天的严密监控，确保生产系统稳定运行。</w:t>
            </w:r>
          </w:p>
        </w:tc>
        <w:tc>
          <w:tcPr>
            <w:tcW w:w="703" w:type="dxa"/>
            <w:tcBorders>
              <w:top w:val="nil"/>
              <w:left w:val="nil"/>
              <w:bottom w:val="single" w:color="auto" w:sz="4" w:space="0"/>
              <w:right w:val="single" w:color="auto" w:sz="8" w:space="0"/>
            </w:tcBorders>
            <w:shd w:val="clear" w:color="auto" w:fill="auto"/>
            <w:vAlign w:val="center"/>
          </w:tcPr>
          <w:p w14:paraId="127DFC42">
            <w:pPr>
              <w:jc w:val="center"/>
              <w:rPr>
                <w:rFonts w:ascii="宋体" w:hAnsi="宋体" w:eastAsia="宋体"/>
                <w:color w:val="auto"/>
              </w:rPr>
            </w:pPr>
            <w:r>
              <w:rPr>
                <w:rFonts w:hint="eastAsia" w:ascii="宋体" w:hAnsi="宋体" w:eastAsia="宋体" w:cs="宋体"/>
                <w:color w:val="auto"/>
              </w:rPr>
              <w:t>中级工程师</w:t>
            </w:r>
          </w:p>
        </w:tc>
        <w:tc>
          <w:tcPr>
            <w:tcW w:w="744" w:type="dxa"/>
            <w:tcBorders>
              <w:top w:val="nil"/>
              <w:left w:val="nil"/>
              <w:bottom w:val="single" w:color="auto" w:sz="4" w:space="0"/>
              <w:right w:val="single" w:color="auto" w:sz="8" w:space="0"/>
            </w:tcBorders>
            <w:vAlign w:val="center"/>
          </w:tcPr>
          <w:p w14:paraId="06433BE2">
            <w:pPr>
              <w:jc w:val="center"/>
              <w:rPr>
                <w:rFonts w:ascii="宋体" w:hAnsi="宋体" w:eastAsia="宋体"/>
                <w:color w:val="auto"/>
              </w:rPr>
            </w:pPr>
            <w:r>
              <w:rPr>
                <w:rFonts w:hint="eastAsia" w:ascii="宋体" w:hAnsi="宋体" w:eastAsia="宋体" w:cs="宋体"/>
                <w:color w:val="auto"/>
              </w:rPr>
              <w:t>测试报告</w:t>
            </w:r>
          </w:p>
        </w:tc>
        <w:tc>
          <w:tcPr>
            <w:tcW w:w="0" w:type="auto"/>
            <w:tcBorders>
              <w:top w:val="nil"/>
              <w:left w:val="nil"/>
              <w:bottom w:val="single" w:color="auto" w:sz="4" w:space="0"/>
              <w:right w:val="single" w:color="auto" w:sz="8" w:space="0"/>
            </w:tcBorders>
            <w:vAlign w:val="center"/>
          </w:tcPr>
          <w:p w14:paraId="5C5D00A7">
            <w:pPr>
              <w:jc w:val="center"/>
              <w:rPr>
                <w:rFonts w:ascii="宋体" w:hAnsi="宋体" w:eastAsia="宋体"/>
                <w:color w:val="auto"/>
              </w:rPr>
            </w:pPr>
            <w:r>
              <w:rPr>
                <w:rFonts w:hint="eastAsia" w:ascii="宋体" w:hAnsi="宋体" w:eastAsia="宋体"/>
                <w:color w:val="auto"/>
              </w:rPr>
              <w:t>2</w:t>
            </w:r>
            <w:r>
              <w:rPr>
                <w:rFonts w:hint="eastAsia" w:ascii="宋体" w:hAnsi="宋体" w:eastAsia="宋体" w:cs="宋体"/>
                <w:color w:val="auto"/>
              </w:rPr>
              <w:t>人</w:t>
            </w:r>
          </w:p>
        </w:tc>
        <w:tc>
          <w:tcPr>
            <w:tcW w:w="764" w:type="dxa"/>
            <w:tcBorders>
              <w:top w:val="nil"/>
              <w:left w:val="nil"/>
              <w:bottom w:val="single" w:color="auto" w:sz="4" w:space="0"/>
              <w:right w:val="single" w:color="auto" w:sz="8" w:space="0"/>
            </w:tcBorders>
            <w:vAlign w:val="center"/>
          </w:tcPr>
          <w:p w14:paraId="76EEDF4E">
            <w:pPr>
              <w:jc w:val="center"/>
              <w:rPr>
                <w:rFonts w:ascii="宋体" w:hAnsi="宋体" w:eastAsia="宋体"/>
                <w:color w:val="auto"/>
              </w:rPr>
            </w:pPr>
            <w:r>
              <w:rPr>
                <w:rFonts w:ascii="宋体" w:hAnsi="宋体" w:eastAsia="宋体"/>
                <w:color w:val="auto"/>
              </w:rPr>
              <w:t>7</w:t>
            </w:r>
            <w:r>
              <w:rPr>
                <w:rFonts w:hint="eastAsia" w:ascii="宋体" w:hAnsi="宋体" w:eastAsia="宋体" w:cs="宋体"/>
                <w:color w:val="auto"/>
              </w:rPr>
              <w:t>天</w:t>
            </w:r>
          </w:p>
        </w:tc>
        <w:tc>
          <w:tcPr>
            <w:tcW w:w="992" w:type="dxa"/>
            <w:tcBorders>
              <w:top w:val="nil"/>
              <w:left w:val="nil"/>
              <w:bottom w:val="single" w:color="auto" w:sz="4" w:space="0"/>
              <w:right w:val="single" w:color="auto" w:sz="8" w:space="0"/>
            </w:tcBorders>
            <w:vAlign w:val="center"/>
          </w:tcPr>
          <w:p w14:paraId="44F9AEF8">
            <w:pPr>
              <w:jc w:val="center"/>
              <w:rPr>
                <w:rFonts w:ascii="宋体" w:hAnsi="宋体" w:eastAsia="宋体"/>
                <w:color w:val="auto"/>
              </w:rPr>
            </w:pPr>
            <w:r>
              <w:rPr>
                <w:rFonts w:ascii="宋体" w:hAnsi="宋体" w:eastAsia="宋体"/>
                <w:color w:val="auto"/>
              </w:rPr>
              <w:t>7</w:t>
            </w:r>
            <w:r>
              <w:rPr>
                <w:rFonts w:hint="eastAsia" w:ascii="宋体" w:hAnsi="宋体" w:eastAsia="宋体" w:cs="宋体"/>
                <w:color w:val="auto"/>
              </w:rPr>
              <w:t>天严密期</w:t>
            </w:r>
          </w:p>
        </w:tc>
      </w:tr>
      <w:tr w14:paraId="36B50887">
        <w:tblPrEx>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3EAA3">
            <w:pPr>
              <w:jc w:val="center"/>
              <w:rPr>
                <w:rFonts w:ascii="宋体" w:hAnsi="宋体" w:eastAsia="宋体" w:cs="Times New Roman"/>
                <w:color w:val="auto"/>
                <w:sz w:val="22"/>
              </w:rPr>
            </w:pPr>
            <w:r>
              <w:rPr>
                <w:rFonts w:ascii="宋体" w:hAnsi="宋体" w:eastAsia="宋体" w:cs="Times New Roman"/>
                <w:color w:val="auto"/>
                <w:sz w:val="22"/>
              </w:rPr>
              <w:t>3</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96D44B5">
            <w:pPr>
              <w:jc w:val="center"/>
              <w:rPr>
                <w:rFonts w:ascii="宋体" w:hAnsi="宋体" w:eastAsia="宋体"/>
                <w:color w:val="auto"/>
              </w:rPr>
            </w:pPr>
            <w:r>
              <w:rPr>
                <w:rFonts w:hint="eastAsia" w:ascii="宋体" w:hAnsi="宋体" w:eastAsia="宋体" w:cs="宋体"/>
                <w:color w:val="auto"/>
              </w:rPr>
              <w:t>数据库系统运维服务</w:t>
            </w:r>
          </w:p>
        </w:tc>
        <w:tc>
          <w:tcPr>
            <w:tcW w:w="3691" w:type="dxa"/>
            <w:tcBorders>
              <w:top w:val="single" w:color="auto" w:sz="4" w:space="0"/>
              <w:left w:val="single" w:color="auto" w:sz="4" w:space="0"/>
              <w:bottom w:val="single" w:color="auto" w:sz="4" w:space="0"/>
              <w:right w:val="single" w:color="auto" w:sz="4" w:space="0"/>
            </w:tcBorders>
            <w:shd w:val="clear" w:color="auto" w:fill="auto"/>
          </w:tcPr>
          <w:p w14:paraId="083A1502">
            <w:pPr>
              <w:rPr>
                <w:rFonts w:ascii="宋体" w:hAnsi="宋体" w:eastAsia="宋体"/>
                <w:color w:val="auto"/>
                <w:lang w:eastAsia="zh-CN"/>
              </w:rPr>
            </w:pPr>
            <w:r>
              <w:rPr>
                <w:rFonts w:hint="eastAsia" w:ascii="宋体" w:hAnsi="宋体" w:eastAsia="宋体"/>
                <w:color w:val="auto"/>
                <w:lang w:eastAsia="zh-CN"/>
              </w:rPr>
              <w:t>1. 提供高级工程师</w:t>
            </w:r>
            <w:r>
              <w:rPr>
                <w:rFonts w:ascii="宋体" w:hAnsi="宋体" w:eastAsia="宋体"/>
                <w:color w:val="auto"/>
                <w:lang w:eastAsia="zh-CN"/>
              </w:rPr>
              <w:t>1</w:t>
            </w:r>
            <w:r>
              <w:rPr>
                <w:rFonts w:hint="eastAsia" w:ascii="宋体" w:hAnsi="宋体" w:eastAsia="宋体"/>
                <w:color w:val="auto"/>
                <w:lang w:eastAsia="zh-CN"/>
              </w:rPr>
              <w:t>名，对财政综合信息管理系统、库银横连系统、财政核算业务系统、集中财务系统的数据库每个季度进行一次测试环境的数据恢复测试工作，并形成应急演练手册，确保突发故障出现时可以及时进行故障处理；</w:t>
            </w:r>
          </w:p>
          <w:p w14:paraId="7FF1B741">
            <w:pPr>
              <w:pStyle w:val="2"/>
              <w:rPr>
                <w:rFonts w:hint="eastAsia" w:ascii="宋体" w:hAnsi="宋体" w:eastAsia="宋体"/>
                <w:color w:val="auto"/>
                <w:lang w:eastAsia="zh-CN"/>
              </w:rPr>
            </w:pPr>
            <w:r>
              <w:rPr>
                <w:rFonts w:hint="eastAsia" w:ascii="宋体" w:hAnsi="宋体" w:eastAsia="宋体"/>
                <w:color w:val="auto"/>
                <w:lang w:eastAsia="zh-CN"/>
              </w:rPr>
              <w:t>2. 针对非税票据业务系统、土地出让金业务系统、资产管理系统提供辅助性运维服务，其中应包括上述所属</w:t>
            </w:r>
            <w:r>
              <w:rPr>
                <w:rFonts w:ascii="宋体" w:hAnsi="宋体" w:eastAsia="宋体"/>
                <w:color w:val="auto"/>
                <w:lang w:eastAsia="zh-CN"/>
              </w:rPr>
              <w:t>Oracle</w:t>
            </w:r>
            <w:r>
              <w:rPr>
                <w:rFonts w:hint="eastAsia" w:ascii="宋体" w:hAnsi="宋体" w:eastAsia="宋体"/>
                <w:color w:val="auto"/>
                <w:lang w:eastAsia="zh-CN"/>
              </w:rPr>
              <w:t>数据库及</w:t>
            </w:r>
            <w:r>
              <w:rPr>
                <w:rFonts w:ascii="宋体" w:hAnsi="宋体" w:eastAsia="宋体"/>
                <w:color w:val="auto"/>
                <w:lang w:eastAsia="zh-CN"/>
              </w:rPr>
              <w:t>Weblogic</w:t>
            </w:r>
            <w:r>
              <w:rPr>
                <w:rFonts w:hint="eastAsia" w:ascii="宋体" w:hAnsi="宋体" w:eastAsia="宋体"/>
                <w:color w:val="auto"/>
                <w:lang w:eastAsia="zh-CN"/>
              </w:rPr>
              <w:t>中间件的版本升级（授权有效期内）、系统备份、一般响应和</w:t>
            </w:r>
            <w:r>
              <w:rPr>
                <w:rFonts w:ascii="宋体" w:hAnsi="宋体" w:eastAsia="宋体"/>
                <w:color w:val="auto"/>
                <w:lang w:eastAsia="zh-CN"/>
              </w:rPr>
              <w:t>7*24</w:t>
            </w:r>
            <w:r>
              <w:rPr>
                <w:rFonts w:hint="eastAsia" w:ascii="宋体" w:hAnsi="宋体" w:eastAsia="宋体"/>
                <w:color w:val="auto"/>
                <w:lang w:eastAsia="zh-CN"/>
              </w:rPr>
              <w:t>小时紧急故障响应服务。</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A26D30">
            <w:pPr>
              <w:jc w:val="center"/>
              <w:rPr>
                <w:rFonts w:hint="eastAsia" w:ascii="宋体" w:hAnsi="宋体" w:eastAsia="宋体"/>
                <w:color w:val="auto"/>
                <w:lang w:eastAsia="zh-CN"/>
              </w:rPr>
            </w:pPr>
            <w:r>
              <w:rPr>
                <w:rFonts w:hint="eastAsia" w:ascii="宋体" w:hAnsi="宋体" w:eastAsia="宋体" w:cs="宋体"/>
                <w:color w:val="auto"/>
                <w:lang w:eastAsia="zh-CN"/>
              </w:rPr>
              <w:t>高</w:t>
            </w:r>
            <w:r>
              <w:rPr>
                <w:rFonts w:hint="eastAsia" w:ascii="宋体" w:hAnsi="宋体" w:eastAsia="宋体" w:cs="宋体"/>
                <w:color w:val="auto"/>
              </w:rPr>
              <w:t>级工程师</w:t>
            </w:r>
          </w:p>
        </w:tc>
        <w:tc>
          <w:tcPr>
            <w:tcW w:w="744" w:type="dxa"/>
            <w:vMerge w:val="restart"/>
            <w:tcBorders>
              <w:top w:val="single" w:color="auto" w:sz="4" w:space="0"/>
              <w:left w:val="single" w:color="auto" w:sz="4" w:space="0"/>
              <w:bottom w:val="single" w:color="auto" w:sz="4" w:space="0"/>
              <w:right w:val="single" w:color="auto" w:sz="4" w:space="0"/>
            </w:tcBorders>
            <w:vAlign w:val="center"/>
          </w:tcPr>
          <w:p w14:paraId="0343A9AD">
            <w:pPr>
              <w:jc w:val="center"/>
              <w:rPr>
                <w:rFonts w:ascii="宋体" w:hAnsi="宋体" w:eastAsia="宋体"/>
                <w:color w:val="auto"/>
                <w:lang w:eastAsia="zh-CN"/>
              </w:rPr>
            </w:pPr>
            <w:r>
              <w:rPr>
                <w:rFonts w:hint="eastAsia" w:ascii="宋体" w:hAnsi="宋体" w:eastAsia="宋体" w:cs="宋体"/>
                <w:color w:val="auto"/>
                <w:lang w:eastAsia="zh-CN"/>
              </w:rPr>
              <w:t>服务报告、应急响应预案</w:t>
            </w:r>
          </w:p>
        </w:tc>
        <w:tc>
          <w:tcPr>
            <w:tcW w:w="0" w:type="auto"/>
            <w:vMerge w:val="restart"/>
            <w:tcBorders>
              <w:top w:val="single" w:color="auto" w:sz="4" w:space="0"/>
              <w:left w:val="single" w:color="auto" w:sz="4" w:space="0"/>
              <w:bottom w:val="single" w:color="auto" w:sz="4" w:space="0"/>
              <w:right w:val="single" w:color="auto" w:sz="4" w:space="0"/>
            </w:tcBorders>
          </w:tcPr>
          <w:p w14:paraId="55D10027">
            <w:pPr>
              <w:jc w:val="center"/>
              <w:rPr>
                <w:rFonts w:ascii="宋体" w:hAnsi="宋体" w:eastAsia="宋体"/>
                <w:color w:val="auto"/>
              </w:rPr>
            </w:pPr>
            <w:r>
              <w:rPr>
                <w:rFonts w:hint="eastAsia" w:ascii="宋体" w:hAnsi="宋体" w:eastAsia="宋体"/>
                <w:color w:val="auto"/>
                <w:lang w:eastAsia="zh-CN"/>
              </w:rPr>
              <w:t>1</w:t>
            </w:r>
            <w:r>
              <w:rPr>
                <w:rFonts w:hint="eastAsia" w:ascii="宋体" w:hAnsi="宋体" w:eastAsia="宋体" w:cs="宋体"/>
                <w:color w:val="auto"/>
              </w:rPr>
              <w:t>人</w:t>
            </w:r>
          </w:p>
        </w:tc>
        <w:tc>
          <w:tcPr>
            <w:tcW w:w="764" w:type="dxa"/>
            <w:tcBorders>
              <w:top w:val="single" w:color="auto" w:sz="4" w:space="0"/>
              <w:left w:val="single" w:color="auto" w:sz="4" w:space="0"/>
              <w:bottom w:val="single" w:color="auto" w:sz="4" w:space="0"/>
              <w:right w:val="single" w:color="auto" w:sz="4" w:space="0"/>
            </w:tcBorders>
          </w:tcPr>
          <w:p w14:paraId="4F30CFE6">
            <w:pPr>
              <w:jc w:val="center"/>
              <w:rPr>
                <w:rFonts w:hint="eastAsia" w:ascii="宋体" w:hAnsi="宋体" w:eastAsia="宋体"/>
                <w:color w:val="auto"/>
                <w:lang w:eastAsia="zh-CN"/>
              </w:rPr>
            </w:pPr>
          </w:p>
          <w:p w14:paraId="43CCBC49">
            <w:pPr>
              <w:jc w:val="center"/>
              <w:rPr>
                <w:rFonts w:hint="eastAsia" w:ascii="宋体" w:hAnsi="宋体" w:eastAsia="宋体"/>
                <w:color w:val="auto"/>
                <w:lang w:eastAsia="zh-CN"/>
              </w:rPr>
            </w:pPr>
          </w:p>
          <w:p w14:paraId="661247F6">
            <w:pPr>
              <w:jc w:val="center"/>
              <w:rPr>
                <w:rFonts w:hint="eastAsia" w:ascii="宋体" w:hAnsi="宋体" w:eastAsia="宋体"/>
                <w:color w:val="auto"/>
                <w:lang w:eastAsia="zh-CN"/>
              </w:rPr>
            </w:pPr>
          </w:p>
          <w:p w14:paraId="5A438C87">
            <w:pPr>
              <w:jc w:val="center"/>
              <w:rPr>
                <w:rFonts w:hint="eastAsia" w:ascii="宋体" w:hAnsi="宋体" w:eastAsia="宋体"/>
                <w:color w:val="auto"/>
                <w:lang w:eastAsia="zh-CN"/>
              </w:rPr>
            </w:pPr>
          </w:p>
          <w:p w14:paraId="12529FC4">
            <w:pPr>
              <w:jc w:val="center"/>
              <w:rPr>
                <w:rFonts w:hint="eastAsia" w:ascii="宋体" w:hAnsi="宋体" w:eastAsia="宋体"/>
                <w:color w:val="auto"/>
                <w:lang w:eastAsia="zh-CN"/>
              </w:rPr>
            </w:pPr>
          </w:p>
          <w:p w14:paraId="2AD083DD">
            <w:pPr>
              <w:jc w:val="center"/>
              <w:rPr>
                <w:rFonts w:hint="eastAsia" w:ascii="宋体" w:hAnsi="宋体" w:eastAsia="宋体"/>
                <w:color w:val="auto"/>
                <w:lang w:eastAsia="zh-CN"/>
              </w:rPr>
            </w:pPr>
          </w:p>
          <w:p w14:paraId="4DFFBBC0">
            <w:pPr>
              <w:jc w:val="center"/>
              <w:rPr>
                <w:rFonts w:ascii="宋体" w:hAnsi="宋体" w:eastAsia="宋体"/>
                <w:color w:val="auto"/>
              </w:rPr>
            </w:pPr>
            <w:r>
              <w:rPr>
                <w:rFonts w:hint="eastAsia" w:ascii="宋体" w:hAnsi="宋体" w:eastAsia="宋体"/>
                <w:color w:val="auto"/>
                <w:lang w:eastAsia="zh-CN"/>
              </w:rPr>
              <w:t>42</w:t>
            </w:r>
            <w:r>
              <w:rPr>
                <w:rFonts w:hint="eastAsia" w:ascii="宋体" w:hAnsi="宋体" w:eastAsia="宋体" w:cs="宋体"/>
                <w:color w:val="auto"/>
              </w:rPr>
              <w:t>天</w:t>
            </w:r>
          </w:p>
        </w:tc>
        <w:tc>
          <w:tcPr>
            <w:tcW w:w="992" w:type="dxa"/>
            <w:tcBorders>
              <w:top w:val="single" w:color="auto" w:sz="4" w:space="0"/>
              <w:left w:val="single" w:color="auto" w:sz="4" w:space="0"/>
              <w:bottom w:val="single" w:color="auto" w:sz="4" w:space="0"/>
              <w:right w:val="single" w:color="auto" w:sz="4" w:space="0"/>
            </w:tcBorders>
          </w:tcPr>
          <w:p w14:paraId="66D28E96">
            <w:pPr>
              <w:jc w:val="center"/>
              <w:rPr>
                <w:rFonts w:ascii="宋体" w:hAnsi="宋体" w:eastAsia="宋体"/>
                <w:color w:val="auto"/>
                <w:lang w:eastAsia="zh-CN"/>
              </w:rPr>
            </w:pPr>
            <w:r>
              <w:rPr>
                <w:rFonts w:hint="eastAsia" w:ascii="宋体" w:hAnsi="宋体" w:eastAsia="宋体" w:cs="宋体"/>
                <w:color w:val="auto"/>
                <w:lang w:eastAsia="zh-CN"/>
              </w:rPr>
              <w:t>每季度开展一次</w:t>
            </w:r>
          </w:p>
        </w:tc>
      </w:tr>
      <w:tr w14:paraId="4FFFFF15">
        <w:tblPrEx>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tcPr>
          <w:p w14:paraId="5A14FC6E">
            <w:pPr>
              <w:jc w:val="center"/>
              <w:rPr>
                <w:rFonts w:ascii="宋体" w:hAnsi="宋体" w:eastAsia="宋体" w:cs="Times New Roman"/>
                <w:color w:val="auto"/>
                <w:sz w:val="22"/>
              </w:rPr>
            </w:pPr>
            <w:r>
              <w:rPr>
                <w:rFonts w:ascii="宋体" w:hAnsi="宋体" w:eastAsia="宋体" w:cs="Times New Roman"/>
                <w:color w:val="auto"/>
                <w:sz w:val="22"/>
              </w:rPr>
              <w:t>4</w:t>
            </w:r>
          </w:p>
        </w:tc>
        <w:tc>
          <w:tcPr>
            <w:tcW w:w="789" w:type="dxa"/>
            <w:tcBorders>
              <w:top w:val="single" w:color="auto" w:sz="4" w:space="0"/>
              <w:left w:val="nil"/>
              <w:bottom w:val="single" w:color="auto" w:sz="8" w:space="0"/>
              <w:right w:val="single" w:color="auto" w:sz="8" w:space="0"/>
            </w:tcBorders>
            <w:shd w:val="clear" w:color="auto" w:fill="auto"/>
            <w:vAlign w:val="center"/>
          </w:tcPr>
          <w:p w14:paraId="7224FC8C">
            <w:pPr>
              <w:jc w:val="center"/>
              <w:rPr>
                <w:rFonts w:ascii="宋体" w:hAnsi="宋体" w:eastAsia="宋体"/>
                <w:color w:val="auto"/>
              </w:rPr>
            </w:pPr>
            <w:r>
              <w:rPr>
                <w:rFonts w:hint="eastAsia" w:ascii="宋体" w:hAnsi="宋体" w:eastAsia="宋体" w:cs="宋体"/>
                <w:color w:val="auto"/>
              </w:rPr>
              <w:t>应急响应服务</w:t>
            </w:r>
          </w:p>
        </w:tc>
        <w:tc>
          <w:tcPr>
            <w:tcW w:w="3691" w:type="dxa"/>
            <w:tcBorders>
              <w:top w:val="single" w:color="auto" w:sz="4" w:space="0"/>
              <w:left w:val="nil"/>
              <w:bottom w:val="single" w:color="auto" w:sz="8" w:space="0"/>
              <w:right w:val="single" w:color="auto" w:sz="8" w:space="0"/>
            </w:tcBorders>
            <w:shd w:val="clear" w:color="auto" w:fill="auto"/>
          </w:tcPr>
          <w:p w14:paraId="53B74F0E">
            <w:pPr>
              <w:rPr>
                <w:rFonts w:ascii="宋体" w:hAnsi="宋体" w:eastAsia="宋体" w:cs="宋体"/>
                <w:color w:val="auto"/>
                <w:lang w:eastAsia="zh-CN"/>
              </w:rPr>
            </w:pPr>
            <w:r>
              <w:rPr>
                <w:rFonts w:hint="eastAsia" w:ascii="宋体" w:hAnsi="宋体" w:eastAsia="宋体" w:cs="宋体"/>
                <w:color w:val="auto"/>
                <w:lang w:eastAsia="zh-CN"/>
              </w:rPr>
              <w:t>1.针对信息系统中的重要资产、制定应急响预案，并有计划的进行演练和改进；</w:t>
            </w:r>
          </w:p>
          <w:p w14:paraId="42651014">
            <w:pPr>
              <w:pStyle w:val="2"/>
              <w:rPr>
                <w:rFonts w:ascii="宋体" w:hAnsi="宋体" w:eastAsia="宋体"/>
                <w:color w:val="auto"/>
                <w:lang w:eastAsia="zh-CN"/>
              </w:rPr>
            </w:pPr>
            <w:r>
              <w:rPr>
                <w:rFonts w:hint="eastAsia" w:ascii="宋体" w:hAnsi="宋体" w:eastAsia="宋体"/>
                <w:color w:val="auto"/>
                <w:lang w:eastAsia="zh-CN"/>
              </w:rPr>
              <w:t>2. 针对信息系统突发的重大安全事件，派出应急事件处理能力较强的高级工程师以最快的时间进行故障排查定位和应急处理；</w:t>
            </w:r>
          </w:p>
          <w:p w14:paraId="0FF978FA">
            <w:pPr>
              <w:pStyle w:val="2"/>
              <w:rPr>
                <w:rFonts w:hint="eastAsia" w:ascii="宋体" w:hAnsi="宋体" w:eastAsia="宋体"/>
                <w:color w:val="auto"/>
                <w:lang w:eastAsia="zh-CN"/>
              </w:rPr>
            </w:pPr>
            <w:r>
              <w:rPr>
                <w:rFonts w:hint="eastAsia" w:ascii="宋体" w:hAnsi="宋体" w:eastAsia="宋体"/>
                <w:color w:val="auto"/>
                <w:lang w:eastAsia="zh-CN"/>
              </w:rPr>
              <w:t>3. 针对突发故障服务响应时间为</w:t>
            </w:r>
            <w:r>
              <w:rPr>
                <w:rFonts w:ascii="宋体" w:hAnsi="宋体" w:eastAsia="宋体"/>
                <w:color w:val="auto"/>
                <w:lang w:eastAsia="zh-CN"/>
              </w:rPr>
              <w:t>0.5</w:t>
            </w:r>
            <w:r>
              <w:rPr>
                <w:rFonts w:hint="eastAsia" w:ascii="宋体" w:hAnsi="宋体" w:eastAsia="宋体"/>
                <w:color w:val="auto"/>
                <w:lang w:eastAsia="zh-CN"/>
              </w:rPr>
              <w:t>小时，到场时间不得超过</w:t>
            </w:r>
            <w:r>
              <w:rPr>
                <w:rFonts w:ascii="宋体" w:hAnsi="宋体" w:eastAsia="宋体"/>
                <w:color w:val="auto"/>
                <w:lang w:eastAsia="zh-CN"/>
              </w:rPr>
              <w:t>1</w:t>
            </w:r>
            <w:r>
              <w:rPr>
                <w:rFonts w:hint="eastAsia" w:ascii="宋体" w:hAnsi="宋体" w:eastAsia="宋体"/>
                <w:color w:val="auto"/>
                <w:lang w:eastAsia="zh-CN"/>
              </w:rPr>
              <w:t>小时，恢复系统运行时间小于</w:t>
            </w:r>
            <w:r>
              <w:rPr>
                <w:rFonts w:ascii="宋体" w:hAnsi="宋体" w:eastAsia="宋体"/>
                <w:color w:val="auto"/>
                <w:lang w:eastAsia="zh-CN"/>
              </w:rPr>
              <w:t>4</w:t>
            </w:r>
            <w:r>
              <w:rPr>
                <w:rFonts w:hint="eastAsia" w:ascii="宋体" w:hAnsi="宋体" w:eastAsia="宋体"/>
                <w:color w:val="auto"/>
                <w:lang w:eastAsia="zh-CN"/>
              </w:rPr>
              <w:t>小时。</w:t>
            </w:r>
          </w:p>
        </w:tc>
        <w:tc>
          <w:tcPr>
            <w:tcW w:w="703" w:type="dxa"/>
            <w:vMerge w:val="continue"/>
            <w:tcBorders>
              <w:top w:val="single" w:color="auto" w:sz="4" w:space="0"/>
              <w:left w:val="nil"/>
              <w:bottom w:val="single" w:color="auto" w:sz="8" w:space="0"/>
              <w:right w:val="single" w:color="auto" w:sz="8" w:space="0"/>
            </w:tcBorders>
            <w:shd w:val="clear" w:color="auto" w:fill="auto"/>
            <w:vAlign w:val="center"/>
          </w:tcPr>
          <w:p w14:paraId="70A2DADF">
            <w:pPr>
              <w:jc w:val="center"/>
              <w:rPr>
                <w:rFonts w:ascii="宋体" w:hAnsi="宋体" w:eastAsia="宋体"/>
                <w:color w:val="auto"/>
                <w:lang w:eastAsia="zh-CN"/>
              </w:rPr>
            </w:pPr>
          </w:p>
        </w:tc>
        <w:tc>
          <w:tcPr>
            <w:tcW w:w="744" w:type="dxa"/>
            <w:vMerge w:val="continue"/>
            <w:tcBorders>
              <w:top w:val="single" w:color="auto" w:sz="4" w:space="0"/>
              <w:left w:val="nil"/>
              <w:bottom w:val="single" w:color="auto" w:sz="8" w:space="0"/>
              <w:right w:val="single" w:color="auto" w:sz="8" w:space="0"/>
            </w:tcBorders>
          </w:tcPr>
          <w:p w14:paraId="32B384DD">
            <w:pPr>
              <w:jc w:val="center"/>
              <w:rPr>
                <w:rFonts w:ascii="宋体" w:hAnsi="宋体" w:eastAsia="宋体"/>
                <w:color w:val="auto"/>
                <w:lang w:eastAsia="zh-CN"/>
              </w:rPr>
            </w:pPr>
          </w:p>
        </w:tc>
        <w:tc>
          <w:tcPr>
            <w:tcW w:w="0" w:type="auto"/>
            <w:vMerge w:val="continue"/>
            <w:tcBorders>
              <w:top w:val="single" w:color="auto" w:sz="4" w:space="0"/>
              <w:left w:val="nil"/>
              <w:bottom w:val="single" w:color="auto" w:sz="8" w:space="0"/>
              <w:right w:val="single" w:color="auto" w:sz="8" w:space="0"/>
            </w:tcBorders>
          </w:tcPr>
          <w:p w14:paraId="2BFCE2D6">
            <w:pPr>
              <w:jc w:val="center"/>
              <w:rPr>
                <w:rFonts w:ascii="宋体" w:hAnsi="宋体" w:eastAsia="宋体"/>
                <w:color w:val="auto"/>
                <w:lang w:eastAsia="zh-CN"/>
              </w:rPr>
            </w:pPr>
          </w:p>
        </w:tc>
        <w:tc>
          <w:tcPr>
            <w:tcW w:w="764" w:type="dxa"/>
            <w:tcBorders>
              <w:top w:val="single" w:color="auto" w:sz="4" w:space="0"/>
              <w:left w:val="nil"/>
              <w:bottom w:val="single" w:color="auto" w:sz="8" w:space="0"/>
              <w:right w:val="single" w:color="auto" w:sz="8" w:space="0"/>
            </w:tcBorders>
          </w:tcPr>
          <w:p w14:paraId="1F96E956">
            <w:pPr>
              <w:jc w:val="center"/>
              <w:rPr>
                <w:rFonts w:ascii="宋体" w:hAnsi="宋体" w:eastAsia="宋体"/>
                <w:color w:val="auto"/>
                <w:lang w:eastAsia="zh-CN"/>
              </w:rPr>
            </w:pPr>
          </w:p>
        </w:tc>
        <w:tc>
          <w:tcPr>
            <w:tcW w:w="992" w:type="dxa"/>
            <w:tcBorders>
              <w:top w:val="single" w:color="auto" w:sz="4" w:space="0"/>
              <w:left w:val="nil"/>
              <w:bottom w:val="single" w:color="auto" w:sz="8" w:space="0"/>
              <w:right w:val="single" w:color="auto" w:sz="8" w:space="0"/>
            </w:tcBorders>
          </w:tcPr>
          <w:p w14:paraId="7B82478E">
            <w:pPr>
              <w:jc w:val="center"/>
              <w:rPr>
                <w:rFonts w:ascii="宋体" w:hAnsi="宋体" w:eastAsia="宋体"/>
                <w:color w:val="auto"/>
                <w:lang w:eastAsia="zh-CN"/>
              </w:rPr>
            </w:pPr>
          </w:p>
        </w:tc>
      </w:tr>
      <w:tr w14:paraId="1515F5FD">
        <w:tblPrEx>
          <w:tblCellMar>
            <w:top w:w="0" w:type="dxa"/>
            <w:left w:w="108" w:type="dxa"/>
            <w:bottom w:w="0" w:type="dxa"/>
            <w:right w:w="108" w:type="dxa"/>
          </w:tblCellMar>
        </w:tblPrEx>
        <w:trPr>
          <w:trHeight w:val="499"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06B04D14">
            <w:pPr>
              <w:jc w:val="center"/>
              <w:rPr>
                <w:rFonts w:hint="eastAsia" w:ascii="宋体" w:hAnsi="宋体" w:eastAsia="宋体" w:cs="Times New Roman"/>
                <w:color w:val="auto"/>
                <w:sz w:val="22"/>
                <w:lang w:eastAsia="zh-CN"/>
              </w:rPr>
            </w:pPr>
            <w:r>
              <w:rPr>
                <w:rFonts w:hint="eastAsia" w:ascii="宋体" w:hAnsi="宋体" w:eastAsia="宋体" w:cs="Times New Roman"/>
                <w:color w:val="auto"/>
                <w:sz w:val="22"/>
                <w:lang w:eastAsia="zh-CN"/>
              </w:rPr>
              <w:t>5</w:t>
            </w:r>
          </w:p>
        </w:tc>
        <w:tc>
          <w:tcPr>
            <w:tcW w:w="789" w:type="dxa"/>
            <w:tcBorders>
              <w:top w:val="nil"/>
              <w:left w:val="nil"/>
              <w:bottom w:val="single" w:color="auto" w:sz="8" w:space="0"/>
              <w:right w:val="single" w:color="auto" w:sz="8" w:space="0"/>
            </w:tcBorders>
            <w:shd w:val="clear" w:color="auto" w:fill="auto"/>
            <w:vAlign w:val="center"/>
          </w:tcPr>
          <w:p w14:paraId="34899E1B">
            <w:pPr>
              <w:jc w:val="center"/>
              <w:rPr>
                <w:rFonts w:ascii="宋体" w:hAnsi="宋体" w:eastAsia="宋体"/>
                <w:color w:val="auto"/>
              </w:rPr>
            </w:pPr>
            <w:r>
              <w:rPr>
                <w:rFonts w:hint="eastAsia" w:ascii="宋体" w:hAnsi="宋体" w:eastAsia="宋体" w:cs="宋体"/>
                <w:color w:val="auto"/>
              </w:rPr>
              <w:t>培训服务</w:t>
            </w:r>
          </w:p>
        </w:tc>
        <w:tc>
          <w:tcPr>
            <w:tcW w:w="3691" w:type="dxa"/>
            <w:tcBorders>
              <w:top w:val="nil"/>
              <w:left w:val="nil"/>
              <w:bottom w:val="single" w:color="auto" w:sz="8" w:space="0"/>
              <w:right w:val="single" w:color="auto" w:sz="8" w:space="0"/>
            </w:tcBorders>
            <w:shd w:val="clear" w:color="auto" w:fill="auto"/>
          </w:tcPr>
          <w:p w14:paraId="1E83413C">
            <w:pPr>
              <w:rPr>
                <w:rFonts w:ascii="宋体" w:hAnsi="宋体" w:eastAsia="宋体"/>
                <w:color w:val="auto"/>
                <w:lang w:eastAsia="zh-CN"/>
              </w:rPr>
            </w:pPr>
            <w:r>
              <w:rPr>
                <w:rFonts w:hint="eastAsia" w:ascii="宋体" w:hAnsi="宋体" w:eastAsia="宋体" w:cs="宋体"/>
                <w:color w:val="auto"/>
                <w:lang w:eastAsia="zh-CN"/>
              </w:rPr>
              <w:t>提供高级工程师对长春市财政信息中心进行</w:t>
            </w:r>
            <w:r>
              <w:rPr>
                <w:rFonts w:ascii="宋体" w:hAnsi="宋体" w:eastAsia="宋体" w:cs="宋体"/>
                <w:color w:val="auto"/>
                <w:lang w:eastAsia="zh-CN"/>
              </w:rPr>
              <w:t>1</w:t>
            </w:r>
            <w:r>
              <w:rPr>
                <w:rFonts w:hint="eastAsia" w:ascii="宋体" w:hAnsi="宋体" w:eastAsia="宋体" w:cs="宋体"/>
                <w:color w:val="auto"/>
                <w:lang w:eastAsia="zh-CN"/>
              </w:rPr>
              <w:t>次技术培训，包含</w:t>
            </w:r>
            <w:r>
              <w:rPr>
                <w:rFonts w:ascii="宋体" w:hAnsi="宋体" w:eastAsia="宋体" w:cs="宋体"/>
                <w:color w:val="auto"/>
                <w:lang w:eastAsia="zh-CN"/>
              </w:rPr>
              <w:t>AIX</w:t>
            </w:r>
            <w:r>
              <w:rPr>
                <w:rFonts w:hint="eastAsia" w:ascii="宋体" w:hAnsi="宋体" w:eastAsia="宋体" w:cs="宋体"/>
                <w:color w:val="auto"/>
                <w:lang w:eastAsia="zh-CN"/>
              </w:rPr>
              <w:t>系统、</w:t>
            </w:r>
            <w:r>
              <w:rPr>
                <w:rFonts w:ascii="宋体" w:hAnsi="宋体" w:eastAsia="宋体" w:cs="宋体"/>
                <w:color w:val="auto"/>
                <w:lang w:eastAsia="zh-CN"/>
              </w:rPr>
              <w:t>ORACLE</w:t>
            </w:r>
            <w:r>
              <w:rPr>
                <w:rFonts w:hint="eastAsia" w:ascii="宋体" w:hAnsi="宋体" w:eastAsia="宋体" w:cs="宋体"/>
                <w:color w:val="auto"/>
                <w:lang w:eastAsia="zh-CN"/>
              </w:rPr>
              <w:t>数据库、</w:t>
            </w:r>
            <w:r>
              <w:rPr>
                <w:rFonts w:ascii="宋体" w:hAnsi="宋体" w:eastAsia="宋体" w:cs="宋体"/>
                <w:color w:val="auto"/>
                <w:lang w:eastAsia="zh-CN"/>
              </w:rPr>
              <w:t>WEBLOGIC</w:t>
            </w:r>
            <w:r>
              <w:rPr>
                <w:rFonts w:hint="eastAsia" w:ascii="宋体" w:hAnsi="宋体" w:eastAsia="宋体" w:cs="宋体"/>
                <w:color w:val="auto"/>
                <w:lang w:eastAsia="zh-CN"/>
              </w:rPr>
              <w:t>中间件等内容的培训工作。</w:t>
            </w:r>
          </w:p>
        </w:tc>
        <w:tc>
          <w:tcPr>
            <w:tcW w:w="703" w:type="dxa"/>
            <w:tcBorders>
              <w:top w:val="nil"/>
              <w:left w:val="nil"/>
              <w:bottom w:val="single" w:color="auto" w:sz="8" w:space="0"/>
              <w:right w:val="single" w:color="auto" w:sz="8" w:space="0"/>
            </w:tcBorders>
            <w:shd w:val="clear" w:color="auto" w:fill="auto"/>
            <w:vAlign w:val="center"/>
          </w:tcPr>
          <w:p w14:paraId="2C6A62F4">
            <w:pPr>
              <w:jc w:val="center"/>
              <w:rPr>
                <w:rFonts w:ascii="宋体" w:hAnsi="宋体" w:eastAsia="宋体"/>
                <w:color w:val="auto"/>
              </w:rPr>
            </w:pPr>
            <w:r>
              <w:rPr>
                <w:rFonts w:hint="eastAsia" w:ascii="宋体" w:hAnsi="宋体" w:eastAsia="宋体" w:cs="宋体"/>
                <w:color w:val="auto"/>
                <w:lang w:eastAsia="zh-CN"/>
              </w:rPr>
              <w:t>高</w:t>
            </w:r>
            <w:r>
              <w:rPr>
                <w:rFonts w:hint="eastAsia" w:ascii="宋体" w:hAnsi="宋体" w:eastAsia="宋体" w:cs="宋体"/>
                <w:color w:val="auto"/>
              </w:rPr>
              <w:t>级工程师</w:t>
            </w:r>
          </w:p>
        </w:tc>
        <w:tc>
          <w:tcPr>
            <w:tcW w:w="744" w:type="dxa"/>
            <w:tcBorders>
              <w:top w:val="nil"/>
              <w:left w:val="nil"/>
              <w:bottom w:val="single" w:color="auto" w:sz="8" w:space="0"/>
              <w:right w:val="single" w:color="auto" w:sz="8" w:space="0"/>
            </w:tcBorders>
            <w:vAlign w:val="center"/>
          </w:tcPr>
          <w:p w14:paraId="08630169">
            <w:pPr>
              <w:jc w:val="center"/>
              <w:rPr>
                <w:rFonts w:ascii="宋体" w:hAnsi="宋体" w:eastAsia="宋体"/>
                <w:color w:val="auto"/>
              </w:rPr>
            </w:pPr>
            <w:r>
              <w:rPr>
                <w:rFonts w:hint="eastAsia" w:ascii="宋体" w:hAnsi="宋体" w:eastAsia="宋体" w:cs="宋体"/>
                <w:color w:val="auto"/>
              </w:rPr>
              <w:t>培训报告</w:t>
            </w:r>
          </w:p>
        </w:tc>
        <w:tc>
          <w:tcPr>
            <w:tcW w:w="0" w:type="auto"/>
            <w:tcBorders>
              <w:top w:val="nil"/>
              <w:left w:val="nil"/>
              <w:bottom w:val="single" w:color="auto" w:sz="8" w:space="0"/>
              <w:right w:val="single" w:color="auto" w:sz="8" w:space="0"/>
            </w:tcBorders>
            <w:vAlign w:val="center"/>
          </w:tcPr>
          <w:p w14:paraId="5939D9A8">
            <w:pPr>
              <w:jc w:val="center"/>
              <w:rPr>
                <w:rFonts w:ascii="宋体" w:hAnsi="宋体" w:eastAsia="宋体"/>
                <w:color w:val="auto"/>
              </w:rPr>
            </w:pPr>
            <w:r>
              <w:rPr>
                <w:rFonts w:hint="eastAsia" w:ascii="宋体" w:hAnsi="宋体" w:eastAsia="宋体"/>
                <w:color w:val="auto"/>
              </w:rPr>
              <w:t>1</w:t>
            </w:r>
            <w:r>
              <w:rPr>
                <w:rFonts w:hint="eastAsia" w:ascii="宋体" w:hAnsi="宋体" w:eastAsia="宋体" w:cs="宋体"/>
                <w:color w:val="auto"/>
              </w:rPr>
              <w:t>人</w:t>
            </w:r>
          </w:p>
        </w:tc>
        <w:tc>
          <w:tcPr>
            <w:tcW w:w="764" w:type="dxa"/>
            <w:tcBorders>
              <w:top w:val="nil"/>
              <w:left w:val="nil"/>
              <w:bottom w:val="single" w:color="auto" w:sz="8" w:space="0"/>
              <w:right w:val="single" w:color="auto" w:sz="8" w:space="0"/>
            </w:tcBorders>
            <w:vAlign w:val="center"/>
          </w:tcPr>
          <w:p w14:paraId="1B5FEAEF">
            <w:pPr>
              <w:jc w:val="center"/>
              <w:rPr>
                <w:rFonts w:ascii="宋体" w:hAnsi="宋体" w:eastAsia="宋体"/>
                <w:color w:val="auto"/>
              </w:rPr>
            </w:pPr>
            <w:r>
              <w:rPr>
                <w:rFonts w:hint="eastAsia" w:ascii="宋体" w:hAnsi="宋体" w:eastAsia="宋体"/>
                <w:color w:val="auto"/>
              </w:rPr>
              <w:t>2</w:t>
            </w:r>
            <w:r>
              <w:rPr>
                <w:rFonts w:hint="eastAsia" w:ascii="宋体" w:hAnsi="宋体" w:eastAsia="宋体" w:cs="宋体"/>
                <w:color w:val="auto"/>
              </w:rPr>
              <w:t>天</w:t>
            </w:r>
          </w:p>
        </w:tc>
        <w:tc>
          <w:tcPr>
            <w:tcW w:w="992" w:type="dxa"/>
            <w:tcBorders>
              <w:top w:val="nil"/>
              <w:left w:val="nil"/>
              <w:bottom w:val="single" w:color="auto" w:sz="8" w:space="0"/>
              <w:right w:val="single" w:color="auto" w:sz="8" w:space="0"/>
            </w:tcBorders>
            <w:vAlign w:val="center"/>
          </w:tcPr>
          <w:p w14:paraId="49C491B0">
            <w:pPr>
              <w:jc w:val="center"/>
              <w:rPr>
                <w:rFonts w:ascii="宋体" w:hAnsi="宋体" w:eastAsia="宋体"/>
                <w:color w:val="auto"/>
              </w:rPr>
            </w:pPr>
            <w:r>
              <w:rPr>
                <w:rFonts w:hint="eastAsia" w:ascii="宋体" w:hAnsi="宋体" w:eastAsia="宋体"/>
                <w:color w:val="auto"/>
              </w:rPr>
              <w:t>2</w:t>
            </w:r>
            <w:r>
              <w:rPr>
                <w:rFonts w:hint="eastAsia" w:ascii="宋体" w:hAnsi="宋体" w:eastAsia="宋体" w:cs="宋体"/>
                <w:color w:val="auto"/>
              </w:rPr>
              <w:t>天培训期</w:t>
            </w:r>
          </w:p>
        </w:tc>
      </w:tr>
      <w:tr w14:paraId="38EE505A">
        <w:tblPrEx>
          <w:tblCellMar>
            <w:top w:w="0" w:type="dxa"/>
            <w:left w:w="108" w:type="dxa"/>
            <w:bottom w:w="0" w:type="dxa"/>
            <w:right w:w="108" w:type="dxa"/>
          </w:tblCellMar>
        </w:tblPrEx>
        <w:trPr>
          <w:trHeight w:val="499" w:hRule="atLeast"/>
          <w:jc w:val="center"/>
        </w:trPr>
        <w:tc>
          <w:tcPr>
            <w:tcW w:w="0" w:type="auto"/>
            <w:vMerge w:val="restart"/>
            <w:tcBorders>
              <w:top w:val="nil"/>
              <w:left w:val="single" w:color="auto" w:sz="8" w:space="0"/>
              <w:right w:val="single" w:color="auto" w:sz="8" w:space="0"/>
            </w:tcBorders>
            <w:shd w:val="clear" w:color="auto" w:fill="auto"/>
            <w:vAlign w:val="center"/>
          </w:tcPr>
          <w:p w14:paraId="068AB7B7">
            <w:pPr>
              <w:jc w:val="center"/>
              <w:rPr>
                <w:rFonts w:ascii="宋体" w:hAnsi="宋体" w:eastAsia="宋体" w:cs="Times New Roman"/>
                <w:color w:val="auto"/>
                <w:sz w:val="22"/>
              </w:rPr>
            </w:pPr>
            <w:r>
              <w:rPr>
                <w:rFonts w:ascii="宋体" w:hAnsi="宋体" w:eastAsia="宋体" w:cs="Times New Roman"/>
                <w:color w:val="auto"/>
                <w:sz w:val="22"/>
              </w:rPr>
              <w:t>7</w:t>
            </w:r>
          </w:p>
        </w:tc>
        <w:tc>
          <w:tcPr>
            <w:tcW w:w="789" w:type="dxa"/>
            <w:vMerge w:val="restart"/>
            <w:tcBorders>
              <w:top w:val="nil"/>
              <w:left w:val="nil"/>
              <w:right w:val="single" w:color="auto" w:sz="8" w:space="0"/>
            </w:tcBorders>
            <w:shd w:val="clear" w:color="auto" w:fill="auto"/>
            <w:vAlign w:val="center"/>
          </w:tcPr>
          <w:p w14:paraId="08C6B68B">
            <w:pPr>
              <w:jc w:val="center"/>
              <w:rPr>
                <w:rFonts w:ascii="宋体" w:hAnsi="宋体" w:eastAsia="宋体" w:cs="宋体"/>
                <w:color w:val="auto"/>
                <w:lang w:eastAsia="zh-CN"/>
              </w:rPr>
            </w:pPr>
            <w:r>
              <w:rPr>
                <w:rFonts w:hint="eastAsia" w:ascii="宋体" w:hAnsi="宋体" w:eastAsia="宋体" w:cs="宋体"/>
                <w:color w:val="auto"/>
              </w:rPr>
              <w:t>设备租用</w:t>
            </w:r>
          </w:p>
          <w:p w14:paraId="12B6A1ED">
            <w:pPr>
              <w:pStyle w:val="2"/>
              <w:rPr>
                <w:rFonts w:hint="eastAsia" w:ascii="宋体" w:hAnsi="宋体" w:eastAsia="宋体"/>
                <w:color w:val="auto"/>
                <w:lang w:eastAsia="zh-CN"/>
              </w:rPr>
            </w:pPr>
            <w:r>
              <w:rPr>
                <w:rFonts w:hint="eastAsia" w:ascii="宋体" w:hAnsi="宋体" w:eastAsia="宋体"/>
                <w:color w:val="auto"/>
                <w:lang w:eastAsia="zh-CN"/>
              </w:rPr>
              <w:t>（0元赠送）</w:t>
            </w:r>
          </w:p>
        </w:tc>
        <w:tc>
          <w:tcPr>
            <w:tcW w:w="3691" w:type="dxa"/>
            <w:tcBorders>
              <w:top w:val="nil"/>
              <w:left w:val="nil"/>
              <w:bottom w:val="single" w:color="auto" w:sz="8" w:space="0"/>
              <w:right w:val="single" w:color="auto" w:sz="8" w:space="0"/>
            </w:tcBorders>
            <w:shd w:val="clear" w:color="auto" w:fill="auto"/>
          </w:tcPr>
          <w:p w14:paraId="036ECEA7">
            <w:pPr>
              <w:rPr>
                <w:rFonts w:ascii="宋体" w:hAnsi="宋体" w:eastAsia="宋体"/>
                <w:color w:val="auto"/>
              </w:rPr>
            </w:pPr>
            <w:r>
              <w:rPr>
                <w:rFonts w:ascii="宋体" w:hAnsi="宋体" w:eastAsia="宋体"/>
                <w:color w:val="auto"/>
              </w:rPr>
              <w:t>OptiPlex 7071 *1</w:t>
            </w:r>
            <w:r>
              <w:rPr>
                <w:rFonts w:hint="eastAsia" w:ascii="宋体" w:hAnsi="宋体" w:eastAsia="宋体" w:cs="宋体"/>
                <w:color w:val="auto"/>
              </w:rPr>
              <w:t>台（</w:t>
            </w:r>
            <w:r>
              <w:rPr>
                <w:rFonts w:ascii="宋体" w:hAnsi="宋体" w:eastAsia="宋体"/>
                <w:color w:val="auto"/>
              </w:rPr>
              <w:t>i5-9400 /16GB /256GB +1TB</w:t>
            </w:r>
            <w:r>
              <w:rPr>
                <w:rFonts w:hint="eastAsia" w:ascii="宋体" w:hAnsi="宋体" w:eastAsia="宋体" w:cs="宋体"/>
                <w:color w:val="auto"/>
              </w:rPr>
              <w:t>、</w:t>
            </w:r>
            <w:r>
              <w:rPr>
                <w:rFonts w:ascii="宋体" w:hAnsi="宋体" w:eastAsia="宋体"/>
                <w:color w:val="auto"/>
              </w:rPr>
              <w:t>NVIDIA GeForce GTX 1660, 6GB</w:t>
            </w:r>
            <w:r>
              <w:rPr>
                <w:rFonts w:hint="eastAsia" w:ascii="宋体" w:hAnsi="宋体" w:eastAsia="宋体" w:cs="宋体"/>
                <w:color w:val="auto"/>
              </w:rPr>
              <w:t>显卡、</w:t>
            </w:r>
            <w:r>
              <w:rPr>
                <w:rFonts w:ascii="宋体" w:hAnsi="宋体" w:eastAsia="宋体"/>
                <w:color w:val="auto"/>
              </w:rPr>
              <w:t xml:space="preserve">Windows 10 </w:t>
            </w:r>
            <w:r>
              <w:rPr>
                <w:rFonts w:hint="eastAsia" w:ascii="宋体" w:hAnsi="宋体" w:eastAsia="宋体" w:cs="宋体"/>
                <w:color w:val="auto"/>
              </w:rPr>
              <w:t>家庭版</w:t>
            </w:r>
            <w:r>
              <w:rPr>
                <w:rFonts w:ascii="宋体" w:hAnsi="宋体" w:eastAsia="宋体"/>
                <w:color w:val="auto"/>
              </w:rPr>
              <w:t xml:space="preserve"> 64</w:t>
            </w:r>
            <w:r>
              <w:rPr>
                <w:rFonts w:hint="eastAsia" w:ascii="宋体" w:hAnsi="宋体" w:eastAsia="宋体" w:cs="宋体"/>
                <w:color w:val="auto"/>
              </w:rPr>
              <w:t>位简体中文）；显示器</w:t>
            </w:r>
            <w:r>
              <w:rPr>
                <w:rFonts w:ascii="宋体" w:hAnsi="宋体" w:eastAsia="宋体"/>
                <w:color w:val="auto"/>
              </w:rPr>
              <w:t xml:space="preserve"> U2417H *2</w:t>
            </w:r>
            <w:r>
              <w:rPr>
                <w:rFonts w:hint="eastAsia" w:ascii="宋体" w:hAnsi="宋体" w:eastAsia="宋体" w:cs="宋体"/>
                <w:color w:val="auto"/>
              </w:rPr>
              <w:t>台；</w:t>
            </w:r>
          </w:p>
        </w:tc>
        <w:tc>
          <w:tcPr>
            <w:tcW w:w="703" w:type="dxa"/>
            <w:tcBorders>
              <w:top w:val="nil"/>
              <w:left w:val="nil"/>
              <w:bottom w:val="single" w:color="auto" w:sz="8" w:space="0"/>
              <w:right w:val="single" w:color="auto" w:sz="8" w:space="0"/>
            </w:tcBorders>
            <w:shd w:val="clear" w:color="auto" w:fill="auto"/>
            <w:vAlign w:val="center"/>
          </w:tcPr>
          <w:p w14:paraId="4CFA9011">
            <w:pPr>
              <w:jc w:val="center"/>
              <w:rPr>
                <w:rFonts w:ascii="宋体" w:hAnsi="宋体" w:eastAsia="宋体"/>
                <w:color w:val="auto"/>
              </w:rPr>
            </w:pPr>
            <w:r>
              <w:rPr>
                <w:rFonts w:hint="eastAsia" w:ascii="宋体" w:hAnsi="宋体" w:eastAsia="宋体" w:cs="宋体"/>
                <w:color w:val="auto"/>
              </w:rPr>
              <w:t>台式机</w:t>
            </w:r>
          </w:p>
        </w:tc>
        <w:tc>
          <w:tcPr>
            <w:tcW w:w="744" w:type="dxa"/>
            <w:tcBorders>
              <w:top w:val="nil"/>
              <w:left w:val="nil"/>
              <w:bottom w:val="single" w:color="auto" w:sz="8" w:space="0"/>
              <w:right w:val="single" w:color="auto" w:sz="8" w:space="0"/>
            </w:tcBorders>
          </w:tcPr>
          <w:p w14:paraId="4375CD3E">
            <w:pPr>
              <w:jc w:val="center"/>
              <w:rPr>
                <w:rFonts w:ascii="宋体" w:hAnsi="宋体" w:eastAsia="宋体"/>
                <w:color w:val="auto"/>
              </w:rPr>
            </w:pPr>
          </w:p>
        </w:tc>
        <w:tc>
          <w:tcPr>
            <w:tcW w:w="0" w:type="auto"/>
            <w:tcBorders>
              <w:top w:val="nil"/>
              <w:left w:val="nil"/>
              <w:bottom w:val="single" w:color="auto" w:sz="8" w:space="0"/>
              <w:right w:val="single" w:color="auto" w:sz="8" w:space="0"/>
            </w:tcBorders>
            <w:vAlign w:val="center"/>
          </w:tcPr>
          <w:p w14:paraId="194FA109">
            <w:pPr>
              <w:jc w:val="center"/>
              <w:rPr>
                <w:rFonts w:ascii="宋体" w:hAnsi="宋体" w:eastAsia="宋体"/>
                <w:color w:val="auto"/>
                <w:lang w:eastAsia="zh-CN"/>
              </w:rPr>
            </w:pPr>
            <w:r>
              <w:rPr>
                <w:rFonts w:hint="eastAsia" w:ascii="宋体" w:hAnsi="宋体" w:eastAsia="宋体"/>
                <w:color w:val="auto"/>
              </w:rPr>
              <w:t>1</w:t>
            </w:r>
            <w:r>
              <w:rPr>
                <w:rFonts w:hint="eastAsia" w:ascii="宋体" w:hAnsi="宋体" w:eastAsia="宋体"/>
                <w:color w:val="auto"/>
                <w:lang w:eastAsia="zh-CN"/>
              </w:rPr>
              <w:t>套</w:t>
            </w:r>
          </w:p>
        </w:tc>
        <w:tc>
          <w:tcPr>
            <w:tcW w:w="764" w:type="dxa"/>
            <w:tcBorders>
              <w:top w:val="nil"/>
              <w:left w:val="nil"/>
              <w:bottom w:val="single" w:color="auto" w:sz="8" w:space="0"/>
              <w:right w:val="single" w:color="auto" w:sz="8" w:space="0"/>
            </w:tcBorders>
          </w:tcPr>
          <w:p w14:paraId="1EE1A41F">
            <w:pPr>
              <w:jc w:val="center"/>
              <w:rPr>
                <w:rFonts w:ascii="宋体" w:hAnsi="宋体" w:eastAsia="宋体"/>
                <w:color w:val="auto"/>
              </w:rPr>
            </w:pPr>
          </w:p>
        </w:tc>
        <w:tc>
          <w:tcPr>
            <w:tcW w:w="992" w:type="dxa"/>
            <w:tcBorders>
              <w:top w:val="nil"/>
              <w:left w:val="nil"/>
              <w:bottom w:val="single" w:color="auto" w:sz="8" w:space="0"/>
              <w:right w:val="single" w:color="auto" w:sz="8" w:space="0"/>
            </w:tcBorders>
          </w:tcPr>
          <w:p w14:paraId="51620889">
            <w:pPr>
              <w:jc w:val="center"/>
              <w:rPr>
                <w:rFonts w:ascii="宋体" w:hAnsi="宋体" w:eastAsia="宋体"/>
                <w:color w:val="auto"/>
              </w:rPr>
            </w:pPr>
          </w:p>
        </w:tc>
      </w:tr>
      <w:tr w14:paraId="2C26C8A3">
        <w:tblPrEx>
          <w:tblCellMar>
            <w:top w:w="0" w:type="dxa"/>
            <w:left w:w="108" w:type="dxa"/>
            <w:bottom w:w="0" w:type="dxa"/>
            <w:right w:w="108" w:type="dxa"/>
          </w:tblCellMar>
        </w:tblPrEx>
        <w:trPr>
          <w:trHeight w:val="499" w:hRule="atLeast"/>
          <w:jc w:val="center"/>
        </w:trPr>
        <w:tc>
          <w:tcPr>
            <w:tcW w:w="0" w:type="auto"/>
            <w:vMerge w:val="continue"/>
            <w:tcBorders>
              <w:left w:val="single" w:color="auto" w:sz="8" w:space="0"/>
              <w:bottom w:val="single" w:color="auto" w:sz="8" w:space="0"/>
              <w:right w:val="single" w:color="auto" w:sz="8" w:space="0"/>
            </w:tcBorders>
            <w:shd w:val="clear" w:color="auto" w:fill="auto"/>
            <w:vAlign w:val="center"/>
          </w:tcPr>
          <w:p w14:paraId="298D6BB5">
            <w:pPr>
              <w:jc w:val="center"/>
              <w:rPr>
                <w:rFonts w:ascii="宋体" w:hAnsi="宋体" w:eastAsia="宋体" w:cs="Times New Roman"/>
                <w:color w:val="auto"/>
                <w:sz w:val="22"/>
              </w:rPr>
            </w:pPr>
          </w:p>
        </w:tc>
        <w:tc>
          <w:tcPr>
            <w:tcW w:w="789" w:type="dxa"/>
            <w:vMerge w:val="continue"/>
            <w:tcBorders>
              <w:left w:val="nil"/>
              <w:bottom w:val="single" w:color="auto" w:sz="8" w:space="0"/>
              <w:right w:val="single" w:color="auto" w:sz="8" w:space="0"/>
            </w:tcBorders>
            <w:shd w:val="clear" w:color="auto" w:fill="auto"/>
            <w:vAlign w:val="center"/>
          </w:tcPr>
          <w:p w14:paraId="3169BE85">
            <w:pPr>
              <w:jc w:val="center"/>
              <w:rPr>
                <w:rFonts w:ascii="宋体" w:hAnsi="宋体" w:eastAsia="宋体"/>
                <w:color w:val="auto"/>
              </w:rPr>
            </w:pPr>
          </w:p>
        </w:tc>
        <w:tc>
          <w:tcPr>
            <w:tcW w:w="3691" w:type="dxa"/>
            <w:tcBorders>
              <w:top w:val="nil"/>
              <w:left w:val="nil"/>
              <w:bottom w:val="single" w:color="auto" w:sz="8" w:space="0"/>
              <w:right w:val="single" w:color="auto" w:sz="8" w:space="0"/>
            </w:tcBorders>
            <w:shd w:val="clear" w:color="auto" w:fill="auto"/>
          </w:tcPr>
          <w:p w14:paraId="40BEBDE5">
            <w:pPr>
              <w:rPr>
                <w:rFonts w:ascii="宋体" w:hAnsi="宋体" w:eastAsia="宋体"/>
                <w:color w:val="auto"/>
              </w:rPr>
            </w:pPr>
            <w:r>
              <w:rPr>
                <w:rFonts w:ascii="宋体" w:hAnsi="宋体" w:eastAsia="宋体"/>
                <w:color w:val="auto"/>
              </w:rPr>
              <w:t>thinkpad t480*1</w:t>
            </w:r>
            <w:r>
              <w:rPr>
                <w:rFonts w:hint="eastAsia" w:ascii="宋体" w:hAnsi="宋体" w:eastAsia="宋体" w:cs="宋体"/>
                <w:color w:val="auto"/>
              </w:rPr>
              <w:t>台设备的</w:t>
            </w:r>
            <w:r>
              <w:rPr>
                <w:rFonts w:ascii="宋体" w:hAnsi="宋体" w:eastAsia="宋体"/>
                <w:color w:val="auto"/>
              </w:rPr>
              <w:t>1</w:t>
            </w:r>
            <w:r>
              <w:rPr>
                <w:rFonts w:hint="eastAsia" w:ascii="宋体" w:hAnsi="宋体" w:eastAsia="宋体" w:cs="宋体"/>
                <w:color w:val="auto"/>
              </w:rPr>
              <w:t>年租用服务。</w:t>
            </w:r>
          </w:p>
        </w:tc>
        <w:tc>
          <w:tcPr>
            <w:tcW w:w="703" w:type="dxa"/>
            <w:tcBorders>
              <w:top w:val="nil"/>
              <w:left w:val="nil"/>
              <w:bottom w:val="single" w:color="auto" w:sz="8" w:space="0"/>
              <w:right w:val="single" w:color="auto" w:sz="8" w:space="0"/>
            </w:tcBorders>
            <w:shd w:val="clear" w:color="auto" w:fill="auto"/>
            <w:vAlign w:val="center"/>
          </w:tcPr>
          <w:p w14:paraId="7087E244">
            <w:pPr>
              <w:jc w:val="center"/>
              <w:rPr>
                <w:rFonts w:ascii="宋体" w:hAnsi="宋体" w:eastAsia="宋体"/>
                <w:color w:val="auto"/>
              </w:rPr>
            </w:pPr>
            <w:r>
              <w:rPr>
                <w:rFonts w:hint="eastAsia" w:ascii="宋体" w:hAnsi="宋体" w:eastAsia="宋体" w:cs="宋体"/>
                <w:color w:val="auto"/>
              </w:rPr>
              <w:t>笔记本</w:t>
            </w:r>
          </w:p>
        </w:tc>
        <w:tc>
          <w:tcPr>
            <w:tcW w:w="744" w:type="dxa"/>
            <w:tcBorders>
              <w:top w:val="nil"/>
              <w:left w:val="nil"/>
              <w:bottom w:val="single" w:color="auto" w:sz="8" w:space="0"/>
              <w:right w:val="single" w:color="auto" w:sz="8" w:space="0"/>
            </w:tcBorders>
          </w:tcPr>
          <w:p w14:paraId="28003002">
            <w:pPr>
              <w:jc w:val="center"/>
              <w:rPr>
                <w:rFonts w:ascii="宋体" w:hAnsi="宋体" w:eastAsia="宋体"/>
                <w:color w:val="auto"/>
              </w:rPr>
            </w:pPr>
          </w:p>
        </w:tc>
        <w:tc>
          <w:tcPr>
            <w:tcW w:w="0" w:type="auto"/>
            <w:tcBorders>
              <w:top w:val="nil"/>
              <w:left w:val="nil"/>
              <w:bottom w:val="single" w:color="auto" w:sz="8" w:space="0"/>
              <w:right w:val="single" w:color="auto" w:sz="8" w:space="0"/>
            </w:tcBorders>
            <w:vAlign w:val="center"/>
          </w:tcPr>
          <w:p w14:paraId="2A3E8662">
            <w:pPr>
              <w:jc w:val="center"/>
              <w:rPr>
                <w:rFonts w:ascii="宋体" w:hAnsi="宋体" w:eastAsia="宋体"/>
                <w:color w:val="auto"/>
              </w:rPr>
            </w:pPr>
            <w:r>
              <w:rPr>
                <w:rFonts w:hint="eastAsia" w:ascii="宋体" w:hAnsi="宋体" w:eastAsia="宋体"/>
                <w:color w:val="auto"/>
              </w:rPr>
              <w:t>1</w:t>
            </w:r>
            <w:r>
              <w:rPr>
                <w:rFonts w:hint="eastAsia" w:ascii="宋体" w:hAnsi="宋体" w:eastAsia="宋体" w:cs="宋体"/>
                <w:color w:val="auto"/>
              </w:rPr>
              <w:t>台</w:t>
            </w:r>
          </w:p>
        </w:tc>
        <w:tc>
          <w:tcPr>
            <w:tcW w:w="764" w:type="dxa"/>
            <w:tcBorders>
              <w:top w:val="nil"/>
              <w:left w:val="nil"/>
              <w:bottom w:val="single" w:color="auto" w:sz="8" w:space="0"/>
              <w:right w:val="single" w:color="auto" w:sz="8" w:space="0"/>
            </w:tcBorders>
          </w:tcPr>
          <w:p w14:paraId="3BB62648">
            <w:pPr>
              <w:jc w:val="center"/>
              <w:rPr>
                <w:rFonts w:ascii="宋体" w:hAnsi="宋体" w:eastAsia="宋体"/>
                <w:color w:val="auto"/>
              </w:rPr>
            </w:pPr>
          </w:p>
        </w:tc>
        <w:tc>
          <w:tcPr>
            <w:tcW w:w="992" w:type="dxa"/>
            <w:tcBorders>
              <w:top w:val="nil"/>
              <w:left w:val="nil"/>
              <w:bottom w:val="single" w:color="auto" w:sz="8" w:space="0"/>
              <w:right w:val="single" w:color="auto" w:sz="8" w:space="0"/>
            </w:tcBorders>
          </w:tcPr>
          <w:p w14:paraId="55E77956">
            <w:pPr>
              <w:jc w:val="center"/>
              <w:rPr>
                <w:rFonts w:ascii="宋体" w:hAnsi="宋体" w:eastAsia="宋体"/>
                <w:color w:val="auto"/>
              </w:rPr>
            </w:pPr>
          </w:p>
        </w:tc>
      </w:tr>
    </w:tbl>
    <w:p w14:paraId="66EBDA5F">
      <w:pPr>
        <w:spacing w:line="360" w:lineRule="auto"/>
        <w:rPr>
          <w:rFonts w:ascii="宋体" w:hAnsi="宋体" w:eastAsia="宋体"/>
          <w:b/>
          <w:bCs/>
          <w:color w:val="auto"/>
        </w:rPr>
      </w:pPr>
    </w:p>
    <w:p w14:paraId="01256175">
      <w:pPr>
        <w:spacing w:line="360" w:lineRule="auto"/>
        <w:rPr>
          <w:rFonts w:ascii="宋体" w:hAnsi="宋体" w:eastAsia="宋体"/>
          <w:b/>
          <w:bCs/>
          <w:color w:val="auto"/>
          <w:lang w:eastAsia="zh-CN"/>
        </w:rPr>
      </w:pPr>
      <w:r>
        <w:rPr>
          <w:rFonts w:hint="eastAsia" w:ascii="宋体" w:hAnsi="宋体" w:eastAsia="宋体" w:cs="宋体"/>
          <w:b/>
          <w:bCs/>
          <w:color w:val="auto"/>
          <w:lang w:eastAsia="zh-CN"/>
        </w:rPr>
        <w:t>服务内容中的实质性条件：</w:t>
      </w:r>
    </w:p>
    <w:p w14:paraId="12186B0C">
      <w:pPr>
        <w:spacing w:line="360" w:lineRule="auto"/>
        <w:rPr>
          <w:rFonts w:ascii="宋体" w:hAnsi="宋体" w:eastAsia="宋体"/>
          <w:color w:val="auto"/>
          <w:lang w:eastAsia="zh-CN"/>
        </w:rPr>
      </w:pPr>
    </w:p>
    <w:p w14:paraId="4DCF5EE9">
      <w:pPr>
        <w:autoSpaceDE/>
        <w:autoSpaceDN/>
        <w:adjustRightInd/>
        <w:spacing w:line="360" w:lineRule="auto"/>
        <w:ind w:firstLine="420" w:firstLineChars="200"/>
        <w:rPr>
          <w:rFonts w:ascii="宋体" w:hAnsi="宋体" w:eastAsia="宋体" w:cs="Times New Roman"/>
          <w:color w:val="auto"/>
          <w:lang w:eastAsia="zh-CN"/>
        </w:rPr>
      </w:pPr>
      <w:r>
        <w:rPr>
          <w:rFonts w:hint="eastAsia" w:ascii="宋体" w:hAnsi="宋体" w:eastAsia="宋体" w:cs="Times New Roman"/>
          <w:color w:val="auto"/>
          <w:lang w:eastAsia="zh-CN"/>
        </w:rPr>
        <w:t>1</w:t>
      </w:r>
      <w:r>
        <w:rPr>
          <w:rFonts w:hint="eastAsia" w:ascii="宋体" w:hAnsi="宋体" w:eastAsia="宋体" w:cs="宋体"/>
          <w:color w:val="auto"/>
          <w:lang w:eastAsia="zh-CN"/>
        </w:rPr>
        <w:t>．提供驻场工程师</w:t>
      </w:r>
      <w:r>
        <w:rPr>
          <w:rFonts w:hint="eastAsia" w:ascii="宋体" w:hAnsi="宋体" w:eastAsia="宋体" w:cs="Times New Roman"/>
          <w:color w:val="auto"/>
          <w:lang w:eastAsia="zh-CN"/>
        </w:rPr>
        <w:t>2</w:t>
      </w:r>
      <w:r>
        <w:rPr>
          <w:rFonts w:hint="eastAsia" w:ascii="宋体" w:hAnsi="宋体" w:eastAsia="宋体" w:cs="宋体"/>
          <w:color w:val="auto"/>
          <w:lang w:eastAsia="zh-CN"/>
        </w:rPr>
        <w:t>名，提供</w:t>
      </w:r>
      <w:r>
        <w:rPr>
          <w:rFonts w:ascii="宋体" w:hAnsi="宋体" w:eastAsia="宋体" w:cs="Times New Roman"/>
          <w:color w:val="auto"/>
          <w:lang w:eastAsia="zh-CN"/>
        </w:rPr>
        <w:t>5</w:t>
      </w:r>
      <w:r>
        <w:rPr>
          <w:rFonts w:hint="eastAsia" w:ascii="宋体" w:hAnsi="宋体" w:eastAsia="宋体" w:cs="Times New Roman"/>
          <w:color w:val="auto"/>
          <w:lang w:eastAsia="zh-CN"/>
        </w:rPr>
        <w:t>*</w:t>
      </w:r>
      <w:r>
        <w:rPr>
          <w:rFonts w:ascii="宋体" w:hAnsi="宋体" w:eastAsia="宋体" w:cs="Times New Roman"/>
          <w:color w:val="auto"/>
          <w:lang w:eastAsia="zh-CN"/>
        </w:rPr>
        <w:t>8</w:t>
      </w:r>
      <w:r>
        <w:rPr>
          <w:rFonts w:hint="eastAsia" w:ascii="宋体" w:hAnsi="宋体" w:eastAsia="宋体" w:cs="宋体"/>
          <w:color w:val="auto"/>
          <w:lang w:eastAsia="zh-CN"/>
        </w:rPr>
        <w:t>小时服务。鉴于财政一体化业务系统及财政核算业务系统的重要性，</w:t>
      </w:r>
      <w:r>
        <w:rPr>
          <w:rFonts w:hint="eastAsia" w:ascii="宋体" w:hAnsi="宋体" w:eastAsia="宋体" w:cs="宋体"/>
          <w:color w:val="auto"/>
          <w:lang w:eastAsia="zh-CN"/>
        </w:rPr>
        <w:t>合同签订之前需提供驻场的数据库工程师</w:t>
      </w:r>
      <w:r>
        <w:rPr>
          <w:rFonts w:hint="eastAsia" w:ascii="宋体" w:hAnsi="宋体" w:eastAsia="宋体" w:cs="Times New Roman"/>
          <w:color w:val="auto"/>
          <w:lang w:eastAsia="zh-CN"/>
        </w:rPr>
        <w:t>OCM</w:t>
      </w:r>
      <w:r>
        <w:rPr>
          <w:rFonts w:hint="eastAsia" w:ascii="宋体" w:hAnsi="宋体" w:eastAsia="宋体" w:cs="宋体"/>
          <w:color w:val="auto"/>
          <w:lang w:eastAsia="zh-CN"/>
        </w:rPr>
        <w:t>认证证书及社保证明</w:t>
      </w:r>
      <w:r>
        <w:rPr>
          <w:rFonts w:hint="eastAsia" w:ascii="宋体" w:hAnsi="宋体" w:eastAsia="宋体" w:cs="宋体"/>
          <w:color w:val="auto"/>
          <w:lang w:eastAsia="zh-CN"/>
        </w:rPr>
        <w:t>；</w:t>
      </w:r>
    </w:p>
    <w:p w14:paraId="7046A96B">
      <w:pPr>
        <w:spacing w:line="360" w:lineRule="auto"/>
        <w:ind w:firstLine="420" w:firstLineChars="200"/>
        <w:rPr>
          <w:rFonts w:cs="Times New Roman"/>
          <w:color w:val="auto"/>
          <w:highlight w:val="none"/>
        </w:rPr>
      </w:pPr>
      <w:r>
        <w:rPr>
          <w:rFonts w:hint="eastAsia" w:ascii="宋体" w:hAnsi="宋体" w:eastAsia="宋体" w:cs="Times New Roman"/>
          <w:color w:val="auto"/>
          <w:lang w:eastAsia="zh-CN"/>
        </w:rPr>
        <w:t>2</w:t>
      </w:r>
      <w:r>
        <w:rPr>
          <w:rFonts w:hint="eastAsia" w:ascii="宋体" w:hAnsi="宋体" w:eastAsia="宋体" w:cs="宋体"/>
          <w:color w:val="auto"/>
          <w:lang w:eastAsia="zh-CN"/>
        </w:rPr>
        <w:t>．合同签订之前，针对财政一体化业务系统及财政核算业务系统的应用服务器提供现场一比一备机，其性能不低于现有硬件性能，并且预先安装与现有国库集中支付相同版本的操作系统及中间件软件，确保突发故障时，可以及时对业务进行恢复，并提供现有服务器及接入网络设备的制造厂商的售后服务证明原件。</w:t>
      </w:r>
    </w:p>
    <w:p w14:paraId="6CADB99E">
      <w:pPr>
        <w:pStyle w:val="2"/>
        <w:rPr>
          <w:rFonts w:hint="default"/>
          <w:color w:val="auto"/>
          <w:highlight w:val="none"/>
          <w:lang w:val="en-US" w:eastAsia="zh-CN"/>
        </w:rPr>
        <w:sectPr>
          <w:footerReference r:id="rId11" w:type="default"/>
          <w:pgSz w:w="11906" w:h="16839"/>
          <w:pgMar w:top="1431" w:right="900" w:bottom="1157" w:left="996" w:header="0" w:footer="992" w:gutter="0"/>
          <w:pgNumType w:fmt="decimal"/>
          <w:cols w:space="720" w:num="1"/>
        </w:sectPr>
      </w:pPr>
    </w:p>
    <w:p w14:paraId="763FC72F">
      <w:pPr>
        <w:spacing w:before="89" w:line="223" w:lineRule="auto"/>
        <w:jc w:val="center"/>
        <w:outlineLvl w:val="0"/>
        <w:rPr>
          <w:rFonts w:hint="eastAsia" w:ascii="宋体" w:hAnsi="宋体" w:eastAsia="宋体" w:cs="宋体"/>
          <w:color w:val="auto"/>
          <w:spacing w:val="8"/>
          <w:sz w:val="43"/>
          <w:szCs w:val="43"/>
          <w:highlight w:val="none"/>
          <w14:textOutline w14:w="7972" w14:cap="sq" w14:cmpd="sng">
            <w14:solidFill>
              <w14:srgbClr w14:val="000000"/>
            </w14:solidFill>
            <w14:prstDash w14:val="solid"/>
            <w14:bevel/>
          </w14:textOutline>
        </w:rPr>
      </w:pPr>
      <w:bookmarkStart w:id="26" w:name="_Toc10127"/>
      <w:bookmarkStart w:id="27" w:name="_Toc18896"/>
      <w:r>
        <w:rPr>
          <w:rFonts w:hint="eastAsia" w:ascii="宋体" w:hAnsi="宋体" w:eastAsia="宋体" w:cs="宋体"/>
          <w:color w:val="auto"/>
          <w:spacing w:val="8"/>
          <w:sz w:val="43"/>
          <w:szCs w:val="43"/>
          <w:highlight w:val="none"/>
          <w14:textOutline w14:w="7972" w14:cap="sq" w14:cmpd="sng">
            <w14:solidFill>
              <w14:srgbClr w14:val="000000"/>
            </w14:solidFill>
            <w14:prstDash w14:val="solid"/>
            <w14:bevel/>
          </w14:textOutline>
        </w:rPr>
        <w:t>第</w:t>
      </w:r>
      <w:r>
        <w:rPr>
          <w:rFonts w:hint="eastAsia" w:ascii="宋体" w:hAnsi="宋体" w:eastAsia="宋体" w:cs="宋体"/>
          <w:color w:val="auto"/>
          <w:spacing w:val="8"/>
          <w:sz w:val="43"/>
          <w:szCs w:val="43"/>
          <w:highlight w:val="none"/>
          <w:lang w:val="en-US" w:eastAsia="zh-CN"/>
          <w14:textOutline w14:w="7972" w14:cap="sq" w14:cmpd="sng">
            <w14:solidFill>
              <w14:srgbClr w14:val="000000"/>
            </w14:solidFill>
            <w14:prstDash w14:val="solid"/>
            <w14:bevel/>
          </w14:textOutline>
        </w:rPr>
        <w:t>五</w:t>
      </w:r>
      <w:r>
        <w:rPr>
          <w:rFonts w:hint="eastAsia" w:ascii="宋体" w:hAnsi="宋体" w:eastAsia="宋体" w:cs="宋体"/>
          <w:color w:val="auto"/>
          <w:spacing w:val="8"/>
          <w:sz w:val="43"/>
          <w:szCs w:val="43"/>
          <w:highlight w:val="none"/>
          <w14:textOutline w14:w="7972" w14:cap="sq" w14:cmpd="sng">
            <w14:solidFill>
              <w14:srgbClr w14:val="000000"/>
            </w14:solidFill>
            <w14:prstDash w14:val="solid"/>
            <w14:bevel/>
          </w14:textOutline>
        </w:rPr>
        <w:t xml:space="preserve">章 </w:t>
      </w:r>
      <w:r>
        <w:rPr>
          <w:rFonts w:hint="eastAsia" w:ascii="宋体" w:hAnsi="宋体" w:eastAsia="宋体" w:cs="宋体"/>
          <w:color w:val="auto"/>
          <w:spacing w:val="8"/>
          <w:sz w:val="43"/>
          <w:szCs w:val="43"/>
          <w:highlight w:val="none"/>
          <w:lang w:eastAsia="zh-CN"/>
          <w14:textOutline w14:w="7972" w14:cap="sq" w14:cmpd="sng">
            <w14:solidFill>
              <w14:srgbClr w14:val="000000"/>
            </w14:solidFill>
            <w14:prstDash w14:val="solid"/>
            <w14:bevel/>
          </w14:textOutline>
        </w:rPr>
        <w:t>合同条款及格式</w:t>
      </w:r>
      <w:bookmarkEnd w:id="26"/>
      <w:bookmarkEnd w:id="27"/>
    </w:p>
    <w:p w14:paraId="7D484F56">
      <w:pPr>
        <w:spacing w:line="200" w:lineRule="atLeast"/>
        <w:jc w:val="center"/>
        <w:rPr>
          <w:rFonts w:hint="eastAsia"/>
          <w:color w:val="auto"/>
          <w:sz w:val="24"/>
          <w:szCs w:val="24"/>
          <w:highlight w:val="none"/>
          <w:lang w:eastAsia="zh-CN"/>
        </w:rPr>
      </w:pPr>
    </w:p>
    <w:p w14:paraId="6CDE491B">
      <w:pPr>
        <w:jc w:val="cente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pPr>
      <w:r>
        <w:rPr>
          <w:rFonts w:hint="eastAsia"/>
          <w:color w:val="auto"/>
          <w:sz w:val="24"/>
          <w:szCs w:val="24"/>
          <w:highlight w:val="none"/>
          <w:lang w:val="en-US" w:eastAsia="zh-CN"/>
        </w:rPr>
        <w:t>以甲乙双方实际签订为准</w:t>
      </w:r>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br w:type="page"/>
      </w:r>
    </w:p>
    <w:p w14:paraId="68175DB7">
      <w:pPr>
        <w:spacing w:before="149" w:line="223" w:lineRule="auto"/>
        <w:ind w:left="1644"/>
        <w:outlineLvl w:val="0"/>
        <w:rPr>
          <w:rFonts w:ascii="宋体" w:hAnsi="宋体" w:eastAsia="宋体" w:cs="宋体"/>
          <w:color w:val="auto"/>
          <w:sz w:val="43"/>
          <w:szCs w:val="43"/>
          <w:highlight w:val="none"/>
        </w:rPr>
      </w:pPr>
      <w:bookmarkStart w:id="28" w:name="_Toc4705"/>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第</w:t>
      </w:r>
      <w:r>
        <w:rPr>
          <w:rFonts w:hint="eastAsia" w:ascii="宋体" w:hAnsi="宋体" w:eastAsia="宋体" w:cs="宋体"/>
          <w:color w:val="auto"/>
          <w:spacing w:val="9"/>
          <w:sz w:val="43"/>
          <w:szCs w:val="43"/>
          <w:highlight w:val="none"/>
          <w:lang w:val="en-US" w:eastAsia="zh-CN"/>
          <w14:textOutline w14:w="7972" w14:cap="sq" w14:cmpd="sng">
            <w14:solidFill>
              <w14:srgbClr w14:val="000000"/>
            </w14:solidFill>
            <w14:prstDash w14:val="solid"/>
            <w14:bevel/>
          </w14:textOutline>
        </w:rPr>
        <w:t>六</w:t>
      </w:r>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章</w:t>
      </w:r>
      <w:r>
        <w:rPr>
          <w:rFonts w:ascii="宋体" w:hAnsi="宋体" w:eastAsia="宋体" w:cs="宋体"/>
          <w:color w:val="auto"/>
          <w:spacing w:val="9"/>
          <w:sz w:val="43"/>
          <w:szCs w:val="43"/>
          <w:highlight w:val="none"/>
        </w:rPr>
        <w:t xml:space="preserve"> </w:t>
      </w:r>
      <w:r>
        <w:rPr>
          <w:rFonts w:ascii="宋体" w:hAnsi="宋体" w:eastAsia="宋体" w:cs="宋体"/>
          <w:color w:val="auto"/>
          <w:spacing w:val="9"/>
          <w:sz w:val="43"/>
          <w:szCs w:val="43"/>
          <w:highlight w:val="none"/>
          <w14:textOutline w14:w="7972" w14:cap="sq" w14:cmpd="sng">
            <w14:solidFill>
              <w14:srgbClr w14:val="000000"/>
            </w14:solidFill>
            <w14:prstDash w14:val="solid"/>
            <w14:bevel/>
          </w14:textOutline>
        </w:rPr>
        <w:t>磋商响应文件格式</w:t>
      </w:r>
      <w:bookmarkEnd w:id="28"/>
    </w:p>
    <w:p w14:paraId="1552EAC7">
      <w:pPr>
        <w:pStyle w:val="2"/>
        <w:spacing w:line="271" w:lineRule="auto"/>
        <w:rPr>
          <w:color w:val="auto"/>
          <w:highlight w:val="none"/>
        </w:rPr>
      </w:pPr>
    </w:p>
    <w:p w14:paraId="6040D1D2">
      <w:pPr>
        <w:pStyle w:val="2"/>
        <w:spacing w:line="271" w:lineRule="auto"/>
        <w:rPr>
          <w:color w:val="auto"/>
          <w:highlight w:val="none"/>
        </w:rPr>
      </w:pPr>
    </w:p>
    <w:p w14:paraId="379A4D1F">
      <w:pPr>
        <w:pStyle w:val="2"/>
        <w:spacing w:line="271" w:lineRule="auto"/>
        <w:rPr>
          <w:color w:val="auto"/>
          <w:highlight w:val="none"/>
        </w:rPr>
      </w:pPr>
    </w:p>
    <w:p w14:paraId="3B423ED4">
      <w:pPr>
        <w:pStyle w:val="2"/>
        <w:spacing w:line="272" w:lineRule="auto"/>
        <w:rPr>
          <w:color w:val="auto"/>
          <w:highlight w:val="none"/>
        </w:rPr>
      </w:pPr>
    </w:p>
    <w:p w14:paraId="5DFAD12B">
      <w:pPr>
        <w:rPr>
          <w:color w:val="auto"/>
          <w:highlight w:val="none"/>
        </w:rPr>
      </w:pPr>
      <w:r>
        <w:rPr>
          <w:color w:val="auto"/>
          <w:highlight w:val="none"/>
        </w:rPr>
        <w:br w:type="page"/>
      </w:r>
    </w:p>
    <w:p w14:paraId="29511852">
      <w:pPr>
        <w:pStyle w:val="2"/>
        <w:spacing w:line="272" w:lineRule="auto"/>
        <w:rPr>
          <w:color w:val="auto"/>
          <w:highlight w:val="none"/>
        </w:rPr>
      </w:pPr>
    </w:p>
    <w:p w14:paraId="48617A47">
      <w:pPr>
        <w:pStyle w:val="2"/>
        <w:spacing w:line="272" w:lineRule="auto"/>
        <w:rPr>
          <w:color w:val="auto"/>
          <w:highlight w:val="none"/>
        </w:rPr>
      </w:pPr>
    </w:p>
    <w:p w14:paraId="13270FA1">
      <w:pPr>
        <w:pStyle w:val="2"/>
        <w:spacing w:line="272" w:lineRule="auto"/>
        <w:rPr>
          <w:color w:val="auto"/>
          <w:highlight w:val="none"/>
        </w:rPr>
      </w:pPr>
    </w:p>
    <w:p w14:paraId="3B5CADEF">
      <w:pPr>
        <w:pStyle w:val="2"/>
        <w:spacing w:line="272" w:lineRule="auto"/>
        <w:rPr>
          <w:color w:val="auto"/>
          <w:highlight w:val="none"/>
        </w:rPr>
      </w:pPr>
    </w:p>
    <w:p w14:paraId="26CFE077">
      <w:pPr>
        <w:pStyle w:val="2"/>
        <w:spacing w:line="272" w:lineRule="auto"/>
        <w:rPr>
          <w:color w:val="auto"/>
          <w:highlight w:val="none"/>
        </w:rPr>
      </w:pPr>
    </w:p>
    <w:p w14:paraId="3FD5E65B">
      <w:pPr>
        <w:pStyle w:val="2"/>
        <w:spacing w:line="272" w:lineRule="auto"/>
        <w:rPr>
          <w:color w:val="auto"/>
          <w:highlight w:val="none"/>
        </w:rPr>
      </w:pPr>
    </w:p>
    <w:p w14:paraId="6D313EE6">
      <w:pPr>
        <w:tabs>
          <w:tab w:val="left" w:pos="6877"/>
        </w:tabs>
        <w:spacing w:before="91" w:line="221" w:lineRule="auto"/>
        <w:ind w:left="578"/>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4"/>
          <w:sz w:val="28"/>
          <w:szCs w:val="28"/>
          <w:highlight w:val="none"/>
        </w:rPr>
        <w:t>（项目名称）</w:t>
      </w:r>
    </w:p>
    <w:p w14:paraId="75E19204">
      <w:pPr>
        <w:pStyle w:val="2"/>
        <w:spacing w:line="257" w:lineRule="auto"/>
        <w:rPr>
          <w:color w:val="auto"/>
          <w:highlight w:val="none"/>
        </w:rPr>
      </w:pPr>
    </w:p>
    <w:p w14:paraId="356D5983">
      <w:pPr>
        <w:pStyle w:val="2"/>
        <w:spacing w:line="257" w:lineRule="auto"/>
        <w:rPr>
          <w:color w:val="auto"/>
          <w:highlight w:val="none"/>
        </w:rPr>
      </w:pPr>
    </w:p>
    <w:p w14:paraId="1609ED9D">
      <w:pPr>
        <w:pStyle w:val="2"/>
        <w:spacing w:line="257" w:lineRule="auto"/>
        <w:rPr>
          <w:color w:val="auto"/>
          <w:highlight w:val="none"/>
        </w:rPr>
      </w:pPr>
    </w:p>
    <w:p w14:paraId="262DC94F">
      <w:pPr>
        <w:pStyle w:val="2"/>
        <w:spacing w:line="258" w:lineRule="auto"/>
        <w:rPr>
          <w:color w:val="auto"/>
          <w:highlight w:val="none"/>
        </w:rPr>
      </w:pPr>
    </w:p>
    <w:p w14:paraId="7BB4A12F">
      <w:pPr>
        <w:pStyle w:val="2"/>
        <w:spacing w:line="258" w:lineRule="auto"/>
        <w:rPr>
          <w:color w:val="auto"/>
          <w:highlight w:val="none"/>
        </w:rPr>
      </w:pPr>
    </w:p>
    <w:p w14:paraId="73212477">
      <w:pPr>
        <w:pStyle w:val="2"/>
        <w:spacing w:line="258" w:lineRule="auto"/>
        <w:rPr>
          <w:color w:val="auto"/>
          <w:highlight w:val="none"/>
        </w:rPr>
      </w:pPr>
    </w:p>
    <w:p w14:paraId="058B4DC6">
      <w:pPr>
        <w:pStyle w:val="2"/>
        <w:spacing w:line="258" w:lineRule="auto"/>
        <w:rPr>
          <w:color w:val="auto"/>
          <w:highlight w:val="none"/>
        </w:rPr>
      </w:pPr>
    </w:p>
    <w:p w14:paraId="41E677ED">
      <w:pPr>
        <w:pStyle w:val="2"/>
        <w:spacing w:line="258" w:lineRule="auto"/>
        <w:rPr>
          <w:color w:val="auto"/>
          <w:highlight w:val="none"/>
        </w:rPr>
      </w:pPr>
    </w:p>
    <w:p w14:paraId="17BFEEA9">
      <w:pPr>
        <w:pStyle w:val="2"/>
        <w:spacing w:line="258" w:lineRule="auto"/>
        <w:rPr>
          <w:color w:val="auto"/>
          <w:highlight w:val="none"/>
        </w:rPr>
      </w:pPr>
    </w:p>
    <w:p w14:paraId="12D6521D">
      <w:pPr>
        <w:spacing w:before="230" w:line="223" w:lineRule="auto"/>
        <w:jc w:val="center"/>
        <w:outlineLvl w:val="9"/>
        <w:rPr>
          <w:rFonts w:ascii="宋体" w:hAnsi="宋体" w:eastAsia="宋体" w:cs="宋体"/>
          <w:color w:val="auto"/>
          <w:sz w:val="71"/>
          <w:szCs w:val="71"/>
          <w:highlight w:val="none"/>
        </w:rPr>
      </w:pPr>
      <w:bookmarkStart w:id="29" w:name="_Toc3846"/>
      <w:r>
        <w:rPr>
          <w:rFonts w:ascii="宋体" w:hAnsi="宋体" w:eastAsia="宋体" w:cs="宋体"/>
          <w:color w:val="auto"/>
          <w:spacing w:val="5"/>
          <w:sz w:val="71"/>
          <w:szCs w:val="71"/>
          <w:highlight w:val="none"/>
        </w:rPr>
        <w:t>响应文件</w:t>
      </w:r>
      <w:bookmarkEnd w:id="29"/>
    </w:p>
    <w:p w14:paraId="62AE6E19">
      <w:pPr>
        <w:spacing w:before="141" w:line="221" w:lineRule="auto"/>
        <w:ind w:left="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265D0C26">
      <w:pPr>
        <w:pStyle w:val="2"/>
        <w:rPr>
          <w:color w:val="auto"/>
          <w:highlight w:val="none"/>
        </w:rPr>
      </w:pPr>
    </w:p>
    <w:p w14:paraId="3AF5CBBF">
      <w:pPr>
        <w:pStyle w:val="2"/>
        <w:rPr>
          <w:color w:val="auto"/>
          <w:highlight w:val="none"/>
        </w:rPr>
      </w:pPr>
    </w:p>
    <w:p w14:paraId="16CE503C">
      <w:pPr>
        <w:pStyle w:val="2"/>
        <w:rPr>
          <w:color w:val="auto"/>
          <w:highlight w:val="none"/>
        </w:rPr>
      </w:pPr>
    </w:p>
    <w:p w14:paraId="56BCFDFB">
      <w:pPr>
        <w:pStyle w:val="2"/>
        <w:rPr>
          <w:color w:val="auto"/>
          <w:highlight w:val="none"/>
        </w:rPr>
      </w:pPr>
    </w:p>
    <w:p w14:paraId="7E276A02">
      <w:pPr>
        <w:pStyle w:val="2"/>
        <w:rPr>
          <w:color w:val="auto"/>
          <w:highlight w:val="none"/>
        </w:rPr>
      </w:pPr>
    </w:p>
    <w:p w14:paraId="136942AD">
      <w:pPr>
        <w:pStyle w:val="2"/>
        <w:rPr>
          <w:color w:val="auto"/>
          <w:highlight w:val="none"/>
        </w:rPr>
      </w:pPr>
    </w:p>
    <w:p w14:paraId="240A67B2">
      <w:pPr>
        <w:pStyle w:val="2"/>
        <w:rPr>
          <w:color w:val="auto"/>
          <w:highlight w:val="none"/>
        </w:rPr>
      </w:pPr>
    </w:p>
    <w:p w14:paraId="4903C32B">
      <w:pPr>
        <w:pStyle w:val="2"/>
        <w:spacing w:line="241" w:lineRule="auto"/>
        <w:rPr>
          <w:color w:val="auto"/>
          <w:highlight w:val="none"/>
        </w:rPr>
      </w:pPr>
    </w:p>
    <w:p w14:paraId="3C49DC2A">
      <w:pPr>
        <w:pStyle w:val="2"/>
        <w:spacing w:line="241" w:lineRule="auto"/>
        <w:rPr>
          <w:color w:val="auto"/>
          <w:highlight w:val="none"/>
        </w:rPr>
      </w:pPr>
    </w:p>
    <w:p w14:paraId="789D7FF2">
      <w:pPr>
        <w:pStyle w:val="2"/>
        <w:spacing w:line="241" w:lineRule="auto"/>
        <w:rPr>
          <w:color w:val="auto"/>
          <w:highlight w:val="none"/>
        </w:rPr>
      </w:pPr>
    </w:p>
    <w:p w14:paraId="41A22466">
      <w:pPr>
        <w:pStyle w:val="2"/>
        <w:spacing w:line="241" w:lineRule="auto"/>
        <w:rPr>
          <w:color w:val="auto"/>
          <w:highlight w:val="none"/>
        </w:rPr>
      </w:pPr>
    </w:p>
    <w:p w14:paraId="46ED700A">
      <w:pPr>
        <w:pStyle w:val="2"/>
        <w:spacing w:line="241" w:lineRule="auto"/>
        <w:rPr>
          <w:color w:val="auto"/>
          <w:highlight w:val="none"/>
        </w:rPr>
      </w:pPr>
    </w:p>
    <w:p w14:paraId="5BD0CC65">
      <w:pPr>
        <w:pStyle w:val="2"/>
        <w:spacing w:line="241" w:lineRule="auto"/>
        <w:rPr>
          <w:color w:val="auto"/>
          <w:highlight w:val="none"/>
        </w:rPr>
      </w:pPr>
    </w:p>
    <w:p w14:paraId="65DC9F18">
      <w:pPr>
        <w:pStyle w:val="2"/>
        <w:spacing w:line="241" w:lineRule="auto"/>
        <w:rPr>
          <w:color w:val="auto"/>
          <w:highlight w:val="none"/>
        </w:rPr>
      </w:pPr>
    </w:p>
    <w:p w14:paraId="5BEA8380">
      <w:pPr>
        <w:pStyle w:val="2"/>
        <w:spacing w:line="241" w:lineRule="auto"/>
        <w:rPr>
          <w:color w:val="auto"/>
          <w:highlight w:val="none"/>
        </w:rPr>
      </w:pPr>
    </w:p>
    <w:p w14:paraId="5725074E">
      <w:pPr>
        <w:spacing w:before="92" w:line="411" w:lineRule="auto"/>
        <w:ind w:left="25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供应商</w:t>
      </w:r>
      <w:r>
        <w:rPr>
          <w:rFonts w:ascii="宋体" w:hAnsi="宋体" w:eastAsia="宋体" w:cs="宋体"/>
          <w:color w:val="auto"/>
          <w:spacing w:val="-17"/>
          <w:sz w:val="28"/>
          <w:szCs w:val="28"/>
          <w:highlight w:val="none"/>
        </w:rPr>
        <w:t>：</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7"/>
          <w:sz w:val="28"/>
          <w:szCs w:val="28"/>
          <w:highlight w:val="none"/>
        </w:rPr>
        <w:t>（</w:t>
      </w:r>
      <w:r>
        <w:rPr>
          <w:rFonts w:ascii="宋体" w:hAnsi="宋体" w:eastAsia="宋体" w:cs="宋体"/>
          <w:color w:val="auto"/>
          <w:spacing w:val="3"/>
          <w:sz w:val="28"/>
          <w:szCs w:val="28"/>
          <w:highlight w:val="none"/>
        </w:rPr>
        <w:t>盖单位章）</w:t>
      </w:r>
    </w:p>
    <w:p w14:paraId="5B2A1AB0">
      <w:pPr>
        <w:spacing w:before="1" w:line="220" w:lineRule="auto"/>
        <w:ind w:left="3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5"/>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5"/>
          <w:sz w:val="28"/>
          <w:szCs w:val="28"/>
          <w:highlight w:val="none"/>
        </w:rPr>
        <w:t>（</w:t>
      </w:r>
      <w:r>
        <w:rPr>
          <w:rFonts w:ascii="宋体" w:hAnsi="宋体" w:eastAsia="宋体" w:cs="宋体"/>
          <w:color w:val="auto"/>
          <w:spacing w:val="1"/>
          <w:sz w:val="28"/>
          <w:szCs w:val="28"/>
          <w:highlight w:val="none"/>
        </w:rPr>
        <w:t>签字）</w:t>
      </w:r>
    </w:p>
    <w:p w14:paraId="3CDF322F">
      <w:pPr>
        <w:tabs>
          <w:tab w:val="left" w:pos="3186"/>
        </w:tabs>
        <w:spacing w:before="289" w:line="221" w:lineRule="auto"/>
        <w:ind w:left="2066"/>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26"/>
          <w:sz w:val="28"/>
          <w:szCs w:val="28"/>
          <w:highlight w:val="none"/>
        </w:rPr>
        <w:t xml:space="preserve"> </w:t>
      </w:r>
      <w:r>
        <w:rPr>
          <w:rFonts w:ascii="宋体" w:hAnsi="宋体" w:eastAsia="宋体" w:cs="宋体"/>
          <w:color w:val="auto"/>
          <w:spacing w:val="-10"/>
          <w:sz w:val="28"/>
          <w:szCs w:val="28"/>
          <w:highlight w:val="none"/>
        </w:rPr>
        <w:t>年</w:t>
      </w:r>
      <w:r>
        <w:rPr>
          <w:rFonts w:ascii="宋体" w:hAnsi="宋体" w:eastAsia="宋体" w:cs="宋体"/>
          <w:color w:val="auto"/>
          <w:spacing w:val="19"/>
          <w:sz w:val="28"/>
          <w:szCs w:val="28"/>
          <w:highlight w:val="none"/>
          <w:u w:val="single" w:color="auto"/>
        </w:rPr>
        <w:t xml:space="preserve">       </w:t>
      </w:r>
      <w:r>
        <w:rPr>
          <w:rFonts w:ascii="宋体" w:hAnsi="宋体" w:eastAsia="宋体" w:cs="宋体"/>
          <w:color w:val="auto"/>
          <w:spacing w:val="-117"/>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81"/>
          <w:sz w:val="28"/>
          <w:szCs w:val="28"/>
          <w:highlight w:val="none"/>
        </w:rPr>
        <w:t xml:space="preserve"> </w:t>
      </w:r>
      <w:r>
        <w:rPr>
          <w:rFonts w:ascii="宋体" w:hAnsi="宋体" w:eastAsia="宋体" w:cs="宋体"/>
          <w:color w:val="auto"/>
          <w:spacing w:val="-10"/>
          <w:sz w:val="28"/>
          <w:szCs w:val="28"/>
          <w:highlight w:val="none"/>
        </w:rPr>
        <w:t>日</w:t>
      </w:r>
    </w:p>
    <w:p w14:paraId="6124E48F">
      <w:pPr>
        <w:spacing w:line="221" w:lineRule="auto"/>
        <w:rPr>
          <w:rFonts w:ascii="宋体" w:hAnsi="宋体" w:eastAsia="宋体" w:cs="宋体"/>
          <w:color w:val="auto"/>
          <w:sz w:val="28"/>
          <w:szCs w:val="28"/>
          <w:highlight w:val="none"/>
        </w:rPr>
        <w:sectPr>
          <w:footerReference r:id="rId12" w:type="default"/>
          <w:pgSz w:w="11906" w:h="16839"/>
          <w:pgMar w:top="1431" w:right="1580" w:bottom="1157" w:left="1785" w:header="0" w:footer="991" w:gutter="0"/>
          <w:pgNumType w:fmt="decimal"/>
          <w:cols w:space="720" w:num="1"/>
        </w:sectPr>
      </w:pPr>
    </w:p>
    <w:p w14:paraId="02F4D4C6">
      <w:pPr>
        <w:spacing w:before="88" w:line="226" w:lineRule="auto"/>
        <w:ind w:left="3607"/>
        <w:rPr>
          <w:rFonts w:ascii="宋体" w:hAnsi="宋体" w:eastAsia="宋体" w:cs="宋体"/>
          <w:color w:val="auto"/>
          <w:sz w:val="43"/>
          <w:szCs w:val="43"/>
          <w:highlight w:val="none"/>
        </w:rPr>
      </w:pPr>
      <w:r>
        <w:rPr>
          <w:rFonts w:ascii="宋体" w:hAnsi="宋体" w:eastAsia="宋体" w:cs="宋体"/>
          <w:color w:val="auto"/>
          <w:spacing w:val="-46"/>
          <w:sz w:val="43"/>
          <w:szCs w:val="43"/>
          <w:highlight w:val="none"/>
        </w:rPr>
        <w:t>目</w:t>
      </w:r>
      <w:r>
        <w:rPr>
          <w:rFonts w:ascii="宋体" w:hAnsi="宋体" w:eastAsia="宋体" w:cs="宋体"/>
          <w:color w:val="auto"/>
          <w:spacing w:val="15"/>
          <w:sz w:val="43"/>
          <w:szCs w:val="43"/>
          <w:highlight w:val="none"/>
        </w:rPr>
        <w:t xml:space="preserve">  </w:t>
      </w:r>
      <w:r>
        <w:rPr>
          <w:rFonts w:ascii="宋体" w:hAnsi="宋体" w:eastAsia="宋体" w:cs="宋体"/>
          <w:color w:val="auto"/>
          <w:spacing w:val="-46"/>
          <w:sz w:val="43"/>
          <w:szCs w:val="43"/>
          <w:highlight w:val="none"/>
        </w:rPr>
        <w:t>录</w:t>
      </w:r>
    </w:p>
    <w:p w14:paraId="1690EE96">
      <w:pPr>
        <w:pStyle w:val="2"/>
        <w:spacing w:line="271" w:lineRule="auto"/>
        <w:rPr>
          <w:color w:val="auto"/>
          <w:highlight w:val="none"/>
        </w:rPr>
      </w:pPr>
    </w:p>
    <w:p w14:paraId="61006AD7">
      <w:pPr>
        <w:pStyle w:val="2"/>
        <w:spacing w:line="271" w:lineRule="auto"/>
        <w:rPr>
          <w:color w:val="auto"/>
          <w:highlight w:val="none"/>
        </w:rPr>
      </w:pPr>
    </w:p>
    <w:p w14:paraId="4F46BF16">
      <w:pPr>
        <w:pStyle w:val="2"/>
        <w:spacing w:line="272" w:lineRule="auto"/>
        <w:rPr>
          <w:color w:val="auto"/>
          <w:highlight w:val="none"/>
        </w:rPr>
      </w:pPr>
    </w:p>
    <w:p w14:paraId="73AF16EB">
      <w:pPr>
        <w:pStyle w:val="2"/>
        <w:spacing w:line="272" w:lineRule="auto"/>
        <w:rPr>
          <w:color w:val="auto"/>
          <w:highlight w:val="none"/>
        </w:rPr>
      </w:pPr>
    </w:p>
    <w:p w14:paraId="5E750D34">
      <w:pPr>
        <w:pStyle w:val="2"/>
        <w:spacing w:line="272" w:lineRule="auto"/>
        <w:rPr>
          <w:color w:val="auto"/>
          <w:highlight w:val="none"/>
        </w:rPr>
      </w:pPr>
    </w:p>
    <w:p w14:paraId="73ABA781">
      <w:pPr>
        <w:spacing w:before="78" w:line="220" w:lineRule="auto"/>
        <w:ind w:left="213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要求自行编制目录，并编制对应页码。</w:t>
      </w:r>
    </w:p>
    <w:p w14:paraId="0C7A23B3">
      <w:pPr>
        <w:spacing w:line="220" w:lineRule="auto"/>
        <w:rPr>
          <w:rFonts w:ascii="宋体" w:hAnsi="宋体" w:eastAsia="宋体" w:cs="宋体"/>
          <w:color w:val="auto"/>
          <w:sz w:val="24"/>
          <w:szCs w:val="24"/>
          <w:highlight w:val="none"/>
        </w:rPr>
        <w:sectPr>
          <w:footerReference r:id="rId13" w:type="default"/>
          <w:pgSz w:w="11906" w:h="16839"/>
          <w:pgMar w:top="1251" w:right="1785" w:bottom="1157" w:left="1785" w:header="0" w:footer="992" w:gutter="0"/>
          <w:pgNumType w:fmt="decimal"/>
          <w:cols w:space="720" w:num="1"/>
        </w:sectPr>
      </w:pPr>
    </w:p>
    <w:p w14:paraId="367A973D">
      <w:pPr>
        <w:spacing w:line="360" w:lineRule="auto"/>
        <w:ind w:left="140"/>
        <w:jc w:val="center"/>
        <w:outlineLvl w:val="1"/>
        <w:rPr>
          <w:rFonts w:hint="eastAsia" w:ascii="宋体" w:hAnsi="宋体" w:cs="宋体"/>
          <w:b/>
          <w:bCs/>
          <w:color w:val="auto"/>
          <w:sz w:val="32"/>
          <w:szCs w:val="32"/>
          <w:highlight w:val="none"/>
          <w:lang w:val="en-US" w:eastAsia="zh-CN"/>
        </w:rPr>
      </w:pPr>
      <w:bookmarkStart w:id="30" w:name="_Toc7352"/>
      <w:r>
        <w:rPr>
          <w:rFonts w:hint="eastAsia" w:ascii="宋体" w:hAnsi="宋体" w:cs="宋体"/>
          <w:b/>
          <w:bCs/>
          <w:color w:val="auto"/>
          <w:sz w:val="32"/>
          <w:szCs w:val="32"/>
          <w:highlight w:val="none"/>
          <w:lang w:val="en-US" w:eastAsia="zh-CN"/>
        </w:rPr>
        <w:t>附件1 报价函</w:t>
      </w:r>
      <w:bookmarkEnd w:id="30"/>
    </w:p>
    <w:p w14:paraId="530830E7">
      <w:pPr>
        <w:pStyle w:val="2"/>
        <w:spacing w:line="406" w:lineRule="auto"/>
        <w:rPr>
          <w:color w:val="auto"/>
          <w:highlight w:val="none"/>
        </w:rPr>
      </w:pPr>
    </w:p>
    <w:p w14:paraId="6C3EE92E">
      <w:pPr>
        <w:spacing w:before="124" w:line="410" w:lineRule="exact"/>
        <w:ind w:left="603"/>
        <w:rPr>
          <w:rFonts w:hint="eastAsia" w:ascii="宋体" w:hAnsi="宋体" w:eastAsia="宋体" w:cs="宋体"/>
          <w:color w:val="auto"/>
          <w:spacing w:val="-4"/>
          <w:position w:val="12"/>
          <w:sz w:val="24"/>
          <w:szCs w:val="24"/>
          <w:highlight w:val="none"/>
        </w:rPr>
      </w:pPr>
      <w:r>
        <w:rPr>
          <w:rFonts w:hint="eastAsia" w:ascii="宋体" w:hAnsi="宋体" w:eastAsia="宋体" w:cs="宋体"/>
          <w:color w:val="auto"/>
          <w:spacing w:val="-4"/>
          <w:position w:val="12"/>
          <w:sz w:val="24"/>
          <w:szCs w:val="24"/>
          <w:highlight w:val="none"/>
        </w:rPr>
        <w:t>致：</w:t>
      </w:r>
      <w:r>
        <w:rPr>
          <w:rFonts w:hint="eastAsia" w:ascii="宋体" w:hAnsi="宋体" w:eastAsia="宋体" w:cs="宋体"/>
          <w:color w:val="auto"/>
          <w:spacing w:val="-4"/>
          <w:position w:val="12"/>
          <w:sz w:val="24"/>
          <w:szCs w:val="24"/>
          <w:highlight w:val="none"/>
          <w:u w:val="single"/>
        </w:rPr>
        <w:t xml:space="preserve">            （</w:t>
      </w:r>
      <w:r>
        <w:rPr>
          <w:rFonts w:hint="eastAsia" w:ascii="宋体" w:hAnsi="宋体" w:eastAsia="宋体" w:cs="宋体"/>
          <w:color w:val="auto"/>
          <w:spacing w:val="-4"/>
          <w:position w:val="12"/>
          <w:sz w:val="24"/>
          <w:szCs w:val="24"/>
          <w:highlight w:val="none"/>
          <w:u w:val="single"/>
          <w:lang w:eastAsia="zh-CN"/>
        </w:rPr>
        <w:t>采购</w:t>
      </w:r>
      <w:r>
        <w:rPr>
          <w:rFonts w:hint="eastAsia" w:ascii="宋体" w:hAnsi="宋体" w:eastAsia="宋体" w:cs="宋体"/>
          <w:color w:val="auto"/>
          <w:spacing w:val="-4"/>
          <w:position w:val="12"/>
          <w:sz w:val="24"/>
          <w:szCs w:val="24"/>
          <w:highlight w:val="none"/>
          <w:u w:val="single"/>
        </w:rPr>
        <w:t xml:space="preserve">人名称）           </w:t>
      </w:r>
    </w:p>
    <w:p w14:paraId="590382E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4" w:line="440" w:lineRule="exact"/>
        <w:ind w:left="601"/>
        <w:textAlignment w:val="baseline"/>
        <w:rPr>
          <w:rFonts w:hint="eastAsia" w:ascii="宋体" w:hAnsi="宋体" w:eastAsia="宋体" w:cs="宋体"/>
          <w:color w:val="auto"/>
          <w:spacing w:val="-4"/>
          <w:position w:val="12"/>
          <w:sz w:val="24"/>
          <w:szCs w:val="24"/>
          <w:highlight w:val="none"/>
        </w:rPr>
      </w:pPr>
      <w:r>
        <w:rPr>
          <w:rFonts w:hint="eastAsia" w:ascii="宋体" w:hAnsi="宋体" w:eastAsia="宋体" w:cs="宋体"/>
          <w:color w:val="auto"/>
          <w:spacing w:val="-4"/>
          <w:position w:val="12"/>
          <w:sz w:val="24"/>
          <w:szCs w:val="24"/>
          <w:highlight w:val="none"/>
        </w:rPr>
        <w:t>我方已全面阅读和研究贵方的</w:t>
      </w:r>
      <w:r>
        <w:rPr>
          <w:rFonts w:hint="eastAsia" w:ascii="宋体" w:hAnsi="宋体" w:eastAsia="宋体" w:cs="宋体"/>
          <w:color w:val="auto"/>
          <w:spacing w:val="-4"/>
          <w:position w:val="12"/>
          <w:sz w:val="24"/>
          <w:szCs w:val="24"/>
          <w:highlight w:val="none"/>
          <w:u w:val="single"/>
        </w:rPr>
        <w:t xml:space="preserve">    （项目名称）    </w:t>
      </w:r>
      <w:r>
        <w:rPr>
          <w:rFonts w:hint="eastAsia" w:ascii="宋体" w:hAnsi="宋体" w:eastAsia="宋体" w:cs="宋体"/>
          <w:color w:val="auto"/>
          <w:spacing w:val="-4"/>
          <w:position w:val="12"/>
          <w:sz w:val="24"/>
          <w:szCs w:val="24"/>
          <w:highlight w:val="none"/>
          <w:lang w:eastAsia="zh-CN"/>
        </w:rPr>
        <w:t>竞争性磋商文件</w:t>
      </w:r>
      <w:r>
        <w:rPr>
          <w:rFonts w:hint="eastAsia" w:ascii="宋体" w:hAnsi="宋体" w:eastAsia="宋体" w:cs="宋体"/>
          <w:color w:val="auto"/>
          <w:spacing w:val="-4"/>
          <w:position w:val="12"/>
          <w:sz w:val="24"/>
          <w:szCs w:val="24"/>
          <w:highlight w:val="none"/>
        </w:rPr>
        <w:t>，已充分理解并掌握了本项目招标的全部有关情况。同意接受</w:t>
      </w:r>
      <w:r>
        <w:rPr>
          <w:rFonts w:hint="eastAsia" w:ascii="宋体" w:hAnsi="宋体" w:eastAsia="宋体" w:cs="宋体"/>
          <w:color w:val="auto"/>
          <w:spacing w:val="-4"/>
          <w:position w:val="12"/>
          <w:sz w:val="24"/>
          <w:szCs w:val="24"/>
          <w:highlight w:val="none"/>
          <w:lang w:eastAsia="zh-CN"/>
        </w:rPr>
        <w:t>竞争性磋商文件</w:t>
      </w:r>
      <w:r>
        <w:rPr>
          <w:rFonts w:hint="eastAsia" w:ascii="宋体" w:hAnsi="宋体" w:eastAsia="宋体" w:cs="宋体"/>
          <w:color w:val="auto"/>
          <w:spacing w:val="-4"/>
          <w:position w:val="12"/>
          <w:sz w:val="24"/>
          <w:szCs w:val="24"/>
          <w:highlight w:val="none"/>
        </w:rPr>
        <w:t>的全部内容和条件，并按此确定本项目投标的全部内容，以本</w:t>
      </w:r>
      <w:r>
        <w:rPr>
          <w:rFonts w:hint="eastAsia" w:ascii="宋体" w:hAnsi="宋体" w:eastAsia="宋体" w:cs="宋体"/>
          <w:color w:val="auto"/>
          <w:spacing w:val="-4"/>
          <w:position w:val="12"/>
          <w:sz w:val="24"/>
          <w:szCs w:val="24"/>
          <w:highlight w:val="none"/>
          <w:lang w:eastAsia="zh-CN"/>
        </w:rPr>
        <w:t>报价</w:t>
      </w:r>
      <w:r>
        <w:rPr>
          <w:rFonts w:hint="eastAsia" w:ascii="宋体" w:hAnsi="宋体" w:eastAsia="宋体" w:cs="宋体"/>
          <w:color w:val="auto"/>
          <w:spacing w:val="-4"/>
          <w:position w:val="12"/>
          <w:sz w:val="24"/>
          <w:szCs w:val="24"/>
          <w:highlight w:val="none"/>
        </w:rPr>
        <w:t>函向你方发包的全部内容进行投标。愿意以人民币</w:t>
      </w:r>
      <w:r>
        <w:rPr>
          <w:rFonts w:hint="eastAsia" w:ascii="宋体" w:hAnsi="宋体" w:eastAsia="宋体" w:cs="宋体"/>
          <w:color w:val="auto"/>
          <w:spacing w:val="-4"/>
          <w:position w:val="12"/>
          <w:sz w:val="24"/>
          <w:szCs w:val="24"/>
          <w:highlight w:val="none"/>
          <w:u w:val="single"/>
          <w:lang w:val="en-US" w:eastAsia="zh-CN"/>
        </w:rPr>
        <w:t>（大写）（¥    ）</w:t>
      </w:r>
      <w:r>
        <w:rPr>
          <w:rFonts w:hint="eastAsia" w:ascii="宋体" w:hAnsi="宋体" w:eastAsia="宋体" w:cs="宋体"/>
          <w:color w:val="auto"/>
          <w:spacing w:val="-4"/>
          <w:position w:val="12"/>
          <w:sz w:val="24"/>
          <w:szCs w:val="24"/>
          <w:highlight w:val="none"/>
        </w:rPr>
        <w:t>的投标总报价参与本项目，服务期</w:t>
      </w:r>
      <w:r>
        <w:rPr>
          <w:rFonts w:hint="eastAsia" w:ascii="宋体" w:hAnsi="宋体" w:eastAsia="宋体" w:cs="宋体"/>
          <w:color w:val="auto"/>
          <w:spacing w:val="-4"/>
          <w:position w:val="12"/>
          <w:sz w:val="24"/>
          <w:szCs w:val="24"/>
          <w:highlight w:val="none"/>
          <w:u w:val="single"/>
        </w:rPr>
        <w:t xml:space="preserve">           </w:t>
      </w:r>
      <w:r>
        <w:rPr>
          <w:rFonts w:hint="eastAsia" w:ascii="宋体" w:hAnsi="宋体" w:eastAsia="宋体" w:cs="宋体"/>
          <w:color w:val="auto"/>
          <w:spacing w:val="-4"/>
          <w:position w:val="12"/>
          <w:sz w:val="24"/>
          <w:szCs w:val="24"/>
          <w:highlight w:val="none"/>
        </w:rPr>
        <w:t>，并按合同约定履行义务。</w:t>
      </w:r>
    </w:p>
    <w:p w14:paraId="0C7FB970">
      <w:pPr>
        <w:numPr>
          <w:ilvl w:val="0"/>
          <w:numId w:val="0"/>
        </w:numPr>
        <w:spacing w:before="124" w:line="410" w:lineRule="exact"/>
        <w:ind w:firstLine="696" w:firstLineChars="300"/>
        <w:rPr>
          <w:rFonts w:ascii="宋体" w:hAnsi="宋体" w:eastAsia="宋体" w:cs="宋体"/>
          <w:color w:val="auto"/>
          <w:sz w:val="24"/>
          <w:szCs w:val="24"/>
          <w:highlight w:val="none"/>
        </w:rPr>
      </w:pPr>
      <w:r>
        <w:rPr>
          <w:rFonts w:hint="eastAsia" w:ascii="宋体" w:hAnsi="宋体" w:eastAsia="宋体" w:cs="宋体"/>
          <w:color w:val="auto"/>
          <w:spacing w:val="-4"/>
          <w:position w:val="12"/>
          <w:sz w:val="24"/>
          <w:szCs w:val="24"/>
          <w:highlight w:val="none"/>
          <w:lang w:val="en-US" w:eastAsia="zh-CN"/>
        </w:rPr>
        <w:t>2、</w:t>
      </w:r>
      <w:r>
        <w:rPr>
          <w:rFonts w:ascii="宋体" w:hAnsi="宋体" w:eastAsia="宋体" w:cs="宋体"/>
          <w:color w:val="auto"/>
          <w:spacing w:val="-4"/>
          <w:position w:val="12"/>
          <w:sz w:val="24"/>
          <w:szCs w:val="24"/>
          <w:highlight w:val="none"/>
        </w:rPr>
        <w:t>我方承诺已经具备〈中华人民共和国政府采购法〉中规定</w:t>
      </w:r>
      <w:r>
        <w:rPr>
          <w:rFonts w:ascii="宋体" w:hAnsi="宋体" w:eastAsia="宋体" w:cs="宋体"/>
          <w:color w:val="auto"/>
          <w:spacing w:val="-5"/>
          <w:position w:val="12"/>
          <w:sz w:val="24"/>
          <w:szCs w:val="24"/>
          <w:highlight w:val="none"/>
        </w:rPr>
        <w:t>的参加政府采购活动的供应商</w:t>
      </w:r>
    </w:p>
    <w:p w14:paraId="3D2B4373">
      <w:pPr>
        <w:spacing w:before="1" w:line="220" w:lineRule="auto"/>
        <w:ind w:left="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应当具备的条件：</w:t>
      </w:r>
    </w:p>
    <w:p w14:paraId="2DEFD74C">
      <w:pPr>
        <w:spacing w:before="122" w:line="220" w:lineRule="auto"/>
        <w:ind w:left="66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 具有独立承担民事责任的能力；</w:t>
      </w:r>
    </w:p>
    <w:p w14:paraId="2A82B236">
      <w:pPr>
        <w:spacing w:before="124" w:line="219" w:lineRule="auto"/>
        <w:ind w:left="6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 具有良好的商业信誉和健全的财务会计制度；</w:t>
      </w:r>
    </w:p>
    <w:p w14:paraId="5A15F264">
      <w:pPr>
        <w:spacing w:before="126" w:line="220" w:lineRule="auto"/>
        <w:ind w:left="6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 具有履行合同所必需的设备和专业技术能力；</w:t>
      </w:r>
    </w:p>
    <w:p w14:paraId="33E554D3">
      <w:pPr>
        <w:spacing w:before="124" w:line="219" w:lineRule="auto"/>
        <w:ind w:left="6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 有依法缴纳税收和社会保障资金的良好记录；</w:t>
      </w:r>
    </w:p>
    <w:p w14:paraId="764F6EB0">
      <w:pPr>
        <w:spacing w:before="124" w:line="219" w:lineRule="auto"/>
        <w:ind w:left="66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 参加此项采购活动前三年内，在经营活动中没有重大违法记录。</w:t>
      </w:r>
    </w:p>
    <w:p w14:paraId="0D3B30F5">
      <w:pPr>
        <w:spacing w:before="125" w:line="408" w:lineRule="exact"/>
        <w:ind w:right="49"/>
        <w:jc w:val="right"/>
        <w:rPr>
          <w:rFonts w:ascii="宋体" w:hAnsi="宋体" w:eastAsia="宋体" w:cs="宋体"/>
          <w:color w:val="auto"/>
          <w:sz w:val="24"/>
          <w:szCs w:val="24"/>
          <w:highlight w:val="none"/>
        </w:rPr>
      </w:pPr>
      <w:r>
        <w:rPr>
          <w:rFonts w:ascii="宋体" w:hAnsi="宋体" w:eastAsia="宋体" w:cs="宋体"/>
          <w:color w:val="auto"/>
          <w:spacing w:val="-2"/>
          <w:position w:val="12"/>
          <w:sz w:val="24"/>
          <w:szCs w:val="24"/>
          <w:highlight w:val="none"/>
        </w:rPr>
        <w:t>3</w:t>
      </w:r>
      <w:r>
        <w:rPr>
          <w:rFonts w:ascii="宋体" w:hAnsi="宋体" w:eastAsia="宋体" w:cs="宋体"/>
          <w:color w:val="auto"/>
          <w:spacing w:val="-20"/>
          <w:position w:val="12"/>
          <w:sz w:val="24"/>
          <w:szCs w:val="24"/>
          <w:highlight w:val="none"/>
        </w:rPr>
        <w:t xml:space="preserve"> </w:t>
      </w:r>
      <w:r>
        <w:rPr>
          <w:rFonts w:ascii="宋体" w:hAnsi="宋体" w:eastAsia="宋体" w:cs="宋体"/>
          <w:color w:val="auto"/>
          <w:spacing w:val="-2"/>
          <w:position w:val="12"/>
          <w:sz w:val="24"/>
          <w:szCs w:val="24"/>
          <w:highlight w:val="none"/>
        </w:rPr>
        <w:t>、提供磋商须知规定的全部磋商响应文件，包括磋商响应文件正本、副本、首次报价一览</w:t>
      </w:r>
    </w:p>
    <w:p w14:paraId="243D1BA6">
      <w:pPr>
        <w:spacing w:line="22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表和电子文档。</w:t>
      </w:r>
    </w:p>
    <w:p w14:paraId="2FD4F251">
      <w:pPr>
        <w:spacing w:before="124" w:line="219" w:lineRule="auto"/>
        <w:ind w:left="53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、按磋商文件要求提供和交付的服务的磋商报价详见首</w:t>
      </w:r>
      <w:r>
        <w:rPr>
          <w:rFonts w:ascii="宋体" w:hAnsi="宋体" w:eastAsia="宋体" w:cs="宋体"/>
          <w:color w:val="auto"/>
          <w:spacing w:val="-2"/>
          <w:sz w:val="24"/>
          <w:szCs w:val="24"/>
          <w:highlight w:val="none"/>
        </w:rPr>
        <w:t>次报价一览表。</w:t>
      </w:r>
    </w:p>
    <w:p w14:paraId="2DF8271B">
      <w:pPr>
        <w:spacing w:before="123" w:line="219" w:lineRule="auto"/>
        <w:ind w:left="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w:t>
      </w:r>
      <w:r>
        <w:rPr>
          <w:rFonts w:ascii="宋体" w:hAnsi="宋体" w:eastAsia="宋体" w:cs="宋体"/>
          <w:color w:val="auto"/>
          <w:spacing w:val="-24"/>
          <w:sz w:val="24"/>
          <w:szCs w:val="24"/>
          <w:highlight w:val="none"/>
        </w:rPr>
        <w:t xml:space="preserve"> </w:t>
      </w:r>
      <w:r>
        <w:rPr>
          <w:rFonts w:ascii="宋体" w:hAnsi="宋体" w:eastAsia="宋体" w:cs="宋体"/>
          <w:color w:val="auto"/>
          <w:spacing w:val="-1"/>
          <w:sz w:val="24"/>
          <w:szCs w:val="24"/>
          <w:highlight w:val="none"/>
        </w:rPr>
        <w:t>、我方承诺：完全理解磋商报价超过磋商时公布的预算金</w:t>
      </w:r>
      <w:r>
        <w:rPr>
          <w:rFonts w:ascii="宋体" w:hAnsi="宋体" w:eastAsia="宋体" w:cs="宋体"/>
          <w:color w:val="auto"/>
          <w:spacing w:val="-2"/>
          <w:sz w:val="24"/>
          <w:szCs w:val="24"/>
          <w:highlight w:val="none"/>
        </w:rPr>
        <w:t>额时，响应文件将被拒绝。</w:t>
      </w:r>
    </w:p>
    <w:p w14:paraId="60404786">
      <w:pPr>
        <w:spacing w:before="126" w:line="22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 、保证忠实地执行双方所签订的合同，并承担合同规</w:t>
      </w:r>
      <w:r>
        <w:rPr>
          <w:rFonts w:ascii="宋体" w:hAnsi="宋体" w:eastAsia="宋体" w:cs="宋体"/>
          <w:color w:val="auto"/>
          <w:spacing w:val="-3"/>
          <w:sz w:val="24"/>
          <w:szCs w:val="24"/>
          <w:highlight w:val="none"/>
        </w:rPr>
        <w:t>定的责任和义务。</w:t>
      </w:r>
    </w:p>
    <w:p w14:paraId="21FCE2A8">
      <w:pPr>
        <w:spacing w:before="125" w:line="410" w:lineRule="exact"/>
        <w:ind w:left="538"/>
        <w:rPr>
          <w:rFonts w:ascii="宋体" w:hAnsi="宋体" w:eastAsia="宋体" w:cs="宋体"/>
          <w:color w:val="auto"/>
          <w:sz w:val="24"/>
          <w:szCs w:val="24"/>
          <w:highlight w:val="none"/>
        </w:rPr>
      </w:pPr>
      <w:r>
        <w:rPr>
          <w:rFonts w:ascii="宋体" w:hAnsi="宋体" w:eastAsia="宋体" w:cs="宋体"/>
          <w:color w:val="auto"/>
          <w:spacing w:val="-2"/>
          <w:position w:val="12"/>
          <w:sz w:val="24"/>
          <w:szCs w:val="24"/>
          <w:highlight w:val="none"/>
        </w:rPr>
        <w:t>7</w:t>
      </w:r>
      <w:r>
        <w:rPr>
          <w:rFonts w:ascii="宋体" w:hAnsi="宋体" w:eastAsia="宋体" w:cs="宋体"/>
          <w:color w:val="auto"/>
          <w:spacing w:val="-23"/>
          <w:position w:val="12"/>
          <w:sz w:val="24"/>
          <w:szCs w:val="24"/>
          <w:highlight w:val="none"/>
        </w:rPr>
        <w:t xml:space="preserve"> </w:t>
      </w:r>
      <w:r>
        <w:rPr>
          <w:rFonts w:ascii="宋体" w:hAnsi="宋体" w:eastAsia="宋体" w:cs="宋体"/>
          <w:color w:val="auto"/>
          <w:spacing w:val="-2"/>
          <w:position w:val="12"/>
          <w:sz w:val="24"/>
          <w:szCs w:val="24"/>
          <w:highlight w:val="none"/>
        </w:rPr>
        <w:t>、承诺完全满足和响应磋商文件中的各项商务和技术要求，若有偏差，</w:t>
      </w:r>
      <w:r>
        <w:rPr>
          <w:rFonts w:ascii="宋体" w:hAnsi="宋体" w:eastAsia="宋体" w:cs="宋体"/>
          <w:color w:val="auto"/>
          <w:spacing w:val="-3"/>
          <w:position w:val="12"/>
          <w:sz w:val="24"/>
          <w:szCs w:val="24"/>
          <w:highlight w:val="none"/>
        </w:rPr>
        <w:t>已在磋商响应文件</w:t>
      </w:r>
    </w:p>
    <w:p w14:paraId="231752E6">
      <w:pPr>
        <w:spacing w:line="22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商务条款偏离表中予以明确特别说明。</w:t>
      </w:r>
    </w:p>
    <w:p w14:paraId="4ED9BB40">
      <w:pPr>
        <w:spacing w:before="122" w:line="220" w:lineRule="auto"/>
        <w:ind w:left="541"/>
        <w:outlineLvl w:val="9"/>
        <w:rPr>
          <w:rFonts w:ascii="宋体" w:hAnsi="宋体" w:eastAsia="宋体" w:cs="宋体"/>
          <w:color w:val="auto"/>
          <w:sz w:val="24"/>
          <w:szCs w:val="24"/>
          <w:highlight w:val="none"/>
        </w:rPr>
      </w:pPr>
      <w:bookmarkStart w:id="31" w:name="_Toc11598"/>
      <w:r>
        <w:rPr>
          <w:rFonts w:ascii="宋体" w:hAnsi="宋体" w:eastAsia="宋体" w:cs="宋体"/>
          <w:color w:val="auto"/>
          <w:spacing w:val="-4"/>
          <w:sz w:val="24"/>
          <w:szCs w:val="24"/>
          <w:highlight w:val="none"/>
        </w:rPr>
        <w:t>8</w:t>
      </w:r>
      <w:r>
        <w:rPr>
          <w:rFonts w:ascii="宋体" w:hAnsi="宋体" w:eastAsia="宋体" w:cs="宋体"/>
          <w:color w:val="auto"/>
          <w:spacing w:val="-16"/>
          <w:sz w:val="24"/>
          <w:szCs w:val="24"/>
          <w:highlight w:val="none"/>
        </w:rPr>
        <w:t xml:space="preserve"> </w:t>
      </w:r>
      <w:r>
        <w:rPr>
          <w:rFonts w:ascii="宋体" w:hAnsi="宋体" w:eastAsia="宋体" w:cs="宋体"/>
          <w:color w:val="auto"/>
          <w:spacing w:val="-4"/>
          <w:sz w:val="24"/>
          <w:szCs w:val="24"/>
          <w:highlight w:val="none"/>
        </w:rPr>
        <w:t>、保证遵守磋商文件的规定。</w:t>
      </w:r>
      <w:bookmarkEnd w:id="31"/>
    </w:p>
    <w:p w14:paraId="76FF2F9B">
      <w:pPr>
        <w:spacing w:before="124" w:line="219" w:lineRule="auto"/>
        <w:ind w:left="54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 、我方完全理解贵方不一定接受最低价的磋商或收</w:t>
      </w:r>
      <w:r>
        <w:rPr>
          <w:rFonts w:ascii="宋体" w:hAnsi="宋体" w:eastAsia="宋体" w:cs="宋体"/>
          <w:color w:val="auto"/>
          <w:spacing w:val="-3"/>
          <w:sz w:val="24"/>
          <w:szCs w:val="24"/>
          <w:highlight w:val="none"/>
        </w:rPr>
        <w:t>到的任何响应文件。</w:t>
      </w:r>
    </w:p>
    <w:p w14:paraId="086A6478">
      <w:pPr>
        <w:spacing w:before="124" w:line="410" w:lineRule="exact"/>
        <w:ind w:left="558"/>
        <w:rPr>
          <w:rFonts w:ascii="宋体" w:hAnsi="宋体" w:eastAsia="宋体" w:cs="宋体"/>
          <w:color w:val="auto"/>
          <w:sz w:val="24"/>
          <w:szCs w:val="24"/>
          <w:highlight w:val="none"/>
        </w:rPr>
      </w:pPr>
      <w:r>
        <w:rPr>
          <w:rFonts w:ascii="宋体" w:hAnsi="宋体" w:eastAsia="宋体" w:cs="宋体"/>
          <w:color w:val="auto"/>
          <w:spacing w:val="-3"/>
          <w:position w:val="12"/>
          <w:sz w:val="24"/>
          <w:szCs w:val="24"/>
          <w:highlight w:val="none"/>
        </w:rPr>
        <w:t>10、我方愿意向贵方提供任何与本项磋商有关的数据、情况和技术资料</w:t>
      </w:r>
      <w:r>
        <w:rPr>
          <w:rFonts w:ascii="宋体" w:hAnsi="宋体" w:eastAsia="宋体" w:cs="宋体"/>
          <w:color w:val="auto"/>
          <w:spacing w:val="-4"/>
          <w:position w:val="12"/>
          <w:sz w:val="24"/>
          <w:szCs w:val="24"/>
          <w:highlight w:val="none"/>
        </w:rPr>
        <w:t>。若贵方需要，我方</w:t>
      </w:r>
    </w:p>
    <w:p w14:paraId="535E730F">
      <w:pPr>
        <w:spacing w:before="1" w:line="219" w:lineRule="auto"/>
        <w:ind w:left="6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愿意提供我方作出的一切承诺的证明材料。</w:t>
      </w:r>
    </w:p>
    <w:p w14:paraId="43400EB7">
      <w:pPr>
        <w:spacing w:before="123" w:line="410" w:lineRule="exact"/>
        <w:ind w:left="558"/>
        <w:rPr>
          <w:rFonts w:ascii="宋体" w:hAnsi="宋体" w:eastAsia="宋体" w:cs="宋体"/>
          <w:color w:val="auto"/>
          <w:sz w:val="24"/>
          <w:szCs w:val="24"/>
          <w:highlight w:val="none"/>
        </w:rPr>
      </w:pPr>
      <w:r>
        <w:rPr>
          <w:rFonts w:ascii="宋体" w:hAnsi="宋体" w:eastAsia="宋体" w:cs="宋体"/>
          <w:color w:val="auto"/>
          <w:spacing w:val="-3"/>
          <w:position w:val="12"/>
          <w:sz w:val="24"/>
          <w:szCs w:val="24"/>
          <w:highlight w:val="none"/>
        </w:rPr>
        <w:t>11、我方已详细审核全部磋商响应文件，包括磋商响应文件修改书（如</w:t>
      </w:r>
      <w:r>
        <w:rPr>
          <w:rFonts w:ascii="宋体" w:hAnsi="宋体" w:eastAsia="宋体" w:cs="宋体"/>
          <w:color w:val="auto"/>
          <w:spacing w:val="-4"/>
          <w:position w:val="12"/>
          <w:sz w:val="24"/>
          <w:szCs w:val="24"/>
          <w:highlight w:val="none"/>
        </w:rPr>
        <w:t>有的话）、参考资料</w:t>
      </w:r>
    </w:p>
    <w:p w14:paraId="4706B7EF">
      <w:pPr>
        <w:spacing w:line="219" w:lineRule="auto"/>
        <w:ind w:left="6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及有关附件，确认无误。</w:t>
      </w:r>
    </w:p>
    <w:p w14:paraId="6BED6A38">
      <w:pPr>
        <w:spacing w:before="126" w:line="410" w:lineRule="exact"/>
        <w:ind w:left="558"/>
        <w:rPr>
          <w:rFonts w:ascii="宋体" w:hAnsi="宋体" w:eastAsia="宋体" w:cs="宋体"/>
          <w:color w:val="auto"/>
          <w:sz w:val="24"/>
          <w:szCs w:val="24"/>
          <w:highlight w:val="none"/>
        </w:rPr>
      </w:pPr>
      <w:r>
        <w:rPr>
          <w:rFonts w:ascii="宋体" w:hAnsi="宋体" w:eastAsia="宋体" w:cs="宋体"/>
          <w:color w:val="auto"/>
          <w:spacing w:val="-3"/>
          <w:position w:val="12"/>
          <w:sz w:val="24"/>
          <w:szCs w:val="24"/>
          <w:highlight w:val="none"/>
        </w:rPr>
        <w:t>12、我方承诺：采购人若需追回采购本项目磋商文件所列相关服务的，</w:t>
      </w:r>
      <w:r>
        <w:rPr>
          <w:rFonts w:ascii="宋体" w:hAnsi="宋体" w:eastAsia="宋体" w:cs="宋体"/>
          <w:color w:val="auto"/>
          <w:spacing w:val="-4"/>
          <w:position w:val="12"/>
          <w:sz w:val="24"/>
          <w:szCs w:val="24"/>
          <w:highlight w:val="none"/>
        </w:rPr>
        <w:t>在不改变合同其他实</w:t>
      </w:r>
    </w:p>
    <w:p w14:paraId="6660421A">
      <w:pPr>
        <w:spacing w:before="1" w:line="219" w:lineRule="auto"/>
        <w:ind w:left="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质性条款的前提下，按相同或更优惠的折扣率保证供货。</w:t>
      </w:r>
    </w:p>
    <w:p w14:paraId="5D7C3340">
      <w:pPr>
        <w:spacing w:before="122" w:line="220" w:lineRule="auto"/>
        <w:ind w:left="55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13、我方承诺接受磋商文件中〈商务主要条款〉的全部条款且无任何异议。</w:t>
      </w:r>
    </w:p>
    <w:p w14:paraId="3A12E149">
      <w:pPr>
        <w:spacing w:before="125" w:line="408" w:lineRule="exact"/>
        <w:ind w:right="55"/>
        <w:jc w:val="right"/>
        <w:rPr>
          <w:rFonts w:ascii="宋体" w:hAnsi="宋体" w:eastAsia="宋体" w:cs="宋体"/>
          <w:color w:val="auto"/>
          <w:sz w:val="24"/>
          <w:szCs w:val="24"/>
          <w:highlight w:val="none"/>
        </w:rPr>
      </w:pPr>
      <w:r>
        <w:rPr>
          <w:rFonts w:ascii="宋体" w:hAnsi="宋体" w:eastAsia="宋体" w:cs="宋体"/>
          <w:color w:val="auto"/>
          <w:spacing w:val="-3"/>
          <w:position w:val="12"/>
          <w:sz w:val="24"/>
          <w:szCs w:val="24"/>
          <w:highlight w:val="none"/>
        </w:rPr>
        <w:t>14、我方将严格遵守《中华人民共和国政府采购法》的有关规定，若有下列情形之一的，将</w:t>
      </w:r>
    </w:p>
    <w:p w14:paraId="58C06B7B">
      <w:pPr>
        <w:spacing w:line="219" w:lineRule="auto"/>
        <w:ind w:left="6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被处理以采购金额5%发上</w:t>
      </w:r>
      <w:r>
        <w:rPr>
          <w:rFonts w:ascii="宋体" w:hAnsi="宋体" w:eastAsia="宋体" w:cs="宋体"/>
          <w:color w:val="auto"/>
          <w:spacing w:val="-33"/>
          <w:sz w:val="24"/>
          <w:szCs w:val="24"/>
          <w:highlight w:val="none"/>
        </w:rPr>
        <w:t xml:space="preserve"> </w:t>
      </w:r>
      <w:r>
        <w:rPr>
          <w:rFonts w:ascii="宋体" w:hAnsi="宋体" w:eastAsia="宋体" w:cs="宋体"/>
          <w:color w:val="auto"/>
          <w:spacing w:val="4"/>
          <w:sz w:val="24"/>
          <w:szCs w:val="24"/>
          <w:highlight w:val="none"/>
        </w:rPr>
        <w:t>10%以下的罚款，列入不良行为记录名</w:t>
      </w:r>
      <w:r>
        <w:rPr>
          <w:rFonts w:ascii="宋体" w:hAnsi="宋体" w:eastAsia="宋体" w:cs="宋体"/>
          <w:color w:val="auto"/>
          <w:spacing w:val="3"/>
          <w:sz w:val="24"/>
          <w:szCs w:val="24"/>
          <w:highlight w:val="none"/>
        </w:rPr>
        <w:t>单，在一至三年内禁止参加政</w:t>
      </w:r>
    </w:p>
    <w:p w14:paraId="25117EE7">
      <w:pPr>
        <w:spacing w:line="219" w:lineRule="auto"/>
        <w:rPr>
          <w:rFonts w:ascii="宋体" w:hAnsi="宋体" w:eastAsia="宋体" w:cs="宋体"/>
          <w:color w:val="auto"/>
          <w:sz w:val="24"/>
          <w:szCs w:val="24"/>
          <w:highlight w:val="none"/>
        </w:rPr>
        <w:sectPr>
          <w:footerReference r:id="rId14" w:type="default"/>
          <w:pgSz w:w="11906" w:h="16839"/>
          <w:pgMar w:top="1285" w:right="900" w:bottom="1157" w:left="913" w:header="0" w:footer="992" w:gutter="0"/>
          <w:pgNumType w:fmt="decimal"/>
          <w:cols w:space="720" w:num="1"/>
        </w:sectPr>
      </w:pPr>
    </w:p>
    <w:p w14:paraId="36D1C023">
      <w:pPr>
        <w:spacing w:before="48" w:line="408" w:lineRule="exact"/>
        <w:rPr>
          <w:rFonts w:ascii="宋体" w:hAnsi="宋体" w:eastAsia="宋体" w:cs="宋体"/>
          <w:color w:val="auto"/>
          <w:sz w:val="24"/>
          <w:szCs w:val="24"/>
          <w:highlight w:val="none"/>
        </w:rPr>
      </w:pPr>
      <w:r>
        <w:rPr>
          <w:rFonts w:ascii="宋体" w:hAnsi="宋体" w:eastAsia="宋体" w:cs="宋体"/>
          <w:color w:val="auto"/>
          <w:spacing w:val="-3"/>
          <w:position w:val="12"/>
          <w:sz w:val="24"/>
          <w:szCs w:val="24"/>
          <w:highlight w:val="none"/>
        </w:rPr>
        <w:t>府采购活动；有违法所得的，并处没收违法所得；情节严重的，由工商行政管理机关吊销营业执</w:t>
      </w:r>
    </w:p>
    <w:p w14:paraId="645AF5BC">
      <w:pPr>
        <w:spacing w:line="219"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照；构成犯罪的，依法追究刑事责任；</w:t>
      </w:r>
    </w:p>
    <w:p w14:paraId="03E3347B">
      <w:pPr>
        <w:spacing w:before="125" w:line="219" w:lineRule="auto"/>
        <w:ind w:left="60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 提供虚假材料谋取中标、成交的；</w:t>
      </w:r>
    </w:p>
    <w:p w14:paraId="1795B7FF">
      <w:pPr>
        <w:spacing w:before="123" w:line="219" w:lineRule="auto"/>
        <w:ind w:left="6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 采取不正当手段诋毁、排挤其他供应商的；</w:t>
      </w:r>
    </w:p>
    <w:p w14:paraId="4D61B200">
      <w:pPr>
        <w:spacing w:before="125" w:line="219" w:lineRule="auto"/>
        <w:ind w:left="6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 与采购人、其它供应商或者代理机构工作人员恶意串通的；</w:t>
      </w:r>
    </w:p>
    <w:p w14:paraId="3036BE26">
      <w:pPr>
        <w:spacing w:before="125" w:line="410" w:lineRule="exact"/>
        <w:ind w:left="607"/>
        <w:rPr>
          <w:rFonts w:ascii="宋体" w:hAnsi="宋体" w:eastAsia="宋体" w:cs="宋体"/>
          <w:color w:val="auto"/>
          <w:sz w:val="24"/>
          <w:szCs w:val="24"/>
          <w:highlight w:val="none"/>
        </w:rPr>
      </w:pPr>
      <w:r>
        <w:rPr>
          <w:rFonts w:ascii="宋体" w:hAnsi="宋体" w:eastAsia="宋体" w:cs="宋体"/>
          <w:color w:val="auto"/>
          <w:spacing w:val="2"/>
          <w:position w:val="12"/>
          <w:sz w:val="24"/>
          <w:szCs w:val="24"/>
          <w:highlight w:val="none"/>
        </w:rPr>
        <w:t>(4)</w:t>
      </w:r>
      <w:r>
        <w:rPr>
          <w:rFonts w:ascii="宋体" w:hAnsi="宋体" w:eastAsia="宋体" w:cs="宋体"/>
          <w:color w:val="auto"/>
          <w:spacing w:val="50"/>
          <w:position w:val="12"/>
          <w:sz w:val="24"/>
          <w:szCs w:val="24"/>
          <w:highlight w:val="none"/>
        </w:rPr>
        <w:t xml:space="preserve"> </w:t>
      </w:r>
      <w:r>
        <w:rPr>
          <w:rFonts w:ascii="宋体" w:hAnsi="宋体" w:eastAsia="宋体" w:cs="宋体"/>
          <w:color w:val="auto"/>
          <w:spacing w:val="2"/>
          <w:position w:val="12"/>
          <w:sz w:val="24"/>
          <w:szCs w:val="24"/>
          <w:highlight w:val="none"/>
        </w:rPr>
        <w:t>向采购人、代理机构工作人员行贿或提供其他</w:t>
      </w:r>
      <w:r>
        <w:rPr>
          <w:rFonts w:ascii="宋体" w:hAnsi="宋体" w:eastAsia="宋体" w:cs="宋体"/>
          <w:color w:val="auto"/>
          <w:spacing w:val="1"/>
          <w:position w:val="12"/>
          <w:sz w:val="24"/>
          <w:szCs w:val="24"/>
          <w:highlight w:val="none"/>
        </w:rPr>
        <w:t>不正当利益的；</w:t>
      </w:r>
    </w:p>
    <w:p w14:paraId="78A1CC4A">
      <w:pPr>
        <w:spacing w:before="1" w:line="219" w:lineRule="auto"/>
        <w:ind w:left="6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 未经代理机构同意，在采购过程中与采购人进行协商谈判的；</w:t>
      </w:r>
    </w:p>
    <w:p w14:paraId="155642A4">
      <w:pPr>
        <w:spacing w:before="123" w:line="219" w:lineRule="auto"/>
        <w:ind w:left="607"/>
        <w:outlineLvl w:val="9"/>
        <w:rPr>
          <w:rFonts w:ascii="宋体" w:hAnsi="宋体" w:eastAsia="宋体" w:cs="宋体"/>
          <w:color w:val="auto"/>
          <w:sz w:val="24"/>
          <w:szCs w:val="24"/>
          <w:highlight w:val="none"/>
        </w:rPr>
      </w:pPr>
      <w:bookmarkStart w:id="32" w:name="_Toc29049"/>
      <w:r>
        <w:rPr>
          <w:rFonts w:ascii="宋体" w:hAnsi="宋体" w:eastAsia="宋体" w:cs="宋体"/>
          <w:color w:val="auto"/>
          <w:spacing w:val="5"/>
          <w:sz w:val="24"/>
          <w:szCs w:val="24"/>
          <w:highlight w:val="none"/>
        </w:rPr>
        <w:t>(6) 拒绝有关部门监督检查虚假情况的。</w:t>
      </w:r>
      <w:bookmarkEnd w:id="32"/>
    </w:p>
    <w:p w14:paraId="7A4921D2">
      <w:pPr>
        <w:spacing w:before="126" w:line="219" w:lineRule="auto"/>
        <w:ind w:left="498"/>
        <w:outlineLvl w:val="9"/>
        <w:rPr>
          <w:rFonts w:ascii="宋体" w:hAnsi="宋体" w:eastAsia="宋体" w:cs="宋体"/>
          <w:color w:val="auto"/>
          <w:sz w:val="24"/>
          <w:szCs w:val="24"/>
          <w:highlight w:val="none"/>
        </w:rPr>
      </w:pPr>
      <w:bookmarkStart w:id="33" w:name="_Toc6755"/>
      <w:r>
        <w:rPr>
          <w:rFonts w:ascii="宋体" w:hAnsi="宋体" w:eastAsia="宋体" w:cs="宋体"/>
          <w:color w:val="auto"/>
          <w:spacing w:val="-1"/>
          <w:sz w:val="24"/>
          <w:szCs w:val="24"/>
          <w:highlight w:val="none"/>
        </w:rPr>
        <w:t>15、所有关于本次磋商的函电，请按下列</w:t>
      </w:r>
      <w:r>
        <w:rPr>
          <w:rFonts w:ascii="宋体" w:hAnsi="宋体" w:eastAsia="宋体" w:cs="宋体"/>
          <w:color w:val="auto"/>
          <w:spacing w:val="-2"/>
          <w:sz w:val="24"/>
          <w:szCs w:val="24"/>
          <w:highlight w:val="none"/>
        </w:rPr>
        <w:t>地址联系。</w:t>
      </w:r>
      <w:bookmarkEnd w:id="33"/>
    </w:p>
    <w:p w14:paraId="76CB5491">
      <w:pPr>
        <w:spacing w:before="15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供应商全称（印章</w:t>
      </w:r>
      <w:r>
        <w:rPr>
          <w:rFonts w:ascii="宋体" w:hAnsi="宋体" w:eastAsia="宋体" w:cs="宋体"/>
          <w:color w:val="auto"/>
          <w:spacing w:val="2"/>
          <w:sz w:val="24"/>
          <w:szCs w:val="24"/>
          <w:highlight w:val="none"/>
        </w:rPr>
        <w:t>）：</w:t>
      </w:r>
    </w:p>
    <w:p w14:paraId="6CD01218">
      <w:pPr>
        <w:spacing w:before="183" w:line="468" w:lineRule="exact"/>
        <w:ind w:left="480"/>
        <w:rPr>
          <w:rFonts w:ascii="宋体" w:hAnsi="宋体" w:eastAsia="宋体" w:cs="宋体"/>
          <w:color w:val="auto"/>
          <w:sz w:val="24"/>
          <w:szCs w:val="24"/>
          <w:highlight w:val="none"/>
        </w:rPr>
      </w:pPr>
      <w:r>
        <w:rPr>
          <w:rFonts w:ascii="宋体" w:hAnsi="宋体" w:eastAsia="宋体" w:cs="宋体"/>
          <w:color w:val="auto"/>
          <w:spacing w:val="-7"/>
          <w:position w:val="16"/>
          <w:sz w:val="24"/>
          <w:szCs w:val="24"/>
          <w:highlight w:val="none"/>
        </w:rPr>
        <w:t>地</w:t>
      </w:r>
      <w:r>
        <w:rPr>
          <w:rFonts w:ascii="宋体" w:hAnsi="宋体" w:eastAsia="宋体" w:cs="宋体"/>
          <w:color w:val="auto"/>
          <w:spacing w:val="2"/>
          <w:position w:val="16"/>
          <w:sz w:val="24"/>
          <w:szCs w:val="24"/>
          <w:highlight w:val="none"/>
        </w:rPr>
        <w:t xml:space="preserve">    </w:t>
      </w:r>
      <w:r>
        <w:rPr>
          <w:rFonts w:ascii="宋体" w:hAnsi="宋体" w:eastAsia="宋体" w:cs="宋体"/>
          <w:color w:val="auto"/>
          <w:spacing w:val="-7"/>
          <w:position w:val="16"/>
          <w:sz w:val="24"/>
          <w:szCs w:val="24"/>
          <w:highlight w:val="none"/>
        </w:rPr>
        <w:t>址：</w:t>
      </w:r>
    </w:p>
    <w:p w14:paraId="523B9C48">
      <w:pPr>
        <w:spacing w:before="1"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开户银行：</w:t>
      </w:r>
    </w:p>
    <w:p w14:paraId="6D572E5A">
      <w:pPr>
        <w:spacing w:before="181" w:line="221" w:lineRule="auto"/>
        <w:ind w:left="49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帐</w:t>
      </w:r>
      <w:r>
        <w:rPr>
          <w:rFonts w:ascii="宋体" w:hAnsi="宋体" w:eastAsia="宋体" w:cs="宋体"/>
          <w:color w:val="auto"/>
          <w:spacing w:val="5"/>
          <w:sz w:val="24"/>
          <w:szCs w:val="24"/>
          <w:highlight w:val="none"/>
        </w:rPr>
        <w:t xml:space="preserve">   </w:t>
      </w:r>
      <w:r>
        <w:rPr>
          <w:rFonts w:ascii="宋体" w:hAnsi="宋体" w:eastAsia="宋体" w:cs="宋体"/>
          <w:color w:val="auto"/>
          <w:spacing w:val="-12"/>
          <w:sz w:val="24"/>
          <w:szCs w:val="24"/>
          <w:highlight w:val="none"/>
        </w:rPr>
        <w:t>号：</w:t>
      </w:r>
    </w:p>
    <w:p w14:paraId="682532A1">
      <w:pPr>
        <w:spacing w:before="181" w:line="222" w:lineRule="auto"/>
        <w:ind w:left="509"/>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电</w:t>
      </w:r>
      <w:r>
        <w:rPr>
          <w:rFonts w:ascii="宋体" w:hAnsi="宋体" w:eastAsia="宋体" w:cs="宋体"/>
          <w:color w:val="auto"/>
          <w:spacing w:val="3"/>
          <w:sz w:val="24"/>
          <w:szCs w:val="24"/>
          <w:highlight w:val="none"/>
        </w:rPr>
        <w:t xml:space="preserve">   </w:t>
      </w:r>
      <w:r>
        <w:rPr>
          <w:rFonts w:ascii="宋体" w:hAnsi="宋体" w:eastAsia="宋体" w:cs="宋体"/>
          <w:color w:val="auto"/>
          <w:spacing w:val="-16"/>
          <w:sz w:val="24"/>
          <w:szCs w:val="24"/>
          <w:highlight w:val="none"/>
        </w:rPr>
        <w:t>话：</w:t>
      </w:r>
    </w:p>
    <w:p w14:paraId="0919ED90">
      <w:pPr>
        <w:spacing w:before="179" w:line="219" w:lineRule="auto"/>
        <w:ind w:left="47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传</w:t>
      </w:r>
      <w:r>
        <w:rPr>
          <w:rFonts w:ascii="宋体" w:hAnsi="宋体" w:eastAsia="宋体" w:cs="宋体"/>
          <w:color w:val="auto"/>
          <w:spacing w:val="4"/>
          <w:sz w:val="24"/>
          <w:szCs w:val="24"/>
          <w:highlight w:val="none"/>
        </w:rPr>
        <w:t xml:space="preserve">   </w:t>
      </w:r>
      <w:r>
        <w:rPr>
          <w:rFonts w:ascii="宋体" w:hAnsi="宋体" w:eastAsia="宋体" w:cs="宋体"/>
          <w:color w:val="auto"/>
          <w:spacing w:val="-7"/>
          <w:sz w:val="24"/>
          <w:szCs w:val="24"/>
          <w:highlight w:val="none"/>
        </w:rPr>
        <w:t>真：</w:t>
      </w:r>
    </w:p>
    <w:p w14:paraId="4BCF021D">
      <w:pPr>
        <w:spacing w:before="183" w:line="220" w:lineRule="auto"/>
        <w:ind w:left="49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邮</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编：</w:t>
      </w:r>
    </w:p>
    <w:p w14:paraId="09C63CD2">
      <w:pPr>
        <w:spacing w:before="183"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法定代表人或其委托代理人(签字或盖章)：</w:t>
      </w:r>
    </w:p>
    <w:p w14:paraId="15DABFCF">
      <w:pPr>
        <w:pStyle w:val="2"/>
        <w:spacing w:line="258" w:lineRule="auto"/>
        <w:rPr>
          <w:color w:val="auto"/>
          <w:highlight w:val="none"/>
        </w:rPr>
      </w:pPr>
    </w:p>
    <w:p w14:paraId="1B11920C">
      <w:pPr>
        <w:pStyle w:val="2"/>
        <w:spacing w:line="258" w:lineRule="auto"/>
        <w:rPr>
          <w:color w:val="auto"/>
          <w:highlight w:val="none"/>
        </w:rPr>
      </w:pPr>
    </w:p>
    <w:p w14:paraId="58F87B9E">
      <w:pPr>
        <w:pStyle w:val="2"/>
        <w:spacing w:line="259" w:lineRule="auto"/>
        <w:rPr>
          <w:color w:val="auto"/>
          <w:highlight w:val="none"/>
        </w:rPr>
      </w:pPr>
    </w:p>
    <w:p w14:paraId="3D0E354D">
      <w:pPr>
        <w:pStyle w:val="2"/>
        <w:spacing w:line="259" w:lineRule="auto"/>
        <w:rPr>
          <w:color w:val="auto"/>
          <w:highlight w:val="none"/>
        </w:rPr>
      </w:pPr>
    </w:p>
    <w:p w14:paraId="090BFD48">
      <w:pPr>
        <w:spacing w:before="78" w:line="220" w:lineRule="auto"/>
        <w:jc w:val="right"/>
        <w:rPr>
          <w:rFonts w:ascii="宋体" w:hAnsi="宋体" w:eastAsia="宋体" w:cs="宋体"/>
          <w:color w:val="auto"/>
          <w:sz w:val="24"/>
          <w:szCs w:val="24"/>
          <w:highlight w:val="none"/>
        </w:rPr>
      </w:pPr>
      <w:r>
        <w:rPr>
          <w:rFonts w:ascii="宋体" w:hAnsi="宋体" w:eastAsia="宋体" w:cs="宋体"/>
          <w:color w:val="auto"/>
          <w:spacing w:val="-26"/>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26"/>
          <w:sz w:val="24"/>
          <w:szCs w:val="24"/>
          <w:highlight w:val="none"/>
        </w:rPr>
        <w:t>月</w:t>
      </w:r>
      <w:r>
        <w:rPr>
          <w:rFonts w:ascii="宋体" w:hAnsi="宋体" w:eastAsia="宋体" w:cs="宋体"/>
          <w:color w:val="auto"/>
          <w:spacing w:val="7"/>
          <w:sz w:val="24"/>
          <w:szCs w:val="24"/>
          <w:highlight w:val="none"/>
        </w:rPr>
        <w:t xml:space="preserve">       </w:t>
      </w:r>
      <w:r>
        <w:rPr>
          <w:rFonts w:ascii="宋体" w:hAnsi="宋体" w:eastAsia="宋体" w:cs="宋体"/>
          <w:color w:val="auto"/>
          <w:spacing w:val="-26"/>
          <w:sz w:val="24"/>
          <w:szCs w:val="24"/>
          <w:highlight w:val="none"/>
        </w:rPr>
        <w:t>日</w:t>
      </w:r>
    </w:p>
    <w:p w14:paraId="2400D319">
      <w:pPr>
        <w:spacing w:line="220" w:lineRule="auto"/>
        <w:rPr>
          <w:rFonts w:ascii="宋体" w:hAnsi="宋体" w:eastAsia="宋体" w:cs="宋体"/>
          <w:color w:val="auto"/>
          <w:sz w:val="24"/>
          <w:szCs w:val="24"/>
          <w:highlight w:val="none"/>
        </w:rPr>
        <w:sectPr>
          <w:footerReference r:id="rId15" w:type="default"/>
          <w:pgSz w:w="11906" w:h="16839"/>
          <w:pgMar w:top="1285" w:right="964" w:bottom="1157" w:left="973" w:header="0" w:footer="992" w:gutter="0"/>
          <w:pgNumType w:fmt="decimal"/>
          <w:cols w:space="720" w:num="1"/>
        </w:sectPr>
      </w:pPr>
    </w:p>
    <w:p w14:paraId="187F9DD0">
      <w:pPr>
        <w:spacing w:line="360" w:lineRule="auto"/>
        <w:ind w:left="140"/>
        <w:jc w:val="center"/>
        <w:outlineLvl w:val="1"/>
        <w:rPr>
          <w:rFonts w:hint="eastAsia" w:ascii="宋体" w:hAnsi="宋体" w:cs="宋体"/>
          <w:b/>
          <w:bCs/>
          <w:color w:val="auto"/>
          <w:sz w:val="32"/>
          <w:szCs w:val="32"/>
          <w:highlight w:val="none"/>
          <w:lang w:val="en-US" w:eastAsia="zh-CN"/>
        </w:rPr>
      </w:pPr>
      <w:bookmarkStart w:id="34" w:name="_Toc23984"/>
      <w:bookmarkStart w:id="35" w:name="_Toc31186"/>
      <w:r>
        <w:rPr>
          <w:rFonts w:hint="eastAsia" w:ascii="宋体" w:hAnsi="宋体" w:cs="宋体"/>
          <w:b/>
          <w:bCs/>
          <w:color w:val="auto"/>
          <w:sz w:val="32"/>
          <w:szCs w:val="32"/>
          <w:highlight w:val="none"/>
          <w:lang w:val="en-US" w:eastAsia="zh-CN"/>
        </w:rPr>
        <w:t>附件2 法定代表人身份证明</w:t>
      </w:r>
      <w:bookmarkEnd w:id="34"/>
    </w:p>
    <w:p w14:paraId="6864FC83">
      <w:pPr>
        <w:pStyle w:val="2"/>
        <w:spacing w:line="241" w:lineRule="auto"/>
        <w:rPr>
          <w:color w:val="auto"/>
          <w:highlight w:val="none"/>
        </w:rPr>
      </w:pPr>
    </w:p>
    <w:p w14:paraId="402BDD39">
      <w:pPr>
        <w:pStyle w:val="2"/>
        <w:spacing w:line="241" w:lineRule="auto"/>
        <w:rPr>
          <w:color w:val="auto"/>
          <w:highlight w:val="none"/>
        </w:rPr>
      </w:pPr>
    </w:p>
    <w:p w14:paraId="6DE6B2A7">
      <w:pPr>
        <w:pStyle w:val="2"/>
        <w:spacing w:line="242" w:lineRule="auto"/>
        <w:rPr>
          <w:color w:val="auto"/>
          <w:highlight w:val="none"/>
        </w:rPr>
      </w:pPr>
    </w:p>
    <w:p w14:paraId="2D2A75CD">
      <w:pPr>
        <w:spacing w:before="78" w:line="468" w:lineRule="exact"/>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供应商名称：</w:t>
      </w:r>
    </w:p>
    <w:p w14:paraId="5C09EFD1">
      <w:pPr>
        <w:spacing w:before="1"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p>
    <w:p w14:paraId="313230B3">
      <w:pPr>
        <w:spacing w:before="181" w:line="229"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F510B76">
      <w:pPr>
        <w:spacing w:before="169" w:line="36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成立时间：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19"/>
          <w:sz w:val="24"/>
          <w:szCs w:val="24"/>
          <w:highlight w:val="none"/>
          <w:u w:val="single" w:color="auto"/>
        </w:rPr>
        <w:t xml:space="preserve">      </w:t>
      </w:r>
      <w:r>
        <w:rPr>
          <w:rFonts w:ascii="宋体" w:hAnsi="宋体" w:eastAsia="宋体" w:cs="宋体"/>
          <w:color w:val="auto"/>
          <w:spacing w:val="-63"/>
          <w:sz w:val="24"/>
          <w:szCs w:val="24"/>
          <w:highlight w:val="none"/>
        </w:rPr>
        <w:t xml:space="preserve"> </w:t>
      </w:r>
      <w:r>
        <w:rPr>
          <w:rFonts w:ascii="宋体" w:hAnsi="宋体" w:eastAsia="宋体" w:cs="宋体"/>
          <w:color w:val="auto"/>
          <w:spacing w:val="-2"/>
          <w:sz w:val="24"/>
          <w:szCs w:val="24"/>
          <w:highlight w:val="none"/>
        </w:rPr>
        <w:t>日</w:t>
      </w:r>
    </w:p>
    <w:p w14:paraId="4F443F00">
      <w:pPr>
        <w:spacing w:before="1"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5EDD6AC5">
      <w:pPr>
        <w:spacing w:before="181"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姓名：</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职务：</w:t>
      </w:r>
    </w:p>
    <w:p w14:paraId="53C5B24E">
      <w:pPr>
        <w:spacing w:before="182" w:line="360" w:lineRule="auto"/>
        <w:ind w:left="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系</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57"/>
          <w:sz w:val="24"/>
          <w:szCs w:val="24"/>
          <w:highlight w:val="none"/>
        </w:rPr>
        <w:t xml:space="preserve"> </w:t>
      </w:r>
      <w:r>
        <w:rPr>
          <w:rFonts w:ascii="宋体" w:hAnsi="宋体" w:eastAsia="宋体" w:cs="宋体"/>
          <w:color w:val="auto"/>
          <w:spacing w:val="-5"/>
          <w:sz w:val="24"/>
          <w:szCs w:val="24"/>
          <w:highlight w:val="none"/>
        </w:rPr>
        <w:t>(供应商名称)的法定代表人。</w:t>
      </w:r>
    </w:p>
    <w:p w14:paraId="32DBF1F8">
      <w:pPr>
        <w:spacing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6446B477">
      <w:pPr>
        <w:pStyle w:val="2"/>
        <w:spacing w:line="284" w:lineRule="auto"/>
        <w:rPr>
          <w:color w:val="auto"/>
          <w:highlight w:val="none"/>
        </w:rPr>
      </w:pPr>
    </w:p>
    <w:p w14:paraId="7C5889A2">
      <w:pPr>
        <w:pStyle w:val="2"/>
        <w:spacing w:line="284" w:lineRule="auto"/>
        <w:rPr>
          <w:color w:val="auto"/>
          <w:highlight w:val="none"/>
        </w:rPr>
      </w:pPr>
    </w:p>
    <w:p w14:paraId="41FD8979">
      <w:pPr>
        <w:spacing w:before="79" w:line="219" w:lineRule="auto"/>
        <w:ind w:left="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后附：法定代表人身份证复印件加盖公章。</w:t>
      </w:r>
    </w:p>
    <w:p w14:paraId="5855BB64">
      <w:pPr>
        <w:pStyle w:val="2"/>
        <w:spacing w:line="245" w:lineRule="auto"/>
        <w:rPr>
          <w:color w:val="auto"/>
          <w:highlight w:val="none"/>
        </w:rPr>
      </w:pPr>
    </w:p>
    <w:p w14:paraId="7E5A6AFA">
      <w:pPr>
        <w:pStyle w:val="2"/>
        <w:spacing w:line="245" w:lineRule="auto"/>
        <w:rPr>
          <w:color w:val="auto"/>
          <w:highlight w:val="none"/>
        </w:rPr>
      </w:pPr>
    </w:p>
    <w:p w14:paraId="7FE54157">
      <w:pPr>
        <w:pStyle w:val="2"/>
        <w:spacing w:line="245" w:lineRule="auto"/>
        <w:rPr>
          <w:color w:val="auto"/>
          <w:highlight w:val="none"/>
        </w:rPr>
      </w:pPr>
    </w:p>
    <w:p w14:paraId="32BCD856">
      <w:pPr>
        <w:pStyle w:val="2"/>
        <w:spacing w:line="246" w:lineRule="auto"/>
        <w:rPr>
          <w:color w:val="auto"/>
          <w:highlight w:val="none"/>
        </w:rPr>
      </w:pPr>
    </w:p>
    <w:p w14:paraId="6FC125D7">
      <w:pPr>
        <w:pStyle w:val="2"/>
        <w:spacing w:line="246" w:lineRule="auto"/>
        <w:rPr>
          <w:color w:val="auto"/>
          <w:highlight w:val="none"/>
        </w:rPr>
      </w:pPr>
    </w:p>
    <w:p w14:paraId="3C577E8B">
      <w:pPr>
        <w:pStyle w:val="2"/>
        <w:spacing w:line="246" w:lineRule="auto"/>
        <w:rPr>
          <w:color w:val="auto"/>
          <w:highlight w:val="none"/>
        </w:rPr>
      </w:pPr>
    </w:p>
    <w:p w14:paraId="3EC11E06">
      <w:pPr>
        <w:pStyle w:val="2"/>
        <w:spacing w:line="246" w:lineRule="auto"/>
        <w:rPr>
          <w:color w:val="auto"/>
          <w:highlight w:val="none"/>
        </w:rPr>
      </w:pPr>
    </w:p>
    <w:p w14:paraId="5EB2ECE0">
      <w:pPr>
        <w:pStyle w:val="2"/>
        <w:spacing w:line="246" w:lineRule="auto"/>
        <w:rPr>
          <w:color w:val="auto"/>
          <w:highlight w:val="none"/>
        </w:rPr>
      </w:pPr>
    </w:p>
    <w:p w14:paraId="6B46DAF2">
      <w:pPr>
        <w:spacing w:before="78" w:line="219" w:lineRule="auto"/>
        <w:ind w:left="42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供应商：</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1"/>
          <w:sz w:val="24"/>
          <w:szCs w:val="24"/>
          <w:highlight w:val="none"/>
        </w:rPr>
        <w:t xml:space="preserve"> </w:t>
      </w:r>
      <w:r>
        <w:rPr>
          <w:rFonts w:ascii="宋体" w:hAnsi="宋体" w:eastAsia="宋体" w:cs="宋体"/>
          <w:color w:val="auto"/>
          <w:spacing w:val="-7"/>
          <w:sz w:val="24"/>
          <w:szCs w:val="24"/>
          <w:highlight w:val="none"/>
        </w:rPr>
        <w:t>(盖单位章)</w:t>
      </w:r>
    </w:p>
    <w:p w14:paraId="03A2165D">
      <w:pPr>
        <w:pStyle w:val="2"/>
        <w:spacing w:line="284" w:lineRule="auto"/>
        <w:rPr>
          <w:color w:val="auto"/>
          <w:highlight w:val="none"/>
        </w:rPr>
      </w:pPr>
    </w:p>
    <w:p w14:paraId="1E80994D">
      <w:pPr>
        <w:pStyle w:val="2"/>
        <w:spacing w:line="285" w:lineRule="auto"/>
        <w:rPr>
          <w:color w:val="auto"/>
          <w:highlight w:val="none"/>
        </w:rPr>
      </w:pPr>
    </w:p>
    <w:p w14:paraId="513EF664">
      <w:pPr>
        <w:tabs>
          <w:tab w:val="left" w:pos="4962"/>
        </w:tabs>
        <w:spacing w:before="78" w:line="220" w:lineRule="auto"/>
        <w:ind w:left="4242"/>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8"/>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102"/>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39"/>
          <w:sz w:val="24"/>
          <w:szCs w:val="24"/>
          <w:highlight w:val="none"/>
          <w:u w:val="single" w:color="auto"/>
        </w:rPr>
        <w:t xml:space="preserve">   </w:t>
      </w:r>
      <w:r>
        <w:rPr>
          <w:rFonts w:ascii="宋体" w:hAnsi="宋体" w:eastAsia="宋体" w:cs="宋体"/>
          <w:color w:val="auto"/>
          <w:spacing w:val="-66"/>
          <w:sz w:val="24"/>
          <w:szCs w:val="24"/>
          <w:highlight w:val="none"/>
        </w:rPr>
        <w:t xml:space="preserve"> </w:t>
      </w:r>
      <w:r>
        <w:rPr>
          <w:rFonts w:ascii="宋体" w:hAnsi="宋体" w:eastAsia="宋体" w:cs="宋体"/>
          <w:color w:val="auto"/>
          <w:spacing w:val="-9"/>
          <w:sz w:val="24"/>
          <w:szCs w:val="24"/>
          <w:highlight w:val="none"/>
        </w:rPr>
        <w:t>日</w:t>
      </w:r>
    </w:p>
    <w:p w14:paraId="1D16E769">
      <w:pPr>
        <w:spacing w:line="220" w:lineRule="auto"/>
        <w:rPr>
          <w:rFonts w:ascii="宋体" w:hAnsi="宋体" w:eastAsia="宋体" w:cs="宋体"/>
          <w:color w:val="auto"/>
          <w:sz w:val="24"/>
          <w:szCs w:val="24"/>
          <w:highlight w:val="none"/>
        </w:rPr>
        <w:sectPr>
          <w:footerReference r:id="rId16" w:type="default"/>
          <w:pgSz w:w="11906" w:h="16839"/>
          <w:pgMar w:top="1313" w:right="1785" w:bottom="1157" w:left="974" w:header="0" w:footer="992" w:gutter="0"/>
          <w:pgNumType w:fmt="decimal"/>
          <w:cols w:space="720" w:num="1"/>
        </w:sectPr>
      </w:pPr>
    </w:p>
    <w:p w14:paraId="3829222A">
      <w:pPr>
        <w:spacing w:line="360" w:lineRule="auto"/>
        <w:ind w:left="140"/>
        <w:jc w:val="center"/>
        <w:outlineLvl w:val="1"/>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附件3 法定代表人授权书</w:t>
      </w:r>
      <w:bookmarkEnd w:id="35"/>
    </w:p>
    <w:p w14:paraId="0C66C691">
      <w:pPr>
        <w:pStyle w:val="2"/>
        <w:spacing w:line="452" w:lineRule="auto"/>
        <w:rPr>
          <w:color w:val="auto"/>
          <w:highlight w:val="none"/>
        </w:rPr>
      </w:pPr>
    </w:p>
    <w:p w14:paraId="4C85537B">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名称）：</w:t>
      </w:r>
    </w:p>
    <w:p w14:paraId="73F2712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本授权声明：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（法定代表人姓名）授权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被授权人姓名）为我方“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）磋商活动的合法代表，以我方名义全权处理该项目有关磋商、签订合同以及执行合同等一切事宜。</w:t>
      </w:r>
    </w:p>
    <w:p w14:paraId="54006EDD">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613B5CD">
      <w:pPr>
        <w:spacing w:line="500" w:lineRule="exact"/>
        <w:rPr>
          <w:rFonts w:hint="eastAsia" w:ascii="宋体" w:hAnsi="宋体" w:eastAsia="宋体" w:cs="宋体"/>
          <w:color w:val="auto"/>
          <w:sz w:val="21"/>
          <w:szCs w:val="21"/>
          <w:highlight w:val="none"/>
        </w:rPr>
      </w:pPr>
    </w:p>
    <w:p w14:paraId="3BD57280">
      <w:pPr>
        <w:spacing w:line="500" w:lineRule="exact"/>
        <w:rPr>
          <w:rFonts w:hint="eastAsia" w:ascii="宋体" w:hAnsi="宋体" w:eastAsia="宋体" w:cs="宋体"/>
          <w:color w:val="auto"/>
          <w:sz w:val="21"/>
          <w:szCs w:val="21"/>
          <w:highlight w:val="none"/>
        </w:rPr>
      </w:pPr>
    </w:p>
    <w:p w14:paraId="226E45CF">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附：被授权人的身份证复印件盖单位公章。</w:t>
      </w:r>
    </w:p>
    <w:p w14:paraId="31A2E557">
      <w:pPr>
        <w:spacing w:line="500" w:lineRule="exact"/>
        <w:rPr>
          <w:rFonts w:hint="eastAsia" w:ascii="宋体" w:hAnsi="宋体" w:eastAsia="宋体" w:cs="宋体"/>
          <w:color w:val="auto"/>
          <w:sz w:val="21"/>
          <w:szCs w:val="21"/>
          <w:highlight w:val="none"/>
        </w:rPr>
      </w:pPr>
    </w:p>
    <w:p w14:paraId="5F56CAB7">
      <w:pPr>
        <w:spacing w:line="500" w:lineRule="exact"/>
        <w:rPr>
          <w:rFonts w:hint="eastAsia" w:ascii="宋体" w:hAnsi="宋体" w:eastAsia="宋体" w:cs="宋体"/>
          <w:color w:val="auto"/>
          <w:sz w:val="21"/>
          <w:szCs w:val="21"/>
          <w:highlight w:val="none"/>
        </w:rPr>
      </w:pPr>
    </w:p>
    <w:p w14:paraId="5E648576">
      <w:pPr>
        <w:spacing w:line="500" w:lineRule="exact"/>
        <w:rPr>
          <w:rFonts w:hint="eastAsia" w:ascii="宋体" w:hAnsi="宋体" w:eastAsia="宋体" w:cs="宋体"/>
          <w:color w:val="auto"/>
          <w:sz w:val="21"/>
          <w:szCs w:val="21"/>
          <w:highlight w:val="none"/>
        </w:rPr>
      </w:pPr>
    </w:p>
    <w:p w14:paraId="5F609126">
      <w:pPr>
        <w:spacing w:line="500" w:lineRule="exact"/>
        <w:rPr>
          <w:rFonts w:hint="eastAsia" w:ascii="宋体" w:hAnsi="宋体" w:eastAsia="宋体" w:cs="宋体"/>
          <w:color w:val="auto"/>
          <w:sz w:val="21"/>
          <w:szCs w:val="21"/>
          <w:highlight w:val="none"/>
        </w:rPr>
      </w:pPr>
    </w:p>
    <w:p w14:paraId="1FB80E20">
      <w:pPr>
        <w:spacing w:line="5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none"/>
          <w:lang w:eastAsia="zh-CN"/>
        </w:rPr>
        <w:t>（</w:t>
      </w:r>
      <w:r>
        <w:rPr>
          <w:rFonts w:hint="eastAsia" w:cs="宋体"/>
          <w:color w:val="auto"/>
          <w:sz w:val="21"/>
          <w:szCs w:val="21"/>
          <w:highlight w:val="none"/>
          <w:lang w:val="en-US" w:eastAsia="zh-CN"/>
        </w:rPr>
        <w:t>全称并</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p>
    <w:p w14:paraId="0E541974">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none"/>
        </w:rPr>
        <w:t>（签字）</w:t>
      </w:r>
    </w:p>
    <w:p w14:paraId="01F6ADA6">
      <w:pPr>
        <w:spacing w:line="5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none"/>
        </w:rPr>
        <w:t>（签字）</w:t>
      </w:r>
    </w:p>
    <w:p w14:paraId="582F6213">
      <w:pPr>
        <w:pStyle w:val="2"/>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14:paraId="23795F0B">
      <w:pPr>
        <w:rPr>
          <w:color w:val="auto"/>
          <w:highlight w:val="none"/>
        </w:rPr>
        <w:sectPr>
          <w:footerReference r:id="rId17" w:type="default"/>
          <w:pgSz w:w="11906" w:h="16839"/>
          <w:pgMar w:top="1285" w:right="865" w:bottom="1157" w:left="851" w:header="0" w:footer="992" w:gutter="0"/>
          <w:pgNumType w:fmt="decimal"/>
          <w:cols w:space="720" w:num="1"/>
        </w:sectPr>
      </w:pPr>
    </w:p>
    <w:p w14:paraId="23B40F00">
      <w:pPr>
        <w:spacing w:line="360" w:lineRule="auto"/>
        <w:ind w:left="140"/>
        <w:jc w:val="center"/>
        <w:outlineLvl w:val="1"/>
        <w:rPr>
          <w:rFonts w:hint="eastAsia" w:ascii="宋体" w:hAnsi="宋体" w:cs="宋体"/>
          <w:b/>
          <w:bCs/>
          <w:color w:val="auto"/>
          <w:sz w:val="32"/>
          <w:szCs w:val="32"/>
          <w:highlight w:val="none"/>
          <w:lang w:val="en-US" w:eastAsia="zh-CN"/>
        </w:rPr>
      </w:pPr>
      <w:bookmarkStart w:id="36" w:name="_Toc14724"/>
      <w:r>
        <w:rPr>
          <w:rFonts w:hint="eastAsia" w:ascii="宋体" w:hAnsi="宋体" w:cs="宋体"/>
          <w:b/>
          <w:bCs/>
          <w:color w:val="auto"/>
          <w:sz w:val="32"/>
          <w:szCs w:val="32"/>
          <w:highlight w:val="none"/>
          <w:lang w:val="en-US" w:eastAsia="zh-CN"/>
        </w:rPr>
        <w:t>附件4 首次报价一览表</w:t>
      </w:r>
      <w:bookmarkEnd w:id="36"/>
    </w:p>
    <w:p w14:paraId="2322674E">
      <w:pPr>
        <w:spacing w:before="73"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p w14:paraId="5310FF28">
      <w:pPr>
        <w:spacing w:before="261"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0E36FF8F">
      <w:pPr>
        <w:spacing w:before="182"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磋商时间：   年</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日</w:t>
      </w:r>
    </w:p>
    <w:p w14:paraId="223206F0">
      <w:pPr>
        <w:spacing w:line="66" w:lineRule="exact"/>
        <w:rPr>
          <w:color w:val="auto"/>
          <w:highlight w:val="none"/>
        </w:rPr>
      </w:pPr>
    </w:p>
    <w:tbl>
      <w:tblPr>
        <w:tblStyle w:val="15"/>
        <w:tblW w:w="953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1907"/>
        <w:gridCol w:w="1907"/>
        <w:gridCol w:w="1907"/>
        <w:gridCol w:w="1908"/>
      </w:tblGrid>
      <w:tr w14:paraId="7B99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1907" w:type="dxa"/>
            <w:vAlign w:val="center"/>
          </w:tcPr>
          <w:p w14:paraId="416D8B79">
            <w:pPr>
              <w:pStyle w:val="16"/>
              <w:spacing w:line="240" w:lineRule="auto"/>
              <w:ind w:left="0" w:right="0" w:firstLine="0"/>
              <w:jc w:val="center"/>
              <w:rPr>
                <w:color w:val="auto"/>
                <w:sz w:val="24"/>
                <w:szCs w:val="24"/>
                <w:highlight w:val="none"/>
              </w:rPr>
            </w:pPr>
            <w:r>
              <w:rPr>
                <w:color w:val="auto"/>
                <w:spacing w:val="-4"/>
                <w:sz w:val="24"/>
                <w:szCs w:val="24"/>
                <w:highlight w:val="none"/>
              </w:rPr>
              <w:t>供应商</w:t>
            </w:r>
          </w:p>
        </w:tc>
        <w:tc>
          <w:tcPr>
            <w:tcW w:w="1907" w:type="dxa"/>
            <w:vAlign w:val="center"/>
          </w:tcPr>
          <w:p w14:paraId="074FAA08">
            <w:pPr>
              <w:pStyle w:val="16"/>
              <w:spacing w:line="240" w:lineRule="auto"/>
              <w:ind w:left="0" w:right="0" w:firstLine="0"/>
              <w:jc w:val="center"/>
              <w:rPr>
                <w:rFonts w:hint="default" w:eastAsia="宋体"/>
                <w:color w:val="auto"/>
                <w:sz w:val="24"/>
                <w:szCs w:val="24"/>
                <w:highlight w:val="none"/>
                <w:lang w:val="en-US" w:eastAsia="zh-CN"/>
              </w:rPr>
            </w:pPr>
            <w:r>
              <w:rPr>
                <w:rFonts w:hint="eastAsia"/>
                <w:color w:val="auto"/>
                <w:spacing w:val="-7"/>
                <w:sz w:val="24"/>
                <w:szCs w:val="24"/>
                <w:highlight w:val="none"/>
                <w:lang w:val="en-US" w:eastAsia="zh-CN"/>
              </w:rPr>
              <w:t>投标</w:t>
            </w:r>
            <w:r>
              <w:rPr>
                <w:color w:val="auto"/>
                <w:spacing w:val="-3"/>
                <w:sz w:val="24"/>
                <w:szCs w:val="24"/>
                <w:highlight w:val="none"/>
              </w:rPr>
              <w:t>报价</w:t>
            </w:r>
            <w:r>
              <w:rPr>
                <w:rFonts w:hint="eastAsia"/>
                <w:color w:val="auto"/>
                <w:spacing w:val="2"/>
                <w:sz w:val="24"/>
                <w:szCs w:val="24"/>
                <w:highlight w:val="none"/>
                <w:lang w:eastAsia="zh-CN"/>
              </w:rPr>
              <w:t>（元</w:t>
            </w:r>
            <w:r>
              <w:rPr>
                <w:rFonts w:hint="eastAsia"/>
                <w:color w:val="auto"/>
                <w:spacing w:val="-7"/>
                <w:sz w:val="24"/>
                <w:szCs w:val="24"/>
                <w:highlight w:val="none"/>
                <w:lang w:val="en-US" w:eastAsia="zh-CN"/>
              </w:rPr>
              <w:t>）</w:t>
            </w:r>
          </w:p>
        </w:tc>
        <w:tc>
          <w:tcPr>
            <w:tcW w:w="1907" w:type="dxa"/>
            <w:vAlign w:val="center"/>
          </w:tcPr>
          <w:p w14:paraId="68D27927">
            <w:pPr>
              <w:pStyle w:val="16"/>
              <w:spacing w:line="240" w:lineRule="auto"/>
              <w:ind w:left="0" w:right="0" w:firstLine="0"/>
              <w:jc w:val="center"/>
              <w:rPr>
                <w:color w:val="auto"/>
                <w:sz w:val="24"/>
                <w:szCs w:val="24"/>
                <w:highlight w:val="none"/>
              </w:rPr>
            </w:pPr>
            <w:r>
              <w:rPr>
                <w:rFonts w:hint="eastAsia"/>
                <w:color w:val="auto"/>
                <w:spacing w:val="-2"/>
                <w:sz w:val="24"/>
                <w:szCs w:val="24"/>
                <w:highlight w:val="none"/>
                <w:lang w:eastAsia="zh-CN"/>
              </w:rPr>
              <w:t>服务期</w:t>
            </w:r>
          </w:p>
        </w:tc>
        <w:tc>
          <w:tcPr>
            <w:tcW w:w="1907" w:type="dxa"/>
            <w:vAlign w:val="center"/>
          </w:tcPr>
          <w:p w14:paraId="17E86E14">
            <w:pPr>
              <w:pStyle w:val="16"/>
              <w:spacing w:line="240" w:lineRule="auto"/>
              <w:ind w:left="0" w:right="0" w:firstLine="0"/>
              <w:jc w:val="center"/>
              <w:rPr>
                <w:rFonts w:hint="default" w:eastAsia="宋体"/>
                <w:color w:val="auto"/>
                <w:spacing w:val="-3"/>
                <w:sz w:val="24"/>
                <w:szCs w:val="24"/>
                <w:highlight w:val="none"/>
                <w:lang w:val="en-US" w:eastAsia="zh-CN"/>
              </w:rPr>
            </w:pPr>
            <w:r>
              <w:rPr>
                <w:rFonts w:hint="eastAsia"/>
                <w:color w:val="auto"/>
                <w:spacing w:val="-2"/>
                <w:sz w:val="24"/>
                <w:szCs w:val="24"/>
                <w:highlight w:val="none"/>
                <w:lang w:val="en-US" w:eastAsia="zh-CN"/>
              </w:rPr>
              <w:t>质量标准</w:t>
            </w:r>
          </w:p>
        </w:tc>
        <w:tc>
          <w:tcPr>
            <w:tcW w:w="1908" w:type="dxa"/>
            <w:vAlign w:val="center"/>
          </w:tcPr>
          <w:p w14:paraId="2F1D3BF0">
            <w:pPr>
              <w:pStyle w:val="16"/>
              <w:spacing w:line="240" w:lineRule="auto"/>
              <w:ind w:left="0" w:right="0" w:firstLine="0"/>
              <w:jc w:val="center"/>
              <w:rPr>
                <w:color w:val="auto"/>
                <w:sz w:val="24"/>
                <w:szCs w:val="24"/>
                <w:highlight w:val="none"/>
              </w:rPr>
            </w:pPr>
            <w:r>
              <w:rPr>
                <w:color w:val="auto"/>
                <w:spacing w:val="-2"/>
                <w:sz w:val="24"/>
                <w:szCs w:val="24"/>
                <w:highlight w:val="none"/>
              </w:rPr>
              <w:t>优惠条件</w:t>
            </w:r>
          </w:p>
        </w:tc>
      </w:tr>
      <w:tr w14:paraId="6C4C1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1907" w:type="dxa"/>
            <w:vAlign w:val="center"/>
          </w:tcPr>
          <w:p w14:paraId="2F77F6D5">
            <w:pPr>
              <w:spacing w:line="240" w:lineRule="auto"/>
              <w:ind w:left="0" w:right="0" w:firstLine="0"/>
              <w:jc w:val="center"/>
              <w:rPr>
                <w:rFonts w:ascii="Arial"/>
                <w:color w:val="auto"/>
                <w:sz w:val="21"/>
                <w:highlight w:val="none"/>
              </w:rPr>
            </w:pPr>
          </w:p>
        </w:tc>
        <w:tc>
          <w:tcPr>
            <w:tcW w:w="1907" w:type="dxa"/>
            <w:vAlign w:val="center"/>
          </w:tcPr>
          <w:p w14:paraId="3CA34DB6">
            <w:pPr>
              <w:spacing w:line="240" w:lineRule="auto"/>
              <w:ind w:left="0" w:right="0" w:firstLine="0"/>
              <w:jc w:val="center"/>
              <w:rPr>
                <w:rFonts w:ascii="Arial"/>
                <w:color w:val="auto"/>
                <w:sz w:val="21"/>
                <w:highlight w:val="none"/>
              </w:rPr>
            </w:pPr>
          </w:p>
        </w:tc>
        <w:tc>
          <w:tcPr>
            <w:tcW w:w="1907" w:type="dxa"/>
            <w:vAlign w:val="center"/>
          </w:tcPr>
          <w:p w14:paraId="0BEC9A90">
            <w:pPr>
              <w:spacing w:line="240" w:lineRule="auto"/>
              <w:ind w:left="0" w:right="0" w:firstLine="0"/>
              <w:jc w:val="center"/>
              <w:rPr>
                <w:rFonts w:ascii="Arial"/>
                <w:color w:val="auto"/>
                <w:sz w:val="21"/>
                <w:highlight w:val="none"/>
              </w:rPr>
            </w:pPr>
          </w:p>
        </w:tc>
        <w:tc>
          <w:tcPr>
            <w:tcW w:w="1907" w:type="dxa"/>
            <w:vAlign w:val="center"/>
          </w:tcPr>
          <w:p w14:paraId="2FD17F23">
            <w:pPr>
              <w:pStyle w:val="16"/>
              <w:spacing w:line="240" w:lineRule="auto"/>
              <w:ind w:left="0" w:right="0" w:firstLine="0"/>
              <w:jc w:val="center"/>
              <w:rPr>
                <w:color w:val="auto"/>
                <w:spacing w:val="-4"/>
                <w:position w:val="2"/>
                <w:sz w:val="24"/>
                <w:szCs w:val="24"/>
                <w:highlight w:val="none"/>
              </w:rPr>
            </w:pPr>
          </w:p>
        </w:tc>
        <w:tc>
          <w:tcPr>
            <w:tcW w:w="1908" w:type="dxa"/>
            <w:vAlign w:val="center"/>
          </w:tcPr>
          <w:p w14:paraId="30FAD1ED">
            <w:pPr>
              <w:pStyle w:val="16"/>
              <w:spacing w:line="240" w:lineRule="auto"/>
              <w:ind w:left="0" w:right="0" w:firstLine="0"/>
              <w:jc w:val="center"/>
              <w:rPr>
                <w:color w:val="auto"/>
                <w:sz w:val="24"/>
                <w:szCs w:val="24"/>
                <w:highlight w:val="none"/>
              </w:rPr>
            </w:pPr>
            <w:r>
              <w:rPr>
                <w:color w:val="auto"/>
                <w:spacing w:val="-4"/>
                <w:position w:val="2"/>
                <w:sz w:val="24"/>
                <w:szCs w:val="24"/>
                <w:highlight w:val="none"/>
              </w:rPr>
              <w:t>有</w:t>
            </w:r>
            <w:r>
              <w:rPr>
                <w:rFonts w:ascii="Calibri" w:hAnsi="Calibri" w:eastAsia="Calibri" w:cs="Calibri"/>
                <w:color w:val="auto"/>
                <w:spacing w:val="-4"/>
                <w:position w:val="2"/>
                <w:sz w:val="24"/>
                <w:szCs w:val="24"/>
                <w:highlight w:val="none"/>
              </w:rPr>
              <w:t>/</w:t>
            </w:r>
            <w:r>
              <w:rPr>
                <w:color w:val="auto"/>
                <w:spacing w:val="-4"/>
                <w:position w:val="2"/>
                <w:sz w:val="24"/>
                <w:szCs w:val="24"/>
                <w:highlight w:val="none"/>
              </w:rPr>
              <w:t>无</w:t>
            </w:r>
          </w:p>
        </w:tc>
      </w:tr>
    </w:tbl>
    <w:p w14:paraId="4E99820D">
      <w:pPr>
        <w:spacing w:before="115" w:line="22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备注：1、此表可以自行调整表格宽度。</w:t>
      </w:r>
    </w:p>
    <w:p w14:paraId="60678C4D">
      <w:pPr>
        <w:spacing w:before="115" w:line="220" w:lineRule="auto"/>
        <w:ind w:left="3" w:firstLine="714" w:firstLineChars="300"/>
        <w:rPr>
          <w:rFonts w:ascii="宋体" w:hAnsi="宋体" w:eastAsia="宋体" w:cs="宋体"/>
          <w:color w:val="auto"/>
          <w:spacing w:val="-1"/>
          <w:sz w:val="24"/>
          <w:szCs w:val="24"/>
          <w:highlight w:val="none"/>
        </w:rPr>
      </w:pPr>
      <w:bookmarkStart w:id="37" w:name="_Toc9705"/>
      <w:r>
        <w:rPr>
          <w:rFonts w:ascii="宋体" w:hAnsi="宋体" w:eastAsia="宋体" w:cs="宋体"/>
          <w:color w:val="auto"/>
          <w:spacing w:val="-1"/>
          <w:sz w:val="24"/>
          <w:szCs w:val="24"/>
          <w:highlight w:val="none"/>
        </w:rPr>
        <w:t>2、本表内容须与响应文件正本一</w:t>
      </w:r>
      <w:bookmarkEnd w:id="37"/>
      <w:r>
        <w:rPr>
          <w:rFonts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lang w:eastAsia="zh-CN"/>
        </w:rPr>
        <w:t>，投标报价保留两位小数</w:t>
      </w:r>
      <w:r>
        <w:rPr>
          <w:rFonts w:ascii="宋体" w:hAnsi="宋体" w:eastAsia="宋体" w:cs="宋体"/>
          <w:color w:val="auto"/>
          <w:spacing w:val="-1"/>
          <w:sz w:val="24"/>
          <w:szCs w:val="24"/>
          <w:highlight w:val="none"/>
        </w:rPr>
        <w:t>。</w:t>
      </w:r>
    </w:p>
    <w:p w14:paraId="4E270F08">
      <w:pPr>
        <w:spacing w:before="184" w:line="217" w:lineRule="auto"/>
        <w:ind w:left="7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、优惠条件如有，应在响应文件中详细列明，本表中</w:t>
      </w:r>
      <w:r>
        <w:rPr>
          <w:rFonts w:ascii="宋体" w:hAnsi="宋体" w:eastAsia="宋体" w:cs="宋体"/>
          <w:color w:val="auto"/>
          <w:spacing w:val="-1"/>
          <w:sz w:val="24"/>
          <w:szCs w:val="24"/>
          <w:highlight w:val="none"/>
        </w:rPr>
        <w:t>只填写“有/无</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w:t>
      </w:r>
    </w:p>
    <w:p w14:paraId="12E3CB6C">
      <w:pPr>
        <w:pStyle w:val="2"/>
        <w:spacing w:line="295" w:lineRule="auto"/>
        <w:rPr>
          <w:color w:val="auto"/>
          <w:highlight w:val="none"/>
        </w:rPr>
      </w:pPr>
    </w:p>
    <w:p w14:paraId="5F40B14D">
      <w:pPr>
        <w:pStyle w:val="2"/>
        <w:spacing w:line="296" w:lineRule="auto"/>
        <w:rPr>
          <w:color w:val="auto"/>
          <w:highlight w:val="none"/>
        </w:rPr>
      </w:pPr>
    </w:p>
    <w:p w14:paraId="10D6AB68">
      <w:pPr>
        <w:spacing w:before="78" w:line="480" w:lineRule="auto"/>
        <w:ind w:left="27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供应商授权代表签字：</w:t>
      </w:r>
      <w:r>
        <w:rPr>
          <w:rFonts w:ascii="宋体" w:hAnsi="宋体" w:eastAsia="宋体" w:cs="宋体"/>
          <w:color w:val="auto"/>
          <w:sz w:val="24"/>
          <w:szCs w:val="24"/>
          <w:highlight w:val="none"/>
          <w:u w:val="single" w:color="auto"/>
        </w:rPr>
        <w:t xml:space="preserve">                        </w:t>
      </w:r>
    </w:p>
    <w:p w14:paraId="6C78A66D">
      <w:pPr>
        <w:spacing w:line="219" w:lineRule="auto"/>
        <w:ind w:left="27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7C50B518">
      <w:pPr>
        <w:pStyle w:val="2"/>
        <w:spacing w:line="258" w:lineRule="auto"/>
        <w:rPr>
          <w:color w:val="auto"/>
          <w:highlight w:val="none"/>
        </w:rPr>
      </w:pPr>
    </w:p>
    <w:p w14:paraId="76319994">
      <w:pPr>
        <w:spacing w:before="79" w:line="221" w:lineRule="auto"/>
        <w:ind w:left="2802"/>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日</w:t>
      </w:r>
      <w:r>
        <w:rPr>
          <w:rFonts w:ascii="宋体" w:hAnsi="宋体" w:eastAsia="宋体" w:cs="宋体"/>
          <w:color w:val="auto"/>
          <w:spacing w:val="1"/>
          <w:sz w:val="24"/>
          <w:szCs w:val="24"/>
          <w:highlight w:val="none"/>
        </w:rPr>
        <w:t xml:space="preserve">       </w:t>
      </w:r>
      <w:r>
        <w:rPr>
          <w:rFonts w:ascii="宋体" w:hAnsi="宋体" w:eastAsia="宋体" w:cs="宋体"/>
          <w:color w:val="auto"/>
          <w:spacing w:val="-22"/>
          <w:sz w:val="24"/>
          <w:szCs w:val="24"/>
          <w:highlight w:val="none"/>
        </w:rPr>
        <w:t>期：</w:t>
      </w:r>
      <w:r>
        <w:rPr>
          <w:rFonts w:ascii="宋体" w:hAnsi="宋体" w:eastAsia="宋体" w:cs="宋体"/>
          <w:color w:val="auto"/>
          <w:sz w:val="24"/>
          <w:szCs w:val="24"/>
          <w:highlight w:val="none"/>
          <w:u w:val="single" w:color="auto"/>
        </w:rPr>
        <w:t xml:space="preserve">                            </w:t>
      </w:r>
    </w:p>
    <w:p w14:paraId="60095918">
      <w:pPr>
        <w:spacing w:line="221" w:lineRule="auto"/>
        <w:rPr>
          <w:rFonts w:ascii="宋体" w:hAnsi="宋体" w:eastAsia="宋体" w:cs="宋体"/>
          <w:color w:val="auto"/>
          <w:sz w:val="24"/>
          <w:szCs w:val="24"/>
          <w:highlight w:val="none"/>
        </w:rPr>
        <w:sectPr>
          <w:footerReference r:id="rId18" w:type="default"/>
          <w:pgSz w:w="11906" w:h="16839"/>
          <w:pgMar w:top="1285" w:right="975" w:bottom="1157" w:left="973" w:header="0" w:footer="992" w:gutter="0"/>
          <w:pgNumType w:fmt="decimal"/>
          <w:cols w:space="720" w:num="1"/>
        </w:sectPr>
      </w:pPr>
    </w:p>
    <w:p w14:paraId="2391970D">
      <w:pPr>
        <w:spacing w:line="360" w:lineRule="auto"/>
        <w:ind w:left="140"/>
        <w:jc w:val="center"/>
        <w:outlineLvl w:val="1"/>
        <w:rPr>
          <w:rFonts w:hint="eastAsia" w:ascii="宋体" w:hAnsi="宋体" w:cs="宋体"/>
          <w:b/>
          <w:bCs/>
          <w:color w:val="auto"/>
          <w:sz w:val="32"/>
          <w:szCs w:val="32"/>
          <w:highlight w:val="none"/>
          <w:lang w:val="en-US" w:eastAsia="zh-CN"/>
        </w:rPr>
      </w:pPr>
      <w:bookmarkStart w:id="38" w:name="_Toc752"/>
      <w:r>
        <w:rPr>
          <w:rFonts w:hint="eastAsia" w:ascii="宋体" w:hAnsi="宋体" w:cs="宋体"/>
          <w:b/>
          <w:bCs/>
          <w:color w:val="auto"/>
          <w:sz w:val="32"/>
          <w:szCs w:val="32"/>
          <w:highlight w:val="none"/>
          <w:lang w:val="en-US" w:eastAsia="zh-CN"/>
        </w:rPr>
        <w:t>附件5 磋商保证金</w:t>
      </w:r>
      <w:bookmarkEnd w:id="38"/>
    </w:p>
    <w:p w14:paraId="06729A0A">
      <w:pPr>
        <w:spacing w:line="360" w:lineRule="auto"/>
        <w:ind w:left="140"/>
        <w:jc w:val="center"/>
        <w:outlineLvl w:val="9"/>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（无）</w:t>
      </w:r>
    </w:p>
    <w:p w14:paraId="3DB99301">
      <w:pPr>
        <w:pStyle w:val="2"/>
        <w:spacing w:line="293" w:lineRule="auto"/>
        <w:rPr>
          <w:color w:val="auto"/>
          <w:highlight w:val="none"/>
        </w:rPr>
      </w:pPr>
    </w:p>
    <w:p w14:paraId="091D17E9">
      <w:pPr>
        <w:pStyle w:val="2"/>
        <w:spacing w:line="293" w:lineRule="auto"/>
        <w:rPr>
          <w:color w:val="auto"/>
          <w:highlight w:val="none"/>
        </w:rPr>
      </w:pPr>
    </w:p>
    <w:p w14:paraId="1112BD18">
      <w:pPr>
        <w:pStyle w:val="2"/>
        <w:spacing w:line="293" w:lineRule="auto"/>
        <w:rPr>
          <w:color w:val="auto"/>
          <w:highlight w:val="none"/>
        </w:rPr>
      </w:pPr>
    </w:p>
    <w:p w14:paraId="3B215D68">
      <w:pPr>
        <w:spacing w:line="219" w:lineRule="auto"/>
        <w:rPr>
          <w:rFonts w:hint="eastAsia" w:ascii="宋体" w:hAnsi="宋体" w:eastAsia="宋体" w:cs="宋体"/>
          <w:color w:val="auto"/>
          <w:sz w:val="24"/>
          <w:szCs w:val="24"/>
          <w:highlight w:val="none"/>
          <w:lang w:eastAsia="zh-CN"/>
        </w:rPr>
      </w:pPr>
    </w:p>
    <w:p w14:paraId="3FE120AF">
      <w:pPr>
        <w:spacing w:line="219" w:lineRule="auto"/>
        <w:rPr>
          <w:rFonts w:ascii="宋体" w:hAnsi="宋体" w:eastAsia="宋体" w:cs="宋体"/>
          <w:color w:val="auto"/>
          <w:sz w:val="24"/>
          <w:szCs w:val="24"/>
          <w:highlight w:val="none"/>
        </w:rPr>
        <w:sectPr>
          <w:footerReference r:id="rId19" w:type="default"/>
          <w:pgSz w:w="11906" w:h="16839"/>
          <w:pgMar w:top="1313" w:right="964" w:bottom="1157" w:left="974" w:header="0" w:footer="992" w:gutter="0"/>
          <w:pgNumType w:fmt="decimal"/>
          <w:cols w:space="720" w:num="1"/>
        </w:sectPr>
      </w:pPr>
    </w:p>
    <w:p w14:paraId="3AAF59F8">
      <w:pPr>
        <w:spacing w:line="360" w:lineRule="auto"/>
        <w:ind w:left="140"/>
        <w:jc w:val="center"/>
        <w:outlineLvl w:val="1"/>
        <w:rPr>
          <w:rFonts w:hint="eastAsia" w:ascii="宋体" w:hAnsi="宋体" w:cs="宋体"/>
          <w:b/>
          <w:bCs/>
          <w:color w:val="auto"/>
          <w:sz w:val="32"/>
          <w:szCs w:val="32"/>
          <w:highlight w:val="none"/>
          <w:lang w:val="en-US" w:eastAsia="zh-CN"/>
        </w:rPr>
      </w:pPr>
      <w:bookmarkStart w:id="39" w:name="_Toc18814"/>
      <w:bookmarkStart w:id="40" w:name="_Toc24352"/>
      <w:bookmarkStart w:id="41" w:name="_Toc28380"/>
      <w:bookmarkStart w:id="42" w:name="_Toc26013"/>
      <w:bookmarkStart w:id="43" w:name="_Toc5082"/>
      <w:bookmarkStart w:id="44" w:name="_Toc29681"/>
      <w:bookmarkStart w:id="45" w:name="_Toc22955"/>
      <w:r>
        <w:rPr>
          <w:rFonts w:hint="eastAsia" w:ascii="宋体" w:hAnsi="宋体" w:cs="宋体"/>
          <w:b/>
          <w:bCs/>
          <w:color w:val="auto"/>
          <w:sz w:val="32"/>
          <w:szCs w:val="32"/>
          <w:highlight w:val="none"/>
          <w:lang w:val="en-US" w:eastAsia="zh-CN"/>
        </w:rPr>
        <w:t>附件6 商务和技术偏离情况表</w:t>
      </w:r>
      <w:bookmarkEnd w:id="39"/>
      <w:bookmarkEnd w:id="40"/>
      <w:bookmarkEnd w:id="41"/>
      <w:bookmarkEnd w:id="42"/>
      <w:bookmarkEnd w:id="43"/>
      <w:bookmarkEnd w:id="44"/>
      <w:bookmarkEnd w:id="45"/>
    </w:p>
    <w:p w14:paraId="295CF40B">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auto"/>
          <w:kern w:val="0"/>
          <w:sz w:val="24"/>
          <w:szCs w:val="24"/>
          <w:highlight w:val="none"/>
        </w:rPr>
      </w:pPr>
    </w:p>
    <w:p w14:paraId="20844FAF">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项目编号：</w:t>
      </w:r>
    </w:p>
    <w:tbl>
      <w:tblPr>
        <w:tblStyle w:val="10"/>
        <w:tblW w:w="10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491"/>
        <w:gridCol w:w="1972"/>
        <w:gridCol w:w="1315"/>
        <w:gridCol w:w="721"/>
      </w:tblGrid>
      <w:tr w14:paraId="042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9" w:type="dxa"/>
            <w:vAlign w:val="center"/>
          </w:tcPr>
          <w:p w14:paraId="40A1F459">
            <w:pPr>
              <w:spacing w:before="240" w:after="2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491" w:type="dxa"/>
            <w:vAlign w:val="center"/>
          </w:tcPr>
          <w:p w14:paraId="4F89A6EB">
            <w:pPr>
              <w:spacing w:before="240" w:after="2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竞争性磋商文件</w:t>
            </w:r>
            <w:r>
              <w:rPr>
                <w:rFonts w:hint="eastAsia" w:ascii="宋体" w:hAnsi="宋体" w:eastAsia="宋体" w:cs="宋体"/>
                <w:color w:val="auto"/>
                <w:kern w:val="0"/>
                <w:sz w:val="24"/>
                <w:szCs w:val="24"/>
                <w:highlight w:val="none"/>
              </w:rPr>
              <w:t>的条款</w:t>
            </w:r>
          </w:p>
        </w:tc>
        <w:tc>
          <w:tcPr>
            <w:tcW w:w="1972" w:type="dxa"/>
            <w:vAlign w:val="center"/>
          </w:tcPr>
          <w:p w14:paraId="7CC88239">
            <w:pPr>
              <w:spacing w:before="240" w:after="2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的条款</w:t>
            </w:r>
          </w:p>
        </w:tc>
        <w:tc>
          <w:tcPr>
            <w:tcW w:w="1315" w:type="dxa"/>
            <w:vAlign w:val="center"/>
          </w:tcPr>
          <w:p w14:paraId="11BCB1BD">
            <w:pPr>
              <w:spacing w:before="240" w:after="2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c>
          <w:tcPr>
            <w:tcW w:w="721" w:type="dxa"/>
            <w:vAlign w:val="center"/>
          </w:tcPr>
          <w:p w14:paraId="445F88FE">
            <w:pPr>
              <w:spacing w:before="240" w:after="24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备注</w:t>
            </w:r>
          </w:p>
        </w:tc>
      </w:tr>
      <w:tr w14:paraId="45F3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vAlign w:val="center"/>
          </w:tcPr>
          <w:p w14:paraId="136FC901">
            <w:pPr>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zh-CN" w:eastAsia="zh-CN"/>
              </w:rPr>
              <w:t>1</w:t>
            </w:r>
          </w:p>
        </w:tc>
        <w:tc>
          <w:tcPr>
            <w:tcW w:w="5491" w:type="dxa"/>
            <w:vAlign w:val="center"/>
          </w:tcPr>
          <w:p w14:paraId="19112DE6">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4"/>
                <w:szCs w:val="24"/>
                <w:highlight w:val="none"/>
                <w:lang w:val="zh-CN" w:eastAsia="zh-CN" w:bidi="ar-SA"/>
              </w:rPr>
            </w:pPr>
          </w:p>
        </w:tc>
        <w:tc>
          <w:tcPr>
            <w:tcW w:w="1972" w:type="dxa"/>
            <w:vAlign w:val="center"/>
          </w:tcPr>
          <w:p w14:paraId="6ECC41CC">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zh-CN" w:eastAsia="zh-CN" w:bidi="ar-SA"/>
              </w:rPr>
            </w:pPr>
          </w:p>
        </w:tc>
        <w:tc>
          <w:tcPr>
            <w:tcW w:w="1315" w:type="dxa"/>
            <w:vAlign w:val="center"/>
          </w:tcPr>
          <w:p w14:paraId="7B90CD8D">
            <w:pPr>
              <w:spacing w:before="240" w:after="240"/>
              <w:jc w:val="left"/>
              <w:rPr>
                <w:rFonts w:hint="eastAsia" w:ascii="宋体" w:hAnsi="宋体" w:eastAsia="宋体" w:cs="宋体"/>
                <w:color w:val="auto"/>
                <w:kern w:val="0"/>
                <w:sz w:val="24"/>
                <w:szCs w:val="24"/>
                <w:highlight w:val="none"/>
              </w:rPr>
            </w:pPr>
          </w:p>
        </w:tc>
        <w:tc>
          <w:tcPr>
            <w:tcW w:w="721" w:type="dxa"/>
            <w:vAlign w:val="center"/>
          </w:tcPr>
          <w:p w14:paraId="152AF205">
            <w:pPr>
              <w:spacing w:before="240" w:after="240"/>
              <w:jc w:val="left"/>
              <w:rPr>
                <w:rFonts w:hint="eastAsia" w:ascii="宋体" w:hAnsi="宋体" w:eastAsia="宋体" w:cs="宋体"/>
                <w:color w:val="auto"/>
                <w:kern w:val="0"/>
                <w:sz w:val="24"/>
                <w:szCs w:val="24"/>
                <w:highlight w:val="none"/>
              </w:rPr>
            </w:pPr>
          </w:p>
        </w:tc>
      </w:tr>
      <w:tr w14:paraId="104F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vAlign w:val="center"/>
          </w:tcPr>
          <w:p w14:paraId="1A3F4E8E">
            <w:pPr>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zh-CN" w:eastAsia="zh-CN"/>
              </w:rPr>
              <w:t>2</w:t>
            </w:r>
          </w:p>
        </w:tc>
        <w:tc>
          <w:tcPr>
            <w:tcW w:w="5491" w:type="dxa"/>
            <w:vAlign w:val="center"/>
          </w:tcPr>
          <w:p w14:paraId="366B4EC2">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4"/>
                <w:szCs w:val="24"/>
                <w:highlight w:val="none"/>
                <w:lang w:val="zh-CN" w:eastAsia="zh-CN" w:bidi="ar-SA"/>
              </w:rPr>
            </w:pPr>
          </w:p>
        </w:tc>
        <w:tc>
          <w:tcPr>
            <w:tcW w:w="1972" w:type="dxa"/>
            <w:vAlign w:val="center"/>
          </w:tcPr>
          <w:p w14:paraId="4D87F822">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tc>
        <w:tc>
          <w:tcPr>
            <w:tcW w:w="1315" w:type="dxa"/>
            <w:vAlign w:val="center"/>
          </w:tcPr>
          <w:p w14:paraId="161B577A">
            <w:pPr>
              <w:spacing w:before="240" w:after="240"/>
              <w:jc w:val="left"/>
              <w:rPr>
                <w:rFonts w:hint="eastAsia" w:ascii="宋体" w:hAnsi="宋体" w:eastAsia="宋体" w:cs="宋体"/>
                <w:color w:val="auto"/>
                <w:kern w:val="0"/>
                <w:sz w:val="24"/>
                <w:szCs w:val="24"/>
                <w:highlight w:val="none"/>
              </w:rPr>
            </w:pPr>
          </w:p>
        </w:tc>
        <w:tc>
          <w:tcPr>
            <w:tcW w:w="721" w:type="dxa"/>
            <w:vAlign w:val="center"/>
          </w:tcPr>
          <w:p w14:paraId="0BBBB6F6">
            <w:pPr>
              <w:spacing w:before="240" w:after="240"/>
              <w:jc w:val="left"/>
              <w:rPr>
                <w:rFonts w:hint="eastAsia" w:ascii="宋体" w:hAnsi="宋体" w:eastAsia="宋体" w:cs="宋体"/>
                <w:color w:val="auto"/>
                <w:kern w:val="0"/>
                <w:sz w:val="24"/>
                <w:szCs w:val="24"/>
                <w:highlight w:val="none"/>
              </w:rPr>
            </w:pPr>
          </w:p>
        </w:tc>
      </w:tr>
      <w:tr w14:paraId="7EF7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vAlign w:val="center"/>
          </w:tcPr>
          <w:p w14:paraId="6903D241">
            <w:pPr>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en-US" w:eastAsia="zh-CN"/>
              </w:rPr>
              <w:t>3</w:t>
            </w:r>
          </w:p>
        </w:tc>
        <w:tc>
          <w:tcPr>
            <w:tcW w:w="5491" w:type="dxa"/>
            <w:vAlign w:val="center"/>
          </w:tcPr>
          <w:p w14:paraId="1B15FD10">
            <w:pPr>
              <w:pageBreakBefore w:val="0"/>
              <w:kinsoku/>
              <w:overflowPunct/>
              <w:topLinePunct w:val="0"/>
              <w:bidi w:val="0"/>
              <w:spacing w:line="240" w:lineRule="auto"/>
              <w:jc w:val="left"/>
              <w:textAlignment w:val="auto"/>
              <w:rPr>
                <w:rFonts w:hint="eastAsia" w:ascii="宋体" w:hAnsi="宋体" w:eastAsia="宋体" w:cs="宋体"/>
                <w:bCs/>
                <w:color w:val="auto"/>
                <w:kern w:val="2"/>
                <w:sz w:val="24"/>
                <w:szCs w:val="24"/>
                <w:highlight w:val="none"/>
                <w:lang w:val="en-US" w:eastAsia="zh-CN" w:bidi="ar-SA"/>
              </w:rPr>
            </w:pPr>
          </w:p>
        </w:tc>
        <w:tc>
          <w:tcPr>
            <w:tcW w:w="1972" w:type="dxa"/>
            <w:vAlign w:val="center"/>
          </w:tcPr>
          <w:p w14:paraId="1084ACAF">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zh-CN" w:eastAsia="zh-CN" w:bidi="ar-SA"/>
              </w:rPr>
            </w:pPr>
          </w:p>
        </w:tc>
        <w:tc>
          <w:tcPr>
            <w:tcW w:w="1315" w:type="dxa"/>
            <w:vAlign w:val="center"/>
          </w:tcPr>
          <w:p w14:paraId="75D24B3B">
            <w:pPr>
              <w:spacing w:before="240" w:after="240"/>
              <w:jc w:val="left"/>
              <w:rPr>
                <w:rFonts w:hint="eastAsia" w:ascii="宋体" w:hAnsi="宋体" w:eastAsia="宋体" w:cs="宋体"/>
                <w:color w:val="auto"/>
                <w:kern w:val="0"/>
                <w:sz w:val="24"/>
                <w:szCs w:val="24"/>
                <w:highlight w:val="none"/>
              </w:rPr>
            </w:pPr>
          </w:p>
        </w:tc>
        <w:tc>
          <w:tcPr>
            <w:tcW w:w="721" w:type="dxa"/>
            <w:vAlign w:val="center"/>
          </w:tcPr>
          <w:p w14:paraId="7DC29CE5">
            <w:pPr>
              <w:spacing w:before="240" w:after="240"/>
              <w:jc w:val="left"/>
              <w:rPr>
                <w:rFonts w:hint="eastAsia" w:ascii="宋体" w:hAnsi="宋体" w:eastAsia="宋体" w:cs="宋体"/>
                <w:color w:val="auto"/>
                <w:kern w:val="0"/>
                <w:sz w:val="24"/>
                <w:szCs w:val="24"/>
                <w:highlight w:val="none"/>
              </w:rPr>
            </w:pPr>
          </w:p>
        </w:tc>
      </w:tr>
      <w:tr w14:paraId="4CDA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vAlign w:val="center"/>
          </w:tcPr>
          <w:p w14:paraId="3ABE34D2">
            <w:pPr>
              <w:jc w:val="center"/>
              <w:rPr>
                <w:rFonts w:hint="default" w:ascii="宋体" w:hAnsi="宋体" w:eastAsia="宋体" w:cs="宋体"/>
                <w:color w:val="auto"/>
                <w:sz w:val="24"/>
                <w:szCs w:val="28"/>
                <w:highlight w:val="none"/>
                <w:lang w:val="en-US" w:eastAsia="zh-CN"/>
              </w:rPr>
            </w:pPr>
            <w:r>
              <w:rPr>
                <w:rFonts w:hint="eastAsia"/>
                <w:color w:val="auto"/>
                <w:sz w:val="24"/>
                <w:szCs w:val="28"/>
                <w:highlight w:val="none"/>
                <w:lang w:val="zh-CN" w:eastAsia="zh-CN"/>
              </w:rPr>
              <w:t>…</w:t>
            </w:r>
          </w:p>
        </w:tc>
        <w:tc>
          <w:tcPr>
            <w:tcW w:w="5491" w:type="dxa"/>
            <w:vAlign w:val="center"/>
          </w:tcPr>
          <w:p w14:paraId="7ED8E02D">
            <w:pPr>
              <w:pageBreakBefore w:val="0"/>
              <w:kinsoku/>
              <w:overflowPunct/>
              <w:topLinePunct w:val="0"/>
              <w:bidi w:val="0"/>
              <w:spacing w:line="240" w:lineRule="auto"/>
              <w:jc w:val="left"/>
              <w:textAlignment w:val="auto"/>
              <w:rPr>
                <w:rFonts w:hint="eastAsia" w:ascii="宋体" w:hAnsi="宋体" w:eastAsia="宋体" w:cs="宋体"/>
                <w:bCs/>
                <w:color w:val="auto"/>
                <w:kern w:val="2"/>
                <w:sz w:val="24"/>
                <w:szCs w:val="24"/>
                <w:highlight w:val="none"/>
                <w:lang w:val="zh-CN" w:eastAsia="zh-CN" w:bidi="ar-SA"/>
              </w:rPr>
            </w:pPr>
          </w:p>
        </w:tc>
        <w:tc>
          <w:tcPr>
            <w:tcW w:w="1972" w:type="dxa"/>
            <w:vAlign w:val="center"/>
          </w:tcPr>
          <w:p w14:paraId="490F7851">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zh-CN" w:eastAsia="zh-CN" w:bidi="ar-SA"/>
              </w:rPr>
            </w:pPr>
          </w:p>
        </w:tc>
        <w:tc>
          <w:tcPr>
            <w:tcW w:w="1315" w:type="dxa"/>
            <w:vAlign w:val="center"/>
          </w:tcPr>
          <w:p w14:paraId="5C72E839">
            <w:pPr>
              <w:spacing w:before="240" w:after="240"/>
              <w:jc w:val="left"/>
              <w:rPr>
                <w:rFonts w:hint="eastAsia" w:ascii="宋体" w:hAnsi="宋体" w:eastAsia="宋体" w:cs="宋体"/>
                <w:color w:val="auto"/>
                <w:kern w:val="0"/>
                <w:sz w:val="24"/>
                <w:szCs w:val="24"/>
                <w:highlight w:val="none"/>
              </w:rPr>
            </w:pPr>
          </w:p>
        </w:tc>
        <w:tc>
          <w:tcPr>
            <w:tcW w:w="721" w:type="dxa"/>
            <w:vAlign w:val="center"/>
          </w:tcPr>
          <w:p w14:paraId="623BE5F3">
            <w:pPr>
              <w:spacing w:before="240" w:after="240"/>
              <w:jc w:val="left"/>
              <w:rPr>
                <w:rFonts w:hint="eastAsia" w:ascii="宋体" w:hAnsi="宋体" w:eastAsia="宋体" w:cs="宋体"/>
                <w:color w:val="auto"/>
                <w:kern w:val="0"/>
                <w:sz w:val="24"/>
                <w:szCs w:val="24"/>
                <w:highlight w:val="none"/>
              </w:rPr>
            </w:pPr>
          </w:p>
        </w:tc>
      </w:tr>
      <w:tr w14:paraId="2711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9" w:type="dxa"/>
            <w:vAlign w:val="center"/>
          </w:tcPr>
          <w:p w14:paraId="7C22D17D">
            <w:pPr>
              <w:jc w:val="center"/>
              <w:rPr>
                <w:rFonts w:hint="eastAsia" w:ascii="宋体" w:hAnsi="宋体" w:eastAsia="宋体" w:cs="宋体"/>
                <w:color w:val="auto"/>
                <w:sz w:val="24"/>
                <w:szCs w:val="28"/>
                <w:highlight w:val="none"/>
                <w:lang w:val="zh-CN" w:eastAsia="zh-CN"/>
              </w:rPr>
            </w:pPr>
            <w:r>
              <w:rPr>
                <w:rFonts w:hint="eastAsia"/>
                <w:color w:val="auto"/>
                <w:sz w:val="24"/>
                <w:szCs w:val="28"/>
                <w:highlight w:val="none"/>
                <w:lang w:val="zh-CN" w:eastAsia="zh-CN"/>
              </w:rPr>
              <w:t>…</w:t>
            </w:r>
          </w:p>
        </w:tc>
        <w:tc>
          <w:tcPr>
            <w:tcW w:w="5491" w:type="dxa"/>
            <w:vAlign w:val="center"/>
          </w:tcPr>
          <w:p w14:paraId="3D7D5D48">
            <w:pPr>
              <w:pageBreakBefore w:val="0"/>
              <w:kinsoku/>
              <w:overflowPunct/>
              <w:topLinePunct w:val="0"/>
              <w:bidi w:val="0"/>
              <w:spacing w:line="240" w:lineRule="auto"/>
              <w:jc w:val="left"/>
              <w:textAlignment w:val="auto"/>
              <w:rPr>
                <w:rFonts w:hint="eastAsia" w:ascii="宋体" w:hAnsi="宋体" w:eastAsia="宋体" w:cs="宋体"/>
                <w:bCs/>
                <w:color w:val="auto"/>
                <w:kern w:val="2"/>
                <w:sz w:val="24"/>
                <w:szCs w:val="24"/>
                <w:highlight w:val="none"/>
                <w:lang w:val="zh-CN" w:eastAsia="zh-CN" w:bidi="ar-SA"/>
              </w:rPr>
            </w:pPr>
          </w:p>
        </w:tc>
        <w:tc>
          <w:tcPr>
            <w:tcW w:w="1972" w:type="dxa"/>
            <w:vAlign w:val="center"/>
          </w:tcPr>
          <w:p w14:paraId="1A4F824B">
            <w:pPr>
              <w:pageBreakBefore w:val="0"/>
              <w:kinsoku/>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p>
        </w:tc>
        <w:tc>
          <w:tcPr>
            <w:tcW w:w="1315" w:type="dxa"/>
            <w:vAlign w:val="center"/>
          </w:tcPr>
          <w:p w14:paraId="48DE6614">
            <w:pPr>
              <w:spacing w:before="240" w:after="240"/>
              <w:jc w:val="left"/>
              <w:rPr>
                <w:rFonts w:hint="eastAsia" w:ascii="宋体" w:hAnsi="宋体" w:eastAsia="宋体" w:cs="宋体"/>
                <w:color w:val="auto"/>
                <w:kern w:val="0"/>
                <w:sz w:val="24"/>
                <w:szCs w:val="24"/>
                <w:highlight w:val="none"/>
              </w:rPr>
            </w:pPr>
          </w:p>
        </w:tc>
        <w:tc>
          <w:tcPr>
            <w:tcW w:w="721" w:type="dxa"/>
            <w:vAlign w:val="center"/>
          </w:tcPr>
          <w:p w14:paraId="50B39372">
            <w:pPr>
              <w:spacing w:before="240" w:after="240"/>
              <w:jc w:val="left"/>
              <w:rPr>
                <w:rFonts w:hint="eastAsia" w:ascii="宋体" w:hAnsi="宋体" w:eastAsia="宋体" w:cs="宋体"/>
                <w:color w:val="auto"/>
                <w:kern w:val="0"/>
                <w:sz w:val="24"/>
                <w:szCs w:val="24"/>
                <w:highlight w:val="none"/>
              </w:rPr>
            </w:pPr>
          </w:p>
        </w:tc>
      </w:tr>
    </w:tbl>
    <w:p w14:paraId="01704651">
      <w:pPr>
        <w:keepNext w:val="0"/>
        <w:keepLines w:val="0"/>
        <w:pageBreakBefore w:val="0"/>
        <w:widowControl/>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注：1、包括但不限于以上内容；</w:t>
      </w:r>
    </w:p>
    <w:p w14:paraId="3A7E28BD">
      <w:pPr>
        <w:keepNext w:val="0"/>
        <w:keepLines w:val="0"/>
        <w:pageBreakBefore w:val="0"/>
        <w:widowControl/>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bidi="ar-SA"/>
        </w:rPr>
        <w:t>所提供的文件与竞争性磋商文件中的要求如有任何偏差，都应在“偏离表”中列出。“偏离情况”一栏应如实填写“正偏离”或“负偏离”或“无偏离”。</w:t>
      </w:r>
    </w:p>
    <w:p w14:paraId="79F31C73">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cs="宋体"/>
          <w:color w:val="auto"/>
          <w:sz w:val="24"/>
          <w:szCs w:val="24"/>
          <w:highlight w:val="none"/>
          <w:lang w:val="zh-CN"/>
        </w:rPr>
      </w:pPr>
    </w:p>
    <w:p w14:paraId="7292434A">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名称（公章）：</w:t>
      </w:r>
      <w:r>
        <w:rPr>
          <w:rFonts w:hint="eastAsia" w:ascii="宋体" w:hAnsi="宋体" w:eastAsia="宋体" w:cs="宋体"/>
          <w:color w:val="auto"/>
          <w:sz w:val="24"/>
          <w:szCs w:val="24"/>
          <w:highlight w:val="none"/>
          <w:u w:val="single"/>
          <w:lang w:val="zh-CN"/>
        </w:rPr>
        <w:t xml:space="preserve">                         </w:t>
      </w:r>
    </w:p>
    <w:p w14:paraId="430C4DD3">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法定代表人或其授权代表（签字或盖章）：</w:t>
      </w:r>
      <w:r>
        <w:rPr>
          <w:rFonts w:hint="eastAsia" w:ascii="宋体" w:hAnsi="宋体" w:eastAsia="宋体" w:cs="宋体"/>
          <w:color w:val="auto"/>
          <w:sz w:val="24"/>
          <w:szCs w:val="24"/>
          <w:highlight w:val="none"/>
          <w:u w:val="single"/>
          <w:lang w:val="zh-CN"/>
        </w:rPr>
        <w:t xml:space="preserve">                         </w:t>
      </w:r>
    </w:p>
    <w:p w14:paraId="0F73BADE">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CDFB122">
      <w:pPr>
        <w:pStyle w:val="2"/>
        <w:rPr>
          <w:rFonts w:hint="eastAsia"/>
          <w:color w:val="auto"/>
          <w:highlight w:val="none"/>
          <w:lang w:val="en-US" w:eastAsia="zh-CN"/>
        </w:rPr>
        <w:sectPr>
          <w:pgSz w:w="12240" w:h="15840"/>
          <w:pgMar w:top="1440" w:right="1080" w:bottom="1440" w:left="1080" w:header="720" w:footer="720" w:gutter="0"/>
          <w:pgBorders>
            <w:top w:val="none" w:sz="0" w:space="0"/>
            <w:left w:val="none" w:sz="0" w:space="0"/>
            <w:bottom w:val="none" w:sz="0" w:space="0"/>
            <w:right w:val="none" w:sz="0" w:space="0"/>
          </w:pgBorders>
          <w:pgNumType w:fmt="decimal"/>
          <w:cols w:space="720" w:num="1"/>
        </w:sectPr>
      </w:pPr>
    </w:p>
    <w:p w14:paraId="3FCE7EF0">
      <w:pPr>
        <w:spacing w:line="360" w:lineRule="auto"/>
        <w:ind w:left="140"/>
        <w:jc w:val="center"/>
        <w:outlineLvl w:val="1"/>
        <w:rPr>
          <w:rFonts w:hint="eastAsia" w:ascii="宋体" w:hAnsi="宋体" w:cs="宋体"/>
          <w:b/>
          <w:bCs/>
          <w:color w:val="auto"/>
          <w:sz w:val="32"/>
          <w:szCs w:val="32"/>
          <w:highlight w:val="none"/>
          <w:lang w:eastAsia="zh-CN"/>
        </w:rPr>
      </w:pPr>
      <w:bookmarkStart w:id="46" w:name="page78"/>
      <w:bookmarkEnd w:id="46"/>
      <w:bookmarkStart w:id="47" w:name="page80"/>
      <w:bookmarkEnd w:id="47"/>
      <w:bookmarkStart w:id="48" w:name="_Toc27628"/>
      <w:r>
        <w:rPr>
          <w:rFonts w:hint="eastAsia" w:ascii="宋体" w:hAnsi="宋体" w:cs="宋体"/>
          <w:b/>
          <w:bCs/>
          <w:color w:val="auto"/>
          <w:sz w:val="32"/>
          <w:szCs w:val="32"/>
          <w:highlight w:val="none"/>
          <w:lang w:val="en-US" w:eastAsia="zh-CN"/>
        </w:rPr>
        <w:t>附件7 项目管理机构</w:t>
      </w:r>
      <w:bookmarkEnd w:id="48"/>
    </w:p>
    <w:p w14:paraId="4F51064C">
      <w:pPr>
        <w:spacing w:line="360" w:lineRule="auto"/>
        <w:ind w:left="140"/>
        <w:jc w:val="center"/>
        <w:outlineLvl w:val="9"/>
        <w:rPr>
          <w:rFonts w:hint="eastAsia" w:ascii="宋体" w:hAnsi="宋体" w:eastAsia="宋体" w:cs="宋体"/>
          <w:color w:val="auto"/>
          <w:sz w:val="24"/>
          <w:highlight w:val="none"/>
        </w:rPr>
      </w:pPr>
      <w:bookmarkStart w:id="49" w:name="_Toc14282"/>
      <w:bookmarkStart w:id="50" w:name="_Toc29618"/>
      <w:bookmarkStart w:id="51" w:name="_Toc9234"/>
      <w:bookmarkStart w:id="52" w:name="_Toc7130"/>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zh-CN" w:eastAsia="zh-CN"/>
        </w:rPr>
        <w:t>项目管理机构</w:t>
      </w:r>
      <w:r>
        <w:rPr>
          <w:rFonts w:hint="eastAsia" w:ascii="宋体" w:hAnsi="宋体" w:eastAsia="宋体" w:cs="宋体"/>
          <w:b/>
          <w:bCs/>
          <w:color w:val="auto"/>
          <w:sz w:val="28"/>
          <w:szCs w:val="28"/>
          <w:highlight w:val="none"/>
          <w:lang w:val="zh-CN"/>
        </w:rPr>
        <w:t>配备情况表</w:t>
      </w:r>
      <w:bookmarkEnd w:id="49"/>
      <w:bookmarkEnd w:id="50"/>
      <w:bookmarkEnd w:id="51"/>
      <w:bookmarkEnd w:id="52"/>
    </w:p>
    <w:p w14:paraId="4AA6B758">
      <w:pPr>
        <w:spacing w:line="200" w:lineRule="exact"/>
        <w:jc w:val="left"/>
        <w:rPr>
          <w:rFonts w:hint="eastAsia" w:ascii="宋体" w:hAnsi="宋体" w:eastAsia="宋体" w:cs="宋体"/>
          <w:color w:val="auto"/>
          <w:sz w:val="24"/>
          <w:highlight w:val="none"/>
        </w:rPr>
      </w:pPr>
    </w:p>
    <w:tbl>
      <w:tblPr>
        <w:tblStyle w:val="10"/>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263"/>
        <w:gridCol w:w="1309"/>
        <w:gridCol w:w="1835"/>
        <w:gridCol w:w="1739"/>
        <w:gridCol w:w="2377"/>
      </w:tblGrid>
      <w:tr w14:paraId="119E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74" w:type="dxa"/>
            <w:noWrap w:val="0"/>
            <w:vAlign w:val="center"/>
          </w:tcPr>
          <w:p w14:paraId="5217220D">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3" w:type="dxa"/>
            <w:noWrap w:val="0"/>
            <w:vAlign w:val="center"/>
          </w:tcPr>
          <w:p w14:paraId="258DF8CB">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09" w:type="dxa"/>
            <w:noWrap w:val="0"/>
            <w:vAlign w:val="center"/>
          </w:tcPr>
          <w:p w14:paraId="10942CC7">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835" w:type="dxa"/>
            <w:noWrap w:val="0"/>
            <w:vAlign w:val="center"/>
          </w:tcPr>
          <w:p w14:paraId="396E58CB">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1739" w:type="dxa"/>
            <w:noWrap w:val="0"/>
            <w:vAlign w:val="center"/>
          </w:tcPr>
          <w:p w14:paraId="692E7E9A">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2377" w:type="dxa"/>
            <w:noWrap w:val="0"/>
            <w:vAlign w:val="center"/>
          </w:tcPr>
          <w:p w14:paraId="6B0B7595">
            <w:pPr>
              <w:widowControl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14:paraId="344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1A34155C">
            <w:pPr>
              <w:widowControl w:val="0"/>
              <w:rPr>
                <w:rFonts w:hint="eastAsia" w:ascii="宋体" w:hAnsi="宋体" w:eastAsia="宋体" w:cs="宋体"/>
                <w:color w:val="auto"/>
                <w:szCs w:val="21"/>
                <w:highlight w:val="none"/>
              </w:rPr>
            </w:pPr>
          </w:p>
        </w:tc>
        <w:tc>
          <w:tcPr>
            <w:tcW w:w="1263" w:type="dxa"/>
            <w:noWrap w:val="0"/>
            <w:vAlign w:val="top"/>
          </w:tcPr>
          <w:p w14:paraId="02D5FC15">
            <w:pPr>
              <w:widowControl w:val="0"/>
              <w:rPr>
                <w:rFonts w:hint="eastAsia" w:ascii="宋体" w:hAnsi="宋体" w:eastAsia="宋体" w:cs="宋体"/>
                <w:color w:val="auto"/>
                <w:szCs w:val="21"/>
                <w:highlight w:val="none"/>
              </w:rPr>
            </w:pPr>
          </w:p>
        </w:tc>
        <w:tc>
          <w:tcPr>
            <w:tcW w:w="1309" w:type="dxa"/>
            <w:noWrap w:val="0"/>
            <w:vAlign w:val="top"/>
          </w:tcPr>
          <w:p w14:paraId="502E605B">
            <w:pPr>
              <w:widowControl w:val="0"/>
              <w:rPr>
                <w:rFonts w:hint="eastAsia" w:ascii="宋体" w:hAnsi="宋体" w:eastAsia="宋体" w:cs="宋体"/>
                <w:color w:val="auto"/>
                <w:szCs w:val="21"/>
                <w:highlight w:val="none"/>
              </w:rPr>
            </w:pPr>
          </w:p>
        </w:tc>
        <w:tc>
          <w:tcPr>
            <w:tcW w:w="1835" w:type="dxa"/>
            <w:noWrap w:val="0"/>
            <w:vAlign w:val="top"/>
          </w:tcPr>
          <w:p w14:paraId="272B87C1">
            <w:pPr>
              <w:widowControl w:val="0"/>
              <w:rPr>
                <w:rFonts w:hint="eastAsia" w:ascii="宋体" w:hAnsi="宋体" w:eastAsia="宋体" w:cs="宋体"/>
                <w:color w:val="auto"/>
                <w:szCs w:val="21"/>
                <w:highlight w:val="none"/>
              </w:rPr>
            </w:pPr>
          </w:p>
        </w:tc>
        <w:tc>
          <w:tcPr>
            <w:tcW w:w="1739" w:type="dxa"/>
            <w:noWrap w:val="0"/>
            <w:vAlign w:val="top"/>
          </w:tcPr>
          <w:p w14:paraId="16A09834">
            <w:pPr>
              <w:widowControl w:val="0"/>
              <w:rPr>
                <w:rFonts w:hint="eastAsia" w:ascii="宋体" w:hAnsi="宋体" w:eastAsia="宋体" w:cs="宋体"/>
                <w:color w:val="auto"/>
                <w:szCs w:val="21"/>
                <w:highlight w:val="none"/>
              </w:rPr>
            </w:pPr>
          </w:p>
        </w:tc>
        <w:tc>
          <w:tcPr>
            <w:tcW w:w="2377" w:type="dxa"/>
            <w:noWrap w:val="0"/>
            <w:vAlign w:val="top"/>
          </w:tcPr>
          <w:p w14:paraId="6D230DBB">
            <w:pPr>
              <w:widowControl w:val="0"/>
              <w:rPr>
                <w:rFonts w:hint="eastAsia" w:ascii="宋体" w:hAnsi="宋体" w:eastAsia="宋体" w:cs="宋体"/>
                <w:color w:val="auto"/>
                <w:szCs w:val="21"/>
                <w:highlight w:val="none"/>
              </w:rPr>
            </w:pPr>
          </w:p>
        </w:tc>
      </w:tr>
      <w:tr w14:paraId="4ADD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1DB70239">
            <w:pPr>
              <w:widowControl w:val="0"/>
              <w:rPr>
                <w:rFonts w:hint="eastAsia" w:ascii="宋体" w:hAnsi="宋体" w:eastAsia="宋体" w:cs="宋体"/>
                <w:color w:val="auto"/>
                <w:sz w:val="24"/>
                <w:highlight w:val="none"/>
              </w:rPr>
            </w:pPr>
          </w:p>
        </w:tc>
        <w:tc>
          <w:tcPr>
            <w:tcW w:w="1263" w:type="dxa"/>
            <w:noWrap w:val="0"/>
            <w:vAlign w:val="top"/>
          </w:tcPr>
          <w:p w14:paraId="2D01D0A9">
            <w:pPr>
              <w:widowControl w:val="0"/>
              <w:rPr>
                <w:rFonts w:hint="eastAsia" w:ascii="宋体" w:hAnsi="宋体" w:eastAsia="宋体" w:cs="宋体"/>
                <w:color w:val="auto"/>
                <w:sz w:val="24"/>
                <w:highlight w:val="none"/>
              </w:rPr>
            </w:pPr>
          </w:p>
        </w:tc>
        <w:tc>
          <w:tcPr>
            <w:tcW w:w="1309" w:type="dxa"/>
            <w:noWrap w:val="0"/>
            <w:vAlign w:val="top"/>
          </w:tcPr>
          <w:p w14:paraId="0FE640BA">
            <w:pPr>
              <w:widowControl w:val="0"/>
              <w:rPr>
                <w:rFonts w:hint="eastAsia" w:ascii="宋体" w:hAnsi="宋体" w:eastAsia="宋体" w:cs="宋体"/>
                <w:color w:val="auto"/>
                <w:sz w:val="24"/>
                <w:highlight w:val="none"/>
              </w:rPr>
            </w:pPr>
          </w:p>
        </w:tc>
        <w:tc>
          <w:tcPr>
            <w:tcW w:w="1835" w:type="dxa"/>
            <w:noWrap w:val="0"/>
            <w:vAlign w:val="top"/>
          </w:tcPr>
          <w:p w14:paraId="11996823">
            <w:pPr>
              <w:widowControl w:val="0"/>
              <w:rPr>
                <w:rFonts w:hint="eastAsia" w:ascii="宋体" w:hAnsi="宋体" w:eastAsia="宋体" w:cs="宋体"/>
                <w:color w:val="auto"/>
                <w:sz w:val="24"/>
                <w:highlight w:val="none"/>
              </w:rPr>
            </w:pPr>
          </w:p>
        </w:tc>
        <w:tc>
          <w:tcPr>
            <w:tcW w:w="1739" w:type="dxa"/>
            <w:noWrap w:val="0"/>
            <w:vAlign w:val="top"/>
          </w:tcPr>
          <w:p w14:paraId="23418E05">
            <w:pPr>
              <w:widowControl w:val="0"/>
              <w:rPr>
                <w:rFonts w:hint="eastAsia" w:ascii="宋体" w:hAnsi="宋体" w:eastAsia="宋体" w:cs="宋体"/>
                <w:color w:val="auto"/>
                <w:sz w:val="24"/>
                <w:highlight w:val="none"/>
              </w:rPr>
            </w:pPr>
          </w:p>
        </w:tc>
        <w:tc>
          <w:tcPr>
            <w:tcW w:w="2377" w:type="dxa"/>
            <w:noWrap w:val="0"/>
            <w:vAlign w:val="top"/>
          </w:tcPr>
          <w:p w14:paraId="3A242391">
            <w:pPr>
              <w:widowControl w:val="0"/>
              <w:rPr>
                <w:rFonts w:hint="eastAsia" w:ascii="宋体" w:hAnsi="宋体" w:eastAsia="宋体" w:cs="宋体"/>
                <w:color w:val="auto"/>
                <w:sz w:val="24"/>
                <w:highlight w:val="none"/>
              </w:rPr>
            </w:pPr>
          </w:p>
        </w:tc>
      </w:tr>
      <w:tr w14:paraId="017B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4E735D49">
            <w:pPr>
              <w:widowControl w:val="0"/>
              <w:rPr>
                <w:rFonts w:hint="eastAsia" w:ascii="宋体" w:hAnsi="宋体" w:eastAsia="宋体" w:cs="宋体"/>
                <w:color w:val="auto"/>
                <w:sz w:val="24"/>
                <w:highlight w:val="none"/>
              </w:rPr>
            </w:pPr>
          </w:p>
        </w:tc>
        <w:tc>
          <w:tcPr>
            <w:tcW w:w="1263" w:type="dxa"/>
            <w:noWrap w:val="0"/>
            <w:vAlign w:val="top"/>
          </w:tcPr>
          <w:p w14:paraId="3CDD073B">
            <w:pPr>
              <w:widowControl w:val="0"/>
              <w:rPr>
                <w:rFonts w:hint="eastAsia" w:ascii="宋体" w:hAnsi="宋体" w:eastAsia="宋体" w:cs="宋体"/>
                <w:color w:val="auto"/>
                <w:sz w:val="24"/>
                <w:highlight w:val="none"/>
              </w:rPr>
            </w:pPr>
          </w:p>
        </w:tc>
        <w:tc>
          <w:tcPr>
            <w:tcW w:w="1309" w:type="dxa"/>
            <w:noWrap w:val="0"/>
            <w:vAlign w:val="top"/>
          </w:tcPr>
          <w:p w14:paraId="20A34A07">
            <w:pPr>
              <w:widowControl w:val="0"/>
              <w:rPr>
                <w:rFonts w:hint="eastAsia" w:ascii="宋体" w:hAnsi="宋体" w:eastAsia="宋体" w:cs="宋体"/>
                <w:color w:val="auto"/>
                <w:sz w:val="24"/>
                <w:highlight w:val="none"/>
              </w:rPr>
            </w:pPr>
          </w:p>
        </w:tc>
        <w:tc>
          <w:tcPr>
            <w:tcW w:w="1835" w:type="dxa"/>
            <w:noWrap w:val="0"/>
            <w:vAlign w:val="top"/>
          </w:tcPr>
          <w:p w14:paraId="49BFC614">
            <w:pPr>
              <w:widowControl w:val="0"/>
              <w:rPr>
                <w:rFonts w:hint="eastAsia" w:ascii="宋体" w:hAnsi="宋体" w:eastAsia="宋体" w:cs="宋体"/>
                <w:color w:val="auto"/>
                <w:sz w:val="24"/>
                <w:highlight w:val="none"/>
              </w:rPr>
            </w:pPr>
          </w:p>
        </w:tc>
        <w:tc>
          <w:tcPr>
            <w:tcW w:w="1739" w:type="dxa"/>
            <w:noWrap w:val="0"/>
            <w:vAlign w:val="top"/>
          </w:tcPr>
          <w:p w14:paraId="12E577B1">
            <w:pPr>
              <w:widowControl w:val="0"/>
              <w:rPr>
                <w:rFonts w:hint="eastAsia" w:ascii="宋体" w:hAnsi="宋体" w:eastAsia="宋体" w:cs="宋体"/>
                <w:color w:val="auto"/>
                <w:sz w:val="24"/>
                <w:highlight w:val="none"/>
              </w:rPr>
            </w:pPr>
          </w:p>
        </w:tc>
        <w:tc>
          <w:tcPr>
            <w:tcW w:w="2377" w:type="dxa"/>
            <w:noWrap w:val="0"/>
            <w:vAlign w:val="top"/>
          </w:tcPr>
          <w:p w14:paraId="3B2D6273">
            <w:pPr>
              <w:widowControl w:val="0"/>
              <w:rPr>
                <w:rFonts w:hint="eastAsia" w:ascii="宋体" w:hAnsi="宋体" w:eastAsia="宋体" w:cs="宋体"/>
                <w:color w:val="auto"/>
                <w:sz w:val="24"/>
                <w:highlight w:val="none"/>
              </w:rPr>
            </w:pPr>
          </w:p>
        </w:tc>
      </w:tr>
      <w:tr w14:paraId="15DD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2130AEBC">
            <w:pPr>
              <w:widowControl w:val="0"/>
              <w:rPr>
                <w:rFonts w:hint="eastAsia" w:ascii="宋体" w:hAnsi="宋体" w:eastAsia="宋体" w:cs="宋体"/>
                <w:color w:val="auto"/>
                <w:sz w:val="24"/>
                <w:highlight w:val="none"/>
              </w:rPr>
            </w:pPr>
          </w:p>
        </w:tc>
        <w:tc>
          <w:tcPr>
            <w:tcW w:w="1263" w:type="dxa"/>
            <w:noWrap w:val="0"/>
            <w:vAlign w:val="top"/>
          </w:tcPr>
          <w:p w14:paraId="3EFCCF3F">
            <w:pPr>
              <w:widowControl w:val="0"/>
              <w:rPr>
                <w:rFonts w:hint="eastAsia" w:ascii="宋体" w:hAnsi="宋体" w:eastAsia="宋体" w:cs="宋体"/>
                <w:color w:val="auto"/>
                <w:sz w:val="24"/>
                <w:highlight w:val="none"/>
              </w:rPr>
            </w:pPr>
          </w:p>
        </w:tc>
        <w:tc>
          <w:tcPr>
            <w:tcW w:w="1309" w:type="dxa"/>
            <w:noWrap w:val="0"/>
            <w:vAlign w:val="top"/>
          </w:tcPr>
          <w:p w14:paraId="28CC44D3">
            <w:pPr>
              <w:widowControl w:val="0"/>
              <w:rPr>
                <w:rFonts w:hint="eastAsia" w:ascii="宋体" w:hAnsi="宋体" w:eastAsia="宋体" w:cs="宋体"/>
                <w:color w:val="auto"/>
                <w:sz w:val="24"/>
                <w:highlight w:val="none"/>
              </w:rPr>
            </w:pPr>
          </w:p>
        </w:tc>
        <w:tc>
          <w:tcPr>
            <w:tcW w:w="1835" w:type="dxa"/>
            <w:noWrap w:val="0"/>
            <w:vAlign w:val="top"/>
          </w:tcPr>
          <w:p w14:paraId="6B629A18">
            <w:pPr>
              <w:widowControl w:val="0"/>
              <w:rPr>
                <w:rFonts w:hint="eastAsia" w:ascii="宋体" w:hAnsi="宋体" w:eastAsia="宋体" w:cs="宋体"/>
                <w:color w:val="auto"/>
                <w:sz w:val="24"/>
                <w:highlight w:val="none"/>
              </w:rPr>
            </w:pPr>
          </w:p>
        </w:tc>
        <w:tc>
          <w:tcPr>
            <w:tcW w:w="1739" w:type="dxa"/>
            <w:noWrap w:val="0"/>
            <w:vAlign w:val="top"/>
          </w:tcPr>
          <w:p w14:paraId="750E5184">
            <w:pPr>
              <w:widowControl w:val="0"/>
              <w:rPr>
                <w:rFonts w:hint="eastAsia" w:ascii="宋体" w:hAnsi="宋体" w:eastAsia="宋体" w:cs="宋体"/>
                <w:color w:val="auto"/>
                <w:sz w:val="24"/>
                <w:highlight w:val="none"/>
              </w:rPr>
            </w:pPr>
          </w:p>
        </w:tc>
        <w:tc>
          <w:tcPr>
            <w:tcW w:w="2377" w:type="dxa"/>
            <w:noWrap w:val="0"/>
            <w:vAlign w:val="top"/>
          </w:tcPr>
          <w:p w14:paraId="10D18940">
            <w:pPr>
              <w:widowControl w:val="0"/>
              <w:rPr>
                <w:rFonts w:hint="eastAsia" w:ascii="宋体" w:hAnsi="宋体" w:eastAsia="宋体" w:cs="宋体"/>
                <w:color w:val="auto"/>
                <w:sz w:val="24"/>
                <w:highlight w:val="none"/>
              </w:rPr>
            </w:pPr>
          </w:p>
        </w:tc>
      </w:tr>
      <w:tr w14:paraId="4C0C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661F30DF">
            <w:pPr>
              <w:widowControl w:val="0"/>
              <w:rPr>
                <w:rFonts w:hint="eastAsia" w:ascii="宋体" w:hAnsi="宋体" w:eastAsia="宋体" w:cs="宋体"/>
                <w:color w:val="auto"/>
                <w:sz w:val="24"/>
                <w:highlight w:val="none"/>
              </w:rPr>
            </w:pPr>
          </w:p>
        </w:tc>
        <w:tc>
          <w:tcPr>
            <w:tcW w:w="1263" w:type="dxa"/>
            <w:noWrap w:val="0"/>
            <w:vAlign w:val="top"/>
          </w:tcPr>
          <w:p w14:paraId="156E81FD">
            <w:pPr>
              <w:widowControl w:val="0"/>
              <w:rPr>
                <w:rFonts w:hint="eastAsia" w:ascii="宋体" w:hAnsi="宋体" w:eastAsia="宋体" w:cs="宋体"/>
                <w:color w:val="auto"/>
                <w:sz w:val="24"/>
                <w:highlight w:val="none"/>
              </w:rPr>
            </w:pPr>
          </w:p>
        </w:tc>
        <w:tc>
          <w:tcPr>
            <w:tcW w:w="1309" w:type="dxa"/>
            <w:noWrap w:val="0"/>
            <w:vAlign w:val="top"/>
          </w:tcPr>
          <w:p w14:paraId="07573E99">
            <w:pPr>
              <w:widowControl w:val="0"/>
              <w:rPr>
                <w:rFonts w:hint="eastAsia" w:ascii="宋体" w:hAnsi="宋体" w:eastAsia="宋体" w:cs="宋体"/>
                <w:color w:val="auto"/>
                <w:sz w:val="24"/>
                <w:highlight w:val="none"/>
              </w:rPr>
            </w:pPr>
          </w:p>
        </w:tc>
        <w:tc>
          <w:tcPr>
            <w:tcW w:w="1835" w:type="dxa"/>
            <w:noWrap w:val="0"/>
            <w:vAlign w:val="top"/>
          </w:tcPr>
          <w:p w14:paraId="145BA5C7">
            <w:pPr>
              <w:widowControl w:val="0"/>
              <w:rPr>
                <w:rFonts w:hint="eastAsia" w:ascii="宋体" w:hAnsi="宋体" w:eastAsia="宋体" w:cs="宋体"/>
                <w:color w:val="auto"/>
                <w:sz w:val="24"/>
                <w:highlight w:val="none"/>
              </w:rPr>
            </w:pPr>
          </w:p>
        </w:tc>
        <w:tc>
          <w:tcPr>
            <w:tcW w:w="1739" w:type="dxa"/>
            <w:noWrap w:val="0"/>
            <w:vAlign w:val="top"/>
          </w:tcPr>
          <w:p w14:paraId="469049D8">
            <w:pPr>
              <w:widowControl w:val="0"/>
              <w:rPr>
                <w:rFonts w:hint="eastAsia" w:ascii="宋体" w:hAnsi="宋体" w:eastAsia="宋体" w:cs="宋体"/>
                <w:color w:val="auto"/>
                <w:sz w:val="24"/>
                <w:highlight w:val="none"/>
              </w:rPr>
            </w:pPr>
          </w:p>
        </w:tc>
        <w:tc>
          <w:tcPr>
            <w:tcW w:w="2377" w:type="dxa"/>
            <w:noWrap w:val="0"/>
            <w:vAlign w:val="top"/>
          </w:tcPr>
          <w:p w14:paraId="1E1687D9">
            <w:pPr>
              <w:widowControl w:val="0"/>
              <w:rPr>
                <w:rFonts w:hint="eastAsia" w:ascii="宋体" w:hAnsi="宋体" w:eastAsia="宋体" w:cs="宋体"/>
                <w:color w:val="auto"/>
                <w:sz w:val="24"/>
                <w:highlight w:val="none"/>
              </w:rPr>
            </w:pPr>
          </w:p>
        </w:tc>
      </w:tr>
      <w:tr w14:paraId="61DC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614F4B89">
            <w:pPr>
              <w:widowControl w:val="0"/>
              <w:rPr>
                <w:rFonts w:hint="eastAsia" w:ascii="宋体" w:hAnsi="宋体" w:eastAsia="宋体" w:cs="宋体"/>
                <w:color w:val="auto"/>
                <w:sz w:val="24"/>
                <w:highlight w:val="none"/>
              </w:rPr>
            </w:pPr>
          </w:p>
        </w:tc>
        <w:tc>
          <w:tcPr>
            <w:tcW w:w="1263" w:type="dxa"/>
            <w:noWrap w:val="0"/>
            <w:vAlign w:val="top"/>
          </w:tcPr>
          <w:p w14:paraId="63AAB1A2">
            <w:pPr>
              <w:widowControl w:val="0"/>
              <w:rPr>
                <w:rFonts w:hint="eastAsia" w:ascii="宋体" w:hAnsi="宋体" w:eastAsia="宋体" w:cs="宋体"/>
                <w:color w:val="auto"/>
                <w:sz w:val="24"/>
                <w:highlight w:val="none"/>
              </w:rPr>
            </w:pPr>
          </w:p>
        </w:tc>
        <w:tc>
          <w:tcPr>
            <w:tcW w:w="1309" w:type="dxa"/>
            <w:noWrap w:val="0"/>
            <w:vAlign w:val="top"/>
          </w:tcPr>
          <w:p w14:paraId="65A1C8B8">
            <w:pPr>
              <w:widowControl w:val="0"/>
              <w:rPr>
                <w:rFonts w:hint="eastAsia" w:ascii="宋体" w:hAnsi="宋体" w:eastAsia="宋体" w:cs="宋体"/>
                <w:color w:val="auto"/>
                <w:sz w:val="24"/>
                <w:highlight w:val="none"/>
              </w:rPr>
            </w:pPr>
          </w:p>
        </w:tc>
        <w:tc>
          <w:tcPr>
            <w:tcW w:w="1835" w:type="dxa"/>
            <w:noWrap w:val="0"/>
            <w:vAlign w:val="top"/>
          </w:tcPr>
          <w:p w14:paraId="4FB08364">
            <w:pPr>
              <w:widowControl w:val="0"/>
              <w:rPr>
                <w:rFonts w:hint="eastAsia" w:ascii="宋体" w:hAnsi="宋体" w:eastAsia="宋体" w:cs="宋体"/>
                <w:color w:val="auto"/>
                <w:sz w:val="24"/>
                <w:highlight w:val="none"/>
              </w:rPr>
            </w:pPr>
          </w:p>
        </w:tc>
        <w:tc>
          <w:tcPr>
            <w:tcW w:w="1739" w:type="dxa"/>
            <w:noWrap w:val="0"/>
            <w:vAlign w:val="top"/>
          </w:tcPr>
          <w:p w14:paraId="4EB06901">
            <w:pPr>
              <w:widowControl w:val="0"/>
              <w:rPr>
                <w:rFonts w:hint="eastAsia" w:ascii="宋体" w:hAnsi="宋体" w:eastAsia="宋体" w:cs="宋体"/>
                <w:color w:val="auto"/>
                <w:sz w:val="24"/>
                <w:highlight w:val="none"/>
              </w:rPr>
            </w:pPr>
          </w:p>
        </w:tc>
        <w:tc>
          <w:tcPr>
            <w:tcW w:w="2377" w:type="dxa"/>
            <w:noWrap w:val="0"/>
            <w:vAlign w:val="top"/>
          </w:tcPr>
          <w:p w14:paraId="3B586BD7">
            <w:pPr>
              <w:widowControl w:val="0"/>
              <w:rPr>
                <w:rFonts w:hint="eastAsia" w:ascii="宋体" w:hAnsi="宋体" w:eastAsia="宋体" w:cs="宋体"/>
                <w:color w:val="auto"/>
                <w:sz w:val="24"/>
                <w:highlight w:val="none"/>
              </w:rPr>
            </w:pPr>
          </w:p>
        </w:tc>
      </w:tr>
      <w:tr w14:paraId="379A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5513032F">
            <w:pPr>
              <w:widowControl w:val="0"/>
              <w:rPr>
                <w:rFonts w:hint="eastAsia" w:ascii="宋体" w:hAnsi="宋体" w:eastAsia="宋体" w:cs="宋体"/>
                <w:color w:val="auto"/>
                <w:sz w:val="24"/>
                <w:highlight w:val="none"/>
              </w:rPr>
            </w:pPr>
          </w:p>
        </w:tc>
        <w:tc>
          <w:tcPr>
            <w:tcW w:w="1263" w:type="dxa"/>
            <w:noWrap w:val="0"/>
            <w:vAlign w:val="top"/>
          </w:tcPr>
          <w:p w14:paraId="69487D9A">
            <w:pPr>
              <w:widowControl w:val="0"/>
              <w:rPr>
                <w:rFonts w:hint="eastAsia" w:ascii="宋体" w:hAnsi="宋体" w:eastAsia="宋体" w:cs="宋体"/>
                <w:color w:val="auto"/>
                <w:sz w:val="24"/>
                <w:highlight w:val="none"/>
              </w:rPr>
            </w:pPr>
          </w:p>
        </w:tc>
        <w:tc>
          <w:tcPr>
            <w:tcW w:w="1309" w:type="dxa"/>
            <w:noWrap w:val="0"/>
            <w:vAlign w:val="top"/>
          </w:tcPr>
          <w:p w14:paraId="1925021C">
            <w:pPr>
              <w:widowControl w:val="0"/>
              <w:rPr>
                <w:rFonts w:hint="eastAsia" w:ascii="宋体" w:hAnsi="宋体" w:eastAsia="宋体" w:cs="宋体"/>
                <w:color w:val="auto"/>
                <w:sz w:val="24"/>
                <w:highlight w:val="none"/>
              </w:rPr>
            </w:pPr>
          </w:p>
        </w:tc>
        <w:tc>
          <w:tcPr>
            <w:tcW w:w="1835" w:type="dxa"/>
            <w:noWrap w:val="0"/>
            <w:vAlign w:val="top"/>
          </w:tcPr>
          <w:p w14:paraId="7B44071A">
            <w:pPr>
              <w:widowControl w:val="0"/>
              <w:rPr>
                <w:rFonts w:hint="eastAsia" w:ascii="宋体" w:hAnsi="宋体" w:eastAsia="宋体" w:cs="宋体"/>
                <w:color w:val="auto"/>
                <w:sz w:val="24"/>
                <w:highlight w:val="none"/>
              </w:rPr>
            </w:pPr>
          </w:p>
        </w:tc>
        <w:tc>
          <w:tcPr>
            <w:tcW w:w="1739" w:type="dxa"/>
            <w:noWrap w:val="0"/>
            <w:vAlign w:val="top"/>
          </w:tcPr>
          <w:p w14:paraId="628E3EC3">
            <w:pPr>
              <w:widowControl w:val="0"/>
              <w:rPr>
                <w:rFonts w:hint="eastAsia" w:ascii="宋体" w:hAnsi="宋体" w:eastAsia="宋体" w:cs="宋体"/>
                <w:color w:val="auto"/>
                <w:sz w:val="24"/>
                <w:highlight w:val="none"/>
              </w:rPr>
            </w:pPr>
          </w:p>
        </w:tc>
        <w:tc>
          <w:tcPr>
            <w:tcW w:w="2377" w:type="dxa"/>
            <w:noWrap w:val="0"/>
            <w:vAlign w:val="top"/>
          </w:tcPr>
          <w:p w14:paraId="25AE84DF">
            <w:pPr>
              <w:widowControl w:val="0"/>
              <w:rPr>
                <w:rFonts w:hint="eastAsia" w:ascii="宋体" w:hAnsi="宋体" w:eastAsia="宋体" w:cs="宋体"/>
                <w:color w:val="auto"/>
                <w:sz w:val="24"/>
                <w:highlight w:val="none"/>
              </w:rPr>
            </w:pPr>
          </w:p>
        </w:tc>
      </w:tr>
      <w:tr w14:paraId="4316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6C348636">
            <w:pPr>
              <w:widowControl w:val="0"/>
              <w:rPr>
                <w:rFonts w:hint="eastAsia" w:ascii="宋体" w:hAnsi="宋体" w:eastAsia="宋体" w:cs="宋体"/>
                <w:color w:val="auto"/>
                <w:sz w:val="24"/>
                <w:highlight w:val="none"/>
              </w:rPr>
            </w:pPr>
          </w:p>
        </w:tc>
        <w:tc>
          <w:tcPr>
            <w:tcW w:w="1263" w:type="dxa"/>
            <w:noWrap w:val="0"/>
            <w:vAlign w:val="top"/>
          </w:tcPr>
          <w:p w14:paraId="04658053">
            <w:pPr>
              <w:widowControl w:val="0"/>
              <w:rPr>
                <w:rFonts w:hint="eastAsia" w:ascii="宋体" w:hAnsi="宋体" w:eastAsia="宋体" w:cs="宋体"/>
                <w:color w:val="auto"/>
                <w:sz w:val="24"/>
                <w:highlight w:val="none"/>
              </w:rPr>
            </w:pPr>
          </w:p>
        </w:tc>
        <w:tc>
          <w:tcPr>
            <w:tcW w:w="1309" w:type="dxa"/>
            <w:noWrap w:val="0"/>
            <w:vAlign w:val="top"/>
          </w:tcPr>
          <w:p w14:paraId="7F95DDF0">
            <w:pPr>
              <w:widowControl w:val="0"/>
              <w:rPr>
                <w:rFonts w:hint="eastAsia" w:ascii="宋体" w:hAnsi="宋体" w:eastAsia="宋体" w:cs="宋体"/>
                <w:color w:val="auto"/>
                <w:sz w:val="24"/>
                <w:highlight w:val="none"/>
              </w:rPr>
            </w:pPr>
          </w:p>
        </w:tc>
        <w:tc>
          <w:tcPr>
            <w:tcW w:w="1835" w:type="dxa"/>
            <w:noWrap w:val="0"/>
            <w:vAlign w:val="top"/>
          </w:tcPr>
          <w:p w14:paraId="6F27455D">
            <w:pPr>
              <w:widowControl w:val="0"/>
              <w:rPr>
                <w:rFonts w:hint="eastAsia" w:ascii="宋体" w:hAnsi="宋体" w:eastAsia="宋体" w:cs="宋体"/>
                <w:color w:val="auto"/>
                <w:sz w:val="24"/>
                <w:highlight w:val="none"/>
              </w:rPr>
            </w:pPr>
          </w:p>
        </w:tc>
        <w:tc>
          <w:tcPr>
            <w:tcW w:w="1739" w:type="dxa"/>
            <w:noWrap w:val="0"/>
            <w:vAlign w:val="top"/>
          </w:tcPr>
          <w:p w14:paraId="14B6A48C">
            <w:pPr>
              <w:widowControl w:val="0"/>
              <w:rPr>
                <w:rFonts w:hint="eastAsia" w:ascii="宋体" w:hAnsi="宋体" w:eastAsia="宋体" w:cs="宋体"/>
                <w:color w:val="auto"/>
                <w:sz w:val="24"/>
                <w:highlight w:val="none"/>
              </w:rPr>
            </w:pPr>
          </w:p>
        </w:tc>
        <w:tc>
          <w:tcPr>
            <w:tcW w:w="2377" w:type="dxa"/>
            <w:noWrap w:val="0"/>
            <w:vAlign w:val="top"/>
          </w:tcPr>
          <w:p w14:paraId="7580256C">
            <w:pPr>
              <w:widowControl w:val="0"/>
              <w:rPr>
                <w:rFonts w:hint="eastAsia" w:ascii="宋体" w:hAnsi="宋体" w:eastAsia="宋体" w:cs="宋体"/>
                <w:color w:val="auto"/>
                <w:sz w:val="24"/>
                <w:highlight w:val="none"/>
              </w:rPr>
            </w:pPr>
          </w:p>
        </w:tc>
      </w:tr>
      <w:tr w14:paraId="34B1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14C731AC">
            <w:pPr>
              <w:widowControl w:val="0"/>
              <w:rPr>
                <w:rFonts w:hint="eastAsia" w:ascii="宋体" w:hAnsi="宋体" w:eastAsia="宋体" w:cs="宋体"/>
                <w:color w:val="auto"/>
                <w:sz w:val="24"/>
                <w:highlight w:val="none"/>
              </w:rPr>
            </w:pPr>
          </w:p>
        </w:tc>
        <w:tc>
          <w:tcPr>
            <w:tcW w:w="1263" w:type="dxa"/>
            <w:noWrap w:val="0"/>
            <w:vAlign w:val="top"/>
          </w:tcPr>
          <w:p w14:paraId="6E9D2170">
            <w:pPr>
              <w:widowControl w:val="0"/>
              <w:rPr>
                <w:rFonts w:hint="eastAsia" w:ascii="宋体" w:hAnsi="宋体" w:eastAsia="宋体" w:cs="宋体"/>
                <w:color w:val="auto"/>
                <w:sz w:val="24"/>
                <w:highlight w:val="none"/>
              </w:rPr>
            </w:pPr>
          </w:p>
        </w:tc>
        <w:tc>
          <w:tcPr>
            <w:tcW w:w="1309" w:type="dxa"/>
            <w:noWrap w:val="0"/>
            <w:vAlign w:val="top"/>
          </w:tcPr>
          <w:p w14:paraId="7E052C07">
            <w:pPr>
              <w:widowControl w:val="0"/>
              <w:rPr>
                <w:rFonts w:hint="eastAsia" w:ascii="宋体" w:hAnsi="宋体" w:eastAsia="宋体" w:cs="宋体"/>
                <w:color w:val="auto"/>
                <w:sz w:val="24"/>
                <w:highlight w:val="none"/>
              </w:rPr>
            </w:pPr>
          </w:p>
        </w:tc>
        <w:tc>
          <w:tcPr>
            <w:tcW w:w="1835" w:type="dxa"/>
            <w:noWrap w:val="0"/>
            <w:vAlign w:val="top"/>
          </w:tcPr>
          <w:p w14:paraId="75EA32FD">
            <w:pPr>
              <w:widowControl w:val="0"/>
              <w:rPr>
                <w:rFonts w:hint="eastAsia" w:ascii="宋体" w:hAnsi="宋体" w:eastAsia="宋体" w:cs="宋体"/>
                <w:color w:val="auto"/>
                <w:sz w:val="24"/>
                <w:highlight w:val="none"/>
              </w:rPr>
            </w:pPr>
          </w:p>
        </w:tc>
        <w:tc>
          <w:tcPr>
            <w:tcW w:w="1739" w:type="dxa"/>
            <w:noWrap w:val="0"/>
            <w:vAlign w:val="top"/>
          </w:tcPr>
          <w:p w14:paraId="42600307">
            <w:pPr>
              <w:widowControl w:val="0"/>
              <w:rPr>
                <w:rFonts w:hint="eastAsia" w:ascii="宋体" w:hAnsi="宋体" w:eastAsia="宋体" w:cs="宋体"/>
                <w:color w:val="auto"/>
                <w:sz w:val="24"/>
                <w:highlight w:val="none"/>
              </w:rPr>
            </w:pPr>
          </w:p>
        </w:tc>
        <w:tc>
          <w:tcPr>
            <w:tcW w:w="2377" w:type="dxa"/>
            <w:noWrap w:val="0"/>
            <w:vAlign w:val="top"/>
          </w:tcPr>
          <w:p w14:paraId="0F3327BB">
            <w:pPr>
              <w:widowControl w:val="0"/>
              <w:rPr>
                <w:rFonts w:hint="eastAsia" w:ascii="宋体" w:hAnsi="宋体" w:eastAsia="宋体" w:cs="宋体"/>
                <w:color w:val="auto"/>
                <w:sz w:val="24"/>
                <w:highlight w:val="none"/>
              </w:rPr>
            </w:pPr>
          </w:p>
        </w:tc>
      </w:tr>
      <w:tr w14:paraId="4134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69CEA259">
            <w:pPr>
              <w:widowControl w:val="0"/>
              <w:rPr>
                <w:rFonts w:hint="eastAsia" w:ascii="宋体" w:hAnsi="宋体" w:eastAsia="宋体" w:cs="宋体"/>
                <w:color w:val="auto"/>
                <w:sz w:val="24"/>
                <w:highlight w:val="none"/>
              </w:rPr>
            </w:pPr>
          </w:p>
        </w:tc>
        <w:tc>
          <w:tcPr>
            <w:tcW w:w="1263" w:type="dxa"/>
            <w:noWrap w:val="0"/>
            <w:vAlign w:val="top"/>
          </w:tcPr>
          <w:p w14:paraId="77C3EED8">
            <w:pPr>
              <w:widowControl w:val="0"/>
              <w:rPr>
                <w:rFonts w:hint="eastAsia" w:ascii="宋体" w:hAnsi="宋体" w:eastAsia="宋体" w:cs="宋体"/>
                <w:color w:val="auto"/>
                <w:sz w:val="24"/>
                <w:highlight w:val="none"/>
              </w:rPr>
            </w:pPr>
          </w:p>
        </w:tc>
        <w:tc>
          <w:tcPr>
            <w:tcW w:w="1309" w:type="dxa"/>
            <w:noWrap w:val="0"/>
            <w:vAlign w:val="top"/>
          </w:tcPr>
          <w:p w14:paraId="32927A03">
            <w:pPr>
              <w:widowControl w:val="0"/>
              <w:rPr>
                <w:rFonts w:hint="eastAsia" w:ascii="宋体" w:hAnsi="宋体" w:eastAsia="宋体" w:cs="宋体"/>
                <w:color w:val="auto"/>
                <w:sz w:val="24"/>
                <w:highlight w:val="none"/>
              </w:rPr>
            </w:pPr>
          </w:p>
        </w:tc>
        <w:tc>
          <w:tcPr>
            <w:tcW w:w="1835" w:type="dxa"/>
            <w:noWrap w:val="0"/>
            <w:vAlign w:val="top"/>
          </w:tcPr>
          <w:p w14:paraId="70BC74E7">
            <w:pPr>
              <w:widowControl w:val="0"/>
              <w:rPr>
                <w:rFonts w:hint="eastAsia" w:ascii="宋体" w:hAnsi="宋体" w:eastAsia="宋体" w:cs="宋体"/>
                <w:color w:val="auto"/>
                <w:sz w:val="24"/>
                <w:highlight w:val="none"/>
              </w:rPr>
            </w:pPr>
          </w:p>
        </w:tc>
        <w:tc>
          <w:tcPr>
            <w:tcW w:w="1739" w:type="dxa"/>
            <w:noWrap w:val="0"/>
            <w:vAlign w:val="top"/>
          </w:tcPr>
          <w:p w14:paraId="31797DBF">
            <w:pPr>
              <w:widowControl w:val="0"/>
              <w:rPr>
                <w:rFonts w:hint="eastAsia" w:ascii="宋体" w:hAnsi="宋体" w:eastAsia="宋体" w:cs="宋体"/>
                <w:color w:val="auto"/>
                <w:sz w:val="24"/>
                <w:highlight w:val="none"/>
              </w:rPr>
            </w:pPr>
          </w:p>
        </w:tc>
        <w:tc>
          <w:tcPr>
            <w:tcW w:w="2377" w:type="dxa"/>
            <w:noWrap w:val="0"/>
            <w:vAlign w:val="top"/>
          </w:tcPr>
          <w:p w14:paraId="0EBD764A">
            <w:pPr>
              <w:widowControl w:val="0"/>
              <w:rPr>
                <w:rFonts w:hint="eastAsia" w:ascii="宋体" w:hAnsi="宋体" w:eastAsia="宋体" w:cs="宋体"/>
                <w:color w:val="auto"/>
                <w:sz w:val="24"/>
                <w:highlight w:val="none"/>
              </w:rPr>
            </w:pPr>
          </w:p>
        </w:tc>
      </w:tr>
      <w:tr w14:paraId="2A8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607D884F">
            <w:pPr>
              <w:widowControl w:val="0"/>
              <w:rPr>
                <w:rFonts w:hint="eastAsia" w:ascii="宋体" w:hAnsi="宋体" w:eastAsia="宋体" w:cs="宋体"/>
                <w:color w:val="auto"/>
                <w:sz w:val="24"/>
                <w:highlight w:val="none"/>
              </w:rPr>
            </w:pPr>
          </w:p>
        </w:tc>
        <w:tc>
          <w:tcPr>
            <w:tcW w:w="1263" w:type="dxa"/>
            <w:noWrap w:val="0"/>
            <w:vAlign w:val="top"/>
          </w:tcPr>
          <w:p w14:paraId="55C9F5BA">
            <w:pPr>
              <w:widowControl w:val="0"/>
              <w:rPr>
                <w:rFonts w:hint="eastAsia" w:ascii="宋体" w:hAnsi="宋体" w:eastAsia="宋体" w:cs="宋体"/>
                <w:color w:val="auto"/>
                <w:sz w:val="24"/>
                <w:highlight w:val="none"/>
              </w:rPr>
            </w:pPr>
          </w:p>
        </w:tc>
        <w:tc>
          <w:tcPr>
            <w:tcW w:w="1309" w:type="dxa"/>
            <w:noWrap w:val="0"/>
            <w:vAlign w:val="top"/>
          </w:tcPr>
          <w:p w14:paraId="5B66A358">
            <w:pPr>
              <w:widowControl w:val="0"/>
              <w:rPr>
                <w:rFonts w:hint="eastAsia" w:ascii="宋体" w:hAnsi="宋体" w:eastAsia="宋体" w:cs="宋体"/>
                <w:color w:val="auto"/>
                <w:sz w:val="24"/>
                <w:highlight w:val="none"/>
              </w:rPr>
            </w:pPr>
          </w:p>
        </w:tc>
        <w:tc>
          <w:tcPr>
            <w:tcW w:w="1835" w:type="dxa"/>
            <w:noWrap w:val="0"/>
            <w:vAlign w:val="top"/>
          </w:tcPr>
          <w:p w14:paraId="1C1A9D0F">
            <w:pPr>
              <w:widowControl w:val="0"/>
              <w:rPr>
                <w:rFonts w:hint="eastAsia" w:ascii="宋体" w:hAnsi="宋体" w:eastAsia="宋体" w:cs="宋体"/>
                <w:color w:val="auto"/>
                <w:sz w:val="24"/>
                <w:highlight w:val="none"/>
              </w:rPr>
            </w:pPr>
          </w:p>
        </w:tc>
        <w:tc>
          <w:tcPr>
            <w:tcW w:w="1739" w:type="dxa"/>
            <w:noWrap w:val="0"/>
            <w:vAlign w:val="top"/>
          </w:tcPr>
          <w:p w14:paraId="4D9F3BC0">
            <w:pPr>
              <w:widowControl w:val="0"/>
              <w:rPr>
                <w:rFonts w:hint="eastAsia" w:ascii="宋体" w:hAnsi="宋体" w:eastAsia="宋体" w:cs="宋体"/>
                <w:color w:val="auto"/>
                <w:sz w:val="24"/>
                <w:highlight w:val="none"/>
              </w:rPr>
            </w:pPr>
          </w:p>
        </w:tc>
        <w:tc>
          <w:tcPr>
            <w:tcW w:w="2377" w:type="dxa"/>
            <w:noWrap w:val="0"/>
            <w:vAlign w:val="top"/>
          </w:tcPr>
          <w:p w14:paraId="708553EE">
            <w:pPr>
              <w:widowControl w:val="0"/>
              <w:rPr>
                <w:rFonts w:hint="eastAsia" w:ascii="宋体" w:hAnsi="宋体" w:eastAsia="宋体" w:cs="宋体"/>
                <w:color w:val="auto"/>
                <w:sz w:val="24"/>
                <w:highlight w:val="none"/>
              </w:rPr>
            </w:pPr>
          </w:p>
        </w:tc>
      </w:tr>
      <w:tr w14:paraId="292B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3075F123">
            <w:pPr>
              <w:widowControl w:val="0"/>
              <w:rPr>
                <w:rFonts w:hint="eastAsia" w:ascii="宋体" w:hAnsi="宋体" w:eastAsia="宋体" w:cs="宋体"/>
                <w:color w:val="auto"/>
                <w:sz w:val="24"/>
                <w:highlight w:val="none"/>
              </w:rPr>
            </w:pPr>
          </w:p>
        </w:tc>
        <w:tc>
          <w:tcPr>
            <w:tcW w:w="1263" w:type="dxa"/>
            <w:noWrap w:val="0"/>
            <w:vAlign w:val="top"/>
          </w:tcPr>
          <w:p w14:paraId="6489E167">
            <w:pPr>
              <w:widowControl w:val="0"/>
              <w:rPr>
                <w:rFonts w:hint="eastAsia" w:ascii="宋体" w:hAnsi="宋体" w:eastAsia="宋体" w:cs="宋体"/>
                <w:color w:val="auto"/>
                <w:sz w:val="24"/>
                <w:highlight w:val="none"/>
              </w:rPr>
            </w:pPr>
          </w:p>
        </w:tc>
        <w:tc>
          <w:tcPr>
            <w:tcW w:w="1309" w:type="dxa"/>
            <w:noWrap w:val="0"/>
            <w:vAlign w:val="top"/>
          </w:tcPr>
          <w:p w14:paraId="2318ACC6">
            <w:pPr>
              <w:widowControl w:val="0"/>
              <w:rPr>
                <w:rFonts w:hint="eastAsia" w:ascii="宋体" w:hAnsi="宋体" w:eastAsia="宋体" w:cs="宋体"/>
                <w:color w:val="auto"/>
                <w:sz w:val="24"/>
                <w:highlight w:val="none"/>
              </w:rPr>
            </w:pPr>
          </w:p>
        </w:tc>
        <w:tc>
          <w:tcPr>
            <w:tcW w:w="1835" w:type="dxa"/>
            <w:noWrap w:val="0"/>
            <w:vAlign w:val="top"/>
          </w:tcPr>
          <w:p w14:paraId="2FFD2B30">
            <w:pPr>
              <w:widowControl w:val="0"/>
              <w:rPr>
                <w:rFonts w:hint="eastAsia" w:ascii="宋体" w:hAnsi="宋体" w:eastAsia="宋体" w:cs="宋体"/>
                <w:color w:val="auto"/>
                <w:sz w:val="24"/>
                <w:highlight w:val="none"/>
              </w:rPr>
            </w:pPr>
          </w:p>
        </w:tc>
        <w:tc>
          <w:tcPr>
            <w:tcW w:w="1739" w:type="dxa"/>
            <w:noWrap w:val="0"/>
            <w:vAlign w:val="top"/>
          </w:tcPr>
          <w:p w14:paraId="59125587">
            <w:pPr>
              <w:widowControl w:val="0"/>
              <w:rPr>
                <w:rFonts w:hint="eastAsia" w:ascii="宋体" w:hAnsi="宋体" w:eastAsia="宋体" w:cs="宋体"/>
                <w:color w:val="auto"/>
                <w:sz w:val="24"/>
                <w:highlight w:val="none"/>
              </w:rPr>
            </w:pPr>
          </w:p>
        </w:tc>
        <w:tc>
          <w:tcPr>
            <w:tcW w:w="2377" w:type="dxa"/>
            <w:noWrap w:val="0"/>
            <w:vAlign w:val="top"/>
          </w:tcPr>
          <w:p w14:paraId="50D37079">
            <w:pPr>
              <w:widowControl w:val="0"/>
              <w:rPr>
                <w:rFonts w:hint="eastAsia" w:ascii="宋体" w:hAnsi="宋体" w:eastAsia="宋体" w:cs="宋体"/>
                <w:color w:val="auto"/>
                <w:sz w:val="24"/>
                <w:highlight w:val="none"/>
              </w:rPr>
            </w:pPr>
          </w:p>
        </w:tc>
      </w:tr>
      <w:tr w14:paraId="04A8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4415BF58">
            <w:pPr>
              <w:widowControl w:val="0"/>
              <w:rPr>
                <w:rFonts w:hint="eastAsia" w:ascii="宋体" w:hAnsi="宋体" w:eastAsia="宋体" w:cs="宋体"/>
                <w:color w:val="auto"/>
                <w:sz w:val="24"/>
                <w:highlight w:val="none"/>
              </w:rPr>
            </w:pPr>
          </w:p>
        </w:tc>
        <w:tc>
          <w:tcPr>
            <w:tcW w:w="1263" w:type="dxa"/>
            <w:noWrap w:val="0"/>
            <w:vAlign w:val="top"/>
          </w:tcPr>
          <w:p w14:paraId="16874966">
            <w:pPr>
              <w:widowControl w:val="0"/>
              <w:rPr>
                <w:rFonts w:hint="eastAsia" w:ascii="宋体" w:hAnsi="宋体" w:eastAsia="宋体" w:cs="宋体"/>
                <w:color w:val="auto"/>
                <w:sz w:val="24"/>
                <w:highlight w:val="none"/>
              </w:rPr>
            </w:pPr>
          </w:p>
        </w:tc>
        <w:tc>
          <w:tcPr>
            <w:tcW w:w="1309" w:type="dxa"/>
            <w:noWrap w:val="0"/>
            <w:vAlign w:val="top"/>
          </w:tcPr>
          <w:p w14:paraId="730D9E57">
            <w:pPr>
              <w:widowControl w:val="0"/>
              <w:rPr>
                <w:rFonts w:hint="eastAsia" w:ascii="宋体" w:hAnsi="宋体" w:eastAsia="宋体" w:cs="宋体"/>
                <w:color w:val="auto"/>
                <w:sz w:val="24"/>
                <w:highlight w:val="none"/>
              </w:rPr>
            </w:pPr>
          </w:p>
        </w:tc>
        <w:tc>
          <w:tcPr>
            <w:tcW w:w="1835" w:type="dxa"/>
            <w:noWrap w:val="0"/>
            <w:vAlign w:val="top"/>
          </w:tcPr>
          <w:p w14:paraId="6BB48997">
            <w:pPr>
              <w:widowControl w:val="0"/>
              <w:rPr>
                <w:rFonts w:hint="eastAsia" w:ascii="宋体" w:hAnsi="宋体" w:eastAsia="宋体" w:cs="宋体"/>
                <w:color w:val="auto"/>
                <w:sz w:val="24"/>
                <w:highlight w:val="none"/>
              </w:rPr>
            </w:pPr>
          </w:p>
        </w:tc>
        <w:tc>
          <w:tcPr>
            <w:tcW w:w="1739" w:type="dxa"/>
            <w:noWrap w:val="0"/>
            <w:vAlign w:val="top"/>
          </w:tcPr>
          <w:p w14:paraId="094D873B">
            <w:pPr>
              <w:widowControl w:val="0"/>
              <w:rPr>
                <w:rFonts w:hint="eastAsia" w:ascii="宋体" w:hAnsi="宋体" w:eastAsia="宋体" w:cs="宋体"/>
                <w:color w:val="auto"/>
                <w:sz w:val="24"/>
                <w:highlight w:val="none"/>
              </w:rPr>
            </w:pPr>
          </w:p>
        </w:tc>
        <w:tc>
          <w:tcPr>
            <w:tcW w:w="2377" w:type="dxa"/>
            <w:noWrap w:val="0"/>
            <w:vAlign w:val="top"/>
          </w:tcPr>
          <w:p w14:paraId="3ADFB457">
            <w:pPr>
              <w:widowControl w:val="0"/>
              <w:rPr>
                <w:rFonts w:hint="eastAsia" w:ascii="宋体" w:hAnsi="宋体" w:eastAsia="宋体" w:cs="宋体"/>
                <w:color w:val="auto"/>
                <w:sz w:val="24"/>
                <w:highlight w:val="none"/>
              </w:rPr>
            </w:pPr>
          </w:p>
        </w:tc>
      </w:tr>
      <w:tr w14:paraId="5DD1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4" w:type="dxa"/>
            <w:noWrap w:val="0"/>
            <w:vAlign w:val="top"/>
          </w:tcPr>
          <w:p w14:paraId="7833761A">
            <w:pPr>
              <w:widowControl w:val="0"/>
              <w:rPr>
                <w:rFonts w:hint="eastAsia" w:ascii="宋体" w:hAnsi="宋体" w:eastAsia="宋体" w:cs="宋体"/>
                <w:color w:val="auto"/>
                <w:sz w:val="24"/>
                <w:highlight w:val="none"/>
              </w:rPr>
            </w:pPr>
          </w:p>
        </w:tc>
        <w:tc>
          <w:tcPr>
            <w:tcW w:w="1263" w:type="dxa"/>
            <w:noWrap w:val="0"/>
            <w:vAlign w:val="top"/>
          </w:tcPr>
          <w:p w14:paraId="5EAA25E9">
            <w:pPr>
              <w:widowControl w:val="0"/>
              <w:rPr>
                <w:rFonts w:hint="eastAsia" w:ascii="宋体" w:hAnsi="宋体" w:eastAsia="宋体" w:cs="宋体"/>
                <w:color w:val="auto"/>
                <w:sz w:val="24"/>
                <w:highlight w:val="none"/>
              </w:rPr>
            </w:pPr>
          </w:p>
        </w:tc>
        <w:tc>
          <w:tcPr>
            <w:tcW w:w="1309" w:type="dxa"/>
            <w:noWrap w:val="0"/>
            <w:vAlign w:val="top"/>
          </w:tcPr>
          <w:p w14:paraId="5274F9EA">
            <w:pPr>
              <w:widowControl w:val="0"/>
              <w:rPr>
                <w:rFonts w:hint="eastAsia" w:ascii="宋体" w:hAnsi="宋体" w:eastAsia="宋体" w:cs="宋体"/>
                <w:color w:val="auto"/>
                <w:sz w:val="24"/>
                <w:highlight w:val="none"/>
              </w:rPr>
            </w:pPr>
          </w:p>
        </w:tc>
        <w:tc>
          <w:tcPr>
            <w:tcW w:w="1835" w:type="dxa"/>
            <w:noWrap w:val="0"/>
            <w:vAlign w:val="top"/>
          </w:tcPr>
          <w:p w14:paraId="1598D6E0">
            <w:pPr>
              <w:widowControl w:val="0"/>
              <w:rPr>
                <w:rFonts w:hint="eastAsia" w:ascii="宋体" w:hAnsi="宋体" w:eastAsia="宋体" w:cs="宋体"/>
                <w:color w:val="auto"/>
                <w:sz w:val="24"/>
                <w:highlight w:val="none"/>
              </w:rPr>
            </w:pPr>
          </w:p>
        </w:tc>
        <w:tc>
          <w:tcPr>
            <w:tcW w:w="1739" w:type="dxa"/>
            <w:noWrap w:val="0"/>
            <w:vAlign w:val="top"/>
          </w:tcPr>
          <w:p w14:paraId="59B5D901">
            <w:pPr>
              <w:widowControl w:val="0"/>
              <w:rPr>
                <w:rFonts w:hint="eastAsia" w:ascii="宋体" w:hAnsi="宋体" w:eastAsia="宋体" w:cs="宋体"/>
                <w:color w:val="auto"/>
                <w:sz w:val="24"/>
                <w:highlight w:val="none"/>
              </w:rPr>
            </w:pPr>
          </w:p>
        </w:tc>
        <w:tc>
          <w:tcPr>
            <w:tcW w:w="2377" w:type="dxa"/>
            <w:noWrap w:val="0"/>
            <w:vAlign w:val="top"/>
          </w:tcPr>
          <w:p w14:paraId="48769958">
            <w:pPr>
              <w:widowControl w:val="0"/>
              <w:rPr>
                <w:rFonts w:hint="eastAsia" w:ascii="宋体" w:hAnsi="宋体" w:eastAsia="宋体" w:cs="宋体"/>
                <w:color w:val="auto"/>
                <w:sz w:val="24"/>
                <w:highlight w:val="none"/>
              </w:rPr>
            </w:pPr>
          </w:p>
        </w:tc>
      </w:tr>
    </w:tbl>
    <w:p w14:paraId="11B6FFCD">
      <w:pPr>
        <w:keepNext w:val="0"/>
        <w:keepLines w:val="0"/>
        <w:pageBreakBefore w:val="0"/>
        <w:kinsoku/>
        <w:wordWrap/>
        <w:overflowPunct/>
        <w:topLinePunct w:val="0"/>
        <w:bidi w:val="0"/>
        <w:snapToGrid/>
        <w:spacing w:line="480" w:lineRule="auto"/>
        <w:jc w:val="left"/>
        <w:textAlignment w:val="auto"/>
        <w:outlineLvl w:val="9"/>
        <w:rPr>
          <w:rFonts w:hint="eastAsia" w:ascii="宋体" w:hAnsi="宋体" w:eastAsia="宋体" w:cs="宋体"/>
          <w:color w:val="auto"/>
          <w:sz w:val="24"/>
          <w:highlight w:val="none"/>
        </w:rPr>
      </w:pPr>
      <w:bookmarkStart w:id="53" w:name="_Toc2944"/>
      <w:bookmarkStart w:id="54" w:name="_Toc1744"/>
    </w:p>
    <w:p w14:paraId="24936E40">
      <w:pPr>
        <w:spacing w:line="360" w:lineRule="auto"/>
        <w:ind w:firstLine="435"/>
        <w:jc w:val="left"/>
        <w:rPr>
          <w:rFonts w:ascii="宋体" w:hAnsi="宋体" w:cs="宋体"/>
          <w:b/>
          <w:bCs/>
          <w:color w:val="auto"/>
          <w:kern w:val="0"/>
          <w:szCs w:val="21"/>
          <w:highlight w:val="none"/>
        </w:rPr>
      </w:pPr>
      <w:bookmarkStart w:id="55" w:name="_Toc121"/>
    </w:p>
    <w:p w14:paraId="7F54AEE2">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14:paraId="282D5261">
      <w:pPr>
        <w:keepNext w:val="0"/>
        <w:keepLines w:val="0"/>
        <w:pageBreakBefore w:val="0"/>
        <w:kinsoku/>
        <w:wordWrap/>
        <w:overflowPunct/>
        <w:topLinePunct w:val="0"/>
        <w:bidi w:val="0"/>
        <w:snapToGrid/>
        <w:spacing w:line="480" w:lineRule="auto"/>
        <w:jc w:val="center"/>
        <w:textAlignment w:val="auto"/>
        <w:outlineLvl w:val="9"/>
        <w:rPr>
          <w:rFonts w:hint="eastAsia" w:ascii="宋体" w:hAnsi="宋体" w:eastAsia="宋体" w:cs="宋体"/>
          <w:b w:val="0"/>
          <w:bCs w:val="0"/>
          <w:color w:val="auto"/>
          <w:sz w:val="28"/>
          <w:szCs w:val="28"/>
          <w:highlight w:val="none"/>
          <w:lang w:val="zh-CN"/>
        </w:rPr>
      </w:pPr>
      <w:bookmarkStart w:id="56" w:name="_Toc23325"/>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项目管理机构人员</w:t>
      </w:r>
      <w:r>
        <w:rPr>
          <w:rFonts w:hint="eastAsia" w:ascii="宋体" w:hAnsi="宋体" w:eastAsia="宋体" w:cs="宋体"/>
          <w:b/>
          <w:bCs/>
          <w:color w:val="auto"/>
          <w:sz w:val="28"/>
          <w:szCs w:val="28"/>
          <w:highlight w:val="none"/>
          <w:lang w:val="zh-CN"/>
        </w:rPr>
        <w:t>简历及业绩表</w:t>
      </w:r>
      <w:bookmarkEnd w:id="53"/>
      <w:bookmarkEnd w:id="54"/>
      <w:bookmarkEnd w:id="55"/>
      <w:bookmarkEnd w:id="56"/>
    </w:p>
    <w:tbl>
      <w:tblPr>
        <w:tblStyle w:val="10"/>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817"/>
        <w:gridCol w:w="908"/>
        <w:gridCol w:w="908"/>
        <w:gridCol w:w="910"/>
        <w:gridCol w:w="1412"/>
        <w:gridCol w:w="1311"/>
        <w:gridCol w:w="726"/>
        <w:gridCol w:w="1305"/>
      </w:tblGrid>
      <w:tr w14:paraId="724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21D3697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姓名</w:t>
            </w:r>
          </w:p>
        </w:tc>
        <w:tc>
          <w:tcPr>
            <w:tcW w:w="2725" w:type="dxa"/>
            <w:gridSpan w:val="2"/>
            <w:noWrap w:val="0"/>
            <w:vAlign w:val="top"/>
          </w:tcPr>
          <w:p w14:paraId="65C24BE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908" w:type="dxa"/>
            <w:noWrap w:val="0"/>
            <w:vAlign w:val="top"/>
          </w:tcPr>
          <w:p w14:paraId="29DB63F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性别</w:t>
            </w:r>
          </w:p>
        </w:tc>
        <w:tc>
          <w:tcPr>
            <w:tcW w:w="2322" w:type="dxa"/>
            <w:gridSpan w:val="2"/>
            <w:noWrap w:val="0"/>
            <w:vAlign w:val="top"/>
          </w:tcPr>
          <w:p w14:paraId="0B11024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11" w:type="dxa"/>
            <w:noWrap w:val="0"/>
            <w:vAlign w:val="top"/>
          </w:tcPr>
          <w:p w14:paraId="4E3D18D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年龄</w:t>
            </w:r>
          </w:p>
        </w:tc>
        <w:tc>
          <w:tcPr>
            <w:tcW w:w="2031" w:type="dxa"/>
            <w:gridSpan w:val="2"/>
            <w:noWrap w:val="0"/>
            <w:vAlign w:val="top"/>
          </w:tcPr>
          <w:p w14:paraId="49DFBCD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1D50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74B98E4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职务</w:t>
            </w:r>
          </w:p>
        </w:tc>
        <w:tc>
          <w:tcPr>
            <w:tcW w:w="2725" w:type="dxa"/>
            <w:gridSpan w:val="2"/>
            <w:noWrap w:val="0"/>
            <w:vAlign w:val="top"/>
          </w:tcPr>
          <w:p w14:paraId="5ADFFA8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908" w:type="dxa"/>
            <w:noWrap w:val="0"/>
            <w:vAlign w:val="top"/>
          </w:tcPr>
          <w:p w14:paraId="4976773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职称</w:t>
            </w:r>
          </w:p>
        </w:tc>
        <w:tc>
          <w:tcPr>
            <w:tcW w:w="2322" w:type="dxa"/>
            <w:gridSpan w:val="2"/>
            <w:noWrap w:val="0"/>
            <w:vAlign w:val="top"/>
          </w:tcPr>
          <w:p w14:paraId="0E7CE0A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11" w:type="dxa"/>
            <w:noWrap w:val="0"/>
            <w:vAlign w:val="top"/>
          </w:tcPr>
          <w:p w14:paraId="281D879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学历</w:t>
            </w:r>
          </w:p>
        </w:tc>
        <w:tc>
          <w:tcPr>
            <w:tcW w:w="2031" w:type="dxa"/>
            <w:gridSpan w:val="2"/>
            <w:noWrap w:val="0"/>
            <w:vAlign w:val="top"/>
          </w:tcPr>
          <w:p w14:paraId="418A2C0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0D66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25" w:type="dxa"/>
            <w:gridSpan w:val="2"/>
            <w:noWrap w:val="0"/>
            <w:vAlign w:val="top"/>
          </w:tcPr>
          <w:p w14:paraId="7B3DE4F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参加工作时间</w:t>
            </w:r>
          </w:p>
        </w:tc>
        <w:tc>
          <w:tcPr>
            <w:tcW w:w="2726" w:type="dxa"/>
            <w:gridSpan w:val="3"/>
            <w:noWrap w:val="0"/>
            <w:vAlign w:val="top"/>
          </w:tcPr>
          <w:p w14:paraId="2761D7B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723" w:type="dxa"/>
            <w:gridSpan w:val="2"/>
            <w:noWrap w:val="0"/>
            <w:vAlign w:val="top"/>
          </w:tcPr>
          <w:p w14:paraId="2C4E069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任职年限</w:t>
            </w:r>
          </w:p>
        </w:tc>
        <w:tc>
          <w:tcPr>
            <w:tcW w:w="2031" w:type="dxa"/>
            <w:gridSpan w:val="2"/>
            <w:noWrap w:val="0"/>
            <w:vAlign w:val="top"/>
          </w:tcPr>
          <w:p w14:paraId="3751954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62CD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25" w:type="dxa"/>
            <w:gridSpan w:val="2"/>
            <w:noWrap w:val="0"/>
            <w:vAlign w:val="top"/>
          </w:tcPr>
          <w:p w14:paraId="7065361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证书类别</w:t>
            </w:r>
          </w:p>
        </w:tc>
        <w:tc>
          <w:tcPr>
            <w:tcW w:w="2726" w:type="dxa"/>
            <w:gridSpan w:val="3"/>
            <w:noWrap w:val="0"/>
            <w:vAlign w:val="top"/>
          </w:tcPr>
          <w:p w14:paraId="3E1A6CD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723" w:type="dxa"/>
            <w:gridSpan w:val="2"/>
            <w:noWrap w:val="0"/>
            <w:vAlign w:val="top"/>
          </w:tcPr>
          <w:p w14:paraId="432DECA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证书编号</w:t>
            </w:r>
          </w:p>
        </w:tc>
        <w:tc>
          <w:tcPr>
            <w:tcW w:w="2031" w:type="dxa"/>
            <w:gridSpan w:val="2"/>
            <w:noWrap w:val="0"/>
            <w:vAlign w:val="top"/>
          </w:tcPr>
          <w:p w14:paraId="77C501C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3FD4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205" w:type="dxa"/>
            <w:gridSpan w:val="9"/>
            <w:noWrap w:val="0"/>
            <w:vAlign w:val="top"/>
          </w:tcPr>
          <w:p w14:paraId="743FE1B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项目情况</w:t>
            </w:r>
          </w:p>
        </w:tc>
      </w:tr>
      <w:tr w14:paraId="7019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112B1D8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序号</w:t>
            </w:r>
          </w:p>
        </w:tc>
        <w:tc>
          <w:tcPr>
            <w:tcW w:w="3633" w:type="dxa"/>
            <w:gridSpan w:val="3"/>
            <w:noWrap w:val="0"/>
            <w:vAlign w:val="top"/>
          </w:tcPr>
          <w:p w14:paraId="054B038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项目名称</w:t>
            </w:r>
          </w:p>
        </w:tc>
        <w:tc>
          <w:tcPr>
            <w:tcW w:w="2322" w:type="dxa"/>
            <w:gridSpan w:val="2"/>
            <w:noWrap w:val="0"/>
            <w:vAlign w:val="top"/>
          </w:tcPr>
          <w:p w14:paraId="649D9CD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项目内容</w:t>
            </w:r>
          </w:p>
        </w:tc>
        <w:tc>
          <w:tcPr>
            <w:tcW w:w="2037" w:type="dxa"/>
            <w:gridSpan w:val="2"/>
            <w:noWrap w:val="0"/>
            <w:vAlign w:val="top"/>
          </w:tcPr>
          <w:p w14:paraId="0F4850F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合同金额</w:t>
            </w:r>
          </w:p>
        </w:tc>
        <w:tc>
          <w:tcPr>
            <w:tcW w:w="1305" w:type="dxa"/>
            <w:noWrap w:val="0"/>
            <w:vAlign w:val="top"/>
          </w:tcPr>
          <w:p w14:paraId="05BF502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业主评价</w:t>
            </w:r>
          </w:p>
        </w:tc>
      </w:tr>
      <w:tr w14:paraId="1514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6A2B33F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499746B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292A99F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2098A75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5441CB1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0F61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7AAC791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6B7CEF3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57F3BFE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4BF3FC5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7BD7D94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372B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2D8343C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30FBAC0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337DF60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1312E92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4D688C5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68A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4D8D852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505D32E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268CA50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49446ED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6B0683F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4657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5BF380D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7A65928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4FD5DF5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6F73FA9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2F56F96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6A00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5F494F2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0C0B0F5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420ACB7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7EF72E9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49D787B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2FB2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3552F71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7BF6B74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0A68F32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580BAF2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4D391A3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2031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2A9BEDB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574DA71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1F691B6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4488557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58B0154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380E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15B1713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3C9853F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6735AAF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7169873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50F7D76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304D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8" w:type="dxa"/>
            <w:noWrap w:val="0"/>
            <w:vAlign w:val="top"/>
          </w:tcPr>
          <w:p w14:paraId="432B9B2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726D51A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43ED174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20DEEF2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6FF4C3D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r w14:paraId="10C5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noWrap w:val="0"/>
            <w:vAlign w:val="top"/>
          </w:tcPr>
          <w:p w14:paraId="128B9E6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3633" w:type="dxa"/>
            <w:gridSpan w:val="3"/>
            <w:noWrap w:val="0"/>
            <w:vAlign w:val="top"/>
          </w:tcPr>
          <w:p w14:paraId="36C5A6F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322" w:type="dxa"/>
            <w:gridSpan w:val="2"/>
            <w:noWrap w:val="0"/>
            <w:vAlign w:val="top"/>
          </w:tcPr>
          <w:p w14:paraId="536901C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2037" w:type="dxa"/>
            <w:gridSpan w:val="2"/>
            <w:noWrap w:val="0"/>
            <w:vAlign w:val="top"/>
          </w:tcPr>
          <w:p w14:paraId="026F42F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c>
          <w:tcPr>
            <w:tcW w:w="1305" w:type="dxa"/>
            <w:noWrap w:val="0"/>
            <w:vAlign w:val="top"/>
          </w:tcPr>
          <w:p w14:paraId="0D356B4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2"/>
                <w:szCs w:val="18"/>
                <w:highlight w:val="none"/>
                <w:lang w:val="zh-CN"/>
              </w:rPr>
            </w:pPr>
          </w:p>
        </w:tc>
      </w:tr>
    </w:tbl>
    <w:p w14:paraId="67613652">
      <w:pPr>
        <w:spacing w:line="360" w:lineRule="auto"/>
        <w:jc w:val="both"/>
        <w:rPr>
          <w:rFonts w:hint="eastAsia" w:ascii="宋体" w:hAnsi="宋体" w:eastAsia="宋体" w:cs="宋体"/>
          <w:bCs/>
          <w:color w:val="auto"/>
          <w:szCs w:val="18"/>
          <w:highlight w:val="none"/>
          <w:lang w:val="zh-CN"/>
        </w:rPr>
      </w:pPr>
    </w:p>
    <w:p w14:paraId="3C2AF125">
      <w:pPr>
        <w:spacing w:line="360" w:lineRule="auto"/>
        <w:jc w:val="both"/>
        <w:rPr>
          <w:rFonts w:hint="eastAsia" w:ascii="宋体" w:hAnsi="宋体" w:eastAsia="宋体" w:cs="宋体"/>
          <w:bCs/>
          <w:color w:val="auto"/>
          <w:szCs w:val="18"/>
          <w:highlight w:val="none"/>
          <w:lang w:val="zh-CN"/>
        </w:rPr>
      </w:pPr>
    </w:p>
    <w:p w14:paraId="6AEED051">
      <w:pPr>
        <w:spacing w:line="360" w:lineRule="auto"/>
        <w:jc w:val="both"/>
        <w:rPr>
          <w:rFonts w:hint="eastAsia" w:ascii="宋体" w:hAnsi="宋体" w:eastAsia="宋体" w:cs="宋体"/>
          <w:bCs/>
          <w:color w:val="auto"/>
          <w:szCs w:val="18"/>
          <w:highlight w:val="none"/>
          <w:lang w:val="zh-CN"/>
        </w:rPr>
      </w:pPr>
    </w:p>
    <w:p w14:paraId="3181A330">
      <w:pPr>
        <w:pStyle w:val="14"/>
        <w:rPr>
          <w:rFonts w:hint="eastAsia" w:ascii="宋体" w:hAnsi="宋体" w:eastAsia="宋体" w:cs="宋体"/>
          <w:bCs/>
          <w:color w:val="auto"/>
          <w:szCs w:val="18"/>
          <w:highlight w:val="none"/>
          <w:lang w:val="zh-CN"/>
        </w:rPr>
      </w:pPr>
      <w:r>
        <w:rPr>
          <w:rFonts w:hint="eastAsia" w:ascii="宋体" w:hAnsi="宋体" w:cs="宋体"/>
          <w:b/>
          <w:bCs/>
          <w:color w:val="auto"/>
          <w:kern w:val="0"/>
          <w:szCs w:val="21"/>
          <w:highlight w:val="none"/>
          <w:lang w:val="en-US" w:eastAsia="zh-CN"/>
        </w:rPr>
        <w:t>一人一表。</w:t>
      </w:r>
    </w:p>
    <w:p w14:paraId="7801DE20">
      <w:pPr>
        <w:spacing w:line="220" w:lineRule="auto"/>
        <w:rPr>
          <w:rFonts w:ascii="宋体" w:hAnsi="宋体" w:eastAsia="宋体" w:cs="宋体"/>
          <w:color w:val="auto"/>
          <w:sz w:val="24"/>
          <w:szCs w:val="24"/>
          <w:highlight w:val="none"/>
        </w:rPr>
        <w:sectPr>
          <w:footerReference r:id="rId20" w:type="default"/>
          <w:pgSz w:w="11906" w:h="16839"/>
          <w:pgMar w:top="1313" w:right="900" w:bottom="1157" w:left="964" w:header="0" w:footer="992" w:gutter="0"/>
          <w:pgNumType w:fmt="decimal"/>
          <w:cols w:space="720" w:num="1"/>
        </w:sectPr>
      </w:pPr>
    </w:p>
    <w:p w14:paraId="3DEB91D8">
      <w:pPr>
        <w:numPr>
          <w:ilvl w:val="0"/>
          <w:numId w:val="0"/>
        </w:numPr>
        <w:adjustRightInd w:val="0"/>
        <w:snapToGrid w:val="0"/>
        <w:spacing w:line="360" w:lineRule="auto"/>
        <w:jc w:val="center"/>
        <w:outlineLvl w:val="1"/>
        <w:rPr>
          <w:rFonts w:hint="eastAsia" w:ascii="宋体" w:hAnsi="宋体" w:cs="宋体"/>
          <w:b/>
          <w:bCs/>
          <w:color w:val="auto"/>
          <w:sz w:val="32"/>
          <w:szCs w:val="32"/>
          <w:highlight w:val="none"/>
          <w:lang w:eastAsia="zh-CN"/>
        </w:rPr>
      </w:pPr>
      <w:bookmarkStart w:id="57" w:name="_Toc16303"/>
      <w:bookmarkStart w:id="58" w:name="_Toc23703"/>
      <w:bookmarkStart w:id="59" w:name="_Toc11145"/>
      <w:bookmarkStart w:id="60" w:name="_Toc14107"/>
      <w:bookmarkStart w:id="61" w:name="_Toc14139"/>
      <w:bookmarkStart w:id="62" w:name="_Toc20171"/>
      <w:bookmarkStart w:id="63" w:name="_Toc6145"/>
      <w:r>
        <w:rPr>
          <w:rFonts w:hint="eastAsia" w:ascii="宋体" w:hAnsi="宋体" w:cs="宋体"/>
          <w:b/>
          <w:bCs/>
          <w:color w:val="auto"/>
          <w:sz w:val="32"/>
          <w:szCs w:val="32"/>
          <w:highlight w:val="none"/>
          <w:lang w:val="en-US" w:eastAsia="zh-CN"/>
        </w:rPr>
        <w:t xml:space="preserve">附件8 </w:t>
      </w:r>
      <w:r>
        <w:rPr>
          <w:rFonts w:hint="eastAsia" w:ascii="宋体" w:hAnsi="宋体" w:cs="宋体"/>
          <w:b/>
          <w:bCs/>
          <w:color w:val="auto"/>
          <w:sz w:val="32"/>
          <w:szCs w:val="32"/>
          <w:highlight w:val="none"/>
          <w:lang w:eastAsia="zh-CN"/>
        </w:rPr>
        <w:t>资格审查资料</w:t>
      </w:r>
      <w:bookmarkEnd w:id="57"/>
      <w:bookmarkEnd w:id="58"/>
      <w:bookmarkEnd w:id="59"/>
      <w:bookmarkEnd w:id="60"/>
      <w:bookmarkEnd w:id="61"/>
      <w:bookmarkEnd w:id="62"/>
      <w:bookmarkEnd w:id="63"/>
    </w:p>
    <w:p w14:paraId="60F3513D">
      <w:pPr>
        <w:numPr>
          <w:ilvl w:val="0"/>
          <w:numId w:val="0"/>
        </w:numPr>
        <w:adjustRightInd w:val="0"/>
        <w:snapToGrid w:val="0"/>
        <w:spacing w:line="360" w:lineRule="auto"/>
        <w:jc w:val="center"/>
        <w:outlineLvl w:val="2"/>
        <w:rPr>
          <w:rFonts w:hint="eastAsia" w:ascii="宋体" w:hAnsi="宋体" w:eastAsia="宋体" w:cs="宋体"/>
          <w:color w:val="auto"/>
          <w:sz w:val="28"/>
          <w:highlight w:val="none"/>
        </w:rPr>
      </w:pPr>
      <w:bookmarkStart w:id="64" w:name="_Toc21800"/>
      <w:bookmarkStart w:id="65" w:name="_Toc8695"/>
      <w:bookmarkStart w:id="66" w:name="_Toc21558"/>
      <w:bookmarkStart w:id="67" w:name="_Toc4046"/>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基本情况表</w:t>
      </w:r>
      <w:bookmarkEnd w:id="64"/>
      <w:bookmarkEnd w:id="65"/>
      <w:bookmarkEnd w:id="66"/>
      <w:bookmarkEnd w:id="67"/>
    </w:p>
    <w:tbl>
      <w:tblPr>
        <w:tblStyle w:val="1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259"/>
        <w:gridCol w:w="3023"/>
        <w:gridCol w:w="1370"/>
        <w:gridCol w:w="2629"/>
      </w:tblGrid>
      <w:tr w14:paraId="6886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4C86F31E">
            <w:pPr>
              <w:spacing w:line="305" w:lineRule="exact"/>
              <w:jc w:val="center"/>
              <w:rPr>
                <w:rFonts w:hint="eastAsia" w:ascii="宋体" w:hAnsi="宋体" w:eastAsia="宋体" w:cs="宋体"/>
                <w:color w:val="auto"/>
                <w:sz w:val="24"/>
                <w:highlight w:val="none"/>
                <w:lang w:val="zh-CN"/>
              </w:rPr>
            </w:pPr>
            <w:bookmarkStart w:id="68" w:name="page81"/>
            <w:bookmarkEnd w:id="68"/>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rPr>
              <w:t>名称</w:t>
            </w:r>
          </w:p>
        </w:tc>
        <w:tc>
          <w:tcPr>
            <w:tcW w:w="8281" w:type="dxa"/>
            <w:gridSpan w:val="4"/>
            <w:noWrap w:val="0"/>
            <w:vAlign w:val="center"/>
          </w:tcPr>
          <w:p w14:paraId="5BBC8DE3">
            <w:pPr>
              <w:spacing w:line="305" w:lineRule="exact"/>
              <w:jc w:val="center"/>
              <w:rPr>
                <w:rFonts w:hint="eastAsia" w:ascii="宋体" w:hAnsi="宋体" w:eastAsia="宋体" w:cs="宋体"/>
                <w:color w:val="auto"/>
                <w:sz w:val="24"/>
                <w:highlight w:val="none"/>
                <w:lang w:val="zh-CN"/>
              </w:rPr>
            </w:pPr>
          </w:p>
        </w:tc>
      </w:tr>
      <w:tr w14:paraId="5AE0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2914FF00">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注册地址</w:t>
            </w:r>
          </w:p>
        </w:tc>
        <w:tc>
          <w:tcPr>
            <w:tcW w:w="4282" w:type="dxa"/>
            <w:gridSpan w:val="2"/>
            <w:noWrap w:val="0"/>
            <w:vAlign w:val="center"/>
          </w:tcPr>
          <w:p w14:paraId="56B68148">
            <w:pPr>
              <w:spacing w:line="305" w:lineRule="exact"/>
              <w:jc w:val="center"/>
              <w:rPr>
                <w:rFonts w:hint="eastAsia" w:ascii="宋体" w:hAnsi="宋体" w:eastAsia="宋体" w:cs="宋体"/>
                <w:color w:val="auto"/>
                <w:sz w:val="24"/>
                <w:highlight w:val="none"/>
                <w:lang w:val="zh-CN"/>
              </w:rPr>
            </w:pPr>
          </w:p>
        </w:tc>
        <w:tc>
          <w:tcPr>
            <w:tcW w:w="1370" w:type="dxa"/>
            <w:noWrap w:val="0"/>
            <w:vAlign w:val="center"/>
          </w:tcPr>
          <w:p w14:paraId="4271A3B3">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w:t>
            </w:r>
          </w:p>
        </w:tc>
        <w:tc>
          <w:tcPr>
            <w:tcW w:w="2629" w:type="dxa"/>
            <w:noWrap w:val="0"/>
            <w:vAlign w:val="center"/>
          </w:tcPr>
          <w:p w14:paraId="29803EC6">
            <w:pPr>
              <w:spacing w:line="305" w:lineRule="exact"/>
              <w:jc w:val="center"/>
              <w:rPr>
                <w:rFonts w:hint="eastAsia" w:ascii="宋体" w:hAnsi="宋体" w:eastAsia="宋体" w:cs="宋体"/>
                <w:color w:val="auto"/>
                <w:sz w:val="24"/>
                <w:highlight w:val="none"/>
                <w:lang w:val="zh-CN"/>
              </w:rPr>
            </w:pPr>
          </w:p>
        </w:tc>
      </w:tr>
      <w:tr w14:paraId="6A14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vMerge w:val="restart"/>
            <w:noWrap w:val="0"/>
            <w:vAlign w:val="center"/>
          </w:tcPr>
          <w:p w14:paraId="2DFD1397">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联系方式</w:t>
            </w:r>
          </w:p>
        </w:tc>
        <w:tc>
          <w:tcPr>
            <w:tcW w:w="1259" w:type="dxa"/>
            <w:noWrap w:val="0"/>
            <w:vAlign w:val="center"/>
          </w:tcPr>
          <w:p w14:paraId="02190802">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w:t>
            </w:r>
          </w:p>
        </w:tc>
        <w:tc>
          <w:tcPr>
            <w:tcW w:w="3023" w:type="dxa"/>
            <w:noWrap w:val="0"/>
            <w:vAlign w:val="center"/>
          </w:tcPr>
          <w:p w14:paraId="6075AC97">
            <w:pPr>
              <w:spacing w:line="305" w:lineRule="exact"/>
              <w:jc w:val="center"/>
              <w:rPr>
                <w:rFonts w:hint="eastAsia" w:ascii="宋体" w:hAnsi="宋体" w:eastAsia="宋体" w:cs="宋体"/>
                <w:color w:val="auto"/>
                <w:sz w:val="24"/>
                <w:highlight w:val="none"/>
                <w:lang w:val="zh-CN"/>
              </w:rPr>
            </w:pPr>
          </w:p>
        </w:tc>
        <w:tc>
          <w:tcPr>
            <w:tcW w:w="1370" w:type="dxa"/>
            <w:noWrap w:val="0"/>
            <w:vAlign w:val="center"/>
          </w:tcPr>
          <w:p w14:paraId="733DB242">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p>
        </w:tc>
        <w:tc>
          <w:tcPr>
            <w:tcW w:w="2629" w:type="dxa"/>
            <w:noWrap w:val="0"/>
            <w:vAlign w:val="center"/>
          </w:tcPr>
          <w:p w14:paraId="7D25DC9B">
            <w:pPr>
              <w:spacing w:line="305" w:lineRule="exact"/>
              <w:jc w:val="center"/>
              <w:rPr>
                <w:rFonts w:hint="eastAsia" w:ascii="宋体" w:hAnsi="宋体" w:eastAsia="宋体" w:cs="宋体"/>
                <w:color w:val="auto"/>
                <w:sz w:val="24"/>
                <w:highlight w:val="none"/>
                <w:lang w:val="zh-CN"/>
              </w:rPr>
            </w:pPr>
          </w:p>
        </w:tc>
      </w:tr>
      <w:tr w14:paraId="719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vMerge w:val="continue"/>
            <w:noWrap w:val="0"/>
            <w:vAlign w:val="center"/>
          </w:tcPr>
          <w:p w14:paraId="06233CEC">
            <w:pPr>
              <w:spacing w:line="305" w:lineRule="exact"/>
              <w:jc w:val="center"/>
              <w:rPr>
                <w:rFonts w:hint="eastAsia" w:ascii="宋体" w:hAnsi="宋体" w:eastAsia="宋体" w:cs="宋体"/>
                <w:color w:val="auto"/>
                <w:sz w:val="24"/>
                <w:highlight w:val="none"/>
                <w:lang w:val="zh-CN"/>
              </w:rPr>
            </w:pPr>
          </w:p>
        </w:tc>
        <w:tc>
          <w:tcPr>
            <w:tcW w:w="1259" w:type="dxa"/>
            <w:noWrap w:val="0"/>
            <w:vAlign w:val="center"/>
          </w:tcPr>
          <w:p w14:paraId="297903AF">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p>
        </w:tc>
        <w:tc>
          <w:tcPr>
            <w:tcW w:w="3023" w:type="dxa"/>
            <w:noWrap w:val="0"/>
            <w:vAlign w:val="center"/>
          </w:tcPr>
          <w:p w14:paraId="14C70101">
            <w:pPr>
              <w:spacing w:line="305" w:lineRule="exact"/>
              <w:jc w:val="center"/>
              <w:rPr>
                <w:rFonts w:hint="eastAsia" w:ascii="宋体" w:hAnsi="宋体" w:eastAsia="宋体" w:cs="宋体"/>
                <w:color w:val="auto"/>
                <w:sz w:val="24"/>
                <w:highlight w:val="none"/>
                <w:lang w:val="zh-CN"/>
              </w:rPr>
            </w:pPr>
          </w:p>
        </w:tc>
        <w:tc>
          <w:tcPr>
            <w:tcW w:w="1370" w:type="dxa"/>
            <w:noWrap w:val="0"/>
            <w:vAlign w:val="center"/>
          </w:tcPr>
          <w:p w14:paraId="6A5E7110">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网址</w:t>
            </w:r>
          </w:p>
        </w:tc>
        <w:tc>
          <w:tcPr>
            <w:tcW w:w="2629" w:type="dxa"/>
            <w:noWrap w:val="0"/>
            <w:vAlign w:val="center"/>
          </w:tcPr>
          <w:p w14:paraId="44168B81">
            <w:pPr>
              <w:spacing w:line="305" w:lineRule="exact"/>
              <w:jc w:val="center"/>
              <w:rPr>
                <w:rFonts w:hint="eastAsia" w:ascii="宋体" w:hAnsi="宋体" w:eastAsia="宋体" w:cs="宋体"/>
                <w:color w:val="auto"/>
                <w:sz w:val="24"/>
                <w:highlight w:val="none"/>
                <w:lang w:val="zh-CN"/>
              </w:rPr>
            </w:pPr>
          </w:p>
        </w:tc>
      </w:tr>
      <w:tr w14:paraId="5864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7332B4F5">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w:t>
            </w:r>
          </w:p>
        </w:tc>
        <w:tc>
          <w:tcPr>
            <w:tcW w:w="1259" w:type="dxa"/>
            <w:noWrap w:val="0"/>
            <w:vAlign w:val="center"/>
          </w:tcPr>
          <w:p w14:paraId="2969CE82">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姓名</w:t>
            </w:r>
          </w:p>
        </w:tc>
        <w:tc>
          <w:tcPr>
            <w:tcW w:w="3023" w:type="dxa"/>
            <w:noWrap w:val="0"/>
            <w:vAlign w:val="center"/>
          </w:tcPr>
          <w:p w14:paraId="6832E5A9">
            <w:pPr>
              <w:spacing w:line="305" w:lineRule="exact"/>
              <w:jc w:val="center"/>
              <w:rPr>
                <w:rFonts w:hint="eastAsia" w:ascii="宋体" w:hAnsi="宋体" w:eastAsia="宋体" w:cs="宋体"/>
                <w:color w:val="auto"/>
                <w:sz w:val="24"/>
                <w:highlight w:val="none"/>
                <w:lang w:val="zh-CN"/>
              </w:rPr>
            </w:pPr>
          </w:p>
        </w:tc>
        <w:tc>
          <w:tcPr>
            <w:tcW w:w="1370" w:type="dxa"/>
            <w:noWrap w:val="0"/>
            <w:vAlign w:val="center"/>
          </w:tcPr>
          <w:p w14:paraId="53FDAAA6">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p>
        </w:tc>
        <w:tc>
          <w:tcPr>
            <w:tcW w:w="2629" w:type="dxa"/>
            <w:noWrap w:val="0"/>
            <w:vAlign w:val="center"/>
          </w:tcPr>
          <w:p w14:paraId="0A4BA532">
            <w:pPr>
              <w:spacing w:line="305" w:lineRule="exact"/>
              <w:jc w:val="center"/>
              <w:rPr>
                <w:rFonts w:hint="eastAsia" w:ascii="宋体" w:hAnsi="宋体" w:eastAsia="宋体" w:cs="宋体"/>
                <w:color w:val="auto"/>
                <w:sz w:val="24"/>
                <w:highlight w:val="none"/>
                <w:lang w:val="zh-CN"/>
              </w:rPr>
            </w:pPr>
          </w:p>
        </w:tc>
      </w:tr>
      <w:tr w14:paraId="0C1F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68550010">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成立时间</w:t>
            </w:r>
          </w:p>
        </w:tc>
        <w:tc>
          <w:tcPr>
            <w:tcW w:w="8281" w:type="dxa"/>
            <w:gridSpan w:val="4"/>
            <w:noWrap w:val="0"/>
            <w:vAlign w:val="center"/>
          </w:tcPr>
          <w:p w14:paraId="0995FA23">
            <w:pPr>
              <w:spacing w:line="305" w:lineRule="exact"/>
              <w:jc w:val="center"/>
              <w:rPr>
                <w:rFonts w:hint="eastAsia" w:ascii="宋体" w:hAnsi="宋体" w:eastAsia="宋体" w:cs="宋体"/>
                <w:color w:val="auto"/>
                <w:sz w:val="24"/>
                <w:highlight w:val="none"/>
                <w:lang w:val="zh-CN"/>
              </w:rPr>
            </w:pPr>
          </w:p>
        </w:tc>
      </w:tr>
      <w:tr w14:paraId="554B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43822AED">
            <w:pPr>
              <w:spacing w:line="305"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营业执照号</w:t>
            </w:r>
            <w:r>
              <w:rPr>
                <w:rFonts w:hint="eastAsia" w:ascii="宋体" w:hAnsi="宋体" w:eastAsia="宋体" w:cs="宋体"/>
                <w:color w:val="auto"/>
                <w:sz w:val="24"/>
                <w:highlight w:val="none"/>
                <w:lang w:val="en-US" w:eastAsia="zh-CN"/>
              </w:rPr>
              <w:t>码</w:t>
            </w:r>
          </w:p>
        </w:tc>
        <w:tc>
          <w:tcPr>
            <w:tcW w:w="8281" w:type="dxa"/>
            <w:gridSpan w:val="4"/>
            <w:noWrap w:val="0"/>
            <w:vAlign w:val="center"/>
          </w:tcPr>
          <w:p w14:paraId="654629CF">
            <w:pPr>
              <w:spacing w:line="305" w:lineRule="exact"/>
              <w:jc w:val="center"/>
              <w:rPr>
                <w:rFonts w:hint="eastAsia" w:ascii="宋体" w:hAnsi="宋体" w:eastAsia="宋体" w:cs="宋体"/>
                <w:color w:val="auto"/>
                <w:sz w:val="24"/>
                <w:highlight w:val="none"/>
                <w:lang w:val="zh-CN"/>
              </w:rPr>
            </w:pPr>
          </w:p>
        </w:tc>
      </w:tr>
      <w:tr w14:paraId="3C2F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634E4405">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注册资金</w:t>
            </w:r>
          </w:p>
        </w:tc>
        <w:tc>
          <w:tcPr>
            <w:tcW w:w="8281" w:type="dxa"/>
            <w:gridSpan w:val="4"/>
            <w:noWrap w:val="0"/>
            <w:vAlign w:val="center"/>
          </w:tcPr>
          <w:p w14:paraId="0CEFA499">
            <w:pPr>
              <w:spacing w:line="305" w:lineRule="exact"/>
              <w:jc w:val="center"/>
              <w:rPr>
                <w:rFonts w:hint="eastAsia" w:ascii="宋体" w:hAnsi="宋体" w:eastAsia="宋体" w:cs="宋体"/>
                <w:color w:val="auto"/>
                <w:sz w:val="24"/>
                <w:highlight w:val="none"/>
                <w:lang w:val="zh-CN"/>
              </w:rPr>
            </w:pPr>
          </w:p>
        </w:tc>
      </w:tr>
      <w:tr w14:paraId="342A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46127D1F">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开户银行</w:t>
            </w:r>
          </w:p>
        </w:tc>
        <w:tc>
          <w:tcPr>
            <w:tcW w:w="8281" w:type="dxa"/>
            <w:gridSpan w:val="4"/>
            <w:noWrap w:val="0"/>
            <w:vAlign w:val="center"/>
          </w:tcPr>
          <w:p w14:paraId="385C1B13">
            <w:pPr>
              <w:spacing w:line="305" w:lineRule="exact"/>
              <w:jc w:val="center"/>
              <w:rPr>
                <w:rFonts w:hint="eastAsia" w:ascii="宋体" w:hAnsi="宋体" w:eastAsia="宋体" w:cs="宋体"/>
                <w:color w:val="auto"/>
                <w:sz w:val="24"/>
                <w:highlight w:val="none"/>
                <w:lang w:val="zh-CN"/>
              </w:rPr>
            </w:pPr>
          </w:p>
        </w:tc>
      </w:tr>
      <w:tr w14:paraId="2EF5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18" w:type="dxa"/>
            <w:noWrap w:val="0"/>
            <w:vAlign w:val="center"/>
          </w:tcPr>
          <w:p w14:paraId="79382318">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账号</w:t>
            </w:r>
          </w:p>
        </w:tc>
        <w:tc>
          <w:tcPr>
            <w:tcW w:w="8281" w:type="dxa"/>
            <w:gridSpan w:val="4"/>
            <w:noWrap w:val="0"/>
            <w:vAlign w:val="center"/>
          </w:tcPr>
          <w:p w14:paraId="6DA9FA54">
            <w:pPr>
              <w:spacing w:line="305" w:lineRule="exact"/>
              <w:jc w:val="center"/>
              <w:rPr>
                <w:rFonts w:hint="eastAsia" w:ascii="宋体" w:hAnsi="宋体" w:eastAsia="宋体" w:cs="宋体"/>
                <w:color w:val="auto"/>
                <w:sz w:val="24"/>
                <w:highlight w:val="none"/>
                <w:lang w:val="zh-CN"/>
              </w:rPr>
            </w:pPr>
          </w:p>
        </w:tc>
      </w:tr>
      <w:tr w14:paraId="181D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atLeast"/>
          <w:jc w:val="center"/>
        </w:trPr>
        <w:tc>
          <w:tcPr>
            <w:tcW w:w="1918" w:type="dxa"/>
            <w:noWrap w:val="0"/>
            <w:vAlign w:val="center"/>
          </w:tcPr>
          <w:p w14:paraId="5782C789">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经营范围</w:t>
            </w:r>
          </w:p>
        </w:tc>
        <w:tc>
          <w:tcPr>
            <w:tcW w:w="8281" w:type="dxa"/>
            <w:gridSpan w:val="4"/>
            <w:noWrap w:val="0"/>
            <w:vAlign w:val="center"/>
          </w:tcPr>
          <w:p w14:paraId="7AB97969">
            <w:pPr>
              <w:spacing w:line="305" w:lineRule="exact"/>
              <w:jc w:val="center"/>
              <w:rPr>
                <w:rFonts w:hint="eastAsia" w:ascii="宋体" w:hAnsi="宋体" w:eastAsia="宋体" w:cs="宋体"/>
                <w:color w:val="auto"/>
                <w:sz w:val="24"/>
                <w:highlight w:val="none"/>
                <w:lang w:val="zh-CN"/>
              </w:rPr>
            </w:pPr>
          </w:p>
        </w:tc>
      </w:tr>
      <w:tr w14:paraId="5EA8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918" w:type="dxa"/>
            <w:noWrap w:val="0"/>
            <w:vAlign w:val="center"/>
          </w:tcPr>
          <w:p w14:paraId="4440670B">
            <w:pPr>
              <w:spacing w:line="305"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备注</w:t>
            </w:r>
          </w:p>
        </w:tc>
        <w:tc>
          <w:tcPr>
            <w:tcW w:w="8281" w:type="dxa"/>
            <w:gridSpan w:val="4"/>
            <w:noWrap w:val="0"/>
            <w:vAlign w:val="center"/>
          </w:tcPr>
          <w:p w14:paraId="3609B270">
            <w:pPr>
              <w:spacing w:line="305" w:lineRule="exact"/>
              <w:jc w:val="center"/>
              <w:rPr>
                <w:rFonts w:hint="eastAsia" w:ascii="宋体" w:hAnsi="宋体" w:eastAsia="宋体" w:cs="宋体"/>
                <w:color w:val="auto"/>
                <w:sz w:val="24"/>
                <w:highlight w:val="none"/>
                <w:lang w:val="zh-CN"/>
              </w:rPr>
            </w:pPr>
          </w:p>
        </w:tc>
      </w:tr>
    </w:tbl>
    <w:p w14:paraId="6C056BA9">
      <w:pPr>
        <w:spacing w:line="305" w:lineRule="exact"/>
        <w:jc w:val="left"/>
        <w:rPr>
          <w:rFonts w:hint="eastAsia" w:ascii="宋体" w:hAnsi="宋体" w:eastAsia="宋体" w:cs="宋体"/>
          <w:color w:val="auto"/>
          <w:sz w:val="24"/>
          <w:highlight w:val="none"/>
        </w:rPr>
      </w:pPr>
    </w:p>
    <w:p w14:paraId="15DAF691">
      <w:pPr>
        <w:spacing w:before="129" w:line="228" w:lineRule="auto"/>
        <w:ind w:left="376"/>
        <w:rPr>
          <w:rFonts w:ascii="宋体" w:hAnsi="宋体" w:eastAsia="宋体" w:cs="宋体"/>
          <w:color w:val="auto"/>
          <w:sz w:val="20"/>
          <w:szCs w:val="20"/>
          <w:highlight w:val="none"/>
        </w:rPr>
      </w:pPr>
      <w:r>
        <w:rPr>
          <w:rFonts w:hint="eastAsia" w:ascii="宋体" w:hAnsi="宋体" w:eastAsia="宋体" w:cs="宋体"/>
          <w:bCs/>
          <w:color w:val="auto"/>
          <w:sz w:val="24"/>
          <w:szCs w:val="24"/>
          <w:highlight w:val="none"/>
        </w:rPr>
        <w:t>注：附企业营业执照</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副本</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资质证书（如有）、</w:t>
      </w:r>
      <w:r>
        <w:rPr>
          <w:rFonts w:hint="eastAsia" w:ascii="宋体" w:hAnsi="宋体" w:eastAsia="宋体" w:cs="宋体"/>
          <w:bCs/>
          <w:color w:val="auto"/>
          <w:sz w:val="24"/>
          <w:szCs w:val="24"/>
          <w:highlight w:val="none"/>
        </w:rPr>
        <w:t>开户许可证</w:t>
      </w:r>
      <w:r>
        <w:rPr>
          <w:rFonts w:hint="eastAsia" w:ascii="宋体" w:hAnsi="宋体" w:cs="宋体"/>
          <w:bCs/>
          <w:color w:val="auto"/>
          <w:sz w:val="24"/>
          <w:szCs w:val="24"/>
          <w:highlight w:val="none"/>
          <w:lang w:eastAsia="zh-CN"/>
        </w:rPr>
        <w:t>或</w:t>
      </w:r>
      <w:r>
        <w:rPr>
          <w:rFonts w:hint="eastAsia" w:ascii="宋体" w:hAnsi="宋体" w:cs="宋体"/>
          <w:bCs/>
          <w:color w:val="auto"/>
          <w:sz w:val="24"/>
          <w:szCs w:val="24"/>
          <w:highlight w:val="none"/>
          <w:lang w:val="en-US" w:eastAsia="zh-CN"/>
        </w:rPr>
        <w:t>银行</w:t>
      </w:r>
      <w:r>
        <w:rPr>
          <w:rFonts w:hint="eastAsia" w:ascii="宋体" w:hAnsi="宋体" w:cs="宋体"/>
          <w:bCs/>
          <w:color w:val="auto"/>
          <w:sz w:val="24"/>
          <w:szCs w:val="24"/>
          <w:highlight w:val="none"/>
          <w:lang w:eastAsia="zh-CN"/>
        </w:rPr>
        <w:t>基本</w:t>
      </w:r>
      <w:r>
        <w:rPr>
          <w:rFonts w:hint="eastAsia" w:ascii="宋体" w:hAnsi="宋体" w:cs="宋体"/>
          <w:bCs/>
          <w:color w:val="auto"/>
          <w:sz w:val="24"/>
          <w:szCs w:val="24"/>
          <w:highlight w:val="none"/>
          <w:lang w:val="en-US" w:eastAsia="zh-CN"/>
        </w:rPr>
        <w:t>存款</w:t>
      </w:r>
      <w:r>
        <w:rPr>
          <w:rFonts w:hint="eastAsia" w:ascii="宋体" w:hAnsi="宋体" w:cs="宋体"/>
          <w:bCs/>
          <w:color w:val="auto"/>
          <w:sz w:val="24"/>
          <w:szCs w:val="24"/>
          <w:highlight w:val="none"/>
          <w:lang w:eastAsia="zh-CN"/>
        </w:rPr>
        <w:t>账户信息</w:t>
      </w:r>
      <w:r>
        <w:rPr>
          <w:rFonts w:hint="eastAsia" w:ascii="宋体" w:hAnsi="宋体" w:cs="宋体"/>
          <w:bCs/>
          <w:color w:val="auto"/>
          <w:sz w:val="24"/>
          <w:szCs w:val="24"/>
          <w:highlight w:val="none"/>
          <w:lang w:val="en-US" w:eastAsia="zh-CN"/>
        </w:rPr>
        <w:t>等证明文件</w:t>
      </w:r>
      <w:r>
        <w:rPr>
          <w:rFonts w:hint="eastAsia" w:ascii="宋体" w:hAnsi="宋体" w:eastAsia="宋体" w:cs="宋体"/>
          <w:bCs/>
          <w:color w:val="auto"/>
          <w:sz w:val="24"/>
          <w:szCs w:val="24"/>
          <w:highlight w:val="none"/>
        </w:rPr>
        <w:t>，加盖</w:t>
      </w:r>
      <w:r>
        <w:rPr>
          <w:rFonts w:hint="eastAsia" w:ascii="宋体" w:hAnsi="宋体" w:cs="宋体"/>
          <w:bCs/>
          <w:color w:val="auto"/>
          <w:sz w:val="24"/>
          <w:szCs w:val="24"/>
          <w:highlight w:val="none"/>
          <w:lang w:eastAsia="zh-CN"/>
        </w:rPr>
        <w:t>单位</w:t>
      </w:r>
      <w:r>
        <w:rPr>
          <w:rFonts w:hint="eastAsia" w:ascii="宋体" w:hAnsi="宋体" w:eastAsia="宋体" w:cs="宋体"/>
          <w:bCs/>
          <w:color w:val="auto"/>
          <w:sz w:val="24"/>
          <w:szCs w:val="24"/>
          <w:highlight w:val="none"/>
        </w:rPr>
        <w:t>公章。</w:t>
      </w:r>
    </w:p>
    <w:p w14:paraId="12CD64FC">
      <w:pPr>
        <w:spacing w:line="228" w:lineRule="auto"/>
        <w:rPr>
          <w:rFonts w:ascii="宋体" w:hAnsi="宋体" w:eastAsia="宋体" w:cs="宋体"/>
          <w:color w:val="auto"/>
          <w:sz w:val="20"/>
          <w:szCs w:val="20"/>
          <w:highlight w:val="none"/>
        </w:rPr>
        <w:sectPr>
          <w:footerReference r:id="rId21" w:type="default"/>
          <w:pgSz w:w="11906" w:h="16839"/>
          <w:pgMar w:top="1361" w:right="1520" w:bottom="1156" w:left="1016" w:header="0" w:footer="992" w:gutter="0"/>
          <w:pgNumType w:fmt="decimal"/>
          <w:cols w:space="720" w:num="1"/>
        </w:sectPr>
      </w:pPr>
    </w:p>
    <w:p w14:paraId="1FC2699D">
      <w:pPr>
        <w:numPr>
          <w:ilvl w:val="0"/>
          <w:numId w:val="0"/>
        </w:numPr>
        <w:adjustRightInd w:val="0"/>
        <w:snapToGrid w:val="0"/>
        <w:spacing w:line="360" w:lineRule="auto"/>
        <w:jc w:val="center"/>
        <w:outlineLvl w:val="2"/>
        <w:rPr>
          <w:rFonts w:hint="eastAsia" w:ascii="宋体" w:hAnsi="宋体" w:eastAsia="宋体" w:cs="宋体"/>
          <w:b/>
          <w:bCs/>
          <w:color w:val="auto"/>
          <w:sz w:val="32"/>
          <w:szCs w:val="32"/>
          <w:highlight w:val="none"/>
        </w:rPr>
      </w:pPr>
      <w:bookmarkStart w:id="69" w:name="_Toc18410"/>
      <w:r>
        <w:rPr>
          <w:rFonts w:hint="eastAsia" w:ascii="宋体" w:hAnsi="宋体" w:eastAsia="宋体" w:cs="宋体"/>
          <w:b/>
          <w:bCs/>
          <w:color w:val="auto"/>
          <w:sz w:val="32"/>
          <w:szCs w:val="32"/>
          <w:highlight w:val="none"/>
        </w:rPr>
        <w:t>（二）资格条件承诺函</w:t>
      </w:r>
      <w:bookmarkEnd w:id="69"/>
    </w:p>
    <w:p w14:paraId="404D5AF0">
      <w:pPr>
        <w:spacing w:before="219" w:line="624" w:lineRule="exact"/>
        <w:ind w:left="11"/>
        <w:rPr>
          <w:rFonts w:ascii="宋体" w:hAnsi="宋体" w:eastAsia="宋体" w:cs="宋体"/>
          <w:color w:val="auto"/>
          <w:sz w:val="31"/>
          <w:szCs w:val="31"/>
          <w:highlight w:val="none"/>
        </w:rPr>
      </w:pPr>
      <w:r>
        <w:rPr>
          <w:rFonts w:ascii="宋体" w:hAnsi="宋体" w:eastAsia="宋体" w:cs="宋体"/>
          <w:color w:val="auto"/>
          <w:spacing w:val="11"/>
          <w:position w:val="23"/>
          <w:sz w:val="31"/>
          <w:szCs w:val="31"/>
          <w:highlight w:val="none"/>
          <w14:textOutline w14:w="5793" w14:cap="sq" w14:cmpd="sng">
            <w14:solidFill>
              <w14:srgbClr w14:val="000000"/>
            </w14:solidFill>
            <w14:prstDash w14:val="solid"/>
            <w14:bevel/>
          </w14:textOutline>
        </w:rPr>
        <w:t>供应商参加采购活动应当提交反映其财务状况、依法</w:t>
      </w:r>
      <w:r>
        <w:rPr>
          <w:rFonts w:ascii="宋体" w:hAnsi="宋体" w:eastAsia="宋体" w:cs="宋体"/>
          <w:color w:val="auto"/>
          <w:spacing w:val="10"/>
          <w:position w:val="23"/>
          <w:sz w:val="31"/>
          <w:szCs w:val="31"/>
          <w:highlight w:val="none"/>
          <w14:textOutline w14:w="5793" w14:cap="sq" w14:cmpd="sng">
            <w14:solidFill>
              <w14:srgbClr w14:val="000000"/>
            </w14:solidFill>
            <w14:prstDash w14:val="solid"/>
            <w14:bevel/>
          </w14:textOutline>
        </w:rPr>
        <w:t>缴纳税收和社保保</w:t>
      </w:r>
    </w:p>
    <w:p w14:paraId="5C34672C">
      <w:pPr>
        <w:spacing w:line="225" w:lineRule="auto"/>
        <w:ind w:left="2919"/>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障资金情况的资格条件承诺函</w:t>
      </w:r>
    </w:p>
    <w:p w14:paraId="1F7FE9FD">
      <w:pPr>
        <w:spacing w:before="20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致:</w:t>
      </w:r>
      <w:r>
        <w:rPr>
          <w:rFonts w:ascii="宋体" w:hAnsi="宋体" w:eastAsia="宋体" w:cs="宋体"/>
          <w:color w:val="auto"/>
          <w:spacing w:val="-56"/>
          <w:sz w:val="24"/>
          <w:szCs w:val="24"/>
          <w:highlight w:val="none"/>
          <w:u w:val="single" w:color="auto"/>
        </w:rPr>
        <w:t xml:space="preserve"> </w:t>
      </w:r>
      <w:r>
        <w:rPr>
          <w:rFonts w:ascii="宋体" w:hAnsi="宋体" w:eastAsia="宋体" w:cs="宋体"/>
          <w:color w:val="auto"/>
          <w:spacing w:val="-2"/>
          <w:sz w:val="24"/>
          <w:szCs w:val="24"/>
          <w:highlight w:val="none"/>
          <w:u w:val="single" w:color="auto"/>
        </w:rPr>
        <w:t>(采购人、采购代理机构)</w:t>
      </w:r>
      <w:r>
        <w:rPr>
          <w:rFonts w:ascii="宋体" w:hAnsi="宋体" w:eastAsia="宋体" w:cs="宋体"/>
          <w:color w:val="auto"/>
          <w:spacing w:val="-2"/>
          <w:sz w:val="24"/>
          <w:szCs w:val="24"/>
          <w:highlight w:val="none"/>
        </w:rPr>
        <w:t>:</w:t>
      </w:r>
    </w:p>
    <w:p w14:paraId="1300E930">
      <w:pPr>
        <w:spacing w:before="182" w:line="360"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我单位(  公司  )参与</w:t>
      </w:r>
      <w:r>
        <w:rPr>
          <w:rFonts w:ascii="宋体" w:hAnsi="宋体" w:eastAsia="宋体" w:cs="宋体"/>
          <w:color w:val="auto"/>
          <w:spacing w:val="-2"/>
          <w:sz w:val="24"/>
          <w:szCs w:val="24"/>
          <w:highlight w:val="none"/>
          <w:u w:val="single" w:color="auto"/>
        </w:rPr>
        <w:t xml:space="preserve">(采购项目名称：              、项目编号：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采购项目的政</w:t>
      </w:r>
    </w:p>
    <w:p w14:paraId="7724236B">
      <w:pPr>
        <w:spacing w:before="1"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府采购活动，现承诺如下:</w:t>
      </w:r>
    </w:p>
    <w:p w14:paraId="51812AC7">
      <w:pPr>
        <w:spacing w:before="182" w:line="468" w:lineRule="exact"/>
        <w:ind w:left="498"/>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1.具有良好的商业信誉和健全的财务会计制度:</w:t>
      </w:r>
    </w:p>
    <w:p w14:paraId="655F099C">
      <w:pPr>
        <w:spacing w:before="1"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2.具有依法缴纳税收的良好记录:</w:t>
      </w:r>
    </w:p>
    <w:p w14:paraId="69C85A1A">
      <w:pPr>
        <w:spacing w:before="183"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3.具有依法缴纳社会保障金的良好记录</w:t>
      </w:r>
    </w:p>
    <w:p w14:paraId="133908C0">
      <w:pPr>
        <w:spacing w:before="183" w:line="468" w:lineRule="exact"/>
        <w:jc w:val="right"/>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我方在采购项目评审(评标)环节结束后，随时接受采购人、采购代理机构的检查验证，配合</w:t>
      </w:r>
    </w:p>
    <w:p w14:paraId="17C1AC0B">
      <w:pPr>
        <w:spacing w:line="219"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提供相关证明材料，证明符合《中华人民共和国政府采购法》规</w:t>
      </w:r>
      <w:r>
        <w:rPr>
          <w:rFonts w:ascii="宋体" w:hAnsi="宋体" w:eastAsia="宋体" w:cs="宋体"/>
          <w:color w:val="auto"/>
          <w:spacing w:val="-1"/>
          <w:sz w:val="24"/>
          <w:szCs w:val="24"/>
          <w:highlight w:val="none"/>
        </w:rPr>
        <w:t>定的供应商基本资格条件。</w:t>
      </w:r>
    </w:p>
    <w:p w14:paraId="3CF62102">
      <w:pPr>
        <w:spacing w:before="183" w:line="468" w:lineRule="exact"/>
        <w:ind w:left="482"/>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我单位(公司)对上述承诺的真实性负责。如有</w:t>
      </w:r>
      <w:r>
        <w:rPr>
          <w:rFonts w:ascii="宋体" w:hAnsi="宋体" w:eastAsia="宋体" w:cs="宋体"/>
          <w:color w:val="auto"/>
          <w:spacing w:val="-1"/>
          <w:position w:val="17"/>
          <w:sz w:val="24"/>
          <w:szCs w:val="24"/>
          <w:highlight w:val="none"/>
        </w:rPr>
        <w:t>虚假，将依法承担相应责任。</w:t>
      </w:r>
    </w:p>
    <w:p w14:paraId="5E6E8DE5">
      <w:pPr>
        <w:spacing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5427B957">
      <w:pPr>
        <w:pStyle w:val="2"/>
        <w:spacing w:line="284" w:lineRule="auto"/>
        <w:rPr>
          <w:color w:val="auto"/>
          <w:highlight w:val="none"/>
        </w:rPr>
      </w:pPr>
    </w:p>
    <w:p w14:paraId="4637424A">
      <w:pPr>
        <w:pStyle w:val="2"/>
        <w:spacing w:line="284" w:lineRule="auto"/>
        <w:rPr>
          <w:color w:val="auto"/>
          <w:highlight w:val="none"/>
        </w:rPr>
      </w:pPr>
    </w:p>
    <w:p w14:paraId="3DF3F170">
      <w:pPr>
        <w:spacing w:before="79" w:line="468" w:lineRule="exact"/>
        <w:ind w:left="6241"/>
        <w:rPr>
          <w:rFonts w:ascii="宋体" w:hAnsi="宋体" w:eastAsia="宋体" w:cs="宋体"/>
          <w:color w:val="auto"/>
          <w:sz w:val="24"/>
          <w:szCs w:val="24"/>
          <w:highlight w:val="none"/>
        </w:rPr>
      </w:pPr>
      <w:r>
        <w:rPr>
          <w:rFonts w:ascii="宋体" w:hAnsi="宋体" w:eastAsia="宋体" w:cs="宋体"/>
          <w:color w:val="auto"/>
          <w:spacing w:val="11"/>
          <w:position w:val="17"/>
          <w:sz w:val="24"/>
          <w:szCs w:val="24"/>
          <w:highlight w:val="none"/>
        </w:rPr>
        <w:t>盖章:</w:t>
      </w:r>
    </w:p>
    <w:p w14:paraId="29B2835D">
      <w:pPr>
        <w:spacing w:line="220" w:lineRule="auto"/>
        <w:ind w:left="624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签字:</w:t>
      </w:r>
    </w:p>
    <w:p w14:paraId="7F5C670D">
      <w:pPr>
        <w:spacing w:before="182" w:line="221" w:lineRule="auto"/>
        <w:ind w:left="6282"/>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44AE7B54">
      <w:pPr>
        <w:spacing w:line="221" w:lineRule="auto"/>
        <w:rPr>
          <w:rFonts w:ascii="宋体" w:hAnsi="宋体" w:eastAsia="宋体" w:cs="宋体"/>
          <w:color w:val="auto"/>
          <w:sz w:val="24"/>
          <w:szCs w:val="24"/>
          <w:highlight w:val="none"/>
        </w:rPr>
        <w:sectPr>
          <w:footerReference r:id="rId22" w:type="default"/>
          <w:pgSz w:w="11906" w:h="16839"/>
          <w:pgMar w:top="1313" w:right="964" w:bottom="1156" w:left="973" w:header="0" w:footer="992" w:gutter="0"/>
          <w:pgNumType w:fmt="decimal"/>
          <w:cols w:space="720" w:num="1"/>
        </w:sectPr>
      </w:pPr>
    </w:p>
    <w:p w14:paraId="16EB522B">
      <w:pPr>
        <w:pStyle w:val="2"/>
        <w:spacing w:line="288" w:lineRule="auto"/>
        <w:rPr>
          <w:color w:val="auto"/>
          <w:highlight w:val="none"/>
        </w:rPr>
      </w:pPr>
    </w:p>
    <w:p w14:paraId="0A590A93">
      <w:pPr>
        <w:pStyle w:val="2"/>
        <w:spacing w:line="289" w:lineRule="auto"/>
        <w:rPr>
          <w:color w:val="auto"/>
          <w:highlight w:val="none"/>
        </w:rPr>
      </w:pPr>
    </w:p>
    <w:p w14:paraId="2B9902F3">
      <w:pPr>
        <w:spacing w:before="97" w:line="221" w:lineRule="auto"/>
        <w:ind w:left="3183"/>
        <w:rPr>
          <w:rFonts w:ascii="黑体" w:hAnsi="黑体" w:eastAsia="黑体" w:cs="黑体"/>
          <w:color w:val="auto"/>
          <w:sz w:val="30"/>
          <w:szCs w:val="30"/>
          <w:highlight w:val="none"/>
        </w:rPr>
      </w:pPr>
      <w:r>
        <w:rPr>
          <w:rFonts w:ascii="黑体" w:hAnsi="黑体" w:eastAsia="黑体" w:cs="黑体"/>
          <w:color w:val="auto"/>
          <w:sz w:val="30"/>
          <w:szCs w:val="30"/>
          <w:highlight w:val="none"/>
          <w14:textOutline w14:w="5448" w14:cap="sq" w14:cmpd="sng">
            <w14:solidFill>
              <w14:srgbClr w14:val="000000"/>
            </w14:solidFill>
            <w14:prstDash w14:val="solid"/>
            <w14:bevel/>
          </w14:textOutline>
        </w:rPr>
        <w:t>供应商有关资格条件声明函</w:t>
      </w:r>
    </w:p>
    <w:p w14:paraId="7621133E">
      <w:pPr>
        <w:pStyle w:val="2"/>
        <w:spacing w:line="247" w:lineRule="auto"/>
        <w:rPr>
          <w:color w:val="auto"/>
          <w:highlight w:val="none"/>
        </w:rPr>
      </w:pPr>
    </w:p>
    <w:p w14:paraId="596A0BC1">
      <w:pPr>
        <w:pStyle w:val="2"/>
        <w:spacing w:line="247" w:lineRule="auto"/>
        <w:rPr>
          <w:color w:val="auto"/>
          <w:highlight w:val="none"/>
        </w:rPr>
      </w:pPr>
    </w:p>
    <w:p w14:paraId="336D7C9F">
      <w:pPr>
        <w:pStyle w:val="2"/>
        <w:spacing w:line="248" w:lineRule="auto"/>
        <w:rPr>
          <w:color w:val="auto"/>
          <w:highlight w:val="none"/>
        </w:rPr>
      </w:pPr>
    </w:p>
    <w:p w14:paraId="3501DC9C">
      <w:pPr>
        <w:pStyle w:val="2"/>
        <w:spacing w:line="248" w:lineRule="auto"/>
        <w:rPr>
          <w:color w:val="auto"/>
          <w:highlight w:val="none"/>
        </w:rPr>
      </w:pPr>
    </w:p>
    <w:p w14:paraId="25C91BBF">
      <w:pPr>
        <w:spacing w:before="78"/>
        <w:ind w:left="982"/>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01D5F82D">
      <w:pPr>
        <w:spacing w:line="230" w:lineRule="auto"/>
        <w:ind w:left="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我方参加贵方组织的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（项目名称、项目编号、包号）的磋商活动，现就有</w:t>
      </w:r>
      <w:r>
        <w:rPr>
          <w:rFonts w:ascii="宋体" w:hAnsi="宋体" w:eastAsia="宋体" w:cs="宋体"/>
          <w:color w:val="auto"/>
          <w:sz w:val="24"/>
          <w:szCs w:val="24"/>
          <w:highlight w:val="none"/>
        </w:rPr>
        <w:t xml:space="preserve">关资格 </w:t>
      </w:r>
      <w:r>
        <w:rPr>
          <w:rFonts w:ascii="宋体" w:hAnsi="宋体" w:eastAsia="宋体" w:cs="宋体"/>
          <w:color w:val="auto"/>
          <w:spacing w:val="-2"/>
          <w:sz w:val="24"/>
          <w:szCs w:val="24"/>
          <w:highlight w:val="none"/>
        </w:rPr>
        <w:t>条件声明如下：</w:t>
      </w:r>
    </w:p>
    <w:p w14:paraId="6A4372AB">
      <w:pPr>
        <w:spacing w:before="26" w:line="230" w:lineRule="auto"/>
        <w:ind w:left="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我方具备《中华人民共和国政府采购法》第二十二条所规定的条件，并已清楚竞争性磋商 </w:t>
      </w:r>
      <w:r>
        <w:rPr>
          <w:rFonts w:ascii="宋体" w:hAnsi="宋体" w:eastAsia="宋体" w:cs="宋体"/>
          <w:color w:val="auto"/>
          <w:spacing w:val="-1"/>
          <w:sz w:val="24"/>
          <w:szCs w:val="24"/>
          <w:highlight w:val="none"/>
        </w:rPr>
        <w:t>文件的要求及有关文件规定。</w:t>
      </w:r>
    </w:p>
    <w:p w14:paraId="498E6117">
      <w:pPr>
        <w:spacing w:before="25" w:line="220"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（一）具有履行合同所必需的设备和专业技术能力；</w:t>
      </w:r>
    </w:p>
    <w:p w14:paraId="538941C7">
      <w:pPr>
        <w:spacing w:before="25" w:line="230" w:lineRule="auto"/>
        <w:ind w:left="1"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（二）符合“为采购项目提供整体设计、规范编制或者项目管理、监</w:t>
      </w:r>
      <w:r>
        <w:rPr>
          <w:rFonts w:ascii="宋体" w:hAnsi="宋体" w:eastAsia="宋体" w:cs="宋体"/>
          <w:color w:val="auto"/>
          <w:sz w:val="24"/>
          <w:szCs w:val="24"/>
          <w:highlight w:val="none"/>
        </w:rPr>
        <w:t xml:space="preserve">理、检测等服务的供 </w:t>
      </w:r>
      <w:r>
        <w:rPr>
          <w:rFonts w:ascii="宋体" w:hAnsi="宋体" w:eastAsia="宋体" w:cs="宋体"/>
          <w:color w:val="auto"/>
          <w:spacing w:val="-2"/>
          <w:sz w:val="24"/>
          <w:szCs w:val="24"/>
          <w:highlight w:val="none"/>
        </w:rPr>
        <w:t>应商，不得再参加该采购项目的其他采购活动</w:t>
      </w:r>
      <w:r>
        <w:rPr>
          <w:rFonts w:ascii="宋体" w:hAnsi="宋体" w:eastAsia="宋体" w:cs="宋体"/>
          <w:color w:val="auto"/>
          <w:spacing w:val="-81"/>
          <w:sz w:val="24"/>
          <w:szCs w:val="24"/>
          <w:highlight w:val="none"/>
        </w:rPr>
        <w:t xml:space="preserve"> </w:t>
      </w:r>
      <w:r>
        <w:rPr>
          <w:rFonts w:ascii="宋体" w:hAnsi="宋体" w:eastAsia="宋体" w:cs="宋体"/>
          <w:color w:val="auto"/>
          <w:spacing w:val="-2"/>
          <w:sz w:val="24"/>
          <w:szCs w:val="24"/>
          <w:highlight w:val="none"/>
        </w:rPr>
        <w:t>”的规定；</w:t>
      </w:r>
    </w:p>
    <w:p w14:paraId="5040B528">
      <w:pPr>
        <w:spacing w:before="28" w:line="233" w:lineRule="auto"/>
        <w:ind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（三）符合法律、行政法规规定的其他条件，包括但不限于：竞争性</w:t>
      </w:r>
      <w:r>
        <w:rPr>
          <w:rFonts w:ascii="宋体" w:hAnsi="宋体" w:eastAsia="宋体" w:cs="宋体"/>
          <w:color w:val="auto"/>
          <w:sz w:val="24"/>
          <w:szCs w:val="24"/>
          <w:highlight w:val="none"/>
        </w:rPr>
        <w:t xml:space="preserve">磋商文件未要求提供 </w:t>
      </w:r>
      <w:r>
        <w:rPr>
          <w:rFonts w:ascii="宋体" w:hAnsi="宋体" w:eastAsia="宋体" w:cs="宋体"/>
          <w:color w:val="auto"/>
          <w:spacing w:val="1"/>
          <w:sz w:val="24"/>
          <w:szCs w:val="24"/>
          <w:highlight w:val="none"/>
        </w:rPr>
        <w:t>但生产、销售这些产品，提供这些服务必须取得有关主管部门的行政许可，任何情况下，我方</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将无条件按照贵方和磋商人的要求提供上述证明材料。</w:t>
      </w:r>
    </w:p>
    <w:p w14:paraId="480534E3">
      <w:pPr>
        <w:spacing w:before="27"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我方对上述声明的真实性负责。如有虚假，将依法承担相应责任。</w:t>
      </w:r>
    </w:p>
    <w:p w14:paraId="0D31DCA5">
      <w:pPr>
        <w:pStyle w:val="2"/>
        <w:spacing w:line="297" w:lineRule="auto"/>
        <w:rPr>
          <w:color w:val="auto"/>
          <w:highlight w:val="none"/>
        </w:rPr>
      </w:pPr>
    </w:p>
    <w:p w14:paraId="4DF4F94E">
      <w:pPr>
        <w:pStyle w:val="2"/>
        <w:spacing w:line="297" w:lineRule="auto"/>
        <w:rPr>
          <w:color w:val="auto"/>
          <w:highlight w:val="none"/>
        </w:rPr>
      </w:pPr>
    </w:p>
    <w:p w14:paraId="7C210902">
      <w:pPr>
        <w:pStyle w:val="2"/>
        <w:spacing w:line="297" w:lineRule="auto"/>
        <w:rPr>
          <w:color w:val="auto"/>
          <w:highlight w:val="none"/>
        </w:rPr>
      </w:pPr>
    </w:p>
    <w:p w14:paraId="63CC9FF8">
      <w:pPr>
        <w:pStyle w:val="2"/>
        <w:spacing w:line="298" w:lineRule="auto"/>
        <w:rPr>
          <w:color w:val="auto"/>
          <w:highlight w:val="none"/>
        </w:rPr>
      </w:pPr>
    </w:p>
    <w:p w14:paraId="3FE66169">
      <w:pPr>
        <w:spacing w:before="79" w:line="219" w:lineRule="auto"/>
        <w:ind w:left="44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供 应</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商</w:t>
      </w:r>
      <w:r>
        <w:rPr>
          <w:rFonts w:ascii="宋体" w:hAnsi="宋体" w:eastAsia="宋体" w:cs="宋体"/>
          <w:color w:val="auto"/>
          <w:spacing w:val="12"/>
          <w:sz w:val="24"/>
          <w:szCs w:val="24"/>
          <w:highlight w:val="none"/>
        </w:rPr>
        <w:t xml:space="preserve"> </w:t>
      </w:r>
      <w:r>
        <w:rPr>
          <w:rFonts w:ascii="宋体" w:hAnsi="宋体" w:eastAsia="宋体" w:cs="宋体"/>
          <w:color w:val="auto"/>
          <w:spacing w:val="-5"/>
          <w:sz w:val="24"/>
          <w:szCs w:val="24"/>
          <w:highlight w:val="none"/>
        </w:rPr>
        <w:t>名</w:t>
      </w:r>
      <w:r>
        <w:rPr>
          <w:rFonts w:ascii="宋体" w:hAnsi="宋体" w:eastAsia="宋体" w:cs="宋体"/>
          <w:color w:val="auto"/>
          <w:spacing w:val="8"/>
          <w:sz w:val="24"/>
          <w:szCs w:val="24"/>
          <w:highlight w:val="none"/>
        </w:rPr>
        <w:t xml:space="preserve"> </w:t>
      </w:r>
      <w:r>
        <w:rPr>
          <w:rFonts w:ascii="宋体" w:hAnsi="宋体" w:eastAsia="宋体" w:cs="宋体"/>
          <w:color w:val="auto"/>
          <w:spacing w:val="-5"/>
          <w:sz w:val="24"/>
          <w:szCs w:val="24"/>
          <w:highlight w:val="none"/>
        </w:rPr>
        <w:t>称（签章</w:t>
      </w:r>
      <w:r>
        <w:rPr>
          <w:rFonts w:ascii="宋体" w:hAnsi="宋体" w:eastAsia="宋体" w:cs="宋体"/>
          <w:color w:val="auto"/>
          <w:sz w:val="24"/>
          <w:szCs w:val="24"/>
          <w:highlight w:val="none"/>
        </w:rPr>
        <w:t>）：</w:t>
      </w:r>
    </w:p>
    <w:p w14:paraId="6CA28D8D">
      <w:pPr>
        <w:spacing w:before="27" w:line="624" w:lineRule="exact"/>
        <w:ind w:left="446"/>
        <w:rPr>
          <w:rFonts w:ascii="宋体" w:hAnsi="宋体" w:eastAsia="宋体" w:cs="宋体"/>
          <w:color w:val="auto"/>
          <w:sz w:val="24"/>
          <w:szCs w:val="24"/>
          <w:highlight w:val="none"/>
        </w:rPr>
      </w:pPr>
      <w:r>
        <w:rPr>
          <w:rFonts w:ascii="宋体" w:hAnsi="宋体" w:eastAsia="宋体" w:cs="宋体"/>
          <w:color w:val="auto"/>
          <w:spacing w:val="1"/>
          <w:position w:val="29"/>
          <w:sz w:val="24"/>
          <w:szCs w:val="24"/>
          <w:highlight w:val="none"/>
        </w:rPr>
        <w:t>法定代表人（单位负责人</w:t>
      </w:r>
      <w:r>
        <w:rPr>
          <w:rFonts w:ascii="宋体" w:hAnsi="宋体" w:eastAsia="宋体" w:cs="宋体"/>
          <w:color w:val="auto"/>
          <w:spacing w:val="-7"/>
          <w:position w:val="29"/>
          <w:sz w:val="24"/>
          <w:szCs w:val="24"/>
          <w:highlight w:val="none"/>
        </w:rPr>
        <w:t>）（</w:t>
      </w:r>
      <w:r>
        <w:rPr>
          <w:rFonts w:ascii="宋体" w:hAnsi="宋体" w:eastAsia="宋体" w:cs="宋体"/>
          <w:color w:val="auto"/>
          <w:spacing w:val="1"/>
          <w:position w:val="29"/>
          <w:sz w:val="24"/>
          <w:szCs w:val="24"/>
          <w:highlight w:val="none"/>
        </w:rPr>
        <w:t>签章</w:t>
      </w:r>
      <w:r>
        <w:rPr>
          <w:rFonts w:ascii="宋体" w:hAnsi="宋体" w:eastAsia="宋体" w:cs="宋体"/>
          <w:color w:val="auto"/>
          <w:spacing w:val="-7"/>
          <w:position w:val="29"/>
          <w:sz w:val="24"/>
          <w:szCs w:val="24"/>
          <w:highlight w:val="none"/>
        </w:rPr>
        <w:t>）：</w:t>
      </w:r>
    </w:p>
    <w:p w14:paraId="113B6632">
      <w:pPr>
        <w:spacing w:line="220" w:lineRule="auto"/>
        <w:ind w:left="487"/>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29"/>
          <w:sz w:val="24"/>
          <w:szCs w:val="24"/>
          <w:highlight w:val="none"/>
          <w:u w:val="single" w:color="auto"/>
        </w:rPr>
        <w:t xml:space="preserve">    </w:t>
      </w:r>
      <w:r>
        <w:rPr>
          <w:rFonts w:ascii="宋体" w:hAnsi="宋体" w:eastAsia="宋体" w:cs="宋体"/>
          <w:color w:val="auto"/>
          <w:spacing w:val="-101"/>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29"/>
          <w:sz w:val="24"/>
          <w:szCs w:val="24"/>
          <w:highlight w:val="none"/>
          <w:u w:val="single" w:color="auto"/>
        </w:rPr>
        <w:t xml:space="preserve">    </w:t>
      </w:r>
      <w:r>
        <w:rPr>
          <w:rFonts w:ascii="宋体" w:hAnsi="宋体" w:eastAsia="宋体" w:cs="宋体"/>
          <w:color w:val="auto"/>
          <w:spacing w:val="-66"/>
          <w:sz w:val="24"/>
          <w:szCs w:val="24"/>
          <w:highlight w:val="none"/>
        </w:rPr>
        <w:t xml:space="preserve"> </w:t>
      </w:r>
      <w:r>
        <w:rPr>
          <w:rFonts w:ascii="宋体" w:hAnsi="宋体" w:eastAsia="宋体" w:cs="宋体"/>
          <w:color w:val="auto"/>
          <w:spacing w:val="-13"/>
          <w:sz w:val="24"/>
          <w:szCs w:val="24"/>
          <w:highlight w:val="none"/>
        </w:rPr>
        <w:t>日</w:t>
      </w:r>
    </w:p>
    <w:p w14:paraId="3D5FAAB8">
      <w:pPr>
        <w:spacing w:line="220" w:lineRule="auto"/>
        <w:rPr>
          <w:rFonts w:ascii="宋体" w:hAnsi="宋体" w:eastAsia="宋体" w:cs="宋体"/>
          <w:color w:val="auto"/>
          <w:sz w:val="24"/>
          <w:szCs w:val="24"/>
          <w:highlight w:val="none"/>
        </w:rPr>
        <w:sectPr>
          <w:footerReference r:id="rId23" w:type="default"/>
          <w:pgSz w:w="11906" w:h="16839"/>
          <w:pgMar w:top="1431" w:right="1048" w:bottom="1157" w:left="972" w:header="0" w:footer="992" w:gutter="0"/>
          <w:pgNumType w:fmt="decimal"/>
          <w:cols w:space="720" w:num="1"/>
        </w:sectPr>
      </w:pPr>
    </w:p>
    <w:p w14:paraId="407B73EF">
      <w:pPr>
        <w:spacing w:line="239" w:lineRule="auto"/>
        <w:ind w:left="140"/>
        <w:jc w:val="center"/>
        <w:outlineLvl w:val="2"/>
        <w:rPr>
          <w:rFonts w:hint="eastAsia" w:ascii="宋体" w:hAnsi="宋体" w:eastAsia="宋体" w:cs="宋体"/>
          <w:b/>
          <w:bCs/>
          <w:color w:val="auto"/>
          <w:sz w:val="24"/>
          <w:highlight w:val="none"/>
        </w:rPr>
      </w:pPr>
      <w:bookmarkStart w:id="70" w:name="_Toc2686"/>
      <w:bookmarkStart w:id="71" w:name="_Toc12486"/>
      <w:bookmarkStart w:id="72" w:name="_Toc14195"/>
      <w:bookmarkStart w:id="73" w:name="_Toc8180"/>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bookmarkEnd w:id="70"/>
      <w:bookmarkEnd w:id="71"/>
      <w:bookmarkStart w:id="74" w:name="_Toc1253"/>
      <w:bookmarkStart w:id="75" w:name="_Toc104"/>
      <w:r>
        <w:rPr>
          <w:rFonts w:hint="eastAsia" w:ascii="宋体" w:hAnsi="宋体" w:eastAsia="宋体" w:cs="宋体"/>
          <w:b/>
          <w:bCs/>
          <w:color w:val="auto"/>
          <w:sz w:val="28"/>
          <w:szCs w:val="28"/>
          <w:highlight w:val="none"/>
        </w:rPr>
        <w:t>近年类似项目情况表</w:t>
      </w:r>
      <w:bookmarkEnd w:id="72"/>
      <w:bookmarkEnd w:id="73"/>
      <w:bookmarkEnd w:id="74"/>
      <w:bookmarkEnd w:id="75"/>
    </w:p>
    <w:p w14:paraId="72A8739F">
      <w:pPr>
        <w:spacing w:line="200" w:lineRule="exact"/>
        <w:jc w:val="left"/>
        <w:rPr>
          <w:rFonts w:hint="eastAsia" w:ascii="宋体" w:hAnsi="宋体" w:eastAsia="宋体" w:cs="宋体"/>
          <w:color w:val="auto"/>
          <w:sz w:val="24"/>
          <w:highlight w:val="none"/>
        </w:rPr>
      </w:pPr>
    </w:p>
    <w:p w14:paraId="05C0437D">
      <w:pPr>
        <w:spacing w:line="200" w:lineRule="exact"/>
        <w:jc w:val="left"/>
        <w:rPr>
          <w:rFonts w:hint="eastAsia" w:ascii="宋体" w:hAnsi="宋体" w:eastAsia="宋体" w:cs="宋体"/>
          <w:color w:val="auto"/>
          <w:sz w:val="24"/>
          <w:highlight w:val="none"/>
        </w:rPr>
      </w:pPr>
    </w:p>
    <w:tbl>
      <w:tblPr>
        <w:tblStyle w:val="1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5103"/>
      </w:tblGrid>
      <w:tr w14:paraId="125F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0121AF45">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103" w:type="dxa"/>
          </w:tcPr>
          <w:p w14:paraId="2F8B7D12">
            <w:pPr>
              <w:widowControl w:val="0"/>
              <w:spacing w:line="200" w:lineRule="exact"/>
              <w:jc w:val="left"/>
              <w:rPr>
                <w:rFonts w:hint="eastAsia" w:ascii="宋体" w:hAnsi="宋体" w:eastAsia="宋体" w:cs="宋体"/>
                <w:color w:val="auto"/>
                <w:sz w:val="24"/>
                <w:szCs w:val="24"/>
                <w:highlight w:val="none"/>
              </w:rPr>
            </w:pPr>
          </w:p>
        </w:tc>
      </w:tr>
      <w:tr w14:paraId="45B8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7D2AAC66">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5103" w:type="dxa"/>
          </w:tcPr>
          <w:p w14:paraId="1B8B9578">
            <w:pPr>
              <w:widowControl w:val="0"/>
              <w:spacing w:line="200" w:lineRule="exact"/>
              <w:jc w:val="left"/>
              <w:rPr>
                <w:rFonts w:hint="eastAsia" w:ascii="宋体" w:hAnsi="宋体" w:eastAsia="宋体" w:cs="宋体"/>
                <w:color w:val="auto"/>
                <w:sz w:val="24"/>
                <w:szCs w:val="24"/>
                <w:highlight w:val="none"/>
              </w:rPr>
            </w:pPr>
          </w:p>
        </w:tc>
      </w:tr>
      <w:tr w14:paraId="2F3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32B13C56">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委托人名称</w:t>
            </w:r>
          </w:p>
        </w:tc>
        <w:tc>
          <w:tcPr>
            <w:tcW w:w="5103" w:type="dxa"/>
          </w:tcPr>
          <w:p w14:paraId="091608D4">
            <w:pPr>
              <w:widowControl w:val="0"/>
              <w:spacing w:line="200" w:lineRule="exact"/>
              <w:jc w:val="left"/>
              <w:rPr>
                <w:rFonts w:hint="eastAsia" w:ascii="宋体" w:hAnsi="宋体" w:eastAsia="宋体" w:cs="宋体"/>
                <w:color w:val="auto"/>
                <w:sz w:val="24"/>
                <w:szCs w:val="24"/>
                <w:highlight w:val="none"/>
              </w:rPr>
            </w:pPr>
          </w:p>
        </w:tc>
      </w:tr>
      <w:tr w14:paraId="4DDE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42642EEA">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委托人地址</w:t>
            </w:r>
          </w:p>
        </w:tc>
        <w:tc>
          <w:tcPr>
            <w:tcW w:w="5103" w:type="dxa"/>
          </w:tcPr>
          <w:p w14:paraId="3330BE9D">
            <w:pPr>
              <w:widowControl w:val="0"/>
              <w:spacing w:line="200" w:lineRule="exact"/>
              <w:jc w:val="left"/>
              <w:rPr>
                <w:rFonts w:hint="eastAsia" w:ascii="宋体" w:hAnsi="宋体" w:eastAsia="宋体" w:cs="宋体"/>
                <w:color w:val="auto"/>
                <w:sz w:val="24"/>
                <w:szCs w:val="24"/>
                <w:highlight w:val="none"/>
              </w:rPr>
            </w:pPr>
          </w:p>
        </w:tc>
      </w:tr>
      <w:tr w14:paraId="391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0D859AF6">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委托人电话</w:t>
            </w:r>
          </w:p>
        </w:tc>
        <w:tc>
          <w:tcPr>
            <w:tcW w:w="5103" w:type="dxa"/>
          </w:tcPr>
          <w:p w14:paraId="479A8611">
            <w:pPr>
              <w:widowControl w:val="0"/>
              <w:spacing w:line="200" w:lineRule="exact"/>
              <w:jc w:val="left"/>
              <w:rPr>
                <w:rFonts w:hint="eastAsia" w:ascii="宋体" w:hAnsi="宋体" w:eastAsia="宋体" w:cs="宋体"/>
                <w:color w:val="auto"/>
                <w:sz w:val="24"/>
                <w:szCs w:val="24"/>
                <w:highlight w:val="none"/>
              </w:rPr>
            </w:pPr>
          </w:p>
        </w:tc>
      </w:tr>
      <w:tr w14:paraId="3E5D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68B68FA6">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5103" w:type="dxa"/>
          </w:tcPr>
          <w:p w14:paraId="0ED56D7B">
            <w:pPr>
              <w:widowControl w:val="0"/>
              <w:spacing w:line="200" w:lineRule="exact"/>
              <w:jc w:val="left"/>
              <w:rPr>
                <w:rFonts w:hint="eastAsia" w:ascii="宋体" w:hAnsi="宋体" w:eastAsia="宋体" w:cs="宋体"/>
                <w:color w:val="auto"/>
                <w:sz w:val="24"/>
                <w:szCs w:val="24"/>
                <w:highlight w:val="none"/>
              </w:rPr>
            </w:pPr>
          </w:p>
        </w:tc>
      </w:tr>
      <w:tr w14:paraId="3AB0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783A1658">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服务周期</w:t>
            </w:r>
          </w:p>
        </w:tc>
        <w:tc>
          <w:tcPr>
            <w:tcW w:w="5103" w:type="dxa"/>
          </w:tcPr>
          <w:p w14:paraId="50705DB2">
            <w:pPr>
              <w:widowControl w:val="0"/>
              <w:spacing w:line="200" w:lineRule="exact"/>
              <w:jc w:val="left"/>
              <w:rPr>
                <w:rFonts w:hint="eastAsia" w:ascii="宋体" w:hAnsi="宋体" w:eastAsia="宋体" w:cs="宋体"/>
                <w:color w:val="auto"/>
                <w:sz w:val="24"/>
                <w:szCs w:val="24"/>
                <w:highlight w:val="none"/>
              </w:rPr>
            </w:pPr>
          </w:p>
        </w:tc>
      </w:tr>
      <w:tr w14:paraId="2E8D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523F165C">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5103" w:type="dxa"/>
          </w:tcPr>
          <w:p w14:paraId="11029473">
            <w:pPr>
              <w:widowControl w:val="0"/>
              <w:spacing w:line="200" w:lineRule="exact"/>
              <w:jc w:val="left"/>
              <w:rPr>
                <w:rFonts w:hint="eastAsia" w:ascii="宋体" w:hAnsi="宋体" w:eastAsia="宋体" w:cs="宋体"/>
                <w:color w:val="auto"/>
                <w:sz w:val="24"/>
                <w:szCs w:val="24"/>
                <w:highlight w:val="none"/>
              </w:rPr>
            </w:pPr>
          </w:p>
        </w:tc>
      </w:tr>
      <w:tr w14:paraId="7F48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02" w:type="dxa"/>
            <w:vAlign w:val="center"/>
          </w:tcPr>
          <w:p w14:paraId="58A8A8AD">
            <w:pPr>
              <w:widowControl w:val="0"/>
              <w:spacing w:line="239"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lang w:val="en-US" w:eastAsia="zh-CN"/>
              </w:rPr>
              <w:t>负责人</w:t>
            </w:r>
          </w:p>
        </w:tc>
        <w:tc>
          <w:tcPr>
            <w:tcW w:w="5103" w:type="dxa"/>
          </w:tcPr>
          <w:p w14:paraId="77E7C9B4">
            <w:pPr>
              <w:widowControl w:val="0"/>
              <w:spacing w:line="200" w:lineRule="exact"/>
              <w:jc w:val="left"/>
              <w:rPr>
                <w:rFonts w:hint="eastAsia" w:ascii="宋体" w:hAnsi="宋体" w:eastAsia="宋体" w:cs="宋体"/>
                <w:color w:val="auto"/>
                <w:sz w:val="24"/>
                <w:szCs w:val="24"/>
                <w:highlight w:val="none"/>
              </w:rPr>
            </w:pPr>
          </w:p>
        </w:tc>
      </w:tr>
      <w:tr w14:paraId="65C8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5102" w:type="dxa"/>
            <w:vAlign w:val="center"/>
          </w:tcPr>
          <w:p w14:paraId="5F299F97">
            <w:pPr>
              <w:widowContro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5103" w:type="dxa"/>
          </w:tcPr>
          <w:p w14:paraId="7D041878">
            <w:pPr>
              <w:widowControl w:val="0"/>
              <w:spacing w:line="200" w:lineRule="exact"/>
              <w:jc w:val="left"/>
              <w:rPr>
                <w:rFonts w:hint="eastAsia" w:ascii="宋体" w:hAnsi="宋体" w:eastAsia="宋体" w:cs="宋体"/>
                <w:color w:val="auto"/>
                <w:sz w:val="24"/>
                <w:szCs w:val="24"/>
                <w:highlight w:val="none"/>
              </w:rPr>
            </w:pPr>
          </w:p>
        </w:tc>
      </w:tr>
      <w:tr w14:paraId="123D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102" w:type="dxa"/>
            <w:vAlign w:val="center"/>
          </w:tcPr>
          <w:p w14:paraId="3A1F3C7A">
            <w:pPr>
              <w:widowContro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备注</w:t>
            </w:r>
          </w:p>
        </w:tc>
        <w:tc>
          <w:tcPr>
            <w:tcW w:w="5103" w:type="dxa"/>
          </w:tcPr>
          <w:p w14:paraId="2AD2D1C5">
            <w:pPr>
              <w:widowControl w:val="0"/>
              <w:spacing w:line="200" w:lineRule="exact"/>
              <w:jc w:val="left"/>
              <w:rPr>
                <w:rFonts w:hint="eastAsia" w:ascii="宋体" w:hAnsi="宋体" w:eastAsia="宋体" w:cs="宋体"/>
                <w:color w:val="auto"/>
                <w:sz w:val="24"/>
                <w:szCs w:val="24"/>
                <w:highlight w:val="none"/>
              </w:rPr>
            </w:pPr>
          </w:p>
        </w:tc>
      </w:tr>
    </w:tbl>
    <w:p w14:paraId="0EFDEF8A">
      <w:pPr>
        <w:spacing w:line="200" w:lineRule="exact"/>
        <w:jc w:val="left"/>
        <w:rPr>
          <w:rFonts w:hint="eastAsia" w:ascii="宋体" w:hAnsi="宋体" w:eastAsia="宋体" w:cs="宋体"/>
          <w:color w:val="auto"/>
          <w:sz w:val="24"/>
          <w:highlight w:val="none"/>
        </w:rPr>
      </w:pPr>
    </w:p>
    <w:p w14:paraId="0EC93E76">
      <w:pPr>
        <w:spacing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：1、附加盖供应商公章的中标通知书或合同复印件。</w:t>
      </w:r>
    </w:p>
    <w:p w14:paraId="632285C8">
      <w:pPr>
        <w:spacing w:line="276"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2、所有复印件必须要清晰、字迹清楚，否则评标不予以计分。</w:t>
      </w:r>
    </w:p>
    <w:p w14:paraId="1D75DE80">
      <w:pPr>
        <w:spacing w:line="276"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3、每张表格只填写一个项目，并标明序号。</w:t>
      </w:r>
    </w:p>
    <w:p w14:paraId="14A0AF8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D67040">
      <w:pPr>
        <w:spacing w:line="360" w:lineRule="auto"/>
        <w:jc w:val="center"/>
        <w:outlineLvl w:val="1"/>
        <w:rPr>
          <w:rFonts w:hint="eastAsia" w:ascii="宋体" w:hAnsi="宋体" w:eastAsia="宋体" w:cs="宋体"/>
          <w:bCs/>
          <w:color w:val="auto"/>
          <w:szCs w:val="18"/>
          <w:highlight w:val="none"/>
          <w:lang w:val="zh-CN"/>
        </w:rPr>
      </w:pPr>
      <w:bookmarkStart w:id="76" w:name="_Toc12857"/>
      <w:bookmarkStart w:id="77" w:name="_Toc3423"/>
      <w:bookmarkStart w:id="78" w:name="_Toc485"/>
      <w:bookmarkStart w:id="79" w:name="_Toc30167"/>
      <w:bookmarkStart w:id="80" w:name="_Toc6352"/>
      <w:bookmarkStart w:id="81" w:name="_Toc21021"/>
      <w:bookmarkStart w:id="82" w:name="_Toc17036"/>
      <w:r>
        <w:rPr>
          <w:rFonts w:hint="eastAsia" w:ascii="宋体" w:hAnsi="宋体" w:cs="宋体"/>
          <w:b/>
          <w:bCs/>
          <w:color w:val="auto"/>
          <w:sz w:val="32"/>
          <w:szCs w:val="32"/>
          <w:highlight w:val="none"/>
          <w:lang w:val="en-US" w:eastAsia="zh-CN"/>
        </w:rPr>
        <w:t xml:space="preserve">附件9 </w:t>
      </w:r>
      <w:r>
        <w:rPr>
          <w:rFonts w:hint="eastAsia" w:ascii="宋体" w:hAnsi="宋体" w:cs="宋体"/>
          <w:b/>
          <w:bCs w:val="0"/>
          <w:color w:val="auto"/>
          <w:sz w:val="32"/>
          <w:szCs w:val="32"/>
          <w:highlight w:val="none"/>
          <w:lang w:val="zh-CN"/>
        </w:rPr>
        <w:t>技术服务方案</w:t>
      </w:r>
      <w:bookmarkEnd w:id="76"/>
      <w:bookmarkEnd w:id="77"/>
      <w:bookmarkEnd w:id="78"/>
      <w:bookmarkEnd w:id="79"/>
      <w:bookmarkEnd w:id="80"/>
      <w:bookmarkEnd w:id="81"/>
      <w:bookmarkEnd w:id="82"/>
    </w:p>
    <w:p w14:paraId="26D252F3">
      <w:pPr>
        <w:spacing w:line="360" w:lineRule="auto"/>
        <w:jc w:val="both"/>
        <w:rPr>
          <w:rFonts w:hint="eastAsia" w:ascii="宋体" w:hAnsi="宋体" w:eastAsia="宋体" w:cs="宋体"/>
          <w:bCs/>
          <w:color w:val="auto"/>
          <w:szCs w:val="18"/>
          <w:highlight w:val="none"/>
          <w:lang w:val="zh-CN"/>
        </w:rPr>
      </w:pPr>
    </w:p>
    <w:p w14:paraId="16273F6E">
      <w:pPr>
        <w:spacing w:line="360" w:lineRule="auto"/>
        <w:ind w:firstLine="480" w:firstLineChars="200"/>
        <w:jc w:val="center"/>
        <w:rPr>
          <w:rFonts w:hint="eastAsia" w:ascii="宋体" w:hAnsi="宋体" w:eastAsia="宋体" w:cs="宋体"/>
          <w:bCs/>
          <w:color w:val="auto"/>
          <w:szCs w:val="18"/>
          <w:highlight w:val="none"/>
          <w:lang w:val="zh-CN"/>
        </w:rPr>
      </w:pPr>
      <w:r>
        <w:rPr>
          <w:rFonts w:hint="eastAsia" w:ascii="宋体" w:hAnsi="宋体" w:cs="宋体"/>
          <w:bCs/>
          <w:color w:val="auto"/>
          <w:sz w:val="24"/>
          <w:szCs w:val="24"/>
          <w:highlight w:val="none"/>
          <w:lang w:val="zh-CN"/>
        </w:rPr>
        <w:t>格式自拟，供应商可自行增加与本项目相关的认为有必要提供的其他方案。</w:t>
      </w:r>
    </w:p>
    <w:p w14:paraId="79BC531F">
      <w:pPr>
        <w:numPr>
          <w:ilvl w:val="0"/>
          <w:numId w:val="0"/>
        </w:numPr>
        <w:spacing w:line="360" w:lineRule="auto"/>
        <w:jc w:val="both"/>
        <w:rPr>
          <w:rFonts w:hint="eastAsia" w:ascii="宋体" w:hAnsi="宋体" w:eastAsia="宋体" w:cs="宋体"/>
          <w:bCs/>
          <w:color w:val="auto"/>
          <w:sz w:val="24"/>
          <w:szCs w:val="24"/>
          <w:highlight w:val="none"/>
          <w:lang w:val="zh-CN"/>
        </w:rPr>
      </w:pPr>
    </w:p>
    <w:p w14:paraId="28BEEEA7">
      <w:pPr>
        <w:spacing w:line="360" w:lineRule="auto"/>
        <w:jc w:val="both"/>
        <w:rPr>
          <w:rFonts w:hint="eastAsia" w:ascii="宋体" w:hAnsi="宋体" w:cs="宋体"/>
          <w:bCs/>
          <w:color w:val="auto"/>
          <w:sz w:val="24"/>
          <w:szCs w:val="24"/>
          <w:highlight w:val="none"/>
          <w:lang w:val="zh-CN"/>
        </w:rPr>
      </w:pPr>
    </w:p>
    <w:p w14:paraId="13B6A785">
      <w:pPr>
        <w:spacing w:line="360" w:lineRule="auto"/>
        <w:jc w:val="both"/>
        <w:rPr>
          <w:rFonts w:hint="eastAsia" w:ascii="宋体" w:hAnsi="宋体" w:cs="宋体"/>
          <w:bCs/>
          <w:color w:val="auto"/>
          <w:sz w:val="24"/>
          <w:szCs w:val="24"/>
          <w:highlight w:val="none"/>
          <w:lang w:val="zh-CN"/>
        </w:rPr>
      </w:pPr>
    </w:p>
    <w:p w14:paraId="354436DC">
      <w:pPr>
        <w:spacing w:line="360" w:lineRule="auto"/>
        <w:jc w:val="both"/>
        <w:rPr>
          <w:rFonts w:hint="eastAsia" w:ascii="宋体" w:hAnsi="宋体" w:eastAsia="宋体" w:cs="宋体"/>
          <w:bCs/>
          <w:color w:val="auto"/>
          <w:szCs w:val="18"/>
          <w:highlight w:val="none"/>
          <w:lang w:val="zh-CN"/>
        </w:rPr>
      </w:pPr>
    </w:p>
    <w:p w14:paraId="34B80577">
      <w:pPr>
        <w:spacing w:line="360" w:lineRule="auto"/>
        <w:jc w:val="both"/>
        <w:rPr>
          <w:rFonts w:hint="eastAsia" w:ascii="宋体" w:hAnsi="宋体" w:eastAsia="宋体" w:cs="宋体"/>
          <w:bCs/>
          <w:color w:val="auto"/>
          <w:szCs w:val="18"/>
          <w:highlight w:val="none"/>
          <w:lang w:val="zh-CN"/>
        </w:rPr>
      </w:pPr>
    </w:p>
    <w:p w14:paraId="6E1D0117">
      <w:pPr>
        <w:spacing w:line="360" w:lineRule="auto"/>
        <w:jc w:val="both"/>
        <w:rPr>
          <w:rFonts w:hint="eastAsia" w:ascii="宋体" w:hAnsi="宋体" w:eastAsia="宋体" w:cs="宋体"/>
          <w:bCs/>
          <w:color w:val="auto"/>
          <w:szCs w:val="18"/>
          <w:highlight w:val="none"/>
          <w:lang w:val="zh-CN"/>
        </w:rPr>
      </w:pPr>
    </w:p>
    <w:p w14:paraId="35920747">
      <w:pPr>
        <w:rPr>
          <w:rFonts w:hint="eastAsia" w:ascii="宋体" w:hAnsi="宋体" w:cs="宋体"/>
          <w:b/>
          <w:bCs/>
          <w:color w:val="auto"/>
          <w:sz w:val="32"/>
          <w:szCs w:val="32"/>
          <w:highlight w:val="none"/>
          <w:lang w:eastAsia="zh-CN"/>
        </w:rPr>
      </w:pPr>
      <w:bookmarkStart w:id="83" w:name="page87"/>
      <w:bookmarkEnd w:id="83"/>
      <w:bookmarkStart w:id="84" w:name="_Toc27114"/>
      <w:bookmarkStart w:id="85" w:name="_Toc17416"/>
      <w:bookmarkStart w:id="86" w:name="_Toc22004"/>
      <w:r>
        <w:rPr>
          <w:rFonts w:hint="eastAsia" w:ascii="宋体" w:hAnsi="宋体" w:cs="宋体"/>
          <w:b/>
          <w:bCs/>
          <w:color w:val="auto"/>
          <w:sz w:val="32"/>
          <w:szCs w:val="32"/>
          <w:highlight w:val="none"/>
          <w:lang w:eastAsia="zh-CN"/>
        </w:rPr>
        <w:br w:type="page"/>
      </w:r>
    </w:p>
    <w:bookmarkEnd w:id="84"/>
    <w:bookmarkEnd w:id="85"/>
    <w:p w14:paraId="3CFD3B54">
      <w:pPr>
        <w:numPr>
          <w:ilvl w:val="0"/>
          <w:numId w:val="0"/>
        </w:numPr>
        <w:jc w:val="center"/>
        <w:outlineLvl w:val="1"/>
        <w:rPr>
          <w:rFonts w:hint="eastAsia" w:ascii="宋体" w:hAnsi="宋体" w:eastAsia="宋体" w:cs="宋体"/>
          <w:b/>
          <w:color w:val="auto"/>
          <w:sz w:val="32"/>
          <w:szCs w:val="32"/>
          <w:highlight w:val="none"/>
        </w:rPr>
      </w:pPr>
      <w:bookmarkStart w:id="87" w:name="_Toc8663"/>
      <w:bookmarkStart w:id="88" w:name="_Toc3746"/>
      <w:bookmarkStart w:id="89" w:name="_Toc6780"/>
      <w:bookmarkStart w:id="90" w:name="_Toc16620"/>
      <w:bookmarkStart w:id="91" w:name="_Toc4063"/>
      <w:bookmarkStart w:id="92" w:name="_Toc16888"/>
      <w:r>
        <w:rPr>
          <w:rFonts w:hint="eastAsia" w:ascii="宋体" w:hAnsi="宋体" w:eastAsia="宋体" w:cs="宋体"/>
          <w:b/>
          <w:color w:val="auto"/>
          <w:sz w:val="32"/>
          <w:szCs w:val="32"/>
          <w:highlight w:val="none"/>
          <w:lang w:val="en-US" w:eastAsia="zh-CN"/>
        </w:rPr>
        <w:t xml:space="preserve">附件10 </w:t>
      </w:r>
      <w:r>
        <w:rPr>
          <w:rFonts w:hint="eastAsia" w:ascii="宋体" w:hAnsi="宋体" w:eastAsia="宋体" w:cs="宋体"/>
          <w:b/>
          <w:color w:val="auto"/>
          <w:sz w:val="32"/>
          <w:szCs w:val="32"/>
          <w:highlight w:val="none"/>
        </w:rPr>
        <w:t>其他资料</w:t>
      </w:r>
      <w:bookmarkEnd w:id="86"/>
      <w:bookmarkEnd w:id="87"/>
      <w:bookmarkEnd w:id="88"/>
      <w:bookmarkEnd w:id="89"/>
      <w:bookmarkEnd w:id="90"/>
      <w:bookmarkEnd w:id="91"/>
      <w:bookmarkEnd w:id="92"/>
    </w:p>
    <w:p w14:paraId="60371C19">
      <w:pPr>
        <w:jc w:val="both"/>
        <w:rPr>
          <w:rFonts w:hint="eastAsia" w:ascii="宋体" w:hAnsi="宋体" w:eastAsia="宋体" w:cs="宋体"/>
          <w:color w:val="auto"/>
          <w:highlight w:val="none"/>
        </w:rPr>
      </w:pPr>
      <w:bookmarkStart w:id="93" w:name="_Toc143"/>
      <w:bookmarkEnd w:id="93"/>
      <w:r>
        <w:rPr>
          <w:rFonts w:hint="eastAsia" w:ascii="宋体" w:hAnsi="宋体" w:eastAsia="宋体" w:cs="宋体"/>
          <w:color w:val="auto"/>
          <w:highlight w:val="none"/>
        </w:rPr>
        <w:t xml:space="preserve"> </w:t>
      </w:r>
    </w:p>
    <w:p w14:paraId="08262ABC">
      <w:pPr>
        <w:spacing w:before="156" w:beforeLines="50" w:after="156" w:afterLines="50" w:line="360" w:lineRule="auto"/>
        <w:jc w:val="center"/>
        <w:rPr>
          <w:rFonts w:hint="eastAsia"/>
          <w:color w:val="auto"/>
          <w:highlight w:val="none"/>
        </w:rPr>
      </w:pPr>
      <w:r>
        <w:rPr>
          <w:rFonts w:hint="eastAsia" w:ascii="宋体" w:hAnsi="宋体" w:eastAsia="宋体" w:cs="宋体"/>
          <w:color w:val="auto"/>
          <w:sz w:val="28"/>
          <w:szCs w:val="28"/>
          <w:highlight w:val="none"/>
          <w:lang w:val="en-US" w:eastAsia="zh-CN"/>
        </w:rPr>
        <w:t>供应商认为有必要提供的其他资料。</w:t>
      </w:r>
    </w:p>
    <w:p w14:paraId="64EC6697">
      <w:pPr>
        <w:spacing w:before="129" w:line="227" w:lineRule="auto"/>
        <w:ind w:left="150"/>
        <w:rPr>
          <w:rFonts w:ascii="宋体" w:hAnsi="宋体" w:eastAsia="宋体" w:cs="宋体"/>
          <w:color w:val="auto"/>
          <w:sz w:val="20"/>
          <w:szCs w:val="20"/>
          <w:highlight w:val="none"/>
        </w:rPr>
      </w:pPr>
    </w:p>
    <w:p w14:paraId="1701C3FE">
      <w:pPr>
        <w:spacing w:line="227" w:lineRule="auto"/>
        <w:rPr>
          <w:rFonts w:ascii="宋体" w:hAnsi="宋体" w:eastAsia="宋体" w:cs="宋体"/>
          <w:color w:val="auto"/>
          <w:sz w:val="20"/>
          <w:szCs w:val="20"/>
          <w:highlight w:val="none"/>
        </w:rPr>
        <w:sectPr>
          <w:footerReference r:id="rId24" w:type="default"/>
          <w:pgSz w:w="11906" w:h="16839"/>
          <w:pgMar w:top="1313" w:right="1187" w:bottom="1157" w:left="1136" w:header="0" w:footer="992" w:gutter="0"/>
          <w:pgNumType w:fmt="decimal"/>
          <w:cols w:space="720" w:num="1"/>
        </w:sectPr>
      </w:pPr>
    </w:p>
    <w:p w14:paraId="31966982">
      <w:pPr>
        <w:spacing w:before="289" w:line="221" w:lineRule="auto"/>
        <w:ind w:left="4032"/>
        <w:outlineLvl w:val="2"/>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中小企业声明函</w:t>
      </w:r>
    </w:p>
    <w:p w14:paraId="5149ADAD">
      <w:pPr>
        <w:pStyle w:val="2"/>
        <w:spacing w:line="297" w:lineRule="auto"/>
        <w:rPr>
          <w:color w:val="auto"/>
          <w:highlight w:val="none"/>
        </w:rPr>
      </w:pPr>
    </w:p>
    <w:p w14:paraId="36FCEC09">
      <w:pPr>
        <w:pStyle w:val="2"/>
        <w:spacing w:line="297" w:lineRule="auto"/>
        <w:rPr>
          <w:color w:val="auto"/>
          <w:highlight w:val="none"/>
        </w:rPr>
      </w:pPr>
    </w:p>
    <w:p w14:paraId="4D25C4CF">
      <w:pPr>
        <w:pStyle w:val="2"/>
        <w:spacing w:line="297" w:lineRule="auto"/>
        <w:rPr>
          <w:color w:val="auto"/>
          <w:highlight w:val="none"/>
        </w:rPr>
      </w:pPr>
    </w:p>
    <w:p w14:paraId="6D29A9DB">
      <w:pPr>
        <w:spacing w:before="65" w:line="462" w:lineRule="auto"/>
        <w:ind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本公司(联合体)郑重声明，根据《政府采购促进中小企业发展管理办法》</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(财库(2020)46</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号)的规定，本</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公司(联合体)参加</w:t>
      </w:r>
      <w:r>
        <w:rPr>
          <w:rFonts w:ascii="宋体" w:hAnsi="宋体" w:eastAsia="宋体" w:cs="宋体"/>
          <w:color w:val="auto"/>
          <w:spacing w:val="5"/>
          <w:sz w:val="20"/>
          <w:szCs w:val="20"/>
          <w:highlight w:val="none"/>
          <w:u w:val="single" w:color="auto"/>
        </w:rPr>
        <w:t>(单位名称)</w:t>
      </w:r>
      <w:r>
        <w:rPr>
          <w:rFonts w:ascii="宋体" w:hAnsi="宋体" w:eastAsia="宋体" w:cs="宋体"/>
          <w:color w:val="auto"/>
          <w:spacing w:val="5"/>
          <w:sz w:val="20"/>
          <w:szCs w:val="20"/>
          <w:highlight w:val="none"/>
        </w:rPr>
        <w:t>的</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(项目名称)</w:t>
      </w:r>
      <w:r>
        <w:rPr>
          <w:rFonts w:ascii="宋体" w:hAnsi="宋体" w:eastAsia="宋体" w:cs="宋体"/>
          <w:color w:val="auto"/>
          <w:spacing w:val="5"/>
          <w:sz w:val="20"/>
          <w:szCs w:val="20"/>
          <w:highlight w:val="none"/>
        </w:rPr>
        <w:t>采购活动。工程的施工单位全部为符合政策要求的中小企业(或者</w:t>
      </w:r>
      <w:r>
        <w:rPr>
          <w:rFonts w:ascii="宋体" w:hAnsi="宋体" w:eastAsia="宋体" w:cs="宋体"/>
          <w:color w:val="auto"/>
          <w:spacing w:val="-59"/>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服务全部由符合政策要求的中小企业承接)。相关企业(含联合体中的中小企业、签订分包意向协议的中小企业)</w:t>
      </w:r>
    </w:p>
    <w:p w14:paraId="29C6B3E8">
      <w:pPr>
        <w:spacing w:line="229" w:lineRule="auto"/>
        <w:ind w:left="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的具体情况如下:</w:t>
      </w:r>
    </w:p>
    <w:p w14:paraId="4CC6A080">
      <w:pPr>
        <w:spacing w:before="250" w:line="461" w:lineRule="auto"/>
        <w:ind w:right="3"/>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1._</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7"/>
          <w:sz w:val="20"/>
          <w:szCs w:val="20"/>
          <w:highlight w:val="none"/>
          <w:u w:val="single" w:color="auto"/>
        </w:rPr>
        <w:t>(标的名称)</w:t>
      </w:r>
      <w:r>
        <w:rPr>
          <w:rFonts w:ascii="宋体" w:hAnsi="宋体" w:eastAsia="宋体" w:cs="宋体"/>
          <w:color w:val="auto"/>
          <w:spacing w:val="7"/>
          <w:sz w:val="20"/>
          <w:szCs w:val="20"/>
          <w:highlight w:val="none"/>
        </w:rPr>
        <w:t>，属于</w:t>
      </w:r>
      <w:r>
        <w:rPr>
          <w:rFonts w:hint="eastAsia" w:ascii="宋体" w:hAnsi="宋体" w:eastAsia="宋体" w:cs="宋体"/>
          <w:color w:val="auto"/>
          <w:spacing w:val="7"/>
          <w:sz w:val="20"/>
          <w:szCs w:val="20"/>
          <w:highlight w:val="none"/>
          <w:u w:val="single" w:color="auto"/>
          <w:lang w:val="en-US" w:eastAsia="zh-CN"/>
        </w:rPr>
        <w:t xml:space="preserve"> </w:t>
      </w:r>
      <w:r>
        <w:rPr>
          <w:rFonts w:hint="eastAsia" w:ascii="宋体" w:hAnsi="宋体" w:eastAsia="宋体" w:cs="宋体"/>
          <w:b/>
          <w:bCs/>
          <w:color w:val="auto"/>
          <w:spacing w:val="7"/>
          <w:sz w:val="20"/>
          <w:szCs w:val="20"/>
          <w:highlight w:val="none"/>
          <w:u w:val="single" w:color="auto"/>
        </w:rPr>
        <w:t>软件和信息技术服务业</w:t>
      </w:r>
      <w:r>
        <w:rPr>
          <w:rFonts w:hint="eastAsia" w:ascii="宋体" w:hAnsi="宋体" w:eastAsia="宋体" w:cs="宋体"/>
          <w:color w:val="auto"/>
          <w:spacing w:val="7"/>
          <w:sz w:val="20"/>
          <w:szCs w:val="20"/>
          <w:highlight w:val="none"/>
          <w:u w:val="single" w:color="auto"/>
          <w:lang w:val="en-US" w:eastAsia="zh-CN"/>
        </w:rPr>
        <w:t xml:space="preserve"> </w:t>
      </w:r>
      <w:r>
        <w:rPr>
          <w:rFonts w:ascii="宋体" w:hAnsi="宋体" w:eastAsia="宋体" w:cs="宋体"/>
          <w:color w:val="auto"/>
          <w:spacing w:val="7"/>
          <w:sz w:val="20"/>
          <w:szCs w:val="20"/>
          <w:highlight w:val="none"/>
        </w:rPr>
        <w:t>；承建（承接）企业为</w:t>
      </w:r>
      <w:r>
        <w:rPr>
          <w:rFonts w:ascii="宋体" w:hAnsi="宋体" w:eastAsia="宋体" w:cs="宋体"/>
          <w:color w:val="auto"/>
          <w:spacing w:val="7"/>
          <w:sz w:val="20"/>
          <w:szCs w:val="20"/>
          <w:highlight w:val="none"/>
          <w:u w:val="single" w:color="auto"/>
        </w:rPr>
        <w:t xml:space="preserve">   （企业名称</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76"/>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7"/>
          <w:sz w:val="20"/>
          <w:szCs w:val="20"/>
          <w:highlight w:val="none"/>
        </w:rPr>
        <w:t>从业人</w:t>
      </w:r>
    </w:p>
    <w:p w14:paraId="122998D0">
      <w:pPr>
        <w:spacing w:line="228" w:lineRule="auto"/>
        <w:ind w:left="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员</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8"/>
          <w:sz w:val="20"/>
          <w:szCs w:val="20"/>
          <w:highlight w:val="none"/>
        </w:rPr>
        <w:t xml:space="preserve"> </w:t>
      </w:r>
      <w:r>
        <w:rPr>
          <w:rFonts w:ascii="宋体" w:hAnsi="宋体" w:eastAsia="宋体" w:cs="宋体"/>
          <w:color w:val="auto"/>
          <w:spacing w:val="7"/>
          <w:sz w:val="20"/>
          <w:szCs w:val="20"/>
          <w:highlight w:val="none"/>
        </w:rPr>
        <w:t>人，营业收入为</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7"/>
          <w:sz w:val="20"/>
          <w:szCs w:val="20"/>
          <w:highlight w:val="none"/>
        </w:rPr>
        <w:t>万元，资产总额为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7"/>
          <w:sz w:val="20"/>
          <w:szCs w:val="20"/>
          <w:highlight w:val="none"/>
        </w:rPr>
        <w:t>万元，属于</w:t>
      </w:r>
      <w:r>
        <w:rPr>
          <w:rFonts w:ascii="宋体" w:hAnsi="宋体" w:eastAsia="宋体" w:cs="宋体"/>
          <w:color w:val="auto"/>
          <w:spacing w:val="7"/>
          <w:sz w:val="20"/>
          <w:szCs w:val="20"/>
          <w:highlight w:val="none"/>
          <w:u w:val="single" w:color="auto"/>
        </w:rPr>
        <w:t>(中型企业、小型企业、微型企业)</w:t>
      </w:r>
      <w:r>
        <w:rPr>
          <w:rFonts w:ascii="宋体" w:hAnsi="宋体" w:eastAsia="宋体" w:cs="宋体"/>
          <w:color w:val="auto"/>
          <w:spacing w:val="7"/>
          <w:sz w:val="20"/>
          <w:szCs w:val="20"/>
          <w:highlight w:val="none"/>
        </w:rPr>
        <w:t>；</w:t>
      </w:r>
    </w:p>
    <w:p w14:paraId="7D06AF91">
      <w:pPr>
        <w:spacing w:before="254" w:line="461" w:lineRule="auto"/>
        <w:ind w:right="3"/>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2._</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8"/>
          <w:sz w:val="20"/>
          <w:szCs w:val="20"/>
          <w:highlight w:val="none"/>
          <w:u w:val="single" w:color="auto"/>
        </w:rPr>
        <w:t>(标的名称)</w:t>
      </w:r>
      <w:r>
        <w:rPr>
          <w:rFonts w:ascii="宋体" w:hAnsi="宋体" w:eastAsia="宋体" w:cs="宋体"/>
          <w:color w:val="auto"/>
          <w:spacing w:val="8"/>
          <w:sz w:val="20"/>
          <w:szCs w:val="20"/>
          <w:highlight w:val="none"/>
        </w:rPr>
        <w:t>，属于</w:t>
      </w:r>
      <w:r>
        <w:rPr>
          <w:rFonts w:ascii="宋体" w:hAnsi="宋体" w:eastAsia="宋体" w:cs="宋体"/>
          <w:color w:val="auto"/>
          <w:spacing w:val="8"/>
          <w:sz w:val="20"/>
          <w:szCs w:val="20"/>
          <w:highlight w:val="none"/>
          <w:u w:val="single" w:color="auto"/>
        </w:rPr>
        <w:t>(采购文件中明确的所属</w:t>
      </w:r>
      <w:r>
        <w:rPr>
          <w:rFonts w:ascii="宋体" w:hAnsi="宋体" w:eastAsia="宋体" w:cs="宋体"/>
          <w:color w:val="auto"/>
          <w:spacing w:val="7"/>
          <w:sz w:val="20"/>
          <w:szCs w:val="20"/>
          <w:highlight w:val="none"/>
          <w:u w:val="single" w:color="auto"/>
        </w:rPr>
        <w:t>行业)</w:t>
      </w:r>
      <w:r>
        <w:rPr>
          <w:rFonts w:ascii="宋体" w:hAnsi="宋体" w:eastAsia="宋体" w:cs="宋体"/>
          <w:color w:val="auto"/>
          <w:spacing w:val="7"/>
          <w:sz w:val="20"/>
          <w:szCs w:val="20"/>
          <w:highlight w:val="none"/>
        </w:rPr>
        <w:t>；承建（承接）企业为</w:t>
      </w:r>
      <w:r>
        <w:rPr>
          <w:rFonts w:ascii="宋体" w:hAnsi="宋体" w:eastAsia="宋体" w:cs="宋体"/>
          <w:color w:val="auto"/>
          <w:spacing w:val="7"/>
          <w:sz w:val="20"/>
          <w:szCs w:val="20"/>
          <w:highlight w:val="none"/>
          <w:u w:val="single" w:color="auto"/>
        </w:rPr>
        <w:t xml:space="preserve">   （企业名称</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76"/>
          <w:sz w:val="20"/>
          <w:szCs w:val="20"/>
          <w:highlight w:val="none"/>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7"/>
          <w:sz w:val="20"/>
          <w:szCs w:val="20"/>
          <w:highlight w:val="none"/>
        </w:rPr>
        <w:t>从业人</w:t>
      </w:r>
    </w:p>
    <w:p w14:paraId="6DB5EF2B">
      <w:pPr>
        <w:spacing w:before="1" w:line="228" w:lineRule="auto"/>
        <w:ind w:left="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员</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8"/>
          <w:sz w:val="20"/>
          <w:szCs w:val="20"/>
          <w:highlight w:val="none"/>
        </w:rPr>
        <w:t xml:space="preserve"> </w:t>
      </w:r>
      <w:r>
        <w:rPr>
          <w:rFonts w:ascii="宋体" w:hAnsi="宋体" w:eastAsia="宋体" w:cs="宋体"/>
          <w:color w:val="auto"/>
          <w:spacing w:val="7"/>
          <w:sz w:val="20"/>
          <w:szCs w:val="20"/>
          <w:highlight w:val="none"/>
        </w:rPr>
        <w:t>人，营业收入为</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7"/>
          <w:sz w:val="20"/>
          <w:szCs w:val="20"/>
          <w:highlight w:val="none"/>
        </w:rPr>
        <w:t>万元，资产总额为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7"/>
          <w:sz w:val="20"/>
          <w:szCs w:val="20"/>
          <w:highlight w:val="none"/>
        </w:rPr>
        <w:t>万元，属于</w:t>
      </w:r>
      <w:r>
        <w:rPr>
          <w:rFonts w:ascii="宋体" w:hAnsi="宋体" w:eastAsia="宋体" w:cs="宋体"/>
          <w:color w:val="auto"/>
          <w:spacing w:val="7"/>
          <w:sz w:val="20"/>
          <w:szCs w:val="20"/>
          <w:highlight w:val="none"/>
          <w:u w:val="single" w:color="auto"/>
        </w:rPr>
        <w:t>(中型企业、小型企业、微型企业)</w:t>
      </w:r>
      <w:r>
        <w:rPr>
          <w:rFonts w:ascii="宋体" w:hAnsi="宋体" w:eastAsia="宋体" w:cs="宋体"/>
          <w:color w:val="auto"/>
          <w:spacing w:val="7"/>
          <w:sz w:val="20"/>
          <w:szCs w:val="20"/>
          <w:highlight w:val="none"/>
        </w:rPr>
        <w:t>；</w:t>
      </w:r>
    </w:p>
    <w:p w14:paraId="56A3F697">
      <w:pPr>
        <w:pStyle w:val="2"/>
        <w:spacing w:line="338" w:lineRule="auto"/>
        <w:rPr>
          <w:color w:val="auto"/>
          <w:highlight w:val="none"/>
        </w:rPr>
      </w:pPr>
    </w:p>
    <w:p w14:paraId="393B7868">
      <w:pPr>
        <w:spacing w:before="65" w:line="84" w:lineRule="exact"/>
        <w:ind w:left="425"/>
        <w:rPr>
          <w:rFonts w:ascii="宋体" w:hAnsi="宋体" w:eastAsia="宋体" w:cs="宋体"/>
          <w:color w:val="auto"/>
          <w:sz w:val="20"/>
          <w:szCs w:val="20"/>
          <w:highlight w:val="none"/>
        </w:rPr>
      </w:pPr>
      <w:r>
        <w:rPr>
          <w:rFonts w:ascii="宋体" w:hAnsi="宋体" w:eastAsia="宋体" w:cs="宋体"/>
          <w:color w:val="auto"/>
          <w:spacing w:val="3"/>
          <w:position w:val="1"/>
          <w:sz w:val="20"/>
          <w:szCs w:val="20"/>
          <w:highlight w:val="none"/>
        </w:rPr>
        <w:t>....</w:t>
      </w:r>
    </w:p>
    <w:p w14:paraId="23EB15C3">
      <w:pPr>
        <w:spacing w:before="264" w:line="499" w:lineRule="exact"/>
        <w:ind w:right="1"/>
        <w:jc w:val="right"/>
        <w:rPr>
          <w:rFonts w:ascii="宋体" w:hAnsi="宋体" w:eastAsia="宋体" w:cs="宋体"/>
          <w:color w:val="auto"/>
          <w:sz w:val="20"/>
          <w:szCs w:val="20"/>
          <w:highlight w:val="none"/>
        </w:rPr>
      </w:pPr>
      <w:r>
        <w:rPr>
          <w:rFonts w:ascii="宋体" w:hAnsi="宋体" w:eastAsia="宋体" w:cs="宋体"/>
          <w:color w:val="auto"/>
          <w:spacing w:val="7"/>
          <w:position w:val="22"/>
          <w:sz w:val="20"/>
          <w:szCs w:val="20"/>
          <w:highlight w:val="none"/>
        </w:rPr>
        <w:t>以上企业，不属于大企业的分支机构，不存在控股股东为大企业的情形，也不存在与大企业的负责人为同</w:t>
      </w:r>
    </w:p>
    <w:p w14:paraId="4F06D493">
      <w:pPr>
        <w:spacing w:line="229" w:lineRule="auto"/>
        <w:ind w:left="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一人的情形。</w:t>
      </w:r>
    </w:p>
    <w:p w14:paraId="5C09A656">
      <w:pPr>
        <w:spacing w:before="251" w:line="228"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本企业对上述声明内容的真实性负责。如有虚假，将依法承担相应责任。</w:t>
      </w:r>
    </w:p>
    <w:p w14:paraId="796A37B0">
      <w:pPr>
        <w:pStyle w:val="2"/>
        <w:spacing w:line="342" w:lineRule="auto"/>
        <w:rPr>
          <w:color w:val="auto"/>
          <w:highlight w:val="none"/>
        </w:rPr>
      </w:pPr>
    </w:p>
    <w:p w14:paraId="4AF425E6">
      <w:pPr>
        <w:pStyle w:val="2"/>
        <w:spacing w:line="342" w:lineRule="auto"/>
        <w:rPr>
          <w:color w:val="auto"/>
          <w:highlight w:val="none"/>
        </w:rPr>
      </w:pPr>
    </w:p>
    <w:p w14:paraId="5D58EFAB">
      <w:pPr>
        <w:spacing w:before="66" w:line="499" w:lineRule="exact"/>
        <w:ind w:left="5463"/>
        <w:rPr>
          <w:rFonts w:ascii="宋体" w:hAnsi="宋体" w:eastAsia="宋体" w:cs="宋体"/>
          <w:color w:val="auto"/>
          <w:sz w:val="20"/>
          <w:szCs w:val="20"/>
          <w:highlight w:val="none"/>
        </w:rPr>
      </w:pPr>
      <w:r>
        <w:rPr>
          <w:rFonts w:ascii="宋体" w:hAnsi="宋体" w:eastAsia="宋体" w:cs="宋体"/>
          <w:color w:val="auto"/>
          <w:spacing w:val="6"/>
          <w:position w:val="22"/>
          <w:sz w:val="20"/>
          <w:szCs w:val="20"/>
          <w:highlight w:val="none"/>
        </w:rPr>
        <w:t>企业名称(盖章)</w:t>
      </w:r>
      <w:r>
        <w:rPr>
          <w:rFonts w:ascii="宋体" w:hAnsi="宋体" w:eastAsia="宋体" w:cs="宋体"/>
          <w:color w:val="auto"/>
          <w:spacing w:val="-59"/>
          <w:position w:val="22"/>
          <w:sz w:val="20"/>
          <w:szCs w:val="20"/>
          <w:highlight w:val="none"/>
        </w:rPr>
        <w:t xml:space="preserve"> </w:t>
      </w:r>
      <w:r>
        <w:rPr>
          <w:rFonts w:ascii="宋体" w:hAnsi="宋体" w:eastAsia="宋体" w:cs="宋体"/>
          <w:color w:val="auto"/>
          <w:spacing w:val="6"/>
          <w:position w:val="22"/>
          <w:sz w:val="20"/>
          <w:szCs w:val="20"/>
          <w:highlight w:val="none"/>
        </w:rPr>
        <w:t>:</w:t>
      </w:r>
    </w:p>
    <w:p w14:paraId="55D6CFEE">
      <w:pPr>
        <w:spacing w:line="229" w:lineRule="auto"/>
        <w:ind w:left="549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w:t>
      </w:r>
    </w:p>
    <w:p w14:paraId="5E6E8301">
      <w:pPr>
        <w:spacing w:line="229" w:lineRule="auto"/>
        <w:rPr>
          <w:rFonts w:ascii="宋体" w:hAnsi="宋体" w:eastAsia="宋体" w:cs="宋体"/>
          <w:color w:val="auto"/>
          <w:sz w:val="20"/>
          <w:szCs w:val="20"/>
          <w:highlight w:val="none"/>
        </w:rPr>
        <w:sectPr>
          <w:footerReference r:id="rId25" w:type="default"/>
          <w:pgSz w:w="11906" w:h="16839"/>
          <w:pgMar w:top="1361" w:right="965" w:bottom="1157" w:left="972" w:header="0" w:footer="992" w:gutter="0"/>
          <w:pgNumType w:fmt="decimal"/>
          <w:cols w:space="720" w:num="1"/>
        </w:sectPr>
      </w:pPr>
    </w:p>
    <w:p w14:paraId="2DA128F6">
      <w:pPr>
        <w:spacing w:before="48" w:line="219" w:lineRule="auto"/>
        <w:ind w:left="89"/>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附表</w:t>
      </w:r>
    </w:p>
    <w:p w14:paraId="59841A6B">
      <w:pPr>
        <w:spacing w:before="220" w:line="224" w:lineRule="auto"/>
        <w:ind w:left="2026"/>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最后报价表（以政采云线上报价格式为准）</w:t>
      </w:r>
    </w:p>
    <w:p w14:paraId="136B1C4C">
      <w:pPr>
        <w:spacing w:before="126" w:line="506" w:lineRule="exact"/>
        <w:ind w:left="73"/>
        <w:rPr>
          <w:rFonts w:ascii="宋体" w:hAnsi="宋体" w:eastAsia="宋体" w:cs="宋体"/>
          <w:color w:val="auto"/>
          <w:sz w:val="20"/>
          <w:szCs w:val="20"/>
          <w:highlight w:val="none"/>
        </w:rPr>
      </w:pPr>
      <w:r>
        <w:rPr>
          <w:rFonts w:ascii="宋体" w:hAnsi="宋体" w:eastAsia="宋体" w:cs="宋体"/>
          <w:color w:val="auto"/>
          <w:spacing w:val="5"/>
          <w:position w:val="23"/>
          <w:sz w:val="20"/>
          <w:szCs w:val="20"/>
          <w:highlight w:val="none"/>
        </w:rPr>
        <w:t>项目名称：</w:t>
      </w:r>
    </w:p>
    <w:p w14:paraId="069E5D69">
      <w:pPr>
        <w:spacing w:line="228" w:lineRule="auto"/>
        <w:ind w:left="7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项目编号：</w:t>
      </w:r>
    </w:p>
    <w:p w14:paraId="462A583F">
      <w:pPr>
        <w:spacing w:line="92" w:lineRule="exact"/>
        <w:rPr>
          <w:color w:val="auto"/>
          <w:highlight w:val="none"/>
        </w:rPr>
      </w:pPr>
    </w:p>
    <w:tbl>
      <w:tblPr>
        <w:tblStyle w:val="15"/>
        <w:tblW w:w="100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6"/>
        <w:gridCol w:w="5877"/>
        <w:gridCol w:w="1220"/>
      </w:tblGrid>
      <w:tr w14:paraId="77EC8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2996" w:type="dxa"/>
            <w:vAlign w:val="center"/>
          </w:tcPr>
          <w:p w14:paraId="51D7F960">
            <w:pPr>
              <w:pStyle w:val="16"/>
              <w:spacing w:line="240" w:lineRule="auto"/>
              <w:ind w:left="0"/>
              <w:jc w:val="center"/>
              <w:rPr>
                <w:color w:val="auto"/>
                <w:sz w:val="24"/>
                <w:szCs w:val="24"/>
                <w:highlight w:val="none"/>
              </w:rPr>
            </w:pPr>
            <w:r>
              <w:rPr>
                <w:color w:val="auto"/>
                <w:spacing w:val="-2"/>
                <w:sz w:val="24"/>
                <w:szCs w:val="24"/>
                <w:highlight w:val="none"/>
              </w:rPr>
              <w:t>供应商名称</w:t>
            </w:r>
          </w:p>
        </w:tc>
        <w:tc>
          <w:tcPr>
            <w:tcW w:w="5877" w:type="dxa"/>
            <w:vAlign w:val="center"/>
          </w:tcPr>
          <w:p w14:paraId="4844FF55">
            <w:pPr>
              <w:pStyle w:val="16"/>
              <w:spacing w:line="240" w:lineRule="auto"/>
              <w:ind w:left="0"/>
              <w:jc w:val="center"/>
              <w:rPr>
                <w:rFonts w:hint="default" w:eastAsia="宋体"/>
                <w:color w:val="auto"/>
                <w:sz w:val="24"/>
                <w:szCs w:val="24"/>
                <w:highlight w:val="none"/>
                <w:lang w:val="en-US" w:eastAsia="zh-CN"/>
              </w:rPr>
            </w:pPr>
            <w:r>
              <w:rPr>
                <w:rFonts w:ascii="宋体" w:hAnsi="宋体" w:eastAsia="宋体" w:cs="宋体"/>
                <w:color w:val="auto"/>
                <w:spacing w:val="-2"/>
                <w:sz w:val="24"/>
                <w:szCs w:val="24"/>
                <w:highlight w:val="none"/>
              </w:rPr>
              <w:t>最</w:t>
            </w:r>
            <w:r>
              <w:rPr>
                <w:rFonts w:hint="eastAsia" w:cs="宋体"/>
                <w:color w:val="auto"/>
                <w:spacing w:val="-2"/>
                <w:sz w:val="24"/>
                <w:szCs w:val="24"/>
                <w:highlight w:val="none"/>
                <w:lang w:eastAsia="zh-CN"/>
              </w:rPr>
              <w:t>终</w:t>
            </w:r>
            <w:r>
              <w:rPr>
                <w:rFonts w:ascii="宋体" w:hAnsi="宋体" w:eastAsia="宋体" w:cs="宋体"/>
                <w:color w:val="auto"/>
                <w:spacing w:val="-2"/>
                <w:sz w:val="24"/>
                <w:szCs w:val="24"/>
                <w:highlight w:val="none"/>
              </w:rPr>
              <w:t>报价</w:t>
            </w:r>
            <w:r>
              <w:rPr>
                <w:rFonts w:hint="eastAsia" w:ascii="宋体" w:hAnsi="宋体" w:eastAsia="宋体" w:cs="宋体"/>
                <w:color w:val="auto"/>
                <w:spacing w:val="-2"/>
                <w:sz w:val="24"/>
                <w:szCs w:val="24"/>
                <w:highlight w:val="none"/>
                <w:lang w:val="en-US" w:eastAsia="zh-CN"/>
              </w:rPr>
              <w:t>（</w:t>
            </w:r>
            <w:r>
              <w:rPr>
                <w:rFonts w:hint="eastAsia" w:cs="宋体"/>
                <w:color w:val="auto"/>
                <w:spacing w:val="-2"/>
                <w:sz w:val="24"/>
                <w:szCs w:val="24"/>
                <w:highlight w:val="none"/>
                <w:lang w:val="en-US" w:eastAsia="zh-CN"/>
              </w:rPr>
              <w:t>元</w:t>
            </w:r>
            <w:r>
              <w:rPr>
                <w:rFonts w:hint="eastAsia" w:ascii="宋体" w:hAnsi="宋体" w:eastAsia="宋体" w:cs="宋体"/>
                <w:color w:val="auto"/>
                <w:spacing w:val="-2"/>
                <w:sz w:val="24"/>
                <w:szCs w:val="24"/>
                <w:highlight w:val="none"/>
                <w:lang w:val="en-US" w:eastAsia="zh-CN"/>
              </w:rPr>
              <w:t>）</w:t>
            </w:r>
          </w:p>
        </w:tc>
        <w:tc>
          <w:tcPr>
            <w:tcW w:w="1220" w:type="dxa"/>
            <w:vAlign w:val="center"/>
          </w:tcPr>
          <w:p w14:paraId="490779FE">
            <w:pPr>
              <w:pStyle w:val="16"/>
              <w:spacing w:line="240" w:lineRule="auto"/>
              <w:ind w:left="0"/>
              <w:jc w:val="center"/>
              <w:rPr>
                <w:color w:val="auto"/>
                <w:sz w:val="24"/>
                <w:szCs w:val="24"/>
                <w:highlight w:val="none"/>
              </w:rPr>
            </w:pPr>
            <w:r>
              <w:rPr>
                <w:color w:val="auto"/>
                <w:spacing w:val="-7"/>
                <w:sz w:val="24"/>
                <w:szCs w:val="24"/>
                <w:highlight w:val="none"/>
              </w:rPr>
              <w:t>备注</w:t>
            </w:r>
          </w:p>
        </w:tc>
      </w:tr>
      <w:tr w14:paraId="7FB8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2996" w:type="dxa"/>
            <w:vAlign w:val="top"/>
          </w:tcPr>
          <w:p w14:paraId="0DC126BE">
            <w:pPr>
              <w:spacing w:line="240" w:lineRule="auto"/>
              <w:ind w:left="0"/>
              <w:rPr>
                <w:rFonts w:ascii="Arial"/>
                <w:color w:val="auto"/>
                <w:sz w:val="21"/>
                <w:highlight w:val="none"/>
              </w:rPr>
            </w:pPr>
          </w:p>
        </w:tc>
        <w:tc>
          <w:tcPr>
            <w:tcW w:w="5877" w:type="dxa"/>
            <w:vAlign w:val="top"/>
          </w:tcPr>
          <w:p w14:paraId="660E6E38">
            <w:pPr>
              <w:spacing w:line="240" w:lineRule="auto"/>
              <w:ind w:left="0"/>
              <w:rPr>
                <w:rFonts w:ascii="Arial"/>
                <w:color w:val="auto"/>
                <w:sz w:val="21"/>
                <w:highlight w:val="none"/>
              </w:rPr>
            </w:pPr>
          </w:p>
        </w:tc>
        <w:tc>
          <w:tcPr>
            <w:tcW w:w="1220" w:type="dxa"/>
            <w:vAlign w:val="top"/>
          </w:tcPr>
          <w:p w14:paraId="04366328">
            <w:pPr>
              <w:spacing w:line="240" w:lineRule="auto"/>
              <w:ind w:left="0"/>
              <w:rPr>
                <w:rFonts w:ascii="Arial"/>
                <w:color w:val="auto"/>
                <w:sz w:val="21"/>
                <w:highlight w:val="none"/>
              </w:rPr>
            </w:pPr>
          </w:p>
        </w:tc>
      </w:tr>
    </w:tbl>
    <w:p w14:paraId="58ED4113">
      <w:pPr>
        <w:spacing w:before="129" w:line="228" w:lineRule="auto"/>
        <w:ind w:left="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备注：1、此表不需填写，不需放入响应文</w:t>
      </w:r>
      <w:r>
        <w:rPr>
          <w:rFonts w:ascii="宋体" w:hAnsi="宋体" w:eastAsia="宋体" w:cs="宋体"/>
          <w:color w:val="auto"/>
          <w:spacing w:val="8"/>
          <w:sz w:val="20"/>
          <w:szCs w:val="20"/>
          <w:highlight w:val="none"/>
        </w:rPr>
        <w:t>件格式内</w:t>
      </w:r>
      <w:r>
        <w:rPr>
          <w:rFonts w:hint="eastAsia" w:ascii="宋体" w:hAnsi="宋体" w:eastAsia="宋体" w:cs="宋体"/>
          <w:color w:val="auto"/>
          <w:spacing w:val="8"/>
          <w:sz w:val="20"/>
          <w:szCs w:val="20"/>
          <w:highlight w:val="none"/>
          <w:lang w:eastAsia="zh-CN"/>
        </w:rPr>
        <w:t>，投标报价保留两位小数</w:t>
      </w:r>
      <w:r>
        <w:rPr>
          <w:rFonts w:ascii="宋体" w:hAnsi="宋体" w:eastAsia="宋体" w:cs="宋体"/>
          <w:color w:val="auto"/>
          <w:spacing w:val="8"/>
          <w:sz w:val="20"/>
          <w:szCs w:val="20"/>
          <w:highlight w:val="none"/>
        </w:rPr>
        <w:t>。</w:t>
      </w:r>
    </w:p>
    <w:p w14:paraId="49EA8C82">
      <w:pPr>
        <w:spacing w:before="220" w:line="228" w:lineRule="auto"/>
        <w:ind w:left="689"/>
        <w:outlineLvl w:val="9"/>
        <w:rPr>
          <w:rFonts w:ascii="宋体" w:hAnsi="宋体" w:eastAsia="宋体" w:cs="宋体"/>
          <w:color w:val="auto"/>
          <w:sz w:val="20"/>
          <w:szCs w:val="20"/>
          <w:highlight w:val="none"/>
        </w:rPr>
      </w:pPr>
      <w:bookmarkStart w:id="94" w:name="_Toc8207"/>
      <w:r>
        <w:rPr>
          <w:rFonts w:ascii="宋体" w:hAnsi="宋体" w:eastAsia="宋体" w:cs="宋体"/>
          <w:b/>
          <w:bCs/>
          <w:color w:val="auto"/>
          <w:spacing w:val="9"/>
          <w:sz w:val="20"/>
          <w:szCs w:val="20"/>
          <w:highlight w:val="none"/>
        </w:rPr>
        <w:t>2、此表为通过初步审查合格的供应商按照磋商要求，现场填写</w:t>
      </w:r>
      <w:r>
        <w:rPr>
          <w:rFonts w:ascii="宋体" w:hAnsi="宋体" w:eastAsia="宋体" w:cs="宋体"/>
          <w:color w:val="auto"/>
          <w:spacing w:val="9"/>
          <w:sz w:val="20"/>
          <w:szCs w:val="20"/>
          <w:highlight w:val="none"/>
        </w:rPr>
        <w:t>。</w:t>
      </w:r>
      <w:bookmarkEnd w:id="94"/>
    </w:p>
    <w:p w14:paraId="09938F53">
      <w:pPr>
        <w:pStyle w:val="2"/>
        <w:spacing w:line="306" w:lineRule="auto"/>
        <w:rPr>
          <w:color w:val="auto"/>
          <w:highlight w:val="none"/>
        </w:rPr>
      </w:pPr>
    </w:p>
    <w:p w14:paraId="5EAB714E">
      <w:pPr>
        <w:pStyle w:val="2"/>
        <w:spacing w:line="306" w:lineRule="auto"/>
        <w:rPr>
          <w:color w:val="auto"/>
          <w:highlight w:val="none"/>
        </w:rPr>
      </w:pPr>
    </w:p>
    <w:p w14:paraId="284346F9">
      <w:pPr>
        <w:spacing w:before="79" w:line="219" w:lineRule="auto"/>
        <w:ind w:left="28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供应商授权代表签字：</w:t>
      </w:r>
      <w:r>
        <w:rPr>
          <w:rFonts w:ascii="宋体" w:hAnsi="宋体" w:eastAsia="宋体" w:cs="宋体"/>
          <w:color w:val="auto"/>
          <w:sz w:val="24"/>
          <w:szCs w:val="24"/>
          <w:highlight w:val="none"/>
          <w:u w:val="single" w:color="auto"/>
        </w:rPr>
        <w:t xml:space="preserve">                                         </w:t>
      </w:r>
    </w:p>
    <w:p w14:paraId="395CE11E">
      <w:pPr>
        <w:pStyle w:val="2"/>
        <w:spacing w:line="258" w:lineRule="auto"/>
        <w:rPr>
          <w:color w:val="auto"/>
          <w:highlight w:val="none"/>
        </w:rPr>
      </w:pPr>
    </w:p>
    <w:p w14:paraId="62E9621A">
      <w:pPr>
        <w:spacing w:before="79" w:line="221" w:lineRule="auto"/>
        <w:ind w:left="5032"/>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日</w:t>
      </w:r>
      <w:r>
        <w:rPr>
          <w:rFonts w:ascii="宋体" w:hAnsi="宋体" w:eastAsia="宋体" w:cs="宋体"/>
          <w:color w:val="auto"/>
          <w:spacing w:val="1"/>
          <w:sz w:val="24"/>
          <w:szCs w:val="24"/>
          <w:highlight w:val="none"/>
        </w:rPr>
        <w:t xml:space="preserve">       </w:t>
      </w:r>
      <w:r>
        <w:rPr>
          <w:rFonts w:ascii="宋体" w:hAnsi="宋体" w:eastAsia="宋体" w:cs="宋体"/>
          <w:color w:val="auto"/>
          <w:spacing w:val="-22"/>
          <w:sz w:val="24"/>
          <w:szCs w:val="24"/>
          <w:highlight w:val="none"/>
        </w:rPr>
        <w:t>期：</w:t>
      </w:r>
      <w:r>
        <w:rPr>
          <w:rFonts w:ascii="宋体" w:hAnsi="宋体" w:eastAsia="宋体" w:cs="宋体"/>
          <w:color w:val="auto"/>
          <w:sz w:val="24"/>
          <w:szCs w:val="24"/>
          <w:highlight w:val="none"/>
          <w:u w:val="single" w:color="auto"/>
        </w:rPr>
        <w:t xml:space="preserve">                            </w:t>
      </w:r>
    </w:p>
    <w:p w14:paraId="18D2F495">
      <w:pPr>
        <w:spacing w:line="221" w:lineRule="auto"/>
        <w:rPr>
          <w:rFonts w:ascii="宋体" w:hAnsi="宋体" w:eastAsia="宋体" w:cs="宋体"/>
          <w:color w:val="auto"/>
          <w:sz w:val="24"/>
          <w:szCs w:val="24"/>
          <w:highlight w:val="none"/>
        </w:rPr>
        <w:sectPr>
          <w:footerReference r:id="rId26" w:type="default"/>
          <w:pgSz w:w="11906" w:h="16839"/>
          <w:pgMar w:top="1313" w:right="904" w:bottom="1156" w:left="903" w:header="0" w:footer="992" w:gutter="0"/>
          <w:pgNumType w:fmt="decimal"/>
          <w:cols w:space="720" w:num="1"/>
        </w:sectPr>
      </w:pPr>
    </w:p>
    <w:p w14:paraId="4DC4532A">
      <w:pPr>
        <w:pStyle w:val="2"/>
        <w:spacing w:before="41" w:line="219" w:lineRule="auto"/>
        <w:ind w:left="3"/>
        <w:rPr>
          <w:color w:val="auto"/>
          <w:highlight w:val="none"/>
        </w:rPr>
      </w:pPr>
      <w:r>
        <w:rPr>
          <w:b/>
          <w:bCs/>
          <w:color w:val="auto"/>
          <w:spacing w:val="-19"/>
          <w:highlight w:val="none"/>
        </w:rPr>
        <w:t>附件：</w:t>
      </w:r>
    </w:p>
    <w:p w14:paraId="211D1151">
      <w:pPr>
        <w:pStyle w:val="2"/>
        <w:spacing w:before="163" w:line="219" w:lineRule="auto"/>
        <w:ind w:left="2394"/>
        <w:outlineLvl w:val="9"/>
        <w:rPr>
          <w:color w:val="auto"/>
          <w:sz w:val="32"/>
          <w:szCs w:val="32"/>
          <w:highlight w:val="none"/>
        </w:rPr>
      </w:pPr>
      <w:r>
        <w:rPr>
          <w:b/>
          <w:bCs/>
          <w:color w:val="auto"/>
          <w:spacing w:val="-6"/>
          <w:sz w:val="32"/>
          <w:szCs w:val="32"/>
          <w:highlight w:val="none"/>
        </w:rPr>
        <w:t>政府采购促进中小企业发展管理办法</w:t>
      </w:r>
    </w:p>
    <w:p w14:paraId="23695C51">
      <w:pPr>
        <w:spacing w:line="458" w:lineRule="auto"/>
        <w:rPr>
          <w:rFonts w:ascii="Arial"/>
          <w:color w:val="auto"/>
          <w:sz w:val="21"/>
          <w:highlight w:val="none"/>
        </w:rPr>
      </w:pPr>
    </w:p>
    <w:p w14:paraId="4D744564">
      <w:pPr>
        <w:pStyle w:val="2"/>
        <w:spacing w:before="68" w:line="219" w:lineRule="auto"/>
        <w:ind w:left="4103"/>
        <w:rPr>
          <w:color w:val="auto"/>
          <w:highlight w:val="none"/>
        </w:rPr>
      </w:pPr>
      <w:r>
        <w:rPr>
          <w:b/>
          <w:bCs/>
          <w:color w:val="auto"/>
          <w:highlight w:val="none"/>
        </w:rPr>
        <w:t>财库〔2020〕46号</w:t>
      </w:r>
    </w:p>
    <w:p w14:paraId="08377757">
      <w:pPr>
        <w:spacing w:line="418" w:lineRule="auto"/>
        <w:rPr>
          <w:rFonts w:ascii="Arial"/>
          <w:color w:val="auto"/>
          <w:sz w:val="21"/>
          <w:highlight w:val="none"/>
        </w:rPr>
      </w:pPr>
    </w:p>
    <w:p w14:paraId="35563FB9">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第一条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为了发挥政府采购的政策功能，促进中小企业健康发展，根据《中华人民共和国政府采购法》 、《中华人民共和国中小企业促进法》等有关法律法规，制定本办法。</w:t>
      </w:r>
    </w:p>
    <w:p w14:paraId="436DFB3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第二条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45CF953">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第三条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采购人在政府采购活动中应当通过加强采购需求管理，落实预留采购份额、价格评审优惠、优先采购等措施，提高中小企业在政府采购中的份额，支持中小企业发展。</w:t>
      </w:r>
    </w:p>
    <w:p w14:paraId="2059B18A">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第四条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在政府采购活动中，供应商提供的货物、工程或者服务符合下列情形的，享受本办法规定的中小企业扶持政策：</w:t>
      </w:r>
    </w:p>
    <w:p w14:paraId="6D2B634F">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(一)在货物采购项目中，货物由中小企业制造，即货物由中小企业生产且使用该中小企业商号或者注册商标；</w:t>
      </w:r>
    </w:p>
    <w:p w14:paraId="6B96F96B">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(二)在工程采购项目中，工程由中小企业承建，即工程施工单位为中小企业；</w:t>
      </w:r>
    </w:p>
    <w:p w14:paraId="35AD07D8">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(三)在服务采购项目中，服务由中小企业承接，即提供服务的人员为中小企业依照《中华人民共和国劳动合同法》订立劳动合同的从业人员。</w:t>
      </w:r>
    </w:p>
    <w:p w14:paraId="6BC45EE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在货物采购项目中，供应商提供的货物既有中小企业制造货物，也有大型企业制造货物的，不享受本办法规定的中小企业扶持政策。</w:t>
      </w:r>
    </w:p>
    <w:p w14:paraId="481B8A4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以联合体形式参加政府采购活动，联合体各方均为中小企业的，联合体视同中小企业。其中，联合体各方均为小微企业的，联合体视同小微企业。</w:t>
      </w:r>
    </w:p>
    <w:p w14:paraId="1966E0BC">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第五条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采购人在政府采购活动中应当合理确定采购项目的采购需求，不得以企业注册资本、资产总额、 营业收入、从业人员、利润、纳税额等规模条件和财务指标作为供应商的资格要求或者评审因素，不得在企业股权结构、经营年限等方面对中小企业实行差别待遇或者歧视待遇。</w:t>
      </w:r>
    </w:p>
    <w:p w14:paraId="0C6C377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第六条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主管预算单位应当组织评估本部门及所属单位政府采购项目，统筹制定面向中小企业预留采购 份额的具体方案，对适宜由中小企业提供的采购项目和采购包，预留采购份额专门面向中小企业采购，并在政府采购预算中单独列示。</w:t>
      </w:r>
    </w:p>
    <w:p w14:paraId="26C1C81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符合下列情形之一的，可不专门面向中小企业预留采购份额：</w:t>
      </w:r>
    </w:p>
    <w:p w14:paraId="7D3E5B61">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(一)法律法规和国家有关政策明确规定优先或者应当面向事业单位、社会组织等非企业主体采购的；</w:t>
      </w:r>
    </w:p>
    <w:p w14:paraId="6860F9DA">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(二)因确需使用不可替代的专利、专有技术，基础设施限制，或者提供特定公共服务等原因，只能从中小企业之外的供应商处采购的；</w:t>
      </w:r>
    </w:p>
    <w:p w14:paraId="6B33E2C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(三)按照本办法规定预留采购份额无法确保充分供应、充分竞争，或者存在可能影响政府采购目标实现的情形；</w:t>
      </w:r>
    </w:p>
    <w:p w14:paraId="620C350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(四)框架协议采购项目；</w:t>
      </w:r>
    </w:p>
    <w:p w14:paraId="6BBCDC6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(五)省级以上人民政府财政部门规定的其他情形。除上述情形外，其他均为适宜由中小企业提供的情形。</w:t>
      </w:r>
    </w:p>
    <w:p w14:paraId="3F873DF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第七条</w:t>
      </w:r>
      <w:r>
        <w:rPr>
          <w:rFonts w:hint="eastAsia" w:ascii="宋体" w:hAnsi="宋体" w:eastAsia="宋体" w:cs="宋体"/>
          <w:b/>
          <w:bCs/>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采购限额标准以上，200 万元以下的货物和服务采购项目、400 万元以下的工程采购项目，适宜由中小企业提供的，采购人应当专门面向中小企业采购。</w:t>
      </w:r>
    </w:p>
    <w:p w14:paraId="21E2E1E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第八条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超过200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101A4E7F">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(一)将采购项目整体或者设置采购包专门面向中小企业采购；</w:t>
      </w:r>
    </w:p>
    <w:p w14:paraId="1D9AC31A">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(二)要求供应商以联合体形式参加采购活动，且联合体中中小企业承担的部分达到一定比例；</w:t>
      </w:r>
    </w:p>
    <w:p w14:paraId="277A27D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(三)要求获得采购合同的供应商将采购项目中的一定比例分包给一家或者多家中小企业。</w:t>
      </w:r>
    </w:p>
    <w:p w14:paraId="59A457B9">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组成联合体或者接受分包合同的中小企业与联合体内其他企业、分包企业之间不得存在直接控股、管理关系。</w:t>
      </w:r>
    </w:p>
    <w:p w14:paraId="58C6A797">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第九条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FDCA6E">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1B497C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97C6E4B">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采购人应当严格按照本办法规定和主管预算单位制定的预留采购份额具体方案开展采购活动。预留份额的采购项目或者采购包，通过发布公告方式邀请供应商后，  符合资格条件的中小企业数量不足3家的，应当中止采购活动，视同未预留份额的采购项目或者采购包，按照本办法第九条有关规定重新组织采购活动。</w:t>
      </w:r>
    </w:p>
    <w:p w14:paraId="1F4495FE">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第十一条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中小企业参加政府采购活动，应当出具本办法规定的《中小企业声明函》 ( 附 1 ) ,否则不得享受相关中小企业扶持政策。任何单位和个人不得要求供应商提供《中小企业声明函》之外的中小企业身份证明文件。</w:t>
      </w:r>
    </w:p>
    <w:p w14:paraId="4218E4F4">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第十二条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采购项目涉及中小企业采购的，采购文件应当明确以下内容：</w:t>
      </w:r>
    </w:p>
    <w:p w14:paraId="5338ACF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(一)预留份额的采购项目或者采购包，明确该项目或相关采购包专门面向中小企业采购，以及相关标的及预算金额；</w:t>
      </w:r>
    </w:p>
    <w:p w14:paraId="215CBE6F">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(二)要求以联合体形式参加或者合同分包的，明确联合协议或者分包意向协议中中小企业合同金额应当达到的比例，并作为供应商资格条件；</w:t>
      </w:r>
    </w:p>
    <w:p w14:paraId="3A5CCFAA">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(三)非预留份额的采购项目或者采购包，明确有关价格扣除比例或者价格分加分比例；</w:t>
      </w:r>
    </w:p>
    <w:p w14:paraId="0677ACB9">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(四)规定依据本办法规定享受扶持政策获得政府采购合同的，小微企业不得将合同分包给大中型企业，中型企业不得将合同分包给大型企业；</w:t>
      </w:r>
    </w:p>
    <w:p w14:paraId="3044754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(五)采购人认为具备相关条件的，明确对中小企业在资金支付期限、预付款比例等方面的优惠措施；</w:t>
      </w:r>
    </w:p>
    <w:p w14:paraId="3F51436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(六)明确采购标的对应的中小企业划分标准所属行业；</w:t>
      </w:r>
    </w:p>
    <w:p w14:paraId="4F470D2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(七)法律法规和省级以上人民政府财政部门规定的其他事项。</w:t>
      </w:r>
    </w:p>
    <w:p w14:paraId="2D316660">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第十三条</w:t>
      </w:r>
      <w:r>
        <w:rPr>
          <w:rFonts w:hint="eastAsia" w:ascii="宋体" w:hAnsi="宋体" w:eastAsia="宋体" w:cs="宋体"/>
          <w:snapToGrid w:val="0"/>
          <w:color w:val="auto"/>
          <w:spacing w:val="9"/>
          <w:kern w:val="0"/>
          <w:sz w:val="21"/>
          <w:szCs w:val="21"/>
          <w:highlight w:val="none"/>
          <w:lang w:val="en-US" w:eastAsia="en-US" w:bidi="ar-SA"/>
        </w:rPr>
        <w:t xml:space="preserve"> 中标、成交供应商享受本办法规定的中小企业扶持政策的，采购人、采购代理机构应当随中标、成交结果公开中标、成交供应商的《中小企业声明函》。</w:t>
      </w:r>
    </w:p>
    <w:p w14:paraId="2E58083D">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适用招标投标法的政府采购工程建设项目，应当在公示中标候选人时公开中标候选人的《中小企业声明函》。</w:t>
      </w:r>
    </w:p>
    <w:p w14:paraId="739BC645">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第十四条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对于通过预留采购项目、预留专门采购包、要求以联合体形式参加或者合同分包等措施签订 的采购合同，应当明确标注本合同为中小企业预留合同。其中，要求以联合体形式参加采购活动或者合同分包的，应当将联合协议或者分包意向协议作为采购合同的组成部分。</w:t>
      </w:r>
    </w:p>
    <w:p w14:paraId="7B4F1796">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第十五条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鼓励各地区、各部门在采购活动中允许中小企业引入信用担保手段，为中小企业在投标(响应)保证、履约保证等方面提供专业化服务。鼓励中小企业依法合规通过政府采购合同融资。</w:t>
      </w:r>
    </w:p>
    <w:p w14:paraId="697AE24B">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hint="eastAsia"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b/>
          <w:bCs/>
          <w:snapToGrid w:val="0"/>
          <w:color w:val="auto"/>
          <w:spacing w:val="9"/>
          <w:kern w:val="0"/>
          <w:sz w:val="21"/>
          <w:szCs w:val="21"/>
          <w:highlight w:val="none"/>
          <w:lang w:val="en-US" w:eastAsia="en-US" w:bidi="ar-SA"/>
        </w:rPr>
        <w:t>第十六条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hint="eastAsia" w:ascii="宋体" w:hAnsi="宋体" w:eastAsia="宋体" w:cs="宋体"/>
          <w:snapToGrid w:val="0"/>
          <w:color w:val="auto"/>
          <w:spacing w:val="9"/>
          <w:kern w:val="0"/>
          <w:sz w:val="21"/>
          <w:szCs w:val="21"/>
          <w:highlight w:val="none"/>
          <w:lang w:val="en-US" w:eastAsia="en-US" w:bidi="ar-SA"/>
        </w:rPr>
        <w:t>政府采购监督检查、投诉处理及政府采购行政处罚中对中小企业的认定， 由货物制造商或者</w:t>
      </w:r>
    </w:p>
    <w:p w14:paraId="6312C670">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hint="eastAsia" w:ascii="宋体" w:hAnsi="宋体" w:eastAsia="宋体" w:cs="宋体"/>
          <w:snapToGrid w:val="0"/>
          <w:color w:val="auto"/>
          <w:spacing w:val="9"/>
          <w:kern w:val="0"/>
          <w:sz w:val="21"/>
          <w:szCs w:val="21"/>
          <w:highlight w:val="none"/>
          <w:lang w:val="en-US" w:eastAsia="en-US" w:bidi="ar-SA"/>
        </w:rPr>
        <w:t>工程、服务供应商注册登记所在地的县级以上人民政府中小企业主管部门负责。</w:t>
      </w:r>
    </w:p>
    <w:p w14:paraId="51632920">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snapToGrid w:val="0"/>
          <w:color w:val="auto"/>
          <w:spacing w:val="9"/>
          <w:kern w:val="0"/>
          <w:sz w:val="21"/>
          <w:szCs w:val="21"/>
          <w:highlight w:val="none"/>
          <w:lang w:val="en-US" w:eastAsia="en-US" w:bidi="ar-SA"/>
        </w:rPr>
        <w:t>中小企业主管部门应当在收到财政部门或者有关招标投标行政监督部门关于协助开展中小企业认定函后 1 0 个工作日内做出书面答复。</w:t>
      </w:r>
    </w:p>
    <w:p w14:paraId="6CBF44EB">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第十七条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各地区、各部门应当对涉及中小企业采购的预算项目实施全过程绩效管理，合理设置绩效目标和指标，落实扶持中小企业有关政策要求，定期开展绩效监控和评价，强化绩效评价结果应用。</w:t>
      </w:r>
    </w:p>
    <w:p w14:paraId="4734E659">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第十八条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主管预算单位应当自2022 年起向同级财政部门报告本部门上一年度面向中小企业预留份额  和采购的具体情况，并在中国政府采购网公开预留项目执行情况(附2)。未达到本办法规定的预留份额比例的，应当作出说明。</w:t>
      </w:r>
    </w:p>
    <w:p w14:paraId="5F3EE604">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第十九条</w:t>
      </w:r>
      <w:r>
        <w:rPr>
          <w:rFonts w:hint="eastAsia" w:ascii="宋体" w:hAnsi="宋体" w:eastAsia="宋体" w:cs="宋体"/>
          <w:b/>
          <w:bCs/>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采购人未按本办法规定为中小企业预留采购份额，采购人、采购代理机构未按照本办法规定  要求实施价格扣除或者价格分加分的，属于未按照规定执行政府采购政策，依照《中华人民共和国政府采购法》等国家有关规定追究法律责任。</w:t>
      </w:r>
    </w:p>
    <w:p w14:paraId="67DA3238">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供应商按照本办法规定提供声明函内容不实的，属于提供虚假材料谋取中标、成交，依照《中华人民共和国政府采购法》等国家有关规定追究相应责任。</w:t>
      </w:r>
    </w:p>
    <w:p w14:paraId="0B96E387">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snapToGrid w:val="0"/>
          <w:color w:val="auto"/>
          <w:spacing w:val="9"/>
          <w:kern w:val="0"/>
          <w:sz w:val="21"/>
          <w:szCs w:val="21"/>
          <w:highlight w:val="none"/>
          <w:lang w:val="en-US" w:eastAsia="en-US" w:bidi="ar-SA"/>
        </w:rPr>
        <w:t>适用招标投标法的政府采购工程建设项目，</w:t>
      </w:r>
      <w:r>
        <w:rPr>
          <w:rFonts w:hint="eastAsia" w:ascii="宋体" w:hAnsi="宋体" w:eastAsia="宋体" w:cs="宋体"/>
          <w:snapToGrid w:val="0"/>
          <w:color w:val="auto"/>
          <w:spacing w:val="9"/>
          <w:kern w:val="0"/>
          <w:sz w:val="21"/>
          <w:szCs w:val="21"/>
          <w:highlight w:val="none"/>
          <w:lang w:val="en-US" w:eastAsia="zh-CN" w:bidi="ar-SA"/>
        </w:rPr>
        <w:t>供应商</w:t>
      </w:r>
      <w:r>
        <w:rPr>
          <w:rFonts w:ascii="宋体" w:hAnsi="宋体" w:eastAsia="宋体" w:cs="宋体"/>
          <w:snapToGrid w:val="0"/>
          <w:color w:val="auto"/>
          <w:spacing w:val="9"/>
          <w:kern w:val="0"/>
          <w:sz w:val="21"/>
          <w:szCs w:val="21"/>
          <w:highlight w:val="none"/>
          <w:lang w:val="en-US" w:eastAsia="en-US" w:bidi="ar-SA"/>
        </w:rPr>
        <w:t>按照本办法规定提供声明函内容不实的，属于弄虚作假骗取中标，依照《中华人民共和国招标投标法》等国家有关规定追究相应责任。</w:t>
      </w:r>
    </w:p>
    <w:p w14:paraId="098BD247">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第二十一条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财政部门、中小企业主管部门及其工作人员在履行职责中违反本办法规定及存在其他滥用  职权、玩忽职守、徇私舞弊等违法违纪行为的，依照《中华人民共和国政府采购法》、《中华人民共和国公 务员法》、  《中华人民共和国监察法》、 《中华人民共和国政府采购法实施条例》等国家有关规定追究相应责任；涉嫌犯罪的，依法移送有关国家机关处理。</w:t>
      </w:r>
    </w:p>
    <w:p w14:paraId="1AEAE66F">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第二十二条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对外援助项目、国家相关资格或者资质管理制度另有规定的项目，不适用本办法。</w:t>
      </w:r>
    </w:p>
    <w:p w14:paraId="3AE7CF6C">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第二十三条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关于视同中小企业的其他主体的政府采购扶持政策，由财政部会同有关部门另行规定。</w:t>
      </w:r>
    </w:p>
    <w:p w14:paraId="0E385049">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第二十四条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省级财政部门可以会同中小企业主管部门根据本办法的规定制定具体实施办法。</w:t>
      </w:r>
    </w:p>
    <w:p w14:paraId="47C4EA5E">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jc w:val="left"/>
        <w:textAlignment w:val="baseline"/>
        <w:rPr>
          <w:rFonts w:ascii="宋体" w:hAnsi="宋体" w:eastAsia="宋体" w:cs="宋体"/>
          <w:snapToGrid w:val="0"/>
          <w:color w:val="auto"/>
          <w:spacing w:val="9"/>
          <w:kern w:val="0"/>
          <w:sz w:val="21"/>
          <w:szCs w:val="21"/>
          <w:highlight w:val="none"/>
          <w:lang w:val="en-US" w:eastAsia="en-US" w:bidi="ar-SA"/>
        </w:rPr>
      </w:pPr>
      <w:r>
        <w:rPr>
          <w:rFonts w:ascii="宋体" w:hAnsi="宋体" w:eastAsia="宋体" w:cs="宋体"/>
          <w:b/>
          <w:bCs/>
          <w:snapToGrid w:val="0"/>
          <w:color w:val="auto"/>
          <w:spacing w:val="9"/>
          <w:kern w:val="0"/>
          <w:sz w:val="21"/>
          <w:szCs w:val="21"/>
          <w:highlight w:val="none"/>
          <w:lang w:val="en-US" w:eastAsia="en-US" w:bidi="ar-SA"/>
        </w:rPr>
        <w:t>第二十五条</w:t>
      </w:r>
      <w:r>
        <w:rPr>
          <w:rFonts w:hint="eastAsia" w:ascii="宋体" w:hAnsi="宋体" w:eastAsia="宋体" w:cs="宋体"/>
          <w:snapToGrid w:val="0"/>
          <w:color w:val="auto"/>
          <w:spacing w:val="9"/>
          <w:kern w:val="0"/>
          <w:sz w:val="21"/>
          <w:szCs w:val="21"/>
          <w:highlight w:val="none"/>
          <w:lang w:val="en-US" w:eastAsia="zh-CN" w:bidi="ar-SA"/>
        </w:rPr>
        <w:t xml:space="preserve"> </w:t>
      </w:r>
      <w:r>
        <w:rPr>
          <w:rFonts w:ascii="宋体" w:hAnsi="宋体" w:eastAsia="宋体" w:cs="宋体"/>
          <w:snapToGrid w:val="0"/>
          <w:color w:val="auto"/>
          <w:spacing w:val="9"/>
          <w:kern w:val="0"/>
          <w:sz w:val="21"/>
          <w:szCs w:val="21"/>
          <w:highlight w:val="none"/>
          <w:lang w:val="en-US" w:eastAsia="en-US" w:bidi="ar-SA"/>
        </w:rPr>
        <w:t>本办法自2021年1月1 日起施行。《财政部工业和信息化部关于印发〈政府采购促进中小企业发展暂行办法〉的通知》 (财库(2011)181号)同时废止。</w:t>
      </w:r>
    </w:p>
    <w:p w14:paraId="38EB0D91">
      <w:pPr>
        <w:rPr>
          <w:rFonts w:ascii="宋体" w:hAnsi="宋体" w:eastAsia="宋体" w:cs="宋体"/>
          <w:color w:val="auto"/>
          <w:spacing w:val="-1"/>
          <w:sz w:val="30"/>
          <w:szCs w:val="30"/>
          <w:highlight w:val="none"/>
        </w:rPr>
      </w:pPr>
      <w:r>
        <w:rPr>
          <w:rFonts w:ascii="宋体" w:hAnsi="宋体" w:eastAsia="宋体" w:cs="宋体"/>
          <w:color w:val="auto"/>
          <w:spacing w:val="-1"/>
          <w:sz w:val="30"/>
          <w:szCs w:val="30"/>
          <w:highlight w:val="none"/>
        </w:rPr>
        <w:br w:type="page"/>
      </w:r>
    </w:p>
    <w:p w14:paraId="67C2C2B3">
      <w:pPr>
        <w:spacing w:before="134" w:line="219" w:lineRule="auto"/>
        <w:ind w:left="869"/>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rPr>
        <w:t>财政部 司法部关于政府采购支持监狱企业发展有关问题的通知</w:t>
      </w:r>
    </w:p>
    <w:p w14:paraId="05ABACAB">
      <w:pPr>
        <w:pStyle w:val="2"/>
        <w:spacing w:line="246" w:lineRule="auto"/>
        <w:rPr>
          <w:color w:val="auto"/>
          <w:highlight w:val="none"/>
        </w:rPr>
      </w:pPr>
    </w:p>
    <w:p w14:paraId="2CDA2E6D">
      <w:pPr>
        <w:spacing w:before="65" w:line="228" w:lineRule="auto"/>
        <w:ind w:left="4117"/>
        <w:outlineLvl w:val="9"/>
        <w:rPr>
          <w:rFonts w:ascii="宋体" w:hAnsi="宋体" w:eastAsia="宋体" w:cs="宋体"/>
          <w:color w:val="auto"/>
          <w:sz w:val="20"/>
          <w:szCs w:val="20"/>
          <w:highlight w:val="none"/>
        </w:rPr>
      </w:pPr>
      <w:bookmarkStart w:id="95" w:name="_Toc23432"/>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财库〔2014〕68</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号</w:t>
      </w:r>
      <w:bookmarkEnd w:id="95"/>
    </w:p>
    <w:p w14:paraId="73D7550B">
      <w:pPr>
        <w:pStyle w:val="2"/>
        <w:spacing w:line="242" w:lineRule="auto"/>
        <w:rPr>
          <w:color w:val="auto"/>
          <w:highlight w:val="none"/>
        </w:rPr>
      </w:pPr>
    </w:p>
    <w:p w14:paraId="2F93FAD1">
      <w:pPr>
        <w:spacing w:before="65" w:line="370" w:lineRule="auto"/>
        <w:ind w:left="1" w:right="3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党中央有关部门，国务院各部委、各直属机构，全国人大常委会办公厅，全国</w:t>
      </w:r>
      <w:r>
        <w:rPr>
          <w:rFonts w:ascii="宋体" w:hAnsi="宋体" w:eastAsia="宋体" w:cs="宋体"/>
          <w:color w:val="auto"/>
          <w:spacing w:val="8"/>
          <w:sz w:val="20"/>
          <w:szCs w:val="20"/>
          <w:highlight w:val="none"/>
        </w:rPr>
        <w:t>政协办公厅，高法院，高检院，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有关人民团体，中央国家机关政府采购中心，中共中央直属机关采购中心，全国人大机关采购中心，各省、自</w:t>
      </w:r>
    </w:p>
    <w:p w14:paraId="5B4C450E">
      <w:pPr>
        <w:spacing w:line="227"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治区、直辖市、计划单列市财政厅（局）、司法厅（局</w:t>
      </w:r>
      <w:r>
        <w:rPr>
          <w:rFonts w:ascii="宋体" w:hAnsi="宋体" w:eastAsia="宋体" w:cs="宋体"/>
          <w:color w:val="auto"/>
          <w:spacing w:val="21"/>
          <w:sz w:val="20"/>
          <w:szCs w:val="20"/>
          <w:highlight w:val="none"/>
        </w:rPr>
        <w:t>），</w:t>
      </w:r>
      <w:r>
        <w:rPr>
          <w:rFonts w:ascii="宋体" w:hAnsi="宋体" w:eastAsia="宋体" w:cs="宋体"/>
          <w:color w:val="auto"/>
          <w:spacing w:val="8"/>
          <w:sz w:val="20"/>
          <w:szCs w:val="20"/>
          <w:highlight w:val="none"/>
        </w:rPr>
        <w:t>新疆生产建设兵团财务局、司法局、监狱管理局：</w:t>
      </w:r>
    </w:p>
    <w:p w14:paraId="545A955B">
      <w:pPr>
        <w:spacing w:before="153" w:line="341" w:lineRule="auto"/>
        <w:ind w:left="1" w:right="33"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政府采购支持监狱和戒毒企业（以下简称监狱企业）发展对稳定监狱企业</w:t>
      </w:r>
      <w:r>
        <w:rPr>
          <w:rFonts w:ascii="宋体" w:hAnsi="宋体" w:eastAsia="宋体" w:cs="宋体"/>
          <w:color w:val="auto"/>
          <w:spacing w:val="8"/>
          <w:sz w:val="20"/>
          <w:szCs w:val="20"/>
          <w:highlight w:val="none"/>
        </w:rPr>
        <w:t>生产，提高财政资金使用效益，</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为罪犯和戒毒人员提供长期可靠的劳动岗位，提高罪犯和戒毒人</w:t>
      </w:r>
      <w:r>
        <w:rPr>
          <w:rFonts w:ascii="宋体" w:hAnsi="宋体" w:eastAsia="宋体" w:cs="宋体"/>
          <w:color w:val="auto"/>
          <w:spacing w:val="7"/>
          <w:sz w:val="20"/>
          <w:szCs w:val="20"/>
          <w:highlight w:val="none"/>
        </w:rPr>
        <w:t>员的教育改造质量，减少重新违法犯罪，确保</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监狱、戒毒场所安全稳定，促进社会和谐稳定具有十分重要的意</w:t>
      </w:r>
      <w:r>
        <w:rPr>
          <w:rFonts w:ascii="宋体" w:hAnsi="宋体" w:eastAsia="宋体" w:cs="宋体"/>
          <w:color w:val="auto"/>
          <w:spacing w:val="7"/>
          <w:sz w:val="20"/>
          <w:szCs w:val="20"/>
          <w:highlight w:val="none"/>
        </w:rPr>
        <w:t>义。为进一步贯彻落实国务院《关于解决监狱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企业困难的实施方案的通知》（国发</w:t>
      </w:r>
      <w:r>
        <w:rPr>
          <w:rFonts w:ascii="Times New Roman" w:hAnsi="Times New Roman" w:eastAsia="Times New Roman" w:cs="Times New Roman"/>
          <w:color w:val="auto"/>
          <w:spacing w:val="9"/>
          <w:sz w:val="20"/>
          <w:szCs w:val="20"/>
          <w:highlight w:val="none"/>
        </w:rPr>
        <w:t xml:space="preserve">[2003]7 </w:t>
      </w:r>
      <w:r>
        <w:rPr>
          <w:rFonts w:ascii="宋体" w:hAnsi="宋体" w:eastAsia="宋体" w:cs="宋体"/>
          <w:color w:val="auto"/>
          <w:spacing w:val="9"/>
          <w:sz w:val="20"/>
          <w:szCs w:val="20"/>
          <w:highlight w:val="none"/>
        </w:rPr>
        <w:t>号）文件精神，</w:t>
      </w:r>
      <w:r>
        <w:rPr>
          <w:rFonts w:ascii="宋体" w:hAnsi="宋体" w:eastAsia="宋体" w:cs="宋体"/>
          <w:color w:val="auto"/>
          <w:spacing w:val="8"/>
          <w:sz w:val="20"/>
          <w:szCs w:val="20"/>
          <w:highlight w:val="none"/>
        </w:rPr>
        <w:t xml:space="preserve">发挥政府采购支持监狱企业发展的作用，现就有 </w:t>
      </w:r>
      <w:r>
        <w:rPr>
          <w:rFonts w:ascii="宋体" w:hAnsi="宋体" w:eastAsia="宋体" w:cs="宋体"/>
          <w:color w:val="auto"/>
          <w:spacing w:val="7"/>
          <w:sz w:val="20"/>
          <w:szCs w:val="20"/>
          <w:highlight w:val="none"/>
        </w:rPr>
        <w:t>关事项通知如下：</w:t>
      </w:r>
    </w:p>
    <w:p w14:paraId="35562767">
      <w:pPr>
        <w:spacing w:before="152" w:line="369" w:lineRule="auto"/>
        <w:ind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一、监狱企业是指由司法部认定的为罪犯、戒毒人</w:t>
      </w:r>
      <w:r>
        <w:rPr>
          <w:rFonts w:ascii="宋体" w:hAnsi="宋体" w:eastAsia="宋体" w:cs="宋体"/>
          <w:color w:val="auto"/>
          <w:spacing w:val="7"/>
          <w:sz w:val="20"/>
          <w:szCs w:val="20"/>
          <w:highlight w:val="none"/>
        </w:rPr>
        <w:t>员提供生产项目和劳动对象，且全部产权属于司法部监</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狱管理局、戒毒管理局、直属煤矿管理局，各省、自治区、直辖市监狱管理局、戒毒管理局，各地（设区的市）</w:t>
      </w:r>
      <w:r>
        <w:rPr>
          <w:rFonts w:ascii="宋体" w:hAnsi="宋体" w:eastAsia="宋体" w:cs="宋体"/>
          <w:color w:val="auto"/>
          <w:spacing w:val="8"/>
          <w:sz w:val="20"/>
          <w:szCs w:val="20"/>
          <w:highlight w:val="none"/>
        </w:rPr>
        <w:t xml:space="preserve"> 监狱、强制隔离戒毒所、戒毒康复所，以及新疆生产建设兵团监狱管</w:t>
      </w:r>
      <w:r>
        <w:rPr>
          <w:rFonts w:ascii="宋体" w:hAnsi="宋体" w:eastAsia="宋体" w:cs="宋体"/>
          <w:color w:val="auto"/>
          <w:spacing w:val="7"/>
          <w:sz w:val="20"/>
          <w:szCs w:val="20"/>
          <w:highlight w:val="none"/>
        </w:rPr>
        <w:t>理局、戒毒管理局的企业。监狱企业参加</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政府采购活动时，应当提供由省级以上监狱管理局、戒毒管理局（含新疆</w:t>
      </w:r>
      <w:r>
        <w:rPr>
          <w:rFonts w:ascii="宋体" w:hAnsi="宋体" w:eastAsia="宋体" w:cs="宋体"/>
          <w:color w:val="auto"/>
          <w:spacing w:val="7"/>
          <w:sz w:val="20"/>
          <w:szCs w:val="20"/>
          <w:highlight w:val="none"/>
        </w:rPr>
        <w:t>生产建设兵团）出具的属于监狱企业</w:t>
      </w:r>
    </w:p>
    <w:p w14:paraId="202484C0">
      <w:pPr>
        <w:spacing w:line="228" w:lineRule="auto"/>
        <w:ind w:left="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的证明文件。</w:t>
      </w:r>
    </w:p>
    <w:p w14:paraId="4E707143">
      <w:pPr>
        <w:spacing w:before="154" w:line="401" w:lineRule="exact"/>
        <w:ind w:left="424"/>
        <w:rPr>
          <w:rFonts w:ascii="宋体" w:hAnsi="宋体" w:eastAsia="宋体" w:cs="宋体"/>
          <w:color w:val="auto"/>
          <w:sz w:val="20"/>
          <w:szCs w:val="20"/>
          <w:highlight w:val="none"/>
        </w:rPr>
      </w:pPr>
      <w:r>
        <w:rPr>
          <w:rFonts w:ascii="宋体" w:hAnsi="宋体" w:eastAsia="宋体" w:cs="宋体"/>
          <w:color w:val="auto"/>
          <w:spacing w:val="8"/>
          <w:position w:val="14"/>
          <w:sz w:val="20"/>
          <w:szCs w:val="20"/>
          <w:highlight w:val="none"/>
        </w:rPr>
        <w:t>二、在政府采购活动中，监狱企业视同小型、</w:t>
      </w:r>
      <w:r>
        <w:rPr>
          <w:rFonts w:ascii="宋体" w:hAnsi="宋体" w:eastAsia="宋体" w:cs="宋体"/>
          <w:color w:val="auto"/>
          <w:spacing w:val="7"/>
          <w:position w:val="14"/>
          <w:sz w:val="20"/>
          <w:szCs w:val="20"/>
          <w:highlight w:val="none"/>
        </w:rPr>
        <w:t>微型企业，享受预留份额、评审中价格扣除等政府采购促进</w:t>
      </w:r>
    </w:p>
    <w:p w14:paraId="59968D37">
      <w:pPr>
        <w:spacing w:line="227" w:lineRule="auto"/>
        <w:ind w:left="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中小企业发展的政府采购政策。向监狱企业采购的金额，计入面向中小企业采购的统计数据。</w:t>
      </w:r>
    </w:p>
    <w:p w14:paraId="7C6C3EF6">
      <w:pPr>
        <w:spacing w:before="154" w:line="369" w:lineRule="auto"/>
        <w:ind w:left="2" w:right="33"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三、各地区、各部门要积极通过预留采购份额支持监</w:t>
      </w:r>
      <w:r>
        <w:rPr>
          <w:rFonts w:ascii="宋体" w:hAnsi="宋体" w:eastAsia="宋体" w:cs="宋体"/>
          <w:color w:val="auto"/>
          <w:spacing w:val="7"/>
          <w:sz w:val="20"/>
          <w:szCs w:val="20"/>
          <w:highlight w:val="none"/>
        </w:rPr>
        <w:t>狱企业。有制服采购项目的部门，应加强对政府采购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预算和计划编制工作的统筹，预留本部门制服采购项目预算总额的</w:t>
      </w:r>
      <w:r>
        <w:rPr>
          <w:rFonts w:ascii="宋体" w:hAnsi="宋体" w:eastAsia="宋体" w:cs="宋体"/>
          <w:color w:val="auto"/>
          <w:spacing w:val="-27"/>
          <w:sz w:val="20"/>
          <w:szCs w:val="20"/>
          <w:highlight w:val="none"/>
        </w:rPr>
        <w:t xml:space="preserve"> </w:t>
      </w:r>
      <w:r>
        <w:rPr>
          <w:rFonts w:ascii="Times New Roman" w:hAnsi="Times New Roman" w:eastAsia="Times New Roman" w:cs="Times New Roman"/>
          <w:color w:val="auto"/>
          <w:spacing w:val="9"/>
          <w:sz w:val="20"/>
          <w:szCs w:val="20"/>
          <w:highlight w:val="none"/>
        </w:rPr>
        <w:t>30%</w:t>
      </w:r>
      <w:r>
        <w:rPr>
          <w:rFonts w:ascii="宋体" w:hAnsi="宋体" w:eastAsia="宋体" w:cs="宋体"/>
          <w:color w:val="auto"/>
          <w:spacing w:val="9"/>
          <w:sz w:val="20"/>
          <w:szCs w:val="20"/>
          <w:highlight w:val="none"/>
        </w:rPr>
        <w:t>以上，专门面向监狱企业采购。省级</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以上政府部门组织的公务员考试、招生考试、等级考试、资格考试的</w:t>
      </w:r>
      <w:r>
        <w:rPr>
          <w:rFonts w:ascii="宋体" w:hAnsi="宋体" w:eastAsia="宋体" w:cs="宋体"/>
          <w:color w:val="auto"/>
          <w:spacing w:val="7"/>
          <w:sz w:val="20"/>
          <w:szCs w:val="20"/>
          <w:highlight w:val="none"/>
        </w:rPr>
        <w:t>试卷印刷项目原则上应当在符合有关资质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的监狱企业范围内采购。各地在免费教科书政府采购工作中，应当根据符合</w:t>
      </w:r>
      <w:r>
        <w:rPr>
          <w:rFonts w:ascii="宋体" w:hAnsi="宋体" w:eastAsia="宋体" w:cs="宋体"/>
          <w:color w:val="auto"/>
          <w:spacing w:val="8"/>
          <w:sz w:val="20"/>
          <w:szCs w:val="20"/>
          <w:highlight w:val="none"/>
        </w:rPr>
        <w:t>教科书印制资质的监狱企业情况，</w:t>
      </w:r>
    </w:p>
    <w:p w14:paraId="240DB354">
      <w:pPr>
        <w:spacing w:line="228"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提出由监狱企业印刷的比例要求。</w:t>
      </w:r>
    </w:p>
    <w:p w14:paraId="6DF9D82C">
      <w:pPr>
        <w:spacing w:before="154" w:line="398" w:lineRule="exact"/>
        <w:jc w:val="right"/>
        <w:rPr>
          <w:rFonts w:ascii="宋体" w:hAnsi="宋体" w:eastAsia="宋体" w:cs="宋体"/>
          <w:color w:val="auto"/>
          <w:sz w:val="20"/>
          <w:szCs w:val="20"/>
          <w:highlight w:val="none"/>
        </w:rPr>
      </w:pPr>
      <w:r>
        <w:rPr>
          <w:rFonts w:ascii="宋体" w:hAnsi="宋体" w:eastAsia="宋体" w:cs="宋体"/>
          <w:color w:val="auto"/>
          <w:spacing w:val="9"/>
          <w:position w:val="14"/>
          <w:sz w:val="20"/>
          <w:szCs w:val="20"/>
          <w:highlight w:val="none"/>
        </w:rPr>
        <w:t>四、各地区可以结合本地区实际，对监狱企业生产的办公用</w:t>
      </w:r>
      <w:r>
        <w:rPr>
          <w:rFonts w:ascii="宋体" w:hAnsi="宋体" w:eastAsia="宋体" w:cs="宋体"/>
          <w:color w:val="auto"/>
          <w:spacing w:val="8"/>
          <w:position w:val="14"/>
          <w:sz w:val="20"/>
          <w:szCs w:val="20"/>
          <w:highlight w:val="none"/>
        </w:rPr>
        <w:t>品、家具用具、车辆维修和提供的保养服务、</w:t>
      </w:r>
    </w:p>
    <w:p w14:paraId="69C6975F">
      <w:pPr>
        <w:spacing w:before="1" w:line="227" w:lineRule="auto"/>
        <w:ind w:left="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消防设备等，提出预留份额等政府采购支持措施，加大对监狱企业产品的采购力度。</w:t>
      </w:r>
    </w:p>
    <w:p w14:paraId="28DC11F5">
      <w:pPr>
        <w:spacing w:before="154" w:line="369" w:lineRule="auto"/>
        <w:ind w:left="4" w:right="8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五、各地区、各部门要高度重视，加强组织管理和</w:t>
      </w:r>
      <w:r>
        <w:rPr>
          <w:rFonts w:ascii="宋体" w:hAnsi="宋体" w:eastAsia="宋体" w:cs="宋体"/>
          <w:color w:val="auto"/>
          <w:spacing w:val="7"/>
          <w:sz w:val="20"/>
          <w:szCs w:val="20"/>
          <w:highlight w:val="none"/>
        </w:rPr>
        <w:t>监督，做好政府采购支持监狱企业发展的相关工作。有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关部门要加强监管，确保面向监狱企业采购的工作依法依规进行</w:t>
      </w:r>
      <w:r>
        <w:rPr>
          <w:rFonts w:ascii="宋体" w:hAnsi="宋体" w:eastAsia="宋体" w:cs="宋体"/>
          <w:color w:val="auto"/>
          <w:spacing w:val="7"/>
          <w:sz w:val="20"/>
          <w:szCs w:val="20"/>
          <w:highlight w:val="none"/>
        </w:rPr>
        <w:t>。各监狱企业要不断提高监狱企业产品的质量</w:t>
      </w:r>
    </w:p>
    <w:p w14:paraId="72DCD131">
      <w:pPr>
        <w:spacing w:line="227"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和服务水平，为做好监狱企业产品政府采购工作提供有力保障。</w:t>
      </w:r>
    </w:p>
    <w:p w14:paraId="54237528">
      <w:pPr>
        <w:spacing w:before="154" w:line="369" w:lineRule="auto"/>
        <w:ind w:left="7897" w:right="87"/>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中华人民共和国财政部</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中华人民共和国司法部</w:t>
      </w:r>
    </w:p>
    <w:p w14:paraId="2DE334E6">
      <w:pPr>
        <w:spacing w:before="1" w:line="228" w:lineRule="auto"/>
        <w:ind w:left="8346"/>
        <w:rPr>
          <w:rFonts w:ascii="宋体" w:hAnsi="宋体" w:eastAsia="宋体" w:cs="宋体"/>
          <w:color w:val="auto"/>
          <w:sz w:val="20"/>
          <w:szCs w:val="20"/>
          <w:highlight w:val="none"/>
        </w:rPr>
      </w:pPr>
      <w:r>
        <w:rPr>
          <w:rFonts w:ascii="Times New Roman" w:hAnsi="Times New Roman" w:eastAsia="Times New Roman" w:cs="Times New Roman"/>
          <w:color w:val="auto"/>
          <w:spacing w:val="-1"/>
          <w:sz w:val="20"/>
          <w:szCs w:val="20"/>
          <w:highlight w:val="none"/>
        </w:rPr>
        <w:t xml:space="preserve">2014 </w:t>
      </w:r>
      <w:r>
        <w:rPr>
          <w:rFonts w:ascii="宋体" w:hAnsi="宋体" w:eastAsia="宋体" w:cs="宋体"/>
          <w:color w:val="auto"/>
          <w:spacing w:val="-1"/>
          <w:sz w:val="20"/>
          <w:szCs w:val="20"/>
          <w:highlight w:val="none"/>
        </w:rPr>
        <w:t>年</w:t>
      </w:r>
      <w:r>
        <w:rPr>
          <w:rFonts w:ascii="宋体" w:hAnsi="宋体" w:eastAsia="宋体" w:cs="宋体"/>
          <w:color w:val="auto"/>
          <w:spacing w:val="-27"/>
          <w:sz w:val="20"/>
          <w:szCs w:val="20"/>
          <w:highlight w:val="none"/>
        </w:rPr>
        <w:t xml:space="preserve"> </w:t>
      </w:r>
      <w:r>
        <w:rPr>
          <w:rFonts w:ascii="Times New Roman" w:hAnsi="Times New Roman" w:eastAsia="Times New Roman" w:cs="Times New Roman"/>
          <w:color w:val="auto"/>
          <w:spacing w:val="-1"/>
          <w:sz w:val="20"/>
          <w:szCs w:val="20"/>
          <w:highlight w:val="none"/>
        </w:rPr>
        <w:t>6</w:t>
      </w:r>
      <w:r>
        <w:rPr>
          <w:rFonts w:ascii="Times New Roman" w:hAnsi="Times New Roman" w:eastAsia="Times New Roman" w:cs="Times New Roman"/>
          <w:color w:val="auto"/>
          <w:spacing w:val="15"/>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21"/>
          <w:sz w:val="20"/>
          <w:szCs w:val="20"/>
          <w:highlight w:val="none"/>
        </w:rPr>
        <w:t xml:space="preserve"> </w:t>
      </w:r>
      <w:r>
        <w:rPr>
          <w:rFonts w:ascii="Times New Roman" w:hAnsi="Times New Roman" w:eastAsia="Times New Roman" w:cs="Times New Roman"/>
          <w:color w:val="auto"/>
          <w:spacing w:val="-1"/>
          <w:sz w:val="20"/>
          <w:szCs w:val="20"/>
          <w:highlight w:val="none"/>
        </w:rPr>
        <w:t xml:space="preserve">10  </w:t>
      </w:r>
      <w:r>
        <w:rPr>
          <w:rFonts w:ascii="宋体" w:hAnsi="宋体" w:eastAsia="宋体" w:cs="宋体"/>
          <w:color w:val="auto"/>
          <w:spacing w:val="-1"/>
          <w:sz w:val="20"/>
          <w:szCs w:val="20"/>
          <w:highlight w:val="none"/>
        </w:rPr>
        <w:t>日</w:t>
      </w:r>
    </w:p>
    <w:p w14:paraId="0B7C5E47">
      <w:pPr>
        <w:spacing w:line="228" w:lineRule="auto"/>
        <w:rPr>
          <w:rFonts w:ascii="宋体" w:hAnsi="宋体" w:eastAsia="宋体" w:cs="宋体"/>
          <w:color w:val="auto"/>
          <w:sz w:val="20"/>
          <w:szCs w:val="20"/>
          <w:highlight w:val="none"/>
        </w:rPr>
        <w:sectPr>
          <w:footerReference r:id="rId27" w:type="default"/>
          <w:pgSz w:w="11906" w:h="16839"/>
          <w:pgMar w:top="1431" w:right="879" w:bottom="1157" w:left="972" w:header="0" w:footer="992" w:gutter="0"/>
          <w:pgNumType w:fmt="decimal"/>
          <w:cols w:space="720" w:num="1"/>
        </w:sectPr>
      </w:pPr>
    </w:p>
    <w:p w14:paraId="049BD1EC">
      <w:pPr>
        <w:spacing w:before="63" w:line="225" w:lineRule="auto"/>
        <w:ind w:left="2117"/>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关于促进残疾人就业政府采购政策的通知</w:t>
      </w:r>
    </w:p>
    <w:p w14:paraId="194225C3">
      <w:pPr>
        <w:spacing w:before="207" w:line="228" w:lineRule="auto"/>
        <w:ind w:left="406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财库〔</w:t>
      </w:r>
      <w:r>
        <w:rPr>
          <w:rFonts w:ascii="Times New Roman" w:hAnsi="Times New Roman" w:eastAsia="Times New Roman" w:cs="Times New Roman"/>
          <w:color w:val="auto"/>
          <w:spacing w:val="6"/>
          <w:sz w:val="20"/>
          <w:szCs w:val="20"/>
          <w:highlight w:val="none"/>
        </w:rPr>
        <w:t>2017</w:t>
      </w: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 xml:space="preserve">141 </w:t>
      </w:r>
      <w:r>
        <w:rPr>
          <w:rFonts w:ascii="宋体" w:hAnsi="宋体" w:eastAsia="宋体" w:cs="宋体"/>
          <w:color w:val="auto"/>
          <w:spacing w:val="6"/>
          <w:sz w:val="20"/>
          <w:szCs w:val="20"/>
          <w:highlight w:val="none"/>
        </w:rPr>
        <w:t>号</w:t>
      </w:r>
    </w:p>
    <w:p w14:paraId="740A903A">
      <w:pPr>
        <w:spacing w:before="167" w:line="285" w:lineRule="auto"/>
        <w:ind w:left="1" w:right="17"/>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党中央有关部门，国务院各部委、各直属机构，全国人大常委会办公厅，全国</w:t>
      </w:r>
      <w:r>
        <w:rPr>
          <w:rFonts w:ascii="宋体" w:hAnsi="宋体" w:eastAsia="宋体" w:cs="宋体"/>
          <w:color w:val="auto"/>
          <w:spacing w:val="8"/>
          <w:sz w:val="20"/>
          <w:szCs w:val="20"/>
          <w:highlight w:val="none"/>
        </w:rPr>
        <w:t>政协办公厅，高法院，高检院，</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各民主党派中央，有关人民团体，各省、</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自治区、直辖市、计划单列市财政厅（局）、</w:t>
      </w:r>
      <w:r>
        <w:rPr>
          <w:rFonts w:ascii="宋体" w:hAnsi="宋体" w:eastAsia="宋体" w:cs="宋体"/>
          <w:color w:val="auto"/>
          <w:spacing w:val="6"/>
          <w:sz w:val="20"/>
          <w:szCs w:val="20"/>
          <w:highlight w:val="none"/>
        </w:rPr>
        <w:t>民政厅（局）、残疾人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联合会，新疆生产建设兵团财务局、民政局、残疾人联合会：</w:t>
      </w:r>
    </w:p>
    <w:p w14:paraId="3839A42B">
      <w:pPr>
        <w:spacing w:before="94" w:line="271" w:lineRule="auto"/>
        <w:ind w:left="1" w:right="69"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为了发挥政府采购促进残疾人就业的作用，进一步保</w:t>
      </w:r>
      <w:r>
        <w:rPr>
          <w:rFonts w:ascii="宋体" w:hAnsi="宋体" w:eastAsia="宋体" w:cs="宋体"/>
          <w:color w:val="auto"/>
          <w:spacing w:val="7"/>
          <w:sz w:val="20"/>
          <w:szCs w:val="20"/>
          <w:highlight w:val="none"/>
        </w:rPr>
        <w:t>障残疾人权益，依照《政府采购法》、《残疾人保障</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法》等法律法规及相关规定，现就促进残疾人就业政府采购政策通知如下：</w:t>
      </w:r>
    </w:p>
    <w:p w14:paraId="434AA3C5">
      <w:pPr>
        <w:spacing w:before="91" w:line="228" w:lineRule="auto"/>
        <w:ind w:left="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一、享受政府采购支持政策的残疾人福利性单位应当同时满足以下条件：</w:t>
      </w:r>
    </w:p>
    <w:p w14:paraId="44A6FEDF">
      <w:pPr>
        <w:spacing w:before="62" w:line="286" w:lineRule="auto"/>
        <w:ind w:left="4" w:right="71"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（一）安置的残疾人占本单位在职职工人数的比例不低于</w:t>
      </w:r>
      <w:r>
        <w:rPr>
          <w:rFonts w:ascii="宋体" w:hAnsi="宋体" w:eastAsia="宋体" w:cs="宋体"/>
          <w:color w:val="auto"/>
          <w:spacing w:val="-40"/>
          <w:sz w:val="20"/>
          <w:szCs w:val="20"/>
          <w:highlight w:val="none"/>
        </w:rPr>
        <w:t xml:space="preserve"> </w:t>
      </w:r>
      <w:r>
        <w:rPr>
          <w:rFonts w:ascii="Times New Roman" w:hAnsi="Times New Roman" w:eastAsia="Times New Roman" w:cs="Times New Roman"/>
          <w:color w:val="auto"/>
          <w:spacing w:val="10"/>
          <w:sz w:val="20"/>
          <w:szCs w:val="20"/>
          <w:highlight w:val="none"/>
        </w:rPr>
        <w:t>25%</w:t>
      </w:r>
      <w:r>
        <w:rPr>
          <w:rFonts w:ascii="宋体" w:hAnsi="宋体" w:eastAsia="宋体" w:cs="宋体"/>
          <w:color w:val="auto"/>
          <w:spacing w:val="10"/>
          <w:sz w:val="20"/>
          <w:szCs w:val="20"/>
          <w:highlight w:val="none"/>
        </w:rPr>
        <w:t>（含</w:t>
      </w:r>
      <w:r>
        <w:rPr>
          <w:rFonts w:ascii="宋体" w:hAnsi="宋体" w:eastAsia="宋体" w:cs="宋体"/>
          <w:color w:val="auto"/>
          <w:spacing w:val="-38"/>
          <w:sz w:val="20"/>
          <w:szCs w:val="20"/>
          <w:highlight w:val="none"/>
        </w:rPr>
        <w:t xml:space="preserve"> </w:t>
      </w:r>
      <w:r>
        <w:rPr>
          <w:rFonts w:ascii="Times New Roman" w:hAnsi="Times New Roman" w:eastAsia="Times New Roman" w:cs="Times New Roman"/>
          <w:color w:val="auto"/>
          <w:spacing w:val="10"/>
          <w:sz w:val="20"/>
          <w:szCs w:val="20"/>
          <w:highlight w:val="none"/>
        </w:rPr>
        <w:t>25%</w:t>
      </w:r>
      <w:r>
        <w:rPr>
          <w:rFonts w:ascii="宋体" w:hAnsi="宋体" w:eastAsia="宋体" w:cs="宋体"/>
          <w:color w:val="auto"/>
          <w:spacing w:val="18"/>
          <w:sz w:val="20"/>
          <w:szCs w:val="20"/>
          <w:highlight w:val="none"/>
        </w:rPr>
        <w:t>），</w:t>
      </w:r>
      <w:r>
        <w:rPr>
          <w:rFonts w:ascii="宋体" w:hAnsi="宋体" w:eastAsia="宋体" w:cs="宋体"/>
          <w:color w:val="auto"/>
          <w:spacing w:val="10"/>
          <w:sz w:val="20"/>
          <w:szCs w:val="20"/>
          <w:highlight w:val="none"/>
        </w:rPr>
        <w:t>并且安</w:t>
      </w:r>
      <w:r>
        <w:rPr>
          <w:rFonts w:ascii="宋体" w:hAnsi="宋体" w:eastAsia="宋体" w:cs="宋体"/>
          <w:color w:val="auto"/>
          <w:spacing w:val="9"/>
          <w:sz w:val="20"/>
          <w:szCs w:val="20"/>
          <w:highlight w:val="none"/>
        </w:rPr>
        <w:t>置的残疾人人数不少</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于</w:t>
      </w:r>
      <w:r>
        <w:rPr>
          <w:rFonts w:ascii="宋体" w:hAnsi="宋体" w:eastAsia="宋体" w:cs="宋体"/>
          <w:color w:val="auto"/>
          <w:spacing w:val="-22"/>
          <w:sz w:val="20"/>
          <w:szCs w:val="20"/>
          <w:highlight w:val="none"/>
        </w:rPr>
        <w:t xml:space="preserve"> </w:t>
      </w:r>
      <w:r>
        <w:rPr>
          <w:rFonts w:ascii="Times New Roman" w:hAnsi="Times New Roman" w:eastAsia="Times New Roman" w:cs="Times New Roman"/>
          <w:color w:val="auto"/>
          <w:spacing w:val="-1"/>
          <w:sz w:val="20"/>
          <w:szCs w:val="20"/>
          <w:highlight w:val="none"/>
        </w:rPr>
        <w:t xml:space="preserve">10 </w:t>
      </w:r>
      <w:r>
        <w:rPr>
          <w:rFonts w:ascii="宋体" w:hAnsi="宋体" w:eastAsia="宋体" w:cs="宋体"/>
          <w:color w:val="auto"/>
          <w:spacing w:val="-1"/>
          <w:sz w:val="20"/>
          <w:szCs w:val="20"/>
          <w:highlight w:val="none"/>
        </w:rPr>
        <w:t>人（含</w:t>
      </w:r>
      <w:r>
        <w:rPr>
          <w:rFonts w:ascii="宋体" w:hAnsi="宋体" w:eastAsia="宋体" w:cs="宋体"/>
          <w:color w:val="auto"/>
          <w:spacing w:val="-21"/>
          <w:sz w:val="20"/>
          <w:szCs w:val="20"/>
          <w:highlight w:val="none"/>
        </w:rPr>
        <w:t xml:space="preserve"> </w:t>
      </w:r>
      <w:r>
        <w:rPr>
          <w:rFonts w:ascii="Times New Roman" w:hAnsi="Times New Roman" w:eastAsia="Times New Roman" w:cs="Times New Roman"/>
          <w:color w:val="auto"/>
          <w:spacing w:val="-1"/>
          <w:sz w:val="20"/>
          <w:szCs w:val="20"/>
          <w:highlight w:val="none"/>
        </w:rPr>
        <w:t>10</w:t>
      </w:r>
      <w:r>
        <w:rPr>
          <w:rFonts w:ascii="Times New Roman" w:hAnsi="Times New Roman" w:eastAsia="Times New Roman" w:cs="Times New Roman"/>
          <w:color w:val="auto"/>
          <w:spacing w:val="12"/>
          <w:sz w:val="20"/>
          <w:szCs w:val="20"/>
          <w:highlight w:val="none"/>
        </w:rPr>
        <w:t xml:space="preserve"> </w:t>
      </w:r>
      <w:r>
        <w:rPr>
          <w:rFonts w:ascii="宋体" w:hAnsi="宋体" w:eastAsia="宋体" w:cs="宋体"/>
          <w:color w:val="auto"/>
          <w:spacing w:val="-1"/>
          <w:sz w:val="20"/>
          <w:szCs w:val="20"/>
          <w:highlight w:val="none"/>
        </w:rPr>
        <w:t>人</w:t>
      </w:r>
      <w:r>
        <w:rPr>
          <w:rFonts w:ascii="宋体" w:hAnsi="宋体" w:eastAsia="宋体" w:cs="宋体"/>
          <w:color w:val="auto"/>
          <w:spacing w:val="3"/>
          <w:sz w:val="20"/>
          <w:szCs w:val="20"/>
          <w:highlight w:val="none"/>
        </w:rPr>
        <w:t>）；</w:t>
      </w:r>
    </w:p>
    <w:p w14:paraId="21B5E2ED">
      <w:pPr>
        <w:spacing w:before="9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（二）依法与安置的每位残疾人签订了一年以上（含一年）的劳动合同或服务协议；</w:t>
      </w:r>
    </w:p>
    <w:p w14:paraId="3EBD7C38">
      <w:pPr>
        <w:spacing w:before="94" w:line="271" w:lineRule="auto"/>
        <w:ind w:left="12" w:right="71" w:firstLine="3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（三）为安置的每位残疾人按月足额缴纳了基本养老保险、基本医疗保险、失</w:t>
      </w:r>
      <w:r>
        <w:rPr>
          <w:rFonts w:ascii="宋体" w:hAnsi="宋体" w:eastAsia="宋体" w:cs="宋体"/>
          <w:color w:val="auto"/>
          <w:spacing w:val="7"/>
          <w:sz w:val="20"/>
          <w:szCs w:val="20"/>
          <w:highlight w:val="none"/>
        </w:rPr>
        <w:t>业保险、工伤保险和生育保</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险等社会保险费；</w:t>
      </w:r>
    </w:p>
    <w:p w14:paraId="27C98A35">
      <w:pPr>
        <w:spacing w:before="91" w:line="272" w:lineRule="auto"/>
        <w:ind w:right="71" w:firstLine="39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（四）通过银行等金融机构向安置的每位残疾人，按月支付了不低于单位所在区县适用的经省级人民政府</w:t>
      </w:r>
      <w:r>
        <w:rPr>
          <w:rFonts w:ascii="宋体" w:hAnsi="宋体" w:eastAsia="宋体" w:cs="宋体"/>
          <w:color w:val="auto"/>
          <w:spacing w:val="3"/>
          <w:sz w:val="20"/>
          <w:szCs w:val="20"/>
          <w:highlight w:val="none"/>
        </w:rPr>
        <w:t xml:space="preserve"> </w:t>
      </w:r>
      <w:r>
        <w:rPr>
          <w:rFonts w:ascii="宋体" w:hAnsi="宋体" w:eastAsia="宋体" w:cs="宋体"/>
          <w:color w:val="auto"/>
          <w:spacing w:val="8"/>
          <w:sz w:val="20"/>
          <w:szCs w:val="20"/>
          <w:highlight w:val="none"/>
        </w:rPr>
        <w:t>批准的月最低工资标准的工资；</w:t>
      </w:r>
    </w:p>
    <w:p w14:paraId="363CCBAF">
      <w:pPr>
        <w:spacing w:before="93" w:line="270" w:lineRule="auto"/>
        <w:ind w:left="1" w:right="71" w:firstLine="4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（五）提供本单位制造的货物、承担的工程或者服务（以下简称产品</w:t>
      </w:r>
      <w:r>
        <w:rPr>
          <w:rFonts w:ascii="宋体" w:hAnsi="宋体" w:eastAsia="宋体" w:cs="宋体"/>
          <w:color w:val="auto"/>
          <w:sz w:val="20"/>
          <w:szCs w:val="20"/>
          <w:highlight w:val="none"/>
        </w:rPr>
        <w:t>），</w:t>
      </w:r>
      <w:r>
        <w:rPr>
          <w:rFonts w:ascii="宋体" w:hAnsi="宋体" w:eastAsia="宋体" w:cs="宋体"/>
          <w:color w:val="auto"/>
          <w:spacing w:val="8"/>
          <w:sz w:val="20"/>
          <w:szCs w:val="20"/>
          <w:highlight w:val="none"/>
        </w:rPr>
        <w:t>或者提供其他残疾人福利性单位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制造的货物（不包括使用非残疾人福利性单位注册商标的货</w:t>
      </w:r>
      <w:r>
        <w:rPr>
          <w:rFonts w:ascii="宋体" w:hAnsi="宋体" w:eastAsia="宋体" w:cs="宋体"/>
          <w:color w:val="auto"/>
          <w:spacing w:val="8"/>
          <w:sz w:val="20"/>
          <w:szCs w:val="20"/>
          <w:highlight w:val="none"/>
        </w:rPr>
        <w:t>物）。</w:t>
      </w:r>
    </w:p>
    <w:p w14:paraId="19A22449">
      <w:pPr>
        <w:spacing w:before="94" w:line="285" w:lineRule="auto"/>
        <w:ind w:right="69"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前款所称残疾人是指法定劳动年龄内，持有《中华</w:t>
      </w:r>
      <w:r>
        <w:rPr>
          <w:rFonts w:ascii="宋体" w:hAnsi="宋体" w:eastAsia="宋体" w:cs="宋体"/>
          <w:color w:val="auto"/>
          <w:spacing w:val="7"/>
          <w:sz w:val="20"/>
          <w:szCs w:val="20"/>
          <w:highlight w:val="none"/>
        </w:rPr>
        <w:t>人民共和国残疾人证》或者《中华人民共和国残疾军人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证（</w:t>
      </w:r>
      <w:r>
        <w:rPr>
          <w:rFonts w:ascii="Times New Roman" w:hAnsi="Times New Roman" w:eastAsia="Times New Roman" w:cs="Times New Roman"/>
          <w:color w:val="auto"/>
          <w:spacing w:val="8"/>
          <w:sz w:val="20"/>
          <w:szCs w:val="20"/>
          <w:highlight w:val="none"/>
        </w:rPr>
        <w:t xml:space="preserve">1 </w:t>
      </w:r>
      <w:r>
        <w:rPr>
          <w:rFonts w:ascii="宋体" w:hAnsi="宋体" w:eastAsia="宋体" w:cs="宋体"/>
          <w:color w:val="auto"/>
          <w:spacing w:val="8"/>
          <w:sz w:val="20"/>
          <w:szCs w:val="20"/>
          <w:highlight w:val="none"/>
        </w:rPr>
        <w:t>至</w:t>
      </w:r>
      <w:r>
        <w:rPr>
          <w:rFonts w:ascii="宋体" w:hAnsi="宋体" w:eastAsia="宋体" w:cs="宋体"/>
          <w:color w:val="auto"/>
          <w:spacing w:val="-35"/>
          <w:sz w:val="20"/>
          <w:szCs w:val="20"/>
          <w:highlight w:val="none"/>
        </w:rPr>
        <w:t xml:space="preserve"> </w:t>
      </w:r>
      <w:r>
        <w:rPr>
          <w:rFonts w:ascii="Times New Roman" w:hAnsi="Times New Roman" w:eastAsia="Times New Roman" w:cs="Times New Roman"/>
          <w:color w:val="auto"/>
          <w:spacing w:val="8"/>
          <w:sz w:val="20"/>
          <w:szCs w:val="20"/>
          <w:highlight w:val="none"/>
        </w:rPr>
        <w:t>8</w:t>
      </w:r>
      <w:r>
        <w:rPr>
          <w:rFonts w:ascii="Times New Roman" w:hAnsi="Times New Roman" w:eastAsia="Times New Roman" w:cs="Times New Roman"/>
          <w:color w:val="auto"/>
          <w:spacing w:val="15"/>
          <w:w w:val="101"/>
          <w:sz w:val="20"/>
          <w:szCs w:val="20"/>
          <w:highlight w:val="none"/>
        </w:rPr>
        <w:t xml:space="preserve"> </w:t>
      </w:r>
      <w:r>
        <w:rPr>
          <w:rFonts w:ascii="宋体" w:hAnsi="宋体" w:eastAsia="宋体" w:cs="宋体"/>
          <w:color w:val="auto"/>
          <w:spacing w:val="8"/>
          <w:sz w:val="20"/>
          <w:szCs w:val="20"/>
          <w:highlight w:val="none"/>
        </w:rPr>
        <w:t>级）》的自然人，包括具有劳动条件和劳动意愿的精神残疾人。在职职工人数是指与残</w:t>
      </w:r>
      <w:r>
        <w:rPr>
          <w:rFonts w:ascii="宋体" w:hAnsi="宋体" w:eastAsia="宋体" w:cs="宋体"/>
          <w:color w:val="auto"/>
          <w:spacing w:val="7"/>
          <w:sz w:val="20"/>
          <w:szCs w:val="20"/>
          <w:highlight w:val="none"/>
        </w:rPr>
        <w:t>疾人福利性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单位建立劳动关系并依法签订劳动合同或者服务协议的雇员人数。</w:t>
      </w:r>
    </w:p>
    <w:p w14:paraId="6B97DD40">
      <w:pPr>
        <w:spacing w:before="94" w:line="285" w:lineRule="auto"/>
        <w:ind w:right="69"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二、符合条件的残疾人福利性单位在参加政府采购</w:t>
      </w:r>
      <w:r>
        <w:rPr>
          <w:rFonts w:ascii="宋体" w:hAnsi="宋体" w:eastAsia="宋体" w:cs="宋体"/>
          <w:color w:val="auto"/>
          <w:spacing w:val="7"/>
          <w:sz w:val="20"/>
          <w:szCs w:val="20"/>
          <w:highlight w:val="none"/>
        </w:rPr>
        <w:t>活动时，应当提供本通知规定的《残疾人福利性单位声</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明函》（见附件</w:t>
      </w:r>
      <w:r>
        <w:rPr>
          <w:rFonts w:ascii="宋体" w:hAnsi="宋体" w:eastAsia="宋体" w:cs="宋体"/>
          <w:color w:val="auto"/>
          <w:spacing w:val="-2"/>
          <w:sz w:val="20"/>
          <w:szCs w:val="20"/>
          <w:highlight w:val="none"/>
        </w:rPr>
        <w:t>），</w:t>
      </w:r>
      <w:r>
        <w:rPr>
          <w:rFonts w:ascii="宋体" w:hAnsi="宋体" w:eastAsia="宋体" w:cs="宋体"/>
          <w:color w:val="auto"/>
          <w:spacing w:val="8"/>
          <w:sz w:val="20"/>
          <w:szCs w:val="20"/>
          <w:highlight w:val="none"/>
        </w:rPr>
        <w:t>并对声明的真实性负责。任何单位或者个人在政府采购活动中均不得要求残疾人福利性单</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位提供其他证明声明函内容的材料。</w:t>
      </w:r>
    </w:p>
    <w:p w14:paraId="18258704">
      <w:pPr>
        <w:spacing w:before="93" w:line="271" w:lineRule="auto"/>
        <w:ind w:left="7" w:right="71"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中标、成交供应商为残疾人福利性单位的，采购人或者其委托的采购代理机构应当随中标、成交结果同时</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rPr>
        <w:t>公告其《残疾人福利性单位声明函》，接受社会</w:t>
      </w:r>
      <w:r>
        <w:rPr>
          <w:rFonts w:ascii="宋体" w:hAnsi="宋体" w:eastAsia="宋体" w:cs="宋体"/>
          <w:color w:val="auto"/>
          <w:spacing w:val="8"/>
          <w:sz w:val="20"/>
          <w:szCs w:val="20"/>
          <w:highlight w:val="none"/>
        </w:rPr>
        <w:t>监督。</w:t>
      </w:r>
    </w:p>
    <w:p w14:paraId="7A6406B1">
      <w:pPr>
        <w:spacing w:before="93" w:line="271" w:lineRule="auto"/>
        <w:ind w:right="69"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供应商提供的《残疾人福利性单位声明函》与事实不符的</w:t>
      </w:r>
      <w:r>
        <w:rPr>
          <w:rFonts w:ascii="宋体" w:hAnsi="宋体" w:eastAsia="宋体" w:cs="宋体"/>
          <w:color w:val="auto"/>
          <w:spacing w:val="7"/>
          <w:sz w:val="20"/>
          <w:szCs w:val="20"/>
          <w:highlight w:val="none"/>
        </w:rPr>
        <w:t>，依照《政府采购法》第七十七条第一款的规定</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追究法律责任。</w:t>
      </w:r>
    </w:p>
    <w:p w14:paraId="08EAB420">
      <w:pPr>
        <w:spacing w:before="95" w:line="285" w:lineRule="auto"/>
        <w:ind w:right="69"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三、在政府采购活动中，残疾人福利性单位视同小型</w:t>
      </w:r>
      <w:r>
        <w:rPr>
          <w:rFonts w:ascii="宋体" w:hAnsi="宋体" w:eastAsia="宋体" w:cs="宋体"/>
          <w:color w:val="auto"/>
          <w:spacing w:val="7"/>
          <w:sz w:val="20"/>
          <w:szCs w:val="20"/>
          <w:highlight w:val="none"/>
        </w:rPr>
        <w:t>、微型企业，享受预留份额、评审中价格扣除等促进</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中小企业发展的政府采购政策。向残疾人福利性单位采购的金额，计入面</w:t>
      </w:r>
      <w:r>
        <w:rPr>
          <w:rFonts w:ascii="宋体" w:hAnsi="宋体" w:eastAsia="宋体" w:cs="宋体"/>
          <w:color w:val="auto"/>
          <w:spacing w:val="7"/>
          <w:sz w:val="20"/>
          <w:szCs w:val="20"/>
          <w:highlight w:val="none"/>
        </w:rPr>
        <w:t>向中小企业采购的统计数据。残疾人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福利性单位属于小型、微型企业的，不重复享受政策。</w:t>
      </w:r>
    </w:p>
    <w:p w14:paraId="1240DF82">
      <w:pPr>
        <w:spacing w:before="93" w:line="270" w:lineRule="auto"/>
        <w:ind w:left="4" w:right="69" w:firstLine="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四、采购人采购公开招标数额标准以上的货物或者服务，因落实促进残疾人就业政策的需要，依法履行有</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关报批程序后，可采用公开招标以外的采购方</w:t>
      </w:r>
      <w:r>
        <w:rPr>
          <w:rFonts w:ascii="宋体" w:hAnsi="宋体" w:eastAsia="宋体" w:cs="宋体"/>
          <w:color w:val="auto"/>
          <w:spacing w:val="8"/>
          <w:sz w:val="20"/>
          <w:szCs w:val="20"/>
          <w:highlight w:val="none"/>
        </w:rPr>
        <w:t>式。</w:t>
      </w:r>
    </w:p>
    <w:p w14:paraId="3DC2FB50">
      <w:pPr>
        <w:spacing w:before="95" w:line="285" w:lineRule="auto"/>
        <w:ind w:left="2" w:right="71"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五、对于满足要求的残疾人福利性单位产品，</w:t>
      </w:r>
      <w:r>
        <w:rPr>
          <w:rFonts w:ascii="宋体" w:hAnsi="宋体" w:eastAsia="宋体" w:cs="宋体"/>
          <w:color w:val="auto"/>
          <w:spacing w:val="7"/>
          <w:sz w:val="20"/>
          <w:szCs w:val="20"/>
          <w:highlight w:val="none"/>
        </w:rPr>
        <w:t>集中采购机构可直接纳入协议供货或者定点采购范围。各地</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区建设的政府采购电子卖场、电子商城、网上超市等应当设立</w:t>
      </w:r>
      <w:r>
        <w:rPr>
          <w:rFonts w:ascii="宋体" w:hAnsi="宋体" w:eastAsia="宋体" w:cs="宋体"/>
          <w:color w:val="auto"/>
          <w:spacing w:val="7"/>
          <w:sz w:val="20"/>
          <w:szCs w:val="20"/>
          <w:highlight w:val="none"/>
        </w:rPr>
        <w:t>残疾人福利性单位产品专栏。鼓励采购人优先选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择残疾人福利性单位的产品。</w:t>
      </w:r>
    </w:p>
    <w:p w14:paraId="3006DA68">
      <w:pPr>
        <w:spacing w:before="93" w:line="271" w:lineRule="auto"/>
        <w:ind w:left="4"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六、省级财政部门可以结合本地区残疾人生产、经营的实际情况，细化政府采购支持措施。对符合国家有 </w:t>
      </w:r>
      <w:r>
        <w:rPr>
          <w:rFonts w:ascii="宋体" w:hAnsi="宋体" w:eastAsia="宋体" w:cs="宋体"/>
          <w:color w:val="auto"/>
          <w:spacing w:val="5"/>
          <w:sz w:val="20"/>
          <w:szCs w:val="20"/>
          <w:highlight w:val="none"/>
        </w:rPr>
        <w:t>关部门规定条件的残疾人辅助性就业机构，可通过上述措施予以支持。各地制定的有</w:t>
      </w:r>
      <w:r>
        <w:rPr>
          <w:rFonts w:ascii="宋体" w:hAnsi="宋体" w:eastAsia="宋体" w:cs="宋体"/>
          <w:color w:val="auto"/>
          <w:spacing w:val="4"/>
          <w:sz w:val="20"/>
          <w:szCs w:val="20"/>
          <w:highlight w:val="none"/>
        </w:rPr>
        <w:t>关文件应当报财政部备案。</w:t>
      </w:r>
    </w:p>
    <w:p w14:paraId="3D9018FD">
      <w:pPr>
        <w:spacing w:before="92"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七、本通知自</w:t>
      </w:r>
      <w:r>
        <w:rPr>
          <w:rFonts w:ascii="宋体" w:hAnsi="宋体" w:eastAsia="宋体" w:cs="宋体"/>
          <w:color w:val="auto"/>
          <w:spacing w:val="-36"/>
          <w:sz w:val="20"/>
          <w:szCs w:val="20"/>
          <w:highlight w:val="none"/>
        </w:rPr>
        <w:t xml:space="preserve"> </w:t>
      </w:r>
      <w:r>
        <w:rPr>
          <w:rFonts w:ascii="Times New Roman" w:hAnsi="Times New Roman" w:eastAsia="Times New Roman" w:cs="Times New Roman"/>
          <w:color w:val="auto"/>
          <w:spacing w:val="1"/>
          <w:sz w:val="20"/>
          <w:szCs w:val="20"/>
          <w:highlight w:val="none"/>
        </w:rPr>
        <w:t xml:space="preserve">2017 </w:t>
      </w:r>
      <w:r>
        <w:rPr>
          <w:rFonts w:ascii="宋体" w:hAnsi="宋体" w:eastAsia="宋体" w:cs="宋体"/>
          <w:color w:val="auto"/>
          <w:spacing w:val="1"/>
          <w:sz w:val="20"/>
          <w:szCs w:val="20"/>
          <w:highlight w:val="none"/>
        </w:rPr>
        <w:t>年</w:t>
      </w:r>
      <w:r>
        <w:rPr>
          <w:rFonts w:ascii="宋体" w:hAnsi="宋体" w:eastAsia="宋体" w:cs="宋体"/>
          <w:color w:val="auto"/>
          <w:spacing w:val="-21"/>
          <w:sz w:val="20"/>
          <w:szCs w:val="20"/>
          <w:highlight w:val="none"/>
        </w:rPr>
        <w:t xml:space="preserve"> </w:t>
      </w:r>
      <w:r>
        <w:rPr>
          <w:rFonts w:ascii="Times New Roman" w:hAnsi="Times New Roman" w:eastAsia="Times New Roman" w:cs="Times New Roman"/>
          <w:color w:val="auto"/>
          <w:spacing w:val="1"/>
          <w:sz w:val="20"/>
          <w:szCs w:val="20"/>
          <w:highlight w:val="none"/>
        </w:rPr>
        <w:t>10</w:t>
      </w:r>
      <w:r>
        <w:rPr>
          <w:rFonts w:ascii="Times New Roman" w:hAnsi="Times New Roman" w:eastAsia="Times New Roman" w:cs="Times New Roman"/>
          <w:color w:val="auto"/>
          <w:spacing w:val="15"/>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23"/>
          <w:sz w:val="20"/>
          <w:szCs w:val="20"/>
          <w:highlight w:val="none"/>
        </w:rPr>
        <w:t xml:space="preserve"> </w:t>
      </w:r>
      <w:r>
        <w:rPr>
          <w:rFonts w:ascii="Times New Roman" w:hAnsi="Times New Roman" w:eastAsia="Times New Roman" w:cs="Times New Roman"/>
          <w:color w:val="auto"/>
          <w:spacing w:val="1"/>
          <w:sz w:val="20"/>
          <w:szCs w:val="20"/>
          <w:highlight w:val="none"/>
        </w:rPr>
        <w:t xml:space="preserve">1  </w:t>
      </w:r>
      <w:r>
        <w:rPr>
          <w:rFonts w:ascii="宋体" w:hAnsi="宋体" w:eastAsia="宋体" w:cs="宋体"/>
          <w:color w:val="auto"/>
          <w:spacing w:val="1"/>
          <w:sz w:val="20"/>
          <w:szCs w:val="20"/>
          <w:highlight w:val="none"/>
        </w:rPr>
        <w:t>日起执行。</w:t>
      </w:r>
    </w:p>
    <w:p w14:paraId="35A7D084">
      <w:pPr>
        <w:spacing w:before="95" w:line="271" w:lineRule="auto"/>
        <w:ind w:left="8346" w:right="71" w:hanging="151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财政部</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民政部</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中国残疾人联合会</w:t>
      </w:r>
      <w:r>
        <w:rPr>
          <w:rFonts w:ascii="宋体" w:hAnsi="宋体" w:eastAsia="宋体" w:cs="宋体"/>
          <w:color w:val="auto"/>
          <w:sz w:val="20"/>
          <w:szCs w:val="20"/>
          <w:highlight w:val="none"/>
        </w:rPr>
        <w:t xml:space="preserve"> </w:t>
      </w:r>
      <w:r>
        <w:rPr>
          <w:rFonts w:ascii="Times New Roman" w:hAnsi="Times New Roman" w:eastAsia="Times New Roman" w:cs="Times New Roman"/>
          <w:color w:val="auto"/>
          <w:spacing w:val="-2"/>
          <w:sz w:val="20"/>
          <w:szCs w:val="20"/>
          <w:highlight w:val="none"/>
        </w:rPr>
        <w:t xml:space="preserve">2017 </w:t>
      </w:r>
      <w:r>
        <w:rPr>
          <w:rFonts w:ascii="宋体" w:hAnsi="宋体" w:eastAsia="宋体" w:cs="宋体"/>
          <w:color w:val="auto"/>
          <w:spacing w:val="-2"/>
          <w:sz w:val="20"/>
          <w:szCs w:val="20"/>
          <w:highlight w:val="none"/>
        </w:rPr>
        <w:t>年</w:t>
      </w:r>
      <w:r>
        <w:rPr>
          <w:rFonts w:ascii="宋体" w:hAnsi="宋体" w:eastAsia="宋体" w:cs="宋体"/>
          <w:color w:val="auto"/>
          <w:spacing w:val="-29"/>
          <w:sz w:val="20"/>
          <w:szCs w:val="20"/>
          <w:highlight w:val="none"/>
        </w:rPr>
        <w:t xml:space="preserve"> </w:t>
      </w:r>
      <w:r>
        <w:rPr>
          <w:rFonts w:ascii="Times New Roman" w:hAnsi="Times New Roman" w:eastAsia="Times New Roman" w:cs="Times New Roman"/>
          <w:color w:val="auto"/>
          <w:spacing w:val="-2"/>
          <w:sz w:val="20"/>
          <w:szCs w:val="20"/>
          <w:highlight w:val="none"/>
        </w:rPr>
        <w:t>8</w:t>
      </w:r>
      <w:r>
        <w:rPr>
          <w:rFonts w:ascii="Times New Roman" w:hAnsi="Times New Roman" w:eastAsia="Times New Roman" w:cs="Times New Roman"/>
          <w:color w:val="auto"/>
          <w:spacing w:val="15"/>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41"/>
          <w:sz w:val="20"/>
          <w:szCs w:val="20"/>
          <w:highlight w:val="none"/>
        </w:rPr>
        <w:t xml:space="preserve"> </w:t>
      </w:r>
      <w:r>
        <w:rPr>
          <w:rFonts w:ascii="Times New Roman" w:hAnsi="Times New Roman" w:eastAsia="Times New Roman" w:cs="Times New Roman"/>
          <w:color w:val="auto"/>
          <w:spacing w:val="-2"/>
          <w:sz w:val="20"/>
          <w:szCs w:val="20"/>
          <w:highlight w:val="none"/>
        </w:rPr>
        <w:t xml:space="preserve">22  </w:t>
      </w:r>
      <w:r>
        <w:rPr>
          <w:rFonts w:ascii="宋体" w:hAnsi="宋体" w:eastAsia="宋体" w:cs="宋体"/>
          <w:color w:val="auto"/>
          <w:spacing w:val="-2"/>
          <w:sz w:val="20"/>
          <w:szCs w:val="20"/>
          <w:highlight w:val="none"/>
        </w:rPr>
        <w:t>日</w:t>
      </w:r>
    </w:p>
    <w:p w14:paraId="339D693B">
      <w:pPr>
        <w:spacing w:line="271" w:lineRule="auto"/>
        <w:rPr>
          <w:rFonts w:ascii="宋体" w:hAnsi="宋体" w:eastAsia="宋体" w:cs="宋体"/>
          <w:color w:val="auto"/>
          <w:sz w:val="20"/>
          <w:szCs w:val="20"/>
          <w:highlight w:val="none"/>
        </w:rPr>
        <w:sectPr>
          <w:footerReference r:id="rId28" w:type="default"/>
          <w:pgSz w:w="11906" w:h="16839"/>
          <w:pgMar w:top="1398" w:right="894" w:bottom="1157" w:left="972" w:header="0" w:footer="992" w:gutter="0"/>
          <w:pgNumType w:fmt="decimal"/>
          <w:cols w:space="720" w:num="1"/>
        </w:sectPr>
      </w:pPr>
    </w:p>
    <w:p w14:paraId="3D444D6C">
      <w:pPr>
        <w:spacing w:before="55" w:line="221" w:lineRule="auto"/>
        <w:ind w:left="1620"/>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《统计上大中小微型企业划分办法（</w:t>
      </w:r>
      <w:r>
        <w:rPr>
          <w:rFonts w:ascii="Times New Roman" w:hAnsi="Times New Roman" w:eastAsia="Times New Roman" w:cs="Times New Roman"/>
          <w:b/>
          <w:bCs/>
          <w:color w:val="auto"/>
          <w:sz w:val="28"/>
          <w:szCs w:val="28"/>
          <w:highlight w:val="none"/>
        </w:rPr>
        <w:t>2017</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）》修订说明</w:t>
      </w:r>
    </w:p>
    <w:p w14:paraId="51374637">
      <w:pPr>
        <w:spacing w:before="113"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一、修订背景</w:t>
      </w:r>
    </w:p>
    <w:p w14:paraId="796E432B">
      <w:pPr>
        <w:spacing w:before="153" w:line="369" w:lineRule="auto"/>
        <w:ind w:left="21" w:right="19" w:firstLine="43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目前执行的《统计上大中小微型企业划分办法》是</w:t>
      </w:r>
      <w:r>
        <w:rPr>
          <w:rFonts w:ascii="宋体" w:hAnsi="宋体" w:eastAsia="宋体" w:cs="宋体"/>
          <w:color w:val="auto"/>
          <w:spacing w:val="-25"/>
          <w:sz w:val="20"/>
          <w:szCs w:val="20"/>
          <w:highlight w:val="none"/>
        </w:rPr>
        <w:t xml:space="preserve"> </w:t>
      </w:r>
      <w:r>
        <w:rPr>
          <w:rFonts w:ascii="宋体" w:hAnsi="宋体" w:eastAsia="宋体" w:cs="宋体"/>
          <w:color w:val="auto"/>
          <w:spacing w:val="5"/>
          <w:sz w:val="20"/>
          <w:szCs w:val="20"/>
          <w:highlight w:val="none"/>
        </w:rPr>
        <w:t>2011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年国家统计局根据工业和信息化部、国家统计局、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国家发展改革委、财政部《关于印发中小企业划型标准规定的通知》（工信部联企业〔2011〕300</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w:t>
      </w:r>
      <w:r>
        <w:rPr>
          <w:rFonts w:ascii="宋体" w:hAnsi="宋体" w:eastAsia="宋体" w:cs="宋体"/>
          <w:color w:val="auto"/>
          <w:spacing w:val="18"/>
          <w:sz w:val="20"/>
          <w:szCs w:val="20"/>
          <w:highlight w:val="none"/>
        </w:rPr>
        <w:t>），</w:t>
      </w:r>
      <w:r>
        <w:rPr>
          <w:rFonts w:ascii="宋体" w:hAnsi="宋体" w:eastAsia="宋体" w:cs="宋体"/>
          <w:color w:val="auto"/>
          <w:spacing w:val="6"/>
          <w:sz w:val="20"/>
          <w:szCs w:val="20"/>
          <w:highlight w:val="none"/>
        </w:rPr>
        <w:t>同时</w:t>
      </w:r>
    </w:p>
    <w:p w14:paraId="6E88784A">
      <w:pPr>
        <w:spacing w:line="227" w:lineRule="auto"/>
        <w:ind w:left="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依据《国民经济行业分类》（</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/T 4754—2011</w:t>
      </w:r>
      <w:r>
        <w:rPr>
          <w:rFonts w:ascii="宋体" w:hAnsi="宋体" w:eastAsia="宋体" w:cs="宋体"/>
          <w:color w:val="auto"/>
          <w:spacing w:val="23"/>
          <w:sz w:val="20"/>
          <w:szCs w:val="20"/>
          <w:highlight w:val="none"/>
        </w:rPr>
        <w:t>），</w:t>
      </w:r>
      <w:r>
        <w:rPr>
          <w:rFonts w:ascii="宋体" w:hAnsi="宋体" w:eastAsia="宋体" w:cs="宋体"/>
          <w:color w:val="auto"/>
          <w:spacing w:val="7"/>
          <w:sz w:val="20"/>
          <w:szCs w:val="20"/>
          <w:highlight w:val="none"/>
        </w:rPr>
        <w:t>制定并颁布的。</w:t>
      </w:r>
    </w:p>
    <w:p w14:paraId="54B1E895">
      <w:pPr>
        <w:spacing w:before="155" w:line="369" w:lineRule="auto"/>
        <w:ind w:left="1" w:right="89" w:firstLine="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2017</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年</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6</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月</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30 日，《国民经济行业分类》（</w:t>
      </w:r>
      <w:r>
        <w:rPr>
          <w:rFonts w:ascii="宋体" w:hAnsi="宋体" w:eastAsia="宋体" w:cs="宋体"/>
          <w:color w:val="auto"/>
          <w:sz w:val="20"/>
          <w:szCs w:val="20"/>
          <w:highlight w:val="none"/>
        </w:rPr>
        <w:t>GB</w:t>
      </w:r>
      <w:r>
        <w:rPr>
          <w:rFonts w:ascii="宋体" w:hAnsi="宋体" w:eastAsia="宋体" w:cs="宋体"/>
          <w:color w:val="auto"/>
          <w:spacing w:val="5"/>
          <w:sz w:val="20"/>
          <w:szCs w:val="20"/>
          <w:highlight w:val="none"/>
        </w:rPr>
        <w:t>/T 4754—2</w:t>
      </w:r>
      <w:r>
        <w:rPr>
          <w:rFonts w:ascii="宋体" w:hAnsi="宋体" w:eastAsia="宋体" w:cs="宋体"/>
          <w:color w:val="auto"/>
          <w:spacing w:val="4"/>
          <w:sz w:val="20"/>
          <w:szCs w:val="20"/>
          <w:highlight w:val="none"/>
        </w:rPr>
        <w:t>017）正式颁布。8</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29 日，国家统计局印发</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《关于执行新国民经济行业分类国家标准的通知》（国统字〔2017〕142</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19"/>
          <w:sz w:val="20"/>
          <w:szCs w:val="20"/>
          <w:highlight w:val="none"/>
        </w:rPr>
        <w:t>），</w:t>
      </w:r>
      <w:r>
        <w:rPr>
          <w:rFonts w:ascii="宋体" w:hAnsi="宋体" w:eastAsia="宋体" w:cs="宋体"/>
          <w:color w:val="auto"/>
          <w:spacing w:val="5"/>
          <w:sz w:val="20"/>
          <w:szCs w:val="20"/>
          <w:highlight w:val="none"/>
        </w:rPr>
        <w:t>规</w:t>
      </w:r>
      <w:r>
        <w:rPr>
          <w:rFonts w:ascii="宋体" w:hAnsi="宋体" w:eastAsia="宋体" w:cs="宋体"/>
          <w:color w:val="auto"/>
          <w:spacing w:val="4"/>
          <w:sz w:val="20"/>
          <w:szCs w:val="20"/>
          <w:highlight w:val="none"/>
        </w:rPr>
        <w:t>定从</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2017</w:t>
      </w:r>
      <w:r>
        <w:rPr>
          <w:rFonts w:ascii="宋体" w:hAnsi="宋体" w:eastAsia="宋体" w:cs="宋体"/>
          <w:color w:val="auto"/>
          <w:spacing w:val="-39"/>
          <w:sz w:val="20"/>
          <w:szCs w:val="20"/>
          <w:highlight w:val="none"/>
        </w:rPr>
        <w:t xml:space="preserve"> </w:t>
      </w:r>
      <w:r>
        <w:rPr>
          <w:rFonts w:ascii="宋体" w:hAnsi="宋体" w:eastAsia="宋体" w:cs="宋体"/>
          <w:color w:val="auto"/>
          <w:spacing w:val="4"/>
          <w:sz w:val="20"/>
          <w:szCs w:val="20"/>
          <w:highlight w:val="none"/>
        </w:rPr>
        <w:t>年统计年报和</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2018</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年定期统计报表起统一使用新分类标准。为此，我们对</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2011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年印发的《统计上大中小微型企业划分办</w:t>
      </w:r>
      <w:r>
        <w:rPr>
          <w:rFonts w:ascii="宋体" w:hAnsi="宋体" w:eastAsia="宋体" w:cs="宋体"/>
          <w:color w:val="auto"/>
          <w:spacing w:val="8"/>
          <w:sz w:val="20"/>
          <w:szCs w:val="20"/>
          <w:highlight w:val="none"/>
        </w:rPr>
        <w:t>法》进</w:t>
      </w:r>
    </w:p>
    <w:p w14:paraId="5267287B">
      <w:pPr>
        <w:spacing w:before="1" w:line="228" w:lineRule="auto"/>
        <w:ind w:left="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行修订。</w:t>
      </w:r>
    </w:p>
    <w:p w14:paraId="4F39EC65">
      <w:pPr>
        <w:spacing w:before="151" w:line="228"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二、修订主要内容</w:t>
      </w:r>
    </w:p>
    <w:p w14:paraId="599EE413">
      <w:pPr>
        <w:spacing w:before="154" w:line="369" w:lineRule="auto"/>
        <w:ind w:left="1" w:right="90"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本次修订是在</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2011</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年《统计上大中小微型企业划分办法》基础上进行的，修订延续原有的分</w:t>
      </w:r>
      <w:r>
        <w:rPr>
          <w:rFonts w:ascii="宋体" w:hAnsi="宋体" w:eastAsia="宋体" w:cs="宋体"/>
          <w:color w:val="auto"/>
          <w:spacing w:val="8"/>
          <w:sz w:val="20"/>
          <w:szCs w:val="20"/>
          <w:highlight w:val="none"/>
        </w:rPr>
        <w:t>类原则、方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法和结构框架，在保持适用范围不变的情况下,依据标准由《国民经济行业分类》（</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/T</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47</w:t>
      </w:r>
      <w:r>
        <w:rPr>
          <w:rFonts w:ascii="宋体" w:hAnsi="宋体" w:eastAsia="宋体" w:cs="宋体"/>
          <w:color w:val="auto"/>
          <w:spacing w:val="7"/>
          <w:sz w:val="20"/>
          <w:szCs w:val="20"/>
          <w:highlight w:val="none"/>
        </w:rPr>
        <w:t>54—2011）修改为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《国民经济行业分类》（</w:t>
      </w:r>
      <w:r>
        <w:rPr>
          <w:rFonts w:ascii="宋体" w:hAnsi="宋体" w:eastAsia="宋体" w:cs="宋体"/>
          <w:color w:val="auto"/>
          <w:sz w:val="20"/>
          <w:szCs w:val="20"/>
          <w:highlight w:val="none"/>
        </w:rPr>
        <w:t>GB</w:t>
      </w:r>
      <w:r>
        <w:rPr>
          <w:rFonts w:ascii="宋体" w:hAnsi="宋体" w:eastAsia="宋体" w:cs="宋体"/>
          <w:color w:val="auto"/>
          <w:spacing w:val="9"/>
          <w:sz w:val="20"/>
          <w:szCs w:val="20"/>
          <w:highlight w:val="none"/>
        </w:rPr>
        <w:t>/T 4754—2017</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并根据新旧国民</w:t>
      </w:r>
      <w:r>
        <w:rPr>
          <w:rFonts w:ascii="宋体" w:hAnsi="宋体" w:eastAsia="宋体" w:cs="宋体"/>
          <w:color w:val="auto"/>
          <w:spacing w:val="8"/>
          <w:sz w:val="20"/>
          <w:szCs w:val="20"/>
          <w:highlight w:val="none"/>
        </w:rPr>
        <w:t>经济行业的对应关系，进行了行业所包含类别</w:t>
      </w:r>
    </w:p>
    <w:p w14:paraId="3CCA28B7">
      <w:pPr>
        <w:spacing w:before="1" w:line="229" w:lineRule="auto"/>
        <w:ind w:left="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的对应调整。</w:t>
      </w:r>
    </w:p>
    <w:p w14:paraId="1FFAA5F3">
      <w:pPr>
        <w:spacing w:before="152"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将交通运输业中包括的“装卸搬运和运输代理业</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”修改为“多式联运和运输代理业、装卸</w:t>
      </w:r>
      <w:r>
        <w:rPr>
          <w:rFonts w:ascii="宋体" w:hAnsi="宋体" w:eastAsia="宋体" w:cs="宋体"/>
          <w:color w:val="auto"/>
          <w:spacing w:val="8"/>
          <w:sz w:val="20"/>
          <w:szCs w:val="20"/>
          <w:highlight w:val="none"/>
        </w:rPr>
        <w:t>搬运</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p>
    <w:p w14:paraId="2E76FCED">
      <w:pPr>
        <w:spacing w:before="151" w:line="401" w:lineRule="exact"/>
        <w:ind w:left="451"/>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仓储业所包括的行业中类，根据《国民经济行业分类》</w:t>
      </w:r>
      <w:r>
        <w:rPr>
          <w:rFonts w:ascii="宋体" w:hAnsi="宋体" w:eastAsia="宋体" w:cs="宋体"/>
          <w:color w:val="auto"/>
          <w:spacing w:val="-53"/>
          <w:position w:val="14"/>
          <w:sz w:val="20"/>
          <w:szCs w:val="20"/>
          <w:highlight w:val="none"/>
        </w:rPr>
        <w:t xml:space="preserve"> </w:t>
      </w:r>
      <w:r>
        <w:rPr>
          <w:rFonts w:ascii="宋体" w:hAnsi="宋体" w:eastAsia="宋体" w:cs="宋体"/>
          <w:color w:val="auto"/>
          <w:spacing w:val="18"/>
          <w:position w:val="14"/>
          <w:sz w:val="20"/>
          <w:szCs w:val="20"/>
          <w:highlight w:val="none"/>
        </w:rPr>
        <w:t>（</w:t>
      </w:r>
      <w:r>
        <w:rPr>
          <w:rFonts w:ascii="宋体" w:hAnsi="宋体" w:eastAsia="宋体" w:cs="宋体"/>
          <w:color w:val="auto"/>
          <w:position w:val="14"/>
          <w:sz w:val="20"/>
          <w:szCs w:val="20"/>
          <w:highlight w:val="none"/>
        </w:rPr>
        <w:t>GB</w:t>
      </w:r>
      <w:r>
        <w:rPr>
          <w:rFonts w:ascii="宋体" w:hAnsi="宋体" w:eastAsia="宋体" w:cs="宋体"/>
          <w:color w:val="auto"/>
          <w:spacing w:val="18"/>
          <w:position w:val="14"/>
          <w:sz w:val="20"/>
          <w:szCs w:val="20"/>
          <w:highlight w:val="none"/>
        </w:rPr>
        <w:t>/</w:t>
      </w:r>
      <w:r>
        <w:rPr>
          <w:rFonts w:ascii="宋体" w:hAnsi="宋体" w:eastAsia="宋体" w:cs="宋体"/>
          <w:color w:val="auto"/>
          <w:spacing w:val="17"/>
          <w:position w:val="14"/>
          <w:sz w:val="20"/>
          <w:szCs w:val="20"/>
          <w:highlight w:val="none"/>
        </w:rPr>
        <w:t>T 4754—2017）调整为</w:t>
      </w:r>
      <w:r>
        <w:rPr>
          <w:rFonts w:ascii="宋体" w:hAnsi="宋体" w:eastAsia="宋体" w:cs="宋体"/>
          <w:color w:val="auto"/>
          <w:spacing w:val="-72"/>
          <w:position w:val="14"/>
          <w:sz w:val="20"/>
          <w:szCs w:val="20"/>
          <w:highlight w:val="none"/>
        </w:rPr>
        <w:t xml:space="preserve"> </w:t>
      </w:r>
      <w:r>
        <w:rPr>
          <w:rFonts w:ascii="宋体" w:hAnsi="宋体" w:eastAsia="宋体" w:cs="宋体"/>
          <w:color w:val="auto"/>
          <w:spacing w:val="17"/>
          <w:position w:val="14"/>
          <w:sz w:val="20"/>
          <w:szCs w:val="20"/>
          <w:highlight w:val="none"/>
        </w:rPr>
        <w:t>“通用仓储，</w:t>
      </w:r>
    </w:p>
    <w:p w14:paraId="3E868F22">
      <w:pPr>
        <w:spacing w:before="1" w:line="227" w:lineRule="auto"/>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低温仓储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，危险品仓储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，谷物、棉花等农产品仓储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w:t>
      </w:r>
      <w:r>
        <w:rPr>
          <w:rFonts w:ascii="宋体" w:hAnsi="宋体" w:eastAsia="宋体" w:cs="宋体"/>
          <w:color w:val="auto"/>
          <w:spacing w:val="-51"/>
          <w:sz w:val="20"/>
          <w:szCs w:val="20"/>
          <w:highlight w:val="none"/>
        </w:rPr>
        <w:t xml:space="preserve"> </w:t>
      </w:r>
      <w:r>
        <w:rPr>
          <w:rFonts w:ascii="宋体" w:hAnsi="宋体" w:eastAsia="宋体" w:cs="宋体"/>
          <w:color w:val="auto"/>
          <w:spacing w:val="19"/>
          <w:sz w:val="20"/>
          <w:szCs w:val="20"/>
          <w:highlight w:val="none"/>
        </w:rPr>
        <w:t>中药材仓储和其他仓储业</w:t>
      </w:r>
      <w:r>
        <w:rPr>
          <w:rFonts w:ascii="宋体" w:hAnsi="宋体" w:eastAsia="宋体" w:cs="宋体"/>
          <w:color w:val="auto"/>
          <w:spacing w:val="-56"/>
          <w:sz w:val="20"/>
          <w:szCs w:val="20"/>
          <w:highlight w:val="none"/>
        </w:rPr>
        <w:t xml:space="preserve"> </w:t>
      </w:r>
      <w:r>
        <w:rPr>
          <w:rFonts w:ascii="宋体" w:hAnsi="宋体" w:eastAsia="宋体" w:cs="宋体"/>
          <w:color w:val="auto"/>
          <w:spacing w:val="18"/>
          <w:sz w:val="20"/>
          <w:szCs w:val="20"/>
          <w:highlight w:val="none"/>
        </w:rPr>
        <w:t>”。</w:t>
      </w:r>
    </w:p>
    <w:p w14:paraId="53382953">
      <w:pPr>
        <w:spacing w:before="153"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附表</w:t>
      </w:r>
    </w:p>
    <w:p w14:paraId="64163442">
      <w:pPr>
        <w:spacing w:before="153" w:line="228" w:lineRule="auto"/>
        <w:ind w:left="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统计上大中小微型企业划分标准</w:t>
      </w:r>
    </w:p>
    <w:p w14:paraId="59668E84">
      <w:pPr>
        <w:spacing w:before="218" w:line="220" w:lineRule="auto"/>
        <w:ind w:left="34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国家统计局关于印发《统计上</w:t>
      </w:r>
    </w:p>
    <w:p w14:paraId="1D9CB6D9">
      <w:pPr>
        <w:spacing w:before="194" w:line="220" w:lineRule="auto"/>
        <w:ind w:left="2704"/>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大中小微型企业划分办法（</w:t>
      </w:r>
      <w:r>
        <w:rPr>
          <w:rFonts w:ascii="Times New Roman" w:hAnsi="Times New Roman" w:eastAsia="Times New Roman" w:cs="Times New Roman"/>
          <w:b/>
          <w:bCs/>
          <w:color w:val="auto"/>
          <w:sz w:val="24"/>
          <w:szCs w:val="24"/>
          <w:highlight w:val="none"/>
        </w:rPr>
        <w:t>2017</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）》的通知</w:t>
      </w:r>
    </w:p>
    <w:p w14:paraId="658B2D03">
      <w:pPr>
        <w:pStyle w:val="2"/>
        <w:spacing w:line="319" w:lineRule="auto"/>
        <w:rPr>
          <w:color w:val="auto"/>
          <w:highlight w:val="none"/>
        </w:rPr>
      </w:pPr>
    </w:p>
    <w:p w14:paraId="48C08025">
      <w:pPr>
        <w:pStyle w:val="2"/>
        <w:spacing w:line="319" w:lineRule="auto"/>
        <w:rPr>
          <w:color w:val="auto"/>
          <w:highlight w:val="none"/>
        </w:rPr>
      </w:pPr>
    </w:p>
    <w:p w14:paraId="2D573B70">
      <w:pPr>
        <w:spacing w:before="65" w:line="228" w:lineRule="auto"/>
        <w:ind w:left="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各省、</w:t>
      </w:r>
      <w:r>
        <w:rPr>
          <w:rFonts w:ascii="宋体" w:hAnsi="宋体" w:eastAsia="宋体" w:cs="宋体"/>
          <w:color w:val="auto"/>
          <w:spacing w:val="-51"/>
          <w:sz w:val="20"/>
          <w:szCs w:val="20"/>
          <w:highlight w:val="none"/>
        </w:rPr>
        <w:t xml:space="preserve"> </w:t>
      </w:r>
      <w:r>
        <w:rPr>
          <w:rFonts w:ascii="宋体" w:hAnsi="宋体" w:eastAsia="宋体" w:cs="宋体"/>
          <w:color w:val="auto"/>
          <w:spacing w:val="9"/>
          <w:sz w:val="20"/>
          <w:szCs w:val="20"/>
          <w:highlight w:val="none"/>
        </w:rPr>
        <w:t>自治区、直辖市统计局，新疆生产建设</w:t>
      </w:r>
      <w:r>
        <w:rPr>
          <w:rFonts w:ascii="宋体" w:hAnsi="宋体" w:eastAsia="宋体" w:cs="宋体"/>
          <w:color w:val="auto"/>
          <w:spacing w:val="8"/>
          <w:sz w:val="20"/>
          <w:szCs w:val="20"/>
          <w:highlight w:val="none"/>
        </w:rPr>
        <w:t>兵团统计局，国务院各有关部门，国家统计局各调查总队：</w:t>
      </w:r>
    </w:p>
    <w:p w14:paraId="061F4362">
      <w:pPr>
        <w:spacing w:before="234" w:line="443" w:lineRule="auto"/>
        <w:ind w:firstLine="627"/>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《国民经济行业分类》（</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/T</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4754—2017）已正式实施，现对</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2011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年制定的《统计上大中小微型企业</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划分办法》进行修订。本次修订保持原有的</w:t>
      </w:r>
      <w:r>
        <w:rPr>
          <w:rFonts w:ascii="宋体" w:hAnsi="宋体" w:eastAsia="宋体" w:cs="宋体"/>
          <w:color w:val="auto"/>
          <w:spacing w:val="3"/>
          <w:sz w:val="20"/>
          <w:szCs w:val="20"/>
          <w:highlight w:val="none"/>
        </w:rPr>
        <w:t>分类原则、方法、结构框架和适用范围，仅将所涉及的行业按照《国</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民经济行业分类》（</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/T</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4754—2011）和《国民经济行业分类》（</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/T</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4754—2017）的对应关系，进行相应</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调整，形成《统计上大中小微型企业划分办法（2017）》。现将《统计上大中小微型企</w:t>
      </w:r>
      <w:r>
        <w:rPr>
          <w:rFonts w:ascii="宋体" w:hAnsi="宋体" w:eastAsia="宋体" w:cs="宋体"/>
          <w:color w:val="auto"/>
          <w:spacing w:val="8"/>
          <w:sz w:val="20"/>
          <w:szCs w:val="20"/>
          <w:highlight w:val="none"/>
        </w:rPr>
        <w:t>业划分办法（2017）》</w:t>
      </w:r>
    </w:p>
    <w:p w14:paraId="0AE903A2">
      <w:pPr>
        <w:spacing w:line="228" w:lineRule="auto"/>
        <w:ind w:left="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印发给你们，请在统计工作中认真贯彻执行。</w:t>
      </w:r>
    </w:p>
    <w:p w14:paraId="2574E627">
      <w:pPr>
        <w:spacing w:before="232" w:line="228" w:lineRule="auto"/>
        <w:ind w:left="64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附件：《统计上大中小微型企业划分办法（2017）》修订说明</w:t>
      </w:r>
    </w:p>
    <w:p w14:paraId="251AB9FF">
      <w:pPr>
        <w:pStyle w:val="2"/>
        <w:spacing w:line="322" w:lineRule="auto"/>
        <w:rPr>
          <w:color w:val="auto"/>
          <w:highlight w:val="none"/>
        </w:rPr>
      </w:pPr>
    </w:p>
    <w:p w14:paraId="7DA37C8D">
      <w:pPr>
        <w:pStyle w:val="2"/>
        <w:spacing w:line="322" w:lineRule="auto"/>
        <w:rPr>
          <w:color w:val="auto"/>
          <w:highlight w:val="none"/>
        </w:rPr>
      </w:pPr>
    </w:p>
    <w:p w14:paraId="77A57AA1">
      <w:pPr>
        <w:spacing w:before="66" w:line="229" w:lineRule="auto"/>
        <w:ind w:left="852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国家统计局</w:t>
      </w:r>
    </w:p>
    <w:p w14:paraId="6E358A0C">
      <w:pPr>
        <w:spacing w:before="232" w:line="228" w:lineRule="auto"/>
        <w:ind w:left="824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2017</w:t>
      </w:r>
      <w:r>
        <w:rPr>
          <w:rFonts w:ascii="宋体" w:hAnsi="宋体" w:eastAsia="宋体" w:cs="宋体"/>
          <w:color w:val="auto"/>
          <w:spacing w:val="-29"/>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4"/>
          <w:sz w:val="20"/>
          <w:szCs w:val="20"/>
          <w:highlight w:val="none"/>
        </w:rPr>
        <w:t xml:space="preserve"> </w:t>
      </w:r>
      <w:r>
        <w:rPr>
          <w:rFonts w:ascii="宋体" w:hAnsi="宋体" w:eastAsia="宋体" w:cs="宋体"/>
          <w:color w:val="auto"/>
          <w:spacing w:val="-2"/>
          <w:sz w:val="20"/>
          <w:szCs w:val="20"/>
          <w:highlight w:val="none"/>
        </w:rPr>
        <w:t>12</w:t>
      </w:r>
      <w:r>
        <w:rPr>
          <w:rFonts w:ascii="宋体" w:hAnsi="宋体" w:eastAsia="宋体" w:cs="宋体"/>
          <w:color w:val="auto"/>
          <w:spacing w:val="-35"/>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34"/>
          <w:sz w:val="20"/>
          <w:szCs w:val="20"/>
          <w:highlight w:val="none"/>
        </w:rPr>
        <w:t xml:space="preserve"> </w:t>
      </w:r>
      <w:r>
        <w:rPr>
          <w:rFonts w:ascii="宋体" w:hAnsi="宋体" w:eastAsia="宋体" w:cs="宋体"/>
          <w:color w:val="auto"/>
          <w:spacing w:val="-2"/>
          <w:sz w:val="20"/>
          <w:szCs w:val="20"/>
          <w:highlight w:val="none"/>
        </w:rPr>
        <w:t>28 日</w:t>
      </w:r>
    </w:p>
    <w:p w14:paraId="2F2C4BFC">
      <w:pPr>
        <w:spacing w:line="228" w:lineRule="auto"/>
        <w:rPr>
          <w:rFonts w:ascii="宋体" w:hAnsi="宋体" w:eastAsia="宋体" w:cs="宋体"/>
          <w:color w:val="auto"/>
          <w:sz w:val="20"/>
          <w:szCs w:val="20"/>
          <w:highlight w:val="none"/>
        </w:rPr>
        <w:sectPr>
          <w:footerReference r:id="rId29" w:type="default"/>
          <w:pgSz w:w="11906" w:h="16839"/>
          <w:pgMar w:top="1222" w:right="876" w:bottom="1157" w:left="972" w:header="0" w:footer="992" w:gutter="0"/>
          <w:pgNumType w:fmt="decimal"/>
          <w:cols w:space="720" w:num="1"/>
        </w:sectPr>
      </w:pPr>
    </w:p>
    <w:p w14:paraId="09DD811E">
      <w:pPr>
        <w:spacing w:before="56" w:line="228" w:lineRule="auto"/>
        <w:ind w:left="309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统计上大中小微型企业划分办法（2017）</w:t>
      </w:r>
    </w:p>
    <w:p w14:paraId="39219994">
      <w:pPr>
        <w:spacing w:before="232" w:line="443" w:lineRule="auto"/>
        <w:ind w:right="53" w:firstLine="6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一、根据工业和信息化部、国家统计局、国家发展改革委、财政部《关于印发中小企业划型标准规定的</w:t>
      </w:r>
      <w:r>
        <w:rPr>
          <w:rFonts w:ascii="宋体" w:hAnsi="宋体" w:eastAsia="宋体" w:cs="宋体"/>
          <w:color w:val="auto"/>
          <w:spacing w:val="18"/>
          <w:sz w:val="20"/>
          <w:szCs w:val="20"/>
          <w:highlight w:val="none"/>
        </w:rPr>
        <w:t xml:space="preserve"> </w:t>
      </w:r>
      <w:r>
        <w:rPr>
          <w:rFonts w:ascii="宋体" w:hAnsi="宋体" w:eastAsia="宋体" w:cs="宋体"/>
          <w:color w:val="auto"/>
          <w:spacing w:val="8"/>
          <w:sz w:val="20"/>
          <w:szCs w:val="20"/>
          <w:highlight w:val="none"/>
        </w:rPr>
        <w:t>通知》（工信部联企业〔2011〕300</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w:t>
      </w:r>
      <w:r>
        <w:rPr>
          <w:rFonts w:ascii="宋体" w:hAnsi="宋体" w:eastAsia="宋体" w:cs="宋体"/>
          <w:color w:val="auto"/>
          <w:spacing w:val="26"/>
          <w:sz w:val="20"/>
          <w:szCs w:val="20"/>
          <w:highlight w:val="none"/>
        </w:rPr>
        <w:t>），</w:t>
      </w:r>
      <w:r>
        <w:rPr>
          <w:rFonts w:ascii="宋体" w:hAnsi="宋体" w:eastAsia="宋体" w:cs="宋体"/>
          <w:color w:val="auto"/>
          <w:spacing w:val="8"/>
          <w:sz w:val="20"/>
          <w:szCs w:val="20"/>
          <w:highlight w:val="none"/>
        </w:rPr>
        <w:t>以《</w:t>
      </w:r>
      <w:r>
        <w:rPr>
          <w:rFonts w:ascii="宋体" w:hAnsi="宋体" w:eastAsia="宋体" w:cs="宋体"/>
          <w:color w:val="auto"/>
          <w:spacing w:val="7"/>
          <w:sz w:val="20"/>
          <w:szCs w:val="20"/>
          <w:highlight w:val="none"/>
        </w:rPr>
        <w:t>国民经济行业分类》（</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/T4754-2017）为基础，结合统计工</w:t>
      </w:r>
    </w:p>
    <w:p w14:paraId="4A19E322">
      <w:pPr>
        <w:spacing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作的实际情况，制定本办法。</w:t>
      </w:r>
    </w:p>
    <w:p w14:paraId="2398C93B">
      <w:pPr>
        <w:spacing w:before="233" w:line="480" w:lineRule="exact"/>
        <w:ind w:right="53"/>
        <w:jc w:val="right"/>
        <w:rPr>
          <w:rFonts w:ascii="宋体" w:hAnsi="宋体" w:eastAsia="宋体" w:cs="宋体"/>
          <w:color w:val="auto"/>
          <w:sz w:val="20"/>
          <w:szCs w:val="20"/>
          <w:highlight w:val="none"/>
        </w:rPr>
      </w:pPr>
      <w:r>
        <w:rPr>
          <w:rFonts w:ascii="宋体" w:hAnsi="宋体" w:eastAsia="宋体" w:cs="宋体"/>
          <w:color w:val="auto"/>
          <w:spacing w:val="8"/>
          <w:position w:val="21"/>
          <w:sz w:val="20"/>
          <w:szCs w:val="20"/>
          <w:highlight w:val="none"/>
        </w:rPr>
        <w:t>二、本办法适用对象为在中华人民共和国境内</w:t>
      </w:r>
      <w:r>
        <w:rPr>
          <w:rFonts w:ascii="宋体" w:hAnsi="宋体" w:eastAsia="宋体" w:cs="宋体"/>
          <w:color w:val="auto"/>
          <w:spacing w:val="7"/>
          <w:position w:val="21"/>
          <w:sz w:val="20"/>
          <w:szCs w:val="20"/>
          <w:highlight w:val="none"/>
        </w:rPr>
        <w:t>依法设立的各种组织形式的法人企业或单位。个体工商户</w:t>
      </w:r>
    </w:p>
    <w:p w14:paraId="52B5A5EF">
      <w:pPr>
        <w:spacing w:line="227" w:lineRule="auto"/>
        <w:ind w:left="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参照本办法进行划分。</w:t>
      </w:r>
    </w:p>
    <w:p w14:paraId="5CE07150">
      <w:pPr>
        <w:spacing w:before="234" w:line="443" w:lineRule="auto"/>
        <w:ind w:firstLine="6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三、本办法适用范围包括：农、林、牧、渔业，采矿业，制造业，电力、热力、燃气及水生产和供应业，</w:t>
      </w:r>
      <w:r>
        <w:rPr>
          <w:rFonts w:ascii="宋体" w:hAnsi="宋体" w:eastAsia="宋体" w:cs="宋体"/>
          <w:color w:val="auto"/>
          <w:spacing w:val="8"/>
          <w:sz w:val="20"/>
          <w:szCs w:val="20"/>
          <w:highlight w:val="none"/>
        </w:rPr>
        <w:t xml:space="preserve"> 建筑业，批发和零售业，交通运输、仓储和邮政业，住宿和餐饮业</w:t>
      </w:r>
      <w:r>
        <w:rPr>
          <w:rFonts w:ascii="宋体" w:hAnsi="宋体" w:eastAsia="宋体" w:cs="宋体"/>
          <w:color w:val="auto"/>
          <w:spacing w:val="7"/>
          <w:sz w:val="20"/>
          <w:szCs w:val="20"/>
          <w:highlight w:val="none"/>
        </w:rPr>
        <w:t>，信息传输、软件和信息技术服务业，房地</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产业，租赁和商务服务业，科学研究和技术服务业，水利、环境和</w:t>
      </w:r>
      <w:r>
        <w:rPr>
          <w:rFonts w:ascii="宋体" w:hAnsi="宋体" w:eastAsia="宋体" w:cs="宋体"/>
          <w:color w:val="auto"/>
          <w:spacing w:val="7"/>
          <w:sz w:val="20"/>
          <w:szCs w:val="20"/>
          <w:highlight w:val="none"/>
        </w:rPr>
        <w:t>公共设施管理业，居民服务、修理和其他服</w:t>
      </w:r>
    </w:p>
    <w:p w14:paraId="191EB588">
      <w:pPr>
        <w:spacing w:before="1" w:line="227"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务业，文化、体育和娱乐业等</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15</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个行业门类以及社会工作行业</w:t>
      </w:r>
      <w:r>
        <w:rPr>
          <w:rFonts w:ascii="宋体" w:hAnsi="宋体" w:eastAsia="宋体" w:cs="宋体"/>
          <w:color w:val="auto"/>
          <w:spacing w:val="7"/>
          <w:sz w:val="20"/>
          <w:szCs w:val="20"/>
          <w:highlight w:val="none"/>
        </w:rPr>
        <w:t>大类。</w:t>
      </w:r>
    </w:p>
    <w:p w14:paraId="38BD4944">
      <w:pPr>
        <w:spacing w:before="233" w:line="480" w:lineRule="exact"/>
        <w:ind w:right="56"/>
        <w:jc w:val="right"/>
        <w:rPr>
          <w:rFonts w:ascii="宋体" w:hAnsi="宋体" w:eastAsia="宋体" w:cs="宋体"/>
          <w:color w:val="auto"/>
          <w:sz w:val="20"/>
          <w:szCs w:val="20"/>
          <w:highlight w:val="none"/>
        </w:rPr>
      </w:pPr>
      <w:r>
        <w:rPr>
          <w:rFonts w:ascii="宋体" w:hAnsi="宋体" w:eastAsia="宋体" w:cs="宋体"/>
          <w:color w:val="auto"/>
          <w:spacing w:val="7"/>
          <w:position w:val="21"/>
          <w:sz w:val="20"/>
          <w:szCs w:val="20"/>
          <w:highlight w:val="none"/>
        </w:rPr>
        <w:t>四、本办法按照行业门类、大类、中类和组合类别，依据从业人员、营业收入、资产总额等指标或替代</w:t>
      </w:r>
    </w:p>
    <w:p w14:paraId="75EBAE6A">
      <w:pPr>
        <w:spacing w:before="1" w:line="227" w:lineRule="auto"/>
        <w:ind w:left="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指标，将我国的企业划分为大型、中型、小型、微型等四种类型。具体划分标准见附表。</w:t>
      </w:r>
    </w:p>
    <w:p w14:paraId="7AD93BE9">
      <w:pPr>
        <w:spacing w:before="233" w:line="228" w:lineRule="auto"/>
        <w:ind w:left="6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五、企业划分由政府综合统计部门根据统计年报每年确定一次，定报统计原则上不进行调整。</w:t>
      </w:r>
    </w:p>
    <w:p w14:paraId="7A5ED13E">
      <w:pPr>
        <w:spacing w:before="233" w:line="480" w:lineRule="exact"/>
        <w:ind w:right="58"/>
        <w:jc w:val="right"/>
        <w:rPr>
          <w:rFonts w:ascii="宋体" w:hAnsi="宋体" w:eastAsia="宋体" w:cs="宋体"/>
          <w:color w:val="auto"/>
          <w:sz w:val="20"/>
          <w:szCs w:val="20"/>
          <w:highlight w:val="none"/>
        </w:rPr>
      </w:pPr>
      <w:r>
        <w:rPr>
          <w:rFonts w:ascii="宋体" w:hAnsi="宋体" w:eastAsia="宋体" w:cs="宋体"/>
          <w:color w:val="auto"/>
          <w:spacing w:val="9"/>
          <w:position w:val="21"/>
          <w:sz w:val="20"/>
          <w:szCs w:val="20"/>
          <w:highlight w:val="none"/>
        </w:rPr>
        <w:t>六、本办法自印发之日起执行，国家统计局</w:t>
      </w:r>
      <w:r>
        <w:rPr>
          <w:rFonts w:ascii="宋体" w:hAnsi="宋体" w:eastAsia="宋体" w:cs="宋体"/>
          <w:color w:val="auto"/>
          <w:spacing w:val="-37"/>
          <w:position w:val="21"/>
          <w:sz w:val="20"/>
          <w:szCs w:val="20"/>
          <w:highlight w:val="none"/>
        </w:rPr>
        <w:t xml:space="preserve"> </w:t>
      </w:r>
      <w:r>
        <w:rPr>
          <w:rFonts w:ascii="宋体" w:hAnsi="宋体" w:eastAsia="宋体" w:cs="宋体"/>
          <w:color w:val="auto"/>
          <w:spacing w:val="9"/>
          <w:position w:val="21"/>
          <w:sz w:val="20"/>
          <w:szCs w:val="20"/>
          <w:highlight w:val="none"/>
        </w:rPr>
        <w:t>2011</w:t>
      </w:r>
      <w:r>
        <w:rPr>
          <w:rFonts w:ascii="宋体" w:hAnsi="宋体" w:eastAsia="宋体" w:cs="宋体"/>
          <w:color w:val="auto"/>
          <w:spacing w:val="-39"/>
          <w:position w:val="21"/>
          <w:sz w:val="20"/>
          <w:szCs w:val="20"/>
          <w:highlight w:val="none"/>
        </w:rPr>
        <w:t xml:space="preserve"> </w:t>
      </w:r>
      <w:r>
        <w:rPr>
          <w:rFonts w:ascii="宋体" w:hAnsi="宋体" w:eastAsia="宋体" w:cs="宋体"/>
          <w:color w:val="auto"/>
          <w:spacing w:val="9"/>
          <w:position w:val="21"/>
          <w:sz w:val="20"/>
          <w:szCs w:val="20"/>
          <w:highlight w:val="none"/>
        </w:rPr>
        <w:t>年印发的《统计上大中小微型企业划分</w:t>
      </w:r>
      <w:r>
        <w:rPr>
          <w:rFonts w:ascii="宋体" w:hAnsi="宋体" w:eastAsia="宋体" w:cs="宋体"/>
          <w:color w:val="auto"/>
          <w:spacing w:val="8"/>
          <w:position w:val="21"/>
          <w:sz w:val="20"/>
          <w:szCs w:val="20"/>
          <w:highlight w:val="none"/>
        </w:rPr>
        <w:t>办法》（国统</w:t>
      </w:r>
    </w:p>
    <w:p w14:paraId="4A7DA57A">
      <w:pPr>
        <w:spacing w:before="1" w:line="228"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字〔2011〕75</w:t>
      </w:r>
      <w:r>
        <w:rPr>
          <w:rFonts w:ascii="宋体" w:hAnsi="宋体" w:eastAsia="宋体" w:cs="宋体"/>
          <w:color w:val="auto"/>
          <w:spacing w:val="-22"/>
          <w:sz w:val="20"/>
          <w:szCs w:val="20"/>
          <w:highlight w:val="none"/>
        </w:rPr>
        <w:t xml:space="preserve"> </w:t>
      </w:r>
      <w:r>
        <w:rPr>
          <w:rFonts w:ascii="宋体" w:hAnsi="宋体" w:eastAsia="宋体" w:cs="宋体"/>
          <w:color w:val="auto"/>
          <w:spacing w:val="5"/>
          <w:sz w:val="20"/>
          <w:szCs w:val="20"/>
          <w:highlight w:val="none"/>
        </w:rPr>
        <w:t>号）同时废止。</w:t>
      </w:r>
    </w:p>
    <w:p w14:paraId="53DF5417">
      <w:pPr>
        <w:spacing w:before="232" w:line="228" w:lineRule="auto"/>
        <w:ind w:left="64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附表：统计上大中小微型企业划分标准</w:t>
      </w:r>
    </w:p>
    <w:p w14:paraId="703F419C">
      <w:pPr>
        <w:spacing w:before="293"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附表</w:t>
      </w:r>
    </w:p>
    <w:p w14:paraId="2534F93A">
      <w:pPr>
        <w:spacing w:before="141" w:line="223" w:lineRule="auto"/>
        <w:ind w:left="35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统计上大中小微型企业划分标准</w:t>
      </w:r>
    </w:p>
    <w:tbl>
      <w:tblPr>
        <w:tblStyle w:val="15"/>
        <w:tblW w:w="9419" w:type="dxa"/>
        <w:tblInd w:w="2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485"/>
        <w:gridCol w:w="821"/>
        <w:gridCol w:w="1261"/>
        <w:gridCol w:w="1848"/>
        <w:gridCol w:w="1648"/>
        <w:gridCol w:w="994"/>
      </w:tblGrid>
      <w:tr w14:paraId="72446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362" w:type="dxa"/>
            <w:vAlign w:val="top"/>
          </w:tcPr>
          <w:p w14:paraId="5C479730">
            <w:pPr>
              <w:pStyle w:val="16"/>
              <w:spacing w:before="147" w:line="229" w:lineRule="auto"/>
              <w:ind w:left="268"/>
              <w:rPr>
                <w:color w:val="auto"/>
                <w:highlight w:val="none"/>
              </w:rPr>
            </w:pPr>
            <w:r>
              <w:rPr>
                <w:color w:val="auto"/>
                <w:spacing w:val="7"/>
                <w:highlight w:val="none"/>
                <w14:textOutline w14:w="3795" w14:cap="sq" w14:cmpd="sng">
                  <w14:solidFill>
                    <w14:srgbClr w14:val="000000"/>
                  </w14:solidFill>
                  <w14:prstDash w14:val="solid"/>
                  <w14:bevel/>
                </w14:textOutline>
              </w:rPr>
              <w:t>行业名称</w:t>
            </w:r>
          </w:p>
        </w:tc>
        <w:tc>
          <w:tcPr>
            <w:tcW w:w="1485" w:type="dxa"/>
            <w:vAlign w:val="top"/>
          </w:tcPr>
          <w:p w14:paraId="0A74160D">
            <w:pPr>
              <w:pStyle w:val="16"/>
              <w:spacing w:before="149" w:line="229" w:lineRule="auto"/>
              <w:ind w:left="326"/>
              <w:rPr>
                <w:color w:val="auto"/>
                <w:highlight w:val="none"/>
              </w:rPr>
            </w:pPr>
            <w:r>
              <w:rPr>
                <w:color w:val="auto"/>
                <w:spacing w:val="7"/>
                <w:highlight w:val="none"/>
                <w14:textOutline w14:w="3795" w14:cap="sq" w14:cmpd="sng">
                  <w14:solidFill>
                    <w14:srgbClr w14:val="000000"/>
                  </w14:solidFill>
                  <w14:prstDash w14:val="solid"/>
                  <w14:bevel/>
                </w14:textOutline>
              </w:rPr>
              <w:t>指标名称</w:t>
            </w:r>
          </w:p>
        </w:tc>
        <w:tc>
          <w:tcPr>
            <w:tcW w:w="821" w:type="dxa"/>
            <w:vAlign w:val="top"/>
          </w:tcPr>
          <w:p w14:paraId="547C04FC">
            <w:pPr>
              <w:pStyle w:val="16"/>
              <w:spacing w:before="56" w:line="263" w:lineRule="exact"/>
              <w:ind w:left="204"/>
              <w:rPr>
                <w:color w:val="auto"/>
                <w:highlight w:val="none"/>
              </w:rPr>
            </w:pPr>
            <w:r>
              <w:rPr>
                <w:color w:val="auto"/>
                <w:spacing w:val="6"/>
                <w:position w:val="5"/>
                <w:highlight w:val="none"/>
                <w14:textOutline w14:w="3795" w14:cap="sq" w14:cmpd="sng">
                  <w14:solidFill>
                    <w14:srgbClr w14:val="000000"/>
                  </w14:solidFill>
                  <w14:prstDash w14:val="solid"/>
                  <w14:bevel/>
                </w14:textOutline>
              </w:rPr>
              <w:t>计量</w:t>
            </w:r>
          </w:p>
          <w:p w14:paraId="4EEED2CC">
            <w:pPr>
              <w:pStyle w:val="16"/>
              <w:spacing w:line="163" w:lineRule="auto"/>
              <w:ind w:left="206"/>
              <w:rPr>
                <w:color w:val="auto"/>
                <w:highlight w:val="none"/>
              </w:rPr>
            </w:pPr>
            <w:r>
              <w:rPr>
                <w:color w:val="auto"/>
                <w:spacing w:val="5"/>
                <w:highlight w:val="none"/>
                <w14:textOutline w14:w="3795" w14:cap="sq" w14:cmpd="sng">
                  <w14:solidFill>
                    <w14:srgbClr w14:val="000000"/>
                  </w14:solidFill>
                  <w14:prstDash w14:val="solid"/>
                  <w14:bevel/>
                </w14:textOutline>
              </w:rPr>
              <w:t>单位</w:t>
            </w:r>
          </w:p>
        </w:tc>
        <w:tc>
          <w:tcPr>
            <w:tcW w:w="1261" w:type="dxa"/>
            <w:vAlign w:val="top"/>
          </w:tcPr>
          <w:p w14:paraId="4DFA64ED">
            <w:pPr>
              <w:pStyle w:val="16"/>
              <w:spacing w:before="149" w:line="229" w:lineRule="auto"/>
              <w:ind w:left="427"/>
              <w:rPr>
                <w:color w:val="auto"/>
                <w:highlight w:val="none"/>
              </w:rPr>
            </w:pPr>
            <w:r>
              <w:rPr>
                <w:color w:val="auto"/>
                <w:spacing w:val="4"/>
                <w:highlight w:val="none"/>
                <w14:textOutline w14:w="3795" w14:cap="sq" w14:cmpd="sng">
                  <w14:solidFill>
                    <w14:srgbClr w14:val="000000"/>
                  </w14:solidFill>
                  <w14:prstDash w14:val="solid"/>
                  <w14:bevel/>
                </w14:textOutline>
              </w:rPr>
              <w:t>大型</w:t>
            </w:r>
          </w:p>
        </w:tc>
        <w:tc>
          <w:tcPr>
            <w:tcW w:w="1848" w:type="dxa"/>
            <w:vAlign w:val="top"/>
          </w:tcPr>
          <w:p w14:paraId="2F0A5DBA">
            <w:pPr>
              <w:pStyle w:val="16"/>
              <w:spacing w:before="149" w:line="229" w:lineRule="auto"/>
              <w:ind w:left="739"/>
              <w:rPr>
                <w:color w:val="auto"/>
                <w:highlight w:val="none"/>
              </w:rPr>
            </w:pPr>
            <w:r>
              <w:rPr>
                <w:color w:val="auto"/>
                <w:spacing w:val="-4"/>
                <w:highlight w:val="none"/>
                <w14:textOutline w14:w="3795" w14:cap="sq" w14:cmpd="sng">
                  <w14:solidFill>
                    <w14:srgbClr w14:val="000000"/>
                  </w14:solidFill>
                  <w14:prstDash w14:val="solid"/>
                  <w14:bevel/>
                </w14:textOutline>
              </w:rPr>
              <w:t>中型</w:t>
            </w:r>
          </w:p>
        </w:tc>
        <w:tc>
          <w:tcPr>
            <w:tcW w:w="1648" w:type="dxa"/>
            <w:vAlign w:val="top"/>
          </w:tcPr>
          <w:p w14:paraId="36965ABC">
            <w:pPr>
              <w:pStyle w:val="16"/>
              <w:spacing w:before="149" w:line="231" w:lineRule="auto"/>
              <w:ind w:left="624"/>
              <w:rPr>
                <w:color w:val="auto"/>
                <w:highlight w:val="none"/>
              </w:rPr>
            </w:pPr>
            <w:r>
              <w:rPr>
                <w:color w:val="auto"/>
                <w:spacing w:val="3"/>
                <w:highlight w:val="none"/>
                <w14:textOutline w14:w="3795" w14:cap="sq" w14:cmpd="sng">
                  <w14:solidFill>
                    <w14:srgbClr w14:val="000000"/>
                  </w14:solidFill>
                  <w14:prstDash w14:val="solid"/>
                  <w14:bevel/>
                </w14:textOutline>
              </w:rPr>
              <w:t>小型</w:t>
            </w:r>
          </w:p>
        </w:tc>
        <w:tc>
          <w:tcPr>
            <w:tcW w:w="994" w:type="dxa"/>
            <w:vAlign w:val="top"/>
          </w:tcPr>
          <w:p w14:paraId="0D2D2D58">
            <w:pPr>
              <w:pStyle w:val="16"/>
              <w:spacing w:before="150" w:line="228" w:lineRule="auto"/>
              <w:ind w:left="290"/>
              <w:rPr>
                <w:color w:val="auto"/>
                <w:highlight w:val="none"/>
              </w:rPr>
            </w:pPr>
            <w:r>
              <w:rPr>
                <w:color w:val="auto"/>
                <w:spacing w:val="6"/>
                <w:highlight w:val="none"/>
                <w14:textOutline w14:w="3795" w14:cap="sq" w14:cmpd="sng">
                  <w14:solidFill>
                    <w14:srgbClr w14:val="000000"/>
                  </w14:solidFill>
                  <w14:prstDash w14:val="solid"/>
                  <w14:bevel/>
                </w14:textOutline>
              </w:rPr>
              <w:t>微型</w:t>
            </w:r>
          </w:p>
        </w:tc>
      </w:tr>
      <w:tr w14:paraId="1A715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62" w:type="dxa"/>
            <w:vAlign w:val="top"/>
          </w:tcPr>
          <w:p w14:paraId="7DB33C8C">
            <w:pPr>
              <w:pStyle w:val="16"/>
              <w:spacing w:before="41" w:line="226" w:lineRule="auto"/>
              <w:ind w:left="116" w:right="37"/>
              <w:rPr>
                <w:color w:val="auto"/>
                <w:highlight w:val="none"/>
              </w:rPr>
            </w:pPr>
            <w:r>
              <w:rPr>
                <w:color w:val="auto"/>
                <w:highlight w:val="none"/>
              </w:rPr>
              <w:t>农、林、牧、</w:t>
            </w:r>
            <w:r>
              <w:rPr>
                <w:color w:val="auto"/>
                <w:spacing w:val="1"/>
                <w:highlight w:val="none"/>
              </w:rPr>
              <w:t xml:space="preserve"> </w:t>
            </w:r>
            <w:r>
              <w:rPr>
                <w:color w:val="auto"/>
                <w:spacing w:val="4"/>
                <w:highlight w:val="none"/>
              </w:rPr>
              <w:t>渔业</w:t>
            </w:r>
          </w:p>
        </w:tc>
        <w:tc>
          <w:tcPr>
            <w:tcW w:w="1485" w:type="dxa"/>
            <w:vAlign w:val="top"/>
          </w:tcPr>
          <w:p w14:paraId="797BFF4D">
            <w:pPr>
              <w:pStyle w:val="16"/>
              <w:spacing w:before="163" w:line="228" w:lineRule="auto"/>
              <w:ind w:left="174"/>
              <w:rPr>
                <w:color w:val="auto"/>
                <w:highlight w:val="none"/>
              </w:rPr>
            </w:pPr>
            <w:r>
              <w:rPr>
                <w:color w:val="auto"/>
                <w:spacing w:val="5"/>
                <w:highlight w:val="none"/>
              </w:rPr>
              <w:t>营业收入(Y)</w:t>
            </w:r>
          </w:p>
        </w:tc>
        <w:tc>
          <w:tcPr>
            <w:tcW w:w="821" w:type="dxa"/>
            <w:vAlign w:val="top"/>
          </w:tcPr>
          <w:p w14:paraId="40E0188E">
            <w:pPr>
              <w:pStyle w:val="16"/>
              <w:spacing w:before="163" w:line="229" w:lineRule="auto"/>
              <w:ind w:left="209"/>
              <w:rPr>
                <w:color w:val="auto"/>
                <w:highlight w:val="none"/>
              </w:rPr>
            </w:pPr>
            <w:r>
              <w:rPr>
                <w:color w:val="auto"/>
                <w:spacing w:val="2"/>
                <w:highlight w:val="none"/>
              </w:rPr>
              <w:t>万元</w:t>
            </w:r>
          </w:p>
        </w:tc>
        <w:tc>
          <w:tcPr>
            <w:tcW w:w="1261" w:type="dxa"/>
            <w:vAlign w:val="top"/>
          </w:tcPr>
          <w:p w14:paraId="7198684C">
            <w:pPr>
              <w:pStyle w:val="16"/>
              <w:spacing w:before="163" w:line="267" w:lineRule="exact"/>
              <w:ind w:left="213"/>
              <w:rPr>
                <w:color w:val="auto"/>
                <w:highlight w:val="none"/>
              </w:rPr>
            </w:pPr>
            <w:r>
              <w:rPr>
                <w:color w:val="auto"/>
                <w:spacing w:val="4"/>
                <w:position w:val="1"/>
                <w:highlight w:val="none"/>
              </w:rPr>
              <w:t>Y≥20000</w:t>
            </w:r>
          </w:p>
        </w:tc>
        <w:tc>
          <w:tcPr>
            <w:tcW w:w="1848" w:type="dxa"/>
            <w:vAlign w:val="top"/>
          </w:tcPr>
          <w:p w14:paraId="2CAC2E2F">
            <w:pPr>
              <w:pStyle w:val="16"/>
              <w:spacing w:before="163" w:line="265" w:lineRule="exact"/>
              <w:ind w:left="303"/>
              <w:rPr>
                <w:color w:val="auto"/>
                <w:highlight w:val="none"/>
              </w:rPr>
            </w:pPr>
            <w:r>
              <w:rPr>
                <w:color w:val="auto"/>
                <w:spacing w:val="4"/>
                <w:position w:val="1"/>
                <w:highlight w:val="none"/>
              </w:rPr>
              <w:t>500≤Y＜20000</w:t>
            </w:r>
          </w:p>
        </w:tc>
        <w:tc>
          <w:tcPr>
            <w:tcW w:w="1648" w:type="dxa"/>
            <w:vAlign w:val="top"/>
          </w:tcPr>
          <w:p w14:paraId="119651DD">
            <w:pPr>
              <w:pStyle w:val="16"/>
              <w:spacing w:before="163" w:line="265" w:lineRule="exact"/>
              <w:ind w:left="363"/>
              <w:rPr>
                <w:color w:val="auto"/>
                <w:highlight w:val="none"/>
              </w:rPr>
            </w:pPr>
            <w:r>
              <w:rPr>
                <w:color w:val="auto"/>
                <w:spacing w:val="4"/>
                <w:position w:val="1"/>
                <w:highlight w:val="none"/>
              </w:rPr>
              <w:t>50≤Y＜500</w:t>
            </w:r>
          </w:p>
        </w:tc>
        <w:tc>
          <w:tcPr>
            <w:tcW w:w="994" w:type="dxa"/>
            <w:vAlign w:val="top"/>
          </w:tcPr>
          <w:p w14:paraId="40305496">
            <w:pPr>
              <w:pStyle w:val="16"/>
              <w:spacing w:before="163" w:line="269" w:lineRule="exact"/>
              <w:ind w:left="237"/>
              <w:rPr>
                <w:color w:val="auto"/>
                <w:highlight w:val="none"/>
              </w:rPr>
            </w:pPr>
            <w:r>
              <w:rPr>
                <w:color w:val="auto"/>
                <w:spacing w:val="4"/>
                <w:position w:val="1"/>
                <w:highlight w:val="none"/>
              </w:rPr>
              <w:t>Y＜50</w:t>
            </w:r>
          </w:p>
        </w:tc>
      </w:tr>
      <w:tr w14:paraId="3B285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362" w:type="dxa"/>
            <w:vMerge w:val="restart"/>
            <w:tcBorders>
              <w:bottom w:val="nil"/>
            </w:tcBorders>
            <w:vAlign w:val="top"/>
          </w:tcPr>
          <w:p w14:paraId="4492863F">
            <w:pPr>
              <w:spacing w:line="291" w:lineRule="auto"/>
              <w:rPr>
                <w:rFonts w:ascii="Arial"/>
                <w:color w:val="auto"/>
                <w:sz w:val="21"/>
                <w:highlight w:val="none"/>
              </w:rPr>
            </w:pPr>
          </w:p>
          <w:p w14:paraId="1ED70AA0">
            <w:pPr>
              <w:pStyle w:val="16"/>
              <w:spacing w:before="65" w:line="241" w:lineRule="auto"/>
              <w:ind w:left="119"/>
              <w:rPr>
                <w:color w:val="auto"/>
                <w:highlight w:val="none"/>
              </w:rPr>
            </w:pPr>
            <w:r>
              <w:rPr>
                <w:color w:val="auto"/>
                <w:spacing w:val="2"/>
                <w:highlight w:val="none"/>
              </w:rPr>
              <w:t>工业</w:t>
            </w:r>
            <w:r>
              <w:rPr>
                <w:color w:val="auto"/>
                <w:spacing w:val="12"/>
                <w:highlight w:val="none"/>
              </w:rPr>
              <w:t xml:space="preserve"> </w:t>
            </w:r>
            <w:r>
              <w:rPr>
                <w:color w:val="auto"/>
                <w:spacing w:val="2"/>
                <w:highlight w:val="none"/>
              </w:rPr>
              <w:t>*</w:t>
            </w:r>
          </w:p>
        </w:tc>
        <w:tc>
          <w:tcPr>
            <w:tcW w:w="1485" w:type="dxa"/>
            <w:vAlign w:val="top"/>
          </w:tcPr>
          <w:p w14:paraId="2E1B8F9D">
            <w:pPr>
              <w:pStyle w:val="16"/>
              <w:spacing w:before="99" w:line="229" w:lineRule="auto"/>
              <w:ind w:left="170"/>
              <w:rPr>
                <w:color w:val="auto"/>
                <w:highlight w:val="none"/>
              </w:rPr>
            </w:pPr>
            <w:r>
              <w:rPr>
                <w:color w:val="auto"/>
                <w:spacing w:val="6"/>
                <w:highlight w:val="none"/>
              </w:rPr>
              <w:t>从业人员(X)</w:t>
            </w:r>
          </w:p>
        </w:tc>
        <w:tc>
          <w:tcPr>
            <w:tcW w:w="821" w:type="dxa"/>
            <w:vAlign w:val="top"/>
          </w:tcPr>
          <w:p w14:paraId="4211E735">
            <w:pPr>
              <w:pStyle w:val="16"/>
              <w:spacing w:before="100" w:line="231" w:lineRule="auto"/>
              <w:ind w:left="312"/>
              <w:rPr>
                <w:color w:val="auto"/>
                <w:highlight w:val="none"/>
              </w:rPr>
            </w:pPr>
            <w:r>
              <w:rPr>
                <w:color w:val="auto"/>
                <w:highlight w:val="none"/>
              </w:rPr>
              <w:t>人</w:t>
            </w:r>
          </w:p>
        </w:tc>
        <w:tc>
          <w:tcPr>
            <w:tcW w:w="1261" w:type="dxa"/>
            <w:vAlign w:val="top"/>
          </w:tcPr>
          <w:p w14:paraId="1A59F42E">
            <w:pPr>
              <w:pStyle w:val="16"/>
              <w:spacing w:before="99" w:line="267" w:lineRule="exact"/>
              <w:ind w:left="264"/>
              <w:rPr>
                <w:color w:val="auto"/>
                <w:highlight w:val="none"/>
              </w:rPr>
            </w:pPr>
            <w:r>
              <w:rPr>
                <w:color w:val="auto"/>
                <w:spacing w:val="5"/>
                <w:position w:val="1"/>
                <w:highlight w:val="none"/>
              </w:rPr>
              <w:t>X≥1000</w:t>
            </w:r>
          </w:p>
        </w:tc>
        <w:tc>
          <w:tcPr>
            <w:tcW w:w="1848" w:type="dxa"/>
            <w:vAlign w:val="top"/>
          </w:tcPr>
          <w:p w14:paraId="324E4E15">
            <w:pPr>
              <w:pStyle w:val="16"/>
              <w:spacing w:before="99" w:line="266" w:lineRule="exact"/>
              <w:ind w:left="303"/>
              <w:rPr>
                <w:color w:val="auto"/>
                <w:highlight w:val="none"/>
              </w:rPr>
            </w:pPr>
            <w:r>
              <w:rPr>
                <w:color w:val="auto"/>
                <w:spacing w:val="4"/>
                <w:position w:val="1"/>
                <w:highlight w:val="none"/>
              </w:rPr>
              <w:t>300≤X＜1000</w:t>
            </w:r>
          </w:p>
        </w:tc>
        <w:tc>
          <w:tcPr>
            <w:tcW w:w="1648" w:type="dxa"/>
            <w:vAlign w:val="top"/>
          </w:tcPr>
          <w:p w14:paraId="6E4AE4E8">
            <w:pPr>
              <w:pStyle w:val="16"/>
              <w:spacing w:before="99" w:line="266" w:lineRule="exact"/>
              <w:ind w:left="362"/>
              <w:rPr>
                <w:color w:val="auto"/>
                <w:highlight w:val="none"/>
              </w:rPr>
            </w:pPr>
            <w:r>
              <w:rPr>
                <w:color w:val="auto"/>
                <w:spacing w:val="4"/>
                <w:position w:val="1"/>
                <w:highlight w:val="none"/>
              </w:rPr>
              <w:t>20≤X＜300</w:t>
            </w:r>
          </w:p>
        </w:tc>
        <w:tc>
          <w:tcPr>
            <w:tcW w:w="994" w:type="dxa"/>
            <w:vAlign w:val="top"/>
          </w:tcPr>
          <w:p w14:paraId="451A490B">
            <w:pPr>
              <w:pStyle w:val="16"/>
              <w:spacing w:before="99" w:line="270" w:lineRule="exact"/>
              <w:ind w:left="237"/>
              <w:rPr>
                <w:color w:val="auto"/>
                <w:highlight w:val="none"/>
              </w:rPr>
            </w:pPr>
            <w:r>
              <w:rPr>
                <w:color w:val="auto"/>
                <w:spacing w:val="4"/>
                <w:position w:val="1"/>
                <w:highlight w:val="none"/>
              </w:rPr>
              <w:t>X＜20</w:t>
            </w:r>
          </w:p>
        </w:tc>
      </w:tr>
      <w:tr w14:paraId="2679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62" w:type="dxa"/>
            <w:vMerge w:val="continue"/>
            <w:tcBorders>
              <w:top w:val="nil"/>
            </w:tcBorders>
            <w:vAlign w:val="top"/>
          </w:tcPr>
          <w:p w14:paraId="76DDBE61">
            <w:pPr>
              <w:rPr>
                <w:rFonts w:ascii="Arial"/>
                <w:color w:val="auto"/>
                <w:sz w:val="21"/>
                <w:highlight w:val="none"/>
              </w:rPr>
            </w:pPr>
          </w:p>
        </w:tc>
        <w:tc>
          <w:tcPr>
            <w:tcW w:w="1485" w:type="dxa"/>
            <w:vAlign w:val="top"/>
          </w:tcPr>
          <w:p w14:paraId="5C277DBE">
            <w:pPr>
              <w:pStyle w:val="16"/>
              <w:spacing w:before="151" w:line="228" w:lineRule="auto"/>
              <w:ind w:left="174"/>
              <w:rPr>
                <w:color w:val="auto"/>
                <w:highlight w:val="none"/>
              </w:rPr>
            </w:pPr>
            <w:r>
              <w:rPr>
                <w:color w:val="auto"/>
                <w:spacing w:val="5"/>
                <w:highlight w:val="none"/>
              </w:rPr>
              <w:t>营业收入(Y)</w:t>
            </w:r>
          </w:p>
        </w:tc>
        <w:tc>
          <w:tcPr>
            <w:tcW w:w="821" w:type="dxa"/>
            <w:vAlign w:val="top"/>
          </w:tcPr>
          <w:p w14:paraId="2333F81C">
            <w:pPr>
              <w:pStyle w:val="16"/>
              <w:spacing w:before="153" w:line="229" w:lineRule="auto"/>
              <w:ind w:left="209"/>
              <w:rPr>
                <w:color w:val="auto"/>
                <w:highlight w:val="none"/>
              </w:rPr>
            </w:pPr>
            <w:r>
              <w:rPr>
                <w:color w:val="auto"/>
                <w:spacing w:val="2"/>
                <w:highlight w:val="none"/>
              </w:rPr>
              <w:t>万元</w:t>
            </w:r>
          </w:p>
        </w:tc>
        <w:tc>
          <w:tcPr>
            <w:tcW w:w="1261" w:type="dxa"/>
            <w:vAlign w:val="top"/>
          </w:tcPr>
          <w:p w14:paraId="6159CB1B">
            <w:pPr>
              <w:pStyle w:val="16"/>
              <w:spacing w:before="153" w:line="267" w:lineRule="exact"/>
              <w:ind w:left="213"/>
              <w:rPr>
                <w:color w:val="auto"/>
                <w:highlight w:val="none"/>
              </w:rPr>
            </w:pPr>
            <w:r>
              <w:rPr>
                <w:color w:val="auto"/>
                <w:spacing w:val="4"/>
                <w:position w:val="1"/>
                <w:highlight w:val="none"/>
              </w:rPr>
              <w:t>Y≥40000</w:t>
            </w:r>
          </w:p>
        </w:tc>
        <w:tc>
          <w:tcPr>
            <w:tcW w:w="1848" w:type="dxa"/>
            <w:vAlign w:val="top"/>
          </w:tcPr>
          <w:p w14:paraId="2AB99119">
            <w:pPr>
              <w:pStyle w:val="16"/>
              <w:spacing w:before="153" w:line="265" w:lineRule="exact"/>
              <w:ind w:left="196"/>
              <w:rPr>
                <w:color w:val="auto"/>
                <w:highlight w:val="none"/>
              </w:rPr>
            </w:pPr>
            <w:r>
              <w:rPr>
                <w:color w:val="auto"/>
                <w:spacing w:val="4"/>
                <w:position w:val="1"/>
                <w:highlight w:val="none"/>
              </w:rPr>
              <w:t>2000≤Y＜40000</w:t>
            </w:r>
          </w:p>
        </w:tc>
        <w:tc>
          <w:tcPr>
            <w:tcW w:w="1648" w:type="dxa"/>
            <w:vAlign w:val="top"/>
          </w:tcPr>
          <w:p w14:paraId="78B19A39">
            <w:pPr>
              <w:pStyle w:val="16"/>
              <w:spacing w:before="153" w:line="265" w:lineRule="exact"/>
              <w:ind w:left="258"/>
              <w:rPr>
                <w:color w:val="auto"/>
                <w:highlight w:val="none"/>
              </w:rPr>
            </w:pPr>
            <w:r>
              <w:rPr>
                <w:color w:val="auto"/>
                <w:spacing w:val="4"/>
                <w:position w:val="1"/>
                <w:highlight w:val="none"/>
              </w:rPr>
              <w:t>300≤Y＜2000</w:t>
            </w:r>
          </w:p>
        </w:tc>
        <w:tc>
          <w:tcPr>
            <w:tcW w:w="994" w:type="dxa"/>
            <w:vAlign w:val="top"/>
          </w:tcPr>
          <w:p w14:paraId="2E8E96CE">
            <w:pPr>
              <w:pStyle w:val="16"/>
              <w:spacing w:before="153" w:line="269" w:lineRule="exact"/>
              <w:ind w:left="184"/>
              <w:rPr>
                <w:color w:val="auto"/>
                <w:highlight w:val="none"/>
              </w:rPr>
            </w:pPr>
            <w:r>
              <w:rPr>
                <w:color w:val="auto"/>
                <w:spacing w:val="5"/>
                <w:position w:val="1"/>
                <w:highlight w:val="none"/>
              </w:rPr>
              <w:t>Y＜300</w:t>
            </w:r>
          </w:p>
        </w:tc>
      </w:tr>
      <w:tr w14:paraId="09500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62" w:type="dxa"/>
            <w:vMerge w:val="restart"/>
            <w:tcBorders>
              <w:bottom w:val="nil"/>
            </w:tcBorders>
            <w:vAlign w:val="top"/>
          </w:tcPr>
          <w:p w14:paraId="70DDD08C">
            <w:pPr>
              <w:spacing w:line="306" w:lineRule="auto"/>
              <w:rPr>
                <w:rFonts w:ascii="Arial"/>
                <w:color w:val="auto"/>
                <w:sz w:val="21"/>
                <w:highlight w:val="none"/>
              </w:rPr>
            </w:pPr>
          </w:p>
          <w:p w14:paraId="205D04AA">
            <w:pPr>
              <w:pStyle w:val="16"/>
              <w:spacing w:before="65" w:line="229" w:lineRule="auto"/>
              <w:ind w:left="119"/>
              <w:rPr>
                <w:color w:val="auto"/>
                <w:highlight w:val="none"/>
              </w:rPr>
            </w:pPr>
            <w:r>
              <w:rPr>
                <w:color w:val="auto"/>
                <w:spacing w:val="6"/>
                <w:highlight w:val="none"/>
              </w:rPr>
              <w:t>建筑业</w:t>
            </w:r>
          </w:p>
        </w:tc>
        <w:tc>
          <w:tcPr>
            <w:tcW w:w="1485" w:type="dxa"/>
            <w:vAlign w:val="top"/>
          </w:tcPr>
          <w:p w14:paraId="4EF5D900">
            <w:pPr>
              <w:pStyle w:val="16"/>
              <w:spacing w:before="123" w:line="228" w:lineRule="auto"/>
              <w:ind w:left="174"/>
              <w:rPr>
                <w:color w:val="auto"/>
                <w:highlight w:val="none"/>
              </w:rPr>
            </w:pPr>
            <w:r>
              <w:rPr>
                <w:color w:val="auto"/>
                <w:spacing w:val="5"/>
                <w:highlight w:val="none"/>
              </w:rPr>
              <w:t>营业收入(Y)</w:t>
            </w:r>
          </w:p>
        </w:tc>
        <w:tc>
          <w:tcPr>
            <w:tcW w:w="821" w:type="dxa"/>
            <w:vAlign w:val="top"/>
          </w:tcPr>
          <w:p w14:paraId="02F586F4">
            <w:pPr>
              <w:pStyle w:val="16"/>
              <w:spacing w:before="123" w:line="229" w:lineRule="auto"/>
              <w:ind w:left="209"/>
              <w:rPr>
                <w:color w:val="auto"/>
                <w:highlight w:val="none"/>
              </w:rPr>
            </w:pPr>
            <w:r>
              <w:rPr>
                <w:color w:val="auto"/>
                <w:spacing w:val="2"/>
                <w:highlight w:val="none"/>
              </w:rPr>
              <w:t>万元</w:t>
            </w:r>
          </w:p>
        </w:tc>
        <w:tc>
          <w:tcPr>
            <w:tcW w:w="1261" w:type="dxa"/>
            <w:vAlign w:val="top"/>
          </w:tcPr>
          <w:p w14:paraId="1B01AC67">
            <w:pPr>
              <w:pStyle w:val="16"/>
              <w:spacing w:before="123" w:line="267" w:lineRule="exact"/>
              <w:ind w:left="213"/>
              <w:rPr>
                <w:color w:val="auto"/>
                <w:highlight w:val="none"/>
              </w:rPr>
            </w:pPr>
            <w:r>
              <w:rPr>
                <w:color w:val="auto"/>
                <w:spacing w:val="4"/>
                <w:position w:val="1"/>
                <w:highlight w:val="none"/>
              </w:rPr>
              <w:t>Y≥80000</w:t>
            </w:r>
          </w:p>
        </w:tc>
        <w:tc>
          <w:tcPr>
            <w:tcW w:w="1848" w:type="dxa"/>
            <w:vAlign w:val="top"/>
          </w:tcPr>
          <w:p w14:paraId="6F67502F">
            <w:pPr>
              <w:pStyle w:val="16"/>
              <w:spacing w:before="123" w:line="265" w:lineRule="exact"/>
              <w:ind w:left="195"/>
              <w:rPr>
                <w:color w:val="auto"/>
                <w:highlight w:val="none"/>
              </w:rPr>
            </w:pPr>
            <w:r>
              <w:rPr>
                <w:color w:val="auto"/>
                <w:spacing w:val="5"/>
                <w:position w:val="1"/>
                <w:highlight w:val="none"/>
              </w:rPr>
              <w:t>6000≤Y＜80000</w:t>
            </w:r>
          </w:p>
        </w:tc>
        <w:tc>
          <w:tcPr>
            <w:tcW w:w="1648" w:type="dxa"/>
            <w:vAlign w:val="top"/>
          </w:tcPr>
          <w:p w14:paraId="0C9A574C">
            <w:pPr>
              <w:pStyle w:val="16"/>
              <w:spacing w:before="123" w:line="265" w:lineRule="exact"/>
              <w:ind w:left="258"/>
              <w:rPr>
                <w:color w:val="auto"/>
                <w:highlight w:val="none"/>
              </w:rPr>
            </w:pPr>
            <w:r>
              <w:rPr>
                <w:color w:val="auto"/>
                <w:spacing w:val="4"/>
                <w:position w:val="1"/>
                <w:highlight w:val="none"/>
              </w:rPr>
              <w:t>300≤Y＜6000</w:t>
            </w:r>
          </w:p>
        </w:tc>
        <w:tc>
          <w:tcPr>
            <w:tcW w:w="994" w:type="dxa"/>
            <w:vAlign w:val="top"/>
          </w:tcPr>
          <w:p w14:paraId="5C0E67A3">
            <w:pPr>
              <w:pStyle w:val="16"/>
              <w:spacing w:before="123" w:line="269" w:lineRule="exact"/>
              <w:ind w:left="184"/>
              <w:rPr>
                <w:color w:val="auto"/>
                <w:highlight w:val="none"/>
              </w:rPr>
            </w:pPr>
            <w:r>
              <w:rPr>
                <w:color w:val="auto"/>
                <w:spacing w:val="5"/>
                <w:position w:val="1"/>
                <w:highlight w:val="none"/>
              </w:rPr>
              <w:t>Y＜300</w:t>
            </w:r>
          </w:p>
        </w:tc>
      </w:tr>
      <w:tr w14:paraId="36668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362" w:type="dxa"/>
            <w:vMerge w:val="continue"/>
            <w:tcBorders>
              <w:top w:val="nil"/>
            </w:tcBorders>
            <w:vAlign w:val="top"/>
          </w:tcPr>
          <w:p w14:paraId="010C77D7">
            <w:pPr>
              <w:rPr>
                <w:rFonts w:ascii="Arial"/>
                <w:color w:val="auto"/>
                <w:sz w:val="21"/>
                <w:highlight w:val="none"/>
              </w:rPr>
            </w:pPr>
          </w:p>
        </w:tc>
        <w:tc>
          <w:tcPr>
            <w:tcW w:w="1485" w:type="dxa"/>
            <w:vAlign w:val="top"/>
          </w:tcPr>
          <w:p w14:paraId="6A8F23A7">
            <w:pPr>
              <w:pStyle w:val="16"/>
              <w:spacing w:before="142" w:line="228" w:lineRule="auto"/>
              <w:ind w:left="177"/>
              <w:rPr>
                <w:color w:val="auto"/>
                <w:highlight w:val="none"/>
              </w:rPr>
            </w:pPr>
            <w:r>
              <w:rPr>
                <w:color w:val="auto"/>
                <w:spacing w:val="5"/>
                <w:highlight w:val="none"/>
              </w:rPr>
              <w:t>资产总额(Z)</w:t>
            </w:r>
          </w:p>
        </w:tc>
        <w:tc>
          <w:tcPr>
            <w:tcW w:w="821" w:type="dxa"/>
            <w:vAlign w:val="top"/>
          </w:tcPr>
          <w:p w14:paraId="0AC25992">
            <w:pPr>
              <w:pStyle w:val="16"/>
              <w:spacing w:before="144" w:line="229" w:lineRule="auto"/>
              <w:ind w:left="209"/>
              <w:rPr>
                <w:color w:val="auto"/>
                <w:highlight w:val="none"/>
              </w:rPr>
            </w:pPr>
            <w:r>
              <w:rPr>
                <w:color w:val="auto"/>
                <w:spacing w:val="2"/>
                <w:highlight w:val="none"/>
              </w:rPr>
              <w:t>万元</w:t>
            </w:r>
          </w:p>
        </w:tc>
        <w:tc>
          <w:tcPr>
            <w:tcW w:w="1261" w:type="dxa"/>
            <w:vAlign w:val="top"/>
          </w:tcPr>
          <w:p w14:paraId="1390D7A4">
            <w:pPr>
              <w:pStyle w:val="16"/>
              <w:spacing w:before="144" w:line="267" w:lineRule="exact"/>
              <w:ind w:left="215"/>
              <w:rPr>
                <w:color w:val="auto"/>
                <w:highlight w:val="none"/>
              </w:rPr>
            </w:pPr>
            <w:r>
              <w:rPr>
                <w:color w:val="auto"/>
                <w:spacing w:val="4"/>
                <w:position w:val="1"/>
                <w:highlight w:val="none"/>
              </w:rPr>
              <w:t>Z≥80000</w:t>
            </w:r>
          </w:p>
        </w:tc>
        <w:tc>
          <w:tcPr>
            <w:tcW w:w="1848" w:type="dxa"/>
            <w:vAlign w:val="top"/>
          </w:tcPr>
          <w:p w14:paraId="0696D42D">
            <w:pPr>
              <w:pStyle w:val="16"/>
              <w:spacing w:before="144" w:line="266" w:lineRule="exact"/>
              <w:ind w:left="198"/>
              <w:rPr>
                <w:color w:val="auto"/>
                <w:highlight w:val="none"/>
              </w:rPr>
            </w:pPr>
            <w:r>
              <w:rPr>
                <w:color w:val="auto"/>
                <w:spacing w:val="4"/>
                <w:position w:val="1"/>
                <w:highlight w:val="none"/>
              </w:rPr>
              <w:t>5000≤Z＜80000</w:t>
            </w:r>
          </w:p>
        </w:tc>
        <w:tc>
          <w:tcPr>
            <w:tcW w:w="1648" w:type="dxa"/>
            <w:vAlign w:val="top"/>
          </w:tcPr>
          <w:p w14:paraId="4D68814F">
            <w:pPr>
              <w:pStyle w:val="16"/>
              <w:spacing w:before="144" w:line="266" w:lineRule="exact"/>
              <w:ind w:left="258"/>
              <w:rPr>
                <w:color w:val="auto"/>
                <w:highlight w:val="none"/>
              </w:rPr>
            </w:pPr>
            <w:r>
              <w:rPr>
                <w:color w:val="auto"/>
                <w:spacing w:val="4"/>
                <w:position w:val="1"/>
                <w:highlight w:val="none"/>
              </w:rPr>
              <w:t>300≤Z＜5000</w:t>
            </w:r>
          </w:p>
        </w:tc>
        <w:tc>
          <w:tcPr>
            <w:tcW w:w="994" w:type="dxa"/>
            <w:vAlign w:val="top"/>
          </w:tcPr>
          <w:p w14:paraId="00C59868">
            <w:pPr>
              <w:pStyle w:val="16"/>
              <w:spacing w:before="144" w:line="269" w:lineRule="exact"/>
              <w:ind w:left="186"/>
              <w:rPr>
                <w:color w:val="auto"/>
                <w:highlight w:val="none"/>
              </w:rPr>
            </w:pPr>
            <w:r>
              <w:rPr>
                <w:color w:val="auto"/>
                <w:spacing w:val="4"/>
                <w:position w:val="1"/>
                <w:highlight w:val="none"/>
              </w:rPr>
              <w:t>Z＜300</w:t>
            </w:r>
          </w:p>
        </w:tc>
      </w:tr>
      <w:tr w14:paraId="486F7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362" w:type="dxa"/>
            <w:vMerge w:val="restart"/>
            <w:tcBorders>
              <w:bottom w:val="nil"/>
            </w:tcBorders>
            <w:vAlign w:val="top"/>
          </w:tcPr>
          <w:p w14:paraId="62E54E7A">
            <w:pPr>
              <w:spacing w:line="262" w:lineRule="auto"/>
              <w:rPr>
                <w:rFonts w:ascii="Arial"/>
                <w:color w:val="auto"/>
                <w:sz w:val="21"/>
                <w:highlight w:val="none"/>
              </w:rPr>
            </w:pPr>
          </w:p>
          <w:p w14:paraId="66D3A548">
            <w:pPr>
              <w:pStyle w:val="16"/>
              <w:spacing w:before="65" w:line="229" w:lineRule="auto"/>
              <w:ind w:left="115"/>
              <w:rPr>
                <w:color w:val="auto"/>
                <w:highlight w:val="none"/>
              </w:rPr>
            </w:pPr>
            <w:r>
              <w:rPr>
                <w:color w:val="auto"/>
                <w:spacing w:val="7"/>
                <w:highlight w:val="none"/>
              </w:rPr>
              <w:t>批发业</w:t>
            </w:r>
          </w:p>
        </w:tc>
        <w:tc>
          <w:tcPr>
            <w:tcW w:w="1485" w:type="dxa"/>
            <w:vAlign w:val="top"/>
          </w:tcPr>
          <w:p w14:paraId="083B5602">
            <w:pPr>
              <w:pStyle w:val="16"/>
              <w:spacing w:before="79" w:line="229" w:lineRule="auto"/>
              <w:ind w:left="170"/>
              <w:rPr>
                <w:color w:val="auto"/>
                <w:highlight w:val="none"/>
              </w:rPr>
            </w:pPr>
            <w:r>
              <w:rPr>
                <w:color w:val="auto"/>
                <w:spacing w:val="6"/>
                <w:highlight w:val="none"/>
              </w:rPr>
              <w:t>从业人员(X)</w:t>
            </w:r>
          </w:p>
        </w:tc>
        <w:tc>
          <w:tcPr>
            <w:tcW w:w="821" w:type="dxa"/>
            <w:vAlign w:val="top"/>
          </w:tcPr>
          <w:p w14:paraId="549A5B9E">
            <w:pPr>
              <w:pStyle w:val="16"/>
              <w:spacing w:before="80" w:line="231" w:lineRule="auto"/>
              <w:ind w:left="312"/>
              <w:rPr>
                <w:color w:val="auto"/>
                <w:highlight w:val="none"/>
              </w:rPr>
            </w:pPr>
            <w:r>
              <w:rPr>
                <w:color w:val="auto"/>
                <w:highlight w:val="none"/>
              </w:rPr>
              <w:t>人</w:t>
            </w:r>
          </w:p>
        </w:tc>
        <w:tc>
          <w:tcPr>
            <w:tcW w:w="1261" w:type="dxa"/>
            <w:vAlign w:val="top"/>
          </w:tcPr>
          <w:p w14:paraId="775E6C61">
            <w:pPr>
              <w:pStyle w:val="16"/>
              <w:spacing w:before="79" w:line="267" w:lineRule="exact"/>
              <w:ind w:left="317"/>
              <w:rPr>
                <w:color w:val="auto"/>
                <w:highlight w:val="none"/>
              </w:rPr>
            </w:pPr>
            <w:r>
              <w:rPr>
                <w:color w:val="auto"/>
                <w:spacing w:val="5"/>
                <w:position w:val="1"/>
                <w:highlight w:val="none"/>
              </w:rPr>
              <w:t>X≥200</w:t>
            </w:r>
          </w:p>
        </w:tc>
        <w:tc>
          <w:tcPr>
            <w:tcW w:w="1848" w:type="dxa"/>
            <w:vAlign w:val="top"/>
          </w:tcPr>
          <w:p w14:paraId="0E025FD9">
            <w:pPr>
              <w:pStyle w:val="16"/>
              <w:spacing w:before="79" w:line="266" w:lineRule="exact"/>
              <w:ind w:left="407"/>
              <w:rPr>
                <w:color w:val="auto"/>
                <w:highlight w:val="none"/>
              </w:rPr>
            </w:pPr>
            <w:r>
              <w:rPr>
                <w:color w:val="auto"/>
                <w:spacing w:val="4"/>
                <w:position w:val="1"/>
                <w:highlight w:val="none"/>
              </w:rPr>
              <w:t>20≤X＜200</w:t>
            </w:r>
          </w:p>
        </w:tc>
        <w:tc>
          <w:tcPr>
            <w:tcW w:w="1648" w:type="dxa"/>
            <w:vAlign w:val="top"/>
          </w:tcPr>
          <w:p w14:paraId="7B8B2AA9">
            <w:pPr>
              <w:pStyle w:val="16"/>
              <w:spacing w:before="79" w:line="266" w:lineRule="exact"/>
              <w:ind w:left="466"/>
              <w:rPr>
                <w:color w:val="auto"/>
                <w:highlight w:val="none"/>
              </w:rPr>
            </w:pPr>
            <w:r>
              <w:rPr>
                <w:color w:val="auto"/>
                <w:spacing w:val="4"/>
                <w:position w:val="1"/>
                <w:highlight w:val="none"/>
              </w:rPr>
              <w:t>5≤X＜20</w:t>
            </w:r>
          </w:p>
        </w:tc>
        <w:tc>
          <w:tcPr>
            <w:tcW w:w="994" w:type="dxa"/>
            <w:vAlign w:val="top"/>
          </w:tcPr>
          <w:p w14:paraId="38406BE7">
            <w:pPr>
              <w:pStyle w:val="16"/>
              <w:spacing w:before="79" w:line="270" w:lineRule="exact"/>
              <w:ind w:left="290"/>
              <w:rPr>
                <w:color w:val="auto"/>
                <w:highlight w:val="none"/>
              </w:rPr>
            </w:pPr>
            <w:r>
              <w:rPr>
                <w:color w:val="auto"/>
                <w:spacing w:val="4"/>
                <w:position w:val="1"/>
                <w:highlight w:val="none"/>
              </w:rPr>
              <w:t>X＜5</w:t>
            </w:r>
          </w:p>
        </w:tc>
      </w:tr>
      <w:tr w14:paraId="3395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362" w:type="dxa"/>
            <w:vMerge w:val="continue"/>
            <w:tcBorders>
              <w:top w:val="nil"/>
            </w:tcBorders>
            <w:vAlign w:val="top"/>
          </w:tcPr>
          <w:p w14:paraId="2AA5EDAC">
            <w:pPr>
              <w:rPr>
                <w:rFonts w:ascii="Arial"/>
                <w:color w:val="auto"/>
                <w:sz w:val="21"/>
                <w:highlight w:val="none"/>
              </w:rPr>
            </w:pPr>
          </w:p>
        </w:tc>
        <w:tc>
          <w:tcPr>
            <w:tcW w:w="1485" w:type="dxa"/>
            <w:vAlign w:val="top"/>
          </w:tcPr>
          <w:p w14:paraId="4EDF6546">
            <w:pPr>
              <w:pStyle w:val="16"/>
              <w:spacing w:before="144" w:line="228" w:lineRule="auto"/>
              <w:ind w:left="174"/>
              <w:rPr>
                <w:color w:val="auto"/>
                <w:highlight w:val="none"/>
              </w:rPr>
            </w:pPr>
            <w:r>
              <w:rPr>
                <w:color w:val="auto"/>
                <w:spacing w:val="5"/>
                <w:highlight w:val="none"/>
              </w:rPr>
              <w:t>营业收入(Y)</w:t>
            </w:r>
          </w:p>
        </w:tc>
        <w:tc>
          <w:tcPr>
            <w:tcW w:w="821" w:type="dxa"/>
            <w:vAlign w:val="top"/>
          </w:tcPr>
          <w:p w14:paraId="04D916C7">
            <w:pPr>
              <w:pStyle w:val="16"/>
              <w:spacing w:before="146" w:line="229" w:lineRule="auto"/>
              <w:ind w:left="209"/>
              <w:rPr>
                <w:color w:val="auto"/>
                <w:highlight w:val="none"/>
              </w:rPr>
            </w:pPr>
            <w:r>
              <w:rPr>
                <w:color w:val="auto"/>
                <w:spacing w:val="2"/>
                <w:highlight w:val="none"/>
              </w:rPr>
              <w:t>万元</w:t>
            </w:r>
          </w:p>
        </w:tc>
        <w:tc>
          <w:tcPr>
            <w:tcW w:w="1261" w:type="dxa"/>
            <w:vAlign w:val="top"/>
          </w:tcPr>
          <w:p w14:paraId="461871ED">
            <w:pPr>
              <w:pStyle w:val="16"/>
              <w:spacing w:before="146" w:line="267" w:lineRule="exact"/>
              <w:ind w:left="213"/>
              <w:rPr>
                <w:color w:val="auto"/>
                <w:highlight w:val="none"/>
              </w:rPr>
            </w:pPr>
            <w:r>
              <w:rPr>
                <w:color w:val="auto"/>
                <w:spacing w:val="4"/>
                <w:position w:val="1"/>
                <w:highlight w:val="none"/>
              </w:rPr>
              <w:t>Y≥40000</w:t>
            </w:r>
          </w:p>
        </w:tc>
        <w:tc>
          <w:tcPr>
            <w:tcW w:w="1848" w:type="dxa"/>
            <w:vAlign w:val="top"/>
          </w:tcPr>
          <w:p w14:paraId="187EE6ED">
            <w:pPr>
              <w:pStyle w:val="16"/>
              <w:spacing w:before="146" w:line="266" w:lineRule="exact"/>
              <w:ind w:left="198"/>
              <w:rPr>
                <w:color w:val="auto"/>
                <w:highlight w:val="none"/>
              </w:rPr>
            </w:pPr>
            <w:r>
              <w:rPr>
                <w:color w:val="auto"/>
                <w:spacing w:val="4"/>
                <w:position w:val="1"/>
                <w:highlight w:val="none"/>
              </w:rPr>
              <w:t>5000≤Y＜40000</w:t>
            </w:r>
          </w:p>
        </w:tc>
        <w:tc>
          <w:tcPr>
            <w:tcW w:w="1648" w:type="dxa"/>
            <w:vAlign w:val="top"/>
          </w:tcPr>
          <w:p w14:paraId="4043E596">
            <w:pPr>
              <w:pStyle w:val="16"/>
              <w:spacing w:before="146" w:line="266" w:lineRule="exact"/>
              <w:ind w:left="163"/>
              <w:rPr>
                <w:color w:val="auto"/>
                <w:highlight w:val="none"/>
              </w:rPr>
            </w:pPr>
            <w:r>
              <w:rPr>
                <w:color w:val="auto"/>
                <w:spacing w:val="3"/>
                <w:position w:val="1"/>
                <w:highlight w:val="none"/>
              </w:rPr>
              <w:t>1000≤Y＜5000</w:t>
            </w:r>
          </w:p>
        </w:tc>
        <w:tc>
          <w:tcPr>
            <w:tcW w:w="994" w:type="dxa"/>
            <w:vAlign w:val="top"/>
          </w:tcPr>
          <w:p w14:paraId="6D28772B">
            <w:pPr>
              <w:pStyle w:val="16"/>
              <w:spacing w:before="146" w:line="269" w:lineRule="exact"/>
              <w:ind w:left="131"/>
              <w:rPr>
                <w:color w:val="auto"/>
                <w:highlight w:val="none"/>
              </w:rPr>
            </w:pPr>
            <w:r>
              <w:rPr>
                <w:color w:val="auto"/>
                <w:spacing w:val="5"/>
                <w:position w:val="1"/>
                <w:highlight w:val="none"/>
              </w:rPr>
              <w:t>Y＜1000</w:t>
            </w:r>
          </w:p>
        </w:tc>
      </w:tr>
      <w:tr w14:paraId="4B056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62" w:type="dxa"/>
            <w:vMerge w:val="restart"/>
            <w:tcBorders>
              <w:bottom w:val="nil"/>
            </w:tcBorders>
            <w:vAlign w:val="top"/>
          </w:tcPr>
          <w:p w14:paraId="03E371B5">
            <w:pPr>
              <w:spacing w:line="305" w:lineRule="auto"/>
              <w:rPr>
                <w:rFonts w:ascii="Arial"/>
                <w:color w:val="auto"/>
                <w:sz w:val="21"/>
                <w:highlight w:val="none"/>
              </w:rPr>
            </w:pPr>
          </w:p>
          <w:p w14:paraId="3F00057E">
            <w:pPr>
              <w:pStyle w:val="16"/>
              <w:spacing w:before="65" w:line="228" w:lineRule="auto"/>
              <w:ind w:left="117"/>
              <w:rPr>
                <w:color w:val="auto"/>
                <w:highlight w:val="none"/>
              </w:rPr>
            </w:pPr>
            <w:r>
              <w:rPr>
                <w:color w:val="auto"/>
                <w:spacing w:val="6"/>
                <w:highlight w:val="none"/>
              </w:rPr>
              <w:t>零售业</w:t>
            </w:r>
          </w:p>
        </w:tc>
        <w:tc>
          <w:tcPr>
            <w:tcW w:w="1485" w:type="dxa"/>
            <w:vAlign w:val="top"/>
          </w:tcPr>
          <w:p w14:paraId="430A1054">
            <w:pPr>
              <w:pStyle w:val="16"/>
              <w:spacing w:before="144" w:line="229" w:lineRule="auto"/>
              <w:ind w:left="170"/>
              <w:rPr>
                <w:color w:val="auto"/>
                <w:highlight w:val="none"/>
              </w:rPr>
            </w:pPr>
            <w:r>
              <w:rPr>
                <w:color w:val="auto"/>
                <w:spacing w:val="6"/>
                <w:highlight w:val="none"/>
              </w:rPr>
              <w:t>从业人员(X)</w:t>
            </w:r>
          </w:p>
        </w:tc>
        <w:tc>
          <w:tcPr>
            <w:tcW w:w="821" w:type="dxa"/>
            <w:vAlign w:val="top"/>
          </w:tcPr>
          <w:p w14:paraId="0864E1B2">
            <w:pPr>
              <w:pStyle w:val="16"/>
              <w:spacing w:before="144" w:line="231" w:lineRule="auto"/>
              <w:ind w:left="312"/>
              <w:rPr>
                <w:color w:val="auto"/>
                <w:highlight w:val="none"/>
              </w:rPr>
            </w:pPr>
            <w:r>
              <w:rPr>
                <w:color w:val="auto"/>
                <w:highlight w:val="none"/>
              </w:rPr>
              <w:t>人</w:t>
            </w:r>
          </w:p>
        </w:tc>
        <w:tc>
          <w:tcPr>
            <w:tcW w:w="1261" w:type="dxa"/>
            <w:vAlign w:val="top"/>
          </w:tcPr>
          <w:p w14:paraId="7502A242">
            <w:pPr>
              <w:pStyle w:val="16"/>
              <w:spacing w:before="144" w:line="267" w:lineRule="exact"/>
              <w:ind w:left="317"/>
              <w:rPr>
                <w:color w:val="auto"/>
                <w:highlight w:val="none"/>
              </w:rPr>
            </w:pPr>
            <w:r>
              <w:rPr>
                <w:color w:val="auto"/>
                <w:spacing w:val="5"/>
                <w:position w:val="1"/>
                <w:highlight w:val="none"/>
              </w:rPr>
              <w:t>X≥300</w:t>
            </w:r>
          </w:p>
        </w:tc>
        <w:tc>
          <w:tcPr>
            <w:tcW w:w="1848" w:type="dxa"/>
            <w:vAlign w:val="top"/>
          </w:tcPr>
          <w:p w14:paraId="071E7CEC">
            <w:pPr>
              <w:pStyle w:val="16"/>
              <w:spacing w:before="144" w:line="265" w:lineRule="exact"/>
              <w:ind w:left="409"/>
              <w:rPr>
                <w:color w:val="auto"/>
                <w:highlight w:val="none"/>
              </w:rPr>
            </w:pPr>
            <w:r>
              <w:rPr>
                <w:color w:val="auto"/>
                <w:spacing w:val="4"/>
                <w:position w:val="1"/>
                <w:highlight w:val="none"/>
              </w:rPr>
              <w:t>50≤X＜300</w:t>
            </w:r>
          </w:p>
        </w:tc>
        <w:tc>
          <w:tcPr>
            <w:tcW w:w="1648" w:type="dxa"/>
            <w:vAlign w:val="top"/>
          </w:tcPr>
          <w:p w14:paraId="5ED080B2">
            <w:pPr>
              <w:pStyle w:val="16"/>
              <w:spacing w:before="144" w:line="265" w:lineRule="exact"/>
              <w:ind w:left="372"/>
              <w:rPr>
                <w:color w:val="auto"/>
                <w:highlight w:val="none"/>
              </w:rPr>
            </w:pPr>
            <w:r>
              <w:rPr>
                <w:color w:val="auto"/>
                <w:spacing w:val="3"/>
                <w:position w:val="1"/>
                <w:highlight w:val="none"/>
              </w:rPr>
              <w:t>10≤X＜50</w:t>
            </w:r>
          </w:p>
        </w:tc>
        <w:tc>
          <w:tcPr>
            <w:tcW w:w="994" w:type="dxa"/>
            <w:vAlign w:val="top"/>
          </w:tcPr>
          <w:p w14:paraId="79525E70">
            <w:pPr>
              <w:pStyle w:val="16"/>
              <w:spacing w:before="144" w:line="269" w:lineRule="exact"/>
              <w:ind w:left="237"/>
              <w:rPr>
                <w:color w:val="auto"/>
                <w:highlight w:val="none"/>
              </w:rPr>
            </w:pPr>
            <w:r>
              <w:rPr>
                <w:color w:val="auto"/>
                <w:spacing w:val="4"/>
                <w:position w:val="1"/>
                <w:highlight w:val="none"/>
              </w:rPr>
              <w:t>X＜10</w:t>
            </w:r>
          </w:p>
        </w:tc>
      </w:tr>
      <w:tr w14:paraId="454F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62" w:type="dxa"/>
            <w:vMerge w:val="continue"/>
            <w:tcBorders>
              <w:top w:val="nil"/>
            </w:tcBorders>
            <w:vAlign w:val="top"/>
          </w:tcPr>
          <w:p w14:paraId="361D6A5B">
            <w:pPr>
              <w:rPr>
                <w:rFonts w:ascii="Arial"/>
                <w:color w:val="auto"/>
                <w:sz w:val="21"/>
                <w:highlight w:val="none"/>
              </w:rPr>
            </w:pPr>
          </w:p>
        </w:tc>
        <w:tc>
          <w:tcPr>
            <w:tcW w:w="1485" w:type="dxa"/>
            <w:vAlign w:val="top"/>
          </w:tcPr>
          <w:p w14:paraId="64B4FF5A">
            <w:pPr>
              <w:pStyle w:val="16"/>
              <w:spacing w:before="122" w:line="228" w:lineRule="auto"/>
              <w:ind w:left="174"/>
              <w:rPr>
                <w:color w:val="auto"/>
                <w:highlight w:val="none"/>
              </w:rPr>
            </w:pPr>
            <w:r>
              <w:rPr>
                <w:color w:val="auto"/>
                <w:spacing w:val="5"/>
                <w:highlight w:val="none"/>
              </w:rPr>
              <w:t>营业收入(Y)</w:t>
            </w:r>
          </w:p>
        </w:tc>
        <w:tc>
          <w:tcPr>
            <w:tcW w:w="821" w:type="dxa"/>
            <w:vAlign w:val="top"/>
          </w:tcPr>
          <w:p w14:paraId="4CEEBA83">
            <w:pPr>
              <w:pStyle w:val="16"/>
              <w:spacing w:before="124" w:line="229" w:lineRule="auto"/>
              <w:ind w:left="209"/>
              <w:rPr>
                <w:color w:val="auto"/>
                <w:highlight w:val="none"/>
              </w:rPr>
            </w:pPr>
            <w:r>
              <w:rPr>
                <w:color w:val="auto"/>
                <w:spacing w:val="2"/>
                <w:highlight w:val="none"/>
              </w:rPr>
              <w:t>万元</w:t>
            </w:r>
          </w:p>
        </w:tc>
        <w:tc>
          <w:tcPr>
            <w:tcW w:w="1261" w:type="dxa"/>
            <w:vAlign w:val="top"/>
          </w:tcPr>
          <w:p w14:paraId="3E47565F">
            <w:pPr>
              <w:pStyle w:val="16"/>
              <w:spacing w:before="124" w:line="267" w:lineRule="exact"/>
              <w:ind w:left="213"/>
              <w:rPr>
                <w:color w:val="auto"/>
                <w:highlight w:val="none"/>
              </w:rPr>
            </w:pPr>
            <w:r>
              <w:rPr>
                <w:color w:val="auto"/>
                <w:spacing w:val="4"/>
                <w:position w:val="1"/>
                <w:highlight w:val="none"/>
              </w:rPr>
              <w:t>Y≥20000</w:t>
            </w:r>
          </w:p>
        </w:tc>
        <w:tc>
          <w:tcPr>
            <w:tcW w:w="1848" w:type="dxa"/>
            <w:vAlign w:val="top"/>
          </w:tcPr>
          <w:p w14:paraId="7407B7BA">
            <w:pPr>
              <w:pStyle w:val="16"/>
              <w:spacing w:before="124" w:line="266" w:lineRule="exact"/>
              <w:ind w:left="303"/>
              <w:rPr>
                <w:color w:val="auto"/>
                <w:highlight w:val="none"/>
              </w:rPr>
            </w:pPr>
            <w:r>
              <w:rPr>
                <w:color w:val="auto"/>
                <w:spacing w:val="4"/>
                <w:position w:val="1"/>
                <w:highlight w:val="none"/>
              </w:rPr>
              <w:t>500≤Y＜20000</w:t>
            </w:r>
          </w:p>
        </w:tc>
        <w:tc>
          <w:tcPr>
            <w:tcW w:w="1648" w:type="dxa"/>
            <w:vAlign w:val="top"/>
          </w:tcPr>
          <w:p w14:paraId="6BA91F05">
            <w:pPr>
              <w:pStyle w:val="16"/>
              <w:spacing w:before="124" w:line="266" w:lineRule="exact"/>
              <w:ind w:left="269"/>
              <w:rPr>
                <w:color w:val="auto"/>
                <w:highlight w:val="none"/>
              </w:rPr>
            </w:pPr>
            <w:r>
              <w:rPr>
                <w:color w:val="auto"/>
                <w:spacing w:val="3"/>
                <w:position w:val="1"/>
                <w:highlight w:val="none"/>
              </w:rPr>
              <w:t>100≤Y＜500</w:t>
            </w:r>
          </w:p>
        </w:tc>
        <w:tc>
          <w:tcPr>
            <w:tcW w:w="994" w:type="dxa"/>
            <w:vAlign w:val="top"/>
          </w:tcPr>
          <w:p w14:paraId="252FAABF">
            <w:pPr>
              <w:pStyle w:val="16"/>
              <w:spacing w:before="124" w:line="270" w:lineRule="exact"/>
              <w:ind w:left="184"/>
              <w:rPr>
                <w:color w:val="auto"/>
                <w:highlight w:val="none"/>
              </w:rPr>
            </w:pPr>
            <w:r>
              <w:rPr>
                <w:color w:val="auto"/>
                <w:spacing w:val="5"/>
                <w:position w:val="1"/>
                <w:highlight w:val="none"/>
              </w:rPr>
              <w:t>Y＜100</w:t>
            </w:r>
          </w:p>
        </w:tc>
      </w:tr>
      <w:tr w14:paraId="425D1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62" w:type="dxa"/>
            <w:vMerge w:val="restart"/>
            <w:tcBorders>
              <w:bottom w:val="nil"/>
            </w:tcBorders>
            <w:vAlign w:val="top"/>
          </w:tcPr>
          <w:p w14:paraId="269D1A13">
            <w:pPr>
              <w:pStyle w:val="16"/>
              <w:spacing w:before="218" w:line="244" w:lineRule="auto"/>
              <w:ind w:left="115" w:right="199" w:firstLine="5"/>
              <w:rPr>
                <w:color w:val="auto"/>
                <w:highlight w:val="none"/>
              </w:rPr>
            </w:pPr>
            <w:r>
              <w:rPr>
                <w:color w:val="auto"/>
                <w:spacing w:val="7"/>
                <w:highlight w:val="none"/>
              </w:rPr>
              <w:t>交通运输业</w:t>
            </w:r>
            <w:r>
              <w:rPr>
                <w:color w:val="auto"/>
                <w:highlight w:val="none"/>
              </w:rPr>
              <w:t xml:space="preserve"> *</w:t>
            </w:r>
          </w:p>
        </w:tc>
        <w:tc>
          <w:tcPr>
            <w:tcW w:w="1485" w:type="dxa"/>
            <w:vAlign w:val="top"/>
          </w:tcPr>
          <w:p w14:paraId="06513B17">
            <w:pPr>
              <w:pStyle w:val="16"/>
              <w:spacing w:before="107" w:line="229" w:lineRule="auto"/>
              <w:ind w:left="170"/>
              <w:rPr>
                <w:color w:val="auto"/>
                <w:highlight w:val="none"/>
              </w:rPr>
            </w:pPr>
            <w:r>
              <w:rPr>
                <w:color w:val="auto"/>
                <w:spacing w:val="6"/>
                <w:highlight w:val="none"/>
              </w:rPr>
              <w:t>从业人员(X)</w:t>
            </w:r>
          </w:p>
        </w:tc>
        <w:tc>
          <w:tcPr>
            <w:tcW w:w="821" w:type="dxa"/>
            <w:vAlign w:val="top"/>
          </w:tcPr>
          <w:p w14:paraId="673B30D1">
            <w:pPr>
              <w:pStyle w:val="16"/>
              <w:spacing w:before="108" w:line="231" w:lineRule="auto"/>
              <w:ind w:left="312"/>
              <w:rPr>
                <w:color w:val="auto"/>
                <w:highlight w:val="none"/>
              </w:rPr>
            </w:pPr>
            <w:r>
              <w:rPr>
                <w:color w:val="auto"/>
                <w:highlight w:val="none"/>
              </w:rPr>
              <w:t>人</w:t>
            </w:r>
          </w:p>
        </w:tc>
        <w:tc>
          <w:tcPr>
            <w:tcW w:w="1261" w:type="dxa"/>
            <w:vAlign w:val="top"/>
          </w:tcPr>
          <w:p w14:paraId="4E05939E">
            <w:pPr>
              <w:pStyle w:val="16"/>
              <w:spacing w:before="107" w:line="267" w:lineRule="exact"/>
              <w:ind w:left="264"/>
              <w:rPr>
                <w:color w:val="auto"/>
                <w:highlight w:val="none"/>
              </w:rPr>
            </w:pPr>
            <w:r>
              <w:rPr>
                <w:color w:val="auto"/>
                <w:spacing w:val="5"/>
                <w:position w:val="1"/>
                <w:highlight w:val="none"/>
              </w:rPr>
              <w:t>X≥1000</w:t>
            </w:r>
          </w:p>
        </w:tc>
        <w:tc>
          <w:tcPr>
            <w:tcW w:w="1848" w:type="dxa"/>
            <w:vAlign w:val="top"/>
          </w:tcPr>
          <w:p w14:paraId="3BDA8C7C">
            <w:pPr>
              <w:pStyle w:val="16"/>
              <w:spacing w:before="107" w:line="266" w:lineRule="exact"/>
              <w:ind w:left="303"/>
              <w:rPr>
                <w:color w:val="auto"/>
                <w:highlight w:val="none"/>
              </w:rPr>
            </w:pPr>
            <w:r>
              <w:rPr>
                <w:color w:val="auto"/>
                <w:spacing w:val="4"/>
                <w:position w:val="1"/>
                <w:highlight w:val="none"/>
              </w:rPr>
              <w:t>300≤X＜1000</w:t>
            </w:r>
          </w:p>
        </w:tc>
        <w:tc>
          <w:tcPr>
            <w:tcW w:w="1648" w:type="dxa"/>
            <w:vAlign w:val="top"/>
          </w:tcPr>
          <w:p w14:paraId="2946DE2F">
            <w:pPr>
              <w:pStyle w:val="16"/>
              <w:spacing w:before="107" w:line="266" w:lineRule="exact"/>
              <w:ind w:left="362"/>
              <w:rPr>
                <w:color w:val="auto"/>
                <w:highlight w:val="none"/>
              </w:rPr>
            </w:pPr>
            <w:r>
              <w:rPr>
                <w:color w:val="auto"/>
                <w:spacing w:val="4"/>
                <w:position w:val="1"/>
                <w:highlight w:val="none"/>
              </w:rPr>
              <w:t>20≤X＜300</w:t>
            </w:r>
          </w:p>
        </w:tc>
        <w:tc>
          <w:tcPr>
            <w:tcW w:w="994" w:type="dxa"/>
            <w:vAlign w:val="top"/>
          </w:tcPr>
          <w:p w14:paraId="08C77B8B">
            <w:pPr>
              <w:pStyle w:val="16"/>
              <w:spacing w:before="107" w:line="270" w:lineRule="exact"/>
              <w:ind w:left="237"/>
              <w:rPr>
                <w:color w:val="auto"/>
                <w:highlight w:val="none"/>
              </w:rPr>
            </w:pPr>
            <w:r>
              <w:rPr>
                <w:color w:val="auto"/>
                <w:spacing w:val="4"/>
                <w:position w:val="1"/>
                <w:highlight w:val="none"/>
              </w:rPr>
              <w:t>X＜20</w:t>
            </w:r>
          </w:p>
        </w:tc>
      </w:tr>
      <w:tr w14:paraId="3E545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362" w:type="dxa"/>
            <w:vMerge w:val="continue"/>
            <w:tcBorders>
              <w:top w:val="nil"/>
            </w:tcBorders>
            <w:vAlign w:val="top"/>
          </w:tcPr>
          <w:p w14:paraId="460F3660">
            <w:pPr>
              <w:rPr>
                <w:rFonts w:ascii="Arial"/>
                <w:color w:val="auto"/>
                <w:sz w:val="21"/>
                <w:highlight w:val="none"/>
              </w:rPr>
            </w:pPr>
          </w:p>
        </w:tc>
        <w:tc>
          <w:tcPr>
            <w:tcW w:w="1485" w:type="dxa"/>
            <w:vAlign w:val="top"/>
          </w:tcPr>
          <w:p w14:paraId="3ED6B8AE">
            <w:pPr>
              <w:pStyle w:val="16"/>
              <w:spacing w:before="127" w:line="228" w:lineRule="auto"/>
              <w:ind w:left="174"/>
              <w:rPr>
                <w:color w:val="auto"/>
                <w:highlight w:val="none"/>
              </w:rPr>
            </w:pPr>
            <w:r>
              <w:rPr>
                <w:color w:val="auto"/>
                <w:spacing w:val="5"/>
                <w:highlight w:val="none"/>
              </w:rPr>
              <w:t>营业收入(Y)</w:t>
            </w:r>
          </w:p>
        </w:tc>
        <w:tc>
          <w:tcPr>
            <w:tcW w:w="821" w:type="dxa"/>
            <w:vAlign w:val="top"/>
          </w:tcPr>
          <w:p w14:paraId="418720D8">
            <w:pPr>
              <w:pStyle w:val="16"/>
              <w:spacing w:before="129" w:line="229" w:lineRule="auto"/>
              <w:ind w:left="209"/>
              <w:rPr>
                <w:color w:val="auto"/>
                <w:highlight w:val="none"/>
              </w:rPr>
            </w:pPr>
            <w:r>
              <w:rPr>
                <w:color w:val="auto"/>
                <w:spacing w:val="2"/>
                <w:highlight w:val="none"/>
              </w:rPr>
              <w:t>万元</w:t>
            </w:r>
          </w:p>
        </w:tc>
        <w:tc>
          <w:tcPr>
            <w:tcW w:w="1261" w:type="dxa"/>
            <w:vAlign w:val="top"/>
          </w:tcPr>
          <w:p w14:paraId="07D7C047">
            <w:pPr>
              <w:pStyle w:val="16"/>
              <w:spacing w:before="129" w:line="267" w:lineRule="exact"/>
              <w:ind w:left="213"/>
              <w:rPr>
                <w:color w:val="auto"/>
                <w:highlight w:val="none"/>
              </w:rPr>
            </w:pPr>
            <w:r>
              <w:rPr>
                <w:color w:val="auto"/>
                <w:spacing w:val="4"/>
                <w:position w:val="1"/>
                <w:highlight w:val="none"/>
              </w:rPr>
              <w:t>Y≥30000</w:t>
            </w:r>
          </w:p>
        </w:tc>
        <w:tc>
          <w:tcPr>
            <w:tcW w:w="1848" w:type="dxa"/>
            <w:vAlign w:val="top"/>
          </w:tcPr>
          <w:p w14:paraId="25C26EDA">
            <w:pPr>
              <w:pStyle w:val="16"/>
              <w:spacing w:before="129" w:line="265" w:lineRule="exact"/>
              <w:ind w:left="198"/>
              <w:rPr>
                <w:color w:val="auto"/>
                <w:highlight w:val="none"/>
              </w:rPr>
            </w:pPr>
            <w:r>
              <w:rPr>
                <w:color w:val="auto"/>
                <w:spacing w:val="4"/>
                <w:position w:val="1"/>
                <w:highlight w:val="none"/>
              </w:rPr>
              <w:t>3000≤Y＜30000</w:t>
            </w:r>
          </w:p>
        </w:tc>
        <w:tc>
          <w:tcPr>
            <w:tcW w:w="1648" w:type="dxa"/>
            <w:vAlign w:val="top"/>
          </w:tcPr>
          <w:p w14:paraId="3BBF3832">
            <w:pPr>
              <w:pStyle w:val="16"/>
              <w:spacing w:before="129" w:line="265" w:lineRule="exact"/>
              <w:ind w:left="256"/>
              <w:rPr>
                <w:color w:val="auto"/>
                <w:highlight w:val="none"/>
              </w:rPr>
            </w:pPr>
            <w:r>
              <w:rPr>
                <w:color w:val="auto"/>
                <w:spacing w:val="5"/>
                <w:position w:val="1"/>
                <w:highlight w:val="none"/>
              </w:rPr>
              <w:t>200≤Y＜3000</w:t>
            </w:r>
          </w:p>
        </w:tc>
        <w:tc>
          <w:tcPr>
            <w:tcW w:w="994" w:type="dxa"/>
            <w:vAlign w:val="top"/>
          </w:tcPr>
          <w:p w14:paraId="65B5B998">
            <w:pPr>
              <w:pStyle w:val="16"/>
              <w:spacing w:before="129" w:line="269" w:lineRule="exact"/>
              <w:ind w:left="184"/>
              <w:rPr>
                <w:color w:val="auto"/>
                <w:highlight w:val="none"/>
              </w:rPr>
            </w:pPr>
            <w:r>
              <w:rPr>
                <w:color w:val="auto"/>
                <w:spacing w:val="5"/>
                <w:position w:val="1"/>
                <w:highlight w:val="none"/>
              </w:rPr>
              <w:t>Y＜200</w:t>
            </w:r>
          </w:p>
        </w:tc>
      </w:tr>
    </w:tbl>
    <w:p w14:paraId="5D77E787">
      <w:pPr>
        <w:pStyle w:val="2"/>
        <w:spacing w:line="118" w:lineRule="exact"/>
        <w:rPr>
          <w:color w:val="auto"/>
          <w:sz w:val="10"/>
          <w:highlight w:val="none"/>
        </w:rPr>
      </w:pPr>
    </w:p>
    <w:p w14:paraId="3292C713">
      <w:pPr>
        <w:spacing w:line="118" w:lineRule="exact"/>
        <w:rPr>
          <w:color w:val="auto"/>
          <w:sz w:val="10"/>
          <w:szCs w:val="10"/>
          <w:highlight w:val="none"/>
        </w:rPr>
        <w:sectPr>
          <w:footerReference r:id="rId30" w:type="default"/>
          <w:pgSz w:w="11906" w:h="16839"/>
          <w:pgMar w:top="1431" w:right="910" w:bottom="1157" w:left="972" w:header="0" w:footer="992" w:gutter="0"/>
          <w:pgNumType w:fmt="decimal"/>
          <w:cols w:space="720" w:num="1"/>
        </w:sectPr>
      </w:pPr>
    </w:p>
    <w:tbl>
      <w:tblPr>
        <w:tblStyle w:val="15"/>
        <w:tblW w:w="9419" w:type="dxa"/>
        <w:tblInd w:w="2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485"/>
        <w:gridCol w:w="821"/>
        <w:gridCol w:w="1261"/>
        <w:gridCol w:w="1848"/>
        <w:gridCol w:w="1648"/>
        <w:gridCol w:w="994"/>
      </w:tblGrid>
      <w:tr w14:paraId="14466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62" w:type="dxa"/>
            <w:vMerge w:val="restart"/>
            <w:tcBorders>
              <w:bottom w:val="nil"/>
            </w:tcBorders>
            <w:vAlign w:val="top"/>
          </w:tcPr>
          <w:p w14:paraId="2C00C6B7">
            <w:pPr>
              <w:spacing w:line="281" w:lineRule="auto"/>
              <w:rPr>
                <w:rFonts w:ascii="Arial"/>
                <w:color w:val="auto"/>
                <w:sz w:val="21"/>
                <w:highlight w:val="none"/>
              </w:rPr>
            </w:pPr>
          </w:p>
          <w:p w14:paraId="0AA12F42">
            <w:pPr>
              <w:pStyle w:val="16"/>
              <w:spacing w:before="65" w:line="229" w:lineRule="auto"/>
              <w:ind w:left="115"/>
              <w:rPr>
                <w:color w:val="auto"/>
                <w:highlight w:val="none"/>
              </w:rPr>
            </w:pPr>
            <w:r>
              <w:rPr>
                <w:color w:val="auto"/>
                <w:spacing w:val="6"/>
                <w:highlight w:val="none"/>
              </w:rPr>
              <w:t>仓储业*</w:t>
            </w:r>
          </w:p>
        </w:tc>
        <w:tc>
          <w:tcPr>
            <w:tcW w:w="1485" w:type="dxa"/>
            <w:vAlign w:val="top"/>
          </w:tcPr>
          <w:p w14:paraId="6DB4A532">
            <w:pPr>
              <w:pStyle w:val="16"/>
              <w:spacing w:before="117" w:line="229" w:lineRule="auto"/>
              <w:ind w:left="170"/>
              <w:rPr>
                <w:color w:val="auto"/>
                <w:highlight w:val="none"/>
              </w:rPr>
            </w:pPr>
            <w:r>
              <w:rPr>
                <w:color w:val="auto"/>
                <w:spacing w:val="6"/>
                <w:highlight w:val="none"/>
              </w:rPr>
              <w:t>从业人员(X)</w:t>
            </w:r>
          </w:p>
        </w:tc>
        <w:tc>
          <w:tcPr>
            <w:tcW w:w="821" w:type="dxa"/>
            <w:vAlign w:val="top"/>
          </w:tcPr>
          <w:p w14:paraId="1A599750">
            <w:pPr>
              <w:pStyle w:val="16"/>
              <w:spacing w:before="117" w:line="231" w:lineRule="auto"/>
              <w:ind w:left="312"/>
              <w:rPr>
                <w:color w:val="auto"/>
                <w:highlight w:val="none"/>
              </w:rPr>
            </w:pPr>
            <w:r>
              <w:rPr>
                <w:color w:val="auto"/>
                <w:highlight w:val="none"/>
              </w:rPr>
              <w:t>人</w:t>
            </w:r>
          </w:p>
        </w:tc>
        <w:tc>
          <w:tcPr>
            <w:tcW w:w="1261" w:type="dxa"/>
            <w:vAlign w:val="top"/>
          </w:tcPr>
          <w:p w14:paraId="093AD0A0">
            <w:pPr>
              <w:pStyle w:val="16"/>
              <w:spacing w:before="117" w:line="267" w:lineRule="exact"/>
              <w:ind w:left="317"/>
              <w:rPr>
                <w:color w:val="auto"/>
                <w:highlight w:val="none"/>
              </w:rPr>
            </w:pPr>
            <w:r>
              <w:rPr>
                <w:color w:val="auto"/>
                <w:spacing w:val="5"/>
                <w:position w:val="1"/>
                <w:highlight w:val="none"/>
              </w:rPr>
              <w:t>X≥200</w:t>
            </w:r>
          </w:p>
        </w:tc>
        <w:tc>
          <w:tcPr>
            <w:tcW w:w="1848" w:type="dxa"/>
            <w:vAlign w:val="top"/>
          </w:tcPr>
          <w:p w14:paraId="4354F330">
            <w:pPr>
              <w:pStyle w:val="16"/>
              <w:spacing w:before="117" w:line="265" w:lineRule="exact"/>
              <w:ind w:left="315"/>
              <w:rPr>
                <w:color w:val="auto"/>
                <w:highlight w:val="none"/>
              </w:rPr>
            </w:pPr>
            <w:r>
              <w:rPr>
                <w:color w:val="auto"/>
                <w:spacing w:val="3"/>
                <w:position w:val="1"/>
                <w:highlight w:val="none"/>
              </w:rPr>
              <w:t>100≤X＜200</w:t>
            </w:r>
          </w:p>
        </w:tc>
        <w:tc>
          <w:tcPr>
            <w:tcW w:w="1648" w:type="dxa"/>
            <w:vAlign w:val="top"/>
          </w:tcPr>
          <w:p w14:paraId="6A2F10C8">
            <w:pPr>
              <w:pStyle w:val="16"/>
              <w:spacing w:before="117" w:line="265" w:lineRule="exact"/>
              <w:ind w:left="362"/>
              <w:rPr>
                <w:color w:val="auto"/>
                <w:highlight w:val="none"/>
              </w:rPr>
            </w:pPr>
            <w:r>
              <w:rPr>
                <w:color w:val="auto"/>
                <w:spacing w:val="4"/>
                <w:position w:val="1"/>
                <w:highlight w:val="none"/>
              </w:rPr>
              <w:t>20≤X＜100</w:t>
            </w:r>
          </w:p>
        </w:tc>
        <w:tc>
          <w:tcPr>
            <w:tcW w:w="994" w:type="dxa"/>
            <w:vAlign w:val="top"/>
          </w:tcPr>
          <w:p w14:paraId="2F8E8C40">
            <w:pPr>
              <w:pStyle w:val="16"/>
              <w:spacing w:before="117" w:line="269" w:lineRule="exact"/>
              <w:ind w:left="237"/>
              <w:rPr>
                <w:color w:val="auto"/>
                <w:highlight w:val="none"/>
              </w:rPr>
            </w:pPr>
            <w:r>
              <w:rPr>
                <w:color w:val="auto"/>
                <w:spacing w:val="4"/>
                <w:position w:val="1"/>
                <w:highlight w:val="none"/>
              </w:rPr>
              <w:t>X＜20</w:t>
            </w:r>
          </w:p>
        </w:tc>
      </w:tr>
      <w:tr w14:paraId="2B3D4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62" w:type="dxa"/>
            <w:vMerge w:val="continue"/>
            <w:tcBorders>
              <w:top w:val="nil"/>
            </w:tcBorders>
            <w:vAlign w:val="top"/>
          </w:tcPr>
          <w:p w14:paraId="4A3532C8">
            <w:pPr>
              <w:rPr>
                <w:rFonts w:ascii="Arial"/>
                <w:color w:val="auto"/>
                <w:sz w:val="21"/>
                <w:highlight w:val="none"/>
              </w:rPr>
            </w:pPr>
          </w:p>
        </w:tc>
        <w:tc>
          <w:tcPr>
            <w:tcW w:w="1485" w:type="dxa"/>
            <w:vAlign w:val="top"/>
          </w:tcPr>
          <w:p w14:paraId="3FAEAAA3">
            <w:pPr>
              <w:pStyle w:val="16"/>
              <w:spacing w:before="122" w:line="228" w:lineRule="auto"/>
              <w:ind w:left="174"/>
              <w:rPr>
                <w:color w:val="auto"/>
                <w:highlight w:val="none"/>
              </w:rPr>
            </w:pPr>
            <w:r>
              <w:rPr>
                <w:color w:val="auto"/>
                <w:spacing w:val="5"/>
                <w:highlight w:val="none"/>
              </w:rPr>
              <w:t>营业收入(Y)</w:t>
            </w:r>
          </w:p>
        </w:tc>
        <w:tc>
          <w:tcPr>
            <w:tcW w:w="821" w:type="dxa"/>
            <w:vAlign w:val="top"/>
          </w:tcPr>
          <w:p w14:paraId="0B07E63C">
            <w:pPr>
              <w:pStyle w:val="16"/>
              <w:spacing w:before="126" w:line="229" w:lineRule="auto"/>
              <w:ind w:left="209"/>
              <w:rPr>
                <w:color w:val="auto"/>
                <w:highlight w:val="none"/>
              </w:rPr>
            </w:pPr>
            <w:r>
              <w:rPr>
                <w:color w:val="auto"/>
                <w:spacing w:val="2"/>
                <w:highlight w:val="none"/>
              </w:rPr>
              <w:t>万元</w:t>
            </w:r>
          </w:p>
        </w:tc>
        <w:tc>
          <w:tcPr>
            <w:tcW w:w="1261" w:type="dxa"/>
            <w:vAlign w:val="top"/>
          </w:tcPr>
          <w:p w14:paraId="3687AA79">
            <w:pPr>
              <w:pStyle w:val="16"/>
              <w:spacing w:before="126" w:line="267" w:lineRule="exact"/>
              <w:ind w:left="213"/>
              <w:rPr>
                <w:color w:val="auto"/>
                <w:highlight w:val="none"/>
              </w:rPr>
            </w:pPr>
            <w:r>
              <w:rPr>
                <w:color w:val="auto"/>
                <w:spacing w:val="4"/>
                <w:position w:val="1"/>
                <w:highlight w:val="none"/>
              </w:rPr>
              <w:t>Y≥30000</w:t>
            </w:r>
          </w:p>
        </w:tc>
        <w:tc>
          <w:tcPr>
            <w:tcW w:w="1848" w:type="dxa"/>
            <w:vAlign w:val="top"/>
          </w:tcPr>
          <w:p w14:paraId="6DA09738">
            <w:pPr>
              <w:pStyle w:val="16"/>
              <w:spacing w:before="126" w:line="265" w:lineRule="exact"/>
              <w:ind w:left="209"/>
              <w:rPr>
                <w:color w:val="auto"/>
                <w:highlight w:val="none"/>
              </w:rPr>
            </w:pPr>
            <w:r>
              <w:rPr>
                <w:color w:val="auto"/>
                <w:spacing w:val="3"/>
                <w:position w:val="1"/>
                <w:highlight w:val="none"/>
              </w:rPr>
              <w:t>1000≤Y＜30000</w:t>
            </w:r>
          </w:p>
        </w:tc>
        <w:tc>
          <w:tcPr>
            <w:tcW w:w="1648" w:type="dxa"/>
            <w:vAlign w:val="top"/>
          </w:tcPr>
          <w:p w14:paraId="482594F0">
            <w:pPr>
              <w:pStyle w:val="16"/>
              <w:spacing w:before="126" w:line="265" w:lineRule="exact"/>
              <w:ind w:left="269"/>
              <w:rPr>
                <w:color w:val="auto"/>
                <w:highlight w:val="none"/>
              </w:rPr>
            </w:pPr>
            <w:r>
              <w:rPr>
                <w:color w:val="auto"/>
                <w:spacing w:val="3"/>
                <w:position w:val="1"/>
                <w:highlight w:val="none"/>
              </w:rPr>
              <w:t>100≤Y＜1000</w:t>
            </w:r>
          </w:p>
        </w:tc>
        <w:tc>
          <w:tcPr>
            <w:tcW w:w="994" w:type="dxa"/>
            <w:vAlign w:val="top"/>
          </w:tcPr>
          <w:p w14:paraId="2A4028BD">
            <w:pPr>
              <w:pStyle w:val="16"/>
              <w:spacing w:before="126" w:line="269" w:lineRule="exact"/>
              <w:ind w:left="184"/>
              <w:rPr>
                <w:color w:val="auto"/>
                <w:highlight w:val="none"/>
              </w:rPr>
            </w:pPr>
            <w:r>
              <w:rPr>
                <w:color w:val="auto"/>
                <w:spacing w:val="5"/>
                <w:position w:val="1"/>
                <w:highlight w:val="none"/>
              </w:rPr>
              <w:t>Y＜100</w:t>
            </w:r>
          </w:p>
        </w:tc>
      </w:tr>
      <w:tr w14:paraId="3A38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362" w:type="dxa"/>
            <w:vMerge w:val="restart"/>
            <w:tcBorders>
              <w:bottom w:val="nil"/>
            </w:tcBorders>
            <w:vAlign w:val="top"/>
          </w:tcPr>
          <w:p w14:paraId="4CBFB471">
            <w:pPr>
              <w:spacing w:line="281" w:lineRule="auto"/>
              <w:rPr>
                <w:rFonts w:ascii="Arial"/>
                <w:color w:val="auto"/>
                <w:sz w:val="21"/>
                <w:highlight w:val="none"/>
              </w:rPr>
            </w:pPr>
          </w:p>
          <w:p w14:paraId="02D8414E">
            <w:pPr>
              <w:pStyle w:val="16"/>
              <w:spacing w:before="65" w:line="230" w:lineRule="auto"/>
              <w:ind w:left="132"/>
              <w:rPr>
                <w:color w:val="auto"/>
                <w:highlight w:val="none"/>
              </w:rPr>
            </w:pPr>
            <w:r>
              <w:rPr>
                <w:color w:val="auto"/>
                <w:spacing w:val="1"/>
                <w:highlight w:val="none"/>
              </w:rPr>
              <w:t>邮政业</w:t>
            </w:r>
          </w:p>
        </w:tc>
        <w:tc>
          <w:tcPr>
            <w:tcW w:w="1485" w:type="dxa"/>
            <w:vAlign w:val="top"/>
          </w:tcPr>
          <w:p w14:paraId="145FF59D">
            <w:pPr>
              <w:pStyle w:val="16"/>
              <w:spacing w:before="99" w:line="229" w:lineRule="auto"/>
              <w:ind w:left="170"/>
              <w:rPr>
                <w:color w:val="auto"/>
                <w:highlight w:val="none"/>
              </w:rPr>
            </w:pPr>
            <w:r>
              <w:rPr>
                <w:color w:val="auto"/>
                <w:spacing w:val="6"/>
                <w:highlight w:val="none"/>
              </w:rPr>
              <w:t>从业人员(X)</w:t>
            </w:r>
          </w:p>
        </w:tc>
        <w:tc>
          <w:tcPr>
            <w:tcW w:w="821" w:type="dxa"/>
            <w:vAlign w:val="top"/>
          </w:tcPr>
          <w:p w14:paraId="51B9942D">
            <w:pPr>
              <w:pStyle w:val="16"/>
              <w:spacing w:before="99" w:line="231" w:lineRule="auto"/>
              <w:ind w:left="312"/>
              <w:rPr>
                <w:color w:val="auto"/>
                <w:highlight w:val="none"/>
              </w:rPr>
            </w:pPr>
            <w:r>
              <w:rPr>
                <w:color w:val="auto"/>
                <w:highlight w:val="none"/>
              </w:rPr>
              <w:t>人</w:t>
            </w:r>
          </w:p>
        </w:tc>
        <w:tc>
          <w:tcPr>
            <w:tcW w:w="1261" w:type="dxa"/>
            <w:vAlign w:val="top"/>
          </w:tcPr>
          <w:p w14:paraId="557B9B62">
            <w:pPr>
              <w:pStyle w:val="16"/>
              <w:spacing w:before="99" w:line="267" w:lineRule="exact"/>
              <w:ind w:left="264"/>
              <w:rPr>
                <w:color w:val="auto"/>
                <w:highlight w:val="none"/>
              </w:rPr>
            </w:pPr>
            <w:r>
              <w:rPr>
                <w:color w:val="auto"/>
                <w:spacing w:val="5"/>
                <w:position w:val="1"/>
                <w:highlight w:val="none"/>
              </w:rPr>
              <w:t>X≥1000</w:t>
            </w:r>
          </w:p>
        </w:tc>
        <w:tc>
          <w:tcPr>
            <w:tcW w:w="1848" w:type="dxa"/>
            <w:vAlign w:val="top"/>
          </w:tcPr>
          <w:p w14:paraId="4FA58827">
            <w:pPr>
              <w:pStyle w:val="16"/>
              <w:spacing w:before="99" w:line="265" w:lineRule="exact"/>
              <w:ind w:left="303"/>
              <w:rPr>
                <w:color w:val="auto"/>
                <w:highlight w:val="none"/>
              </w:rPr>
            </w:pPr>
            <w:r>
              <w:rPr>
                <w:color w:val="auto"/>
                <w:spacing w:val="4"/>
                <w:position w:val="1"/>
                <w:highlight w:val="none"/>
              </w:rPr>
              <w:t>300≤X＜1000</w:t>
            </w:r>
          </w:p>
        </w:tc>
        <w:tc>
          <w:tcPr>
            <w:tcW w:w="1648" w:type="dxa"/>
            <w:vAlign w:val="top"/>
          </w:tcPr>
          <w:p w14:paraId="6A5A0ECB">
            <w:pPr>
              <w:pStyle w:val="16"/>
              <w:spacing w:before="99" w:line="265" w:lineRule="exact"/>
              <w:ind w:left="362"/>
              <w:rPr>
                <w:color w:val="auto"/>
                <w:highlight w:val="none"/>
              </w:rPr>
            </w:pPr>
            <w:r>
              <w:rPr>
                <w:color w:val="auto"/>
                <w:spacing w:val="4"/>
                <w:position w:val="1"/>
                <w:highlight w:val="none"/>
              </w:rPr>
              <w:t>20≤X＜300</w:t>
            </w:r>
          </w:p>
        </w:tc>
        <w:tc>
          <w:tcPr>
            <w:tcW w:w="994" w:type="dxa"/>
            <w:vAlign w:val="top"/>
          </w:tcPr>
          <w:p w14:paraId="2DC5AE41">
            <w:pPr>
              <w:pStyle w:val="16"/>
              <w:spacing w:before="99" w:line="269" w:lineRule="exact"/>
              <w:ind w:left="237"/>
              <w:rPr>
                <w:color w:val="auto"/>
                <w:highlight w:val="none"/>
              </w:rPr>
            </w:pPr>
            <w:r>
              <w:rPr>
                <w:color w:val="auto"/>
                <w:spacing w:val="4"/>
                <w:position w:val="1"/>
                <w:highlight w:val="none"/>
              </w:rPr>
              <w:t>X＜20</w:t>
            </w:r>
          </w:p>
        </w:tc>
      </w:tr>
      <w:tr w14:paraId="0D6E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62" w:type="dxa"/>
            <w:vMerge w:val="continue"/>
            <w:tcBorders>
              <w:top w:val="nil"/>
            </w:tcBorders>
            <w:vAlign w:val="top"/>
          </w:tcPr>
          <w:p w14:paraId="1FF785FB">
            <w:pPr>
              <w:rPr>
                <w:rFonts w:ascii="Arial"/>
                <w:color w:val="auto"/>
                <w:sz w:val="21"/>
                <w:highlight w:val="none"/>
              </w:rPr>
            </w:pPr>
          </w:p>
        </w:tc>
        <w:tc>
          <w:tcPr>
            <w:tcW w:w="1485" w:type="dxa"/>
            <w:vAlign w:val="top"/>
          </w:tcPr>
          <w:p w14:paraId="2BBB1050">
            <w:pPr>
              <w:pStyle w:val="16"/>
              <w:spacing w:before="141" w:line="228" w:lineRule="auto"/>
              <w:ind w:left="174"/>
              <w:rPr>
                <w:color w:val="auto"/>
                <w:highlight w:val="none"/>
              </w:rPr>
            </w:pPr>
            <w:r>
              <w:rPr>
                <w:color w:val="auto"/>
                <w:spacing w:val="5"/>
                <w:highlight w:val="none"/>
              </w:rPr>
              <w:t>营业收入(Y)</w:t>
            </w:r>
          </w:p>
        </w:tc>
        <w:tc>
          <w:tcPr>
            <w:tcW w:w="821" w:type="dxa"/>
            <w:vAlign w:val="top"/>
          </w:tcPr>
          <w:p w14:paraId="4FAF793A">
            <w:pPr>
              <w:pStyle w:val="16"/>
              <w:spacing w:before="144" w:line="229" w:lineRule="auto"/>
              <w:ind w:left="209"/>
              <w:rPr>
                <w:color w:val="auto"/>
                <w:highlight w:val="none"/>
              </w:rPr>
            </w:pPr>
            <w:r>
              <w:rPr>
                <w:color w:val="auto"/>
                <w:spacing w:val="2"/>
                <w:highlight w:val="none"/>
              </w:rPr>
              <w:t>万元</w:t>
            </w:r>
          </w:p>
        </w:tc>
        <w:tc>
          <w:tcPr>
            <w:tcW w:w="1261" w:type="dxa"/>
            <w:vAlign w:val="top"/>
          </w:tcPr>
          <w:p w14:paraId="5FB21C89">
            <w:pPr>
              <w:pStyle w:val="16"/>
              <w:spacing w:before="143" w:line="267" w:lineRule="exact"/>
              <w:ind w:left="213"/>
              <w:rPr>
                <w:color w:val="auto"/>
                <w:highlight w:val="none"/>
              </w:rPr>
            </w:pPr>
            <w:r>
              <w:rPr>
                <w:color w:val="auto"/>
                <w:spacing w:val="4"/>
                <w:position w:val="1"/>
                <w:highlight w:val="none"/>
              </w:rPr>
              <w:t>Y≥30000</w:t>
            </w:r>
          </w:p>
        </w:tc>
        <w:tc>
          <w:tcPr>
            <w:tcW w:w="1848" w:type="dxa"/>
            <w:vAlign w:val="top"/>
          </w:tcPr>
          <w:p w14:paraId="5CB86944">
            <w:pPr>
              <w:pStyle w:val="16"/>
              <w:spacing w:before="143" w:line="266" w:lineRule="exact"/>
              <w:ind w:left="196"/>
              <w:rPr>
                <w:color w:val="auto"/>
                <w:highlight w:val="none"/>
              </w:rPr>
            </w:pPr>
            <w:r>
              <w:rPr>
                <w:color w:val="auto"/>
                <w:spacing w:val="4"/>
                <w:position w:val="1"/>
                <w:highlight w:val="none"/>
              </w:rPr>
              <w:t>2000≤Y＜30000</w:t>
            </w:r>
          </w:p>
        </w:tc>
        <w:tc>
          <w:tcPr>
            <w:tcW w:w="1648" w:type="dxa"/>
            <w:vAlign w:val="top"/>
          </w:tcPr>
          <w:p w14:paraId="1DC706E7">
            <w:pPr>
              <w:pStyle w:val="16"/>
              <w:spacing w:before="143" w:line="266" w:lineRule="exact"/>
              <w:ind w:left="269"/>
              <w:rPr>
                <w:color w:val="auto"/>
                <w:highlight w:val="none"/>
              </w:rPr>
            </w:pPr>
            <w:r>
              <w:rPr>
                <w:color w:val="auto"/>
                <w:spacing w:val="3"/>
                <w:position w:val="1"/>
                <w:highlight w:val="none"/>
              </w:rPr>
              <w:t>100≤Y＜2000</w:t>
            </w:r>
          </w:p>
        </w:tc>
        <w:tc>
          <w:tcPr>
            <w:tcW w:w="994" w:type="dxa"/>
            <w:vAlign w:val="top"/>
          </w:tcPr>
          <w:p w14:paraId="36211B34">
            <w:pPr>
              <w:pStyle w:val="16"/>
              <w:spacing w:before="143" w:line="270" w:lineRule="exact"/>
              <w:ind w:left="184"/>
              <w:rPr>
                <w:color w:val="auto"/>
                <w:highlight w:val="none"/>
              </w:rPr>
            </w:pPr>
            <w:r>
              <w:rPr>
                <w:color w:val="auto"/>
                <w:spacing w:val="5"/>
                <w:position w:val="1"/>
                <w:highlight w:val="none"/>
              </w:rPr>
              <w:t>Y＜100</w:t>
            </w:r>
          </w:p>
        </w:tc>
      </w:tr>
      <w:tr w14:paraId="0FCB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362" w:type="dxa"/>
            <w:vMerge w:val="restart"/>
            <w:tcBorders>
              <w:bottom w:val="nil"/>
            </w:tcBorders>
            <w:vAlign w:val="top"/>
          </w:tcPr>
          <w:p w14:paraId="26863B96">
            <w:pPr>
              <w:spacing w:line="304" w:lineRule="auto"/>
              <w:rPr>
                <w:rFonts w:ascii="Arial"/>
                <w:color w:val="auto"/>
                <w:sz w:val="21"/>
                <w:highlight w:val="none"/>
              </w:rPr>
            </w:pPr>
          </w:p>
          <w:p w14:paraId="152EFF44">
            <w:pPr>
              <w:pStyle w:val="16"/>
              <w:spacing w:before="65" w:line="228" w:lineRule="auto"/>
              <w:ind w:left="115"/>
              <w:rPr>
                <w:color w:val="auto"/>
                <w:highlight w:val="none"/>
              </w:rPr>
            </w:pPr>
            <w:r>
              <w:rPr>
                <w:color w:val="auto"/>
                <w:spacing w:val="7"/>
                <w:highlight w:val="none"/>
              </w:rPr>
              <w:t>住宿业</w:t>
            </w:r>
          </w:p>
        </w:tc>
        <w:tc>
          <w:tcPr>
            <w:tcW w:w="1485" w:type="dxa"/>
            <w:vAlign w:val="top"/>
          </w:tcPr>
          <w:p w14:paraId="03BFDA32">
            <w:pPr>
              <w:pStyle w:val="16"/>
              <w:spacing w:before="116" w:line="229" w:lineRule="auto"/>
              <w:ind w:left="170"/>
              <w:rPr>
                <w:color w:val="auto"/>
                <w:highlight w:val="none"/>
              </w:rPr>
            </w:pPr>
            <w:r>
              <w:rPr>
                <w:color w:val="auto"/>
                <w:spacing w:val="6"/>
                <w:highlight w:val="none"/>
              </w:rPr>
              <w:t>从业人员(X)</w:t>
            </w:r>
          </w:p>
        </w:tc>
        <w:tc>
          <w:tcPr>
            <w:tcW w:w="821" w:type="dxa"/>
            <w:vAlign w:val="top"/>
          </w:tcPr>
          <w:p w14:paraId="5F71F853">
            <w:pPr>
              <w:pStyle w:val="16"/>
              <w:spacing w:before="116" w:line="231" w:lineRule="auto"/>
              <w:ind w:left="312"/>
              <w:rPr>
                <w:color w:val="auto"/>
                <w:highlight w:val="none"/>
              </w:rPr>
            </w:pPr>
            <w:r>
              <w:rPr>
                <w:color w:val="auto"/>
                <w:highlight w:val="none"/>
              </w:rPr>
              <w:t>人</w:t>
            </w:r>
          </w:p>
        </w:tc>
        <w:tc>
          <w:tcPr>
            <w:tcW w:w="1261" w:type="dxa"/>
            <w:vAlign w:val="top"/>
          </w:tcPr>
          <w:p w14:paraId="1E58C5B4">
            <w:pPr>
              <w:pStyle w:val="16"/>
              <w:spacing w:before="116" w:line="267" w:lineRule="exact"/>
              <w:ind w:left="317"/>
              <w:rPr>
                <w:color w:val="auto"/>
                <w:highlight w:val="none"/>
              </w:rPr>
            </w:pPr>
            <w:r>
              <w:rPr>
                <w:color w:val="auto"/>
                <w:spacing w:val="5"/>
                <w:position w:val="1"/>
                <w:highlight w:val="none"/>
              </w:rPr>
              <w:t>X≥300</w:t>
            </w:r>
          </w:p>
        </w:tc>
        <w:tc>
          <w:tcPr>
            <w:tcW w:w="1848" w:type="dxa"/>
            <w:vAlign w:val="top"/>
          </w:tcPr>
          <w:p w14:paraId="53E410CF">
            <w:pPr>
              <w:pStyle w:val="16"/>
              <w:spacing w:before="116" w:line="265" w:lineRule="exact"/>
              <w:ind w:left="315"/>
              <w:rPr>
                <w:color w:val="auto"/>
                <w:highlight w:val="none"/>
              </w:rPr>
            </w:pPr>
            <w:r>
              <w:rPr>
                <w:color w:val="auto"/>
                <w:spacing w:val="3"/>
                <w:position w:val="1"/>
                <w:highlight w:val="none"/>
              </w:rPr>
              <w:t>100≤X＜300</w:t>
            </w:r>
          </w:p>
        </w:tc>
        <w:tc>
          <w:tcPr>
            <w:tcW w:w="1648" w:type="dxa"/>
            <w:vAlign w:val="top"/>
          </w:tcPr>
          <w:p w14:paraId="3E0944F9">
            <w:pPr>
              <w:pStyle w:val="16"/>
              <w:spacing w:before="116" w:line="265" w:lineRule="exact"/>
              <w:ind w:left="375"/>
              <w:rPr>
                <w:color w:val="auto"/>
                <w:highlight w:val="none"/>
              </w:rPr>
            </w:pPr>
            <w:r>
              <w:rPr>
                <w:color w:val="auto"/>
                <w:spacing w:val="3"/>
                <w:position w:val="1"/>
                <w:highlight w:val="none"/>
              </w:rPr>
              <w:t>10≤X＜100</w:t>
            </w:r>
          </w:p>
        </w:tc>
        <w:tc>
          <w:tcPr>
            <w:tcW w:w="994" w:type="dxa"/>
            <w:vAlign w:val="top"/>
          </w:tcPr>
          <w:p w14:paraId="009B9D99">
            <w:pPr>
              <w:pStyle w:val="16"/>
              <w:spacing w:before="116" w:line="269" w:lineRule="exact"/>
              <w:ind w:left="237"/>
              <w:rPr>
                <w:color w:val="auto"/>
                <w:highlight w:val="none"/>
              </w:rPr>
            </w:pPr>
            <w:r>
              <w:rPr>
                <w:color w:val="auto"/>
                <w:spacing w:val="4"/>
                <w:position w:val="1"/>
                <w:highlight w:val="none"/>
              </w:rPr>
              <w:t>X＜10</w:t>
            </w:r>
          </w:p>
        </w:tc>
      </w:tr>
      <w:tr w14:paraId="0FBC3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62" w:type="dxa"/>
            <w:vMerge w:val="continue"/>
            <w:tcBorders>
              <w:top w:val="nil"/>
            </w:tcBorders>
            <w:vAlign w:val="top"/>
          </w:tcPr>
          <w:p w14:paraId="5152F177">
            <w:pPr>
              <w:rPr>
                <w:rFonts w:ascii="Arial"/>
                <w:color w:val="auto"/>
                <w:sz w:val="21"/>
                <w:highlight w:val="none"/>
              </w:rPr>
            </w:pPr>
          </w:p>
        </w:tc>
        <w:tc>
          <w:tcPr>
            <w:tcW w:w="1485" w:type="dxa"/>
            <w:vAlign w:val="top"/>
          </w:tcPr>
          <w:p w14:paraId="6A12D634">
            <w:pPr>
              <w:pStyle w:val="16"/>
              <w:spacing w:before="144" w:line="228" w:lineRule="auto"/>
              <w:ind w:left="174"/>
              <w:rPr>
                <w:color w:val="auto"/>
                <w:highlight w:val="none"/>
              </w:rPr>
            </w:pPr>
            <w:r>
              <w:rPr>
                <w:color w:val="auto"/>
                <w:spacing w:val="5"/>
                <w:highlight w:val="none"/>
              </w:rPr>
              <w:t>营业收入(Y)</w:t>
            </w:r>
          </w:p>
        </w:tc>
        <w:tc>
          <w:tcPr>
            <w:tcW w:w="821" w:type="dxa"/>
            <w:vAlign w:val="top"/>
          </w:tcPr>
          <w:p w14:paraId="1C7BB851">
            <w:pPr>
              <w:pStyle w:val="16"/>
              <w:spacing w:before="149" w:line="229" w:lineRule="auto"/>
              <w:ind w:left="209"/>
              <w:rPr>
                <w:color w:val="auto"/>
                <w:highlight w:val="none"/>
              </w:rPr>
            </w:pPr>
            <w:r>
              <w:rPr>
                <w:color w:val="auto"/>
                <w:spacing w:val="2"/>
                <w:highlight w:val="none"/>
              </w:rPr>
              <w:t>万元</w:t>
            </w:r>
          </w:p>
        </w:tc>
        <w:tc>
          <w:tcPr>
            <w:tcW w:w="1261" w:type="dxa"/>
            <w:vAlign w:val="top"/>
          </w:tcPr>
          <w:p w14:paraId="40C53ADE">
            <w:pPr>
              <w:pStyle w:val="16"/>
              <w:spacing w:before="149" w:line="267" w:lineRule="exact"/>
              <w:ind w:left="213"/>
              <w:rPr>
                <w:color w:val="auto"/>
                <w:highlight w:val="none"/>
              </w:rPr>
            </w:pPr>
            <w:r>
              <w:rPr>
                <w:color w:val="auto"/>
                <w:spacing w:val="4"/>
                <w:position w:val="1"/>
                <w:highlight w:val="none"/>
              </w:rPr>
              <w:t>Y≥10000</w:t>
            </w:r>
          </w:p>
        </w:tc>
        <w:tc>
          <w:tcPr>
            <w:tcW w:w="1848" w:type="dxa"/>
            <w:vAlign w:val="top"/>
          </w:tcPr>
          <w:p w14:paraId="1EE01B66">
            <w:pPr>
              <w:pStyle w:val="16"/>
              <w:spacing w:before="149" w:line="265" w:lineRule="exact"/>
              <w:ind w:left="196"/>
              <w:rPr>
                <w:color w:val="auto"/>
                <w:highlight w:val="none"/>
              </w:rPr>
            </w:pPr>
            <w:r>
              <w:rPr>
                <w:color w:val="auto"/>
                <w:spacing w:val="4"/>
                <w:position w:val="1"/>
                <w:highlight w:val="none"/>
              </w:rPr>
              <w:t>2000≤Y＜10000</w:t>
            </w:r>
          </w:p>
        </w:tc>
        <w:tc>
          <w:tcPr>
            <w:tcW w:w="1648" w:type="dxa"/>
            <w:vAlign w:val="top"/>
          </w:tcPr>
          <w:p w14:paraId="0135E928">
            <w:pPr>
              <w:pStyle w:val="16"/>
              <w:spacing w:before="149" w:line="265" w:lineRule="exact"/>
              <w:ind w:left="269"/>
              <w:rPr>
                <w:color w:val="auto"/>
                <w:highlight w:val="none"/>
              </w:rPr>
            </w:pPr>
            <w:r>
              <w:rPr>
                <w:color w:val="auto"/>
                <w:spacing w:val="3"/>
                <w:position w:val="1"/>
                <w:highlight w:val="none"/>
              </w:rPr>
              <w:t>100≤Y＜2000</w:t>
            </w:r>
          </w:p>
        </w:tc>
        <w:tc>
          <w:tcPr>
            <w:tcW w:w="994" w:type="dxa"/>
            <w:vAlign w:val="top"/>
          </w:tcPr>
          <w:p w14:paraId="2BAD4090">
            <w:pPr>
              <w:pStyle w:val="16"/>
              <w:spacing w:before="149" w:line="269" w:lineRule="exact"/>
              <w:ind w:left="184"/>
              <w:rPr>
                <w:color w:val="auto"/>
                <w:highlight w:val="none"/>
              </w:rPr>
            </w:pPr>
            <w:r>
              <w:rPr>
                <w:color w:val="auto"/>
                <w:spacing w:val="5"/>
                <w:position w:val="1"/>
                <w:highlight w:val="none"/>
              </w:rPr>
              <w:t>Y＜100</w:t>
            </w:r>
          </w:p>
        </w:tc>
      </w:tr>
      <w:tr w14:paraId="5F051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362" w:type="dxa"/>
            <w:vMerge w:val="restart"/>
            <w:tcBorders>
              <w:bottom w:val="nil"/>
            </w:tcBorders>
            <w:vAlign w:val="top"/>
          </w:tcPr>
          <w:p w14:paraId="57740AE2">
            <w:pPr>
              <w:spacing w:line="287" w:lineRule="auto"/>
              <w:rPr>
                <w:rFonts w:ascii="Arial"/>
                <w:color w:val="auto"/>
                <w:sz w:val="21"/>
                <w:highlight w:val="none"/>
              </w:rPr>
            </w:pPr>
          </w:p>
          <w:p w14:paraId="7DF79A19">
            <w:pPr>
              <w:pStyle w:val="16"/>
              <w:spacing w:before="65" w:line="228" w:lineRule="auto"/>
              <w:ind w:left="118"/>
              <w:rPr>
                <w:color w:val="auto"/>
                <w:highlight w:val="none"/>
              </w:rPr>
            </w:pPr>
            <w:r>
              <w:rPr>
                <w:color w:val="auto"/>
                <w:spacing w:val="6"/>
                <w:highlight w:val="none"/>
              </w:rPr>
              <w:t>餐饮业</w:t>
            </w:r>
          </w:p>
        </w:tc>
        <w:tc>
          <w:tcPr>
            <w:tcW w:w="1485" w:type="dxa"/>
            <w:vAlign w:val="top"/>
          </w:tcPr>
          <w:p w14:paraId="04CCEB15">
            <w:pPr>
              <w:pStyle w:val="16"/>
              <w:spacing w:before="90" w:line="229" w:lineRule="auto"/>
              <w:ind w:left="170"/>
              <w:rPr>
                <w:color w:val="auto"/>
                <w:highlight w:val="none"/>
              </w:rPr>
            </w:pPr>
            <w:r>
              <w:rPr>
                <w:color w:val="auto"/>
                <w:spacing w:val="6"/>
                <w:highlight w:val="none"/>
              </w:rPr>
              <w:t>从业人员(X)</w:t>
            </w:r>
          </w:p>
        </w:tc>
        <w:tc>
          <w:tcPr>
            <w:tcW w:w="821" w:type="dxa"/>
            <w:vAlign w:val="top"/>
          </w:tcPr>
          <w:p w14:paraId="604E80A1">
            <w:pPr>
              <w:pStyle w:val="16"/>
              <w:spacing w:before="90" w:line="231" w:lineRule="auto"/>
              <w:ind w:left="312"/>
              <w:rPr>
                <w:color w:val="auto"/>
                <w:highlight w:val="none"/>
              </w:rPr>
            </w:pPr>
            <w:r>
              <w:rPr>
                <w:color w:val="auto"/>
                <w:highlight w:val="none"/>
              </w:rPr>
              <w:t>人</w:t>
            </w:r>
          </w:p>
        </w:tc>
        <w:tc>
          <w:tcPr>
            <w:tcW w:w="1261" w:type="dxa"/>
            <w:vAlign w:val="top"/>
          </w:tcPr>
          <w:p w14:paraId="4DD580E0">
            <w:pPr>
              <w:pStyle w:val="16"/>
              <w:spacing w:before="90" w:line="267" w:lineRule="exact"/>
              <w:ind w:left="317"/>
              <w:rPr>
                <w:color w:val="auto"/>
                <w:highlight w:val="none"/>
              </w:rPr>
            </w:pPr>
            <w:r>
              <w:rPr>
                <w:color w:val="auto"/>
                <w:spacing w:val="5"/>
                <w:position w:val="1"/>
                <w:highlight w:val="none"/>
              </w:rPr>
              <w:t>X≥300</w:t>
            </w:r>
          </w:p>
        </w:tc>
        <w:tc>
          <w:tcPr>
            <w:tcW w:w="1848" w:type="dxa"/>
            <w:vAlign w:val="top"/>
          </w:tcPr>
          <w:p w14:paraId="5B194817">
            <w:pPr>
              <w:pStyle w:val="16"/>
              <w:spacing w:before="90" w:line="265" w:lineRule="exact"/>
              <w:ind w:left="315"/>
              <w:rPr>
                <w:color w:val="auto"/>
                <w:highlight w:val="none"/>
              </w:rPr>
            </w:pPr>
            <w:r>
              <w:rPr>
                <w:color w:val="auto"/>
                <w:spacing w:val="3"/>
                <w:position w:val="1"/>
                <w:highlight w:val="none"/>
              </w:rPr>
              <w:t>100≤X＜300</w:t>
            </w:r>
          </w:p>
        </w:tc>
        <w:tc>
          <w:tcPr>
            <w:tcW w:w="1648" w:type="dxa"/>
            <w:vAlign w:val="top"/>
          </w:tcPr>
          <w:p w14:paraId="647120DC">
            <w:pPr>
              <w:pStyle w:val="16"/>
              <w:spacing w:before="90" w:line="265" w:lineRule="exact"/>
              <w:ind w:left="375"/>
              <w:rPr>
                <w:color w:val="auto"/>
                <w:highlight w:val="none"/>
              </w:rPr>
            </w:pPr>
            <w:r>
              <w:rPr>
                <w:color w:val="auto"/>
                <w:spacing w:val="3"/>
                <w:position w:val="1"/>
                <w:highlight w:val="none"/>
              </w:rPr>
              <w:t>10≤X＜100</w:t>
            </w:r>
          </w:p>
        </w:tc>
        <w:tc>
          <w:tcPr>
            <w:tcW w:w="994" w:type="dxa"/>
            <w:vAlign w:val="top"/>
          </w:tcPr>
          <w:p w14:paraId="492AFDFB">
            <w:pPr>
              <w:pStyle w:val="16"/>
              <w:spacing w:before="90" w:line="269" w:lineRule="exact"/>
              <w:ind w:left="237"/>
              <w:rPr>
                <w:color w:val="auto"/>
                <w:highlight w:val="none"/>
              </w:rPr>
            </w:pPr>
            <w:r>
              <w:rPr>
                <w:color w:val="auto"/>
                <w:spacing w:val="4"/>
                <w:position w:val="1"/>
                <w:highlight w:val="none"/>
              </w:rPr>
              <w:t>X＜10</w:t>
            </w:r>
          </w:p>
        </w:tc>
      </w:tr>
      <w:tr w14:paraId="0E7F8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2" w:type="dxa"/>
            <w:vMerge w:val="continue"/>
            <w:tcBorders>
              <w:top w:val="nil"/>
            </w:tcBorders>
            <w:vAlign w:val="top"/>
          </w:tcPr>
          <w:p w14:paraId="136F7B75">
            <w:pPr>
              <w:rPr>
                <w:rFonts w:ascii="Arial"/>
                <w:color w:val="auto"/>
                <w:sz w:val="21"/>
                <w:highlight w:val="none"/>
              </w:rPr>
            </w:pPr>
          </w:p>
        </w:tc>
        <w:tc>
          <w:tcPr>
            <w:tcW w:w="1485" w:type="dxa"/>
            <w:vAlign w:val="top"/>
          </w:tcPr>
          <w:p w14:paraId="2D6EF3F2">
            <w:pPr>
              <w:pStyle w:val="16"/>
              <w:spacing w:before="154" w:line="228" w:lineRule="auto"/>
              <w:ind w:left="174"/>
              <w:rPr>
                <w:color w:val="auto"/>
                <w:highlight w:val="none"/>
              </w:rPr>
            </w:pPr>
            <w:r>
              <w:rPr>
                <w:color w:val="auto"/>
                <w:spacing w:val="5"/>
                <w:highlight w:val="none"/>
              </w:rPr>
              <w:t>营业收入(Y)</w:t>
            </w:r>
          </w:p>
        </w:tc>
        <w:tc>
          <w:tcPr>
            <w:tcW w:w="821" w:type="dxa"/>
            <w:vAlign w:val="top"/>
          </w:tcPr>
          <w:p w14:paraId="3CD111ED">
            <w:pPr>
              <w:pStyle w:val="16"/>
              <w:spacing w:before="156" w:line="229" w:lineRule="auto"/>
              <w:ind w:left="209"/>
              <w:rPr>
                <w:color w:val="auto"/>
                <w:highlight w:val="none"/>
              </w:rPr>
            </w:pPr>
            <w:r>
              <w:rPr>
                <w:color w:val="auto"/>
                <w:spacing w:val="2"/>
                <w:highlight w:val="none"/>
              </w:rPr>
              <w:t>万元</w:t>
            </w:r>
          </w:p>
        </w:tc>
        <w:tc>
          <w:tcPr>
            <w:tcW w:w="1261" w:type="dxa"/>
            <w:vAlign w:val="top"/>
          </w:tcPr>
          <w:p w14:paraId="5235D582">
            <w:pPr>
              <w:pStyle w:val="16"/>
              <w:spacing w:before="156" w:line="267" w:lineRule="exact"/>
              <w:ind w:left="213"/>
              <w:rPr>
                <w:color w:val="auto"/>
                <w:highlight w:val="none"/>
              </w:rPr>
            </w:pPr>
            <w:r>
              <w:rPr>
                <w:color w:val="auto"/>
                <w:spacing w:val="4"/>
                <w:position w:val="1"/>
                <w:highlight w:val="none"/>
              </w:rPr>
              <w:t>Y≥10000</w:t>
            </w:r>
          </w:p>
        </w:tc>
        <w:tc>
          <w:tcPr>
            <w:tcW w:w="1848" w:type="dxa"/>
            <w:vAlign w:val="top"/>
          </w:tcPr>
          <w:p w14:paraId="04909CCD">
            <w:pPr>
              <w:pStyle w:val="16"/>
              <w:spacing w:before="156" w:line="265" w:lineRule="exact"/>
              <w:ind w:left="196"/>
              <w:rPr>
                <w:color w:val="auto"/>
                <w:highlight w:val="none"/>
              </w:rPr>
            </w:pPr>
            <w:r>
              <w:rPr>
                <w:color w:val="auto"/>
                <w:spacing w:val="4"/>
                <w:position w:val="1"/>
                <w:highlight w:val="none"/>
              </w:rPr>
              <w:t>2000≤Y＜10000</w:t>
            </w:r>
          </w:p>
        </w:tc>
        <w:tc>
          <w:tcPr>
            <w:tcW w:w="1648" w:type="dxa"/>
            <w:vAlign w:val="top"/>
          </w:tcPr>
          <w:p w14:paraId="6AD65F43">
            <w:pPr>
              <w:pStyle w:val="16"/>
              <w:spacing w:before="156" w:line="265" w:lineRule="exact"/>
              <w:ind w:left="269"/>
              <w:rPr>
                <w:color w:val="auto"/>
                <w:highlight w:val="none"/>
              </w:rPr>
            </w:pPr>
            <w:r>
              <w:rPr>
                <w:color w:val="auto"/>
                <w:spacing w:val="3"/>
                <w:position w:val="1"/>
                <w:highlight w:val="none"/>
              </w:rPr>
              <w:t>100≤Y＜2000</w:t>
            </w:r>
          </w:p>
        </w:tc>
        <w:tc>
          <w:tcPr>
            <w:tcW w:w="994" w:type="dxa"/>
            <w:vAlign w:val="top"/>
          </w:tcPr>
          <w:p w14:paraId="32F5A390">
            <w:pPr>
              <w:pStyle w:val="16"/>
              <w:spacing w:before="156" w:line="269" w:lineRule="exact"/>
              <w:ind w:left="184"/>
              <w:rPr>
                <w:color w:val="auto"/>
                <w:highlight w:val="none"/>
              </w:rPr>
            </w:pPr>
            <w:r>
              <w:rPr>
                <w:color w:val="auto"/>
                <w:spacing w:val="5"/>
                <w:position w:val="1"/>
                <w:highlight w:val="none"/>
              </w:rPr>
              <w:t>Y＜100</w:t>
            </w:r>
          </w:p>
        </w:tc>
      </w:tr>
      <w:tr w14:paraId="55C29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62" w:type="dxa"/>
            <w:vMerge w:val="restart"/>
            <w:tcBorders>
              <w:bottom w:val="nil"/>
            </w:tcBorders>
            <w:vAlign w:val="top"/>
          </w:tcPr>
          <w:p w14:paraId="5E9CC079">
            <w:pPr>
              <w:pStyle w:val="16"/>
              <w:spacing w:before="265" w:line="244" w:lineRule="auto"/>
              <w:ind w:left="115" w:right="199"/>
              <w:rPr>
                <w:color w:val="auto"/>
                <w:highlight w:val="none"/>
              </w:rPr>
            </w:pPr>
            <w:r>
              <w:rPr>
                <w:color w:val="auto"/>
                <w:spacing w:val="8"/>
                <w:highlight w:val="none"/>
              </w:rPr>
              <w:t>信息传输业</w:t>
            </w:r>
            <w:r>
              <w:rPr>
                <w:color w:val="auto"/>
                <w:highlight w:val="none"/>
              </w:rPr>
              <w:t xml:space="preserve"> *</w:t>
            </w:r>
          </w:p>
        </w:tc>
        <w:tc>
          <w:tcPr>
            <w:tcW w:w="1485" w:type="dxa"/>
            <w:vAlign w:val="top"/>
          </w:tcPr>
          <w:p w14:paraId="039F55A2">
            <w:pPr>
              <w:pStyle w:val="16"/>
              <w:spacing w:before="121" w:line="229" w:lineRule="auto"/>
              <w:ind w:left="170"/>
              <w:rPr>
                <w:color w:val="auto"/>
                <w:highlight w:val="none"/>
              </w:rPr>
            </w:pPr>
            <w:r>
              <w:rPr>
                <w:color w:val="auto"/>
                <w:spacing w:val="6"/>
                <w:highlight w:val="none"/>
              </w:rPr>
              <w:t>从业人员(X)</w:t>
            </w:r>
          </w:p>
        </w:tc>
        <w:tc>
          <w:tcPr>
            <w:tcW w:w="821" w:type="dxa"/>
            <w:vAlign w:val="top"/>
          </w:tcPr>
          <w:p w14:paraId="77602BE6">
            <w:pPr>
              <w:pStyle w:val="16"/>
              <w:spacing w:before="121" w:line="231" w:lineRule="auto"/>
              <w:ind w:left="312"/>
              <w:rPr>
                <w:color w:val="auto"/>
                <w:highlight w:val="none"/>
              </w:rPr>
            </w:pPr>
            <w:r>
              <w:rPr>
                <w:color w:val="auto"/>
                <w:highlight w:val="none"/>
              </w:rPr>
              <w:t>人</w:t>
            </w:r>
          </w:p>
        </w:tc>
        <w:tc>
          <w:tcPr>
            <w:tcW w:w="1261" w:type="dxa"/>
            <w:vAlign w:val="top"/>
          </w:tcPr>
          <w:p w14:paraId="7F271F2A">
            <w:pPr>
              <w:pStyle w:val="16"/>
              <w:spacing w:before="121" w:line="267" w:lineRule="exact"/>
              <w:ind w:left="264"/>
              <w:rPr>
                <w:color w:val="auto"/>
                <w:highlight w:val="none"/>
              </w:rPr>
            </w:pPr>
            <w:r>
              <w:rPr>
                <w:color w:val="auto"/>
                <w:spacing w:val="5"/>
                <w:position w:val="1"/>
                <w:highlight w:val="none"/>
              </w:rPr>
              <w:t>X≥2000</w:t>
            </w:r>
          </w:p>
        </w:tc>
        <w:tc>
          <w:tcPr>
            <w:tcW w:w="1848" w:type="dxa"/>
            <w:vAlign w:val="top"/>
          </w:tcPr>
          <w:p w14:paraId="1664F9C3">
            <w:pPr>
              <w:pStyle w:val="16"/>
              <w:spacing w:before="121" w:line="265" w:lineRule="exact"/>
              <w:ind w:left="315"/>
              <w:rPr>
                <w:color w:val="auto"/>
                <w:highlight w:val="none"/>
              </w:rPr>
            </w:pPr>
            <w:r>
              <w:rPr>
                <w:color w:val="auto"/>
                <w:spacing w:val="3"/>
                <w:position w:val="1"/>
                <w:highlight w:val="none"/>
              </w:rPr>
              <w:t>100≤X＜2000</w:t>
            </w:r>
          </w:p>
        </w:tc>
        <w:tc>
          <w:tcPr>
            <w:tcW w:w="1648" w:type="dxa"/>
            <w:vAlign w:val="top"/>
          </w:tcPr>
          <w:p w14:paraId="1D3A53D8">
            <w:pPr>
              <w:pStyle w:val="16"/>
              <w:spacing w:before="121" w:line="265" w:lineRule="exact"/>
              <w:ind w:left="375"/>
              <w:rPr>
                <w:color w:val="auto"/>
                <w:highlight w:val="none"/>
              </w:rPr>
            </w:pPr>
            <w:r>
              <w:rPr>
                <w:color w:val="auto"/>
                <w:spacing w:val="3"/>
                <w:position w:val="1"/>
                <w:highlight w:val="none"/>
              </w:rPr>
              <w:t>10≤X＜100</w:t>
            </w:r>
          </w:p>
        </w:tc>
        <w:tc>
          <w:tcPr>
            <w:tcW w:w="994" w:type="dxa"/>
            <w:vAlign w:val="top"/>
          </w:tcPr>
          <w:p w14:paraId="3B81DB2E">
            <w:pPr>
              <w:pStyle w:val="16"/>
              <w:spacing w:before="121" w:line="269" w:lineRule="exact"/>
              <w:ind w:left="237"/>
              <w:rPr>
                <w:color w:val="auto"/>
                <w:highlight w:val="none"/>
              </w:rPr>
            </w:pPr>
            <w:r>
              <w:rPr>
                <w:color w:val="auto"/>
                <w:spacing w:val="4"/>
                <w:position w:val="1"/>
                <w:highlight w:val="none"/>
              </w:rPr>
              <w:t>X＜10</w:t>
            </w:r>
          </w:p>
        </w:tc>
      </w:tr>
      <w:tr w14:paraId="7127C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2" w:type="dxa"/>
            <w:vMerge w:val="continue"/>
            <w:tcBorders>
              <w:top w:val="nil"/>
            </w:tcBorders>
            <w:vAlign w:val="top"/>
          </w:tcPr>
          <w:p w14:paraId="3ED86DCD">
            <w:pPr>
              <w:rPr>
                <w:rFonts w:ascii="Arial"/>
                <w:color w:val="auto"/>
                <w:sz w:val="21"/>
                <w:highlight w:val="none"/>
              </w:rPr>
            </w:pPr>
          </w:p>
        </w:tc>
        <w:tc>
          <w:tcPr>
            <w:tcW w:w="1485" w:type="dxa"/>
            <w:vAlign w:val="top"/>
          </w:tcPr>
          <w:p w14:paraId="1ED2E2B0">
            <w:pPr>
              <w:pStyle w:val="16"/>
              <w:spacing w:before="157" w:line="228" w:lineRule="auto"/>
              <w:ind w:left="174"/>
              <w:rPr>
                <w:color w:val="auto"/>
                <w:highlight w:val="none"/>
              </w:rPr>
            </w:pPr>
            <w:r>
              <w:rPr>
                <w:color w:val="auto"/>
                <w:spacing w:val="5"/>
                <w:highlight w:val="none"/>
              </w:rPr>
              <w:t>营业收入(Y)</w:t>
            </w:r>
          </w:p>
        </w:tc>
        <w:tc>
          <w:tcPr>
            <w:tcW w:w="821" w:type="dxa"/>
            <w:vAlign w:val="top"/>
          </w:tcPr>
          <w:p w14:paraId="3FCA72AC">
            <w:pPr>
              <w:pStyle w:val="16"/>
              <w:spacing w:before="159" w:line="229" w:lineRule="auto"/>
              <w:ind w:left="209"/>
              <w:rPr>
                <w:color w:val="auto"/>
                <w:highlight w:val="none"/>
              </w:rPr>
            </w:pPr>
            <w:r>
              <w:rPr>
                <w:color w:val="auto"/>
                <w:spacing w:val="2"/>
                <w:highlight w:val="none"/>
              </w:rPr>
              <w:t>万元</w:t>
            </w:r>
          </w:p>
        </w:tc>
        <w:tc>
          <w:tcPr>
            <w:tcW w:w="1261" w:type="dxa"/>
            <w:vAlign w:val="top"/>
          </w:tcPr>
          <w:p w14:paraId="1E32C58C">
            <w:pPr>
              <w:pStyle w:val="16"/>
              <w:spacing w:before="159" w:line="267" w:lineRule="exact"/>
              <w:ind w:left="160"/>
              <w:rPr>
                <w:color w:val="auto"/>
                <w:highlight w:val="none"/>
              </w:rPr>
            </w:pPr>
            <w:r>
              <w:rPr>
                <w:color w:val="auto"/>
                <w:spacing w:val="4"/>
                <w:position w:val="1"/>
                <w:highlight w:val="none"/>
              </w:rPr>
              <w:t>Y≥100000</w:t>
            </w:r>
          </w:p>
        </w:tc>
        <w:tc>
          <w:tcPr>
            <w:tcW w:w="1848" w:type="dxa"/>
            <w:vAlign w:val="top"/>
          </w:tcPr>
          <w:p w14:paraId="78BCAB3F">
            <w:pPr>
              <w:pStyle w:val="16"/>
              <w:spacing w:before="53" w:line="326" w:lineRule="exact"/>
              <w:ind w:left="526"/>
              <w:rPr>
                <w:color w:val="auto"/>
                <w:highlight w:val="none"/>
              </w:rPr>
            </w:pPr>
            <w:r>
              <w:rPr>
                <w:color w:val="auto"/>
                <w:spacing w:val="13"/>
                <w:position w:val="9"/>
                <w:highlight w:val="none"/>
              </w:rPr>
              <w:t>1000≤Y&lt;</w:t>
            </w:r>
          </w:p>
          <w:p w14:paraId="75068990">
            <w:pPr>
              <w:pStyle w:val="16"/>
              <w:spacing w:line="138" w:lineRule="exact"/>
              <w:ind w:left="629"/>
              <w:rPr>
                <w:color w:val="auto"/>
                <w:highlight w:val="none"/>
              </w:rPr>
            </w:pPr>
            <w:r>
              <w:rPr>
                <w:color w:val="auto"/>
                <w:spacing w:val="1"/>
                <w:position w:val="-3"/>
                <w:highlight w:val="none"/>
              </w:rPr>
              <w:t>100000</w:t>
            </w:r>
          </w:p>
        </w:tc>
        <w:tc>
          <w:tcPr>
            <w:tcW w:w="1648" w:type="dxa"/>
            <w:vAlign w:val="top"/>
          </w:tcPr>
          <w:p w14:paraId="35A894A2">
            <w:pPr>
              <w:pStyle w:val="16"/>
              <w:spacing w:before="159" w:line="265" w:lineRule="exact"/>
              <w:ind w:left="130"/>
              <w:rPr>
                <w:color w:val="auto"/>
                <w:highlight w:val="none"/>
              </w:rPr>
            </w:pPr>
            <w:r>
              <w:rPr>
                <w:color w:val="auto"/>
                <w:spacing w:val="3"/>
                <w:position w:val="1"/>
                <w:highlight w:val="none"/>
              </w:rPr>
              <w:t>100≤Y＜1000</w:t>
            </w:r>
          </w:p>
        </w:tc>
        <w:tc>
          <w:tcPr>
            <w:tcW w:w="994" w:type="dxa"/>
            <w:vAlign w:val="top"/>
          </w:tcPr>
          <w:p w14:paraId="25DEE232">
            <w:pPr>
              <w:pStyle w:val="16"/>
              <w:spacing w:before="159" w:line="269" w:lineRule="exact"/>
              <w:ind w:left="184"/>
              <w:rPr>
                <w:color w:val="auto"/>
                <w:highlight w:val="none"/>
              </w:rPr>
            </w:pPr>
            <w:r>
              <w:rPr>
                <w:color w:val="auto"/>
                <w:spacing w:val="5"/>
                <w:position w:val="1"/>
                <w:highlight w:val="none"/>
              </w:rPr>
              <w:t>Y＜100</w:t>
            </w:r>
          </w:p>
        </w:tc>
      </w:tr>
      <w:tr w14:paraId="1FB7E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62" w:type="dxa"/>
            <w:vMerge w:val="restart"/>
            <w:tcBorders>
              <w:bottom w:val="nil"/>
            </w:tcBorders>
            <w:vAlign w:val="top"/>
          </w:tcPr>
          <w:p w14:paraId="1AEEC147">
            <w:pPr>
              <w:pStyle w:val="16"/>
              <w:spacing w:before="300" w:line="225" w:lineRule="auto"/>
              <w:ind w:left="118" w:right="110"/>
              <w:rPr>
                <w:color w:val="auto"/>
                <w:highlight w:val="none"/>
              </w:rPr>
            </w:pPr>
            <w:r>
              <w:rPr>
                <w:color w:val="auto"/>
                <w:spacing w:val="-13"/>
                <w:highlight w:val="none"/>
              </w:rPr>
              <w:t>软件和信息技</w:t>
            </w:r>
            <w:r>
              <w:rPr>
                <w:color w:val="auto"/>
                <w:spacing w:val="4"/>
                <w:highlight w:val="none"/>
              </w:rPr>
              <w:t xml:space="preserve"> </w:t>
            </w:r>
            <w:r>
              <w:rPr>
                <w:color w:val="auto"/>
                <w:spacing w:val="-6"/>
                <w:highlight w:val="none"/>
              </w:rPr>
              <w:t>术服务业</w:t>
            </w:r>
          </w:p>
        </w:tc>
        <w:tc>
          <w:tcPr>
            <w:tcW w:w="1485" w:type="dxa"/>
            <w:vAlign w:val="top"/>
          </w:tcPr>
          <w:p w14:paraId="1973E383">
            <w:pPr>
              <w:pStyle w:val="16"/>
              <w:spacing w:before="130" w:line="229" w:lineRule="auto"/>
              <w:ind w:left="170"/>
              <w:rPr>
                <w:color w:val="auto"/>
                <w:highlight w:val="none"/>
              </w:rPr>
            </w:pPr>
            <w:r>
              <w:rPr>
                <w:color w:val="auto"/>
                <w:spacing w:val="6"/>
                <w:highlight w:val="none"/>
              </w:rPr>
              <w:t>从业人员(X)</w:t>
            </w:r>
          </w:p>
        </w:tc>
        <w:tc>
          <w:tcPr>
            <w:tcW w:w="821" w:type="dxa"/>
            <w:vAlign w:val="top"/>
          </w:tcPr>
          <w:p w14:paraId="439FC0F5">
            <w:pPr>
              <w:pStyle w:val="16"/>
              <w:spacing w:before="130" w:line="231" w:lineRule="auto"/>
              <w:ind w:left="312"/>
              <w:rPr>
                <w:color w:val="auto"/>
                <w:highlight w:val="none"/>
              </w:rPr>
            </w:pPr>
            <w:r>
              <w:rPr>
                <w:color w:val="auto"/>
                <w:highlight w:val="none"/>
              </w:rPr>
              <w:t>人</w:t>
            </w:r>
          </w:p>
        </w:tc>
        <w:tc>
          <w:tcPr>
            <w:tcW w:w="1261" w:type="dxa"/>
            <w:vAlign w:val="top"/>
          </w:tcPr>
          <w:p w14:paraId="1CB90361">
            <w:pPr>
              <w:pStyle w:val="16"/>
              <w:spacing w:before="130" w:line="267" w:lineRule="exact"/>
              <w:ind w:left="317"/>
              <w:rPr>
                <w:color w:val="auto"/>
                <w:highlight w:val="none"/>
              </w:rPr>
            </w:pPr>
            <w:r>
              <w:rPr>
                <w:color w:val="auto"/>
                <w:spacing w:val="5"/>
                <w:position w:val="1"/>
                <w:highlight w:val="none"/>
              </w:rPr>
              <w:t>X≥300</w:t>
            </w:r>
          </w:p>
        </w:tc>
        <w:tc>
          <w:tcPr>
            <w:tcW w:w="1848" w:type="dxa"/>
            <w:vAlign w:val="top"/>
          </w:tcPr>
          <w:p w14:paraId="63C9B92B">
            <w:pPr>
              <w:pStyle w:val="16"/>
              <w:spacing w:before="130" w:line="265" w:lineRule="exact"/>
              <w:ind w:left="315"/>
              <w:rPr>
                <w:color w:val="auto"/>
                <w:highlight w:val="none"/>
              </w:rPr>
            </w:pPr>
            <w:r>
              <w:rPr>
                <w:color w:val="auto"/>
                <w:spacing w:val="3"/>
                <w:position w:val="1"/>
                <w:highlight w:val="none"/>
              </w:rPr>
              <w:t>100≤X＜300</w:t>
            </w:r>
          </w:p>
        </w:tc>
        <w:tc>
          <w:tcPr>
            <w:tcW w:w="1648" w:type="dxa"/>
            <w:vAlign w:val="top"/>
          </w:tcPr>
          <w:p w14:paraId="571AC76C">
            <w:pPr>
              <w:pStyle w:val="16"/>
              <w:spacing w:before="130" w:line="265" w:lineRule="exact"/>
              <w:ind w:left="322"/>
              <w:rPr>
                <w:color w:val="auto"/>
                <w:highlight w:val="none"/>
              </w:rPr>
            </w:pPr>
            <w:r>
              <w:rPr>
                <w:color w:val="auto"/>
                <w:spacing w:val="3"/>
                <w:position w:val="1"/>
                <w:highlight w:val="none"/>
              </w:rPr>
              <w:t>10≤X＜100</w:t>
            </w:r>
          </w:p>
        </w:tc>
        <w:tc>
          <w:tcPr>
            <w:tcW w:w="994" w:type="dxa"/>
            <w:vAlign w:val="top"/>
          </w:tcPr>
          <w:p w14:paraId="740FE7BD">
            <w:pPr>
              <w:pStyle w:val="16"/>
              <w:spacing w:before="130" w:line="269" w:lineRule="exact"/>
              <w:ind w:left="237"/>
              <w:rPr>
                <w:color w:val="auto"/>
                <w:highlight w:val="none"/>
              </w:rPr>
            </w:pPr>
            <w:r>
              <w:rPr>
                <w:color w:val="auto"/>
                <w:spacing w:val="4"/>
                <w:position w:val="1"/>
                <w:highlight w:val="none"/>
              </w:rPr>
              <w:t>X＜10</w:t>
            </w:r>
          </w:p>
        </w:tc>
      </w:tr>
      <w:tr w14:paraId="39F0D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62" w:type="dxa"/>
            <w:vMerge w:val="continue"/>
            <w:tcBorders>
              <w:top w:val="nil"/>
            </w:tcBorders>
            <w:vAlign w:val="top"/>
          </w:tcPr>
          <w:p w14:paraId="2FC4DC9A">
            <w:pPr>
              <w:rPr>
                <w:rFonts w:ascii="Arial"/>
                <w:color w:val="auto"/>
                <w:sz w:val="21"/>
                <w:highlight w:val="none"/>
              </w:rPr>
            </w:pPr>
          </w:p>
        </w:tc>
        <w:tc>
          <w:tcPr>
            <w:tcW w:w="1485" w:type="dxa"/>
            <w:vAlign w:val="top"/>
          </w:tcPr>
          <w:p w14:paraId="7B0487DA">
            <w:pPr>
              <w:pStyle w:val="16"/>
              <w:spacing w:before="186" w:line="228" w:lineRule="auto"/>
              <w:ind w:left="174"/>
              <w:rPr>
                <w:color w:val="auto"/>
                <w:highlight w:val="none"/>
              </w:rPr>
            </w:pPr>
            <w:r>
              <w:rPr>
                <w:color w:val="auto"/>
                <w:spacing w:val="5"/>
                <w:highlight w:val="none"/>
              </w:rPr>
              <w:t>营业收入(Y)</w:t>
            </w:r>
          </w:p>
        </w:tc>
        <w:tc>
          <w:tcPr>
            <w:tcW w:w="821" w:type="dxa"/>
            <w:vAlign w:val="top"/>
          </w:tcPr>
          <w:p w14:paraId="24B1DBD7">
            <w:pPr>
              <w:pStyle w:val="16"/>
              <w:spacing w:before="186" w:line="229" w:lineRule="auto"/>
              <w:ind w:left="209"/>
              <w:rPr>
                <w:color w:val="auto"/>
                <w:highlight w:val="none"/>
              </w:rPr>
            </w:pPr>
            <w:r>
              <w:rPr>
                <w:color w:val="auto"/>
                <w:spacing w:val="2"/>
                <w:highlight w:val="none"/>
              </w:rPr>
              <w:t>万元</w:t>
            </w:r>
          </w:p>
        </w:tc>
        <w:tc>
          <w:tcPr>
            <w:tcW w:w="1261" w:type="dxa"/>
            <w:vAlign w:val="top"/>
          </w:tcPr>
          <w:p w14:paraId="6AA8891A">
            <w:pPr>
              <w:pStyle w:val="16"/>
              <w:spacing w:before="186" w:line="267" w:lineRule="exact"/>
              <w:ind w:left="213"/>
              <w:rPr>
                <w:color w:val="auto"/>
                <w:highlight w:val="none"/>
              </w:rPr>
            </w:pPr>
            <w:r>
              <w:rPr>
                <w:color w:val="auto"/>
                <w:spacing w:val="4"/>
                <w:position w:val="1"/>
                <w:highlight w:val="none"/>
              </w:rPr>
              <w:t>Y≥10000</w:t>
            </w:r>
          </w:p>
        </w:tc>
        <w:tc>
          <w:tcPr>
            <w:tcW w:w="1848" w:type="dxa"/>
            <w:vAlign w:val="top"/>
          </w:tcPr>
          <w:p w14:paraId="7906D9B6">
            <w:pPr>
              <w:pStyle w:val="16"/>
              <w:spacing w:before="186" w:line="265" w:lineRule="exact"/>
              <w:ind w:left="209"/>
              <w:rPr>
                <w:color w:val="auto"/>
                <w:highlight w:val="none"/>
              </w:rPr>
            </w:pPr>
            <w:r>
              <w:rPr>
                <w:color w:val="auto"/>
                <w:spacing w:val="3"/>
                <w:position w:val="1"/>
                <w:highlight w:val="none"/>
              </w:rPr>
              <w:t>1000≤Y＜10000</w:t>
            </w:r>
          </w:p>
        </w:tc>
        <w:tc>
          <w:tcPr>
            <w:tcW w:w="1648" w:type="dxa"/>
            <w:vAlign w:val="top"/>
          </w:tcPr>
          <w:p w14:paraId="1728725C">
            <w:pPr>
              <w:pStyle w:val="16"/>
              <w:spacing w:before="186" w:line="265" w:lineRule="exact"/>
              <w:ind w:left="310"/>
              <w:rPr>
                <w:color w:val="auto"/>
                <w:highlight w:val="none"/>
              </w:rPr>
            </w:pPr>
            <w:r>
              <w:rPr>
                <w:color w:val="auto"/>
                <w:spacing w:val="4"/>
                <w:position w:val="1"/>
                <w:highlight w:val="none"/>
              </w:rPr>
              <w:t>50≤Y＜1000</w:t>
            </w:r>
          </w:p>
        </w:tc>
        <w:tc>
          <w:tcPr>
            <w:tcW w:w="994" w:type="dxa"/>
            <w:vAlign w:val="top"/>
          </w:tcPr>
          <w:p w14:paraId="00F48024">
            <w:pPr>
              <w:pStyle w:val="16"/>
              <w:spacing w:before="186" w:line="269" w:lineRule="exact"/>
              <w:ind w:left="237"/>
              <w:rPr>
                <w:color w:val="auto"/>
                <w:highlight w:val="none"/>
              </w:rPr>
            </w:pPr>
            <w:r>
              <w:rPr>
                <w:color w:val="auto"/>
                <w:spacing w:val="4"/>
                <w:position w:val="1"/>
                <w:highlight w:val="none"/>
              </w:rPr>
              <w:t>Y＜50</w:t>
            </w:r>
          </w:p>
        </w:tc>
      </w:tr>
      <w:tr w14:paraId="34BB1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362" w:type="dxa"/>
            <w:vMerge w:val="restart"/>
            <w:tcBorders>
              <w:bottom w:val="nil"/>
            </w:tcBorders>
            <w:vAlign w:val="top"/>
          </w:tcPr>
          <w:p w14:paraId="228B1392">
            <w:pPr>
              <w:spacing w:line="249" w:lineRule="auto"/>
              <w:rPr>
                <w:rFonts w:ascii="Arial"/>
                <w:color w:val="auto"/>
                <w:sz w:val="21"/>
                <w:highlight w:val="none"/>
              </w:rPr>
            </w:pPr>
          </w:p>
          <w:p w14:paraId="01773DAA">
            <w:pPr>
              <w:pStyle w:val="16"/>
              <w:spacing w:before="65" w:line="225" w:lineRule="auto"/>
              <w:ind w:left="117" w:right="199"/>
              <w:rPr>
                <w:color w:val="auto"/>
                <w:highlight w:val="none"/>
              </w:rPr>
            </w:pPr>
            <w:r>
              <w:rPr>
                <w:color w:val="auto"/>
                <w:spacing w:val="7"/>
                <w:highlight w:val="none"/>
              </w:rPr>
              <w:t>房地产开发</w:t>
            </w:r>
            <w:r>
              <w:rPr>
                <w:color w:val="auto"/>
                <w:spacing w:val="3"/>
                <w:highlight w:val="none"/>
              </w:rPr>
              <w:t xml:space="preserve"> 经营</w:t>
            </w:r>
          </w:p>
        </w:tc>
        <w:tc>
          <w:tcPr>
            <w:tcW w:w="1485" w:type="dxa"/>
            <w:vAlign w:val="top"/>
          </w:tcPr>
          <w:p w14:paraId="0DE32973">
            <w:pPr>
              <w:pStyle w:val="16"/>
              <w:spacing w:before="149" w:line="228" w:lineRule="auto"/>
              <w:ind w:left="174"/>
              <w:rPr>
                <w:color w:val="auto"/>
                <w:highlight w:val="none"/>
              </w:rPr>
            </w:pPr>
            <w:r>
              <w:rPr>
                <w:color w:val="auto"/>
                <w:spacing w:val="5"/>
                <w:highlight w:val="none"/>
              </w:rPr>
              <w:t>营业收入(Y)</w:t>
            </w:r>
          </w:p>
        </w:tc>
        <w:tc>
          <w:tcPr>
            <w:tcW w:w="821" w:type="dxa"/>
            <w:vAlign w:val="top"/>
          </w:tcPr>
          <w:p w14:paraId="0551AA83">
            <w:pPr>
              <w:pStyle w:val="16"/>
              <w:spacing w:before="149" w:line="229" w:lineRule="auto"/>
              <w:ind w:left="209"/>
              <w:rPr>
                <w:color w:val="auto"/>
                <w:highlight w:val="none"/>
              </w:rPr>
            </w:pPr>
            <w:r>
              <w:rPr>
                <w:color w:val="auto"/>
                <w:spacing w:val="2"/>
                <w:highlight w:val="none"/>
              </w:rPr>
              <w:t>万元</w:t>
            </w:r>
          </w:p>
        </w:tc>
        <w:tc>
          <w:tcPr>
            <w:tcW w:w="1261" w:type="dxa"/>
            <w:vAlign w:val="top"/>
          </w:tcPr>
          <w:p w14:paraId="5EB534BC">
            <w:pPr>
              <w:pStyle w:val="16"/>
              <w:spacing w:before="149" w:line="267" w:lineRule="exact"/>
              <w:ind w:left="160"/>
              <w:rPr>
                <w:color w:val="auto"/>
                <w:highlight w:val="none"/>
              </w:rPr>
            </w:pPr>
            <w:r>
              <w:rPr>
                <w:color w:val="auto"/>
                <w:spacing w:val="4"/>
                <w:position w:val="1"/>
                <w:highlight w:val="none"/>
              </w:rPr>
              <w:t>Y≥200000</w:t>
            </w:r>
          </w:p>
        </w:tc>
        <w:tc>
          <w:tcPr>
            <w:tcW w:w="1848" w:type="dxa"/>
            <w:vAlign w:val="top"/>
          </w:tcPr>
          <w:p w14:paraId="3F0B5F9D">
            <w:pPr>
              <w:pStyle w:val="16"/>
              <w:spacing w:before="149" w:line="265" w:lineRule="exact"/>
              <w:ind w:left="130"/>
              <w:rPr>
                <w:color w:val="auto"/>
                <w:highlight w:val="none"/>
              </w:rPr>
            </w:pPr>
            <w:r>
              <w:rPr>
                <w:color w:val="auto"/>
                <w:spacing w:val="3"/>
                <w:position w:val="1"/>
                <w:highlight w:val="none"/>
              </w:rPr>
              <w:t>1000≤Y＜200000</w:t>
            </w:r>
          </w:p>
        </w:tc>
        <w:tc>
          <w:tcPr>
            <w:tcW w:w="1648" w:type="dxa"/>
            <w:vAlign w:val="top"/>
          </w:tcPr>
          <w:p w14:paraId="590AB5CB">
            <w:pPr>
              <w:pStyle w:val="16"/>
              <w:spacing w:before="149" w:line="265" w:lineRule="exact"/>
              <w:ind w:left="269"/>
              <w:rPr>
                <w:color w:val="auto"/>
                <w:highlight w:val="none"/>
              </w:rPr>
            </w:pPr>
            <w:r>
              <w:rPr>
                <w:color w:val="auto"/>
                <w:spacing w:val="3"/>
                <w:position w:val="1"/>
                <w:highlight w:val="none"/>
              </w:rPr>
              <w:t>100≤Y＜1000</w:t>
            </w:r>
          </w:p>
        </w:tc>
        <w:tc>
          <w:tcPr>
            <w:tcW w:w="994" w:type="dxa"/>
            <w:vAlign w:val="top"/>
          </w:tcPr>
          <w:p w14:paraId="7978F329">
            <w:pPr>
              <w:pStyle w:val="16"/>
              <w:spacing w:before="149" w:line="269" w:lineRule="exact"/>
              <w:ind w:left="184"/>
              <w:rPr>
                <w:color w:val="auto"/>
                <w:highlight w:val="none"/>
              </w:rPr>
            </w:pPr>
            <w:r>
              <w:rPr>
                <w:color w:val="auto"/>
                <w:spacing w:val="5"/>
                <w:position w:val="1"/>
                <w:highlight w:val="none"/>
              </w:rPr>
              <w:t>Y＜100</w:t>
            </w:r>
          </w:p>
        </w:tc>
      </w:tr>
      <w:tr w14:paraId="77DE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62" w:type="dxa"/>
            <w:vMerge w:val="continue"/>
            <w:tcBorders>
              <w:top w:val="nil"/>
            </w:tcBorders>
            <w:vAlign w:val="top"/>
          </w:tcPr>
          <w:p w14:paraId="35EF5292">
            <w:pPr>
              <w:rPr>
                <w:rFonts w:ascii="Arial"/>
                <w:color w:val="auto"/>
                <w:sz w:val="21"/>
                <w:highlight w:val="none"/>
              </w:rPr>
            </w:pPr>
          </w:p>
        </w:tc>
        <w:tc>
          <w:tcPr>
            <w:tcW w:w="1485" w:type="dxa"/>
            <w:vAlign w:val="top"/>
          </w:tcPr>
          <w:p w14:paraId="3F941289">
            <w:pPr>
              <w:pStyle w:val="16"/>
              <w:spacing w:before="179" w:line="228" w:lineRule="auto"/>
              <w:ind w:left="177"/>
              <w:rPr>
                <w:color w:val="auto"/>
                <w:highlight w:val="none"/>
              </w:rPr>
            </w:pPr>
            <w:r>
              <w:rPr>
                <w:color w:val="auto"/>
                <w:spacing w:val="5"/>
                <w:highlight w:val="none"/>
              </w:rPr>
              <w:t>资产总额(Z)</w:t>
            </w:r>
          </w:p>
        </w:tc>
        <w:tc>
          <w:tcPr>
            <w:tcW w:w="821" w:type="dxa"/>
            <w:vAlign w:val="top"/>
          </w:tcPr>
          <w:p w14:paraId="7A21E50C">
            <w:pPr>
              <w:pStyle w:val="16"/>
              <w:spacing w:before="181" w:line="229" w:lineRule="auto"/>
              <w:ind w:left="209"/>
              <w:rPr>
                <w:color w:val="auto"/>
                <w:highlight w:val="none"/>
              </w:rPr>
            </w:pPr>
            <w:r>
              <w:rPr>
                <w:color w:val="auto"/>
                <w:spacing w:val="2"/>
                <w:highlight w:val="none"/>
              </w:rPr>
              <w:t>万元</w:t>
            </w:r>
          </w:p>
        </w:tc>
        <w:tc>
          <w:tcPr>
            <w:tcW w:w="1261" w:type="dxa"/>
            <w:vAlign w:val="top"/>
          </w:tcPr>
          <w:p w14:paraId="75CD4378">
            <w:pPr>
              <w:pStyle w:val="16"/>
              <w:spacing w:before="181" w:line="267" w:lineRule="exact"/>
              <w:ind w:left="215"/>
              <w:rPr>
                <w:color w:val="auto"/>
                <w:highlight w:val="none"/>
              </w:rPr>
            </w:pPr>
            <w:r>
              <w:rPr>
                <w:color w:val="auto"/>
                <w:spacing w:val="4"/>
                <w:position w:val="1"/>
                <w:highlight w:val="none"/>
              </w:rPr>
              <w:t>Z≥10000</w:t>
            </w:r>
          </w:p>
        </w:tc>
        <w:tc>
          <w:tcPr>
            <w:tcW w:w="1848" w:type="dxa"/>
            <w:vAlign w:val="top"/>
          </w:tcPr>
          <w:p w14:paraId="2671B479">
            <w:pPr>
              <w:pStyle w:val="16"/>
              <w:spacing w:before="181" w:line="265" w:lineRule="exact"/>
              <w:ind w:left="198"/>
              <w:rPr>
                <w:color w:val="auto"/>
                <w:highlight w:val="none"/>
              </w:rPr>
            </w:pPr>
            <w:r>
              <w:rPr>
                <w:color w:val="auto"/>
                <w:spacing w:val="4"/>
                <w:position w:val="1"/>
                <w:highlight w:val="none"/>
              </w:rPr>
              <w:t>5000≤Z＜10000</w:t>
            </w:r>
          </w:p>
        </w:tc>
        <w:tc>
          <w:tcPr>
            <w:tcW w:w="1648" w:type="dxa"/>
            <w:vAlign w:val="top"/>
          </w:tcPr>
          <w:p w14:paraId="4DEF42D6">
            <w:pPr>
              <w:pStyle w:val="16"/>
              <w:spacing w:before="181" w:line="265" w:lineRule="exact"/>
              <w:ind w:left="150"/>
              <w:rPr>
                <w:color w:val="auto"/>
                <w:highlight w:val="none"/>
              </w:rPr>
            </w:pPr>
            <w:r>
              <w:rPr>
                <w:color w:val="auto"/>
                <w:spacing w:val="5"/>
                <w:position w:val="1"/>
                <w:highlight w:val="none"/>
              </w:rPr>
              <w:t>2000≤Z＜5000</w:t>
            </w:r>
          </w:p>
        </w:tc>
        <w:tc>
          <w:tcPr>
            <w:tcW w:w="994" w:type="dxa"/>
            <w:vAlign w:val="top"/>
          </w:tcPr>
          <w:p w14:paraId="29AD11BD">
            <w:pPr>
              <w:pStyle w:val="16"/>
              <w:spacing w:before="181" w:line="269" w:lineRule="exact"/>
              <w:ind w:left="133"/>
              <w:rPr>
                <w:color w:val="auto"/>
                <w:highlight w:val="none"/>
              </w:rPr>
            </w:pPr>
            <w:r>
              <w:rPr>
                <w:color w:val="auto"/>
                <w:spacing w:val="4"/>
                <w:position w:val="1"/>
                <w:highlight w:val="none"/>
              </w:rPr>
              <w:t>Z＜2000</w:t>
            </w:r>
          </w:p>
        </w:tc>
      </w:tr>
      <w:tr w14:paraId="3BAE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62" w:type="dxa"/>
            <w:vMerge w:val="restart"/>
            <w:tcBorders>
              <w:bottom w:val="nil"/>
            </w:tcBorders>
            <w:vAlign w:val="top"/>
          </w:tcPr>
          <w:p w14:paraId="757C74BD">
            <w:pPr>
              <w:spacing w:line="315" w:lineRule="auto"/>
              <w:rPr>
                <w:rFonts w:ascii="Arial"/>
                <w:color w:val="auto"/>
                <w:sz w:val="21"/>
                <w:highlight w:val="none"/>
              </w:rPr>
            </w:pPr>
          </w:p>
          <w:p w14:paraId="7208EFD6">
            <w:pPr>
              <w:pStyle w:val="16"/>
              <w:spacing w:before="65" w:line="228" w:lineRule="auto"/>
              <w:ind w:left="116"/>
              <w:rPr>
                <w:color w:val="auto"/>
                <w:highlight w:val="none"/>
              </w:rPr>
            </w:pPr>
            <w:r>
              <w:rPr>
                <w:color w:val="auto"/>
                <w:spacing w:val="7"/>
                <w:highlight w:val="none"/>
              </w:rPr>
              <w:t>物业管理</w:t>
            </w:r>
          </w:p>
        </w:tc>
        <w:tc>
          <w:tcPr>
            <w:tcW w:w="1485" w:type="dxa"/>
            <w:vAlign w:val="top"/>
          </w:tcPr>
          <w:p w14:paraId="31E0D9AF">
            <w:pPr>
              <w:pStyle w:val="16"/>
              <w:spacing w:before="123" w:line="229" w:lineRule="auto"/>
              <w:ind w:left="170"/>
              <w:rPr>
                <w:color w:val="auto"/>
                <w:highlight w:val="none"/>
              </w:rPr>
            </w:pPr>
            <w:r>
              <w:rPr>
                <w:color w:val="auto"/>
                <w:spacing w:val="6"/>
                <w:highlight w:val="none"/>
              </w:rPr>
              <w:t>从业人员(X)</w:t>
            </w:r>
          </w:p>
        </w:tc>
        <w:tc>
          <w:tcPr>
            <w:tcW w:w="821" w:type="dxa"/>
            <w:vAlign w:val="top"/>
          </w:tcPr>
          <w:p w14:paraId="4115C56F">
            <w:pPr>
              <w:pStyle w:val="16"/>
              <w:spacing w:before="123" w:line="231" w:lineRule="auto"/>
              <w:ind w:left="312"/>
              <w:rPr>
                <w:color w:val="auto"/>
                <w:highlight w:val="none"/>
              </w:rPr>
            </w:pPr>
            <w:r>
              <w:rPr>
                <w:color w:val="auto"/>
                <w:highlight w:val="none"/>
              </w:rPr>
              <w:t>人</w:t>
            </w:r>
          </w:p>
        </w:tc>
        <w:tc>
          <w:tcPr>
            <w:tcW w:w="1261" w:type="dxa"/>
            <w:vAlign w:val="top"/>
          </w:tcPr>
          <w:p w14:paraId="39D05DE9">
            <w:pPr>
              <w:pStyle w:val="16"/>
              <w:spacing w:before="123" w:line="267" w:lineRule="exact"/>
              <w:ind w:left="264"/>
              <w:rPr>
                <w:color w:val="auto"/>
                <w:highlight w:val="none"/>
              </w:rPr>
            </w:pPr>
            <w:r>
              <w:rPr>
                <w:color w:val="auto"/>
                <w:spacing w:val="5"/>
                <w:position w:val="1"/>
                <w:highlight w:val="none"/>
              </w:rPr>
              <w:t>X≥1000</w:t>
            </w:r>
          </w:p>
        </w:tc>
        <w:tc>
          <w:tcPr>
            <w:tcW w:w="1848" w:type="dxa"/>
            <w:vAlign w:val="top"/>
          </w:tcPr>
          <w:p w14:paraId="04A42994">
            <w:pPr>
              <w:pStyle w:val="16"/>
              <w:spacing w:before="123" w:line="265" w:lineRule="exact"/>
              <w:ind w:left="303"/>
              <w:rPr>
                <w:color w:val="auto"/>
                <w:highlight w:val="none"/>
              </w:rPr>
            </w:pPr>
            <w:r>
              <w:rPr>
                <w:color w:val="auto"/>
                <w:spacing w:val="4"/>
                <w:position w:val="1"/>
                <w:highlight w:val="none"/>
              </w:rPr>
              <w:t>300≤X＜1000</w:t>
            </w:r>
          </w:p>
        </w:tc>
        <w:tc>
          <w:tcPr>
            <w:tcW w:w="1648" w:type="dxa"/>
            <w:vAlign w:val="top"/>
          </w:tcPr>
          <w:p w14:paraId="123A1A7F">
            <w:pPr>
              <w:pStyle w:val="16"/>
              <w:spacing w:before="123" w:line="265" w:lineRule="exact"/>
              <w:ind w:left="269"/>
              <w:rPr>
                <w:color w:val="auto"/>
                <w:highlight w:val="none"/>
              </w:rPr>
            </w:pPr>
            <w:r>
              <w:rPr>
                <w:color w:val="auto"/>
                <w:spacing w:val="3"/>
                <w:position w:val="1"/>
                <w:highlight w:val="none"/>
              </w:rPr>
              <w:t>100≤X＜300</w:t>
            </w:r>
          </w:p>
        </w:tc>
        <w:tc>
          <w:tcPr>
            <w:tcW w:w="994" w:type="dxa"/>
            <w:vAlign w:val="top"/>
          </w:tcPr>
          <w:p w14:paraId="3C9D8E6B">
            <w:pPr>
              <w:pStyle w:val="16"/>
              <w:spacing w:before="123" w:line="269" w:lineRule="exact"/>
              <w:ind w:left="185"/>
              <w:rPr>
                <w:color w:val="auto"/>
                <w:highlight w:val="none"/>
              </w:rPr>
            </w:pPr>
            <w:r>
              <w:rPr>
                <w:color w:val="auto"/>
                <w:spacing w:val="4"/>
                <w:position w:val="1"/>
                <w:highlight w:val="none"/>
              </w:rPr>
              <w:t>X＜100</w:t>
            </w:r>
          </w:p>
        </w:tc>
      </w:tr>
      <w:tr w14:paraId="50593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62" w:type="dxa"/>
            <w:vMerge w:val="continue"/>
            <w:tcBorders>
              <w:top w:val="nil"/>
            </w:tcBorders>
            <w:vAlign w:val="top"/>
          </w:tcPr>
          <w:p w14:paraId="1D2C7426">
            <w:pPr>
              <w:rPr>
                <w:rFonts w:ascii="Arial"/>
                <w:color w:val="auto"/>
                <w:sz w:val="21"/>
                <w:highlight w:val="none"/>
              </w:rPr>
            </w:pPr>
          </w:p>
        </w:tc>
        <w:tc>
          <w:tcPr>
            <w:tcW w:w="1485" w:type="dxa"/>
            <w:vAlign w:val="top"/>
          </w:tcPr>
          <w:p w14:paraId="740CD3C4">
            <w:pPr>
              <w:pStyle w:val="16"/>
              <w:spacing w:before="152" w:line="228" w:lineRule="auto"/>
              <w:ind w:left="174"/>
              <w:rPr>
                <w:color w:val="auto"/>
                <w:highlight w:val="none"/>
              </w:rPr>
            </w:pPr>
            <w:r>
              <w:rPr>
                <w:color w:val="auto"/>
                <w:spacing w:val="5"/>
                <w:highlight w:val="none"/>
              </w:rPr>
              <w:t>营业收入(Y)</w:t>
            </w:r>
          </w:p>
        </w:tc>
        <w:tc>
          <w:tcPr>
            <w:tcW w:w="821" w:type="dxa"/>
            <w:vAlign w:val="top"/>
          </w:tcPr>
          <w:p w14:paraId="1890BBE2">
            <w:pPr>
              <w:pStyle w:val="16"/>
              <w:spacing w:before="157" w:line="229" w:lineRule="auto"/>
              <w:ind w:left="209"/>
              <w:rPr>
                <w:color w:val="auto"/>
                <w:highlight w:val="none"/>
              </w:rPr>
            </w:pPr>
            <w:r>
              <w:rPr>
                <w:color w:val="auto"/>
                <w:spacing w:val="2"/>
                <w:highlight w:val="none"/>
              </w:rPr>
              <w:t>万元</w:t>
            </w:r>
          </w:p>
        </w:tc>
        <w:tc>
          <w:tcPr>
            <w:tcW w:w="1261" w:type="dxa"/>
            <w:vAlign w:val="top"/>
          </w:tcPr>
          <w:p w14:paraId="40455A83">
            <w:pPr>
              <w:pStyle w:val="16"/>
              <w:spacing w:before="157" w:line="267" w:lineRule="exact"/>
              <w:ind w:left="263"/>
              <w:rPr>
                <w:color w:val="auto"/>
                <w:highlight w:val="none"/>
              </w:rPr>
            </w:pPr>
            <w:r>
              <w:rPr>
                <w:color w:val="auto"/>
                <w:spacing w:val="5"/>
                <w:position w:val="1"/>
                <w:highlight w:val="none"/>
              </w:rPr>
              <w:t>Y≥5000</w:t>
            </w:r>
          </w:p>
        </w:tc>
        <w:tc>
          <w:tcPr>
            <w:tcW w:w="1848" w:type="dxa"/>
            <w:vAlign w:val="top"/>
          </w:tcPr>
          <w:p w14:paraId="36ABCE47">
            <w:pPr>
              <w:pStyle w:val="16"/>
              <w:spacing w:before="157" w:line="265" w:lineRule="exact"/>
              <w:ind w:left="209"/>
              <w:rPr>
                <w:color w:val="auto"/>
                <w:highlight w:val="none"/>
              </w:rPr>
            </w:pPr>
            <w:r>
              <w:rPr>
                <w:color w:val="auto"/>
                <w:spacing w:val="3"/>
                <w:position w:val="1"/>
                <w:highlight w:val="none"/>
              </w:rPr>
              <w:t>1000≤Y＜5000</w:t>
            </w:r>
          </w:p>
        </w:tc>
        <w:tc>
          <w:tcPr>
            <w:tcW w:w="1648" w:type="dxa"/>
            <w:vAlign w:val="top"/>
          </w:tcPr>
          <w:p w14:paraId="4E5EA08F">
            <w:pPr>
              <w:pStyle w:val="16"/>
              <w:spacing w:before="157" w:line="265" w:lineRule="exact"/>
              <w:ind w:left="258"/>
              <w:rPr>
                <w:color w:val="auto"/>
                <w:highlight w:val="none"/>
              </w:rPr>
            </w:pPr>
            <w:r>
              <w:rPr>
                <w:color w:val="auto"/>
                <w:spacing w:val="4"/>
                <w:position w:val="1"/>
                <w:highlight w:val="none"/>
              </w:rPr>
              <w:t>500≤Y＜1000</w:t>
            </w:r>
          </w:p>
        </w:tc>
        <w:tc>
          <w:tcPr>
            <w:tcW w:w="994" w:type="dxa"/>
            <w:vAlign w:val="top"/>
          </w:tcPr>
          <w:p w14:paraId="55736E26">
            <w:pPr>
              <w:pStyle w:val="16"/>
              <w:spacing w:before="157" w:line="269" w:lineRule="exact"/>
              <w:ind w:left="184"/>
              <w:rPr>
                <w:color w:val="auto"/>
                <w:highlight w:val="none"/>
              </w:rPr>
            </w:pPr>
            <w:r>
              <w:rPr>
                <w:color w:val="auto"/>
                <w:spacing w:val="5"/>
                <w:position w:val="1"/>
                <w:highlight w:val="none"/>
              </w:rPr>
              <w:t>Y＜500</w:t>
            </w:r>
          </w:p>
        </w:tc>
      </w:tr>
      <w:tr w14:paraId="41F2F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62" w:type="dxa"/>
            <w:vMerge w:val="restart"/>
            <w:tcBorders>
              <w:bottom w:val="nil"/>
            </w:tcBorders>
            <w:vAlign w:val="top"/>
          </w:tcPr>
          <w:p w14:paraId="11F49B19">
            <w:pPr>
              <w:pStyle w:val="16"/>
              <w:spacing w:before="213" w:line="225" w:lineRule="auto"/>
              <w:ind w:left="116" w:right="199" w:firstLine="1"/>
              <w:rPr>
                <w:color w:val="auto"/>
                <w:highlight w:val="none"/>
              </w:rPr>
            </w:pPr>
            <w:r>
              <w:rPr>
                <w:color w:val="auto"/>
                <w:spacing w:val="7"/>
                <w:highlight w:val="none"/>
              </w:rPr>
              <w:t>租赁和商务</w:t>
            </w:r>
            <w:r>
              <w:rPr>
                <w:color w:val="auto"/>
                <w:spacing w:val="3"/>
                <w:highlight w:val="none"/>
              </w:rPr>
              <w:t xml:space="preserve"> </w:t>
            </w:r>
            <w:r>
              <w:rPr>
                <w:color w:val="auto"/>
                <w:spacing w:val="6"/>
                <w:highlight w:val="none"/>
              </w:rPr>
              <w:t>服务业</w:t>
            </w:r>
          </w:p>
        </w:tc>
        <w:tc>
          <w:tcPr>
            <w:tcW w:w="1485" w:type="dxa"/>
            <w:vAlign w:val="top"/>
          </w:tcPr>
          <w:p w14:paraId="7CB5FB46">
            <w:pPr>
              <w:pStyle w:val="16"/>
              <w:spacing w:before="93" w:line="229" w:lineRule="auto"/>
              <w:ind w:left="170"/>
              <w:rPr>
                <w:color w:val="auto"/>
                <w:highlight w:val="none"/>
              </w:rPr>
            </w:pPr>
            <w:r>
              <w:rPr>
                <w:color w:val="auto"/>
                <w:spacing w:val="6"/>
                <w:highlight w:val="none"/>
              </w:rPr>
              <w:t>从业人员(X)</w:t>
            </w:r>
          </w:p>
        </w:tc>
        <w:tc>
          <w:tcPr>
            <w:tcW w:w="821" w:type="dxa"/>
            <w:vAlign w:val="top"/>
          </w:tcPr>
          <w:p w14:paraId="59395711">
            <w:pPr>
              <w:pStyle w:val="16"/>
              <w:spacing w:before="93" w:line="231" w:lineRule="auto"/>
              <w:ind w:left="312"/>
              <w:rPr>
                <w:color w:val="auto"/>
                <w:highlight w:val="none"/>
              </w:rPr>
            </w:pPr>
            <w:r>
              <w:rPr>
                <w:color w:val="auto"/>
                <w:highlight w:val="none"/>
              </w:rPr>
              <w:t>人</w:t>
            </w:r>
          </w:p>
        </w:tc>
        <w:tc>
          <w:tcPr>
            <w:tcW w:w="1261" w:type="dxa"/>
            <w:vAlign w:val="top"/>
          </w:tcPr>
          <w:p w14:paraId="26A857E6">
            <w:pPr>
              <w:pStyle w:val="16"/>
              <w:spacing w:before="93" w:line="267" w:lineRule="exact"/>
              <w:ind w:left="317"/>
              <w:rPr>
                <w:color w:val="auto"/>
                <w:highlight w:val="none"/>
              </w:rPr>
            </w:pPr>
            <w:r>
              <w:rPr>
                <w:color w:val="auto"/>
                <w:spacing w:val="5"/>
                <w:position w:val="1"/>
                <w:highlight w:val="none"/>
              </w:rPr>
              <w:t>X≥300</w:t>
            </w:r>
          </w:p>
        </w:tc>
        <w:tc>
          <w:tcPr>
            <w:tcW w:w="1848" w:type="dxa"/>
            <w:vAlign w:val="top"/>
          </w:tcPr>
          <w:p w14:paraId="131FE580">
            <w:pPr>
              <w:pStyle w:val="16"/>
              <w:spacing w:before="93" w:line="266" w:lineRule="exact"/>
              <w:ind w:left="315"/>
              <w:rPr>
                <w:color w:val="auto"/>
                <w:highlight w:val="none"/>
              </w:rPr>
            </w:pPr>
            <w:r>
              <w:rPr>
                <w:color w:val="auto"/>
                <w:spacing w:val="3"/>
                <w:position w:val="1"/>
                <w:highlight w:val="none"/>
              </w:rPr>
              <w:t>100≤X＜300</w:t>
            </w:r>
          </w:p>
        </w:tc>
        <w:tc>
          <w:tcPr>
            <w:tcW w:w="1648" w:type="dxa"/>
            <w:vAlign w:val="top"/>
          </w:tcPr>
          <w:p w14:paraId="7B3AD2F1">
            <w:pPr>
              <w:pStyle w:val="16"/>
              <w:spacing w:before="93" w:line="266" w:lineRule="exact"/>
              <w:ind w:left="375"/>
              <w:rPr>
                <w:color w:val="auto"/>
                <w:highlight w:val="none"/>
              </w:rPr>
            </w:pPr>
            <w:r>
              <w:rPr>
                <w:color w:val="auto"/>
                <w:spacing w:val="3"/>
                <w:position w:val="1"/>
                <w:highlight w:val="none"/>
              </w:rPr>
              <w:t>10≤X＜100</w:t>
            </w:r>
          </w:p>
        </w:tc>
        <w:tc>
          <w:tcPr>
            <w:tcW w:w="994" w:type="dxa"/>
            <w:vAlign w:val="top"/>
          </w:tcPr>
          <w:p w14:paraId="7C40B986">
            <w:pPr>
              <w:pStyle w:val="16"/>
              <w:spacing w:before="93" w:line="269" w:lineRule="exact"/>
              <w:ind w:left="237"/>
              <w:rPr>
                <w:color w:val="auto"/>
                <w:highlight w:val="none"/>
              </w:rPr>
            </w:pPr>
            <w:r>
              <w:rPr>
                <w:color w:val="auto"/>
                <w:spacing w:val="4"/>
                <w:position w:val="1"/>
                <w:highlight w:val="none"/>
              </w:rPr>
              <w:t>X＜10</w:t>
            </w:r>
          </w:p>
        </w:tc>
      </w:tr>
      <w:tr w14:paraId="231FF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62" w:type="dxa"/>
            <w:vMerge w:val="continue"/>
            <w:tcBorders>
              <w:top w:val="nil"/>
            </w:tcBorders>
            <w:vAlign w:val="top"/>
          </w:tcPr>
          <w:p w14:paraId="35682F05">
            <w:pPr>
              <w:rPr>
                <w:rFonts w:ascii="Arial"/>
                <w:color w:val="auto"/>
                <w:sz w:val="21"/>
                <w:highlight w:val="none"/>
              </w:rPr>
            </w:pPr>
          </w:p>
        </w:tc>
        <w:tc>
          <w:tcPr>
            <w:tcW w:w="1485" w:type="dxa"/>
            <w:vAlign w:val="top"/>
          </w:tcPr>
          <w:p w14:paraId="4B793EF5">
            <w:pPr>
              <w:pStyle w:val="16"/>
              <w:spacing w:before="134" w:line="228" w:lineRule="auto"/>
              <w:ind w:left="177"/>
              <w:rPr>
                <w:color w:val="auto"/>
                <w:highlight w:val="none"/>
              </w:rPr>
            </w:pPr>
            <w:r>
              <w:rPr>
                <w:color w:val="auto"/>
                <w:spacing w:val="5"/>
                <w:highlight w:val="none"/>
              </w:rPr>
              <w:t>资产总额(Z)</w:t>
            </w:r>
          </w:p>
        </w:tc>
        <w:tc>
          <w:tcPr>
            <w:tcW w:w="821" w:type="dxa"/>
            <w:vAlign w:val="top"/>
          </w:tcPr>
          <w:p w14:paraId="5870AF3F">
            <w:pPr>
              <w:pStyle w:val="16"/>
              <w:spacing w:before="139" w:line="229" w:lineRule="auto"/>
              <w:ind w:left="209"/>
              <w:rPr>
                <w:color w:val="auto"/>
                <w:highlight w:val="none"/>
              </w:rPr>
            </w:pPr>
            <w:r>
              <w:rPr>
                <w:color w:val="auto"/>
                <w:spacing w:val="2"/>
                <w:highlight w:val="none"/>
              </w:rPr>
              <w:t>万元</w:t>
            </w:r>
          </w:p>
        </w:tc>
        <w:tc>
          <w:tcPr>
            <w:tcW w:w="1261" w:type="dxa"/>
            <w:vAlign w:val="top"/>
          </w:tcPr>
          <w:p w14:paraId="44ED80C0">
            <w:pPr>
              <w:pStyle w:val="16"/>
              <w:spacing w:before="139" w:line="267" w:lineRule="exact"/>
              <w:ind w:left="162"/>
              <w:rPr>
                <w:color w:val="auto"/>
                <w:highlight w:val="none"/>
              </w:rPr>
            </w:pPr>
            <w:r>
              <w:rPr>
                <w:color w:val="auto"/>
                <w:spacing w:val="4"/>
                <w:position w:val="1"/>
                <w:highlight w:val="none"/>
              </w:rPr>
              <w:t>Z≥120000</w:t>
            </w:r>
          </w:p>
        </w:tc>
        <w:tc>
          <w:tcPr>
            <w:tcW w:w="1848" w:type="dxa"/>
            <w:vAlign w:val="top"/>
          </w:tcPr>
          <w:p w14:paraId="68D548F6">
            <w:pPr>
              <w:pStyle w:val="16"/>
              <w:spacing w:before="139" w:line="265" w:lineRule="exact"/>
              <w:ind w:left="144"/>
              <w:rPr>
                <w:color w:val="auto"/>
                <w:highlight w:val="none"/>
              </w:rPr>
            </w:pPr>
            <w:r>
              <w:rPr>
                <w:color w:val="auto"/>
                <w:spacing w:val="4"/>
                <w:position w:val="1"/>
                <w:highlight w:val="none"/>
              </w:rPr>
              <w:t>8000≤Z＜120000</w:t>
            </w:r>
          </w:p>
        </w:tc>
        <w:tc>
          <w:tcPr>
            <w:tcW w:w="1648" w:type="dxa"/>
            <w:vAlign w:val="top"/>
          </w:tcPr>
          <w:p w14:paraId="6D0C50B1">
            <w:pPr>
              <w:pStyle w:val="16"/>
              <w:spacing w:before="139" w:line="265" w:lineRule="exact"/>
              <w:ind w:left="269"/>
              <w:rPr>
                <w:color w:val="auto"/>
                <w:highlight w:val="none"/>
              </w:rPr>
            </w:pPr>
            <w:r>
              <w:rPr>
                <w:color w:val="auto"/>
                <w:spacing w:val="3"/>
                <w:position w:val="1"/>
                <w:highlight w:val="none"/>
              </w:rPr>
              <w:t>100≤Z＜8000</w:t>
            </w:r>
          </w:p>
        </w:tc>
        <w:tc>
          <w:tcPr>
            <w:tcW w:w="994" w:type="dxa"/>
            <w:vAlign w:val="top"/>
          </w:tcPr>
          <w:p w14:paraId="691FC985">
            <w:pPr>
              <w:pStyle w:val="16"/>
              <w:spacing w:before="139" w:line="269" w:lineRule="exact"/>
              <w:ind w:left="186"/>
              <w:rPr>
                <w:color w:val="auto"/>
                <w:highlight w:val="none"/>
              </w:rPr>
            </w:pPr>
            <w:r>
              <w:rPr>
                <w:color w:val="auto"/>
                <w:spacing w:val="4"/>
                <w:position w:val="1"/>
                <w:highlight w:val="none"/>
              </w:rPr>
              <w:t>Z＜100</w:t>
            </w:r>
          </w:p>
        </w:tc>
      </w:tr>
      <w:tr w14:paraId="41068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62" w:type="dxa"/>
            <w:vAlign w:val="top"/>
          </w:tcPr>
          <w:p w14:paraId="5CFA7BCC">
            <w:pPr>
              <w:pStyle w:val="16"/>
              <w:spacing w:before="41" w:line="224" w:lineRule="auto"/>
              <w:ind w:left="119" w:right="199" w:hanging="2"/>
              <w:rPr>
                <w:color w:val="auto"/>
                <w:highlight w:val="none"/>
              </w:rPr>
            </w:pPr>
            <w:r>
              <w:rPr>
                <w:color w:val="auto"/>
                <w:spacing w:val="7"/>
                <w:highlight w:val="none"/>
              </w:rPr>
              <w:t>其他未列明</w:t>
            </w:r>
            <w:r>
              <w:rPr>
                <w:color w:val="auto"/>
                <w:spacing w:val="3"/>
                <w:highlight w:val="none"/>
              </w:rPr>
              <w:t xml:space="preserve"> </w:t>
            </w:r>
            <w:r>
              <w:rPr>
                <w:color w:val="auto"/>
                <w:spacing w:val="2"/>
                <w:highlight w:val="none"/>
              </w:rPr>
              <w:t>行业</w:t>
            </w:r>
            <w:r>
              <w:rPr>
                <w:color w:val="auto"/>
                <w:spacing w:val="12"/>
                <w:highlight w:val="none"/>
              </w:rPr>
              <w:t xml:space="preserve"> </w:t>
            </w:r>
            <w:r>
              <w:rPr>
                <w:color w:val="auto"/>
                <w:spacing w:val="2"/>
                <w:highlight w:val="none"/>
              </w:rPr>
              <w:t>*</w:t>
            </w:r>
          </w:p>
        </w:tc>
        <w:tc>
          <w:tcPr>
            <w:tcW w:w="1485" w:type="dxa"/>
            <w:vAlign w:val="top"/>
          </w:tcPr>
          <w:p w14:paraId="0B3CA116">
            <w:pPr>
              <w:pStyle w:val="16"/>
              <w:spacing w:before="164" w:line="229" w:lineRule="auto"/>
              <w:ind w:left="170"/>
              <w:rPr>
                <w:color w:val="auto"/>
                <w:highlight w:val="none"/>
              </w:rPr>
            </w:pPr>
            <w:r>
              <w:rPr>
                <w:color w:val="auto"/>
                <w:spacing w:val="6"/>
                <w:highlight w:val="none"/>
              </w:rPr>
              <w:t>从业人员(X)</w:t>
            </w:r>
          </w:p>
        </w:tc>
        <w:tc>
          <w:tcPr>
            <w:tcW w:w="821" w:type="dxa"/>
            <w:vAlign w:val="top"/>
          </w:tcPr>
          <w:p w14:paraId="05AF68D4">
            <w:pPr>
              <w:pStyle w:val="16"/>
              <w:spacing w:before="164" w:line="231" w:lineRule="auto"/>
              <w:ind w:left="312"/>
              <w:rPr>
                <w:color w:val="auto"/>
                <w:highlight w:val="none"/>
              </w:rPr>
            </w:pPr>
            <w:r>
              <w:rPr>
                <w:color w:val="auto"/>
                <w:highlight w:val="none"/>
              </w:rPr>
              <w:t>人</w:t>
            </w:r>
          </w:p>
        </w:tc>
        <w:tc>
          <w:tcPr>
            <w:tcW w:w="1261" w:type="dxa"/>
            <w:vAlign w:val="top"/>
          </w:tcPr>
          <w:p w14:paraId="3F42E6A1">
            <w:pPr>
              <w:pStyle w:val="16"/>
              <w:spacing w:before="164" w:line="267" w:lineRule="exact"/>
              <w:ind w:left="317"/>
              <w:rPr>
                <w:color w:val="auto"/>
                <w:highlight w:val="none"/>
              </w:rPr>
            </w:pPr>
            <w:r>
              <w:rPr>
                <w:color w:val="auto"/>
                <w:spacing w:val="5"/>
                <w:position w:val="1"/>
                <w:highlight w:val="none"/>
              </w:rPr>
              <w:t>X≥300</w:t>
            </w:r>
          </w:p>
        </w:tc>
        <w:tc>
          <w:tcPr>
            <w:tcW w:w="1848" w:type="dxa"/>
            <w:vAlign w:val="top"/>
          </w:tcPr>
          <w:p w14:paraId="04642CA1">
            <w:pPr>
              <w:pStyle w:val="16"/>
              <w:spacing w:before="164" w:line="265" w:lineRule="exact"/>
              <w:ind w:left="315"/>
              <w:rPr>
                <w:color w:val="auto"/>
                <w:highlight w:val="none"/>
              </w:rPr>
            </w:pPr>
            <w:r>
              <w:rPr>
                <w:color w:val="auto"/>
                <w:spacing w:val="3"/>
                <w:position w:val="1"/>
                <w:highlight w:val="none"/>
              </w:rPr>
              <w:t>100≤X＜300</w:t>
            </w:r>
          </w:p>
        </w:tc>
        <w:tc>
          <w:tcPr>
            <w:tcW w:w="1648" w:type="dxa"/>
            <w:vAlign w:val="top"/>
          </w:tcPr>
          <w:p w14:paraId="21130F34">
            <w:pPr>
              <w:pStyle w:val="16"/>
              <w:spacing w:before="164" w:line="265" w:lineRule="exact"/>
              <w:ind w:left="375"/>
              <w:rPr>
                <w:color w:val="auto"/>
                <w:highlight w:val="none"/>
              </w:rPr>
            </w:pPr>
            <w:r>
              <w:rPr>
                <w:color w:val="auto"/>
                <w:spacing w:val="3"/>
                <w:position w:val="1"/>
                <w:highlight w:val="none"/>
              </w:rPr>
              <w:t>10≤X＜100</w:t>
            </w:r>
          </w:p>
        </w:tc>
        <w:tc>
          <w:tcPr>
            <w:tcW w:w="994" w:type="dxa"/>
            <w:vAlign w:val="top"/>
          </w:tcPr>
          <w:p w14:paraId="618F84F2">
            <w:pPr>
              <w:pStyle w:val="16"/>
              <w:spacing w:before="164" w:line="269" w:lineRule="exact"/>
              <w:ind w:left="237"/>
              <w:rPr>
                <w:color w:val="auto"/>
                <w:highlight w:val="none"/>
              </w:rPr>
            </w:pPr>
            <w:r>
              <w:rPr>
                <w:color w:val="auto"/>
                <w:spacing w:val="4"/>
                <w:position w:val="1"/>
                <w:highlight w:val="none"/>
              </w:rPr>
              <w:t>X＜10</w:t>
            </w:r>
          </w:p>
        </w:tc>
      </w:tr>
    </w:tbl>
    <w:p w14:paraId="683C8433">
      <w:pPr>
        <w:spacing w:before="253" w:line="228" w:lineRule="auto"/>
        <w:ind w:left="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说明：</w:t>
      </w:r>
    </w:p>
    <w:p w14:paraId="51896678">
      <w:pPr>
        <w:spacing w:before="292" w:line="540" w:lineRule="exact"/>
        <w:ind w:left="467"/>
        <w:rPr>
          <w:rFonts w:ascii="宋体" w:hAnsi="宋体" w:eastAsia="宋体" w:cs="宋体"/>
          <w:color w:val="auto"/>
          <w:sz w:val="20"/>
          <w:szCs w:val="20"/>
          <w:highlight w:val="none"/>
        </w:rPr>
      </w:pPr>
      <w:r>
        <w:rPr>
          <w:rFonts w:ascii="宋体" w:hAnsi="宋体" w:eastAsia="宋体" w:cs="宋体"/>
          <w:color w:val="auto"/>
          <w:spacing w:val="21"/>
          <w:position w:val="25"/>
          <w:sz w:val="20"/>
          <w:szCs w:val="20"/>
          <w:highlight w:val="none"/>
        </w:rPr>
        <w:t>1.大型</w:t>
      </w:r>
      <w:r>
        <w:rPr>
          <w:rFonts w:ascii="宋体" w:hAnsi="宋体" w:eastAsia="宋体" w:cs="宋体"/>
          <w:color w:val="auto"/>
          <w:spacing w:val="-58"/>
          <w:position w:val="25"/>
          <w:sz w:val="20"/>
          <w:szCs w:val="20"/>
          <w:highlight w:val="none"/>
        </w:rPr>
        <w:t xml:space="preserve"> </w:t>
      </w:r>
      <w:r>
        <w:rPr>
          <w:rFonts w:ascii="宋体" w:hAnsi="宋体" w:eastAsia="宋体" w:cs="宋体"/>
          <w:color w:val="auto"/>
          <w:spacing w:val="21"/>
          <w:position w:val="25"/>
          <w:sz w:val="20"/>
          <w:szCs w:val="20"/>
          <w:highlight w:val="none"/>
        </w:rPr>
        <w:t>、</w:t>
      </w:r>
      <w:r>
        <w:rPr>
          <w:rFonts w:ascii="宋体" w:hAnsi="宋体" w:eastAsia="宋体" w:cs="宋体"/>
          <w:color w:val="auto"/>
          <w:spacing w:val="-50"/>
          <w:position w:val="25"/>
          <w:sz w:val="20"/>
          <w:szCs w:val="20"/>
          <w:highlight w:val="none"/>
        </w:rPr>
        <w:t xml:space="preserve"> </w:t>
      </w:r>
      <w:r>
        <w:rPr>
          <w:rFonts w:ascii="宋体" w:hAnsi="宋体" w:eastAsia="宋体" w:cs="宋体"/>
          <w:color w:val="auto"/>
          <w:spacing w:val="21"/>
          <w:position w:val="25"/>
          <w:sz w:val="20"/>
          <w:szCs w:val="20"/>
          <w:highlight w:val="none"/>
        </w:rPr>
        <w:t>中型和小型企业须同时满足所列指标的下限</w:t>
      </w:r>
      <w:r>
        <w:rPr>
          <w:rFonts w:ascii="宋体" w:hAnsi="宋体" w:eastAsia="宋体" w:cs="宋体"/>
          <w:color w:val="auto"/>
          <w:spacing w:val="-58"/>
          <w:position w:val="25"/>
          <w:sz w:val="20"/>
          <w:szCs w:val="20"/>
          <w:highlight w:val="none"/>
        </w:rPr>
        <w:t xml:space="preserve"> </w:t>
      </w:r>
      <w:r>
        <w:rPr>
          <w:rFonts w:ascii="宋体" w:hAnsi="宋体" w:eastAsia="宋体" w:cs="宋体"/>
          <w:color w:val="auto"/>
          <w:spacing w:val="21"/>
          <w:position w:val="25"/>
          <w:sz w:val="20"/>
          <w:szCs w:val="20"/>
          <w:highlight w:val="none"/>
        </w:rPr>
        <w:t>，否则下划一档；</w:t>
      </w:r>
      <w:r>
        <w:rPr>
          <w:rFonts w:ascii="宋体" w:hAnsi="宋体" w:eastAsia="宋体" w:cs="宋体"/>
          <w:color w:val="auto"/>
          <w:spacing w:val="-47"/>
          <w:position w:val="25"/>
          <w:sz w:val="20"/>
          <w:szCs w:val="20"/>
          <w:highlight w:val="none"/>
        </w:rPr>
        <w:t xml:space="preserve"> </w:t>
      </w:r>
      <w:r>
        <w:rPr>
          <w:rFonts w:ascii="宋体" w:hAnsi="宋体" w:eastAsia="宋体" w:cs="宋体"/>
          <w:color w:val="auto"/>
          <w:spacing w:val="21"/>
          <w:position w:val="25"/>
          <w:sz w:val="20"/>
          <w:szCs w:val="20"/>
          <w:highlight w:val="none"/>
        </w:rPr>
        <w:t>微型企业只</w:t>
      </w:r>
      <w:r>
        <w:rPr>
          <w:rFonts w:ascii="宋体" w:hAnsi="宋体" w:eastAsia="宋体" w:cs="宋体"/>
          <w:color w:val="auto"/>
          <w:spacing w:val="20"/>
          <w:position w:val="25"/>
          <w:sz w:val="20"/>
          <w:szCs w:val="20"/>
          <w:highlight w:val="none"/>
        </w:rPr>
        <w:t>须满足所列指</w:t>
      </w:r>
    </w:p>
    <w:p w14:paraId="1E7D1E73">
      <w:pPr>
        <w:spacing w:line="229" w:lineRule="auto"/>
        <w:ind w:left="1"/>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标中的一项即可。</w:t>
      </w:r>
    </w:p>
    <w:p w14:paraId="6675A8B4">
      <w:pPr>
        <w:spacing w:before="294" w:line="498" w:lineRule="auto"/>
        <w:ind w:right="78" w:firstLine="454"/>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2.附表中各行业的范围以《国民经济行业分类》</w:t>
      </w:r>
      <w:r>
        <w:rPr>
          <w:rFonts w:ascii="宋体" w:hAnsi="宋体" w:eastAsia="宋体" w:cs="宋体"/>
          <w:color w:val="auto"/>
          <w:spacing w:val="-50"/>
          <w:sz w:val="20"/>
          <w:szCs w:val="20"/>
          <w:highlight w:val="none"/>
        </w:rPr>
        <w:t xml:space="preserve"> </w:t>
      </w:r>
      <w:r>
        <w:rPr>
          <w:rFonts w:ascii="宋体" w:hAnsi="宋体" w:eastAsia="宋体" w:cs="宋体"/>
          <w:color w:val="auto"/>
          <w:spacing w:val="20"/>
          <w:sz w:val="20"/>
          <w:szCs w:val="20"/>
          <w:highlight w:val="none"/>
        </w:rPr>
        <w:t>（</w:t>
      </w:r>
      <w:r>
        <w:rPr>
          <w:rFonts w:ascii="宋体" w:hAnsi="宋体" w:eastAsia="宋体" w:cs="宋体"/>
          <w:color w:val="auto"/>
          <w:sz w:val="20"/>
          <w:szCs w:val="20"/>
          <w:highlight w:val="none"/>
        </w:rPr>
        <w:t>GB</w:t>
      </w:r>
      <w:r>
        <w:rPr>
          <w:rFonts w:ascii="宋体" w:hAnsi="宋体" w:eastAsia="宋体" w:cs="宋体"/>
          <w:color w:val="auto"/>
          <w:spacing w:val="20"/>
          <w:sz w:val="20"/>
          <w:szCs w:val="20"/>
          <w:highlight w:val="none"/>
        </w:rPr>
        <w:t>/T4754-201</w:t>
      </w:r>
      <w:r>
        <w:rPr>
          <w:rFonts w:ascii="宋体" w:hAnsi="宋体" w:eastAsia="宋体" w:cs="宋体"/>
          <w:color w:val="auto"/>
          <w:spacing w:val="19"/>
          <w:sz w:val="20"/>
          <w:szCs w:val="20"/>
          <w:highlight w:val="none"/>
        </w:rPr>
        <w:t>7）</w:t>
      </w:r>
      <w:r>
        <w:rPr>
          <w:rFonts w:ascii="宋体" w:hAnsi="宋体" w:eastAsia="宋体" w:cs="宋体"/>
          <w:color w:val="auto"/>
          <w:spacing w:val="-46"/>
          <w:sz w:val="20"/>
          <w:szCs w:val="20"/>
          <w:highlight w:val="none"/>
        </w:rPr>
        <w:t xml:space="preserve"> </w:t>
      </w:r>
      <w:r>
        <w:rPr>
          <w:rFonts w:ascii="宋体" w:hAnsi="宋体" w:eastAsia="宋体" w:cs="宋体"/>
          <w:color w:val="auto"/>
          <w:spacing w:val="19"/>
          <w:sz w:val="20"/>
          <w:szCs w:val="20"/>
          <w:highlight w:val="none"/>
        </w:rPr>
        <w:t>为准</w:t>
      </w:r>
      <w:r>
        <w:rPr>
          <w:rFonts w:ascii="宋体" w:hAnsi="宋体" w:eastAsia="宋体" w:cs="宋体"/>
          <w:color w:val="auto"/>
          <w:spacing w:val="-52"/>
          <w:sz w:val="20"/>
          <w:szCs w:val="20"/>
          <w:highlight w:val="none"/>
        </w:rPr>
        <w:t xml:space="preserve"> </w:t>
      </w:r>
      <w:r>
        <w:rPr>
          <w:rFonts w:ascii="宋体" w:hAnsi="宋体" w:eastAsia="宋体" w:cs="宋体"/>
          <w:color w:val="auto"/>
          <w:spacing w:val="19"/>
          <w:sz w:val="20"/>
          <w:szCs w:val="20"/>
          <w:highlight w:val="none"/>
        </w:rPr>
        <w:t>。带*的项为行业组合类</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别，其中</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，工业包括采矿业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，制造业</w:t>
      </w:r>
      <w:r>
        <w:rPr>
          <w:rFonts w:ascii="宋体" w:hAnsi="宋体" w:eastAsia="宋体" w:cs="宋体"/>
          <w:color w:val="auto"/>
          <w:spacing w:val="-59"/>
          <w:sz w:val="20"/>
          <w:szCs w:val="20"/>
          <w:highlight w:val="none"/>
        </w:rPr>
        <w:t xml:space="preserve"> </w:t>
      </w:r>
      <w:r>
        <w:rPr>
          <w:rFonts w:ascii="宋体" w:hAnsi="宋体" w:eastAsia="宋体" w:cs="宋体"/>
          <w:color w:val="auto"/>
          <w:spacing w:val="20"/>
          <w:sz w:val="20"/>
          <w:szCs w:val="20"/>
          <w:highlight w:val="none"/>
        </w:rPr>
        <w:t>，</w:t>
      </w:r>
      <w:r>
        <w:rPr>
          <w:rFonts w:ascii="宋体" w:hAnsi="宋体" w:eastAsia="宋体" w:cs="宋体"/>
          <w:color w:val="auto"/>
          <w:spacing w:val="-45"/>
          <w:sz w:val="20"/>
          <w:szCs w:val="20"/>
          <w:highlight w:val="none"/>
        </w:rPr>
        <w:t xml:space="preserve"> </w:t>
      </w:r>
      <w:r>
        <w:rPr>
          <w:rFonts w:ascii="宋体" w:hAnsi="宋体" w:eastAsia="宋体" w:cs="宋体"/>
          <w:color w:val="auto"/>
          <w:spacing w:val="20"/>
          <w:sz w:val="20"/>
          <w:szCs w:val="20"/>
          <w:highlight w:val="none"/>
        </w:rPr>
        <w:t>电力、热力</w:t>
      </w:r>
      <w:r>
        <w:rPr>
          <w:rFonts w:ascii="宋体" w:hAnsi="宋体" w:eastAsia="宋体" w:cs="宋体"/>
          <w:color w:val="auto"/>
          <w:spacing w:val="-59"/>
          <w:sz w:val="20"/>
          <w:szCs w:val="20"/>
          <w:highlight w:val="none"/>
        </w:rPr>
        <w:t xml:space="preserve"> </w:t>
      </w:r>
      <w:r>
        <w:rPr>
          <w:rFonts w:ascii="宋体" w:hAnsi="宋体" w:eastAsia="宋体" w:cs="宋体"/>
          <w:color w:val="auto"/>
          <w:spacing w:val="20"/>
          <w:sz w:val="20"/>
          <w:szCs w:val="20"/>
          <w:highlight w:val="none"/>
        </w:rPr>
        <w:t>、燃气及水生产和供应业；</w:t>
      </w:r>
      <w:r>
        <w:rPr>
          <w:rFonts w:ascii="宋体" w:hAnsi="宋体" w:eastAsia="宋体" w:cs="宋体"/>
          <w:color w:val="auto"/>
          <w:spacing w:val="-43"/>
          <w:sz w:val="20"/>
          <w:szCs w:val="20"/>
          <w:highlight w:val="none"/>
        </w:rPr>
        <w:t xml:space="preserve"> </w:t>
      </w:r>
      <w:r>
        <w:rPr>
          <w:rFonts w:ascii="宋体" w:hAnsi="宋体" w:eastAsia="宋体" w:cs="宋体"/>
          <w:color w:val="auto"/>
          <w:spacing w:val="20"/>
          <w:sz w:val="20"/>
          <w:szCs w:val="20"/>
          <w:highlight w:val="none"/>
        </w:rPr>
        <w:t>交通运</w:t>
      </w:r>
      <w:r>
        <w:rPr>
          <w:rFonts w:ascii="宋体" w:hAnsi="宋体" w:eastAsia="宋体" w:cs="宋体"/>
          <w:color w:val="auto"/>
          <w:spacing w:val="19"/>
          <w:sz w:val="20"/>
          <w:szCs w:val="20"/>
          <w:highlight w:val="none"/>
        </w:rPr>
        <w:t>输业包括道路运</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输业</w:t>
      </w:r>
      <w:r>
        <w:rPr>
          <w:rFonts w:ascii="宋体" w:hAnsi="宋体" w:eastAsia="宋体" w:cs="宋体"/>
          <w:color w:val="auto"/>
          <w:spacing w:val="-40"/>
          <w:sz w:val="20"/>
          <w:szCs w:val="20"/>
          <w:highlight w:val="none"/>
        </w:rPr>
        <w:t xml:space="preserve"> </w:t>
      </w:r>
      <w:r>
        <w:rPr>
          <w:rFonts w:ascii="宋体" w:hAnsi="宋体" w:eastAsia="宋体" w:cs="宋体"/>
          <w:color w:val="auto"/>
          <w:spacing w:val="21"/>
          <w:sz w:val="20"/>
          <w:szCs w:val="20"/>
          <w:highlight w:val="none"/>
        </w:rPr>
        <w:t>，水上运输业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，航空运输业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，管道运输业</w:t>
      </w:r>
      <w:r>
        <w:rPr>
          <w:rFonts w:ascii="宋体" w:hAnsi="宋体" w:eastAsia="宋体" w:cs="宋体"/>
          <w:color w:val="auto"/>
          <w:spacing w:val="-59"/>
          <w:sz w:val="20"/>
          <w:szCs w:val="20"/>
          <w:highlight w:val="none"/>
        </w:rPr>
        <w:t xml:space="preserve"> </w:t>
      </w:r>
      <w:r>
        <w:rPr>
          <w:rFonts w:ascii="宋体" w:hAnsi="宋体" w:eastAsia="宋体" w:cs="宋体"/>
          <w:color w:val="auto"/>
          <w:spacing w:val="21"/>
          <w:sz w:val="20"/>
          <w:szCs w:val="20"/>
          <w:highlight w:val="none"/>
        </w:rPr>
        <w:t>，多式联运和运输代理业、装卸搬运</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，不包括铁路运输</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业；</w:t>
      </w:r>
      <w:r>
        <w:rPr>
          <w:rFonts w:ascii="宋体" w:hAnsi="宋体" w:eastAsia="宋体" w:cs="宋体"/>
          <w:color w:val="auto"/>
          <w:spacing w:val="-47"/>
          <w:sz w:val="20"/>
          <w:szCs w:val="20"/>
          <w:highlight w:val="none"/>
        </w:rPr>
        <w:t xml:space="preserve"> </w:t>
      </w:r>
      <w:r>
        <w:rPr>
          <w:rFonts w:ascii="宋体" w:hAnsi="宋体" w:eastAsia="宋体" w:cs="宋体"/>
          <w:color w:val="auto"/>
          <w:spacing w:val="21"/>
          <w:sz w:val="20"/>
          <w:szCs w:val="20"/>
          <w:highlight w:val="none"/>
        </w:rPr>
        <w:t>仓储业包括通用仓储，低温仓储</w:t>
      </w:r>
      <w:r>
        <w:rPr>
          <w:rFonts w:ascii="宋体" w:hAnsi="宋体" w:eastAsia="宋体" w:cs="宋体"/>
          <w:color w:val="auto"/>
          <w:spacing w:val="-59"/>
          <w:sz w:val="20"/>
          <w:szCs w:val="20"/>
          <w:highlight w:val="none"/>
        </w:rPr>
        <w:t xml:space="preserve"> </w:t>
      </w:r>
      <w:r>
        <w:rPr>
          <w:rFonts w:ascii="宋体" w:hAnsi="宋体" w:eastAsia="宋体" w:cs="宋体"/>
          <w:color w:val="auto"/>
          <w:spacing w:val="21"/>
          <w:sz w:val="20"/>
          <w:szCs w:val="20"/>
          <w:highlight w:val="none"/>
        </w:rPr>
        <w:t>，危险品仓储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，谷物、棉花等农产品仓储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w:t>
      </w:r>
      <w:r>
        <w:rPr>
          <w:rFonts w:ascii="宋体" w:hAnsi="宋体" w:eastAsia="宋体" w:cs="宋体"/>
          <w:color w:val="auto"/>
          <w:spacing w:val="-51"/>
          <w:sz w:val="20"/>
          <w:szCs w:val="20"/>
          <w:highlight w:val="none"/>
        </w:rPr>
        <w:t xml:space="preserve"> </w:t>
      </w:r>
      <w:r>
        <w:rPr>
          <w:rFonts w:ascii="宋体" w:hAnsi="宋体" w:eastAsia="宋体" w:cs="宋体"/>
          <w:color w:val="auto"/>
          <w:spacing w:val="21"/>
          <w:sz w:val="20"/>
          <w:szCs w:val="20"/>
          <w:highlight w:val="none"/>
        </w:rPr>
        <w:t>中药材仓储和其他仓</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储业</w:t>
      </w:r>
      <w:r>
        <w:rPr>
          <w:rFonts w:ascii="宋体" w:hAnsi="宋体" w:eastAsia="宋体" w:cs="宋体"/>
          <w:color w:val="auto"/>
          <w:spacing w:val="-36"/>
          <w:sz w:val="20"/>
          <w:szCs w:val="20"/>
          <w:highlight w:val="none"/>
        </w:rPr>
        <w:t xml:space="preserve"> </w:t>
      </w:r>
      <w:r>
        <w:rPr>
          <w:rFonts w:ascii="宋体" w:hAnsi="宋体" w:eastAsia="宋体" w:cs="宋体"/>
          <w:color w:val="auto"/>
          <w:spacing w:val="21"/>
          <w:sz w:val="20"/>
          <w:szCs w:val="20"/>
          <w:highlight w:val="none"/>
        </w:rPr>
        <w:t>;信息传输业包括电信</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、广播电视和卫星传输服务，互联网和相关服务；其他未列明行业包括科学</w:t>
      </w:r>
    </w:p>
    <w:p w14:paraId="42E11DE0">
      <w:pPr>
        <w:spacing w:line="227" w:lineRule="auto"/>
        <w:jc w:val="right"/>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研究和技术服务业，水利</w:t>
      </w:r>
      <w:r>
        <w:rPr>
          <w:rFonts w:ascii="宋体" w:hAnsi="宋体" w:eastAsia="宋体" w:cs="宋体"/>
          <w:color w:val="auto"/>
          <w:spacing w:val="-52"/>
          <w:sz w:val="20"/>
          <w:szCs w:val="20"/>
          <w:highlight w:val="none"/>
        </w:rPr>
        <w:t xml:space="preserve"> </w:t>
      </w:r>
      <w:r>
        <w:rPr>
          <w:rFonts w:ascii="宋体" w:hAnsi="宋体" w:eastAsia="宋体" w:cs="宋体"/>
          <w:color w:val="auto"/>
          <w:spacing w:val="19"/>
          <w:sz w:val="20"/>
          <w:szCs w:val="20"/>
          <w:highlight w:val="none"/>
        </w:rPr>
        <w:t>、环境和公共设施管理业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，居民服务、修理和其他服务业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，社会工作</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，文化、</w:t>
      </w:r>
    </w:p>
    <w:p w14:paraId="716B0A39">
      <w:pPr>
        <w:spacing w:line="227" w:lineRule="auto"/>
        <w:rPr>
          <w:rFonts w:ascii="宋体" w:hAnsi="宋体" w:eastAsia="宋体" w:cs="宋体"/>
          <w:color w:val="auto"/>
          <w:sz w:val="20"/>
          <w:szCs w:val="20"/>
          <w:highlight w:val="none"/>
        </w:rPr>
        <w:sectPr>
          <w:footerReference r:id="rId31" w:type="default"/>
          <w:pgSz w:w="11906" w:h="16839"/>
          <w:pgMar w:top="1246" w:right="903" w:bottom="1157" w:left="972" w:header="0" w:footer="992" w:gutter="0"/>
          <w:pgNumType w:fmt="decimal"/>
          <w:cols w:space="720" w:num="1"/>
        </w:sectPr>
      </w:pPr>
    </w:p>
    <w:p w14:paraId="07A4244C">
      <w:pPr>
        <w:spacing w:before="67" w:line="228" w:lineRule="auto"/>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体育和娱乐业，</w:t>
      </w:r>
      <w:r>
        <w:rPr>
          <w:rFonts w:ascii="宋体" w:hAnsi="宋体" w:eastAsia="宋体" w:cs="宋体"/>
          <w:color w:val="auto"/>
          <w:spacing w:val="-43"/>
          <w:sz w:val="20"/>
          <w:szCs w:val="20"/>
          <w:highlight w:val="none"/>
        </w:rPr>
        <w:t xml:space="preserve"> </w:t>
      </w:r>
      <w:r>
        <w:rPr>
          <w:rFonts w:ascii="宋体" w:hAnsi="宋体" w:eastAsia="宋体" w:cs="宋体"/>
          <w:color w:val="auto"/>
          <w:spacing w:val="22"/>
          <w:sz w:val="20"/>
          <w:szCs w:val="20"/>
          <w:highlight w:val="none"/>
        </w:rPr>
        <w:t>以及房地产中介服务</w:t>
      </w:r>
      <w:r>
        <w:rPr>
          <w:rFonts w:ascii="宋体" w:hAnsi="宋体" w:eastAsia="宋体" w:cs="宋体"/>
          <w:color w:val="auto"/>
          <w:spacing w:val="-58"/>
          <w:sz w:val="20"/>
          <w:szCs w:val="20"/>
          <w:highlight w:val="none"/>
        </w:rPr>
        <w:t xml:space="preserve"> </w:t>
      </w:r>
      <w:r>
        <w:rPr>
          <w:rFonts w:ascii="宋体" w:hAnsi="宋体" w:eastAsia="宋体" w:cs="宋体"/>
          <w:color w:val="auto"/>
          <w:spacing w:val="22"/>
          <w:sz w:val="20"/>
          <w:szCs w:val="20"/>
          <w:highlight w:val="none"/>
        </w:rPr>
        <w:t>，其他房地产业等，不包括自有房地产经营活动。</w:t>
      </w:r>
    </w:p>
    <w:p w14:paraId="6AB611AC">
      <w:pPr>
        <w:spacing w:before="295" w:line="498" w:lineRule="auto"/>
        <w:ind w:right="85" w:firstLine="456"/>
        <w:jc w:val="both"/>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3.企业划分指标以现行统计制度为准</w:t>
      </w:r>
      <w:r>
        <w:rPr>
          <w:rFonts w:ascii="宋体" w:hAnsi="宋体" w:eastAsia="宋体" w:cs="宋体"/>
          <w:color w:val="auto"/>
          <w:spacing w:val="-52"/>
          <w:sz w:val="20"/>
          <w:szCs w:val="20"/>
          <w:highlight w:val="none"/>
        </w:rPr>
        <w:t xml:space="preserve"> </w:t>
      </w:r>
      <w:r>
        <w:rPr>
          <w:rFonts w:ascii="宋体" w:hAnsi="宋体" w:eastAsia="宋体" w:cs="宋体"/>
          <w:color w:val="auto"/>
          <w:spacing w:val="20"/>
          <w:sz w:val="20"/>
          <w:szCs w:val="20"/>
          <w:highlight w:val="none"/>
        </w:rPr>
        <w:t>。（1）从业人员</w:t>
      </w:r>
      <w:r>
        <w:rPr>
          <w:rFonts w:ascii="宋体" w:hAnsi="宋体" w:eastAsia="宋体" w:cs="宋体"/>
          <w:color w:val="auto"/>
          <w:spacing w:val="-59"/>
          <w:sz w:val="20"/>
          <w:szCs w:val="20"/>
          <w:highlight w:val="none"/>
        </w:rPr>
        <w:t xml:space="preserve"> </w:t>
      </w:r>
      <w:r>
        <w:rPr>
          <w:rFonts w:ascii="宋体" w:hAnsi="宋体" w:eastAsia="宋体" w:cs="宋体"/>
          <w:color w:val="auto"/>
          <w:spacing w:val="20"/>
          <w:sz w:val="20"/>
          <w:szCs w:val="20"/>
          <w:highlight w:val="none"/>
        </w:rPr>
        <w:t>，是指</w:t>
      </w:r>
      <w:r>
        <w:rPr>
          <w:rFonts w:ascii="宋体" w:hAnsi="宋体" w:eastAsia="宋体" w:cs="宋体"/>
          <w:color w:val="auto"/>
          <w:spacing w:val="19"/>
          <w:sz w:val="20"/>
          <w:szCs w:val="20"/>
          <w:highlight w:val="none"/>
        </w:rPr>
        <w:t>期末从业人员数</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，没有期末从业人员</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数的，采用全年平均人员数代替</w:t>
      </w:r>
      <w:r>
        <w:rPr>
          <w:rFonts w:ascii="宋体" w:hAnsi="宋体" w:eastAsia="宋体" w:cs="宋体"/>
          <w:color w:val="auto"/>
          <w:spacing w:val="-55"/>
          <w:sz w:val="20"/>
          <w:szCs w:val="20"/>
          <w:highlight w:val="none"/>
        </w:rPr>
        <w:t xml:space="preserve"> </w:t>
      </w:r>
      <w:r>
        <w:rPr>
          <w:rFonts w:ascii="宋体" w:hAnsi="宋体" w:eastAsia="宋体" w:cs="宋体"/>
          <w:color w:val="auto"/>
          <w:spacing w:val="21"/>
          <w:sz w:val="20"/>
          <w:szCs w:val="20"/>
          <w:highlight w:val="none"/>
        </w:rPr>
        <w:t>。（2）营业</w:t>
      </w:r>
      <w:r>
        <w:rPr>
          <w:rFonts w:ascii="宋体" w:hAnsi="宋体" w:eastAsia="宋体" w:cs="宋体"/>
          <w:color w:val="auto"/>
          <w:spacing w:val="20"/>
          <w:sz w:val="20"/>
          <w:szCs w:val="20"/>
          <w:highlight w:val="none"/>
        </w:rPr>
        <w:t>收入</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，工业、建筑业、限额以上批发和零售业</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、限额以上</w:t>
      </w:r>
      <w:r>
        <w:rPr>
          <w:rFonts w:ascii="宋体" w:hAnsi="宋体" w:eastAsia="宋体" w:cs="宋体"/>
          <w:color w:val="auto"/>
          <w:sz w:val="20"/>
          <w:szCs w:val="20"/>
          <w:highlight w:val="none"/>
        </w:rPr>
        <w:t xml:space="preserve"> </w:t>
      </w:r>
      <w:r>
        <w:rPr>
          <w:rFonts w:ascii="宋体" w:hAnsi="宋体" w:eastAsia="宋体" w:cs="宋体"/>
          <w:color w:val="auto"/>
          <w:spacing w:val="25"/>
          <w:sz w:val="20"/>
          <w:szCs w:val="20"/>
          <w:highlight w:val="none"/>
        </w:rPr>
        <w:t>住宿和餐饮业以及其他设置主营业务收入指标的行业，采用主营</w:t>
      </w:r>
      <w:r>
        <w:rPr>
          <w:rFonts w:ascii="宋体" w:hAnsi="宋体" w:eastAsia="宋体" w:cs="宋体"/>
          <w:color w:val="auto"/>
          <w:spacing w:val="24"/>
          <w:sz w:val="20"/>
          <w:szCs w:val="20"/>
          <w:highlight w:val="none"/>
        </w:rPr>
        <w:t>业务收入；</w:t>
      </w:r>
      <w:r>
        <w:rPr>
          <w:rFonts w:ascii="宋体" w:hAnsi="宋体" w:eastAsia="宋体" w:cs="宋体"/>
          <w:color w:val="auto"/>
          <w:spacing w:val="-33"/>
          <w:sz w:val="20"/>
          <w:szCs w:val="20"/>
          <w:highlight w:val="none"/>
        </w:rPr>
        <w:t xml:space="preserve"> </w:t>
      </w:r>
      <w:r>
        <w:rPr>
          <w:rFonts w:ascii="宋体" w:hAnsi="宋体" w:eastAsia="宋体" w:cs="宋体"/>
          <w:color w:val="auto"/>
          <w:spacing w:val="24"/>
          <w:sz w:val="20"/>
          <w:szCs w:val="20"/>
          <w:highlight w:val="none"/>
        </w:rPr>
        <w:t>限额以下批发与零售业企</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业采用商品销售额代替；</w:t>
      </w:r>
      <w:r>
        <w:rPr>
          <w:rFonts w:ascii="宋体" w:hAnsi="宋体" w:eastAsia="宋体" w:cs="宋体"/>
          <w:color w:val="auto"/>
          <w:spacing w:val="-33"/>
          <w:sz w:val="20"/>
          <w:szCs w:val="20"/>
          <w:highlight w:val="none"/>
        </w:rPr>
        <w:t xml:space="preserve"> </w:t>
      </w:r>
      <w:r>
        <w:rPr>
          <w:rFonts w:ascii="宋体" w:hAnsi="宋体" w:eastAsia="宋体" w:cs="宋体"/>
          <w:color w:val="auto"/>
          <w:spacing w:val="21"/>
          <w:sz w:val="20"/>
          <w:szCs w:val="20"/>
          <w:highlight w:val="none"/>
        </w:rPr>
        <w:t>限额以下住宿与餐饮业企业采用营</w:t>
      </w:r>
      <w:r>
        <w:rPr>
          <w:rFonts w:ascii="宋体" w:hAnsi="宋体" w:eastAsia="宋体" w:cs="宋体"/>
          <w:color w:val="auto"/>
          <w:spacing w:val="20"/>
          <w:sz w:val="20"/>
          <w:szCs w:val="20"/>
          <w:highlight w:val="none"/>
        </w:rPr>
        <w:t>业额代替；</w:t>
      </w:r>
      <w:r>
        <w:rPr>
          <w:rFonts w:ascii="宋体" w:hAnsi="宋体" w:eastAsia="宋体" w:cs="宋体"/>
          <w:color w:val="auto"/>
          <w:spacing w:val="-47"/>
          <w:sz w:val="20"/>
          <w:szCs w:val="20"/>
          <w:highlight w:val="none"/>
        </w:rPr>
        <w:t xml:space="preserve"> </w:t>
      </w:r>
      <w:r>
        <w:rPr>
          <w:rFonts w:ascii="宋体" w:hAnsi="宋体" w:eastAsia="宋体" w:cs="宋体"/>
          <w:color w:val="auto"/>
          <w:spacing w:val="20"/>
          <w:sz w:val="20"/>
          <w:szCs w:val="20"/>
          <w:highlight w:val="none"/>
        </w:rPr>
        <w:t>农</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、林</w:t>
      </w:r>
      <w:r>
        <w:rPr>
          <w:rFonts w:ascii="宋体" w:hAnsi="宋体" w:eastAsia="宋体" w:cs="宋体"/>
          <w:color w:val="auto"/>
          <w:spacing w:val="-59"/>
          <w:sz w:val="20"/>
          <w:szCs w:val="20"/>
          <w:highlight w:val="none"/>
        </w:rPr>
        <w:t xml:space="preserve"> </w:t>
      </w:r>
      <w:r>
        <w:rPr>
          <w:rFonts w:ascii="宋体" w:hAnsi="宋体" w:eastAsia="宋体" w:cs="宋体"/>
          <w:color w:val="auto"/>
          <w:spacing w:val="20"/>
          <w:sz w:val="20"/>
          <w:szCs w:val="20"/>
          <w:highlight w:val="none"/>
        </w:rPr>
        <w:t>、牧</w:t>
      </w:r>
      <w:r>
        <w:rPr>
          <w:rFonts w:ascii="宋体" w:hAnsi="宋体" w:eastAsia="宋体" w:cs="宋体"/>
          <w:color w:val="auto"/>
          <w:spacing w:val="-58"/>
          <w:sz w:val="20"/>
          <w:szCs w:val="20"/>
          <w:highlight w:val="none"/>
        </w:rPr>
        <w:t xml:space="preserve"> </w:t>
      </w:r>
      <w:r>
        <w:rPr>
          <w:rFonts w:ascii="宋体" w:hAnsi="宋体" w:eastAsia="宋体" w:cs="宋体"/>
          <w:color w:val="auto"/>
          <w:spacing w:val="20"/>
          <w:sz w:val="20"/>
          <w:szCs w:val="20"/>
          <w:highlight w:val="none"/>
        </w:rPr>
        <w:t>、渔业企业采用营</w:t>
      </w:r>
      <w:r>
        <w:rPr>
          <w:rFonts w:ascii="宋体" w:hAnsi="宋体" w:eastAsia="宋体" w:cs="宋体"/>
          <w:color w:val="auto"/>
          <w:sz w:val="20"/>
          <w:szCs w:val="20"/>
          <w:highlight w:val="none"/>
        </w:rPr>
        <w:t xml:space="preserve"> </w:t>
      </w:r>
      <w:r>
        <w:rPr>
          <w:rFonts w:ascii="宋体" w:hAnsi="宋体" w:eastAsia="宋体" w:cs="宋体"/>
          <w:color w:val="auto"/>
          <w:spacing w:val="22"/>
          <w:sz w:val="20"/>
          <w:szCs w:val="20"/>
          <w:highlight w:val="none"/>
        </w:rPr>
        <w:t>业总收入代替；其他未设置主营业务收入的行业，采用营业收入指标</w:t>
      </w:r>
      <w:r>
        <w:rPr>
          <w:rFonts w:ascii="宋体" w:hAnsi="宋体" w:eastAsia="宋体" w:cs="宋体"/>
          <w:color w:val="auto"/>
          <w:spacing w:val="-39"/>
          <w:sz w:val="20"/>
          <w:szCs w:val="20"/>
          <w:highlight w:val="none"/>
        </w:rPr>
        <w:t xml:space="preserve"> </w:t>
      </w:r>
      <w:r>
        <w:rPr>
          <w:rFonts w:ascii="宋体" w:hAnsi="宋体" w:eastAsia="宋体" w:cs="宋体"/>
          <w:color w:val="auto"/>
          <w:spacing w:val="22"/>
          <w:sz w:val="20"/>
          <w:szCs w:val="20"/>
          <w:highlight w:val="none"/>
        </w:rPr>
        <w:t>。（3）资产总额，采用资产总计</w:t>
      </w:r>
    </w:p>
    <w:p w14:paraId="69052B45">
      <w:pPr>
        <w:spacing w:line="228"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代替。</w:t>
      </w:r>
    </w:p>
    <w:p w14:paraId="6159F1A5">
      <w:pPr>
        <w:pStyle w:val="2"/>
        <w:spacing w:line="244" w:lineRule="auto"/>
        <w:rPr>
          <w:color w:val="auto"/>
          <w:highlight w:val="none"/>
        </w:rPr>
      </w:pPr>
    </w:p>
    <w:p w14:paraId="57A5AE52">
      <w:pPr>
        <w:pStyle w:val="2"/>
        <w:spacing w:line="244" w:lineRule="auto"/>
        <w:rPr>
          <w:color w:val="auto"/>
          <w:highlight w:val="none"/>
        </w:rPr>
      </w:pPr>
    </w:p>
    <w:p w14:paraId="59053857">
      <w:pPr>
        <w:pStyle w:val="2"/>
        <w:spacing w:line="244" w:lineRule="auto"/>
        <w:rPr>
          <w:color w:val="auto"/>
          <w:highlight w:val="none"/>
        </w:rPr>
      </w:pPr>
    </w:p>
    <w:p w14:paraId="68104C1C">
      <w:pPr>
        <w:pStyle w:val="2"/>
        <w:spacing w:line="244" w:lineRule="auto"/>
        <w:rPr>
          <w:color w:val="auto"/>
          <w:highlight w:val="none"/>
        </w:rPr>
      </w:pPr>
    </w:p>
    <w:p w14:paraId="44C3714E">
      <w:pPr>
        <w:pStyle w:val="2"/>
        <w:spacing w:line="245" w:lineRule="auto"/>
        <w:rPr>
          <w:color w:val="auto"/>
          <w:highlight w:val="none"/>
        </w:rPr>
      </w:pPr>
    </w:p>
    <w:p w14:paraId="6226F467">
      <w:pPr>
        <w:pStyle w:val="2"/>
        <w:spacing w:line="245" w:lineRule="auto"/>
        <w:rPr>
          <w:color w:val="auto"/>
          <w:highlight w:val="none"/>
        </w:rPr>
      </w:pPr>
    </w:p>
    <w:p w14:paraId="578CECF5">
      <w:pPr>
        <w:spacing w:before="65"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附件</w:t>
      </w:r>
    </w:p>
    <w:p w14:paraId="674A0663">
      <w:pPr>
        <w:pStyle w:val="2"/>
        <w:spacing w:line="287" w:lineRule="auto"/>
        <w:rPr>
          <w:color w:val="auto"/>
          <w:highlight w:val="none"/>
        </w:rPr>
      </w:pPr>
    </w:p>
    <w:p w14:paraId="0B81E064">
      <w:pPr>
        <w:spacing w:before="65" w:line="228" w:lineRule="auto"/>
        <w:ind w:left="247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《统计上大中小微型企业划分办法（2017）》修订说明</w:t>
      </w:r>
    </w:p>
    <w:p w14:paraId="02FE100F">
      <w:pPr>
        <w:pStyle w:val="2"/>
        <w:spacing w:line="286" w:lineRule="auto"/>
        <w:rPr>
          <w:color w:val="auto"/>
          <w:highlight w:val="none"/>
        </w:rPr>
      </w:pPr>
    </w:p>
    <w:p w14:paraId="4A2630F6">
      <w:pPr>
        <w:spacing w:before="65"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一、修订背景</w:t>
      </w:r>
    </w:p>
    <w:p w14:paraId="154356B4">
      <w:pPr>
        <w:pStyle w:val="2"/>
        <w:spacing w:line="285" w:lineRule="auto"/>
        <w:rPr>
          <w:color w:val="auto"/>
          <w:highlight w:val="none"/>
        </w:rPr>
      </w:pPr>
    </w:p>
    <w:p w14:paraId="098658B3">
      <w:pPr>
        <w:spacing w:before="65" w:line="554" w:lineRule="auto"/>
        <w:ind w:left="21" w:firstLine="43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目前执行的《统计上大中小微型企业划分办法》是</w:t>
      </w:r>
      <w:r>
        <w:rPr>
          <w:rFonts w:ascii="宋体" w:hAnsi="宋体" w:eastAsia="宋体" w:cs="宋体"/>
          <w:color w:val="auto"/>
          <w:spacing w:val="-25"/>
          <w:sz w:val="20"/>
          <w:szCs w:val="20"/>
          <w:highlight w:val="none"/>
        </w:rPr>
        <w:t xml:space="preserve"> </w:t>
      </w:r>
      <w:r>
        <w:rPr>
          <w:rFonts w:ascii="宋体" w:hAnsi="宋体" w:eastAsia="宋体" w:cs="宋体"/>
          <w:color w:val="auto"/>
          <w:spacing w:val="5"/>
          <w:sz w:val="20"/>
          <w:szCs w:val="20"/>
          <w:highlight w:val="none"/>
        </w:rPr>
        <w:t>2011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年国家统计局根据工业和信息化部、国家统计局、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国家发展改革委、财政部《关于印发中小企业划型标准规定的通知》（工信部联企业〔2011〕300</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w:t>
      </w:r>
      <w:r>
        <w:rPr>
          <w:rFonts w:ascii="宋体" w:hAnsi="宋体" w:eastAsia="宋体" w:cs="宋体"/>
          <w:color w:val="auto"/>
          <w:spacing w:val="18"/>
          <w:sz w:val="20"/>
          <w:szCs w:val="20"/>
          <w:highlight w:val="none"/>
        </w:rPr>
        <w:t>），</w:t>
      </w:r>
      <w:r>
        <w:rPr>
          <w:rFonts w:ascii="宋体" w:hAnsi="宋体" w:eastAsia="宋体" w:cs="宋体"/>
          <w:color w:val="auto"/>
          <w:spacing w:val="6"/>
          <w:sz w:val="20"/>
          <w:szCs w:val="20"/>
          <w:highlight w:val="none"/>
        </w:rPr>
        <w:t>同时</w:t>
      </w:r>
    </w:p>
    <w:p w14:paraId="4A38315D">
      <w:pPr>
        <w:spacing w:before="1" w:line="227" w:lineRule="auto"/>
        <w:ind w:left="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依据《国民经济行业分类》（</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/T 4754—2011</w:t>
      </w:r>
      <w:r>
        <w:rPr>
          <w:rFonts w:ascii="宋体" w:hAnsi="宋体" w:eastAsia="宋体" w:cs="宋体"/>
          <w:color w:val="auto"/>
          <w:spacing w:val="23"/>
          <w:sz w:val="20"/>
          <w:szCs w:val="20"/>
          <w:highlight w:val="none"/>
        </w:rPr>
        <w:t>），</w:t>
      </w:r>
      <w:r>
        <w:rPr>
          <w:rFonts w:ascii="宋体" w:hAnsi="宋体" w:eastAsia="宋体" w:cs="宋体"/>
          <w:color w:val="auto"/>
          <w:spacing w:val="7"/>
          <w:sz w:val="20"/>
          <w:szCs w:val="20"/>
          <w:highlight w:val="none"/>
        </w:rPr>
        <w:t>制定并颁布的。</w:t>
      </w:r>
    </w:p>
    <w:p w14:paraId="6B892B27">
      <w:pPr>
        <w:pStyle w:val="2"/>
        <w:spacing w:line="286" w:lineRule="auto"/>
        <w:rPr>
          <w:color w:val="auto"/>
          <w:highlight w:val="none"/>
        </w:rPr>
      </w:pPr>
    </w:p>
    <w:p w14:paraId="5252917C">
      <w:pPr>
        <w:spacing w:before="65" w:line="554" w:lineRule="auto"/>
        <w:ind w:left="1" w:right="68" w:firstLine="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2017</w:t>
      </w:r>
      <w:r>
        <w:rPr>
          <w:rFonts w:ascii="宋体" w:hAnsi="宋体" w:eastAsia="宋体" w:cs="宋体"/>
          <w:color w:val="auto"/>
          <w:spacing w:val="-40"/>
          <w:sz w:val="20"/>
          <w:szCs w:val="20"/>
          <w:highlight w:val="none"/>
        </w:rPr>
        <w:t xml:space="preserve"> </w:t>
      </w:r>
      <w:r>
        <w:rPr>
          <w:rFonts w:ascii="宋体" w:hAnsi="宋体" w:eastAsia="宋体" w:cs="宋体"/>
          <w:color w:val="auto"/>
          <w:spacing w:val="5"/>
          <w:sz w:val="20"/>
          <w:szCs w:val="20"/>
          <w:highlight w:val="none"/>
        </w:rPr>
        <w:t>年</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6</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月</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30 日，《国民经济行业分类》（</w:t>
      </w:r>
      <w:r>
        <w:rPr>
          <w:rFonts w:ascii="宋体" w:hAnsi="宋体" w:eastAsia="宋体" w:cs="宋体"/>
          <w:color w:val="auto"/>
          <w:sz w:val="20"/>
          <w:szCs w:val="20"/>
          <w:highlight w:val="none"/>
        </w:rPr>
        <w:t>GB</w:t>
      </w:r>
      <w:r>
        <w:rPr>
          <w:rFonts w:ascii="宋体" w:hAnsi="宋体" w:eastAsia="宋体" w:cs="宋体"/>
          <w:color w:val="auto"/>
          <w:spacing w:val="5"/>
          <w:sz w:val="20"/>
          <w:szCs w:val="20"/>
          <w:highlight w:val="none"/>
        </w:rPr>
        <w:t>/T 4754—2017</w:t>
      </w:r>
      <w:r>
        <w:rPr>
          <w:rFonts w:ascii="宋体" w:hAnsi="宋体" w:eastAsia="宋体" w:cs="宋体"/>
          <w:color w:val="auto"/>
          <w:spacing w:val="4"/>
          <w:sz w:val="20"/>
          <w:szCs w:val="20"/>
          <w:highlight w:val="none"/>
        </w:rPr>
        <w:t>）正式颁布。8</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29 日，国家统计局印发</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《关于执行新国民经济行业分类国家标准的通知》（国统字〔2017〕142</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19"/>
          <w:sz w:val="20"/>
          <w:szCs w:val="20"/>
          <w:highlight w:val="none"/>
        </w:rPr>
        <w:t>），</w:t>
      </w:r>
      <w:r>
        <w:rPr>
          <w:rFonts w:ascii="宋体" w:hAnsi="宋体" w:eastAsia="宋体" w:cs="宋体"/>
          <w:color w:val="auto"/>
          <w:spacing w:val="5"/>
          <w:sz w:val="20"/>
          <w:szCs w:val="20"/>
          <w:highlight w:val="none"/>
        </w:rPr>
        <w:t>规</w:t>
      </w:r>
      <w:r>
        <w:rPr>
          <w:rFonts w:ascii="宋体" w:hAnsi="宋体" w:eastAsia="宋体" w:cs="宋体"/>
          <w:color w:val="auto"/>
          <w:spacing w:val="4"/>
          <w:sz w:val="20"/>
          <w:szCs w:val="20"/>
          <w:highlight w:val="none"/>
        </w:rPr>
        <w:t>定从</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2017</w:t>
      </w:r>
      <w:r>
        <w:rPr>
          <w:rFonts w:ascii="宋体" w:hAnsi="宋体" w:eastAsia="宋体" w:cs="宋体"/>
          <w:color w:val="auto"/>
          <w:spacing w:val="-39"/>
          <w:sz w:val="20"/>
          <w:szCs w:val="20"/>
          <w:highlight w:val="none"/>
        </w:rPr>
        <w:t xml:space="preserve"> </w:t>
      </w:r>
      <w:r>
        <w:rPr>
          <w:rFonts w:ascii="宋体" w:hAnsi="宋体" w:eastAsia="宋体" w:cs="宋体"/>
          <w:color w:val="auto"/>
          <w:spacing w:val="4"/>
          <w:sz w:val="20"/>
          <w:szCs w:val="20"/>
          <w:highlight w:val="none"/>
        </w:rPr>
        <w:t>年统计年报和</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2018</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年定期统计报表起统一使用新分类标准。为此，我们对</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2011</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年印发的《统计上大中小微型企业划分办法》进</w:t>
      </w:r>
    </w:p>
    <w:p w14:paraId="7DD620AE">
      <w:pPr>
        <w:spacing w:line="228" w:lineRule="auto"/>
        <w:ind w:left="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行修订。</w:t>
      </w:r>
    </w:p>
    <w:p w14:paraId="0F782ACC">
      <w:pPr>
        <w:pStyle w:val="2"/>
        <w:spacing w:line="286" w:lineRule="auto"/>
        <w:rPr>
          <w:color w:val="auto"/>
          <w:highlight w:val="none"/>
        </w:rPr>
      </w:pPr>
    </w:p>
    <w:p w14:paraId="5E03B7A2">
      <w:pPr>
        <w:spacing w:before="66" w:line="228"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二、修订主要内容</w:t>
      </w:r>
    </w:p>
    <w:p w14:paraId="4B92C2EE">
      <w:pPr>
        <w:pStyle w:val="2"/>
        <w:spacing w:line="285" w:lineRule="auto"/>
        <w:rPr>
          <w:color w:val="auto"/>
          <w:highlight w:val="none"/>
        </w:rPr>
      </w:pPr>
    </w:p>
    <w:p w14:paraId="1F6E18F1">
      <w:pPr>
        <w:spacing w:before="65" w:line="554" w:lineRule="auto"/>
        <w:ind w:left="1" w:right="68"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本次修订是在</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2011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年《统计上大中小微型企业划分办法》基础上进行的，修订延续原有的分类原则、方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法和结构框架，在保持适用范围不变的情况下,依据标准由《国民经济行业分类》（</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/T</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47</w:t>
      </w:r>
      <w:r>
        <w:rPr>
          <w:rFonts w:ascii="宋体" w:hAnsi="宋体" w:eastAsia="宋体" w:cs="宋体"/>
          <w:color w:val="auto"/>
          <w:spacing w:val="7"/>
          <w:sz w:val="20"/>
          <w:szCs w:val="20"/>
          <w:highlight w:val="none"/>
        </w:rPr>
        <w:t>54—2011）修改为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《国民经济行业分类》（</w:t>
      </w:r>
      <w:r>
        <w:rPr>
          <w:rFonts w:ascii="宋体" w:hAnsi="宋体" w:eastAsia="宋体" w:cs="宋体"/>
          <w:color w:val="auto"/>
          <w:sz w:val="20"/>
          <w:szCs w:val="20"/>
          <w:highlight w:val="none"/>
        </w:rPr>
        <w:t>GB</w:t>
      </w:r>
      <w:r>
        <w:rPr>
          <w:rFonts w:ascii="宋体" w:hAnsi="宋体" w:eastAsia="宋体" w:cs="宋体"/>
          <w:color w:val="auto"/>
          <w:spacing w:val="9"/>
          <w:sz w:val="20"/>
          <w:szCs w:val="20"/>
          <w:highlight w:val="none"/>
        </w:rPr>
        <w:t>/T 4754—2017</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并根据新旧国民经济</w:t>
      </w:r>
      <w:r>
        <w:rPr>
          <w:rFonts w:ascii="宋体" w:hAnsi="宋体" w:eastAsia="宋体" w:cs="宋体"/>
          <w:color w:val="auto"/>
          <w:spacing w:val="8"/>
          <w:sz w:val="20"/>
          <w:szCs w:val="20"/>
          <w:highlight w:val="none"/>
        </w:rPr>
        <w:t>行业的对应关系，进行了行业所包含类别</w:t>
      </w:r>
    </w:p>
    <w:p w14:paraId="699B37F8">
      <w:pPr>
        <w:spacing w:before="1" w:line="229" w:lineRule="auto"/>
        <w:ind w:left="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的对应调整。</w:t>
      </w:r>
    </w:p>
    <w:p w14:paraId="15385C4F">
      <w:pPr>
        <w:spacing w:line="229" w:lineRule="auto"/>
        <w:rPr>
          <w:rFonts w:ascii="宋体" w:hAnsi="宋体" w:eastAsia="宋体" w:cs="宋体"/>
          <w:color w:val="auto"/>
          <w:sz w:val="20"/>
          <w:szCs w:val="20"/>
          <w:highlight w:val="none"/>
        </w:rPr>
        <w:sectPr>
          <w:footerReference r:id="rId32" w:type="default"/>
          <w:pgSz w:w="11906" w:h="16839"/>
          <w:pgMar w:top="1431" w:right="895" w:bottom="1157" w:left="972" w:header="0" w:footer="992" w:gutter="0"/>
          <w:pgNumType w:fmt="decimal"/>
          <w:cols w:space="720" w:num="1"/>
        </w:sectPr>
      </w:pPr>
    </w:p>
    <w:p w14:paraId="6733BD37">
      <w:pPr>
        <w:spacing w:before="116"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将交通运输业中包括的“装卸搬运和运输代理业</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”修改为“多式联运和运输代理业、装卸</w:t>
      </w:r>
      <w:r>
        <w:rPr>
          <w:rFonts w:ascii="宋体" w:hAnsi="宋体" w:eastAsia="宋体" w:cs="宋体"/>
          <w:color w:val="auto"/>
          <w:spacing w:val="8"/>
          <w:sz w:val="20"/>
          <w:szCs w:val="20"/>
          <w:highlight w:val="none"/>
        </w:rPr>
        <w:t>搬运</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p>
    <w:p w14:paraId="19D414F2">
      <w:pPr>
        <w:pStyle w:val="2"/>
        <w:spacing w:line="285" w:lineRule="auto"/>
        <w:rPr>
          <w:color w:val="auto"/>
          <w:highlight w:val="none"/>
        </w:rPr>
      </w:pPr>
    </w:p>
    <w:p w14:paraId="6D3D9FC0">
      <w:pPr>
        <w:spacing w:before="65" w:line="600" w:lineRule="exact"/>
        <w:jc w:val="right"/>
        <w:rPr>
          <w:rFonts w:ascii="宋体" w:hAnsi="宋体" w:eastAsia="宋体" w:cs="宋体"/>
          <w:color w:val="auto"/>
          <w:sz w:val="20"/>
          <w:szCs w:val="20"/>
          <w:highlight w:val="none"/>
        </w:rPr>
      </w:pPr>
      <w:r>
        <w:rPr>
          <w:rFonts w:ascii="宋体" w:hAnsi="宋体" w:eastAsia="宋体" w:cs="宋体"/>
          <w:color w:val="auto"/>
          <w:spacing w:val="17"/>
          <w:position w:val="30"/>
          <w:sz w:val="20"/>
          <w:szCs w:val="20"/>
          <w:highlight w:val="none"/>
        </w:rPr>
        <w:t>仓储业所包括的行业中类</w:t>
      </w:r>
      <w:r>
        <w:rPr>
          <w:rFonts w:ascii="宋体" w:hAnsi="宋体" w:eastAsia="宋体" w:cs="宋体"/>
          <w:color w:val="auto"/>
          <w:spacing w:val="-55"/>
          <w:position w:val="30"/>
          <w:sz w:val="20"/>
          <w:szCs w:val="20"/>
          <w:highlight w:val="none"/>
        </w:rPr>
        <w:t xml:space="preserve"> </w:t>
      </w:r>
      <w:r>
        <w:rPr>
          <w:rFonts w:ascii="宋体" w:hAnsi="宋体" w:eastAsia="宋体" w:cs="宋体"/>
          <w:color w:val="auto"/>
          <w:spacing w:val="17"/>
          <w:position w:val="30"/>
          <w:sz w:val="20"/>
          <w:szCs w:val="20"/>
          <w:highlight w:val="none"/>
        </w:rPr>
        <w:t>，根据《国民经济行业分类》</w:t>
      </w:r>
      <w:r>
        <w:rPr>
          <w:rFonts w:ascii="宋体" w:hAnsi="宋体" w:eastAsia="宋体" w:cs="宋体"/>
          <w:color w:val="auto"/>
          <w:spacing w:val="-48"/>
          <w:position w:val="30"/>
          <w:sz w:val="20"/>
          <w:szCs w:val="20"/>
          <w:highlight w:val="none"/>
        </w:rPr>
        <w:t xml:space="preserve"> </w:t>
      </w:r>
      <w:r>
        <w:rPr>
          <w:rFonts w:ascii="宋体" w:hAnsi="宋体" w:eastAsia="宋体" w:cs="宋体"/>
          <w:color w:val="auto"/>
          <w:spacing w:val="17"/>
          <w:position w:val="30"/>
          <w:sz w:val="20"/>
          <w:szCs w:val="20"/>
          <w:highlight w:val="none"/>
        </w:rPr>
        <w:t>（</w:t>
      </w:r>
      <w:r>
        <w:rPr>
          <w:rFonts w:ascii="宋体" w:hAnsi="宋体" w:eastAsia="宋体" w:cs="宋体"/>
          <w:color w:val="auto"/>
          <w:position w:val="30"/>
          <w:sz w:val="20"/>
          <w:szCs w:val="20"/>
          <w:highlight w:val="none"/>
        </w:rPr>
        <w:t>GB</w:t>
      </w:r>
      <w:r>
        <w:rPr>
          <w:rFonts w:ascii="宋体" w:hAnsi="宋体" w:eastAsia="宋体" w:cs="宋体"/>
          <w:color w:val="auto"/>
          <w:spacing w:val="17"/>
          <w:position w:val="30"/>
          <w:sz w:val="20"/>
          <w:szCs w:val="20"/>
          <w:highlight w:val="none"/>
        </w:rPr>
        <w:t>/T 4754—2017）调整为</w:t>
      </w:r>
      <w:r>
        <w:rPr>
          <w:rFonts w:ascii="宋体" w:hAnsi="宋体" w:eastAsia="宋体" w:cs="宋体"/>
          <w:color w:val="auto"/>
          <w:spacing w:val="-72"/>
          <w:position w:val="30"/>
          <w:sz w:val="20"/>
          <w:szCs w:val="20"/>
          <w:highlight w:val="none"/>
        </w:rPr>
        <w:t xml:space="preserve"> </w:t>
      </w:r>
      <w:r>
        <w:rPr>
          <w:rFonts w:ascii="宋体" w:hAnsi="宋体" w:eastAsia="宋体" w:cs="宋体"/>
          <w:color w:val="auto"/>
          <w:spacing w:val="17"/>
          <w:position w:val="30"/>
          <w:sz w:val="20"/>
          <w:szCs w:val="20"/>
          <w:highlight w:val="none"/>
        </w:rPr>
        <w:t>“</w:t>
      </w:r>
      <w:r>
        <w:rPr>
          <w:rFonts w:ascii="宋体" w:hAnsi="宋体" w:eastAsia="宋体" w:cs="宋体"/>
          <w:color w:val="auto"/>
          <w:spacing w:val="-73"/>
          <w:position w:val="30"/>
          <w:sz w:val="20"/>
          <w:szCs w:val="20"/>
          <w:highlight w:val="none"/>
        </w:rPr>
        <w:t xml:space="preserve"> </w:t>
      </w:r>
      <w:r>
        <w:rPr>
          <w:rFonts w:ascii="宋体" w:hAnsi="宋体" w:eastAsia="宋体" w:cs="宋体"/>
          <w:color w:val="auto"/>
          <w:spacing w:val="17"/>
          <w:position w:val="30"/>
          <w:sz w:val="20"/>
          <w:szCs w:val="20"/>
          <w:highlight w:val="none"/>
        </w:rPr>
        <w:t>通用仓储，</w:t>
      </w:r>
    </w:p>
    <w:p w14:paraId="31729310">
      <w:pPr>
        <w:spacing w:line="227" w:lineRule="auto"/>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低温仓储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，危险品仓储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，谷物、棉花等农产品仓储</w:t>
      </w:r>
      <w:r>
        <w:rPr>
          <w:rFonts w:ascii="宋体" w:hAnsi="宋体" w:eastAsia="宋体" w:cs="宋体"/>
          <w:color w:val="auto"/>
          <w:spacing w:val="-58"/>
          <w:sz w:val="20"/>
          <w:szCs w:val="20"/>
          <w:highlight w:val="none"/>
        </w:rPr>
        <w:t xml:space="preserve"> </w:t>
      </w:r>
      <w:r>
        <w:rPr>
          <w:rFonts w:ascii="宋体" w:hAnsi="宋体" w:eastAsia="宋体" w:cs="宋体"/>
          <w:color w:val="auto"/>
          <w:spacing w:val="19"/>
          <w:sz w:val="20"/>
          <w:szCs w:val="20"/>
          <w:highlight w:val="none"/>
        </w:rPr>
        <w:t>，</w:t>
      </w:r>
      <w:r>
        <w:rPr>
          <w:rFonts w:ascii="宋体" w:hAnsi="宋体" w:eastAsia="宋体" w:cs="宋体"/>
          <w:color w:val="auto"/>
          <w:spacing w:val="-51"/>
          <w:sz w:val="20"/>
          <w:szCs w:val="20"/>
          <w:highlight w:val="none"/>
        </w:rPr>
        <w:t xml:space="preserve"> </w:t>
      </w:r>
      <w:r>
        <w:rPr>
          <w:rFonts w:ascii="宋体" w:hAnsi="宋体" w:eastAsia="宋体" w:cs="宋体"/>
          <w:color w:val="auto"/>
          <w:spacing w:val="19"/>
          <w:sz w:val="20"/>
          <w:szCs w:val="20"/>
          <w:highlight w:val="none"/>
        </w:rPr>
        <w:t>中药材仓储和其他仓储业</w:t>
      </w:r>
      <w:r>
        <w:rPr>
          <w:rFonts w:ascii="宋体" w:hAnsi="宋体" w:eastAsia="宋体" w:cs="宋体"/>
          <w:color w:val="auto"/>
          <w:spacing w:val="-56"/>
          <w:sz w:val="20"/>
          <w:szCs w:val="20"/>
          <w:highlight w:val="none"/>
        </w:rPr>
        <w:t xml:space="preserve"> </w:t>
      </w:r>
      <w:r>
        <w:rPr>
          <w:rFonts w:ascii="宋体" w:hAnsi="宋体" w:eastAsia="宋体" w:cs="宋体"/>
          <w:color w:val="auto"/>
          <w:spacing w:val="18"/>
          <w:sz w:val="20"/>
          <w:szCs w:val="20"/>
          <w:highlight w:val="none"/>
        </w:rPr>
        <w:t>”。</w:t>
      </w:r>
    </w:p>
    <w:p w14:paraId="69A16452">
      <w:pPr>
        <w:spacing w:line="227" w:lineRule="auto"/>
        <w:rPr>
          <w:rFonts w:ascii="宋体" w:hAnsi="宋体" w:eastAsia="宋体" w:cs="宋体"/>
          <w:color w:val="auto"/>
          <w:sz w:val="20"/>
          <w:szCs w:val="20"/>
          <w:highlight w:val="none"/>
        </w:rPr>
        <w:sectPr>
          <w:footerReference r:id="rId33" w:type="default"/>
          <w:pgSz w:w="11906" w:h="16839"/>
          <w:pgMar w:top="1431" w:right="1030" w:bottom="1157" w:left="972" w:header="0" w:footer="992" w:gutter="0"/>
          <w:pgNumType w:fmt="decimal"/>
          <w:cols w:space="720" w:num="1"/>
        </w:sectPr>
      </w:pPr>
    </w:p>
    <w:p w14:paraId="2C6347C5">
      <w:pPr>
        <w:keepNext w:val="0"/>
        <w:keepLines w:val="0"/>
        <w:pageBreakBefore w:val="0"/>
        <w:widowControl/>
        <w:kinsoku w:val="0"/>
        <w:wordWrap/>
        <w:overflowPunct/>
        <w:topLinePunct w:val="0"/>
        <w:autoSpaceDE w:val="0"/>
        <w:autoSpaceDN w:val="0"/>
        <w:bidi w:val="0"/>
        <w:adjustRightInd w:val="0"/>
        <w:snapToGrid w:val="0"/>
        <w:spacing w:before="48" w:line="280" w:lineRule="exact"/>
        <w:ind w:left="3067"/>
        <w:textAlignment w:val="baseline"/>
        <w:outlineLvl w:val="9"/>
        <w:rPr>
          <w:rFonts w:ascii="宋体" w:hAnsi="宋体" w:eastAsia="宋体" w:cs="宋体"/>
          <w:color w:val="auto"/>
          <w:sz w:val="24"/>
          <w:szCs w:val="24"/>
          <w:highlight w:val="none"/>
        </w:rPr>
      </w:pPr>
      <w:bookmarkStart w:id="96" w:name="_Toc24577"/>
      <w:r>
        <w:rPr>
          <w:rFonts w:ascii="宋体" w:hAnsi="宋体" w:eastAsia="宋体" w:cs="宋体"/>
          <w:color w:val="auto"/>
          <w:sz w:val="24"/>
          <w:szCs w:val="24"/>
          <w:highlight w:val="none"/>
          <w14:textOutline w14:w="4358" w14:cap="sq" w14:cmpd="sng">
            <w14:solidFill>
              <w14:srgbClr w14:val="000000"/>
            </w14:solidFill>
            <w14:prstDash w14:val="solid"/>
            <w14:bevel/>
          </w14:textOutline>
        </w:rPr>
        <w:t>关于促进残疾人就业政府采购政策的通知</w:t>
      </w:r>
      <w:bookmarkEnd w:id="96"/>
    </w:p>
    <w:p w14:paraId="6191ED92">
      <w:pPr>
        <w:spacing w:before="182" w:line="220" w:lineRule="auto"/>
        <w:ind w:left="41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财库〔2017〕141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号</w:t>
      </w:r>
    </w:p>
    <w:p w14:paraId="2E9B2F29">
      <w:pPr>
        <w:spacing w:before="196" w:line="432" w:lineRule="auto"/>
        <w:ind w:left="14" w:firstLine="40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党中央有关部门，国务院各部委、各直属机构，全</w:t>
      </w:r>
      <w:r>
        <w:rPr>
          <w:rFonts w:ascii="宋体" w:hAnsi="宋体" w:eastAsia="宋体" w:cs="宋体"/>
          <w:color w:val="auto"/>
          <w:spacing w:val="7"/>
          <w:sz w:val="20"/>
          <w:szCs w:val="20"/>
          <w:highlight w:val="none"/>
        </w:rPr>
        <w:t>国人大常委会办公厅，全国政协办公厅，高法院，高检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院，各民主党派中央，有关人民团体，各省、</w:t>
      </w:r>
      <w:r>
        <w:rPr>
          <w:rFonts w:ascii="宋体" w:hAnsi="宋体" w:eastAsia="宋体" w:cs="宋体"/>
          <w:color w:val="auto"/>
          <w:spacing w:val="-59"/>
          <w:sz w:val="20"/>
          <w:szCs w:val="20"/>
          <w:highlight w:val="none"/>
        </w:rPr>
        <w:t xml:space="preserve"> </w:t>
      </w:r>
      <w:r>
        <w:rPr>
          <w:rFonts w:ascii="宋体" w:hAnsi="宋体" w:eastAsia="宋体" w:cs="宋体"/>
          <w:color w:val="auto"/>
          <w:spacing w:val="7"/>
          <w:sz w:val="20"/>
          <w:szCs w:val="20"/>
          <w:highlight w:val="none"/>
        </w:rPr>
        <w:t>自治区、直</w:t>
      </w:r>
      <w:r>
        <w:rPr>
          <w:rFonts w:ascii="宋体" w:hAnsi="宋体" w:eastAsia="宋体" w:cs="宋体"/>
          <w:color w:val="auto"/>
          <w:spacing w:val="6"/>
          <w:sz w:val="20"/>
          <w:szCs w:val="20"/>
          <w:highlight w:val="none"/>
        </w:rPr>
        <w:t>辖市、计划单列市财政厅（局）、民政厅（局）、残</w:t>
      </w:r>
    </w:p>
    <w:p w14:paraId="4502E3AB">
      <w:pPr>
        <w:spacing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疾人联合会，新疆生产建设兵团财务局、民政局、残疾人联合会：</w:t>
      </w:r>
    </w:p>
    <w:p w14:paraId="2F6B103C">
      <w:pPr>
        <w:spacing w:before="222" w:line="468" w:lineRule="exact"/>
        <w:jc w:val="right"/>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为了发挥政府采购促进残疾人就业的作用，进一步保</w:t>
      </w:r>
      <w:r>
        <w:rPr>
          <w:rFonts w:ascii="宋体" w:hAnsi="宋体" w:eastAsia="宋体" w:cs="宋体"/>
          <w:color w:val="auto"/>
          <w:spacing w:val="7"/>
          <w:position w:val="20"/>
          <w:sz w:val="20"/>
          <w:szCs w:val="20"/>
          <w:highlight w:val="none"/>
        </w:rPr>
        <w:t>障残疾人权益，依照《政府采购法》、《残疾人保障</w:t>
      </w:r>
    </w:p>
    <w:p w14:paraId="5D0006BD">
      <w:pPr>
        <w:spacing w:line="227"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法》等法律法规及相关规定，现就促进残疾人就业政府采购政策通知如下：</w:t>
      </w:r>
    </w:p>
    <w:p w14:paraId="7EA753B5">
      <w:pPr>
        <w:spacing w:before="221" w:line="228" w:lineRule="auto"/>
        <w:ind w:left="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一、享受政府采购支持政策的残疾人福利性单位应当同时满足以下条件：</w:t>
      </w:r>
    </w:p>
    <w:p w14:paraId="0A27A164">
      <w:pPr>
        <w:spacing w:before="222" w:line="468" w:lineRule="exact"/>
        <w:ind w:right="4"/>
        <w:jc w:val="right"/>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（一）安置的残疾人占本单位在职职工人数的比例不低于</w:t>
      </w:r>
      <w:r>
        <w:rPr>
          <w:rFonts w:ascii="宋体" w:hAnsi="宋体" w:eastAsia="宋体" w:cs="宋体"/>
          <w:color w:val="auto"/>
          <w:spacing w:val="-35"/>
          <w:position w:val="20"/>
          <w:sz w:val="20"/>
          <w:szCs w:val="20"/>
          <w:highlight w:val="none"/>
        </w:rPr>
        <w:t xml:space="preserve"> </w:t>
      </w:r>
      <w:r>
        <w:rPr>
          <w:rFonts w:ascii="宋体" w:hAnsi="宋体" w:eastAsia="宋体" w:cs="宋体"/>
          <w:color w:val="auto"/>
          <w:spacing w:val="8"/>
          <w:position w:val="20"/>
          <w:sz w:val="20"/>
          <w:szCs w:val="20"/>
          <w:highlight w:val="none"/>
        </w:rPr>
        <w:t>25%（含</w:t>
      </w:r>
      <w:r>
        <w:rPr>
          <w:rFonts w:ascii="宋体" w:hAnsi="宋体" w:eastAsia="宋体" w:cs="宋体"/>
          <w:color w:val="auto"/>
          <w:spacing w:val="-35"/>
          <w:position w:val="20"/>
          <w:sz w:val="20"/>
          <w:szCs w:val="20"/>
          <w:highlight w:val="none"/>
        </w:rPr>
        <w:t xml:space="preserve"> </w:t>
      </w:r>
      <w:r>
        <w:rPr>
          <w:rFonts w:ascii="宋体" w:hAnsi="宋体" w:eastAsia="宋体" w:cs="宋体"/>
          <w:color w:val="auto"/>
          <w:spacing w:val="8"/>
          <w:position w:val="20"/>
          <w:sz w:val="20"/>
          <w:szCs w:val="20"/>
          <w:highlight w:val="none"/>
        </w:rPr>
        <w:t>25%</w:t>
      </w:r>
      <w:r>
        <w:rPr>
          <w:rFonts w:ascii="宋体" w:hAnsi="宋体" w:eastAsia="宋体" w:cs="宋体"/>
          <w:color w:val="auto"/>
          <w:spacing w:val="17"/>
          <w:position w:val="20"/>
          <w:sz w:val="20"/>
          <w:szCs w:val="20"/>
          <w:highlight w:val="none"/>
        </w:rPr>
        <w:t>），</w:t>
      </w:r>
      <w:r>
        <w:rPr>
          <w:rFonts w:ascii="宋体" w:hAnsi="宋体" w:eastAsia="宋体" w:cs="宋体"/>
          <w:color w:val="auto"/>
          <w:spacing w:val="8"/>
          <w:position w:val="20"/>
          <w:sz w:val="20"/>
          <w:szCs w:val="20"/>
          <w:highlight w:val="none"/>
        </w:rPr>
        <w:t>并且安置的残疾人人数不少于</w:t>
      </w:r>
    </w:p>
    <w:p w14:paraId="36E5E220">
      <w:pPr>
        <w:spacing w:line="228" w:lineRule="auto"/>
        <w:ind w:left="16"/>
        <w:outlineLvl w:val="9"/>
        <w:rPr>
          <w:rFonts w:ascii="宋体" w:hAnsi="宋体" w:eastAsia="宋体" w:cs="宋体"/>
          <w:color w:val="auto"/>
          <w:sz w:val="20"/>
          <w:szCs w:val="20"/>
          <w:highlight w:val="none"/>
        </w:rPr>
      </w:pPr>
      <w:bookmarkStart w:id="97" w:name="_Toc453"/>
      <w:r>
        <w:rPr>
          <w:rFonts w:ascii="宋体" w:hAnsi="宋体" w:eastAsia="宋体" w:cs="宋体"/>
          <w:color w:val="auto"/>
          <w:spacing w:val="-2"/>
          <w:sz w:val="20"/>
          <w:szCs w:val="20"/>
          <w:highlight w:val="none"/>
        </w:rPr>
        <w:t>10</w:t>
      </w:r>
      <w:r>
        <w:rPr>
          <w:rFonts w:ascii="宋体" w:hAnsi="宋体" w:eastAsia="宋体" w:cs="宋体"/>
          <w:color w:val="auto"/>
          <w:spacing w:val="-39"/>
          <w:sz w:val="20"/>
          <w:szCs w:val="20"/>
          <w:highlight w:val="none"/>
        </w:rPr>
        <w:t xml:space="preserve"> </w:t>
      </w:r>
      <w:r>
        <w:rPr>
          <w:rFonts w:ascii="宋体" w:hAnsi="宋体" w:eastAsia="宋体" w:cs="宋体"/>
          <w:color w:val="auto"/>
          <w:spacing w:val="-2"/>
          <w:sz w:val="20"/>
          <w:szCs w:val="20"/>
          <w:highlight w:val="none"/>
        </w:rPr>
        <w:t>人（含</w:t>
      </w:r>
      <w:r>
        <w:rPr>
          <w:rFonts w:ascii="宋体" w:hAnsi="宋体" w:eastAsia="宋体" w:cs="宋体"/>
          <w:color w:val="auto"/>
          <w:spacing w:val="-24"/>
          <w:sz w:val="20"/>
          <w:szCs w:val="20"/>
          <w:highlight w:val="none"/>
        </w:rPr>
        <w:t xml:space="preserve"> </w:t>
      </w:r>
      <w:r>
        <w:rPr>
          <w:rFonts w:ascii="宋体" w:hAnsi="宋体" w:eastAsia="宋体" w:cs="宋体"/>
          <w:color w:val="auto"/>
          <w:spacing w:val="-2"/>
          <w:sz w:val="20"/>
          <w:szCs w:val="20"/>
          <w:highlight w:val="none"/>
        </w:rPr>
        <w:t>10</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rPr>
        <w:t>人</w:t>
      </w:r>
      <w:r>
        <w:rPr>
          <w:rFonts w:ascii="宋体" w:hAnsi="宋体" w:eastAsia="宋体" w:cs="宋体"/>
          <w:color w:val="auto"/>
          <w:spacing w:val="3"/>
          <w:sz w:val="20"/>
          <w:szCs w:val="20"/>
          <w:highlight w:val="none"/>
        </w:rPr>
        <w:t>）；</w:t>
      </w:r>
      <w:bookmarkEnd w:id="97"/>
    </w:p>
    <w:p w14:paraId="0D34B1C7">
      <w:pPr>
        <w:spacing w:before="220"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（二）依法与安置的每位残疾人签订了一年以上（含一年）的劳动合同或服务协议；</w:t>
      </w:r>
    </w:p>
    <w:p w14:paraId="0F80B797">
      <w:pPr>
        <w:spacing w:before="222" w:line="468" w:lineRule="exact"/>
        <w:ind w:right="2"/>
        <w:jc w:val="right"/>
        <w:rPr>
          <w:rFonts w:ascii="宋体" w:hAnsi="宋体" w:eastAsia="宋体" w:cs="宋体"/>
          <w:color w:val="auto"/>
          <w:sz w:val="20"/>
          <w:szCs w:val="20"/>
          <w:highlight w:val="none"/>
        </w:rPr>
      </w:pPr>
      <w:r>
        <w:rPr>
          <w:rFonts w:ascii="宋体" w:hAnsi="宋体" w:eastAsia="宋体" w:cs="宋体"/>
          <w:color w:val="auto"/>
          <w:spacing w:val="7"/>
          <w:position w:val="20"/>
          <w:sz w:val="20"/>
          <w:szCs w:val="20"/>
          <w:highlight w:val="none"/>
        </w:rPr>
        <w:t>（三）为安置的每位残疾人按月足额缴纳了基本养老保险、基本医疗保险、失业保险、工伤保险和生育保</w:t>
      </w:r>
    </w:p>
    <w:p w14:paraId="3ED3C3DB">
      <w:pPr>
        <w:spacing w:line="227" w:lineRule="auto"/>
        <w:ind w:left="1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险等社会保险费；</w:t>
      </w:r>
    </w:p>
    <w:p w14:paraId="50532D32">
      <w:pPr>
        <w:spacing w:before="222" w:line="468" w:lineRule="exact"/>
        <w:ind w:right="2"/>
        <w:jc w:val="right"/>
        <w:rPr>
          <w:rFonts w:ascii="宋体" w:hAnsi="宋体" w:eastAsia="宋体" w:cs="宋体"/>
          <w:color w:val="auto"/>
          <w:sz w:val="20"/>
          <w:szCs w:val="20"/>
          <w:highlight w:val="none"/>
        </w:rPr>
      </w:pPr>
      <w:r>
        <w:rPr>
          <w:rFonts w:ascii="宋体" w:hAnsi="宋体" w:eastAsia="宋体" w:cs="宋体"/>
          <w:color w:val="auto"/>
          <w:spacing w:val="7"/>
          <w:position w:val="20"/>
          <w:sz w:val="20"/>
          <w:szCs w:val="20"/>
          <w:highlight w:val="none"/>
        </w:rPr>
        <w:t>（四）通过银行等金融机构向安置的每位残疾人，按月支付了不低于单位所在区县适用的经省级人民政府</w:t>
      </w:r>
    </w:p>
    <w:p w14:paraId="31032719">
      <w:pPr>
        <w:spacing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批准的月最低工资标准的工资；</w:t>
      </w:r>
    </w:p>
    <w:p w14:paraId="5E46F0DF">
      <w:pPr>
        <w:spacing w:before="221" w:line="468" w:lineRule="exact"/>
        <w:ind w:right="2"/>
        <w:jc w:val="right"/>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（五）提供本单位制造的货物、承担的工程或者服务（以下简称产品</w:t>
      </w:r>
      <w:r>
        <w:rPr>
          <w:rFonts w:ascii="宋体" w:hAnsi="宋体" w:eastAsia="宋体" w:cs="宋体"/>
          <w:color w:val="auto"/>
          <w:spacing w:val="-4"/>
          <w:position w:val="20"/>
          <w:sz w:val="20"/>
          <w:szCs w:val="20"/>
          <w:highlight w:val="none"/>
        </w:rPr>
        <w:t>），</w:t>
      </w:r>
      <w:r>
        <w:rPr>
          <w:rFonts w:ascii="宋体" w:hAnsi="宋体" w:eastAsia="宋体" w:cs="宋体"/>
          <w:color w:val="auto"/>
          <w:spacing w:val="8"/>
          <w:position w:val="20"/>
          <w:sz w:val="20"/>
          <w:szCs w:val="20"/>
          <w:highlight w:val="none"/>
        </w:rPr>
        <w:t>或者提供其</w:t>
      </w:r>
      <w:r>
        <w:rPr>
          <w:rFonts w:ascii="宋体" w:hAnsi="宋体" w:eastAsia="宋体" w:cs="宋体"/>
          <w:color w:val="auto"/>
          <w:spacing w:val="7"/>
          <w:position w:val="20"/>
          <w:sz w:val="20"/>
          <w:szCs w:val="20"/>
          <w:highlight w:val="none"/>
        </w:rPr>
        <w:t>他残疾人福利性单位</w:t>
      </w:r>
    </w:p>
    <w:p w14:paraId="71E5C06D">
      <w:pPr>
        <w:spacing w:before="1" w:line="227"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制造的货物（不包括使用非残疾人福利性单位注册商标的货</w:t>
      </w:r>
      <w:r>
        <w:rPr>
          <w:rFonts w:ascii="宋体" w:hAnsi="宋体" w:eastAsia="宋体" w:cs="宋体"/>
          <w:color w:val="auto"/>
          <w:spacing w:val="8"/>
          <w:sz w:val="20"/>
          <w:szCs w:val="20"/>
          <w:highlight w:val="none"/>
        </w:rPr>
        <w:t>物）。</w:t>
      </w:r>
    </w:p>
    <w:p w14:paraId="1FEA8689">
      <w:pPr>
        <w:spacing w:before="221" w:line="432" w:lineRule="auto"/>
        <w:ind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前款所称残疾人是指法定劳动年龄内，持有《中华</w:t>
      </w:r>
      <w:r>
        <w:rPr>
          <w:rFonts w:ascii="宋体" w:hAnsi="宋体" w:eastAsia="宋体" w:cs="宋体"/>
          <w:color w:val="auto"/>
          <w:spacing w:val="7"/>
          <w:sz w:val="20"/>
          <w:szCs w:val="20"/>
          <w:highlight w:val="none"/>
        </w:rPr>
        <w:t>人民共和国残疾人证》或者《中华人民共和国残疾军人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证（1</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至</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8</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级）》的自然人，包括具有劳动条件和劳动意愿的精神残疾人。在职职工人数是指</w:t>
      </w:r>
      <w:r>
        <w:rPr>
          <w:rFonts w:ascii="宋体" w:hAnsi="宋体" w:eastAsia="宋体" w:cs="宋体"/>
          <w:color w:val="auto"/>
          <w:spacing w:val="7"/>
          <w:sz w:val="20"/>
          <w:szCs w:val="20"/>
          <w:highlight w:val="none"/>
        </w:rPr>
        <w:t>与残疾人福利性</w:t>
      </w:r>
    </w:p>
    <w:p w14:paraId="79643555">
      <w:pPr>
        <w:spacing w:before="1" w:line="227" w:lineRule="auto"/>
        <w:ind w:left="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单位建立劳动关系并依法签订劳动合同或者服务协议的雇员人数。</w:t>
      </w:r>
    </w:p>
    <w:p w14:paraId="5A1694AA">
      <w:pPr>
        <w:spacing w:before="221" w:line="432" w:lineRule="auto"/>
        <w:ind w:left="20" w:firstLine="40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二、符合条件的残疾人福利性单位在参加政府采购</w:t>
      </w:r>
      <w:r>
        <w:rPr>
          <w:rFonts w:ascii="宋体" w:hAnsi="宋体" w:eastAsia="宋体" w:cs="宋体"/>
          <w:color w:val="auto"/>
          <w:spacing w:val="7"/>
          <w:sz w:val="20"/>
          <w:szCs w:val="20"/>
          <w:highlight w:val="none"/>
        </w:rPr>
        <w:t>活动时，应当提供本通知规定的《残疾人福利性单位声</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明函》（见附件</w:t>
      </w:r>
      <w:r>
        <w:rPr>
          <w:rFonts w:ascii="宋体" w:hAnsi="宋体" w:eastAsia="宋体" w:cs="宋体"/>
          <w:color w:val="auto"/>
          <w:spacing w:val="-4"/>
          <w:sz w:val="20"/>
          <w:szCs w:val="20"/>
          <w:highlight w:val="none"/>
        </w:rPr>
        <w:t>），</w:t>
      </w:r>
      <w:r>
        <w:rPr>
          <w:rFonts w:ascii="宋体" w:hAnsi="宋体" w:eastAsia="宋体" w:cs="宋体"/>
          <w:color w:val="auto"/>
          <w:spacing w:val="8"/>
          <w:sz w:val="20"/>
          <w:szCs w:val="20"/>
          <w:highlight w:val="none"/>
        </w:rPr>
        <w:t>并对声明的真实性负责。任何单位或者个人在政府采购</w:t>
      </w:r>
      <w:r>
        <w:rPr>
          <w:rFonts w:ascii="宋体" w:hAnsi="宋体" w:eastAsia="宋体" w:cs="宋体"/>
          <w:color w:val="auto"/>
          <w:spacing w:val="7"/>
          <w:sz w:val="20"/>
          <w:szCs w:val="20"/>
          <w:highlight w:val="none"/>
        </w:rPr>
        <w:t>活动中均不得要求残疾人福利性单</w:t>
      </w:r>
    </w:p>
    <w:p w14:paraId="6D05248C">
      <w:pPr>
        <w:spacing w:before="1"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位提供其他证明声明函内容的材料。</w:t>
      </w:r>
    </w:p>
    <w:p w14:paraId="3B57FDA4">
      <w:pPr>
        <w:spacing w:before="221" w:line="468" w:lineRule="exact"/>
        <w:ind w:right="2"/>
        <w:jc w:val="right"/>
        <w:rPr>
          <w:rFonts w:ascii="宋体" w:hAnsi="宋体" w:eastAsia="宋体" w:cs="宋体"/>
          <w:color w:val="auto"/>
          <w:sz w:val="20"/>
          <w:szCs w:val="20"/>
          <w:highlight w:val="none"/>
        </w:rPr>
      </w:pPr>
      <w:r>
        <w:rPr>
          <w:rFonts w:ascii="宋体" w:hAnsi="宋体" w:eastAsia="宋体" w:cs="宋体"/>
          <w:color w:val="auto"/>
          <w:spacing w:val="7"/>
          <w:position w:val="20"/>
          <w:sz w:val="20"/>
          <w:szCs w:val="20"/>
          <w:highlight w:val="none"/>
        </w:rPr>
        <w:t>中标、成交供应商为残疾人福利性单位的，采购人或者其委托的采购代理机构应当随中标、成交结果同时</w:t>
      </w:r>
    </w:p>
    <w:p w14:paraId="5EB65432">
      <w:pPr>
        <w:spacing w:before="1" w:line="226" w:lineRule="auto"/>
        <w:ind w:left="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公告其《残疾人福利性单位声明函》，接受社会</w:t>
      </w:r>
      <w:r>
        <w:rPr>
          <w:rFonts w:ascii="宋体" w:hAnsi="宋体" w:eastAsia="宋体" w:cs="宋体"/>
          <w:color w:val="auto"/>
          <w:spacing w:val="8"/>
          <w:sz w:val="20"/>
          <w:szCs w:val="20"/>
          <w:highlight w:val="none"/>
        </w:rPr>
        <w:t>监督。</w:t>
      </w:r>
    </w:p>
    <w:p w14:paraId="5FD0DAF6">
      <w:pPr>
        <w:spacing w:before="222" w:line="468" w:lineRule="exact"/>
        <w:jc w:val="right"/>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供应商提供的《残疾人福利性单位声明函》与事实不符的</w:t>
      </w:r>
      <w:r>
        <w:rPr>
          <w:rFonts w:ascii="宋体" w:hAnsi="宋体" w:eastAsia="宋体" w:cs="宋体"/>
          <w:color w:val="auto"/>
          <w:spacing w:val="7"/>
          <w:position w:val="20"/>
          <w:sz w:val="20"/>
          <w:szCs w:val="20"/>
          <w:highlight w:val="none"/>
        </w:rPr>
        <w:t>，依照《政府采购法》第七十七条第一款的规定</w:t>
      </w:r>
    </w:p>
    <w:p w14:paraId="1EE4648B">
      <w:pPr>
        <w:spacing w:before="1" w:line="227"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追究法律责任。</w:t>
      </w:r>
    </w:p>
    <w:p w14:paraId="34CFDFA0">
      <w:pPr>
        <w:spacing w:before="221" w:line="432" w:lineRule="auto"/>
        <w:ind w:left="20" w:firstLine="4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三、在政府采购活动中，残疾人福利性单位视同小型</w:t>
      </w:r>
      <w:r>
        <w:rPr>
          <w:rFonts w:ascii="宋体" w:hAnsi="宋体" w:eastAsia="宋体" w:cs="宋体"/>
          <w:color w:val="auto"/>
          <w:spacing w:val="7"/>
          <w:sz w:val="20"/>
          <w:szCs w:val="20"/>
          <w:highlight w:val="none"/>
        </w:rPr>
        <w:t>、微型企业，享受预留份额、评审中价格扣除等促进</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中小企业发展的政府采购政策。向残疾人福利性单位采购的金额，计入面向中小企业采购的统计数据。残疾人</w:t>
      </w:r>
    </w:p>
    <w:p w14:paraId="588FC489">
      <w:pPr>
        <w:spacing w:before="1" w:line="228"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福利性单位属于小型、微型企业的，不重复享受政策。</w:t>
      </w:r>
    </w:p>
    <w:p w14:paraId="14DA1694">
      <w:pPr>
        <w:spacing w:line="228" w:lineRule="auto"/>
        <w:rPr>
          <w:rFonts w:ascii="宋体" w:hAnsi="宋体" w:eastAsia="宋体" w:cs="宋体"/>
          <w:color w:val="auto"/>
          <w:sz w:val="20"/>
          <w:szCs w:val="20"/>
          <w:highlight w:val="none"/>
        </w:rPr>
        <w:sectPr>
          <w:footerReference r:id="rId34" w:type="default"/>
          <w:pgSz w:w="11906" w:h="16839"/>
          <w:pgMar w:top="1313" w:right="964" w:bottom="1157" w:left="972" w:header="0" w:footer="992" w:gutter="0"/>
          <w:pgNumType w:fmt="decimal"/>
          <w:cols w:space="720" w:num="1"/>
        </w:sectPr>
      </w:pPr>
    </w:p>
    <w:p w14:paraId="7B2780F5">
      <w:pPr>
        <w:spacing w:before="41" w:line="468" w:lineRule="exact"/>
        <w:ind w:right="69"/>
        <w:jc w:val="right"/>
        <w:rPr>
          <w:rFonts w:ascii="宋体" w:hAnsi="宋体" w:eastAsia="宋体" w:cs="宋体"/>
          <w:color w:val="auto"/>
          <w:sz w:val="20"/>
          <w:szCs w:val="20"/>
          <w:highlight w:val="none"/>
        </w:rPr>
      </w:pPr>
      <w:r>
        <w:rPr>
          <w:rFonts w:ascii="宋体" w:hAnsi="宋体" w:eastAsia="宋体" w:cs="宋体"/>
          <w:color w:val="auto"/>
          <w:spacing w:val="7"/>
          <w:position w:val="20"/>
          <w:sz w:val="20"/>
          <w:szCs w:val="20"/>
          <w:highlight w:val="none"/>
        </w:rPr>
        <w:t>四、采购人采购公开招标数额标准以上的货物或者服务，因落实促进残疾人就业政策的需要，依法履行有</w:t>
      </w:r>
    </w:p>
    <w:p w14:paraId="3EDFD2A7">
      <w:pPr>
        <w:spacing w:line="227"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关报批程序后，可采用公开招标以外的采购方</w:t>
      </w:r>
      <w:r>
        <w:rPr>
          <w:rFonts w:ascii="宋体" w:hAnsi="宋体" w:eastAsia="宋体" w:cs="宋体"/>
          <w:color w:val="auto"/>
          <w:spacing w:val="8"/>
          <w:sz w:val="20"/>
          <w:szCs w:val="20"/>
          <w:highlight w:val="none"/>
        </w:rPr>
        <w:t>式。</w:t>
      </w:r>
    </w:p>
    <w:p w14:paraId="76916029">
      <w:pPr>
        <w:spacing w:before="221" w:line="432" w:lineRule="auto"/>
        <w:ind w:left="13" w:right="71" w:firstLine="40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五、对于满足要求的残疾人福利性单位产品，</w:t>
      </w:r>
      <w:r>
        <w:rPr>
          <w:rFonts w:ascii="宋体" w:hAnsi="宋体" w:eastAsia="宋体" w:cs="宋体"/>
          <w:color w:val="auto"/>
          <w:spacing w:val="7"/>
          <w:sz w:val="20"/>
          <w:szCs w:val="20"/>
          <w:highlight w:val="none"/>
        </w:rPr>
        <w:t>集中采购机构可直接纳入协议供货或者定点采购范围。各地</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区建设的政府采购电子卖场、电子商城、网上超市等应当设立残疾人福利性单位产品专栏。鼓励采购人优先选</w:t>
      </w:r>
    </w:p>
    <w:p w14:paraId="2081FB38">
      <w:pPr>
        <w:spacing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择残疾人福利性单位的产品。</w:t>
      </w:r>
    </w:p>
    <w:p w14:paraId="65E8E573">
      <w:pPr>
        <w:spacing w:before="221" w:line="468" w:lineRule="exact"/>
        <w:ind w:left="419"/>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六、省级财政部门可以结合本地区残疾人生产、</w:t>
      </w:r>
      <w:r>
        <w:rPr>
          <w:rFonts w:ascii="宋体" w:hAnsi="宋体" w:eastAsia="宋体" w:cs="宋体"/>
          <w:color w:val="auto"/>
          <w:spacing w:val="7"/>
          <w:position w:val="20"/>
          <w:sz w:val="20"/>
          <w:szCs w:val="20"/>
          <w:highlight w:val="none"/>
        </w:rPr>
        <w:t>经营的实际情况，细化政府采购支持措施。对符合国家有</w:t>
      </w:r>
    </w:p>
    <w:p w14:paraId="1DA13BFE">
      <w:pPr>
        <w:spacing w:line="227"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关部门规定条件的残疾人辅助性就业机构，可通过上述措施予以支持。各地制定的有</w:t>
      </w:r>
      <w:r>
        <w:rPr>
          <w:rFonts w:ascii="宋体" w:hAnsi="宋体" w:eastAsia="宋体" w:cs="宋体"/>
          <w:color w:val="auto"/>
          <w:spacing w:val="4"/>
          <w:sz w:val="20"/>
          <w:szCs w:val="20"/>
          <w:highlight w:val="none"/>
        </w:rPr>
        <w:t>关文件应当报财政部备案。</w:t>
      </w:r>
    </w:p>
    <w:p w14:paraId="1FD1D761">
      <w:pPr>
        <w:spacing w:before="221" w:line="228" w:lineRule="auto"/>
        <w:ind w:left="417"/>
        <w:outlineLvl w:val="9"/>
        <w:rPr>
          <w:rFonts w:ascii="宋体" w:hAnsi="宋体" w:eastAsia="宋体" w:cs="宋体"/>
          <w:color w:val="auto"/>
          <w:sz w:val="20"/>
          <w:szCs w:val="20"/>
          <w:highlight w:val="none"/>
        </w:rPr>
      </w:pPr>
      <w:bookmarkStart w:id="98" w:name="_Toc20188"/>
      <w:r>
        <w:rPr>
          <w:rFonts w:ascii="宋体" w:hAnsi="宋体" w:eastAsia="宋体" w:cs="宋体"/>
          <w:color w:val="auto"/>
          <w:sz w:val="20"/>
          <w:szCs w:val="20"/>
          <w:highlight w:val="none"/>
        </w:rPr>
        <w:t>七、本通知自</w:t>
      </w:r>
      <w:r>
        <w:rPr>
          <w:rFonts w:ascii="宋体" w:hAnsi="宋体" w:eastAsia="宋体" w:cs="宋体"/>
          <w:color w:val="auto"/>
          <w:spacing w:val="-22"/>
          <w:sz w:val="20"/>
          <w:szCs w:val="20"/>
          <w:highlight w:val="none"/>
        </w:rPr>
        <w:t xml:space="preserve"> </w:t>
      </w:r>
      <w:r>
        <w:rPr>
          <w:rFonts w:ascii="宋体" w:hAnsi="宋体" w:eastAsia="宋体" w:cs="宋体"/>
          <w:color w:val="auto"/>
          <w:sz w:val="20"/>
          <w:szCs w:val="20"/>
          <w:highlight w:val="none"/>
        </w:rPr>
        <w:t>2017</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年</w:t>
      </w:r>
      <w:r>
        <w:rPr>
          <w:rFonts w:ascii="宋体" w:hAnsi="宋体" w:eastAsia="宋体" w:cs="宋体"/>
          <w:color w:val="auto"/>
          <w:spacing w:val="-21"/>
          <w:sz w:val="20"/>
          <w:szCs w:val="20"/>
          <w:highlight w:val="none"/>
        </w:rPr>
        <w:t xml:space="preserve"> </w:t>
      </w:r>
      <w:r>
        <w:rPr>
          <w:rFonts w:ascii="宋体" w:hAnsi="宋体" w:eastAsia="宋体" w:cs="宋体"/>
          <w:color w:val="auto"/>
          <w:sz w:val="20"/>
          <w:szCs w:val="20"/>
          <w:highlight w:val="none"/>
        </w:rPr>
        <w:t>10</w:t>
      </w:r>
      <w:r>
        <w:rPr>
          <w:rFonts w:ascii="宋体" w:hAnsi="宋体" w:eastAsia="宋体" w:cs="宋体"/>
          <w:color w:val="auto"/>
          <w:spacing w:val="-35"/>
          <w:sz w:val="20"/>
          <w:szCs w:val="20"/>
          <w:highlight w:val="none"/>
        </w:rPr>
        <w:t xml:space="preserve"> </w:t>
      </w:r>
      <w:r>
        <w:rPr>
          <w:rFonts w:ascii="宋体" w:hAnsi="宋体" w:eastAsia="宋体" w:cs="宋体"/>
          <w:color w:val="auto"/>
          <w:sz w:val="20"/>
          <w:szCs w:val="20"/>
          <w:highlight w:val="none"/>
        </w:rPr>
        <w:t>月</w:t>
      </w:r>
      <w:r>
        <w:rPr>
          <w:rFonts w:ascii="宋体" w:hAnsi="宋体" w:eastAsia="宋体" w:cs="宋体"/>
          <w:color w:val="auto"/>
          <w:spacing w:val="-24"/>
          <w:sz w:val="20"/>
          <w:szCs w:val="20"/>
          <w:highlight w:val="none"/>
        </w:rPr>
        <w:t xml:space="preserve"> </w:t>
      </w:r>
      <w:r>
        <w:rPr>
          <w:rFonts w:ascii="宋体" w:hAnsi="宋体" w:eastAsia="宋体" w:cs="宋体"/>
          <w:color w:val="auto"/>
          <w:sz w:val="20"/>
          <w:szCs w:val="20"/>
          <w:highlight w:val="none"/>
        </w:rPr>
        <w:t>1 日起执行。</w:t>
      </w:r>
      <w:bookmarkEnd w:id="98"/>
    </w:p>
    <w:p w14:paraId="51102172">
      <w:pPr>
        <w:pStyle w:val="2"/>
        <w:spacing w:line="310" w:lineRule="auto"/>
        <w:rPr>
          <w:color w:val="auto"/>
          <w:highlight w:val="none"/>
        </w:rPr>
      </w:pPr>
    </w:p>
    <w:p w14:paraId="6B9417DA">
      <w:pPr>
        <w:pStyle w:val="2"/>
        <w:spacing w:line="310" w:lineRule="auto"/>
        <w:rPr>
          <w:color w:val="auto"/>
          <w:highlight w:val="none"/>
        </w:rPr>
      </w:pPr>
    </w:p>
    <w:p w14:paraId="20E50E41">
      <w:pPr>
        <w:spacing w:before="65" w:line="228" w:lineRule="auto"/>
        <w:ind w:left="70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财政部民政部中国残疾人联合会</w:t>
      </w:r>
    </w:p>
    <w:p w14:paraId="46093720">
      <w:pPr>
        <w:spacing w:line="228" w:lineRule="auto"/>
        <w:rPr>
          <w:rFonts w:ascii="宋体" w:hAnsi="宋体" w:eastAsia="宋体" w:cs="宋体"/>
          <w:color w:val="auto"/>
          <w:sz w:val="20"/>
          <w:szCs w:val="20"/>
          <w:highlight w:val="none"/>
        </w:rPr>
        <w:sectPr>
          <w:footerReference r:id="rId35" w:type="default"/>
          <w:pgSz w:w="11906" w:h="16839"/>
          <w:pgMar w:top="1334" w:right="894" w:bottom="1157" w:left="974" w:header="0" w:footer="992" w:gutter="0"/>
          <w:pgNumType w:fmt="decimal"/>
          <w:cols w:space="720" w:num="1"/>
        </w:sectPr>
      </w:pPr>
    </w:p>
    <w:p w14:paraId="1C583E15">
      <w:pPr>
        <w:keepNext w:val="0"/>
        <w:keepLines w:val="0"/>
        <w:pageBreakBefore w:val="0"/>
        <w:widowControl/>
        <w:kinsoku w:val="0"/>
        <w:wordWrap/>
        <w:overflowPunct/>
        <w:topLinePunct w:val="0"/>
        <w:autoSpaceDE w:val="0"/>
        <w:autoSpaceDN w:val="0"/>
        <w:bidi w:val="0"/>
        <w:adjustRightInd w:val="0"/>
        <w:snapToGrid w:val="0"/>
        <w:spacing w:before="48" w:line="280" w:lineRule="exact"/>
        <w:ind w:left="3067"/>
        <w:textAlignment w:val="baseline"/>
        <w:outlineLvl w:val="2"/>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残疾人福利性单位声明函</w:t>
      </w:r>
      <w:r>
        <w:rPr>
          <w:rFonts w:hint="eastAsia" w:ascii="宋体" w:hAnsi="宋体" w:eastAsia="宋体" w:cs="宋体"/>
          <w:color w:val="auto"/>
          <w:spacing w:val="-5"/>
          <w:sz w:val="28"/>
          <w:szCs w:val="28"/>
          <w:highlight w:val="none"/>
          <w:lang w:eastAsia="zh-CN"/>
          <w14:textOutline w14:w="5103" w14:cap="sq" w14:cmpd="sng">
            <w14:solidFill>
              <w14:srgbClr w14:val="000000"/>
            </w14:solidFill>
            <w14:prstDash w14:val="solid"/>
            <w14:bevel/>
          </w14:textOutline>
        </w:rPr>
        <w:t>（如有）</w:t>
      </w:r>
    </w:p>
    <w:p w14:paraId="5C11C13B">
      <w:pPr>
        <w:pStyle w:val="2"/>
        <w:spacing w:line="339" w:lineRule="auto"/>
        <w:rPr>
          <w:color w:val="auto"/>
          <w:highlight w:val="none"/>
        </w:rPr>
      </w:pPr>
    </w:p>
    <w:p w14:paraId="6F7AC4CB">
      <w:pPr>
        <w:pStyle w:val="2"/>
        <w:spacing w:line="339" w:lineRule="auto"/>
        <w:rPr>
          <w:color w:val="auto"/>
          <w:highlight w:val="none"/>
        </w:rPr>
      </w:pPr>
    </w:p>
    <w:p w14:paraId="1E528628">
      <w:pPr>
        <w:spacing w:before="65" w:line="374" w:lineRule="auto"/>
        <w:ind w:firstLine="314"/>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本单位郑重声明，根据《财政部</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民政部</w:t>
      </w:r>
      <w:r>
        <w:rPr>
          <w:rFonts w:ascii="宋体" w:hAnsi="宋体" w:eastAsia="宋体" w:cs="宋体"/>
          <w:color w:val="auto"/>
          <w:spacing w:val="35"/>
          <w:sz w:val="20"/>
          <w:szCs w:val="20"/>
          <w:highlight w:val="none"/>
        </w:rPr>
        <w:t xml:space="preserve"> </w:t>
      </w:r>
      <w:r>
        <w:rPr>
          <w:rFonts w:ascii="宋体" w:hAnsi="宋体" w:eastAsia="宋体" w:cs="宋体"/>
          <w:color w:val="auto"/>
          <w:spacing w:val="4"/>
          <w:sz w:val="20"/>
          <w:szCs w:val="20"/>
          <w:highlight w:val="none"/>
        </w:rPr>
        <w:t>中国残疾人联合会关于促进残疾人就业政府采购政策的通知》</w:t>
      </w:r>
      <w:r>
        <w:rPr>
          <w:rFonts w:ascii="宋体" w:hAnsi="宋体" w:eastAsia="宋体" w:cs="宋体"/>
          <w:color w:val="auto"/>
          <w:spacing w:val="3"/>
          <w:sz w:val="20"/>
          <w:szCs w:val="20"/>
          <w:highlight w:val="none"/>
        </w:rPr>
        <w:t>（财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库〔2017〕</w:t>
      </w:r>
      <w:r>
        <w:rPr>
          <w:rFonts w:ascii="宋体" w:hAnsi="宋体" w:eastAsia="宋体" w:cs="宋体"/>
          <w:color w:val="auto"/>
          <w:spacing w:val="57"/>
          <w:sz w:val="20"/>
          <w:szCs w:val="20"/>
          <w:highlight w:val="none"/>
        </w:rPr>
        <w:t xml:space="preserve"> </w:t>
      </w:r>
      <w:r>
        <w:rPr>
          <w:rFonts w:ascii="宋体" w:hAnsi="宋体" w:eastAsia="宋体" w:cs="宋体"/>
          <w:color w:val="auto"/>
          <w:spacing w:val="8"/>
          <w:sz w:val="20"/>
          <w:szCs w:val="20"/>
          <w:highlight w:val="none"/>
        </w:rPr>
        <w:t>141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号）的规定，本单位为符合条件的残疾人福利性单位，且本单位参加</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8"/>
          <w:sz w:val="20"/>
          <w:szCs w:val="20"/>
          <w:highlight w:val="none"/>
        </w:rPr>
        <w:t>单位的</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8"/>
          <w:sz w:val="20"/>
          <w:szCs w:val="20"/>
          <w:highlight w:val="none"/>
        </w:rPr>
        <w:t>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目采购活动提供本单位制造的货物（由本单位承担</w:t>
      </w:r>
      <w:r>
        <w:rPr>
          <w:rFonts w:ascii="宋体" w:hAnsi="宋体" w:eastAsia="宋体" w:cs="宋体"/>
          <w:color w:val="auto"/>
          <w:spacing w:val="9"/>
          <w:sz w:val="20"/>
          <w:szCs w:val="20"/>
          <w:highlight w:val="none"/>
        </w:rPr>
        <w:t>工程/提供服务</w:t>
      </w:r>
      <w:r>
        <w:rPr>
          <w:rFonts w:ascii="宋体" w:hAnsi="宋体" w:eastAsia="宋体" w:cs="宋体"/>
          <w:color w:val="auto"/>
          <w:spacing w:val="15"/>
          <w:sz w:val="20"/>
          <w:szCs w:val="20"/>
          <w:highlight w:val="none"/>
        </w:rPr>
        <w:t>），</w:t>
      </w:r>
      <w:r>
        <w:rPr>
          <w:rFonts w:ascii="宋体" w:hAnsi="宋体" w:eastAsia="宋体" w:cs="宋体"/>
          <w:color w:val="auto"/>
          <w:spacing w:val="9"/>
          <w:sz w:val="20"/>
          <w:szCs w:val="20"/>
          <w:highlight w:val="none"/>
        </w:rPr>
        <w:t>或者提供其他残疾人福利性单位制造的</w:t>
      </w:r>
    </w:p>
    <w:p w14:paraId="102FB0A1">
      <w:pPr>
        <w:spacing w:line="227" w:lineRule="auto"/>
        <w:ind w:left="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货物（不包括使用非残疾人福利性单位注册商标的货物）。</w:t>
      </w:r>
    </w:p>
    <w:p w14:paraId="2A1FC9DE">
      <w:pPr>
        <w:spacing w:before="158" w:line="228"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本单位对上述声明的真实性负责。如有虚假，将依法承担相应责任。</w:t>
      </w:r>
    </w:p>
    <w:p w14:paraId="71CA8932">
      <w:pPr>
        <w:pStyle w:val="2"/>
        <w:spacing w:line="258" w:lineRule="auto"/>
        <w:rPr>
          <w:color w:val="auto"/>
          <w:highlight w:val="none"/>
        </w:rPr>
      </w:pPr>
    </w:p>
    <w:p w14:paraId="5C1BE53B">
      <w:pPr>
        <w:pStyle w:val="2"/>
        <w:spacing w:line="258" w:lineRule="auto"/>
        <w:rPr>
          <w:color w:val="auto"/>
          <w:highlight w:val="none"/>
        </w:rPr>
      </w:pPr>
    </w:p>
    <w:p w14:paraId="17631803">
      <w:pPr>
        <w:pStyle w:val="2"/>
        <w:spacing w:line="258" w:lineRule="auto"/>
        <w:rPr>
          <w:color w:val="auto"/>
          <w:highlight w:val="none"/>
        </w:rPr>
      </w:pPr>
    </w:p>
    <w:p w14:paraId="0F262290">
      <w:pPr>
        <w:pStyle w:val="2"/>
        <w:spacing w:line="258" w:lineRule="auto"/>
        <w:rPr>
          <w:color w:val="auto"/>
          <w:highlight w:val="none"/>
        </w:rPr>
      </w:pPr>
    </w:p>
    <w:p w14:paraId="16BA699B">
      <w:pPr>
        <w:pStyle w:val="2"/>
        <w:spacing w:line="259" w:lineRule="auto"/>
        <w:rPr>
          <w:color w:val="auto"/>
          <w:highlight w:val="none"/>
        </w:rPr>
      </w:pPr>
    </w:p>
    <w:p w14:paraId="30D4DD72">
      <w:pPr>
        <w:pStyle w:val="2"/>
        <w:spacing w:line="259" w:lineRule="auto"/>
        <w:rPr>
          <w:color w:val="auto"/>
          <w:highlight w:val="none"/>
        </w:rPr>
      </w:pPr>
    </w:p>
    <w:p w14:paraId="01BF9C0D">
      <w:pPr>
        <w:pStyle w:val="2"/>
        <w:spacing w:line="259" w:lineRule="auto"/>
        <w:rPr>
          <w:color w:val="auto"/>
          <w:highlight w:val="none"/>
        </w:rPr>
      </w:pPr>
    </w:p>
    <w:p w14:paraId="198049D3">
      <w:pPr>
        <w:pStyle w:val="2"/>
        <w:spacing w:line="259" w:lineRule="auto"/>
        <w:rPr>
          <w:color w:val="auto"/>
          <w:highlight w:val="none"/>
        </w:rPr>
      </w:pPr>
    </w:p>
    <w:p w14:paraId="267EDEBD">
      <w:pPr>
        <w:spacing w:before="65" w:line="228" w:lineRule="auto"/>
        <w:ind w:left="12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单位名称（盖章</w:t>
      </w:r>
      <w:r>
        <w:rPr>
          <w:rFonts w:ascii="宋体" w:hAnsi="宋体" w:eastAsia="宋体" w:cs="宋体"/>
          <w:color w:val="auto"/>
          <w:spacing w:val="1"/>
          <w:sz w:val="20"/>
          <w:szCs w:val="20"/>
          <w:highlight w:val="none"/>
        </w:rPr>
        <w:t>）：</w:t>
      </w:r>
    </w:p>
    <w:p w14:paraId="145F45E4">
      <w:pPr>
        <w:pStyle w:val="2"/>
        <w:spacing w:line="299" w:lineRule="auto"/>
        <w:rPr>
          <w:color w:val="auto"/>
          <w:highlight w:val="none"/>
        </w:rPr>
      </w:pPr>
    </w:p>
    <w:p w14:paraId="0F72D4DB">
      <w:pPr>
        <w:pStyle w:val="2"/>
        <w:spacing w:line="300" w:lineRule="auto"/>
        <w:rPr>
          <w:color w:val="auto"/>
          <w:highlight w:val="none"/>
        </w:rPr>
      </w:pPr>
    </w:p>
    <w:p w14:paraId="41D86E27">
      <w:pPr>
        <w:pStyle w:val="2"/>
        <w:spacing w:line="300" w:lineRule="auto"/>
        <w:rPr>
          <w:color w:val="auto"/>
          <w:highlight w:val="none"/>
        </w:rPr>
      </w:pPr>
    </w:p>
    <w:p w14:paraId="488552AF">
      <w:pPr>
        <w:spacing w:before="65" w:line="229" w:lineRule="auto"/>
        <w:ind w:left="526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日</w:t>
      </w:r>
      <w:r>
        <w:rPr>
          <w:rFonts w:ascii="宋体" w:hAnsi="宋体" w:eastAsia="宋体" w:cs="宋体"/>
          <w:color w:val="auto"/>
          <w:spacing w:val="11"/>
          <w:sz w:val="20"/>
          <w:szCs w:val="20"/>
          <w:highlight w:val="none"/>
        </w:rPr>
        <w:t xml:space="preserve">  </w:t>
      </w:r>
      <w:r>
        <w:rPr>
          <w:rFonts w:ascii="宋体" w:hAnsi="宋体" w:eastAsia="宋体" w:cs="宋体"/>
          <w:color w:val="auto"/>
          <w:spacing w:val="-13"/>
          <w:sz w:val="20"/>
          <w:szCs w:val="20"/>
          <w:highlight w:val="none"/>
        </w:rPr>
        <w:t>期：</w:t>
      </w:r>
    </w:p>
    <w:p w14:paraId="02D35E85">
      <w:pPr>
        <w:spacing w:line="229" w:lineRule="auto"/>
        <w:rPr>
          <w:rFonts w:ascii="宋体" w:hAnsi="宋体" w:eastAsia="宋体" w:cs="宋体"/>
          <w:color w:val="auto"/>
          <w:sz w:val="20"/>
          <w:szCs w:val="20"/>
          <w:highlight w:val="none"/>
        </w:rPr>
        <w:sectPr>
          <w:footerReference r:id="rId36" w:type="default"/>
          <w:pgSz w:w="11906" w:h="16839"/>
          <w:pgMar w:top="1303" w:right="964" w:bottom="1157" w:left="973" w:header="0" w:footer="992" w:gutter="0"/>
          <w:pgNumType w:fmt="decimal"/>
          <w:cols w:space="720" w:num="1"/>
        </w:sectPr>
      </w:pPr>
    </w:p>
    <w:p w14:paraId="3F93E1B3">
      <w:pPr>
        <w:pStyle w:val="2"/>
        <w:spacing w:line="257" w:lineRule="auto"/>
        <w:rPr>
          <w:color w:val="auto"/>
          <w:highlight w:val="none"/>
        </w:rPr>
      </w:pPr>
    </w:p>
    <w:p w14:paraId="5B142CC0">
      <w:pPr>
        <w:spacing w:before="78" w:line="219" w:lineRule="auto"/>
        <w:ind w:left="17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财政部司法部关于政府采购支持监狱企业发展有关问题的通知</w:t>
      </w:r>
    </w:p>
    <w:p w14:paraId="291E0277">
      <w:pPr>
        <w:spacing w:before="197" w:line="228" w:lineRule="auto"/>
        <w:ind w:left="41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财库〔2014〕68</w:t>
      </w:r>
      <w:r>
        <w:rPr>
          <w:rFonts w:ascii="宋体" w:hAnsi="宋体" w:eastAsia="宋体" w:cs="宋体"/>
          <w:color w:val="auto"/>
          <w:spacing w:val="-31"/>
          <w:sz w:val="20"/>
          <w:szCs w:val="20"/>
          <w:highlight w:val="none"/>
        </w:rPr>
        <w:t xml:space="preserve"> </w:t>
      </w:r>
      <w:r>
        <w:rPr>
          <w:rFonts w:ascii="宋体" w:hAnsi="宋体" w:eastAsia="宋体" w:cs="宋体"/>
          <w:color w:val="auto"/>
          <w:spacing w:val="5"/>
          <w:sz w:val="20"/>
          <w:szCs w:val="20"/>
          <w:highlight w:val="none"/>
        </w:rPr>
        <w:t>号</w:t>
      </w:r>
    </w:p>
    <w:p w14:paraId="5B51274D">
      <w:pPr>
        <w:spacing w:before="220" w:line="228" w:lineRule="auto"/>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党中央有关部门，国务院各部委、各直属机构，全国人大常委会办公厅，全国</w:t>
      </w:r>
      <w:r>
        <w:rPr>
          <w:rFonts w:ascii="宋体" w:hAnsi="宋体" w:eastAsia="宋体" w:cs="宋体"/>
          <w:color w:val="auto"/>
          <w:spacing w:val="8"/>
          <w:sz w:val="20"/>
          <w:szCs w:val="20"/>
          <w:highlight w:val="none"/>
        </w:rPr>
        <w:t>政协办公厅，高法院，高检院，</w:t>
      </w:r>
    </w:p>
    <w:p w14:paraId="099B75DC">
      <w:pPr>
        <w:spacing w:before="220" w:line="228"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有关人民团体，中央国家机关政府采购中心，中共中央直属机关采购中心，全国人大机关采购中心，各省、自</w:t>
      </w:r>
    </w:p>
    <w:p w14:paraId="05791C44">
      <w:pPr>
        <w:spacing w:before="221" w:line="228"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治区、直辖市、计划单列市财政厅（局）、司法厅（局</w:t>
      </w:r>
      <w:r>
        <w:rPr>
          <w:rFonts w:ascii="宋体" w:hAnsi="宋体" w:eastAsia="宋体" w:cs="宋体"/>
          <w:color w:val="auto"/>
          <w:spacing w:val="21"/>
          <w:sz w:val="20"/>
          <w:szCs w:val="20"/>
          <w:highlight w:val="none"/>
        </w:rPr>
        <w:t>），</w:t>
      </w:r>
      <w:r>
        <w:rPr>
          <w:rFonts w:ascii="宋体" w:hAnsi="宋体" w:eastAsia="宋体" w:cs="宋体"/>
          <w:color w:val="auto"/>
          <w:spacing w:val="8"/>
          <w:sz w:val="20"/>
          <w:szCs w:val="20"/>
          <w:highlight w:val="none"/>
        </w:rPr>
        <w:t>新疆生产建设兵团财务局、司法局、监狱管理局：</w:t>
      </w:r>
    </w:p>
    <w:p w14:paraId="6CCFA60E">
      <w:pPr>
        <w:spacing w:before="221" w:line="432" w:lineRule="auto"/>
        <w:ind w:left="1" w:right="33"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政府采购支持监狱和戒毒企业（以下简称监狱企业）发展对稳定监狱企业</w:t>
      </w:r>
      <w:r>
        <w:rPr>
          <w:rFonts w:ascii="宋体" w:hAnsi="宋体" w:eastAsia="宋体" w:cs="宋体"/>
          <w:color w:val="auto"/>
          <w:spacing w:val="8"/>
          <w:sz w:val="20"/>
          <w:szCs w:val="20"/>
          <w:highlight w:val="none"/>
        </w:rPr>
        <w:t>生产，提高财政资金使用效益，</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为罪犯和戒毒人员提供长期可靠的劳动岗位，提高罪犯和戒毒人</w:t>
      </w:r>
      <w:r>
        <w:rPr>
          <w:rFonts w:ascii="宋体" w:hAnsi="宋体" w:eastAsia="宋体" w:cs="宋体"/>
          <w:color w:val="auto"/>
          <w:spacing w:val="7"/>
          <w:sz w:val="20"/>
          <w:szCs w:val="20"/>
          <w:highlight w:val="none"/>
        </w:rPr>
        <w:t>员的教育改造质量，减少重新违法犯罪，确保</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监狱、戒毒场所安全稳定，促进社会和谐稳定具有十分重要的意</w:t>
      </w:r>
      <w:r>
        <w:rPr>
          <w:rFonts w:ascii="宋体" w:hAnsi="宋体" w:eastAsia="宋体" w:cs="宋体"/>
          <w:color w:val="auto"/>
          <w:spacing w:val="7"/>
          <w:sz w:val="20"/>
          <w:szCs w:val="20"/>
          <w:highlight w:val="none"/>
        </w:rPr>
        <w:t>义。为进一步贯彻落实国务院《关于解决监狱</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企业困难的实施方案的通知》（国发[2003]7</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号）文件精神，发挥政府采购支持监狱企业发展的</w:t>
      </w:r>
      <w:r>
        <w:rPr>
          <w:rFonts w:ascii="宋体" w:hAnsi="宋体" w:eastAsia="宋体" w:cs="宋体"/>
          <w:color w:val="auto"/>
          <w:spacing w:val="7"/>
          <w:sz w:val="20"/>
          <w:szCs w:val="20"/>
          <w:highlight w:val="none"/>
        </w:rPr>
        <w:t>作用，现就有</w:t>
      </w:r>
    </w:p>
    <w:p w14:paraId="2DEFBA7D">
      <w:pPr>
        <w:spacing w:line="229" w:lineRule="auto"/>
        <w:ind w:left="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关事项通知如下：</w:t>
      </w:r>
    </w:p>
    <w:p w14:paraId="489F8D1C">
      <w:pPr>
        <w:spacing w:before="220" w:line="432" w:lineRule="auto"/>
        <w:ind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一、监狱企业是指由司法部认定的为罪犯、戒毒人</w:t>
      </w:r>
      <w:r>
        <w:rPr>
          <w:rFonts w:ascii="宋体" w:hAnsi="宋体" w:eastAsia="宋体" w:cs="宋体"/>
          <w:color w:val="auto"/>
          <w:spacing w:val="7"/>
          <w:sz w:val="20"/>
          <w:szCs w:val="20"/>
          <w:highlight w:val="none"/>
        </w:rPr>
        <w:t>员提供生产项目和劳动对象，且全部产权属于司法部监</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狱管理局、戒毒管理局、直属煤矿管理局，各省、自治区、直辖市监狱管理局、戒毒管理局，各地（设区的市）</w:t>
      </w:r>
      <w:r>
        <w:rPr>
          <w:rFonts w:ascii="宋体" w:hAnsi="宋体" w:eastAsia="宋体" w:cs="宋体"/>
          <w:color w:val="auto"/>
          <w:spacing w:val="8"/>
          <w:sz w:val="20"/>
          <w:szCs w:val="20"/>
          <w:highlight w:val="none"/>
        </w:rPr>
        <w:t xml:space="preserve"> 监狱、强制隔离戒毒所、戒毒康复所，以及新疆生产建设兵团监狱管</w:t>
      </w:r>
      <w:r>
        <w:rPr>
          <w:rFonts w:ascii="宋体" w:hAnsi="宋体" w:eastAsia="宋体" w:cs="宋体"/>
          <w:color w:val="auto"/>
          <w:spacing w:val="7"/>
          <w:sz w:val="20"/>
          <w:szCs w:val="20"/>
          <w:highlight w:val="none"/>
        </w:rPr>
        <w:t>理局、戒毒管理局的企业。监狱企业参加</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政府采购活动时，应当提供由省级以上监狱管理局、戒毒管理局（含新疆</w:t>
      </w:r>
      <w:r>
        <w:rPr>
          <w:rFonts w:ascii="宋体" w:hAnsi="宋体" w:eastAsia="宋体" w:cs="宋体"/>
          <w:color w:val="auto"/>
          <w:spacing w:val="7"/>
          <w:sz w:val="20"/>
          <w:szCs w:val="20"/>
          <w:highlight w:val="none"/>
        </w:rPr>
        <w:t>生产建设兵团）出具的属于监狱企业</w:t>
      </w:r>
    </w:p>
    <w:p w14:paraId="02CE8EFC">
      <w:pPr>
        <w:spacing w:before="1" w:line="228" w:lineRule="auto"/>
        <w:ind w:left="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的证明文件。</w:t>
      </w:r>
    </w:p>
    <w:p w14:paraId="0E7B5F63">
      <w:pPr>
        <w:spacing w:before="220" w:line="468" w:lineRule="exact"/>
        <w:ind w:left="424"/>
        <w:rPr>
          <w:rFonts w:ascii="宋体" w:hAnsi="宋体" w:eastAsia="宋体" w:cs="宋体"/>
          <w:color w:val="auto"/>
          <w:sz w:val="20"/>
          <w:szCs w:val="20"/>
          <w:highlight w:val="none"/>
        </w:rPr>
      </w:pPr>
      <w:r>
        <w:rPr>
          <w:rFonts w:ascii="宋体" w:hAnsi="宋体" w:eastAsia="宋体" w:cs="宋体"/>
          <w:color w:val="auto"/>
          <w:spacing w:val="8"/>
          <w:position w:val="20"/>
          <w:sz w:val="20"/>
          <w:szCs w:val="20"/>
          <w:highlight w:val="none"/>
        </w:rPr>
        <w:t>二、在政府采购活动中，监狱企业视同小型、</w:t>
      </w:r>
      <w:r>
        <w:rPr>
          <w:rFonts w:ascii="宋体" w:hAnsi="宋体" w:eastAsia="宋体" w:cs="宋体"/>
          <w:color w:val="auto"/>
          <w:spacing w:val="7"/>
          <w:position w:val="20"/>
          <w:sz w:val="20"/>
          <w:szCs w:val="20"/>
          <w:highlight w:val="none"/>
        </w:rPr>
        <w:t>微型企业，享受预留份额、评审中价格扣除等政府采购促进</w:t>
      </w:r>
    </w:p>
    <w:p w14:paraId="24B42C91">
      <w:pPr>
        <w:spacing w:before="1" w:line="227" w:lineRule="auto"/>
        <w:ind w:left="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中小企业发展的政府采购政策。向监狱企业采购的金额，计入面向中小企业采购的统计数据。</w:t>
      </w:r>
    </w:p>
    <w:p w14:paraId="01882FF9">
      <w:pPr>
        <w:spacing w:before="221" w:line="432" w:lineRule="auto"/>
        <w:ind w:left="1" w:right="84"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三、各地区、各部门要积极通过预留采购份额支持监</w:t>
      </w:r>
      <w:r>
        <w:rPr>
          <w:rFonts w:ascii="宋体" w:hAnsi="宋体" w:eastAsia="宋体" w:cs="宋体"/>
          <w:color w:val="auto"/>
          <w:spacing w:val="7"/>
          <w:sz w:val="20"/>
          <w:szCs w:val="20"/>
          <w:highlight w:val="none"/>
        </w:rPr>
        <w:t>狱企业。有制服采购项目的部门，应加强对政府采购</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预算和计划编制工作的统筹，预留本部门制服采购项目预算总额的</w:t>
      </w:r>
      <w:r>
        <w:rPr>
          <w:rFonts w:ascii="宋体" w:hAnsi="宋体" w:eastAsia="宋体" w:cs="宋体"/>
          <w:color w:val="auto"/>
          <w:spacing w:val="-26"/>
          <w:sz w:val="20"/>
          <w:szCs w:val="20"/>
          <w:highlight w:val="none"/>
        </w:rPr>
        <w:t xml:space="preserve"> </w:t>
      </w:r>
      <w:r>
        <w:rPr>
          <w:rFonts w:ascii="宋体" w:hAnsi="宋体" w:eastAsia="宋体" w:cs="宋体"/>
          <w:color w:val="auto"/>
          <w:spacing w:val="8"/>
          <w:sz w:val="20"/>
          <w:szCs w:val="20"/>
          <w:highlight w:val="none"/>
        </w:rPr>
        <w:t>30%以上，专门面向监狱企业采购。省级以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上政府部门组织的公务员考试、招生考试、等级考试、资格考试</w:t>
      </w:r>
      <w:r>
        <w:rPr>
          <w:rFonts w:ascii="宋体" w:hAnsi="宋体" w:eastAsia="宋体" w:cs="宋体"/>
          <w:color w:val="auto"/>
          <w:spacing w:val="7"/>
          <w:sz w:val="20"/>
          <w:szCs w:val="20"/>
          <w:highlight w:val="none"/>
        </w:rPr>
        <w:t>的试卷印刷项目原则上应当在符合有关资质的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监狱企业范围内采购。各地在免费教科书政府采购工作中，应当根据符</w:t>
      </w:r>
      <w:r>
        <w:rPr>
          <w:rFonts w:ascii="宋体" w:hAnsi="宋体" w:eastAsia="宋体" w:cs="宋体"/>
          <w:color w:val="auto"/>
          <w:spacing w:val="7"/>
          <w:sz w:val="20"/>
          <w:szCs w:val="20"/>
          <w:highlight w:val="none"/>
        </w:rPr>
        <w:t>合教科书印制资质的监狱企业情况，提</w:t>
      </w:r>
    </w:p>
    <w:p w14:paraId="42560F59">
      <w:pPr>
        <w:spacing w:before="1" w:line="228" w:lineRule="auto"/>
        <w:ind w:left="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出由监狱企业印刷的比例要求。</w:t>
      </w:r>
    </w:p>
    <w:p w14:paraId="352EE32B">
      <w:pPr>
        <w:spacing w:before="220" w:line="468" w:lineRule="exact"/>
        <w:jc w:val="right"/>
        <w:rPr>
          <w:rFonts w:ascii="宋体" w:hAnsi="宋体" w:eastAsia="宋体" w:cs="宋体"/>
          <w:color w:val="auto"/>
          <w:sz w:val="20"/>
          <w:szCs w:val="20"/>
          <w:highlight w:val="none"/>
        </w:rPr>
      </w:pPr>
      <w:r>
        <w:rPr>
          <w:rFonts w:ascii="宋体" w:hAnsi="宋体" w:eastAsia="宋体" w:cs="宋体"/>
          <w:color w:val="auto"/>
          <w:spacing w:val="9"/>
          <w:position w:val="20"/>
          <w:sz w:val="20"/>
          <w:szCs w:val="20"/>
          <w:highlight w:val="none"/>
        </w:rPr>
        <w:t>四、各地区可以结合本地区实际，对监狱企业生产的办公用</w:t>
      </w:r>
      <w:r>
        <w:rPr>
          <w:rFonts w:ascii="宋体" w:hAnsi="宋体" w:eastAsia="宋体" w:cs="宋体"/>
          <w:color w:val="auto"/>
          <w:spacing w:val="8"/>
          <w:position w:val="20"/>
          <w:sz w:val="20"/>
          <w:szCs w:val="20"/>
          <w:highlight w:val="none"/>
        </w:rPr>
        <w:t>品、家具用具、车辆维修和提供的保养服务、</w:t>
      </w:r>
    </w:p>
    <w:p w14:paraId="4890B6E7">
      <w:pPr>
        <w:spacing w:before="1" w:line="227" w:lineRule="auto"/>
        <w:ind w:left="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消防设备等，提出预留份额等政府采购支持措施，加大对监狱企业产品的采购力度。</w:t>
      </w:r>
    </w:p>
    <w:p w14:paraId="511656F0">
      <w:pPr>
        <w:spacing w:before="221" w:line="432" w:lineRule="auto"/>
        <w:ind w:left="4" w:right="8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五、各地区、各部门要高度重视，加强组织管理和</w:t>
      </w:r>
      <w:r>
        <w:rPr>
          <w:rFonts w:ascii="宋体" w:hAnsi="宋体" w:eastAsia="宋体" w:cs="宋体"/>
          <w:color w:val="auto"/>
          <w:spacing w:val="7"/>
          <w:sz w:val="20"/>
          <w:szCs w:val="20"/>
          <w:highlight w:val="none"/>
        </w:rPr>
        <w:t>监督，做好政府采购支持监狱企业发展的相关工作。有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关部门要加强监管，确保面向监狱企业采购的工作依法依规进行</w:t>
      </w:r>
      <w:r>
        <w:rPr>
          <w:rFonts w:ascii="宋体" w:hAnsi="宋体" w:eastAsia="宋体" w:cs="宋体"/>
          <w:color w:val="auto"/>
          <w:spacing w:val="7"/>
          <w:sz w:val="20"/>
          <w:szCs w:val="20"/>
          <w:highlight w:val="none"/>
        </w:rPr>
        <w:t>。各监狱企业要不断提高监狱企业产品的质量</w:t>
      </w:r>
    </w:p>
    <w:p w14:paraId="36707078">
      <w:pPr>
        <w:spacing w:before="1" w:line="227"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和服务水平，为做好监狱企业产品政府采购工作提供有力保障。</w:t>
      </w:r>
    </w:p>
    <w:p w14:paraId="4B18F98F">
      <w:pPr>
        <w:spacing w:before="222" w:line="228" w:lineRule="auto"/>
        <w:ind w:left="7897"/>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中华人民共和国财政部</w:t>
      </w:r>
    </w:p>
    <w:p w14:paraId="20EE67B2">
      <w:pPr>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br w:type="page"/>
      </w:r>
    </w:p>
    <w:p w14:paraId="2E6F97BF">
      <w:pPr>
        <w:pStyle w:val="2"/>
        <w:jc w:val="center"/>
        <w:outlineLvl w:val="2"/>
        <w:rPr>
          <w:rFonts w:hint="eastAsia" w:eastAsia="宋体"/>
          <w:color w:val="auto"/>
          <w:highlight w:val="none"/>
          <w:lang w:eastAsia="zh-CN"/>
        </w:rPr>
      </w:pPr>
      <w:r>
        <w:rPr>
          <w:rFonts w:hint="eastAsia" w:ascii="宋体" w:hAnsi="宋体" w:eastAsia="宋体" w:cs="宋体"/>
          <w:snapToGrid w:val="0"/>
          <w:color w:val="auto"/>
          <w:spacing w:val="-5"/>
          <w:kern w:val="0"/>
          <w:sz w:val="28"/>
          <w:szCs w:val="28"/>
          <w:highlight w:val="none"/>
          <w:lang w:val="en-US" w:eastAsia="en-US" w:bidi="ar-SA"/>
          <w14:textOutline w14:w="5103" w14:cap="sq" w14:cmpd="sng">
            <w14:solidFill>
              <w14:srgbClr w14:val="000000"/>
            </w14:solidFill>
            <w14:prstDash w14:val="solid"/>
            <w14:bevel/>
          </w14:textOutline>
        </w:rPr>
        <w:t>监狱企业声明函</w:t>
      </w:r>
      <w:r>
        <w:rPr>
          <w:rFonts w:hint="eastAsia" w:ascii="宋体" w:hAnsi="宋体" w:eastAsia="宋体" w:cs="宋体"/>
          <w:snapToGrid w:val="0"/>
          <w:color w:val="auto"/>
          <w:spacing w:val="-5"/>
          <w:kern w:val="0"/>
          <w:sz w:val="28"/>
          <w:szCs w:val="28"/>
          <w:highlight w:val="none"/>
          <w:lang w:val="en-US" w:eastAsia="zh-CN" w:bidi="ar-SA"/>
          <w14:textOutline w14:w="5103" w14:cap="sq" w14:cmpd="sng">
            <w14:solidFill>
              <w14:srgbClr w14:val="000000"/>
            </w14:solidFill>
            <w14:prstDash w14:val="solid"/>
            <w14:bevel/>
          </w14:textOutline>
        </w:rPr>
        <w:t>（如有）</w:t>
      </w:r>
    </w:p>
    <w:p w14:paraId="4170B288">
      <w:pPr>
        <w:pStyle w:val="2"/>
        <w:ind w:firstLine="516" w:firstLineChars="200"/>
        <w:rPr>
          <w:rFonts w:hint="eastAsia" w:ascii="宋体" w:hAnsi="宋体" w:eastAsia="宋体" w:cs="宋体"/>
          <w:snapToGrid w:val="0"/>
          <w:color w:val="auto"/>
          <w:spacing w:val="9"/>
          <w:kern w:val="0"/>
          <w:sz w:val="24"/>
          <w:szCs w:val="24"/>
          <w:highlight w:val="none"/>
        </w:rPr>
      </w:pPr>
    </w:p>
    <w:p w14:paraId="5518B404">
      <w:pPr>
        <w:pStyle w:val="2"/>
        <w:ind w:firstLine="516" w:firstLineChars="200"/>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本</w:t>
      </w:r>
      <w:r>
        <w:rPr>
          <w:rFonts w:hint="eastAsia" w:ascii="宋体" w:hAnsi="宋体" w:eastAsia="宋体" w:cs="宋体"/>
          <w:snapToGrid w:val="0"/>
          <w:color w:val="auto"/>
          <w:spacing w:val="9"/>
          <w:kern w:val="0"/>
          <w:sz w:val="24"/>
          <w:szCs w:val="24"/>
          <w:highlight w:val="none"/>
          <w:lang w:eastAsia="zh-CN"/>
        </w:rPr>
        <w:t>企业</w:t>
      </w:r>
      <w:r>
        <w:rPr>
          <w:rFonts w:hint="eastAsia" w:ascii="宋体" w:hAnsi="宋体" w:eastAsia="宋体" w:cs="宋体"/>
          <w:snapToGrid w:val="0"/>
          <w:color w:val="auto"/>
          <w:spacing w:val="9"/>
          <w:kern w:val="0"/>
          <w:sz w:val="24"/>
          <w:szCs w:val="24"/>
          <w:highlight w:val="none"/>
        </w:rPr>
        <w:t>郑重声明，根据《关于政府采购支持监狱企业发展有关</w:t>
      </w:r>
      <w:r>
        <w:rPr>
          <w:rFonts w:hint="eastAsia" w:ascii="宋体" w:hAnsi="宋体" w:eastAsia="宋体" w:cs="宋体"/>
          <w:snapToGrid w:val="0"/>
          <w:color w:val="auto"/>
          <w:spacing w:val="9"/>
          <w:kern w:val="0"/>
          <w:sz w:val="24"/>
          <w:szCs w:val="24"/>
          <w:highlight w:val="none"/>
          <w:lang w:eastAsia="zh-CN"/>
        </w:rPr>
        <w:t>间想</w:t>
      </w:r>
      <w:r>
        <w:rPr>
          <w:rFonts w:hint="eastAsia" w:ascii="宋体" w:hAnsi="宋体" w:eastAsia="宋体" w:cs="宋体"/>
          <w:snapToGrid w:val="0"/>
          <w:color w:val="auto"/>
          <w:spacing w:val="9"/>
          <w:kern w:val="0"/>
          <w:sz w:val="24"/>
          <w:szCs w:val="24"/>
          <w:highlight w:val="none"/>
        </w:rPr>
        <w:t>的通知》 （财库[2014]68 号）的规定，本公司为监狱企业。</w:t>
      </w:r>
    </w:p>
    <w:p w14:paraId="5391EB7C">
      <w:pPr>
        <w:pStyle w:val="2"/>
        <w:rPr>
          <w:rFonts w:hint="eastAsia" w:ascii="宋体" w:hAnsi="宋体" w:eastAsia="宋体" w:cs="宋体"/>
          <w:snapToGrid w:val="0"/>
          <w:color w:val="auto"/>
          <w:spacing w:val="9"/>
          <w:kern w:val="0"/>
          <w:sz w:val="24"/>
          <w:szCs w:val="24"/>
          <w:highlight w:val="none"/>
        </w:rPr>
      </w:pPr>
    </w:p>
    <w:p w14:paraId="62960294">
      <w:pPr>
        <w:pStyle w:val="2"/>
        <w:ind w:firstLine="516" w:firstLineChars="200"/>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根据上述标准，我公司属于监狱企业的理由为：</w:t>
      </w:r>
      <w:r>
        <w:rPr>
          <w:rFonts w:hint="eastAsia" w:ascii="宋体" w:hAnsi="宋体" w:eastAsia="宋体" w:cs="宋体"/>
          <w:snapToGrid w:val="0"/>
          <w:color w:val="auto"/>
          <w:spacing w:val="9"/>
          <w:kern w:val="0"/>
          <w:sz w:val="24"/>
          <w:szCs w:val="24"/>
          <w:highlight w:val="none"/>
          <w:u w:val="single"/>
        </w:rPr>
        <w:t xml:space="preserve">         </w:t>
      </w:r>
      <w:r>
        <w:rPr>
          <w:rFonts w:hint="eastAsia" w:ascii="宋体" w:hAnsi="宋体" w:eastAsia="宋体" w:cs="宋体"/>
          <w:snapToGrid w:val="0"/>
          <w:color w:val="auto"/>
          <w:spacing w:val="9"/>
          <w:kern w:val="0"/>
          <w:sz w:val="24"/>
          <w:szCs w:val="24"/>
          <w:highlight w:val="none"/>
        </w:rPr>
        <w:t>。</w:t>
      </w:r>
    </w:p>
    <w:p w14:paraId="0692497D">
      <w:pPr>
        <w:pStyle w:val="2"/>
        <w:rPr>
          <w:rFonts w:hint="eastAsia" w:ascii="宋体" w:hAnsi="宋体" w:eastAsia="宋体" w:cs="宋体"/>
          <w:snapToGrid w:val="0"/>
          <w:color w:val="auto"/>
          <w:spacing w:val="9"/>
          <w:kern w:val="0"/>
          <w:sz w:val="24"/>
          <w:szCs w:val="24"/>
          <w:highlight w:val="none"/>
        </w:rPr>
      </w:pPr>
    </w:p>
    <w:p w14:paraId="490B4CEF">
      <w:pPr>
        <w:pStyle w:val="2"/>
        <w:ind w:firstLine="516" w:firstLineChars="200"/>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本</w:t>
      </w:r>
      <w:r>
        <w:rPr>
          <w:rFonts w:hint="eastAsia" w:ascii="宋体" w:hAnsi="宋体" w:eastAsia="宋体" w:cs="宋体"/>
          <w:snapToGrid w:val="0"/>
          <w:color w:val="auto"/>
          <w:spacing w:val="9"/>
          <w:kern w:val="0"/>
          <w:sz w:val="24"/>
          <w:szCs w:val="24"/>
          <w:highlight w:val="none"/>
          <w:lang w:eastAsia="zh-CN"/>
        </w:rPr>
        <w:t>企业</w:t>
      </w:r>
      <w:r>
        <w:rPr>
          <w:rFonts w:hint="eastAsia" w:ascii="宋体" w:hAnsi="宋体" w:eastAsia="宋体" w:cs="宋体"/>
          <w:snapToGrid w:val="0"/>
          <w:color w:val="auto"/>
          <w:spacing w:val="9"/>
          <w:kern w:val="0"/>
          <w:sz w:val="24"/>
          <w:szCs w:val="24"/>
          <w:highlight w:val="none"/>
        </w:rPr>
        <w:t>为参加（</w:t>
      </w:r>
      <w:r>
        <w:rPr>
          <w:rFonts w:hint="eastAsia" w:ascii="宋体" w:hAnsi="宋体" w:eastAsia="宋体" w:cs="宋体"/>
          <w:snapToGrid w:val="0"/>
          <w:color w:val="auto"/>
          <w:spacing w:val="9"/>
          <w:kern w:val="0"/>
          <w:sz w:val="24"/>
          <w:szCs w:val="24"/>
          <w:highlight w:val="none"/>
          <w:u w:val="single"/>
        </w:rPr>
        <w:t xml:space="preserve">    项目名称    </w:t>
      </w:r>
      <w:r>
        <w:rPr>
          <w:rFonts w:hint="eastAsia" w:ascii="宋体" w:hAnsi="宋体" w:eastAsia="宋体" w:cs="宋体"/>
          <w:snapToGrid w:val="0"/>
          <w:color w:val="auto"/>
          <w:spacing w:val="9"/>
          <w:kern w:val="0"/>
          <w:sz w:val="24"/>
          <w:szCs w:val="24"/>
          <w:highlight w:val="none"/>
        </w:rPr>
        <w:t>） （项目编号：      ）采购活动提供本企业</w:t>
      </w:r>
      <w:r>
        <w:rPr>
          <w:rFonts w:hint="eastAsia" w:ascii="宋体" w:hAnsi="宋体" w:eastAsia="宋体" w:cs="宋体"/>
          <w:snapToGrid w:val="0"/>
          <w:color w:val="auto"/>
          <w:spacing w:val="9"/>
          <w:kern w:val="0"/>
          <w:sz w:val="24"/>
          <w:szCs w:val="24"/>
          <w:highlight w:val="none"/>
          <w:lang w:eastAsia="zh-CN"/>
        </w:rPr>
        <w:t>的</w:t>
      </w:r>
      <w:r>
        <w:rPr>
          <w:rFonts w:hint="eastAsia" w:ascii="宋体" w:hAnsi="宋体" w:eastAsia="宋体" w:cs="宋体"/>
          <w:snapToGrid w:val="0"/>
          <w:color w:val="auto"/>
          <w:spacing w:val="9"/>
          <w:kern w:val="0"/>
          <w:sz w:val="24"/>
          <w:szCs w:val="24"/>
          <w:highlight w:val="none"/>
        </w:rPr>
        <w:t>服务。</w:t>
      </w:r>
    </w:p>
    <w:p w14:paraId="25B710BB">
      <w:pPr>
        <w:pStyle w:val="2"/>
        <w:ind w:firstLine="516" w:firstLineChars="200"/>
        <w:rPr>
          <w:rFonts w:hint="eastAsia" w:ascii="宋体" w:hAnsi="宋体" w:eastAsia="宋体" w:cs="宋体"/>
          <w:snapToGrid w:val="0"/>
          <w:color w:val="auto"/>
          <w:spacing w:val="9"/>
          <w:kern w:val="0"/>
          <w:sz w:val="24"/>
          <w:szCs w:val="24"/>
          <w:highlight w:val="none"/>
        </w:rPr>
      </w:pPr>
    </w:p>
    <w:p w14:paraId="1FC796C1">
      <w:pPr>
        <w:pStyle w:val="2"/>
        <w:ind w:firstLine="516" w:firstLineChars="200"/>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本</w:t>
      </w:r>
      <w:r>
        <w:rPr>
          <w:rFonts w:hint="eastAsia" w:ascii="宋体" w:hAnsi="宋体" w:eastAsia="宋体" w:cs="宋体"/>
          <w:snapToGrid w:val="0"/>
          <w:color w:val="auto"/>
          <w:spacing w:val="9"/>
          <w:kern w:val="0"/>
          <w:sz w:val="24"/>
          <w:szCs w:val="24"/>
          <w:highlight w:val="none"/>
          <w:lang w:eastAsia="zh-CN"/>
        </w:rPr>
        <w:t>企业</w:t>
      </w:r>
      <w:r>
        <w:rPr>
          <w:rFonts w:hint="eastAsia" w:ascii="宋体" w:hAnsi="宋体" w:eastAsia="宋体" w:cs="宋体"/>
          <w:snapToGrid w:val="0"/>
          <w:color w:val="auto"/>
          <w:spacing w:val="9"/>
          <w:kern w:val="0"/>
          <w:sz w:val="24"/>
          <w:szCs w:val="24"/>
          <w:highlight w:val="none"/>
        </w:rPr>
        <w:t>对上述声明的真实性负责。如有虚假，将依法承担相应责任。</w:t>
      </w:r>
    </w:p>
    <w:p w14:paraId="2D8BD46F">
      <w:pPr>
        <w:pStyle w:val="2"/>
        <w:rPr>
          <w:rFonts w:hint="eastAsia" w:ascii="宋体" w:hAnsi="宋体" w:eastAsia="宋体" w:cs="宋体"/>
          <w:snapToGrid w:val="0"/>
          <w:color w:val="auto"/>
          <w:spacing w:val="9"/>
          <w:kern w:val="0"/>
          <w:sz w:val="24"/>
          <w:szCs w:val="24"/>
          <w:highlight w:val="none"/>
        </w:rPr>
      </w:pPr>
    </w:p>
    <w:p w14:paraId="5FF9E25B">
      <w:pPr>
        <w:pStyle w:val="2"/>
        <w:rPr>
          <w:rFonts w:hint="eastAsia" w:ascii="宋体" w:hAnsi="宋体" w:eastAsia="宋体" w:cs="宋体"/>
          <w:snapToGrid w:val="0"/>
          <w:color w:val="auto"/>
          <w:spacing w:val="9"/>
          <w:kern w:val="0"/>
          <w:sz w:val="24"/>
          <w:szCs w:val="24"/>
          <w:highlight w:val="none"/>
        </w:rPr>
      </w:pPr>
    </w:p>
    <w:p w14:paraId="59881E3D">
      <w:pPr>
        <w:pStyle w:val="2"/>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投标人名称（盖章）：</w:t>
      </w:r>
    </w:p>
    <w:p w14:paraId="63E333E6">
      <w:pPr>
        <w:rPr>
          <w:rFonts w:hint="eastAsia"/>
          <w:color w:val="auto"/>
          <w:highlight w:val="none"/>
        </w:rPr>
      </w:pPr>
    </w:p>
    <w:p w14:paraId="53AC577D">
      <w:pPr>
        <w:pStyle w:val="2"/>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 xml:space="preserve">日期：    年 </w:t>
      </w:r>
      <w:r>
        <w:rPr>
          <w:rFonts w:hint="eastAsia" w:ascii="宋体" w:hAnsi="宋体" w:eastAsia="宋体" w:cs="宋体"/>
          <w:snapToGrid w:val="0"/>
          <w:color w:val="auto"/>
          <w:spacing w:val="9"/>
          <w:kern w:val="0"/>
          <w:sz w:val="24"/>
          <w:szCs w:val="24"/>
          <w:highlight w:val="none"/>
          <w:lang w:val="en-US" w:eastAsia="zh-CN"/>
        </w:rPr>
        <w:t xml:space="preserve"> </w:t>
      </w:r>
      <w:r>
        <w:rPr>
          <w:rFonts w:hint="eastAsia" w:ascii="宋体" w:hAnsi="宋体" w:eastAsia="宋体" w:cs="宋体"/>
          <w:snapToGrid w:val="0"/>
          <w:color w:val="auto"/>
          <w:spacing w:val="9"/>
          <w:kern w:val="0"/>
          <w:sz w:val="24"/>
          <w:szCs w:val="24"/>
          <w:highlight w:val="none"/>
        </w:rPr>
        <w:t xml:space="preserve"> 月</w:t>
      </w:r>
      <w:r>
        <w:rPr>
          <w:rFonts w:hint="eastAsia" w:ascii="宋体" w:hAnsi="宋体" w:eastAsia="宋体" w:cs="宋体"/>
          <w:snapToGrid w:val="0"/>
          <w:color w:val="auto"/>
          <w:spacing w:val="9"/>
          <w:kern w:val="0"/>
          <w:sz w:val="24"/>
          <w:szCs w:val="24"/>
          <w:highlight w:val="none"/>
          <w:lang w:val="en-US" w:eastAsia="zh-CN"/>
        </w:rPr>
        <w:t xml:space="preserve"> </w:t>
      </w:r>
      <w:r>
        <w:rPr>
          <w:rFonts w:hint="eastAsia" w:ascii="宋体" w:hAnsi="宋体" w:eastAsia="宋体" w:cs="宋体"/>
          <w:snapToGrid w:val="0"/>
          <w:color w:val="auto"/>
          <w:spacing w:val="9"/>
          <w:kern w:val="0"/>
          <w:sz w:val="24"/>
          <w:szCs w:val="24"/>
          <w:highlight w:val="none"/>
        </w:rPr>
        <w:t xml:space="preserve">  日</w:t>
      </w:r>
    </w:p>
    <w:p w14:paraId="1DEB8AC6">
      <w:pPr>
        <w:pStyle w:val="2"/>
        <w:ind w:firstLine="516" w:firstLineChars="200"/>
        <w:rPr>
          <w:rFonts w:hint="eastAsia" w:ascii="宋体" w:hAnsi="宋体" w:eastAsia="宋体" w:cs="宋体"/>
          <w:snapToGrid w:val="0"/>
          <w:color w:val="auto"/>
          <w:spacing w:val="9"/>
          <w:kern w:val="0"/>
          <w:sz w:val="24"/>
          <w:szCs w:val="24"/>
          <w:highlight w:val="none"/>
        </w:rPr>
      </w:pPr>
    </w:p>
    <w:p w14:paraId="3B418D57">
      <w:pPr>
        <w:pStyle w:val="2"/>
        <w:ind w:firstLine="516" w:firstLineChars="200"/>
        <w:rPr>
          <w:rFonts w:hint="eastAsia" w:ascii="宋体" w:hAnsi="宋体" w:eastAsia="宋体" w:cs="宋体"/>
          <w:snapToGrid w:val="0"/>
          <w:color w:val="auto"/>
          <w:spacing w:val="9"/>
          <w:kern w:val="0"/>
          <w:sz w:val="24"/>
          <w:szCs w:val="24"/>
          <w:highlight w:val="none"/>
        </w:rPr>
      </w:pPr>
    </w:p>
    <w:p w14:paraId="72C84F25">
      <w:pPr>
        <w:pStyle w:val="2"/>
        <w:spacing w:line="240" w:lineRule="auto"/>
        <w:ind w:left="0" w:firstLine="0" w:firstLineChars="0"/>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rPr>
        <w:t>监狱企业参加政府采购活动时，应当提供由省级以上监狱管理局、戒毒管理局(含新疆生产建设兵团)出具的属于监狱企业的证明文件:</w:t>
      </w:r>
    </w:p>
    <w:p w14:paraId="5F7F1304">
      <w:pPr>
        <w:spacing w:line="240" w:lineRule="auto"/>
        <w:ind w:left="0" w:firstLine="0" w:firstLineChars="0"/>
        <w:rPr>
          <w:rFonts w:ascii="宋体" w:hAnsi="宋体" w:eastAsia="宋体" w:cs="宋体"/>
          <w:color w:val="auto"/>
          <w:spacing w:val="6"/>
          <w:sz w:val="20"/>
          <w:szCs w:val="20"/>
          <w:highlight w:val="none"/>
        </w:rPr>
      </w:pPr>
      <w:r>
        <w:rPr>
          <w:rFonts w:hint="eastAsia" w:ascii="宋体" w:hAnsi="宋体" w:eastAsia="宋体" w:cs="宋体"/>
          <w:snapToGrid w:val="0"/>
          <w:color w:val="auto"/>
          <w:spacing w:val="9"/>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sectPr>
      <w:footerReference r:id="rId37" w:type="default"/>
      <w:pgSz w:w="11906" w:h="16839"/>
      <w:pgMar w:top="1431" w:right="879" w:bottom="1157" w:left="972"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_x0004_">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78FD">
    <w:pPr>
      <w:spacing w:line="219" w:lineRule="auto"/>
      <w:ind w:left="4206"/>
      <w:rPr>
        <w:rFonts w:ascii="宋体" w:hAnsi="宋体" w:eastAsia="宋体" w:cs="宋体"/>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C0A3">
    <w:pPr>
      <w:spacing w:line="169" w:lineRule="auto"/>
      <w:ind w:left="495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B02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5BB02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87FC">
    <w:pPr>
      <w:spacing w:line="169" w:lineRule="auto"/>
      <w:ind w:left="489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E662F">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0E662F">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6C21">
    <w:pPr>
      <w:spacing w:line="169" w:lineRule="auto"/>
      <w:ind w:left="4896"/>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4D025">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FE4D025">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65A6">
    <w:pPr>
      <w:spacing w:line="169" w:lineRule="auto"/>
      <w:ind w:left="5019"/>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FBEFF">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31FBEFF">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476A">
    <w:pPr>
      <w:spacing w:line="169" w:lineRule="auto"/>
      <w:ind w:left="489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C802D">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79C802D">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91A4">
    <w:pPr>
      <w:spacing w:line="169" w:lineRule="auto"/>
      <w:ind w:left="489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128F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9128F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D69E">
    <w:pPr>
      <w:spacing w:line="169" w:lineRule="auto"/>
      <w:ind w:left="490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0D6AC">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AC0D6AC">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5049">
    <w:pPr>
      <w:spacing w:line="168"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F557E">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F2F557E">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F423">
    <w:pPr>
      <w:spacing w:line="168" w:lineRule="auto"/>
      <w:ind w:left="489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EEE6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B3EEE6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0165">
    <w:pPr>
      <w:spacing w:line="169" w:lineRule="auto"/>
      <w:ind w:left="489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D76F3">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E4D76F3">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BD86">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B7FE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2B7FE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9ABD">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648A">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FD9648A">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705">
    <w:pPr>
      <w:spacing w:line="169" w:lineRule="auto"/>
      <w:ind w:left="4896"/>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5D863">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4D5D863">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5542">
    <w:pPr>
      <w:spacing w:line="168" w:lineRule="auto"/>
      <w:ind w:left="496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4C41F">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FD4C41F">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5373">
    <w:pPr>
      <w:spacing w:line="169" w:lineRule="auto"/>
      <w:ind w:left="4897"/>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5A57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F45A57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AF82">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ED538">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AFED538">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C0C2">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87FAB">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1B87FAB">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EF82">
    <w:pPr>
      <w:spacing w:line="169" w:lineRule="auto"/>
      <w:ind w:left="4897"/>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1ADB4">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8B1ADB4">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490F">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79EEF">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7079EEF">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ACAE">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70C48">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3170C48">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3B46">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A6E5D">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83A6E5D">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77F9">
    <w:pPr>
      <w:spacing w:line="169" w:lineRule="auto"/>
      <w:ind w:left="4638"/>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1698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51698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02DF">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32040">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5332040">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9943">
    <w:pPr>
      <w:spacing w:line="169" w:lineRule="auto"/>
      <w:ind w:left="4895"/>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F1FB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E1F1FB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620A">
    <w:pPr>
      <w:spacing w:line="169" w:lineRule="auto"/>
      <w:ind w:left="4896"/>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7033E">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5B7033E">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AC533">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2350A">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A72350A">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C70B">
    <w:pPr>
      <w:spacing w:line="167" w:lineRule="auto"/>
      <w:ind w:left="517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FFC13">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DFFC13">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3CF7">
    <w:pPr>
      <w:spacing w:line="168" w:lineRule="auto"/>
      <w:ind w:left="4903"/>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B98A8">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5B98A8">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8EA5">
    <w:pPr>
      <w:spacing w:line="169" w:lineRule="auto"/>
      <w:ind w:left="528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EACB1">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1EACB1">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70C1">
    <w:pPr>
      <w:spacing w:line="169" w:lineRule="auto"/>
      <w:ind w:left="487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16669">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C16669">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E8D9">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D02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2BD02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ADC8F">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9210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C9210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BB5F"/>
    <w:multiLevelType w:val="singleLevel"/>
    <w:tmpl w:val="8563BB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Y2ZjI1MjI5MDlkNjMzOTUxMDhhOWQxNjc1MTNhOWYifQ=="/>
  </w:docVars>
  <w:rsids>
    <w:rsidRoot w:val="00000000"/>
    <w:rsid w:val="001F065E"/>
    <w:rsid w:val="002F1F1E"/>
    <w:rsid w:val="00416146"/>
    <w:rsid w:val="004E452A"/>
    <w:rsid w:val="007F45AC"/>
    <w:rsid w:val="008953F8"/>
    <w:rsid w:val="008F6EB2"/>
    <w:rsid w:val="00991ADF"/>
    <w:rsid w:val="00AD558A"/>
    <w:rsid w:val="00AE30B0"/>
    <w:rsid w:val="00B561ED"/>
    <w:rsid w:val="00D348C5"/>
    <w:rsid w:val="00DC5E6F"/>
    <w:rsid w:val="00DF7EDF"/>
    <w:rsid w:val="01205D5C"/>
    <w:rsid w:val="012A6BDB"/>
    <w:rsid w:val="0147153B"/>
    <w:rsid w:val="014C6B51"/>
    <w:rsid w:val="01602CF5"/>
    <w:rsid w:val="016D4D19"/>
    <w:rsid w:val="01C42B8B"/>
    <w:rsid w:val="01CC1A40"/>
    <w:rsid w:val="01CF32DE"/>
    <w:rsid w:val="01DE1773"/>
    <w:rsid w:val="01E4322D"/>
    <w:rsid w:val="01FE5971"/>
    <w:rsid w:val="021B6523"/>
    <w:rsid w:val="022573A2"/>
    <w:rsid w:val="023F0464"/>
    <w:rsid w:val="024E68F9"/>
    <w:rsid w:val="025263E9"/>
    <w:rsid w:val="025F29D2"/>
    <w:rsid w:val="027C3D6B"/>
    <w:rsid w:val="02922C89"/>
    <w:rsid w:val="02B26E88"/>
    <w:rsid w:val="02BD75DA"/>
    <w:rsid w:val="02C646E1"/>
    <w:rsid w:val="02D45050"/>
    <w:rsid w:val="02D67D80"/>
    <w:rsid w:val="02ED3BC6"/>
    <w:rsid w:val="02EE3C38"/>
    <w:rsid w:val="030E7D61"/>
    <w:rsid w:val="03190CB5"/>
    <w:rsid w:val="031E62CB"/>
    <w:rsid w:val="03261624"/>
    <w:rsid w:val="03353615"/>
    <w:rsid w:val="03413185"/>
    <w:rsid w:val="03465822"/>
    <w:rsid w:val="034F484F"/>
    <w:rsid w:val="03561F09"/>
    <w:rsid w:val="035A307B"/>
    <w:rsid w:val="03652B20"/>
    <w:rsid w:val="036839EA"/>
    <w:rsid w:val="037A0CE5"/>
    <w:rsid w:val="03806F86"/>
    <w:rsid w:val="038D3451"/>
    <w:rsid w:val="03CF6F0E"/>
    <w:rsid w:val="03E94B2B"/>
    <w:rsid w:val="04082AD7"/>
    <w:rsid w:val="04185410"/>
    <w:rsid w:val="04191E07"/>
    <w:rsid w:val="042D690E"/>
    <w:rsid w:val="044C50BA"/>
    <w:rsid w:val="046023FC"/>
    <w:rsid w:val="048E7480"/>
    <w:rsid w:val="049D3B67"/>
    <w:rsid w:val="04A96C6B"/>
    <w:rsid w:val="04B36EE7"/>
    <w:rsid w:val="04D806FC"/>
    <w:rsid w:val="04E946A2"/>
    <w:rsid w:val="04F632B0"/>
    <w:rsid w:val="05087233"/>
    <w:rsid w:val="05096457"/>
    <w:rsid w:val="05263B5D"/>
    <w:rsid w:val="052971A9"/>
    <w:rsid w:val="052B4CCF"/>
    <w:rsid w:val="053A4F12"/>
    <w:rsid w:val="0552716B"/>
    <w:rsid w:val="05663F59"/>
    <w:rsid w:val="05A30D0A"/>
    <w:rsid w:val="05C649F8"/>
    <w:rsid w:val="05EA2DDC"/>
    <w:rsid w:val="05ED6429"/>
    <w:rsid w:val="05FD2B10"/>
    <w:rsid w:val="061A5470"/>
    <w:rsid w:val="064751BA"/>
    <w:rsid w:val="065564A8"/>
    <w:rsid w:val="0659586C"/>
    <w:rsid w:val="067A7CBC"/>
    <w:rsid w:val="06826CB4"/>
    <w:rsid w:val="06BA630B"/>
    <w:rsid w:val="06C62167"/>
    <w:rsid w:val="06DA69AD"/>
    <w:rsid w:val="06DF2215"/>
    <w:rsid w:val="06FA3E47"/>
    <w:rsid w:val="070457D8"/>
    <w:rsid w:val="070A45CB"/>
    <w:rsid w:val="072B545A"/>
    <w:rsid w:val="075C1AB8"/>
    <w:rsid w:val="077706A0"/>
    <w:rsid w:val="077D1D26"/>
    <w:rsid w:val="0781507A"/>
    <w:rsid w:val="07A11524"/>
    <w:rsid w:val="07A11F0A"/>
    <w:rsid w:val="07BC2556"/>
    <w:rsid w:val="07E35D35"/>
    <w:rsid w:val="07EF6488"/>
    <w:rsid w:val="081D1247"/>
    <w:rsid w:val="08206641"/>
    <w:rsid w:val="08752E31"/>
    <w:rsid w:val="08764FF9"/>
    <w:rsid w:val="08856DEC"/>
    <w:rsid w:val="08907C6B"/>
    <w:rsid w:val="089A4646"/>
    <w:rsid w:val="08E41D65"/>
    <w:rsid w:val="08F13AAD"/>
    <w:rsid w:val="08FB2C0B"/>
    <w:rsid w:val="091A12E3"/>
    <w:rsid w:val="0926412B"/>
    <w:rsid w:val="092B1742"/>
    <w:rsid w:val="0933384F"/>
    <w:rsid w:val="09383E5F"/>
    <w:rsid w:val="093D1475"/>
    <w:rsid w:val="0942468C"/>
    <w:rsid w:val="09497E1A"/>
    <w:rsid w:val="09671367"/>
    <w:rsid w:val="09862E1C"/>
    <w:rsid w:val="0993685A"/>
    <w:rsid w:val="09A3752A"/>
    <w:rsid w:val="09E0077E"/>
    <w:rsid w:val="09E65669"/>
    <w:rsid w:val="09F45FD8"/>
    <w:rsid w:val="09F60442"/>
    <w:rsid w:val="0A053D41"/>
    <w:rsid w:val="0A0F696E"/>
    <w:rsid w:val="0A173A74"/>
    <w:rsid w:val="0A1C72DC"/>
    <w:rsid w:val="0A200B7B"/>
    <w:rsid w:val="0A3F00CB"/>
    <w:rsid w:val="0A481E7F"/>
    <w:rsid w:val="0A5D114D"/>
    <w:rsid w:val="0A8C4462"/>
    <w:rsid w:val="0A93177F"/>
    <w:rsid w:val="0AF65D7F"/>
    <w:rsid w:val="0B06518A"/>
    <w:rsid w:val="0B1A381C"/>
    <w:rsid w:val="0B21104E"/>
    <w:rsid w:val="0B3D575C"/>
    <w:rsid w:val="0B444D3D"/>
    <w:rsid w:val="0B521208"/>
    <w:rsid w:val="0B552AA6"/>
    <w:rsid w:val="0B5A00BC"/>
    <w:rsid w:val="0B5A4560"/>
    <w:rsid w:val="0B6158EF"/>
    <w:rsid w:val="0B6A1622"/>
    <w:rsid w:val="0B81389B"/>
    <w:rsid w:val="0B8D0492"/>
    <w:rsid w:val="0BA23811"/>
    <w:rsid w:val="0BB579E9"/>
    <w:rsid w:val="0BC33EB3"/>
    <w:rsid w:val="0BCB5C52"/>
    <w:rsid w:val="0BE40B36"/>
    <w:rsid w:val="0C0D512F"/>
    <w:rsid w:val="0C122745"/>
    <w:rsid w:val="0C1C2136"/>
    <w:rsid w:val="0C33561A"/>
    <w:rsid w:val="0C3628D7"/>
    <w:rsid w:val="0C8A2C23"/>
    <w:rsid w:val="0C8E2713"/>
    <w:rsid w:val="0C9A2ECD"/>
    <w:rsid w:val="0CA23AC9"/>
    <w:rsid w:val="0CB11F5E"/>
    <w:rsid w:val="0CB35CD6"/>
    <w:rsid w:val="0CB41A4E"/>
    <w:rsid w:val="0CC51EAD"/>
    <w:rsid w:val="0CCF0636"/>
    <w:rsid w:val="0CCF6888"/>
    <w:rsid w:val="0CDB522D"/>
    <w:rsid w:val="0CFB58CF"/>
    <w:rsid w:val="0D183D8B"/>
    <w:rsid w:val="0D5116A3"/>
    <w:rsid w:val="0D531267"/>
    <w:rsid w:val="0D6214AA"/>
    <w:rsid w:val="0D6E7E4F"/>
    <w:rsid w:val="0D906017"/>
    <w:rsid w:val="0D913B3D"/>
    <w:rsid w:val="0D9D3E48"/>
    <w:rsid w:val="0D9E6986"/>
    <w:rsid w:val="0DB717F6"/>
    <w:rsid w:val="0DC932D7"/>
    <w:rsid w:val="0DDA36EB"/>
    <w:rsid w:val="0DE40111"/>
    <w:rsid w:val="0DF93BBD"/>
    <w:rsid w:val="0DFA5B87"/>
    <w:rsid w:val="0E1924B1"/>
    <w:rsid w:val="0E1E1875"/>
    <w:rsid w:val="0E325320"/>
    <w:rsid w:val="0E35096D"/>
    <w:rsid w:val="0E796AAB"/>
    <w:rsid w:val="0E820056"/>
    <w:rsid w:val="0EA004DC"/>
    <w:rsid w:val="0EC341CA"/>
    <w:rsid w:val="0EED3F04"/>
    <w:rsid w:val="0F022F45"/>
    <w:rsid w:val="0F274759"/>
    <w:rsid w:val="0F566DED"/>
    <w:rsid w:val="0F5C08A7"/>
    <w:rsid w:val="0F8365FB"/>
    <w:rsid w:val="0FAD4F30"/>
    <w:rsid w:val="0FCE1079"/>
    <w:rsid w:val="0FD10BBE"/>
    <w:rsid w:val="0FDD21EC"/>
    <w:rsid w:val="0FE32D76"/>
    <w:rsid w:val="0FEB5787"/>
    <w:rsid w:val="10013276"/>
    <w:rsid w:val="100D1BA1"/>
    <w:rsid w:val="100E46A3"/>
    <w:rsid w:val="10156C7B"/>
    <w:rsid w:val="101979A8"/>
    <w:rsid w:val="10280789"/>
    <w:rsid w:val="103C2486"/>
    <w:rsid w:val="105570A4"/>
    <w:rsid w:val="107C6D27"/>
    <w:rsid w:val="108A7EBA"/>
    <w:rsid w:val="108D14D7"/>
    <w:rsid w:val="10D80401"/>
    <w:rsid w:val="10EC7A09"/>
    <w:rsid w:val="111451B1"/>
    <w:rsid w:val="11164A85"/>
    <w:rsid w:val="11187F0A"/>
    <w:rsid w:val="112A6783"/>
    <w:rsid w:val="114E421F"/>
    <w:rsid w:val="115B2DE0"/>
    <w:rsid w:val="118D50A1"/>
    <w:rsid w:val="119A56B6"/>
    <w:rsid w:val="119A71FF"/>
    <w:rsid w:val="11A906FA"/>
    <w:rsid w:val="11AF3ED4"/>
    <w:rsid w:val="11B36778"/>
    <w:rsid w:val="11B76014"/>
    <w:rsid w:val="11BB73DB"/>
    <w:rsid w:val="11BD75F7"/>
    <w:rsid w:val="11E210F8"/>
    <w:rsid w:val="11E507BB"/>
    <w:rsid w:val="11E93F48"/>
    <w:rsid w:val="1202500A"/>
    <w:rsid w:val="1211524D"/>
    <w:rsid w:val="12193338"/>
    <w:rsid w:val="121D3BF2"/>
    <w:rsid w:val="122356AC"/>
    <w:rsid w:val="122D652B"/>
    <w:rsid w:val="1230601B"/>
    <w:rsid w:val="1232769D"/>
    <w:rsid w:val="12333415"/>
    <w:rsid w:val="12372F05"/>
    <w:rsid w:val="123D6042"/>
    <w:rsid w:val="123F000C"/>
    <w:rsid w:val="12675D3E"/>
    <w:rsid w:val="12802AFE"/>
    <w:rsid w:val="12B04A66"/>
    <w:rsid w:val="12EF1A32"/>
    <w:rsid w:val="12F11306"/>
    <w:rsid w:val="12F9640D"/>
    <w:rsid w:val="13070B2A"/>
    <w:rsid w:val="1319085D"/>
    <w:rsid w:val="131B6383"/>
    <w:rsid w:val="13347445"/>
    <w:rsid w:val="13622204"/>
    <w:rsid w:val="13A26AA4"/>
    <w:rsid w:val="13B642FE"/>
    <w:rsid w:val="13BD38DE"/>
    <w:rsid w:val="13DF3855"/>
    <w:rsid w:val="143040B0"/>
    <w:rsid w:val="144B713C"/>
    <w:rsid w:val="145A4152"/>
    <w:rsid w:val="147246C9"/>
    <w:rsid w:val="147321EF"/>
    <w:rsid w:val="1494463F"/>
    <w:rsid w:val="149A59CD"/>
    <w:rsid w:val="149E726C"/>
    <w:rsid w:val="14AB256A"/>
    <w:rsid w:val="14C60571"/>
    <w:rsid w:val="14CF1B1B"/>
    <w:rsid w:val="14E1184E"/>
    <w:rsid w:val="150317C5"/>
    <w:rsid w:val="152754B3"/>
    <w:rsid w:val="153C6A85"/>
    <w:rsid w:val="1542409B"/>
    <w:rsid w:val="15485EAF"/>
    <w:rsid w:val="154E1128"/>
    <w:rsid w:val="154E5B0C"/>
    <w:rsid w:val="155D0ED5"/>
    <w:rsid w:val="157B135B"/>
    <w:rsid w:val="15870BBF"/>
    <w:rsid w:val="158742DA"/>
    <w:rsid w:val="159A0CD0"/>
    <w:rsid w:val="15BF56EC"/>
    <w:rsid w:val="15D1541F"/>
    <w:rsid w:val="15D54F0F"/>
    <w:rsid w:val="15E3207E"/>
    <w:rsid w:val="15EC04AB"/>
    <w:rsid w:val="16362871"/>
    <w:rsid w:val="163F05DA"/>
    <w:rsid w:val="164200CB"/>
    <w:rsid w:val="16443E43"/>
    <w:rsid w:val="164B6F7F"/>
    <w:rsid w:val="167A2627"/>
    <w:rsid w:val="167C538B"/>
    <w:rsid w:val="1683496B"/>
    <w:rsid w:val="169E79F7"/>
    <w:rsid w:val="16C62AAA"/>
    <w:rsid w:val="16D17208"/>
    <w:rsid w:val="16EA7353"/>
    <w:rsid w:val="1720040C"/>
    <w:rsid w:val="1739327C"/>
    <w:rsid w:val="173C0FBE"/>
    <w:rsid w:val="174F484D"/>
    <w:rsid w:val="175207E1"/>
    <w:rsid w:val="175E2CE2"/>
    <w:rsid w:val="176060D4"/>
    <w:rsid w:val="17963019"/>
    <w:rsid w:val="179A40BB"/>
    <w:rsid w:val="17A61ABE"/>
    <w:rsid w:val="17B84AE8"/>
    <w:rsid w:val="17B943BD"/>
    <w:rsid w:val="17C74D2B"/>
    <w:rsid w:val="17D64F6F"/>
    <w:rsid w:val="17F378CF"/>
    <w:rsid w:val="17FA6EAF"/>
    <w:rsid w:val="182413D8"/>
    <w:rsid w:val="18477C1A"/>
    <w:rsid w:val="184D6CEC"/>
    <w:rsid w:val="18534811"/>
    <w:rsid w:val="18812024"/>
    <w:rsid w:val="18826EA4"/>
    <w:rsid w:val="188C387F"/>
    <w:rsid w:val="18A137CE"/>
    <w:rsid w:val="18E92A80"/>
    <w:rsid w:val="18EA61FC"/>
    <w:rsid w:val="18F733EE"/>
    <w:rsid w:val="191A70DD"/>
    <w:rsid w:val="19287A4C"/>
    <w:rsid w:val="192F2B88"/>
    <w:rsid w:val="1959617D"/>
    <w:rsid w:val="196565AA"/>
    <w:rsid w:val="196842EC"/>
    <w:rsid w:val="197D7D98"/>
    <w:rsid w:val="19807693"/>
    <w:rsid w:val="19B858CC"/>
    <w:rsid w:val="19F66F6A"/>
    <w:rsid w:val="19FB0CBC"/>
    <w:rsid w:val="19FD1EFF"/>
    <w:rsid w:val="1A0E09F0"/>
    <w:rsid w:val="1A113680"/>
    <w:rsid w:val="1A18186E"/>
    <w:rsid w:val="1A295829"/>
    <w:rsid w:val="1A2C531A"/>
    <w:rsid w:val="1A300044"/>
    <w:rsid w:val="1A424B3D"/>
    <w:rsid w:val="1A534654"/>
    <w:rsid w:val="1A5403CD"/>
    <w:rsid w:val="1A562397"/>
    <w:rsid w:val="1A7171D0"/>
    <w:rsid w:val="1A92257F"/>
    <w:rsid w:val="1AA475A6"/>
    <w:rsid w:val="1AB62E35"/>
    <w:rsid w:val="1AE16104"/>
    <w:rsid w:val="1AEA675D"/>
    <w:rsid w:val="1B177D78"/>
    <w:rsid w:val="1B210BF7"/>
    <w:rsid w:val="1B352394"/>
    <w:rsid w:val="1B516A8C"/>
    <w:rsid w:val="1B5508A0"/>
    <w:rsid w:val="1B6D4D18"/>
    <w:rsid w:val="1BA710FC"/>
    <w:rsid w:val="1BAD4238"/>
    <w:rsid w:val="1BE31FE6"/>
    <w:rsid w:val="1C00080C"/>
    <w:rsid w:val="1C303687"/>
    <w:rsid w:val="1C356B51"/>
    <w:rsid w:val="1C424981"/>
    <w:rsid w:val="1C7A6810"/>
    <w:rsid w:val="1C8E5E18"/>
    <w:rsid w:val="1CB57848"/>
    <w:rsid w:val="1CC41428"/>
    <w:rsid w:val="1CCE26B8"/>
    <w:rsid w:val="1CD145E3"/>
    <w:rsid w:val="1CF73B37"/>
    <w:rsid w:val="1D28001A"/>
    <w:rsid w:val="1D774AFE"/>
    <w:rsid w:val="1DA8115B"/>
    <w:rsid w:val="1DAE2D0C"/>
    <w:rsid w:val="1DE33F41"/>
    <w:rsid w:val="1DF70675"/>
    <w:rsid w:val="1E012619"/>
    <w:rsid w:val="1E2A7DC2"/>
    <w:rsid w:val="1E4569AA"/>
    <w:rsid w:val="1E5F5CBE"/>
    <w:rsid w:val="1E786A08"/>
    <w:rsid w:val="1E9D0594"/>
    <w:rsid w:val="1E9F255E"/>
    <w:rsid w:val="1EA1723B"/>
    <w:rsid w:val="1EB63404"/>
    <w:rsid w:val="1ECA6EAF"/>
    <w:rsid w:val="1ED0096A"/>
    <w:rsid w:val="1EE44415"/>
    <w:rsid w:val="1F093E7B"/>
    <w:rsid w:val="1F170346"/>
    <w:rsid w:val="1F173705"/>
    <w:rsid w:val="1F422EEA"/>
    <w:rsid w:val="1F6E1F30"/>
    <w:rsid w:val="1F7121EC"/>
    <w:rsid w:val="1F933745"/>
    <w:rsid w:val="1FE43FA1"/>
    <w:rsid w:val="200768CB"/>
    <w:rsid w:val="200A1C59"/>
    <w:rsid w:val="201523AC"/>
    <w:rsid w:val="20161279"/>
    <w:rsid w:val="20261F7E"/>
    <w:rsid w:val="20384A18"/>
    <w:rsid w:val="203C5F2E"/>
    <w:rsid w:val="203E7B55"/>
    <w:rsid w:val="204A02A8"/>
    <w:rsid w:val="204A64FA"/>
    <w:rsid w:val="206550E2"/>
    <w:rsid w:val="207277FE"/>
    <w:rsid w:val="207C4B14"/>
    <w:rsid w:val="20A35C0A"/>
    <w:rsid w:val="20B83463"/>
    <w:rsid w:val="20ED4297"/>
    <w:rsid w:val="211C7E96"/>
    <w:rsid w:val="211D776A"/>
    <w:rsid w:val="213A47C0"/>
    <w:rsid w:val="21555156"/>
    <w:rsid w:val="217E28FF"/>
    <w:rsid w:val="219F2875"/>
    <w:rsid w:val="21A67760"/>
    <w:rsid w:val="21BC2A75"/>
    <w:rsid w:val="21E64000"/>
    <w:rsid w:val="21F66939"/>
    <w:rsid w:val="22133AE7"/>
    <w:rsid w:val="224C6559"/>
    <w:rsid w:val="22714212"/>
    <w:rsid w:val="228A0E2F"/>
    <w:rsid w:val="22AC349C"/>
    <w:rsid w:val="22BD5D1A"/>
    <w:rsid w:val="22BE4F7D"/>
    <w:rsid w:val="22CC731F"/>
    <w:rsid w:val="22CC769A"/>
    <w:rsid w:val="22DE117B"/>
    <w:rsid w:val="22F408A2"/>
    <w:rsid w:val="2304505A"/>
    <w:rsid w:val="230C7A96"/>
    <w:rsid w:val="231A5B37"/>
    <w:rsid w:val="237613B4"/>
    <w:rsid w:val="2378512C"/>
    <w:rsid w:val="237C2E6E"/>
    <w:rsid w:val="23A221A9"/>
    <w:rsid w:val="23A423C5"/>
    <w:rsid w:val="23AE4FF1"/>
    <w:rsid w:val="23C97859"/>
    <w:rsid w:val="23D9206E"/>
    <w:rsid w:val="24162A0A"/>
    <w:rsid w:val="244A5295"/>
    <w:rsid w:val="246062EC"/>
    <w:rsid w:val="247E49C4"/>
    <w:rsid w:val="24C30629"/>
    <w:rsid w:val="24D32F62"/>
    <w:rsid w:val="24D46CDA"/>
    <w:rsid w:val="25021151"/>
    <w:rsid w:val="251B2213"/>
    <w:rsid w:val="252217F3"/>
    <w:rsid w:val="252E3B84"/>
    <w:rsid w:val="25381017"/>
    <w:rsid w:val="25445C0D"/>
    <w:rsid w:val="256F729C"/>
    <w:rsid w:val="257243C5"/>
    <w:rsid w:val="25801B87"/>
    <w:rsid w:val="258C4EBE"/>
    <w:rsid w:val="2593624D"/>
    <w:rsid w:val="25A121E1"/>
    <w:rsid w:val="25A641D2"/>
    <w:rsid w:val="25A91F14"/>
    <w:rsid w:val="25AC5561"/>
    <w:rsid w:val="25AC730F"/>
    <w:rsid w:val="25C12DBA"/>
    <w:rsid w:val="25DB1478"/>
    <w:rsid w:val="25E62821"/>
    <w:rsid w:val="25FD5DBC"/>
    <w:rsid w:val="260D5FFF"/>
    <w:rsid w:val="26154EB4"/>
    <w:rsid w:val="263856FC"/>
    <w:rsid w:val="265F25D3"/>
    <w:rsid w:val="267F67D1"/>
    <w:rsid w:val="26C16DEA"/>
    <w:rsid w:val="270D0281"/>
    <w:rsid w:val="27317671"/>
    <w:rsid w:val="27351CB2"/>
    <w:rsid w:val="27547C5E"/>
    <w:rsid w:val="27561C28"/>
    <w:rsid w:val="2761728D"/>
    <w:rsid w:val="27736336"/>
    <w:rsid w:val="27822A1D"/>
    <w:rsid w:val="28213FE4"/>
    <w:rsid w:val="28291CBC"/>
    <w:rsid w:val="282B6C11"/>
    <w:rsid w:val="28333D17"/>
    <w:rsid w:val="283F26BC"/>
    <w:rsid w:val="28500425"/>
    <w:rsid w:val="285C501C"/>
    <w:rsid w:val="287265EE"/>
    <w:rsid w:val="28844573"/>
    <w:rsid w:val="288F53F1"/>
    <w:rsid w:val="28CA01D8"/>
    <w:rsid w:val="28CC03F4"/>
    <w:rsid w:val="28CF57EE"/>
    <w:rsid w:val="28E03E9F"/>
    <w:rsid w:val="28F33BD2"/>
    <w:rsid w:val="290D27BA"/>
    <w:rsid w:val="2920604A"/>
    <w:rsid w:val="292E4C0A"/>
    <w:rsid w:val="295D2E3C"/>
    <w:rsid w:val="296028EA"/>
    <w:rsid w:val="296C128F"/>
    <w:rsid w:val="29AE5D4B"/>
    <w:rsid w:val="29BF3AB4"/>
    <w:rsid w:val="29E259F5"/>
    <w:rsid w:val="29EC23D0"/>
    <w:rsid w:val="29F80D74"/>
    <w:rsid w:val="2A0911D4"/>
    <w:rsid w:val="2A492B17"/>
    <w:rsid w:val="2A506E02"/>
    <w:rsid w:val="2A571F3F"/>
    <w:rsid w:val="2A6E5565"/>
    <w:rsid w:val="2A7240C4"/>
    <w:rsid w:val="2A751360"/>
    <w:rsid w:val="2AA12E26"/>
    <w:rsid w:val="2AA27718"/>
    <w:rsid w:val="2AA50EFC"/>
    <w:rsid w:val="2AA9206F"/>
    <w:rsid w:val="2AB90504"/>
    <w:rsid w:val="2ACB46DB"/>
    <w:rsid w:val="2AE8528D"/>
    <w:rsid w:val="2AFC2AE6"/>
    <w:rsid w:val="2B1716CE"/>
    <w:rsid w:val="2B391645"/>
    <w:rsid w:val="2B795EE5"/>
    <w:rsid w:val="2B82123D"/>
    <w:rsid w:val="2BBE1B4A"/>
    <w:rsid w:val="2BC96E6C"/>
    <w:rsid w:val="2BDF21EC"/>
    <w:rsid w:val="2BE315B0"/>
    <w:rsid w:val="2BEF7F55"/>
    <w:rsid w:val="2BF10171"/>
    <w:rsid w:val="2BFC0FF0"/>
    <w:rsid w:val="2C2E4F21"/>
    <w:rsid w:val="2C4B162F"/>
    <w:rsid w:val="2CC8062C"/>
    <w:rsid w:val="2CD86C3B"/>
    <w:rsid w:val="2CF9552F"/>
    <w:rsid w:val="2D142369"/>
    <w:rsid w:val="2D1660E1"/>
    <w:rsid w:val="2D35408E"/>
    <w:rsid w:val="2D4D5E4B"/>
    <w:rsid w:val="2D621327"/>
    <w:rsid w:val="2DA27975"/>
    <w:rsid w:val="2DBE22D5"/>
    <w:rsid w:val="2DC07893"/>
    <w:rsid w:val="2DCD2787"/>
    <w:rsid w:val="2DFE38F8"/>
    <w:rsid w:val="2E0F246F"/>
    <w:rsid w:val="2E163EBF"/>
    <w:rsid w:val="2E206AEC"/>
    <w:rsid w:val="2E41718E"/>
    <w:rsid w:val="2E4C5B33"/>
    <w:rsid w:val="2E4D699B"/>
    <w:rsid w:val="2E555972"/>
    <w:rsid w:val="2E5A3DAC"/>
    <w:rsid w:val="2E7B3D22"/>
    <w:rsid w:val="2E8452CD"/>
    <w:rsid w:val="2E903C71"/>
    <w:rsid w:val="2EB15996"/>
    <w:rsid w:val="2EBD433B"/>
    <w:rsid w:val="2ED718A0"/>
    <w:rsid w:val="2EE23DA1"/>
    <w:rsid w:val="2EE303AC"/>
    <w:rsid w:val="2F065CE2"/>
    <w:rsid w:val="2F1523C9"/>
    <w:rsid w:val="2F723AB7"/>
    <w:rsid w:val="2F8C4439"/>
    <w:rsid w:val="2F9771D1"/>
    <w:rsid w:val="2F994DA8"/>
    <w:rsid w:val="2FBC6455"/>
    <w:rsid w:val="2FDC44EE"/>
    <w:rsid w:val="2FDE27BA"/>
    <w:rsid w:val="2FE37DD1"/>
    <w:rsid w:val="2FEC2819"/>
    <w:rsid w:val="30226B4B"/>
    <w:rsid w:val="302C5C1C"/>
    <w:rsid w:val="30450A8C"/>
    <w:rsid w:val="3049057C"/>
    <w:rsid w:val="306727B0"/>
    <w:rsid w:val="30744ECD"/>
    <w:rsid w:val="308C7A93"/>
    <w:rsid w:val="30DF67EA"/>
    <w:rsid w:val="30F5425D"/>
    <w:rsid w:val="30F5600E"/>
    <w:rsid w:val="31102E48"/>
    <w:rsid w:val="311A1F18"/>
    <w:rsid w:val="31224929"/>
    <w:rsid w:val="312566F5"/>
    <w:rsid w:val="312D1C4B"/>
    <w:rsid w:val="317E24A7"/>
    <w:rsid w:val="3195334D"/>
    <w:rsid w:val="31975317"/>
    <w:rsid w:val="31985EE9"/>
    <w:rsid w:val="31A17F44"/>
    <w:rsid w:val="31A72211"/>
    <w:rsid w:val="31C75BFC"/>
    <w:rsid w:val="32130E41"/>
    <w:rsid w:val="321D13A0"/>
    <w:rsid w:val="32236BAB"/>
    <w:rsid w:val="32584AA6"/>
    <w:rsid w:val="32650F71"/>
    <w:rsid w:val="32672F3B"/>
    <w:rsid w:val="327411B4"/>
    <w:rsid w:val="328379B9"/>
    <w:rsid w:val="3296737C"/>
    <w:rsid w:val="32E9317E"/>
    <w:rsid w:val="32FE389F"/>
    <w:rsid w:val="331210F9"/>
    <w:rsid w:val="331F55C4"/>
    <w:rsid w:val="33266952"/>
    <w:rsid w:val="332B3F69"/>
    <w:rsid w:val="3333106F"/>
    <w:rsid w:val="33340204"/>
    <w:rsid w:val="33490893"/>
    <w:rsid w:val="33590AD6"/>
    <w:rsid w:val="335B5631"/>
    <w:rsid w:val="336B25B7"/>
    <w:rsid w:val="33C64F1D"/>
    <w:rsid w:val="33DA14EB"/>
    <w:rsid w:val="3402116D"/>
    <w:rsid w:val="34076784"/>
    <w:rsid w:val="340A0E05"/>
    <w:rsid w:val="34160775"/>
    <w:rsid w:val="34275077"/>
    <w:rsid w:val="342866FA"/>
    <w:rsid w:val="346534AA"/>
    <w:rsid w:val="34714755"/>
    <w:rsid w:val="34727975"/>
    <w:rsid w:val="34897199"/>
    <w:rsid w:val="34AC732B"/>
    <w:rsid w:val="34CF6B76"/>
    <w:rsid w:val="34E73EBF"/>
    <w:rsid w:val="35020CF9"/>
    <w:rsid w:val="350E3B42"/>
    <w:rsid w:val="35132F06"/>
    <w:rsid w:val="35492DCC"/>
    <w:rsid w:val="355E55B1"/>
    <w:rsid w:val="356B2D42"/>
    <w:rsid w:val="358931C8"/>
    <w:rsid w:val="35926521"/>
    <w:rsid w:val="359C2EFC"/>
    <w:rsid w:val="35A16764"/>
    <w:rsid w:val="35CF32D1"/>
    <w:rsid w:val="35D73F34"/>
    <w:rsid w:val="35E86141"/>
    <w:rsid w:val="35E937C1"/>
    <w:rsid w:val="35F920FC"/>
    <w:rsid w:val="360A3DB9"/>
    <w:rsid w:val="36213401"/>
    <w:rsid w:val="36351E0B"/>
    <w:rsid w:val="36653C36"/>
    <w:rsid w:val="3666443B"/>
    <w:rsid w:val="366854D4"/>
    <w:rsid w:val="367125DA"/>
    <w:rsid w:val="3676374D"/>
    <w:rsid w:val="36807682"/>
    <w:rsid w:val="36AA789A"/>
    <w:rsid w:val="36C070BE"/>
    <w:rsid w:val="37040D59"/>
    <w:rsid w:val="37357164"/>
    <w:rsid w:val="374C0952"/>
    <w:rsid w:val="374C4D4B"/>
    <w:rsid w:val="37590640"/>
    <w:rsid w:val="375D4144"/>
    <w:rsid w:val="37C4498C"/>
    <w:rsid w:val="37F60FE9"/>
    <w:rsid w:val="37FB4C9D"/>
    <w:rsid w:val="380354B4"/>
    <w:rsid w:val="3808725A"/>
    <w:rsid w:val="384A6C3F"/>
    <w:rsid w:val="3851621F"/>
    <w:rsid w:val="387176FC"/>
    <w:rsid w:val="38AF1198"/>
    <w:rsid w:val="38E5105E"/>
    <w:rsid w:val="38E52E0C"/>
    <w:rsid w:val="38F1355F"/>
    <w:rsid w:val="3905525C"/>
    <w:rsid w:val="39137979"/>
    <w:rsid w:val="39186D3D"/>
    <w:rsid w:val="396C0E37"/>
    <w:rsid w:val="39902D77"/>
    <w:rsid w:val="3991089E"/>
    <w:rsid w:val="39916142"/>
    <w:rsid w:val="3995038E"/>
    <w:rsid w:val="399D5494"/>
    <w:rsid w:val="39BA4298"/>
    <w:rsid w:val="39C4208B"/>
    <w:rsid w:val="39CB0253"/>
    <w:rsid w:val="3A080B60"/>
    <w:rsid w:val="3A1E4827"/>
    <w:rsid w:val="3A543DA5"/>
    <w:rsid w:val="3A555D6F"/>
    <w:rsid w:val="3A9643BE"/>
    <w:rsid w:val="3A992100"/>
    <w:rsid w:val="3AC16F61"/>
    <w:rsid w:val="3AC75562"/>
    <w:rsid w:val="3ACA22B9"/>
    <w:rsid w:val="3B304812"/>
    <w:rsid w:val="3B437397"/>
    <w:rsid w:val="3B497682"/>
    <w:rsid w:val="3B4F27BE"/>
    <w:rsid w:val="3B5D312D"/>
    <w:rsid w:val="3B60677A"/>
    <w:rsid w:val="3B7D732B"/>
    <w:rsid w:val="3B911029"/>
    <w:rsid w:val="3B9E4CD2"/>
    <w:rsid w:val="3BD74C8E"/>
    <w:rsid w:val="3BD80A06"/>
    <w:rsid w:val="3BD86C58"/>
    <w:rsid w:val="3BF82E56"/>
    <w:rsid w:val="3C1732DC"/>
    <w:rsid w:val="3C181429"/>
    <w:rsid w:val="3C211F85"/>
    <w:rsid w:val="3C37397E"/>
    <w:rsid w:val="3C4F5748"/>
    <w:rsid w:val="3C6B3628"/>
    <w:rsid w:val="3C7B7D0F"/>
    <w:rsid w:val="3C9F6A48"/>
    <w:rsid w:val="3CA134EE"/>
    <w:rsid w:val="3CB74ABF"/>
    <w:rsid w:val="3CC2593E"/>
    <w:rsid w:val="3CC63BF2"/>
    <w:rsid w:val="3CE37662"/>
    <w:rsid w:val="3CFE624A"/>
    <w:rsid w:val="3D1C4922"/>
    <w:rsid w:val="3D2C1009"/>
    <w:rsid w:val="3D324146"/>
    <w:rsid w:val="3D485717"/>
    <w:rsid w:val="3D6A5F84"/>
    <w:rsid w:val="3D6E0C45"/>
    <w:rsid w:val="3D6F788E"/>
    <w:rsid w:val="3D9D3CB5"/>
    <w:rsid w:val="3DAC214A"/>
    <w:rsid w:val="3DAC6CE1"/>
    <w:rsid w:val="3DE6740A"/>
    <w:rsid w:val="3DFA11B7"/>
    <w:rsid w:val="3E0C4997"/>
    <w:rsid w:val="3E173A67"/>
    <w:rsid w:val="3E2854D7"/>
    <w:rsid w:val="3E524A9F"/>
    <w:rsid w:val="3E684105"/>
    <w:rsid w:val="3E772758"/>
    <w:rsid w:val="3E7C1B1C"/>
    <w:rsid w:val="3E810EE1"/>
    <w:rsid w:val="3E834C59"/>
    <w:rsid w:val="3E893B0E"/>
    <w:rsid w:val="3EB6242B"/>
    <w:rsid w:val="3EB63280"/>
    <w:rsid w:val="3EBE3EE3"/>
    <w:rsid w:val="3EE17BD1"/>
    <w:rsid w:val="3F073ADC"/>
    <w:rsid w:val="3F2A16F3"/>
    <w:rsid w:val="3F3506A4"/>
    <w:rsid w:val="3F361456"/>
    <w:rsid w:val="3F406FEE"/>
    <w:rsid w:val="3F650802"/>
    <w:rsid w:val="3F731171"/>
    <w:rsid w:val="3F7B1DD4"/>
    <w:rsid w:val="3F7D78FA"/>
    <w:rsid w:val="3F8213B4"/>
    <w:rsid w:val="3F827606"/>
    <w:rsid w:val="3F890995"/>
    <w:rsid w:val="3F8E7D59"/>
    <w:rsid w:val="3FA80DEA"/>
    <w:rsid w:val="3FA85938"/>
    <w:rsid w:val="3FC75019"/>
    <w:rsid w:val="3FCF3ECE"/>
    <w:rsid w:val="3FD55988"/>
    <w:rsid w:val="3FE80680"/>
    <w:rsid w:val="40000CF5"/>
    <w:rsid w:val="403F2E01"/>
    <w:rsid w:val="404B5C4A"/>
    <w:rsid w:val="406C796F"/>
    <w:rsid w:val="40820D4E"/>
    <w:rsid w:val="408244E4"/>
    <w:rsid w:val="409018AF"/>
    <w:rsid w:val="40956EC5"/>
    <w:rsid w:val="409A795F"/>
    <w:rsid w:val="40DF6392"/>
    <w:rsid w:val="40EB4D37"/>
    <w:rsid w:val="40EF4858"/>
    <w:rsid w:val="40F732A4"/>
    <w:rsid w:val="40F750CA"/>
    <w:rsid w:val="410D2F00"/>
    <w:rsid w:val="41195983"/>
    <w:rsid w:val="41326E0A"/>
    <w:rsid w:val="413B181B"/>
    <w:rsid w:val="41436921"/>
    <w:rsid w:val="415D3E87"/>
    <w:rsid w:val="41654AEA"/>
    <w:rsid w:val="417C599A"/>
    <w:rsid w:val="419158DF"/>
    <w:rsid w:val="419453CF"/>
    <w:rsid w:val="41961147"/>
    <w:rsid w:val="41A76EB0"/>
    <w:rsid w:val="41B31CF9"/>
    <w:rsid w:val="41B75699"/>
    <w:rsid w:val="41BD0482"/>
    <w:rsid w:val="41BE244C"/>
    <w:rsid w:val="41D67795"/>
    <w:rsid w:val="42114C71"/>
    <w:rsid w:val="421502BE"/>
    <w:rsid w:val="42162288"/>
    <w:rsid w:val="421A58D4"/>
    <w:rsid w:val="421B164C"/>
    <w:rsid w:val="422E312E"/>
    <w:rsid w:val="422F6EA6"/>
    <w:rsid w:val="423C752D"/>
    <w:rsid w:val="42756FAE"/>
    <w:rsid w:val="42AC4713"/>
    <w:rsid w:val="42C17127"/>
    <w:rsid w:val="42DB37CB"/>
    <w:rsid w:val="42F924D0"/>
    <w:rsid w:val="430D1D3B"/>
    <w:rsid w:val="43140575"/>
    <w:rsid w:val="431E7646"/>
    <w:rsid w:val="43212C92"/>
    <w:rsid w:val="43643369"/>
    <w:rsid w:val="437B05F4"/>
    <w:rsid w:val="437C611B"/>
    <w:rsid w:val="43845444"/>
    <w:rsid w:val="43853221"/>
    <w:rsid w:val="43B14016"/>
    <w:rsid w:val="43C95804"/>
    <w:rsid w:val="43CF6B92"/>
    <w:rsid w:val="43DB5537"/>
    <w:rsid w:val="43F81C45"/>
    <w:rsid w:val="441427F7"/>
    <w:rsid w:val="44676DCB"/>
    <w:rsid w:val="449F1C1A"/>
    <w:rsid w:val="44BF2B01"/>
    <w:rsid w:val="44F248E6"/>
    <w:rsid w:val="451F1453"/>
    <w:rsid w:val="452627E2"/>
    <w:rsid w:val="454113CA"/>
    <w:rsid w:val="454669E0"/>
    <w:rsid w:val="45494BDC"/>
    <w:rsid w:val="454964D0"/>
    <w:rsid w:val="455235D7"/>
    <w:rsid w:val="458614D2"/>
    <w:rsid w:val="458D460F"/>
    <w:rsid w:val="459C2AA4"/>
    <w:rsid w:val="45A57BAB"/>
    <w:rsid w:val="45B4254C"/>
    <w:rsid w:val="45B55309"/>
    <w:rsid w:val="45C269AF"/>
    <w:rsid w:val="45DC10F2"/>
    <w:rsid w:val="45DE4E6B"/>
    <w:rsid w:val="45EC57D9"/>
    <w:rsid w:val="45EE77A4"/>
    <w:rsid w:val="466C2476"/>
    <w:rsid w:val="467557CF"/>
    <w:rsid w:val="467B6B5D"/>
    <w:rsid w:val="467F03FC"/>
    <w:rsid w:val="46AC173B"/>
    <w:rsid w:val="46F26E20"/>
    <w:rsid w:val="47024B89"/>
    <w:rsid w:val="47240FA3"/>
    <w:rsid w:val="47274622"/>
    <w:rsid w:val="47611304"/>
    <w:rsid w:val="477F442B"/>
    <w:rsid w:val="4783216D"/>
    <w:rsid w:val="47925F0D"/>
    <w:rsid w:val="47936CA9"/>
    <w:rsid w:val="479F062A"/>
    <w:rsid w:val="47A0687C"/>
    <w:rsid w:val="47A660FE"/>
    <w:rsid w:val="47BB1907"/>
    <w:rsid w:val="47C65E4E"/>
    <w:rsid w:val="47CA10FC"/>
    <w:rsid w:val="47DB411D"/>
    <w:rsid w:val="47E726FC"/>
    <w:rsid w:val="48084421"/>
    <w:rsid w:val="480C5CBF"/>
    <w:rsid w:val="48291477"/>
    <w:rsid w:val="483D1A09"/>
    <w:rsid w:val="48496F13"/>
    <w:rsid w:val="48547666"/>
    <w:rsid w:val="48855A71"/>
    <w:rsid w:val="48BF5427"/>
    <w:rsid w:val="48D52555"/>
    <w:rsid w:val="48FF5824"/>
    <w:rsid w:val="490966A2"/>
    <w:rsid w:val="491339E7"/>
    <w:rsid w:val="494E0C64"/>
    <w:rsid w:val="49501B10"/>
    <w:rsid w:val="495927D4"/>
    <w:rsid w:val="496A6BAB"/>
    <w:rsid w:val="49B77EAC"/>
    <w:rsid w:val="49C12AD9"/>
    <w:rsid w:val="49CD147E"/>
    <w:rsid w:val="49D8442A"/>
    <w:rsid w:val="4A431740"/>
    <w:rsid w:val="4A495964"/>
    <w:rsid w:val="4A552D49"/>
    <w:rsid w:val="4A58343D"/>
    <w:rsid w:val="4A714D51"/>
    <w:rsid w:val="4A76173C"/>
    <w:rsid w:val="4AC05487"/>
    <w:rsid w:val="4ACC0362"/>
    <w:rsid w:val="4ACC7988"/>
    <w:rsid w:val="4ACF26B8"/>
    <w:rsid w:val="4ADB7BCB"/>
    <w:rsid w:val="4AFA2747"/>
    <w:rsid w:val="4B02784D"/>
    <w:rsid w:val="4B5C0D0B"/>
    <w:rsid w:val="4B6D7BF9"/>
    <w:rsid w:val="4B7D0C82"/>
    <w:rsid w:val="4B8F5EB3"/>
    <w:rsid w:val="4BA206E8"/>
    <w:rsid w:val="4BB26B7D"/>
    <w:rsid w:val="4BBB3483"/>
    <w:rsid w:val="4BC302A8"/>
    <w:rsid w:val="4BDF6698"/>
    <w:rsid w:val="4BE1103E"/>
    <w:rsid w:val="4C5963CC"/>
    <w:rsid w:val="4C6A7458"/>
    <w:rsid w:val="4C7107E7"/>
    <w:rsid w:val="4C9170DB"/>
    <w:rsid w:val="4CAE37E9"/>
    <w:rsid w:val="4CAF57B3"/>
    <w:rsid w:val="4CC50B32"/>
    <w:rsid w:val="4CE20149"/>
    <w:rsid w:val="4CE30FB8"/>
    <w:rsid w:val="4CE612A9"/>
    <w:rsid w:val="4D3017F6"/>
    <w:rsid w:val="4D3F20F0"/>
    <w:rsid w:val="4D4001B9"/>
    <w:rsid w:val="4D50664E"/>
    <w:rsid w:val="4D662315"/>
    <w:rsid w:val="4D677E3B"/>
    <w:rsid w:val="4D6D36A4"/>
    <w:rsid w:val="4D754306"/>
    <w:rsid w:val="4D782049"/>
    <w:rsid w:val="4DA21A65"/>
    <w:rsid w:val="4DD454D1"/>
    <w:rsid w:val="4DE1199C"/>
    <w:rsid w:val="4DF1698F"/>
    <w:rsid w:val="4DF50B5E"/>
    <w:rsid w:val="4E1C2752"/>
    <w:rsid w:val="4E320449"/>
    <w:rsid w:val="4E3A10AC"/>
    <w:rsid w:val="4E551DFA"/>
    <w:rsid w:val="4ED1689E"/>
    <w:rsid w:val="4EEE4370"/>
    <w:rsid w:val="4EFB6A8D"/>
    <w:rsid w:val="4EFD187E"/>
    <w:rsid w:val="4EFE032C"/>
    <w:rsid w:val="4F764366"/>
    <w:rsid w:val="4F7702AB"/>
    <w:rsid w:val="4F786330"/>
    <w:rsid w:val="4F7B73D3"/>
    <w:rsid w:val="4FF80BAB"/>
    <w:rsid w:val="50504BB7"/>
    <w:rsid w:val="50834F8C"/>
    <w:rsid w:val="50970A38"/>
    <w:rsid w:val="50A05B3E"/>
    <w:rsid w:val="50C86E43"/>
    <w:rsid w:val="50CA6717"/>
    <w:rsid w:val="50CB52B5"/>
    <w:rsid w:val="50DA49D2"/>
    <w:rsid w:val="50DD469C"/>
    <w:rsid w:val="50E22C1F"/>
    <w:rsid w:val="50EC2B32"/>
    <w:rsid w:val="51154F67"/>
    <w:rsid w:val="51262659"/>
    <w:rsid w:val="51275918"/>
    <w:rsid w:val="513A2283"/>
    <w:rsid w:val="51645EC4"/>
    <w:rsid w:val="516F049E"/>
    <w:rsid w:val="51736DAF"/>
    <w:rsid w:val="518E5997"/>
    <w:rsid w:val="51A26280"/>
    <w:rsid w:val="51B573C7"/>
    <w:rsid w:val="51CB489B"/>
    <w:rsid w:val="52007E77"/>
    <w:rsid w:val="520914C1"/>
    <w:rsid w:val="5221680B"/>
    <w:rsid w:val="522B1438"/>
    <w:rsid w:val="522C6C56"/>
    <w:rsid w:val="522D1654"/>
    <w:rsid w:val="522D51B0"/>
    <w:rsid w:val="52462715"/>
    <w:rsid w:val="524D7600"/>
    <w:rsid w:val="524E5126"/>
    <w:rsid w:val="527728CF"/>
    <w:rsid w:val="52BB0A0D"/>
    <w:rsid w:val="52BE405A"/>
    <w:rsid w:val="52E76B50"/>
    <w:rsid w:val="533D58C6"/>
    <w:rsid w:val="534A7FE3"/>
    <w:rsid w:val="535873D9"/>
    <w:rsid w:val="53605111"/>
    <w:rsid w:val="53755970"/>
    <w:rsid w:val="538623B2"/>
    <w:rsid w:val="53901E9A"/>
    <w:rsid w:val="53933738"/>
    <w:rsid w:val="53BC2C8F"/>
    <w:rsid w:val="53D578AD"/>
    <w:rsid w:val="53E47AF0"/>
    <w:rsid w:val="53F00B8B"/>
    <w:rsid w:val="53FA5565"/>
    <w:rsid w:val="542C51A1"/>
    <w:rsid w:val="542C693C"/>
    <w:rsid w:val="545A6004"/>
    <w:rsid w:val="545D6F6D"/>
    <w:rsid w:val="548A2A40"/>
    <w:rsid w:val="548D10AB"/>
    <w:rsid w:val="549F7EBB"/>
    <w:rsid w:val="54A02118"/>
    <w:rsid w:val="54A379AB"/>
    <w:rsid w:val="54BA6AA3"/>
    <w:rsid w:val="54E56DB8"/>
    <w:rsid w:val="54F92DC6"/>
    <w:rsid w:val="551E742C"/>
    <w:rsid w:val="55207A5F"/>
    <w:rsid w:val="554051FA"/>
    <w:rsid w:val="554A7E27"/>
    <w:rsid w:val="55560EC1"/>
    <w:rsid w:val="555869E7"/>
    <w:rsid w:val="55652EB2"/>
    <w:rsid w:val="55766E6E"/>
    <w:rsid w:val="55BE361E"/>
    <w:rsid w:val="55BF0815"/>
    <w:rsid w:val="55D004E3"/>
    <w:rsid w:val="55DA564E"/>
    <w:rsid w:val="55DC68AB"/>
    <w:rsid w:val="55E56221"/>
    <w:rsid w:val="55F04E72"/>
    <w:rsid w:val="55FD758F"/>
    <w:rsid w:val="55FF6E63"/>
    <w:rsid w:val="56002BDB"/>
    <w:rsid w:val="56075D18"/>
    <w:rsid w:val="562C577E"/>
    <w:rsid w:val="564D4072"/>
    <w:rsid w:val="566969D2"/>
    <w:rsid w:val="566E3FE9"/>
    <w:rsid w:val="56786C15"/>
    <w:rsid w:val="5689497F"/>
    <w:rsid w:val="568C16BE"/>
    <w:rsid w:val="5696187C"/>
    <w:rsid w:val="56BE0ACC"/>
    <w:rsid w:val="56E10C5F"/>
    <w:rsid w:val="56EB5639"/>
    <w:rsid w:val="56ED7603"/>
    <w:rsid w:val="56FA587C"/>
    <w:rsid w:val="5718173F"/>
    <w:rsid w:val="572B2E52"/>
    <w:rsid w:val="57342B3C"/>
    <w:rsid w:val="57565E05"/>
    <w:rsid w:val="57580F21"/>
    <w:rsid w:val="57743881"/>
    <w:rsid w:val="578B4122"/>
    <w:rsid w:val="57A75A04"/>
    <w:rsid w:val="57B75650"/>
    <w:rsid w:val="57D367F9"/>
    <w:rsid w:val="57E52339"/>
    <w:rsid w:val="582F1556"/>
    <w:rsid w:val="584C2108"/>
    <w:rsid w:val="58511B64"/>
    <w:rsid w:val="587D0513"/>
    <w:rsid w:val="58A57212"/>
    <w:rsid w:val="58BA52C3"/>
    <w:rsid w:val="58C16652"/>
    <w:rsid w:val="58D42829"/>
    <w:rsid w:val="58DC782D"/>
    <w:rsid w:val="59012EF2"/>
    <w:rsid w:val="59053EBF"/>
    <w:rsid w:val="590858EA"/>
    <w:rsid w:val="590B5B1F"/>
    <w:rsid w:val="592D1F39"/>
    <w:rsid w:val="596040BD"/>
    <w:rsid w:val="59637709"/>
    <w:rsid w:val="599B3347"/>
    <w:rsid w:val="59A43518"/>
    <w:rsid w:val="59A541C5"/>
    <w:rsid w:val="59D40607"/>
    <w:rsid w:val="59D95C1D"/>
    <w:rsid w:val="59DC2276"/>
    <w:rsid w:val="5A1153B7"/>
    <w:rsid w:val="5A1629CD"/>
    <w:rsid w:val="5A696FA1"/>
    <w:rsid w:val="5A700DA8"/>
    <w:rsid w:val="5A7871E4"/>
    <w:rsid w:val="5A957D96"/>
    <w:rsid w:val="5A985AD8"/>
    <w:rsid w:val="5A987886"/>
    <w:rsid w:val="5AB0133B"/>
    <w:rsid w:val="5ADC3C17"/>
    <w:rsid w:val="5B4041A6"/>
    <w:rsid w:val="5B631C42"/>
    <w:rsid w:val="5B77749C"/>
    <w:rsid w:val="5B8B1199"/>
    <w:rsid w:val="5BB66216"/>
    <w:rsid w:val="5BCF1086"/>
    <w:rsid w:val="5BDC19F5"/>
    <w:rsid w:val="5C0A47B4"/>
    <w:rsid w:val="5C2238AB"/>
    <w:rsid w:val="5C4557EC"/>
    <w:rsid w:val="5C5D48E3"/>
    <w:rsid w:val="5C86208C"/>
    <w:rsid w:val="5C930305"/>
    <w:rsid w:val="5C974299"/>
    <w:rsid w:val="5CAE3391"/>
    <w:rsid w:val="5CDC6150"/>
    <w:rsid w:val="5CF1327E"/>
    <w:rsid w:val="5D2E002E"/>
    <w:rsid w:val="5D3A69D3"/>
    <w:rsid w:val="5D437F7D"/>
    <w:rsid w:val="5D4A130C"/>
    <w:rsid w:val="5D4A1E7A"/>
    <w:rsid w:val="5D521F6E"/>
    <w:rsid w:val="5D7A4DA1"/>
    <w:rsid w:val="5D8A5BAC"/>
    <w:rsid w:val="5DB03139"/>
    <w:rsid w:val="5DB26D32"/>
    <w:rsid w:val="5DC10EA2"/>
    <w:rsid w:val="5DD62B9F"/>
    <w:rsid w:val="5E317DD6"/>
    <w:rsid w:val="5E371164"/>
    <w:rsid w:val="5E3873B6"/>
    <w:rsid w:val="5E4129D5"/>
    <w:rsid w:val="5E483371"/>
    <w:rsid w:val="5E6F08FE"/>
    <w:rsid w:val="5E761C8C"/>
    <w:rsid w:val="5E7B54F5"/>
    <w:rsid w:val="5E7E2E48"/>
    <w:rsid w:val="5E882D8F"/>
    <w:rsid w:val="5E8F42DD"/>
    <w:rsid w:val="5EA70098"/>
    <w:rsid w:val="5EAB402C"/>
    <w:rsid w:val="5EBA472C"/>
    <w:rsid w:val="5EBB7FE7"/>
    <w:rsid w:val="5ECC3FA2"/>
    <w:rsid w:val="5ECE3876"/>
    <w:rsid w:val="5EFF6126"/>
    <w:rsid w:val="5F230066"/>
    <w:rsid w:val="5F4F0E5B"/>
    <w:rsid w:val="5F61293D"/>
    <w:rsid w:val="5F7B2579"/>
    <w:rsid w:val="5FB913AD"/>
    <w:rsid w:val="5FCB2F9A"/>
    <w:rsid w:val="5FCB6008"/>
    <w:rsid w:val="5FD2383A"/>
    <w:rsid w:val="5FDF3861"/>
    <w:rsid w:val="5FF76DFD"/>
    <w:rsid w:val="60243717"/>
    <w:rsid w:val="603B4F3C"/>
    <w:rsid w:val="604364E6"/>
    <w:rsid w:val="60620B87"/>
    <w:rsid w:val="60A53F7D"/>
    <w:rsid w:val="60BD0047"/>
    <w:rsid w:val="60C43183"/>
    <w:rsid w:val="60CA62C0"/>
    <w:rsid w:val="60E03D35"/>
    <w:rsid w:val="60F4333C"/>
    <w:rsid w:val="61135EB8"/>
    <w:rsid w:val="612A47CD"/>
    <w:rsid w:val="6142054C"/>
    <w:rsid w:val="61462D93"/>
    <w:rsid w:val="61490FB1"/>
    <w:rsid w:val="614B38A4"/>
    <w:rsid w:val="614E0C9F"/>
    <w:rsid w:val="6166248C"/>
    <w:rsid w:val="61B825BC"/>
    <w:rsid w:val="61BA4586"/>
    <w:rsid w:val="61BF2A03"/>
    <w:rsid w:val="61EA4E6B"/>
    <w:rsid w:val="61F01D56"/>
    <w:rsid w:val="621912AD"/>
    <w:rsid w:val="624C78D4"/>
    <w:rsid w:val="62514EEA"/>
    <w:rsid w:val="627110E9"/>
    <w:rsid w:val="62C57884"/>
    <w:rsid w:val="62D358FF"/>
    <w:rsid w:val="62DD677E"/>
    <w:rsid w:val="62F67840"/>
    <w:rsid w:val="63091321"/>
    <w:rsid w:val="63266032"/>
    <w:rsid w:val="63275186"/>
    <w:rsid w:val="63493E13"/>
    <w:rsid w:val="63495BC1"/>
    <w:rsid w:val="634B193A"/>
    <w:rsid w:val="635A7DCF"/>
    <w:rsid w:val="636D5D54"/>
    <w:rsid w:val="63780255"/>
    <w:rsid w:val="63892462"/>
    <w:rsid w:val="63D336DD"/>
    <w:rsid w:val="640D4E41"/>
    <w:rsid w:val="641E2BAA"/>
    <w:rsid w:val="643E4FFA"/>
    <w:rsid w:val="645E66F1"/>
    <w:rsid w:val="64664551"/>
    <w:rsid w:val="64785C94"/>
    <w:rsid w:val="648224B2"/>
    <w:rsid w:val="648275DD"/>
    <w:rsid w:val="64835103"/>
    <w:rsid w:val="648669A1"/>
    <w:rsid w:val="648D7D30"/>
    <w:rsid w:val="649D0E83"/>
    <w:rsid w:val="64BB664B"/>
    <w:rsid w:val="64CF20F6"/>
    <w:rsid w:val="64D771FD"/>
    <w:rsid w:val="64DE2339"/>
    <w:rsid w:val="65063DE0"/>
    <w:rsid w:val="6509385A"/>
    <w:rsid w:val="65312DB1"/>
    <w:rsid w:val="65586590"/>
    <w:rsid w:val="65685AC8"/>
    <w:rsid w:val="6578453C"/>
    <w:rsid w:val="65EB2F60"/>
    <w:rsid w:val="66010F6E"/>
    <w:rsid w:val="66432D9C"/>
    <w:rsid w:val="664D15BB"/>
    <w:rsid w:val="665723A3"/>
    <w:rsid w:val="666B22F3"/>
    <w:rsid w:val="66723681"/>
    <w:rsid w:val="669E7FD2"/>
    <w:rsid w:val="66B21CD0"/>
    <w:rsid w:val="66BE0674"/>
    <w:rsid w:val="66F81DD8"/>
    <w:rsid w:val="672E75A8"/>
    <w:rsid w:val="67566AFF"/>
    <w:rsid w:val="67627252"/>
    <w:rsid w:val="676B07FC"/>
    <w:rsid w:val="67753429"/>
    <w:rsid w:val="67796FA3"/>
    <w:rsid w:val="67C24194"/>
    <w:rsid w:val="67C87C7A"/>
    <w:rsid w:val="67CE0D8B"/>
    <w:rsid w:val="67FC4CDB"/>
    <w:rsid w:val="683F070F"/>
    <w:rsid w:val="685A43CD"/>
    <w:rsid w:val="68617509"/>
    <w:rsid w:val="686A0AB4"/>
    <w:rsid w:val="68834E99"/>
    <w:rsid w:val="688F7FCB"/>
    <w:rsid w:val="68923B67"/>
    <w:rsid w:val="6897117D"/>
    <w:rsid w:val="68975621"/>
    <w:rsid w:val="68BE495C"/>
    <w:rsid w:val="68C53F3C"/>
    <w:rsid w:val="68CC52CB"/>
    <w:rsid w:val="68D26659"/>
    <w:rsid w:val="68E65C61"/>
    <w:rsid w:val="69026F3E"/>
    <w:rsid w:val="690A4C66"/>
    <w:rsid w:val="69146C72"/>
    <w:rsid w:val="69197DE4"/>
    <w:rsid w:val="692D2AC4"/>
    <w:rsid w:val="694712E8"/>
    <w:rsid w:val="695157D0"/>
    <w:rsid w:val="695A0B28"/>
    <w:rsid w:val="699F5234"/>
    <w:rsid w:val="699F653B"/>
    <w:rsid w:val="69A94CB8"/>
    <w:rsid w:val="69C130A0"/>
    <w:rsid w:val="69CE51D8"/>
    <w:rsid w:val="69D16911"/>
    <w:rsid w:val="69DE4B97"/>
    <w:rsid w:val="69FE2EB5"/>
    <w:rsid w:val="6A687275"/>
    <w:rsid w:val="6A6B28C1"/>
    <w:rsid w:val="6A975464"/>
    <w:rsid w:val="6A9F256B"/>
    <w:rsid w:val="6AB778B5"/>
    <w:rsid w:val="6ACD0E86"/>
    <w:rsid w:val="6AE12B83"/>
    <w:rsid w:val="6AEB755E"/>
    <w:rsid w:val="6AFE1987"/>
    <w:rsid w:val="6B272C8C"/>
    <w:rsid w:val="6B32518D"/>
    <w:rsid w:val="6B476E8A"/>
    <w:rsid w:val="6B511AB7"/>
    <w:rsid w:val="6B5415A7"/>
    <w:rsid w:val="6B655563"/>
    <w:rsid w:val="6B8C0D18"/>
    <w:rsid w:val="6BA02A3F"/>
    <w:rsid w:val="6BA936A1"/>
    <w:rsid w:val="6BAD0172"/>
    <w:rsid w:val="6BBA3B00"/>
    <w:rsid w:val="6BC26511"/>
    <w:rsid w:val="6BC56001"/>
    <w:rsid w:val="6BCA3618"/>
    <w:rsid w:val="6BF54B38"/>
    <w:rsid w:val="6C1A459F"/>
    <w:rsid w:val="6C25078E"/>
    <w:rsid w:val="6C272818"/>
    <w:rsid w:val="6C733CAF"/>
    <w:rsid w:val="6CAB169B"/>
    <w:rsid w:val="6D056FFD"/>
    <w:rsid w:val="6D661494"/>
    <w:rsid w:val="6D8648D8"/>
    <w:rsid w:val="6DCC18C9"/>
    <w:rsid w:val="6DF1132F"/>
    <w:rsid w:val="6DF57072"/>
    <w:rsid w:val="6E1D73EF"/>
    <w:rsid w:val="6E2A65EF"/>
    <w:rsid w:val="6E5673E4"/>
    <w:rsid w:val="6E764026"/>
    <w:rsid w:val="6E934195"/>
    <w:rsid w:val="6EDD3662"/>
    <w:rsid w:val="6EEE3AC1"/>
    <w:rsid w:val="6F2314D6"/>
    <w:rsid w:val="6F327E52"/>
    <w:rsid w:val="6F394D3C"/>
    <w:rsid w:val="6F541B76"/>
    <w:rsid w:val="6F5E0C47"/>
    <w:rsid w:val="6F675D4D"/>
    <w:rsid w:val="6F6E713D"/>
    <w:rsid w:val="6F7C2E7B"/>
    <w:rsid w:val="6F885CC3"/>
    <w:rsid w:val="6F8C6B3D"/>
    <w:rsid w:val="6F8F0E00"/>
    <w:rsid w:val="6FA523D2"/>
    <w:rsid w:val="6FA7614A"/>
    <w:rsid w:val="6FAA79E8"/>
    <w:rsid w:val="6FAD74D8"/>
    <w:rsid w:val="6FB1521A"/>
    <w:rsid w:val="702951B3"/>
    <w:rsid w:val="7036127C"/>
    <w:rsid w:val="70422316"/>
    <w:rsid w:val="705F4C76"/>
    <w:rsid w:val="7073427E"/>
    <w:rsid w:val="70840239"/>
    <w:rsid w:val="70910BA8"/>
    <w:rsid w:val="709C4BE4"/>
    <w:rsid w:val="70A73F27"/>
    <w:rsid w:val="70D71396"/>
    <w:rsid w:val="70E90741"/>
    <w:rsid w:val="70F80C27"/>
    <w:rsid w:val="710E3FA6"/>
    <w:rsid w:val="71121CE9"/>
    <w:rsid w:val="7141612A"/>
    <w:rsid w:val="714A1482"/>
    <w:rsid w:val="717958C4"/>
    <w:rsid w:val="719E17CE"/>
    <w:rsid w:val="719E532A"/>
    <w:rsid w:val="71A32941"/>
    <w:rsid w:val="71A5490B"/>
    <w:rsid w:val="71B40FF2"/>
    <w:rsid w:val="71CD5C10"/>
    <w:rsid w:val="71E05943"/>
    <w:rsid w:val="72005D07"/>
    <w:rsid w:val="72035AD5"/>
    <w:rsid w:val="72071122"/>
    <w:rsid w:val="720D425E"/>
    <w:rsid w:val="72135D18"/>
    <w:rsid w:val="72154882"/>
    <w:rsid w:val="721B4BCD"/>
    <w:rsid w:val="72207BC8"/>
    <w:rsid w:val="724063E2"/>
    <w:rsid w:val="72442376"/>
    <w:rsid w:val="726F4F19"/>
    <w:rsid w:val="72897D89"/>
    <w:rsid w:val="72914E8F"/>
    <w:rsid w:val="729F75AC"/>
    <w:rsid w:val="72AC7F1B"/>
    <w:rsid w:val="72D51220"/>
    <w:rsid w:val="72E90827"/>
    <w:rsid w:val="731A4E85"/>
    <w:rsid w:val="731D4975"/>
    <w:rsid w:val="7329331A"/>
    <w:rsid w:val="73397A01"/>
    <w:rsid w:val="734D7008"/>
    <w:rsid w:val="73CF2113"/>
    <w:rsid w:val="73E07E7C"/>
    <w:rsid w:val="7400407A"/>
    <w:rsid w:val="74035919"/>
    <w:rsid w:val="740D2C3B"/>
    <w:rsid w:val="742F314F"/>
    <w:rsid w:val="74727264"/>
    <w:rsid w:val="747D56CB"/>
    <w:rsid w:val="74884070"/>
    <w:rsid w:val="74A215D5"/>
    <w:rsid w:val="74AE3AD6"/>
    <w:rsid w:val="74B310ED"/>
    <w:rsid w:val="74CA4688"/>
    <w:rsid w:val="74CB6B3C"/>
    <w:rsid w:val="74DC4AE7"/>
    <w:rsid w:val="74EC2851"/>
    <w:rsid w:val="74EC45FF"/>
    <w:rsid w:val="74F17E67"/>
    <w:rsid w:val="750E0A19"/>
    <w:rsid w:val="751A116C"/>
    <w:rsid w:val="75263FB5"/>
    <w:rsid w:val="75387844"/>
    <w:rsid w:val="754D1541"/>
    <w:rsid w:val="754E350B"/>
    <w:rsid w:val="75526B58"/>
    <w:rsid w:val="75530B22"/>
    <w:rsid w:val="75726B3F"/>
    <w:rsid w:val="757D01C3"/>
    <w:rsid w:val="758D5DE2"/>
    <w:rsid w:val="759A405B"/>
    <w:rsid w:val="75A76A3F"/>
    <w:rsid w:val="75AB6268"/>
    <w:rsid w:val="75C64E50"/>
    <w:rsid w:val="75D94B83"/>
    <w:rsid w:val="75DE663D"/>
    <w:rsid w:val="75F47C0F"/>
    <w:rsid w:val="75F714AD"/>
    <w:rsid w:val="762A1882"/>
    <w:rsid w:val="762C55FB"/>
    <w:rsid w:val="76366479"/>
    <w:rsid w:val="7646582B"/>
    <w:rsid w:val="76733229"/>
    <w:rsid w:val="768371E5"/>
    <w:rsid w:val="7697610D"/>
    <w:rsid w:val="76A71125"/>
    <w:rsid w:val="76B37ACA"/>
    <w:rsid w:val="76C07AF1"/>
    <w:rsid w:val="77043E82"/>
    <w:rsid w:val="773C186D"/>
    <w:rsid w:val="776628A5"/>
    <w:rsid w:val="776B3F01"/>
    <w:rsid w:val="776C78F9"/>
    <w:rsid w:val="77860D3A"/>
    <w:rsid w:val="77AB69F3"/>
    <w:rsid w:val="77CE2CC8"/>
    <w:rsid w:val="77D221D2"/>
    <w:rsid w:val="78056103"/>
    <w:rsid w:val="7820118F"/>
    <w:rsid w:val="783A0E4B"/>
    <w:rsid w:val="784D3606"/>
    <w:rsid w:val="786848E4"/>
    <w:rsid w:val="789631FF"/>
    <w:rsid w:val="78A94A0D"/>
    <w:rsid w:val="78D87374"/>
    <w:rsid w:val="78F513FC"/>
    <w:rsid w:val="78F61EF0"/>
    <w:rsid w:val="78F65A4C"/>
    <w:rsid w:val="78F85C68"/>
    <w:rsid w:val="790551E5"/>
    <w:rsid w:val="7908577F"/>
    <w:rsid w:val="791A36BF"/>
    <w:rsid w:val="79330A4E"/>
    <w:rsid w:val="793F5645"/>
    <w:rsid w:val="79442C5B"/>
    <w:rsid w:val="7950499B"/>
    <w:rsid w:val="795D3D1D"/>
    <w:rsid w:val="796230E1"/>
    <w:rsid w:val="796D0A51"/>
    <w:rsid w:val="799073AD"/>
    <w:rsid w:val="79E51684"/>
    <w:rsid w:val="79F3642F"/>
    <w:rsid w:val="7A173A4F"/>
    <w:rsid w:val="7A5C3FD5"/>
    <w:rsid w:val="7A666C01"/>
    <w:rsid w:val="7A8D0632"/>
    <w:rsid w:val="7AA339B1"/>
    <w:rsid w:val="7AA8546C"/>
    <w:rsid w:val="7AAA4B7B"/>
    <w:rsid w:val="7AAF05A8"/>
    <w:rsid w:val="7AB64F21"/>
    <w:rsid w:val="7AD46261"/>
    <w:rsid w:val="7AE77D42"/>
    <w:rsid w:val="7AEA338E"/>
    <w:rsid w:val="7AF661D7"/>
    <w:rsid w:val="7B0326A2"/>
    <w:rsid w:val="7B2368A0"/>
    <w:rsid w:val="7B424F78"/>
    <w:rsid w:val="7B5829EE"/>
    <w:rsid w:val="7B5D1DB2"/>
    <w:rsid w:val="7B615D46"/>
    <w:rsid w:val="7B672C31"/>
    <w:rsid w:val="7B8053B0"/>
    <w:rsid w:val="7B864081"/>
    <w:rsid w:val="7BA936B9"/>
    <w:rsid w:val="7BCE0EA8"/>
    <w:rsid w:val="7BF1074D"/>
    <w:rsid w:val="7BF700B4"/>
    <w:rsid w:val="7C183F2B"/>
    <w:rsid w:val="7C584EE5"/>
    <w:rsid w:val="7C613B24"/>
    <w:rsid w:val="7C9E2682"/>
    <w:rsid w:val="7CA3413D"/>
    <w:rsid w:val="7CAB2FF1"/>
    <w:rsid w:val="7CD04806"/>
    <w:rsid w:val="7CD9190C"/>
    <w:rsid w:val="7CE56503"/>
    <w:rsid w:val="7D034BDB"/>
    <w:rsid w:val="7D151413"/>
    <w:rsid w:val="7D347921"/>
    <w:rsid w:val="7D5B2411"/>
    <w:rsid w:val="7D621902"/>
    <w:rsid w:val="7D637428"/>
    <w:rsid w:val="7D761851"/>
    <w:rsid w:val="7D9A2190"/>
    <w:rsid w:val="7DA912DF"/>
    <w:rsid w:val="7DAA5057"/>
    <w:rsid w:val="7DBD4D8A"/>
    <w:rsid w:val="7DC51E91"/>
    <w:rsid w:val="7DC600E3"/>
    <w:rsid w:val="7DD30A52"/>
    <w:rsid w:val="7DD74E23"/>
    <w:rsid w:val="7DDF11A4"/>
    <w:rsid w:val="7DF37A0D"/>
    <w:rsid w:val="7E092A30"/>
    <w:rsid w:val="7E1D7B86"/>
    <w:rsid w:val="7E2458E7"/>
    <w:rsid w:val="7E5743CC"/>
    <w:rsid w:val="7E5C0A47"/>
    <w:rsid w:val="7E717724"/>
    <w:rsid w:val="7E991353"/>
    <w:rsid w:val="7ED71642"/>
    <w:rsid w:val="7ED93E46"/>
    <w:rsid w:val="7EE03426"/>
    <w:rsid w:val="7F03074F"/>
    <w:rsid w:val="7F1135E0"/>
    <w:rsid w:val="7F280929"/>
    <w:rsid w:val="7F2D7CEE"/>
    <w:rsid w:val="7F2F3A66"/>
    <w:rsid w:val="7F3177DE"/>
    <w:rsid w:val="7F3B065C"/>
    <w:rsid w:val="7F5A414C"/>
    <w:rsid w:val="7F651B7D"/>
    <w:rsid w:val="7F8F2756"/>
    <w:rsid w:val="7FBA3C77"/>
    <w:rsid w:val="7FC31288"/>
    <w:rsid w:val="7FE17456"/>
    <w:rsid w:val="7FF8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toc 2"/>
    <w:basedOn w:val="1"/>
    <w:next w:val="1"/>
    <w:qFormat/>
    <w:uiPriority w:val="0"/>
    <w:pPr>
      <w:ind w:left="420" w:leftChars="200"/>
    </w:pPr>
  </w:style>
  <w:style w:type="paragraph" w:styleId="4">
    <w:name w:val="annotation text"/>
    <w:basedOn w:val="1"/>
    <w:qFormat/>
    <w:uiPriority w:val="99"/>
    <w:pPr>
      <w:jc w:val="left"/>
    </w:pPr>
    <w:rPr>
      <w:szCs w:val="24"/>
    </w:rPr>
  </w:style>
  <w:style w:type="paragraph" w:styleId="5">
    <w:name w:val="toc 3"/>
    <w:basedOn w:val="1"/>
    <w:next w:val="1"/>
    <w:qFormat/>
    <w:uiPriority w:val="0"/>
    <w:pPr>
      <w:ind w:left="840" w:leftChars="400"/>
    </w:p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rFonts w:hint="eastAsia"/>
      <w:color w:val="0000FF"/>
      <w:u w:val="single"/>
    </w:rPr>
  </w:style>
  <w:style w:type="paragraph" w:customStyle="1" w:styleId="14">
    <w:name w:val="Default"/>
    <w:next w:val="6"/>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paragraph" w:customStyle="1" w:styleId="17">
    <w:name w:val="Table Paragraph"/>
    <w:basedOn w:val="1"/>
    <w:qFormat/>
    <w:uiPriority w:val="99"/>
    <w:pPr>
      <w:jc w:val="left"/>
    </w:pPr>
    <w:rPr>
      <w:rFonts w:ascii="宋体" w:hAnsi="宋体" w:cs="宋体"/>
      <w:kern w:val="0"/>
      <w:sz w:val="22"/>
      <w:szCs w:val="22"/>
      <w:lang w:eastAsia="en-US"/>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11133</Words>
  <Characters>12153</Characters>
  <TotalTime>177</TotalTime>
  <ScaleCrop>false</ScaleCrop>
  <LinksUpToDate>false</LinksUpToDate>
  <CharactersWithSpaces>12322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2023-07-18T09:49:00Z</dcterms:created>
  <dc:creator>Administrator</dc:creator>
  <cp:lastModifiedBy>陌上灬青鸾</cp:lastModifiedBy>
  <dcterms:modified xsi:type="dcterms:W3CDTF">2024-10-28T07:03:24Z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2023-08-03T19:05:15Z</vt:filetime>
  </property>
  <property fmtid="{D5CDD505-2E9C-101B-9397-08002B2CF9AE}" pid="4" name="KSOProductBuildVer">
    <vt:lpwstr>2052-12.1.0.18608</vt:lpwstr>
  </property>
  <property fmtid="{D5CDD505-2E9C-101B-9397-08002B2CF9AE}" pid="5" name="ICV">
    <vt:lpwstr>E0DF2E64CAE240F5972A4B312FAFEBF6_12</vt:lpwstr>
  </property>
</Properties>
</file>